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2CA" w:rsidRPr="00CF2509" w:rsidRDefault="00F012CA" w:rsidP="00CF2509">
      <w:pPr>
        <w:pStyle w:val="BodyText"/>
        <w:spacing w:after="0" w:line="14" w:lineRule="exact"/>
        <w:rPr>
          <w:rFonts w:hint="cs"/>
          <w:sz w:val="2"/>
          <w:szCs w:val="6"/>
          <w:rtl/>
        </w:rPr>
        <w:sectPr w:rsidR="00F012CA" w:rsidRPr="00CF2509" w:rsidSect="00F012C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vanish/>
          <w:rtl/>
        </w:rPr>
        <w:commentReference w:id="0"/>
      </w:r>
      <w:bookmarkStart w:id="1" w:name="TmpSave"/>
      <w:bookmarkEnd w:id="1"/>
    </w:p>
    <w:p w:rsidR="00CD3849" w:rsidRDefault="00482D71" w:rsidP="00482D7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482D71" w:rsidRPr="00482D71" w:rsidRDefault="00482D71" w:rsidP="00482D71">
      <w:pPr>
        <w:pStyle w:val="SingleTxt"/>
        <w:spacing w:after="0" w:line="120" w:lineRule="exact"/>
        <w:rPr>
          <w:rFonts w:hint="cs"/>
          <w:sz w:val="10"/>
          <w:rtl/>
        </w:rPr>
      </w:pPr>
    </w:p>
    <w:p w:rsidR="00482D71" w:rsidRPr="00482D71" w:rsidRDefault="00482D71" w:rsidP="00482D71">
      <w:pPr>
        <w:pStyle w:val="SingleTxt"/>
        <w:spacing w:after="0" w:line="120" w:lineRule="exact"/>
        <w:rPr>
          <w:rFonts w:hint="cs"/>
          <w:sz w:val="10"/>
          <w:rtl/>
        </w:rPr>
      </w:pPr>
    </w:p>
    <w:p w:rsidR="00482D71" w:rsidRDefault="001D222C" w:rsidP="00482D7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2D71">
        <w:rPr>
          <w:rFonts w:hint="cs"/>
          <w:rtl/>
        </w:rPr>
        <w:t>النظر في التقارير المقدمة من الدول الأطراف بموجب المادة 18 من اتفاقية القضاء على جميع أشكال التمييز ضد المرأة</w:t>
      </w:r>
    </w:p>
    <w:p w:rsidR="00482D71" w:rsidRPr="00482D71" w:rsidRDefault="00482D71" w:rsidP="00482D71">
      <w:pPr>
        <w:pStyle w:val="SingleTxt"/>
        <w:spacing w:after="0" w:line="120" w:lineRule="exact"/>
        <w:rPr>
          <w:rFonts w:hint="cs"/>
          <w:sz w:val="10"/>
          <w:rtl/>
        </w:rPr>
      </w:pPr>
    </w:p>
    <w:p w:rsidR="00482D71" w:rsidRDefault="001D222C" w:rsidP="00DC7C2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2D71">
        <w:rPr>
          <w:rFonts w:hint="cs"/>
          <w:rtl/>
        </w:rPr>
        <w:t>التقارير الدورية الأول والثاني والثالث المدمجة المقدمة من الدول الأ</w:t>
      </w:r>
      <w:r w:rsidR="00DC7C24">
        <w:rPr>
          <w:rFonts w:hint="cs"/>
          <w:rtl/>
        </w:rPr>
        <w:t>طراف</w:t>
      </w:r>
    </w:p>
    <w:p w:rsidR="00482D71" w:rsidRPr="00482D71" w:rsidRDefault="00482D71" w:rsidP="00482D71">
      <w:pPr>
        <w:pStyle w:val="SingleTxt"/>
        <w:spacing w:after="0" w:line="120" w:lineRule="exact"/>
        <w:rPr>
          <w:rFonts w:hint="cs"/>
          <w:sz w:val="10"/>
          <w:rtl/>
        </w:rPr>
      </w:pPr>
    </w:p>
    <w:p w:rsidR="00482D71" w:rsidRPr="00482D71" w:rsidRDefault="00482D71" w:rsidP="00482D71">
      <w:pPr>
        <w:framePr w:w="9792" w:h="432" w:hSpace="180" w:wrap="around" w:hAnchor="page" w:x="1196" w:yAlign="bottom"/>
        <w:spacing w:line="240" w:lineRule="auto"/>
        <w:jc w:val="lowKashida"/>
        <w:rPr>
          <w:szCs w:val="10"/>
          <w:rtl/>
        </w:rPr>
      </w:pPr>
    </w:p>
    <w:p w:rsidR="00482D71" w:rsidRPr="00482D71" w:rsidRDefault="00482D71" w:rsidP="00482D71">
      <w:pPr>
        <w:framePr w:w="9792" w:h="432" w:hSpace="180" w:wrap="around" w:hAnchor="page" w:x="1196" w:yAlign="bottom"/>
        <w:spacing w:line="240" w:lineRule="auto"/>
        <w:jc w:val="lowKashida"/>
        <w:rPr>
          <w:szCs w:val="6"/>
          <w:rtl/>
        </w:rPr>
      </w:pPr>
    </w:p>
    <w:p w:rsidR="00482D71" w:rsidRPr="00482D71" w:rsidRDefault="00482D71" w:rsidP="00482D71">
      <w:pPr>
        <w:framePr w:w="9792" w:h="432" w:hSpace="180" w:wrap="around" w:hAnchor="page" w:x="1196" w:yAlign="bottom"/>
        <w:tabs>
          <w:tab w:val="right" w:pos="1195"/>
          <w:tab w:val="left" w:pos="1267"/>
        </w:tabs>
        <w:spacing w:line="300" w:lineRule="exact"/>
        <w:ind w:left="1267" w:right="1267" w:hanging="547"/>
        <w:rPr>
          <w:rFonts w:hint="cs"/>
          <w:sz w:val="17"/>
          <w:szCs w:val="26"/>
        </w:rPr>
      </w:pPr>
      <w:r>
        <w:rPr>
          <w:noProof/>
          <w:w w:val="100"/>
        </w:rPr>
        <w:pict>
          <v:line id="_x0000_s2050" style="position:absolute;left:0;text-align:left;z-index:1" from="396pt,-1pt" to="468pt,-1pt"/>
        </w:pict>
      </w:r>
      <w:r>
        <w:rPr>
          <w:rFonts w:hint="cs"/>
          <w:sz w:val="17"/>
          <w:szCs w:val="26"/>
          <w:rtl/>
        </w:rPr>
        <w:tab/>
        <w:t>*</w:t>
      </w:r>
      <w:r>
        <w:rPr>
          <w:rFonts w:hint="cs"/>
          <w:sz w:val="17"/>
          <w:szCs w:val="26"/>
          <w:rtl/>
        </w:rPr>
        <w:tab/>
        <w:t>يصدر هذا التقرير دون تحرير رسمي.</w:t>
      </w:r>
    </w:p>
    <w:p w:rsidR="00482D71" w:rsidRDefault="001D222C" w:rsidP="00482D7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2D71">
        <w:rPr>
          <w:rFonts w:hint="cs"/>
          <w:rtl/>
        </w:rPr>
        <w:t>باكستان*</w:t>
      </w:r>
    </w:p>
    <w:p w:rsidR="00482D71" w:rsidRPr="00482D71" w:rsidRDefault="00482D71" w:rsidP="00482D71">
      <w:pPr>
        <w:pStyle w:val="HCh"/>
        <w:spacing w:after="120"/>
        <w:rPr>
          <w:rtl/>
        </w:rPr>
      </w:pPr>
      <w:r>
        <w:rPr>
          <w:rtl/>
        </w:rPr>
        <w:br w:type="page"/>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482D71" w:rsidRPr="00482D71">
        <w:tblPrEx>
          <w:tblCellMar>
            <w:top w:w="0" w:type="dxa"/>
            <w:bottom w:w="0" w:type="dxa"/>
          </w:tblCellMar>
        </w:tblPrEx>
        <w:tc>
          <w:tcPr>
            <w:tcW w:w="1296" w:type="dxa"/>
            <w:shd w:val="clear" w:color="auto" w:fill="auto"/>
          </w:tcPr>
          <w:p w:rsidR="00482D71" w:rsidRPr="00482D71" w:rsidRDefault="00482D71" w:rsidP="00482D71">
            <w:pPr>
              <w:spacing w:after="120" w:line="240" w:lineRule="auto"/>
              <w:jc w:val="right"/>
              <w:rPr>
                <w:rFonts w:hint="cs"/>
                <w:iCs/>
                <w:sz w:val="14"/>
                <w:rtl/>
              </w:rPr>
            </w:pPr>
            <w:r>
              <w:rPr>
                <w:rFonts w:hint="eastAsia"/>
                <w:iCs/>
                <w:sz w:val="14"/>
                <w:rtl/>
              </w:rPr>
              <w:t>الفصل</w:t>
            </w:r>
          </w:p>
        </w:tc>
        <w:tc>
          <w:tcPr>
            <w:tcW w:w="6566" w:type="dxa"/>
            <w:shd w:val="clear" w:color="auto" w:fill="auto"/>
          </w:tcPr>
          <w:p w:rsidR="00482D71" w:rsidRPr="00482D71" w:rsidRDefault="00482D71" w:rsidP="00482D71">
            <w:pPr>
              <w:spacing w:after="120" w:line="240" w:lineRule="auto"/>
              <w:rPr>
                <w:rFonts w:hint="cs"/>
                <w:iCs/>
                <w:sz w:val="14"/>
                <w:rtl/>
              </w:rPr>
            </w:pPr>
          </w:p>
        </w:tc>
        <w:tc>
          <w:tcPr>
            <w:tcW w:w="1166" w:type="dxa"/>
            <w:shd w:val="clear" w:color="auto" w:fill="auto"/>
          </w:tcPr>
          <w:p w:rsidR="00482D71" w:rsidRPr="00482D71" w:rsidRDefault="00482D71" w:rsidP="00482D71">
            <w:pPr>
              <w:spacing w:after="120" w:line="240" w:lineRule="auto"/>
              <w:jc w:val="right"/>
              <w:rPr>
                <w:rFonts w:hint="cs"/>
                <w:iCs/>
                <w:sz w:val="14"/>
                <w:rtl/>
              </w:rPr>
            </w:pPr>
            <w:r>
              <w:rPr>
                <w:rFonts w:hint="eastAsia"/>
                <w:iCs/>
                <w:sz w:val="14"/>
                <w:rtl/>
              </w:rPr>
              <w:t>الفقرات</w:t>
            </w:r>
          </w:p>
        </w:tc>
        <w:tc>
          <w:tcPr>
            <w:tcW w:w="806" w:type="dxa"/>
            <w:shd w:val="clear" w:color="auto" w:fill="auto"/>
          </w:tcPr>
          <w:p w:rsidR="00482D71" w:rsidRPr="00482D71" w:rsidRDefault="00482D71" w:rsidP="00482D71">
            <w:pPr>
              <w:spacing w:after="120" w:line="240" w:lineRule="auto"/>
              <w:jc w:val="right"/>
              <w:rPr>
                <w:rFonts w:hint="cs"/>
                <w:iCs/>
                <w:sz w:val="14"/>
                <w:rtl/>
              </w:rPr>
            </w:pPr>
            <w:r>
              <w:rPr>
                <w:rFonts w:hint="eastAsia"/>
                <w:iCs/>
                <w:sz w:val="14"/>
                <w:rtl/>
              </w:rPr>
              <w:t>الصفحة</w:t>
            </w:r>
          </w:p>
        </w:tc>
      </w:tr>
      <w:tr w:rsidR="00482D71" w:rsidRPr="00482D71">
        <w:tblPrEx>
          <w:tblCellMar>
            <w:top w:w="0" w:type="dxa"/>
            <w:bottom w:w="0" w:type="dxa"/>
          </w:tblCellMar>
        </w:tblPrEx>
        <w:tc>
          <w:tcPr>
            <w:tcW w:w="7862" w:type="dxa"/>
            <w:gridSpan w:val="2"/>
            <w:shd w:val="clear" w:color="auto" w:fill="auto"/>
          </w:tcPr>
          <w:p w:rsidR="00482D71" w:rsidRPr="007A30D0" w:rsidRDefault="00482D71" w:rsidP="007A30D0">
            <w:pPr>
              <w:tabs>
                <w:tab w:val="right" w:pos="1080"/>
                <w:tab w:val="left" w:pos="1296"/>
                <w:tab w:val="left" w:pos="1728"/>
                <w:tab w:val="right" w:leader="dot" w:pos="7862"/>
              </w:tabs>
              <w:spacing w:after="120"/>
              <w:rPr>
                <w:rFonts w:hint="cs"/>
                <w:spacing w:val="60"/>
                <w:sz w:val="17"/>
                <w:rtl/>
              </w:rPr>
            </w:pPr>
            <w:r>
              <w:rPr>
                <w:rtl/>
              </w:rPr>
              <w:tab/>
            </w:r>
            <w:r>
              <w:rPr>
                <w:rFonts w:hint="cs"/>
                <w:rtl/>
              </w:rPr>
              <w:t>الأول -</w:t>
            </w:r>
            <w:r w:rsidR="007A30D0">
              <w:rPr>
                <w:rtl/>
              </w:rPr>
              <w:tab/>
            </w:r>
            <w:r w:rsidR="007A30D0">
              <w:rPr>
                <w:rFonts w:hint="cs"/>
                <w:rtl/>
              </w:rPr>
              <w:t>مقدمة</w:t>
            </w:r>
            <w:r w:rsidR="007A30D0">
              <w:rPr>
                <w:spacing w:val="60"/>
                <w:sz w:val="17"/>
                <w:rtl/>
              </w:rPr>
              <w:tab/>
            </w:r>
          </w:p>
        </w:tc>
        <w:tc>
          <w:tcPr>
            <w:tcW w:w="1166" w:type="dxa"/>
            <w:shd w:val="clear" w:color="auto" w:fill="auto"/>
            <w:vAlign w:val="bottom"/>
          </w:tcPr>
          <w:p w:rsidR="00482D71" w:rsidRPr="00482D71" w:rsidRDefault="006715CE" w:rsidP="00482D71">
            <w:pPr>
              <w:spacing w:after="120"/>
              <w:jc w:val="right"/>
              <w:rPr>
                <w:rFonts w:hint="cs"/>
                <w:rtl/>
              </w:rPr>
            </w:pPr>
            <w:r>
              <w:rPr>
                <w:rFonts w:hint="cs"/>
                <w:rtl/>
              </w:rPr>
              <w:t>1-27</w:t>
            </w:r>
          </w:p>
        </w:tc>
        <w:tc>
          <w:tcPr>
            <w:tcW w:w="806" w:type="dxa"/>
            <w:shd w:val="clear" w:color="auto" w:fill="auto"/>
            <w:vAlign w:val="bottom"/>
          </w:tcPr>
          <w:p w:rsidR="00482D71" w:rsidRPr="00482D71" w:rsidRDefault="006715CE" w:rsidP="00482D71">
            <w:pPr>
              <w:spacing w:after="120"/>
              <w:jc w:val="right"/>
              <w:rPr>
                <w:rFonts w:hint="cs"/>
                <w:rtl/>
              </w:rPr>
            </w:pPr>
            <w:r>
              <w:rPr>
                <w:rFonts w:hint="cs"/>
                <w:rtl/>
              </w:rPr>
              <w:t>4</w:t>
            </w:r>
          </w:p>
        </w:tc>
      </w:tr>
      <w:tr w:rsidR="00482D71" w:rsidRPr="00482D71">
        <w:tblPrEx>
          <w:tblCellMar>
            <w:top w:w="0" w:type="dxa"/>
            <w:bottom w:w="0" w:type="dxa"/>
          </w:tblCellMar>
        </w:tblPrEx>
        <w:tc>
          <w:tcPr>
            <w:tcW w:w="7862" w:type="dxa"/>
            <w:gridSpan w:val="2"/>
            <w:shd w:val="clear" w:color="auto" w:fill="auto"/>
          </w:tcPr>
          <w:p w:rsidR="007A30D0" w:rsidRPr="007A30D0" w:rsidRDefault="00482D71" w:rsidP="007A30D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120"/>
              <w:rPr>
                <w:rFonts w:hint="cs"/>
                <w:spacing w:val="60"/>
                <w:sz w:val="17"/>
                <w:rtl/>
              </w:rPr>
            </w:pPr>
            <w:r>
              <w:rPr>
                <w:rFonts w:hint="cs"/>
                <w:rtl/>
              </w:rPr>
              <w:tab/>
              <w:t>الثاني -</w:t>
            </w:r>
            <w:r>
              <w:rPr>
                <w:rtl/>
              </w:rPr>
              <w:tab/>
            </w:r>
            <w:r w:rsidR="007A30D0">
              <w:rPr>
                <w:rFonts w:hint="cs"/>
                <w:rtl/>
              </w:rPr>
              <w:t>انطباق الاتفاقية ومعلومات عن الإطار الدستوري والقانوني والإداري</w:t>
            </w:r>
            <w:r w:rsidR="007A30D0">
              <w:rPr>
                <w:spacing w:val="60"/>
                <w:sz w:val="17"/>
                <w:rtl/>
              </w:rPr>
              <w:tab/>
            </w:r>
          </w:p>
        </w:tc>
        <w:tc>
          <w:tcPr>
            <w:tcW w:w="1166" w:type="dxa"/>
            <w:shd w:val="clear" w:color="auto" w:fill="auto"/>
            <w:vAlign w:val="bottom"/>
          </w:tcPr>
          <w:p w:rsidR="00482D71" w:rsidRPr="00482D71" w:rsidRDefault="006715CE" w:rsidP="00482D71">
            <w:pPr>
              <w:spacing w:after="120"/>
              <w:jc w:val="right"/>
              <w:rPr>
                <w:rFonts w:hint="cs"/>
                <w:rtl/>
              </w:rPr>
            </w:pPr>
            <w:r>
              <w:rPr>
                <w:rFonts w:hint="cs"/>
                <w:rtl/>
              </w:rPr>
              <w:t>28-51</w:t>
            </w:r>
          </w:p>
        </w:tc>
        <w:tc>
          <w:tcPr>
            <w:tcW w:w="806" w:type="dxa"/>
            <w:shd w:val="clear" w:color="auto" w:fill="auto"/>
            <w:vAlign w:val="bottom"/>
          </w:tcPr>
          <w:p w:rsidR="00482D71" w:rsidRPr="00482D71" w:rsidRDefault="006715CE" w:rsidP="00482D71">
            <w:pPr>
              <w:spacing w:after="120"/>
              <w:jc w:val="right"/>
              <w:rPr>
                <w:rFonts w:hint="cs"/>
                <w:rtl/>
              </w:rPr>
            </w:pPr>
            <w:r>
              <w:rPr>
                <w:rFonts w:hint="cs"/>
                <w:rtl/>
              </w:rPr>
              <w:t>9</w:t>
            </w:r>
          </w:p>
        </w:tc>
      </w:tr>
      <w:tr w:rsidR="00482D71" w:rsidRPr="00482D71">
        <w:tblPrEx>
          <w:tblCellMar>
            <w:top w:w="0" w:type="dxa"/>
            <w:bottom w:w="0" w:type="dxa"/>
          </w:tblCellMar>
        </w:tblPrEx>
        <w:tc>
          <w:tcPr>
            <w:tcW w:w="7862" w:type="dxa"/>
            <w:gridSpan w:val="2"/>
            <w:shd w:val="clear" w:color="auto" w:fill="auto"/>
          </w:tcPr>
          <w:p w:rsidR="00482D71" w:rsidRPr="007A30D0" w:rsidRDefault="00482D71" w:rsidP="006715CE">
            <w:pPr>
              <w:tabs>
                <w:tab w:val="right" w:pos="1080"/>
                <w:tab w:val="left" w:pos="1296"/>
                <w:tab w:val="left" w:pos="1728"/>
                <w:tab w:val="left" w:pos="2160"/>
                <w:tab w:val="right" w:leader="dot" w:pos="7862"/>
              </w:tabs>
              <w:spacing w:after="120"/>
              <w:ind w:left="1296" w:hanging="1296"/>
              <w:rPr>
                <w:rFonts w:hint="cs"/>
                <w:spacing w:val="60"/>
                <w:sz w:val="17"/>
                <w:rtl/>
              </w:rPr>
            </w:pPr>
            <w:r>
              <w:rPr>
                <w:rtl/>
              </w:rPr>
              <w:tab/>
            </w:r>
            <w:r>
              <w:rPr>
                <w:rFonts w:hint="cs"/>
                <w:rtl/>
              </w:rPr>
              <w:t>الثالث -</w:t>
            </w:r>
            <w:r>
              <w:rPr>
                <w:rtl/>
              </w:rPr>
              <w:tab/>
            </w:r>
            <w:r w:rsidR="007A30D0">
              <w:rPr>
                <w:rFonts w:hint="cs"/>
                <w:rtl/>
              </w:rPr>
              <w:t>المادة 1 (تعريف التمييز، واتخاذ جميع التدابير لتنفيذ الاتفاقية)</w:t>
            </w:r>
            <w:r w:rsidR="006715CE">
              <w:rPr>
                <w:rFonts w:hint="cs"/>
                <w:rtl/>
              </w:rPr>
              <w:t>، المادة 2 (الإطار الدستوري والقانوني والإداري)، المادة 3 (تعريف التمييز)</w:t>
            </w:r>
            <w:r w:rsidR="007A30D0">
              <w:rPr>
                <w:spacing w:val="60"/>
                <w:sz w:val="17"/>
                <w:rtl/>
              </w:rPr>
              <w:tab/>
            </w:r>
          </w:p>
        </w:tc>
        <w:tc>
          <w:tcPr>
            <w:tcW w:w="1166" w:type="dxa"/>
            <w:shd w:val="clear" w:color="auto" w:fill="auto"/>
            <w:vAlign w:val="bottom"/>
          </w:tcPr>
          <w:p w:rsidR="00482D71" w:rsidRPr="00482D71" w:rsidRDefault="006715CE" w:rsidP="00482D71">
            <w:pPr>
              <w:spacing w:after="120"/>
              <w:jc w:val="right"/>
              <w:rPr>
                <w:rFonts w:hint="cs"/>
                <w:rtl/>
              </w:rPr>
            </w:pPr>
            <w:r>
              <w:rPr>
                <w:rFonts w:hint="cs"/>
                <w:rtl/>
              </w:rPr>
              <w:t>52-74</w:t>
            </w:r>
          </w:p>
        </w:tc>
        <w:tc>
          <w:tcPr>
            <w:tcW w:w="806" w:type="dxa"/>
            <w:shd w:val="clear" w:color="auto" w:fill="auto"/>
            <w:vAlign w:val="bottom"/>
          </w:tcPr>
          <w:p w:rsidR="00482D71" w:rsidRPr="00482D71" w:rsidRDefault="006715CE" w:rsidP="00482D71">
            <w:pPr>
              <w:spacing w:after="120"/>
              <w:jc w:val="right"/>
              <w:rPr>
                <w:rFonts w:hint="cs"/>
                <w:rtl/>
              </w:rPr>
            </w:pPr>
            <w:r>
              <w:rPr>
                <w:rFonts w:hint="cs"/>
                <w:rtl/>
              </w:rPr>
              <w:t>19</w:t>
            </w:r>
          </w:p>
        </w:tc>
      </w:tr>
      <w:tr w:rsidR="00482D71" w:rsidRPr="00482D71">
        <w:tblPrEx>
          <w:tblCellMar>
            <w:top w:w="0" w:type="dxa"/>
            <w:bottom w:w="0" w:type="dxa"/>
          </w:tblCellMar>
        </w:tblPrEx>
        <w:tc>
          <w:tcPr>
            <w:tcW w:w="7862" w:type="dxa"/>
            <w:gridSpan w:val="2"/>
            <w:shd w:val="clear" w:color="auto" w:fill="auto"/>
          </w:tcPr>
          <w:p w:rsidR="00482D71" w:rsidRPr="007A30D0" w:rsidRDefault="00482D71" w:rsidP="007A30D0">
            <w:pPr>
              <w:tabs>
                <w:tab w:val="right" w:pos="1080"/>
                <w:tab w:val="left" w:pos="1296"/>
                <w:tab w:val="left" w:pos="1728"/>
                <w:tab w:val="left" w:pos="2160"/>
                <w:tab w:val="left" w:pos="2592"/>
                <w:tab w:val="left" w:pos="3024"/>
                <w:tab w:val="right" w:leader="dot" w:pos="7862"/>
              </w:tabs>
              <w:spacing w:after="120"/>
              <w:rPr>
                <w:rFonts w:hint="cs"/>
                <w:spacing w:val="60"/>
                <w:sz w:val="17"/>
                <w:rtl/>
              </w:rPr>
            </w:pPr>
            <w:r>
              <w:rPr>
                <w:rFonts w:hint="cs"/>
                <w:rtl/>
              </w:rPr>
              <w:tab/>
              <w:t>الرابع -</w:t>
            </w:r>
            <w:r>
              <w:rPr>
                <w:rtl/>
              </w:rPr>
              <w:tab/>
            </w:r>
            <w:r w:rsidR="007A30D0">
              <w:rPr>
                <w:rFonts w:hint="cs"/>
                <w:rtl/>
              </w:rPr>
              <w:t>المادة 4 (العمل الإيجابي)</w:t>
            </w:r>
            <w:r w:rsidR="007A30D0">
              <w:rPr>
                <w:spacing w:val="60"/>
                <w:sz w:val="17"/>
                <w:rtl/>
              </w:rPr>
              <w:tab/>
            </w:r>
          </w:p>
        </w:tc>
        <w:tc>
          <w:tcPr>
            <w:tcW w:w="1166" w:type="dxa"/>
            <w:shd w:val="clear" w:color="auto" w:fill="auto"/>
            <w:vAlign w:val="bottom"/>
          </w:tcPr>
          <w:p w:rsidR="00482D71" w:rsidRPr="00482D71" w:rsidRDefault="006715CE" w:rsidP="00482D71">
            <w:pPr>
              <w:spacing w:after="120"/>
              <w:jc w:val="right"/>
              <w:rPr>
                <w:rFonts w:hint="cs"/>
                <w:rtl/>
              </w:rPr>
            </w:pPr>
            <w:r>
              <w:rPr>
                <w:rFonts w:hint="cs"/>
                <w:rtl/>
              </w:rPr>
              <w:t>75-79</w:t>
            </w:r>
          </w:p>
        </w:tc>
        <w:tc>
          <w:tcPr>
            <w:tcW w:w="806" w:type="dxa"/>
            <w:shd w:val="clear" w:color="auto" w:fill="auto"/>
            <w:vAlign w:val="bottom"/>
          </w:tcPr>
          <w:p w:rsidR="00482D71" w:rsidRPr="00482D71" w:rsidRDefault="006715CE" w:rsidP="00482D71">
            <w:pPr>
              <w:spacing w:after="120"/>
              <w:jc w:val="right"/>
              <w:rPr>
                <w:rFonts w:hint="cs"/>
                <w:rtl/>
              </w:rPr>
            </w:pPr>
            <w:r>
              <w:rPr>
                <w:rFonts w:hint="cs"/>
                <w:rtl/>
              </w:rPr>
              <w:t>24</w:t>
            </w:r>
          </w:p>
        </w:tc>
      </w:tr>
      <w:tr w:rsidR="00482D71" w:rsidRPr="00482D71">
        <w:tblPrEx>
          <w:tblCellMar>
            <w:top w:w="0" w:type="dxa"/>
            <w:bottom w:w="0" w:type="dxa"/>
          </w:tblCellMar>
        </w:tblPrEx>
        <w:tc>
          <w:tcPr>
            <w:tcW w:w="7862" w:type="dxa"/>
            <w:gridSpan w:val="2"/>
            <w:shd w:val="clear" w:color="auto" w:fill="auto"/>
          </w:tcPr>
          <w:p w:rsidR="00482D71" w:rsidRPr="00F0794D" w:rsidRDefault="00482D71" w:rsidP="00F0794D">
            <w:pPr>
              <w:tabs>
                <w:tab w:val="right" w:pos="1080"/>
                <w:tab w:val="left" w:pos="1296"/>
                <w:tab w:val="left" w:pos="1728"/>
                <w:tab w:val="left" w:pos="2160"/>
                <w:tab w:val="left" w:pos="2592"/>
                <w:tab w:val="left" w:pos="3024"/>
                <w:tab w:val="left" w:pos="3456"/>
                <w:tab w:val="right" w:leader="dot" w:pos="7862"/>
              </w:tabs>
              <w:spacing w:after="120"/>
              <w:rPr>
                <w:rFonts w:hint="cs"/>
                <w:spacing w:val="60"/>
                <w:sz w:val="17"/>
                <w:rtl/>
              </w:rPr>
            </w:pPr>
            <w:r>
              <w:rPr>
                <w:rtl/>
              </w:rPr>
              <w:tab/>
            </w:r>
            <w:r>
              <w:rPr>
                <w:rFonts w:hint="cs"/>
                <w:rtl/>
              </w:rPr>
              <w:t>الخامس -</w:t>
            </w:r>
            <w:r>
              <w:rPr>
                <w:rtl/>
              </w:rPr>
              <w:tab/>
            </w:r>
            <w:r w:rsidR="00F0794D">
              <w:rPr>
                <w:rFonts w:hint="cs"/>
                <w:rtl/>
              </w:rPr>
              <w:t>المادة 5 (القضاء على الأنماط)</w:t>
            </w:r>
            <w:r w:rsidR="00F0794D">
              <w:rPr>
                <w:spacing w:val="60"/>
                <w:sz w:val="17"/>
                <w:rtl/>
              </w:rPr>
              <w:tab/>
            </w:r>
          </w:p>
        </w:tc>
        <w:tc>
          <w:tcPr>
            <w:tcW w:w="1166" w:type="dxa"/>
            <w:shd w:val="clear" w:color="auto" w:fill="auto"/>
            <w:vAlign w:val="bottom"/>
          </w:tcPr>
          <w:p w:rsidR="00482D71" w:rsidRPr="00482D71" w:rsidRDefault="006715CE" w:rsidP="00482D71">
            <w:pPr>
              <w:spacing w:after="120"/>
              <w:jc w:val="right"/>
              <w:rPr>
                <w:rFonts w:hint="cs"/>
                <w:rtl/>
              </w:rPr>
            </w:pPr>
            <w:r>
              <w:rPr>
                <w:rFonts w:hint="cs"/>
                <w:rtl/>
              </w:rPr>
              <w:t>80-91</w:t>
            </w:r>
          </w:p>
        </w:tc>
        <w:tc>
          <w:tcPr>
            <w:tcW w:w="806" w:type="dxa"/>
            <w:shd w:val="clear" w:color="auto" w:fill="auto"/>
            <w:vAlign w:val="bottom"/>
          </w:tcPr>
          <w:p w:rsidR="00482D71" w:rsidRPr="00482D71" w:rsidRDefault="006715CE" w:rsidP="00482D71">
            <w:pPr>
              <w:spacing w:after="120"/>
              <w:jc w:val="right"/>
              <w:rPr>
                <w:rFonts w:hint="cs"/>
                <w:rtl/>
              </w:rPr>
            </w:pPr>
            <w:r>
              <w:rPr>
                <w:rFonts w:hint="cs"/>
                <w:rtl/>
              </w:rPr>
              <w:t>27</w:t>
            </w:r>
          </w:p>
        </w:tc>
      </w:tr>
      <w:tr w:rsidR="00482D71" w:rsidRPr="00482D71">
        <w:tblPrEx>
          <w:tblCellMar>
            <w:top w:w="0" w:type="dxa"/>
            <w:bottom w:w="0" w:type="dxa"/>
          </w:tblCellMar>
        </w:tblPrEx>
        <w:tc>
          <w:tcPr>
            <w:tcW w:w="7862" w:type="dxa"/>
            <w:gridSpan w:val="2"/>
            <w:shd w:val="clear" w:color="auto" w:fill="auto"/>
          </w:tcPr>
          <w:p w:rsidR="00482D71" w:rsidRPr="00F0794D" w:rsidRDefault="00482D71" w:rsidP="00F0794D">
            <w:pPr>
              <w:tabs>
                <w:tab w:val="right" w:pos="1080"/>
                <w:tab w:val="left" w:pos="1296"/>
                <w:tab w:val="left" w:pos="1728"/>
                <w:tab w:val="left" w:pos="2160"/>
                <w:tab w:val="left" w:pos="2592"/>
                <w:tab w:val="left" w:pos="3024"/>
                <w:tab w:val="left" w:pos="3456"/>
                <w:tab w:val="left" w:pos="3888"/>
                <w:tab w:val="right" w:leader="dot" w:pos="7862"/>
              </w:tabs>
              <w:spacing w:after="120"/>
              <w:rPr>
                <w:rFonts w:hint="cs"/>
                <w:spacing w:val="60"/>
                <w:sz w:val="17"/>
                <w:rtl/>
              </w:rPr>
            </w:pPr>
            <w:r>
              <w:rPr>
                <w:rFonts w:hint="cs"/>
                <w:rtl/>
              </w:rPr>
              <w:tab/>
              <w:t>السادس -</w:t>
            </w:r>
            <w:r>
              <w:rPr>
                <w:rtl/>
              </w:rPr>
              <w:tab/>
            </w:r>
            <w:r w:rsidR="00F0794D">
              <w:rPr>
                <w:rFonts w:hint="cs"/>
                <w:rtl/>
              </w:rPr>
              <w:t>المادة 6 (الاتجار بالنساء والفتيات)</w:t>
            </w:r>
            <w:r w:rsidR="00F0794D">
              <w:rPr>
                <w:spacing w:val="60"/>
                <w:sz w:val="17"/>
                <w:rtl/>
              </w:rPr>
              <w:tab/>
            </w:r>
          </w:p>
        </w:tc>
        <w:tc>
          <w:tcPr>
            <w:tcW w:w="1166" w:type="dxa"/>
            <w:shd w:val="clear" w:color="auto" w:fill="auto"/>
            <w:vAlign w:val="bottom"/>
          </w:tcPr>
          <w:p w:rsidR="00482D71" w:rsidRPr="00482D71" w:rsidRDefault="006715CE" w:rsidP="00482D71">
            <w:pPr>
              <w:spacing w:after="120"/>
              <w:jc w:val="right"/>
              <w:rPr>
                <w:rFonts w:hint="cs"/>
                <w:rtl/>
              </w:rPr>
            </w:pPr>
            <w:r>
              <w:rPr>
                <w:rFonts w:hint="cs"/>
                <w:rtl/>
              </w:rPr>
              <w:t>92-102</w:t>
            </w:r>
          </w:p>
        </w:tc>
        <w:tc>
          <w:tcPr>
            <w:tcW w:w="806" w:type="dxa"/>
            <w:shd w:val="clear" w:color="auto" w:fill="auto"/>
            <w:vAlign w:val="bottom"/>
          </w:tcPr>
          <w:p w:rsidR="00482D71" w:rsidRPr="00482D71" w:rsidRDefault="006715CE" w:rsidP="00482D71">
            <w:pPr>
              <w:spacing w:after="120"/>
              <w:jc w:val="right"/>
              <w:rPr>
                <w:rFonts w:hint="cs"/>
                <w:rtl/>
              </w:rPr>
            </w:pPr>
            <w:r>
              <w:rPr>
                <w:rFonts w:hint="cs"/>
                <w:rtl/>
              </w:rPr>
              <w:t>32</w:t>
            </w:r>
          </w:p>
        </w:tc>
      </w:tr>
      <w:tr w:rsidR="00482D71" w:rsidRPr="00482D71">
        <w:tblPrEx>
          <w:tblCellMar>
            <w:top w:w="0" w:type="dxa"/>
            <w:bottom w:w="0" w:type="dxa"/>
          </w:tblCellMar>
        </w:tblPrEx>
        <w:tc>
          <w:tcPr>
            <w:tcW w:w="7862" w:type="dxa"/>
            <w:gridSpan w:val="2"/>
            <w:shd w:val="clear" w:color="auto" w:fill="auto"/>
          </w:tcPr>
          <w:p w:rsidR="00482D71" w:rsidRPr="00F0794D" w:rsidRDefault="00482D71" w:rsidP="00F0794D">
            <w:pPr>
              <w:tabs>
                <w:tab w:val="right" w:pos="1080"/>
                <w:tab w:val="left" w:pos="1296"/>
                <w:tab w:val="left" w:pos="1728"/>
                <w:tab w:val="left" w:pos="2160"/>
                <w:tab w:val="left" w:pos="2592"/>
                <w:tab w:val="left" w:pos="3024"/>
                <w:tab w:val="left" w:pos="3456"/>
                <w:tab w:val="left" w:pos="3888"/>
                <w:tab w:val="right" w:leader="dot" w:pos="7862"/>
              </w:tabs>
              <w:spacing w:after="120"/>
              <w:rPr>
                <w:rFonts w:hint="cs"/>
                <w:spacing w:val="60"/>
                <w:sz w:val="17"/>
                <w:rtl/>
              </w:rPr>
            </w:pPr>
            <w:r>
              <w:rPr>
                <w:rtl/>
              </w:rPr>
              <w:tab/>
            </w:r>
            <w:r>
              <w:rPr>
                <w:rFonts w:hint="cs"/>
                <w:rtl/>
              </w:rPr>
              <w:t>السابع -</w:t>
            </w:r>
            <w:r>
              <w:rPr>
                <w:rtl/>
              </w:rPr>
              <w:tab/>
            </w:r>
            <w:r w:rsidR="00F0794D">
              <w:rPr>
                <w:rFonts w:hint="cs"/>
                <w:rtl/>
              </w:rPr>
              <w:t>المادة 7 (الحقوق السياسية للمرأة)</w:t>
            </w:r>
            <w:r w:rsidR="00F0794D">
              <w:rPr>
                <w:spacing w:val="60"/>
                <w:sz w:val="17"/>
                <w:rtl/>
              </w:rPr>
              <w:tab/>
            </w:r>
          </w:p>
        </w:tc>
        <w:tc>
          <w:tcPr>
            <w:tcW w:w="1166" w:type="dxa"/>
            <w:shd w:val="clear" w:color="auto" w:fill="auto"/>
            <w:vAlign w:val="bottom"/>
          </w:tcPr>
          <w:p w:rsidR="00482D71" w:rsidRPr="00482D71" w:rsidRDefault="006715CE" w:rsidP="00482D71">
            <w:pPr>
              <w:spacing w:after="120"/>
              <w:jc w:val="right"/>
              <w:rPr>
                <w:rFonts w:hint="cs"/>
                <w:rtl/>
              </w:rPr>
            </w:pPr>
            <w:r>
              <w:rPr>
                <w:rFonts w:hint="cs"/>
                <w:rtl/>
              </w:rPr>
              <w:t>103-175</w:t>
            </w:r>
          </w:p>
        </w:tc>
        <w:tc>
          <w:tcPr>
            <w:tcW w:w="806" w:type="dxa"/>
            <w:shd w:val="clear" w:color="auto" w:fill="auto"/>
            <w:vAlign w:val="bottom"/>
          </w:tcPr>
          <w:p w:rsidR="00482D71" w:rsidRPr="00482D71" w:rsidRDefault="006715CE" w:rsidP="00482D71">
            <w:pPr>
              <w:spacing w:after="120"/>
              <w:jc w:val="right"/>
              <w:rPr>
                <w:rFonts w:hint="cs"/>
                <w:rtl/>
              </w:rPr>
            </w:pPr>
            <w:r>
              <w:rPr>
                <w:rFonts w:hint="cs"/>
                <w:rtl/>
              </w:rPr>
              <w:t>35</w:t>
            </w:r>
          </w:p>
        </w:tc>
      </w:tr>
      <w:tr w:rsidR="00482D71" w:rsidRPr="00482D71">
        <w:tblPrEx>
          <w:tblCellMar>
            <w:top w:w="0" w:type="dxa"/>
            <w:bottom w:w="0" w:type="dxa"/>
          </w:tblCellMar>
        </w:tblPrEx>
        <w:tc>
          <w:tcPr>
            <w:tcW w:w="7862" w:type="dxa"/>
            <w:gridSpan w:val="2"/>
            <w:shd w:val="clear" w:color="auto" w:fill="auto"/>
          </w:tcPr>
          <w:p w:rsidR="00482D71" w:rsidRPr="00F0794D" w:rsidRDefault="00482D71" w:rsidP="00F0794D">
            <w:pPr>
              <w:tabs>
                <w:tab w:val="right" w:pos="1080"/>
                <w:tab w:val="left" w:pos="1296"/>
                <w:tab w:val="left" w:pos="1728"/>
                <w:tab w:val="left" w:pos="2160"/>
                <w:tab w:val="left" w:pos="2592"/>
                <w:tab w:val="left" w:pos="3024"/>
                <w:tab w:val="left" w:pos="3456"/>
                <w:tab w:val="right" w:leader="dot" w:pos="7862"/>
              </w:tabs>
              <w:spacing w:after="120"/>
              <w:rPr>
                <w:rFonts w:hint="cs"/>
                <w:spacing w:val="60"/>
                <w:sz w:val="17"/>
                <w:rtl/>
              </w:rPr>
            </w:pPr>
            <w:r>
              <w:rPr>
                <w:rFonts w:hint="cs"/>
                <w:rtl/>
              </w:rPr>
              <w:tab/>
              <w:t>الثامن -</w:t>
            </w:r>
            <w:r>
              <w:rPr>
                <w:rtl/>
              </w:rPr>
              <w:tab/>
            </w:r>
            <w:r w:rsidR="00F0794D">
              <w:rPr>
                <w:rFonts w:hint="cs"/>
                <w:rtl/>
              </w:rPr>
              <w:t>المادة 8 (التمثيل في الخارج)</w:t>
            </w:r>
            <w:r w:rsidR="00F0794D">
              <w:rPr>
                <w:spacing w:val="60"/>
                <w:sz w:val="17"/>
                <w:rtl/>
              </w:rPr>
              <w:tab/>
            </w:r>
          </w:p>
        </w:tc>
        <w:tc>
          <w:tcPr>
            <w:tcW w:w="1166" w:type="dxa"/>
            <w:shd w:val="clear" w:color="auto" w:fill="auto"/>
            <w:vAlign w:val="bottom"/>
          </w:tcPr>
          <w:p w:rsidR="00482D71" w:rsidRPr="00482D71" w:rsidRDefault="006715CE" w:rsidP="00482D71">
            <w:pPr>
              <w:spacing w:after="120"/>
              <w:jc w:val="right"/>
              <w:rPr>
                <w:rFonts w:hint="cs"/>
                <w:rtl/>
              </w:rPr>
            </w:pPr>
            <w:r>
              <w:rPr>
                <w:rFonts w:hint="cs"/>
                <w:rtl/>
              </w:rPr>
              <w:t>176-184</w:t>
            </w:r>
          </w:p>
        </w:tc>
        <w:tc>
          <w:tcPr>
            <w:tcW w:w="806" w:type="dxa"/>
            <w:shd w:val="clear" w:color="auto" w:fill="auto"/>
            <w:vAlign w:val="bottom"/>
          </w:tcPr>
          <w:p w:rsidR="00482D71" w:rsidRPr="00482D71" w:rsidRDefault="006715CE" w:rsidP="00482D71">
            <w:pPr>
              <w:spacing w:after="120"/>
              <w:jc w:val="right"/>
              <w:rPr>
                <w:rFonts w:hint="cs"/>
                <w:rtl/>
              </w:rPr>
            </w:pPr>
            <w:r>
              <w:rPr>
                <w:rFonts w:hint="cs"/>
                <w:rtl/>
              </w:rPr>
              <w:t>54</w:t>
            </w:r>
          </w:p>
        </w:tc>
      </w:tr>
      <w:tr w:rsidR="00482D71" w:rsidRPr="00482D71">
        <w:tblPrEx>
          <w:tblCellMar>
            <w:top w:w="0" w:type="dxa"/>
            <w:bottom w:w="0" w:type="dxa"/>
          </w:tblCellMar>
        </w:tblPrEx>
        <w:tc>
          <w:tcPr>
            <w:tcW w:w="7862" w:type="dxa"/>
            <w:gridSpan w:val="2"/>
            <w:shd w:val="clear" w:color="auto" w:fill="auto"/>
          </w:tcPr>
          <w:p w:rsidR="00482D71" w:rsidRPr="00F0794D" w:rsidRDefault="00482D71" w:rsidP="00F0794D">
            <w:pPr>
              <w:tabs>
                <w:tab w:val="right" w:pos="1080"/>
                <w:tab w:val="left" w:pos="1296"/>
                <w:tab w:val="left" w:pos="1728"/>
                <w:tab w:val="left" w:pos="2160"/>
                <w:tab w:val="left" w:pos="2592"/>
                <w:tab w:val="right" w:leader="dot" w:pos="7862"/>
              </w:tabs>
              <w:spacing w:after="120"/>
              <w:rPr>
                <w:rFonts w:hint="cs"/>
                <w:spacing w:val="60"/>
                <w:sz w:val="17"/>
                <w:rtl/>
              </w:rPr>
            </w:pPr>
            <w:r>
              <w:rPr>
                <w:rtl/>
              </w:rPr>
              <w:tab/>
            </w:r>
            <w:r>
              <w:rPr>
                <w:rFonts w:hint="cs"/>
                <w:rtl/>
              </w:rPr>
              <w:t>التاسع -</w:t>
            </w:r>
            <w:r>
              <w:rPr>
                <w:rtl/>
              </w:rPr>
              <w:tab/>
            </w:r>
            <w:r w:rsidR="00F0794D">
              <w:rPr>
                <w:rFonts w:hint="cs"/>
                <w:rtl/>
              </w:rPr>
              <w:t>المادة 9 (الجنسية)</w:t>
            </w:r>
            <w:r w:rsidR="00F0794D">
              <w:rPr>
                <w:spacing w:val="60"/>
                <w:sz w:val="17"/>
                <w:rtl/>
              </w:rPr>
              <w:tab/>
            </w:r>
          </w:p>
        </w:tc>
        <w:tc>
          <w:tcPr>
            <w:tcW w:w="1166" w:type="dxa"/>
            <w:shd w:val="clear" w:color="auto" w:fill="auto"/>
            <w:vAlign w:val="bottom"/>
          </w:tcPr>
          <w:p w:rsidR="00482D71" w:rsidRPr="00482D71" w:rsidRDefault="006715CE" w:rsidP="00482D71">
            <w:pPr>
              <w:spacing w:after="120"/>
              <w:jc w:val="right"/>
              <w:rPr>
                <w:rFonts w:hint="cs"/>
                <w:rtl/>
              </w:rPr>
            </w:pPr>
            <w:r>
              <w:rPr>
                <w:rFonts w:hint="cs"/>
                <w:rtl/>
              </w:rPr>
              <w:t>185-193</w:t>
            </w:r>
          </w:p>
        </w:tc>
        <w:tc>
          <w:tcPr>
            <w:tcW w:w="806" w:type="dxa"/>
            <w:shd w:val="clear" w:color="auto" w:fill="auto"/>
            <w:vAlign w:val="bottom"/>
          </w:tcPr>
          <w:p w:rsidR="00482D71" w:rsidRPr="00482D71" w:rsidRDefault="006715CE" w:rsidP="00482D71">
            <w:pPr>
              <w:spacing w:after="120"/>
              <w:jc w:val="right"/>
              <w:rPr>
                <w:rFonts w:hint="cs"/>
                <w:rtl/>
              </w:rPr>
            </w:pPr>
            <w:r>
              <w:rPr>
                <w:rFonts w:hint="cs"/>
                <w:rtl/>
              </w:rPr>
              <w:t>56</w:t>
            </w:r>
          </w:p>
        </w:tc>
      </w:tr>
      <w:tr w:rsidR="00482D71" w:rsidRPr="00482D71">
        <w:tblPrEx>
          <w:tblCellMar>
            <w:top w:w="0" w:type="dxa"/>
            <w:bottom w:w="0" w:type="dxa"/>
          </w:tblCellMar>
        </w:tblPrEx>
        <w:tc>
          <w:tcPr>
            <w:tcW w:w="7862" w:type="dxa"/>
            <w:gridSpan w:val="2"/>
            <w:shd w:val="clear" w:color="auto" w:fill="auto"/>
          </w:tcPr>
          <w:p w:rsidR="00482D71" w:rsidRPr="00F0794D" w:rsidRDefault="00482D71" w:rsidP="00F0794D">
            <w:pPr>
              <w:tabs>
                <w:tab w:val="right" w:pos="1080"/>
                <w:tab w:val="left" w:pos="1296"/>
                <w:tab w:val="left" w:pos="1728"/>
                <w:tab w:val="left" w:pos="2160"/>
                <w:tab w:val="left" w:pos="2592"/>
                <w:tab w:val="right" w:leader="dot" w:pos="7862"/>
              </w:tabs>
              <w:spacing w:after="120"/>
              <w:rPr>
                <w:rFonts w:hint="cs"/>
                <w:spacing w:val="60"/>
                <w:sz w:val="17"/>
                <w:rtl/>
              </w:rPr>
            </w:pPr>
            <w:r>
              <w:rPr>
                <w:rFonts w:hint="cs"/>
                <w:rtl/>
              </w:rPr>
              <w:tab/>
              <w:t>العاشر -</w:t>
            </w:r>
            <w:r>
              <w:rPr>
                <w:rtl/>
              </w:rPr>
              <w:tab/>
            </w:r>
            <w:r w:rsidR="00F0794D">
              <w:rPr>
                <w:rFonts w:hint="cs"/>
                <w:rtl/>
              </w:rPr>
              <w:t>المادة 10 (التعليم)</w:t>
            </w:r>
            <w:r w:rsidR="00F0794D">
              <w:rPr>
                <w:spacing w:val="60"/>
                <w:sz w:val="17"/>
                <w:rtl/>
              </w:rPr>
              <w:tab/>
            </w:r>
          </w:p>
        </w:tc>
        <w:tc>
          <w:tcPr>
            <w:tcW w:w="1166" w:type="dxa"/>
            <w:shd w:val="clear" w:color="auto" w:fill="auto"/>
            <w:vAlign w:val="bottom"/>
          </w:tcPr>
          <w:p w:rsidR="00482D71" w:rsidRPr="00482D71" w:rsidRDefault="006715CE" w:rsidP="00482D71">
            <w:pPr>
              <w:spacing w:after="120"/>
              <w:jc w:val="right"/>
              <w:rPr>
                <w:rFonts w:hint="cs"/>
                <w:rtl/>
              </w:rPr>
            </w:pPr>
            <w:r>
              <w:rPr>
                <w:rFonts w:hint="cs"/>
                <w:rtl/>
              </w:rPr>
              <w:t>194-</w:t>
            </w:r>
            <w:r w:rsidR="00854577">
              <w:rPr>
                <w:rFonts w:hint="cs"/>
                <w:rtl/>
              </w:rPr>
              <w:t>244</w:t>
            </w:r>
          </w:p>
        </w:tc>
        <w:tc>
          <w:tcPr>
            <w:tcW w:w="806" w:type="dxa"/>
            <w:shd w:val="clear" w:color="auto" w:fill="auto"/>
            <w:vAlign w:val="bottom"/>
          </w:tcPr>
          <w:p w:rsidR="00482D71" w:rsidRPr="00482D71" w:rsidRDefault="006715CE" w:rsidP="00482D71">
            <w:pPr>
              <w:spacing w:after="120"/>
              <w:jc w:val="right"/>
              <w:rPr>
                <w:rFonts w:hint="cs"/>
                <w:rtl/>
              </w:rPr>
            </w:pPr>
            <w:r>
              <w:rPr>
                <w:rFonts w:hint="cs"/>
                <w:rtl/>
              </w:rPr>
              <w:t>58</w:t>
            </w:r>
          </w:p>
        </w:tc>
      </w:tr>
      <w:tr w:rsidR="00482D71" w:rsidRPr="00482D71">
        <w:tblPrEx>
          <w:tblCellMar>
            <w:top w:w="0" w:type="dxa"/>
            <w:bottom w:w="0" w:type="dxa"/>
          </w:tblCellMar>
        </w:tblPrEx>
        <w:tc>
          <w:tcPr>
            <w:tcW w:w="7862" w:type="dxa"/>
            <w:gridSpan w:val="2"/>
            <w:shd w:val="clear" w:color="auto" w:fill="auto"/>
          </w:tcPr>
          <w:p w:rsidR="00482D71" w:rsidRPr="00F0794D" w:rsidRDefault="00482D71" w:rsidP="00F0794D">
            <w:pPr>
              <w:tabs>
                <w:tab w:val="right" w:pos="1080"/>
                <w:tab w:val="left" w:pos="1296"/>
                <w:tab w:val="left" w:pos="1728"/>
                <w:tab w:val="left" w:pos="2160"/>
                <w:tab w:val="left" w:pos="2592"/>
                <w:tab w:val="right" w:leader="dot" w:pos="7862"/>
              </w:tabs>
              <w:spacing w:after="120"/>
              <w:rPr>
                <w:rFonts w:hint="cs"/>
                <w:spacing w:val="60"/>
                <w:sz w:val="17"/>
                <w:rtl/>
              </w:rPr>
            </w:pPr>
            <w:r>
              <w:rPr>
                <w:rtl/>
              </w:rPr>
              <w:tab/>
            </w:r>
            <w:r w:rsidR="00F0794D">
              <w:rPr>
                <w:rFonts w:hint="cs"/>
                <w:rtl/>
              </w:rPr>
              <w:t>ال</w:t>
            </w:r>
            <w:r>
              <w:rPr>
                <w:rFonts w:hint="cs"/>
                <w:rtl/>
              </w:rPr>
              <w:t>حادي عشر -</w:t>
            </w:r>
            <w:r>
              <w:rPr>
                <w:rtl/>
              </w:rPr>
              <w:tab/>
            </w:r>
            <w:r w:rsidR="00F0794D">
              <w:rPr>
                <w:rFonts w:hint="cs"/>
                <w:rtl/>
              </w:rPr>
              <w:t>المادة 11 (التوظيف)</w:t>
            </w:r>
            <w:r w:rsidR="00F0794D">
              <w:rPr>
                <w:spacing w:val="60"/>
                <w:sz w:val="17"/>
                <w:rtl/>
              </w:rPr>
              <w:tab/>
            </w:r>
          </w:p>
        </w:tc>
        <w:tc>
          <w:tcPr>
            <w:tcW w:w="1166" w:type="dxa"/>
            <w:shd w:val="clear" w:color="auto" w:fill="auto"/>
            <w:vAlign w:val="bottom"/>
          </w:tcPr>
          <w:p w:rsidR="00482D71" w:rsidRPr="00482D71" w:rsidRDefault="00854577" w:rsidP="00482D71">
            <w:pPr>
              <w:spacing w:after="120"/>
              <w:jc w:val="right"/>
              <w:rPr>
                <w:rFonts w:hint="cs"/>
                <w:rtl/>
              </w:rPr>
            </w:pPr>
            <w:r>
              <w:rPr>
                <w:rFonts w:hint="cs"/>
                <w:rtl/>
              </w:rPr>
              <w:t>245-306</w:t>
            </w:r>
          </w:p>
        </w:tc>
        <w:tc>
          <w:tcPr>
            <w:tcW w:w="806" w:type="dxa"/>
            <w:shd w:val="clear" w:color="auto" w:fill="auto"/>
            <w:vAlign w:val="bottom"/>
          </w:tcPr>
          <w:p w:rsidR="00482D71" w:rsidRPr="00482D71" w:rsidRDefault="00854577" w:rsidP="00482D71">
            <w:pPr>
              <w:spacing w:after="120"/>
              <w:jc w:val="right"/>
              <w:rPr>
                <w:rFonts w:hint="cs"/>
                <w:rtl/>
              </w:rPr>
            </w:pPr>
            <w:r>
              <w:rPr>
                <w:rFonts w:hint="cs"/>
                <w:rtl/>
              </w:rPr>
              <w:t>74</w:t>
            </w:r>
          </w:p>
        </w:tc>
      </w:tr>
      <w:tr w:rsidR="00482D71" w:rsidRPr="00482D71">
        <w:tblPrEx>
          <w:tblCellMar>
            <w:top w:w="0" w:type="dxa"/>
            <w:bottom w:w="0" w:type="dxa"/>
          </w:tblCellMar>
        </w:tblPrEx>
        <w:tc>
          <w:tcPr>
            <w:tcW w:w="7862" w:type="dxa"/>
            <w:gridSpan w:val="2"/>
            <w:shd w:val="clear" w:color="auto" w:fill="auto"/>
          </w:tcPr>
          <w:p w:rsidR="00482D71" w:rsidRPr="00F0794D" w:rsidRDefault="00482D71" w:rsidP="00F0794D">
            <w:pPr>
              <w:tabs>
                <w:tab w:val="right" w:pos="1080"/>
                <w:tab w:val="left" w:pos="1296"/>
                <w:tab w:val="left" w:pos="1728"/>
                <w:tab w:val="left" w:pos="2160"/>
                <w:tab w:val="left" w:pos="2592"/>
                <w:tab w:val="right" w:leader="dot" w:pos="7862"/>
              </w:tabs>
              <w:spacing w:after="120"/>
              <w:rPr>
                <w:rFonts w:hint="cs"/>
                <w:spacing w:val="60"/>
                <w:sz w:val="17"/>
                <w:rtl/>
              </w:rPr>
            </w:pPr>
            <w:r>
              <w:rPr>
                <w:rFonts w:hint="cs"/>
                <w:rtl/>
              </w:rPr>
              <w:tab/>
            </w:r>
            <w:r w:rsidR="00F0794D">
              <w:rPr>
                <w:rFonts w:hint="cs"/>
                <w:rtl/>
              </w:rPr>
              <w:t>ال</w:t>
            </w:r>
            <w:r>
              <w:rPr>
                <w:rFonts w:hint="cs"/>
                <w:rtl/>
              </w:rPr>
              <w:t>ثاني عشر -</w:t>
            </w:r>
            <w:r>
              <w:rPr>
                <w:rtl/>
              </w:rPr>
              <w:tab/>
            </w:r>
            <w:r w:rsidR="00F0794D">
              <w:rPr>
                <w:rFonts w:hint="cs"/>
                <w:rtl/>
              </w:rPr>
              <w:t>المادة 12 (الصحة)</w:t>
            </w:r>
            <w:r w:rsidR="00F0794D">
              <w:rPr>
                <w:spacing w:val="60"/>
                <w:sz w:val="17"/>
                <w:rtl/>
              </w:rPr>
              <w:tab/>
            </w:r>
          </w:p>
        </w:tc>
        <w:tc>
          <w:tcPr>
            <w:tcW w:w="1166" w:type="dxa"/>
            <w:shd w:val="clear" w:color="auto" w:fill="auto"/>
            <w:vAlign w:val="bottom"/>
          </w:tcPr>
          <w:p w:rsidR="00482D71" w:rsidRPr="00482D71" w:rsidRDefault="00854577" w:rsidP="00482D71">
            <w:pPr>
              <w:spacing w:after="120"/>
              <w:jc w:val="right"/>
              <w:rPr>
                <w:rFonts w:hint="cs"/>
                <w:rtl/>
              </w:rPr>
            </w:pPr>
            <w:r>
              <w:rPr>
                <w:rFonts w:hint="cs"/>
                <w:rtl/>
              </w:rPr>
              <w:t>307-387</w:t>
            </w:r>
          </w:p>
        </w:tc>
        <w:tc>
          <w:tcPr>
            <w:tcW w:w="806" w:type="dxa"/>
            <w:shd w:val="clear" w:color="auto" w:fill="auto"/>
            <w:vAlign w:val="bottom"/>
          </w:tcPr>
          <w:p w:rsidR="00482D71" w:rsidRPr="00482D71" w:rsidRDefault="00854577" w:rsidP="00482D71">
            <w:pPr>
              <w:spacing w:after="120"/>
              <w:jc w:val="right"/>
              <w:rPr>
                <w:rFonts w:hint="cs"/>
                <w:rtl/>
              </w:rPr>
            </w:pPr>
            <w:r>
              <w:rPr>
                <w:rFonts w:hint="cs"/>
                <w:rtl/>
              </w:rPr>
              <w:t>90</w:t>
            </w:r>
          </w:p>
        </w:tc>
      </w:tr>
      <w:tr w:rsidR="00482D71" w:rsidRPr="00482D71">
        <w:tblPrEx>
          <w:tblCellMar>
            <w:top w:w="0" w:type="dxa"/>
            <w:bottom w:w="0" w:type="dxa"/>
          </w:tblCellMar>
        </w:tblPrEx>
        <w:tc>
          <w:tcPr>
            <w:tcW w:w="7862" w:type="dxa"/>
            <w:gridSpan w:val="2"/>
            <w:shd w:val="clear" w:color="auto" w:fill="auto"/>
          </w:tcPr>
          <w:p w:rsidR="00482D71" w:rsidRPr="00F0794D" w:rsidRDefault="00482D71" w:rsidP="00F0794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rPr>
                <w:rFonts w:hint="cs"/>
                <w:spacing w:val="60"/>
                <w:sz w:val="17"/>
                <w:rtl/>
              </w:rPr>
            </w:pPr>
            <w:r>
              <w:rPr>
                <w:rtl/>
              </w:rPr>
              <w:tab/>
            </w:r>
            <w:r w:rsidR="00F0794D">
              <w:rPr>
                <w:rFonts w:hint="cs"/>
                <w:rtl/>
              </w:rPr>
              <w:t>ال</w:t>
            </w:r>
            <w:r>
              <w:rPr>
                <w:rFonts w:hint="cs"/>
                <w:rtl/>
              </w:rPr>
              <w:t>ثالث عشر -</w:t>
            </w:r>
            <w:r>
              <w:rPr>
                <w:rtl/>
              </w:rPr>
              <w:tab/>
            </w:r>
            <w:r w:rsidR="00F0794D">
              <w:rPr>
                <w:rFonts w:hint="cs"/>
                <w:rtl/>
              </w:rPr>
              <w:t>المادة 13 (الحقوق الاقتصادية والاجتماعية والثقافية)</w:t>
            </w:r>
            <w:r w:rsidR="00F0794D">
              <w:rPr>
                <w:spacing w:val="60"/>
                <w:sz w:val="17"/>
                <w:rtl/>
              </w:rPr>
              <w:tab/>
            </w:r>
          </w:p>
        </w:tc>
        <w:tc>
          <w:tcPr>
            <w:tcW w:w="1166" w:type="dxa"/>
            <w:shd w:val="clear" w:color="auto" w:fill="auto"/>
            <w:vAlign w:val="bottom"/>
          </w:tcPr>
          <w:p w:rsidR="00482D71" w:rsidRPr="00482D71" w:rsidRDefault="00854577" w:rsidP="00482D71">
            <w:pPr>
              <w:spacing w:after="120"/>
              <w:jc w:val="right"/>
              <w:rPr>
                <w:rFonts w:hint="cs"/>
                <w:rtl/>
              </w:rPr>
            </w:pPr>
            <w:r>
              <w:rPr>
                <w:rFonts w:hint="cs"/>
                <w:rtl/>
              </w:rPr>
              <w:t>388-422</w:t>
            </w:r>
          </w:p>
        </w:tc>
        <w:tc>
          <w:tcPr>
            <w:tcW w:w="806" w:type="dxa"/>
            <w:shd w:val="clear" w:color="auto" w:fill="auto"/>
            <w:vAlign w:val="bottom"/>
          </w:tcPr>
          <w:p w:rsidR="00482D71" w:rsidRPr="00482D71" w:rsidRDefault="00854577" w:rsidP="00482D71">
            <w:pPr>
              <w:spacing w:after="120"/>
              <w:jc w:val="right"/>
              <w:rPr>
                <w:rFonts w:hint="cs"/>
                <w:rtl/>
              </w:rPr>
            </w:pPr>
            <w:r>
              <w:rPr>
                <w:rFonts w:hint="cs"/>
                <w:rtl/>
              </w:rPr>
              <w:t>113</w:t>
            </w:r>
          </w:p>
        </w:tc>
      </w:tr>
      <w:tr w:rsidR="00482D71" w:rsidRPr="00482D71">
        <w:tblPrEx>
          <w:tblCellMar>
            <w:top w:w="0" w:type="dxa"/>
            <w:bottom w:w="0" w:type="dxa"/>
          </w:tblCellMar>
        </w:tblPrEx>
        <w:tc>
          <w:tcPr>
            <w:tcW w:w="7862" w:type="dxa"/>
            <w:gridSpan w:val="2"/>
            <w:shd w:val="clear" w:color="auto" w:fill="auto"/>
          </w:tcPr>
          <w:p w:rsidR="00482D71" w:rsidRPr="00F0794D" w:rsidRDefault="00482D71" w:rsidP="00F0794D">
            <w:pPr>
              <w:tabs>
                <w:tab w:val="right" w:pos="1080"/>
                <w:tab w:val="left" w:pos="1296"/>
                <w:tab w:val="left" w:pos="1728"/>
                <w:tab w:val="left" w:pos="2160"/>
                <w:tab w:val="left" w:pos="2592"/>
                <w:tab w:val="left" w:pos="3024"/>
                <w:tab w:val="right" w:leader="dot" w:pos="7862"/>
              </w:tabs>
              <w:spacing w:after="120"/>
              <w:rPr>
                <w:rFonts w:hint="cs"/>
                <w:spacing w:val="60"/>
                <w:sz w:val="17"/>
                <w:rtl/>
              </w:rPr>
            </w:pPr>
            <w:r>
              <w:rPr>
                <w:rFonts w:hint="cs"/>
                <w:rtl/>
              </w:rPr>
              <w:tab/>
            </w:r>
            <w:r w:rsidR="00F0794D">
              <w:rPr>
                <w:rFonts w:hint="cs"/>
                <w:rtl/>
              </w:rPr>
              <w:t>ال</w:t>
            </w:r>
            <w:r>
              <w:rPr>
                <w:rFonts w:hint="cs"/>
                <w:rtl/>
              </w:rPr>
              <w:t>رابع عشر -</w:t>
            </w:r>
            <w:r>
              <w:rPr>
                <w:rtl/>
              </w:rPr>
              <w:tab/>
            </w:r>
            <w:r w:rsidR="00F0794D">
              <w:rPr>
                <w:rFonts w:hint="cs"/>
                <w:rtl/>
              </w:rPr>
              <w:t>المادة 14 (المرأة الريفية)</w:t>
            </w:r>
            <w:r w:rsidR="00F0794D">
              <w:rPr>
                <w:spacing w:val="60"/>
                <w:sz w:val="17"/>
                <w:rtl/>
              </w:rPr>
              <w:tab/>
            </w:r>
          </w:p>
        </w:tc>
        <w:tc>
          <w:tcPr>
            <w:tcW w:w="1166" w:type="dxa"/>
            <w:shd w:val="clear" w:color="auto" w:fill="auto"/>
            <w:vAlign w:val="bottom"/>
          </w:tcPr>
          <w:p w:rsidR="00482D71" w:rsidRPr="00482D71" w:rsidRDefault="00854577" w:rsidP="00482D71">
            <w:pPr>
              <w:spacing w:after="120"/>
              <w:jc w:val="right"/>
              <w:rPr>
                <w:rFonts w:hint="cs"/>
                <w:rtl/>
              </w:rPr>
            </w:pPr>
            <w:r>
              <w:rPr>
                <w:rFonts w:hint="cs"/>
                <w:rtl/>
              </w:rPr>
              <w:t>423-465</w:t>
            </w:r>
          </w:p>
        </w:tc>
        <w:tc>
          <w:tcPr>
            <w:tcW w:w="806" w:type="dxa"/>
            <w:shd w:val="clear" w:color="auto" w:fill="auto"/>
            <w:vAlign w:val="bottom"/>
          </w:tcPr>
          <w:p w:rsidR="00482D71" w:rsidRPr="00482D71" w:rsidRDefault="00854577" w:rsidP="00482D71">
            <w:pPr>
              <w:spacing w:after="120"/>
              <w:jc w:val="right"/>
              <w:rPr>
                <w:rFonts w:hint="cs"/>
                <w:rtl/>
              </w:rPr>
            </w:pPr>
            <w:r>
              <w:rPr>
                <w:rFonts w:hint="cs"/>
                <w:rtl/>
              </w:rPr>
              <w:t>122</w:t>
            </w:r>
          </w:p>
        </w:tc>
      </w:tr>
      <w:tr w:rsidR="00482D71" w:rsidRPr="00482D71">
        <w:tblPrEx>
          <w:tblCellMar>
            <w:top w:w="0" w:type="dxa"/>
            <w:bottom w:w="0" w:type="dxa"/>
          </w:tblCellMar>
        </w:tblPrEx>
        <w:tc>
          <w:tcPr>
            <w:tcW w:w="7862" w:type="dxa"/>
            <w:gridSpan w:val="2"/>
            <w:shd w:val="clear" w:color="auto" w:fill="auto"/>
          </w:tcPr>
          <w:p w:rsidR="00482D71" w:rsidRPr="00F0794D" w:rsidRDefault="00482D71" w:rsidP="00F0794D">
            <w:pPr>
              <w:tabs>
                <w:tab w:val="right" w:pos="1080"/>
                <w:tab w:val="left" w:pos="1296"/>
                <w:tab w:val="left" w:pos="1728"/>
                <w:tab w:val="left" w:pos="2160"/>
                <w:tab w:val="left" w:pos="2592"/>
                <w:tab w:val="left" w:pos="3024"/>
                <w:tab w:val="left" w:pos="3456"/>
                <w:tab w:val="right" w:leader="dot" w:pos="7862"/>
              </w:tabs>
              <w:spacing w:after="120"/>
              <w:rPr>
                <w:rFonts w:hint="cs"/>
                <w:spacing w:val="60"/>
                <w:sz w:val="17"/>
                <w:rtl/>
              </w:rPr>
            </w:pPr>
            <w:r>
              <w:rPr>
                <w:rtl/>
              </w:rPr>
              <w:tab/>
            </w:r>
            <w:r w:rsidR="00F0794D">
              <w:rPr>
                <w:rFonts w:hint="cs"/>
                <w:rtl/>
              </w:rPr>
              <w:t>ال</w:t>
            </w:r>
            <w:r>
              <w:rPr>
                <w:rFonts w:hint="cs"/>
                <w:rtl/>
              </w:rPr>
              <w:t>خامس عشر -</w:t>
            </w:r>
            <w:r>
              <w:rPr>
                <w:rtl/>
              </w:rPr>
              <w:tab/>
            </w:r>
            <w:r w:rsidR="00F0794D">
              <w:rPr>
                <w:rFonts w:hint="cs"/>
                <w:rtl/>
              </w:rPr>
              <w:t>المادة 15 (المساواة أمام القانون)</w:t>
            </w:r>
            <w:r w:rsidR="00F0794D">
              <w:rPr>
                <w:spacing w:val="60"/>
                <w:sz w:val="17"/>
                <w:rtl/>
              </w:rPr>
              <w:tab/>
            </w:r>
          </w:p>
        </w:tc>
        <w:tc>
          <w:tcPr>
            <w:tcW w:w="1166" w:type="dxa"/>
            <w:shd w:val="clear" w:color="auto" w:fill="auto"/>
            <w:vAlign w:val="bottom"/>
          </w:tcPr>
          <w:p w:rsidR="00482D71" w:rsidRPr="00482D71" w:rsidRDefault="00854577" w:rsidP="00482D71">
            <w:pPr>
              <w:spacing w:after="120"/>
              <w:jc w:val="right"/>
              <w:rPr>
                <w:rFonts w:hint="cs"/>
                <w:rtl/>
              </w:rPr>
            </w:pPr>
            <w:r>
              <w:rPr>
                <w:rFonts w:hint="cs"/>
                <w:rtl/>
              </w:rPr>
              <w:t>466-491</w:t>
            </w:r>
          </w:p>
        </w:tc>
        <w:tc>
          <w:tcPr>
            <w:tcW w:w="806" w:type="dxa"/>
            <w:shd w:val="clear" w:color="auto" w:fill="auto"/>
            <w:vAlign w:val="bottom"/>
          </w:tcPr>
          <w:p w:rsidR="00482D71" w:rsidRPr="00482D71" w:rsidRDefault="00854577" w:rsidP="00482D71">
            <w:pPr>
              <w:spacing w:after="120"/>
              <w:jc w:val="right"/>
              <w:rPr>
                <w:rFonts w:hint="cs"/>
                <w:rtl/>
              </w:rPr>
            </w:pPr>
            <w:r>
              <w:rPr>
                <w:rFonts w:hint="cs"/>
                <w:rtl/>
              </w:rPr>
              <w:t>135</w:t>
            </w:r>
          </w:p>
        </w:tc>
      </w:tr>
      <w:tr w:rsidR="00482D71" w:rsidRPr="00482D71">
        <w:tblPrEx>
          <w:tblCellMar>
            <w:top w:w="0" w:type="dxa"/>
            <w:bottom w:w="0" w:type="dxa"/>
          </w:tblCellMar>
        </w:tblPrEx>
        <w:tc>
          <w:tcPr>
            <w:tcW w:w="7862" w:type="dxa"/>
            <w:gridSpan w:val="2"/>
            <w:shd w:val="clear" w:color="auto" w:fill="auto"/>
          </w:tcPr>
          <w:p w:rsidR="00482D71" w:rsidRPr="00F0794D" w:rsidRDefault="00482D71" w:rsidP="00F0794D">
            <w:pPr>
              <w:tabs>
                <w:tab w:val="right" w:pos="1080"/>
                <w:tab w:val="left" w:pos="1296"/>
                <w:tab w:val="left" w:pos="1728"/>
                <w:tab w:val="left" w:pos="2160"/>
                <w:tab w:val="left" w:pos="2592"/>
                <w:tab w:val="left" w:pos="3024"/>
                <w:tab w:val="left" w:pos="3456"/>
                <w:tab w:val="left" w:pos="3888"/>
                <w:tab w:val="right" w:leader="dot" w:pos="7862"/>
              </w:tabs>
              <w:spacing w:after="120"/>
              <w:rPr>
                <w:rFonts w:hint="cs"/>
                <w:spacing w:val="60"/>
                <w:sz w:val="17"/>
                <w:rtl/>
              </w:rPr>
            </w:pPr>
            <w:r>
              <w:rPr>
                <w:rFonts w:hint="cs"/>
                <w:rtl/>
              </w:rPr>
              <w:tab/>
            </w:r>
            <w:r w:rsidR="00F0794D">
              <w:rPr>
                <w:rFonts w:hint="cs"/>
                <w:rtl/>
              </w:rPr>
              <w:t>ال</w:t>
            </w:r>
            <w:r>
              <w:rPr>
                <w:rFonts w:hint="cs"/>
                <w:rtl/>
              </w:rPr>
              <w:t>سادس عشر -</w:t>
            </w:r>
            <w:r w:rsidR="00F0794D">
              <w:rPr>
                <w:rtl/>
              </w:rPr>
              <w:tab/>
            </w:r>
            <w:r w:rsidR="00F0794D">
              <w:rPr>
                <w:rFonts w:hint="cs"/>
                <w:rtl/>
              </w:rPr>
              <w:t>المادة 16 (المساواة في المسائل العائلية)</w:t>
            </w:r>
            <w:r w:rsidR="00F0794D">
              <w:rPr>
                <w:spacing w:val="60"/>
                <w:sz w:val="17"/>
                <w:rtl/>
              </w:rPr>
              <w:tab/>
            </w:r>
          </w:p>
        </w:tc>
        <w:tc>
          <w:tcPr>
            <w:tcW w:w="1166" w:type="dxa"/>
            <w:shd w:val="clear" w:color="auto" w:fill="auto"/>
            <w:vAlign w:val="bottom"/>
          </w:tcPr>
          <w:p w:rsidR="00482D71" w:rsidRPr="00482D71" w:rsidRDefault="00854577" w:rsidP="00482D71">
            <w:pPr>
              <w:spacing w:after="120"/>
              <w:jc w:val="right"/>
              <w:rPr>
                <w:rFonts w:hint="cs"/>
                <w:rtl/>
              </w:rPr>
            </w:pPr>
            <w:r>
              <w:rPr>
                <w:rFonts w:hint="cs"/>
                <w:rtl/>
              </w:rPr>
              <w:t>492-509</w:t>
            </w:r>
          </w:p>
        </w:tc>
        <w:tc>
          <w:tcPr>
            <w:tcW w:w="806" w:type="dxa"/>
            <w:shd w:val="clear" w:color="auto" w:fill="auto"/>
            <w:vAlign w:val="bottom"/>
          </w:tcPr>
          <w:p w:rsidR="00482D71" w:rsidRPr="00482D71" w:rsidRDefault="00854577" w:rsidP="00482D71">
            <w:pPr>
              <w:spacing w:after="120"/>
              <w:jc w:val="right"/>
              <w:rPr>
                <w:rFonts w:hint="cs"/>
                <w:rtl/>
              </w:rPr>
            </w:pPr>
            <w:r>
              <w:rPr>
                <w:rFonts w:hint="cs"/>
                <w:rtl/>
              </w:rPr>
              <w:t>140</w:t>
            </w:r>
          </w:p>
        </w:tc>
      </w:tr>
      <w:tr w:rsidR="00482D71" w:rsidRPr="00482D71">
        <w:tblPrEx>
          <w:tblCellMar>
            <w:top w:w="0" w:type="dxa"/>
            <w:bottom w:w="0" w:type="dxa"/>
          </w:tblCellMar>
        </w:tblPrEx>
        <w:tc>
          <w:tcPr>
            <w:tcW w:w="7862" w:type="dxa"/>
            <w:gridSpan w:val="2"/>
            <w:shd w:val="clear" w:color="auto" w:fill="auto"/>
          </w:tcPr>
          <w:p w:rsidR="00482D71" w:rsidRPr="00F0794D" w:rsidRDefault="00482D71" w:rsidP="00F0794D">
            <w:pPr>
              <w:tabs>
                <w:tab w:val="right" w:pos="1080"/>
                <w:tab w:val="left" w:pos="1296"/>
                <w:tab w:val="left" w:pos="1728"/>
                <w:tab w:val="left" w:pos="2160"/>
                <w:tab w:val="right" w:leader="dot" w:pos="7862"/>
              </w:tabs>
              <w:spacing w:after="120"/>
              <w:rPr>
                <w:rFonts w:hint="cs"/>
                <w:spacing w:val="60"/>
                <w:sz w:val="17"/>
                <w:rtl/>
              </w:rPr>
            </w:pPr>
            <w:r>
              <w:rPr>
                <w:rtl/>
              </w:rPr>
              <w:tab/>
            </w:r>
            <w:r w:rsidR="00F0794D">
              <w:rPr>
                <w:rFonts w:hint="cs"/>
                <w:rtl/>
              </w:rPr>
              <w:t>ال</w:t>
            </w:r>
            <w:r>
              <w:rPr>
                <w:rFonts w:hint="cs"/>
                <w:rtl/>
              </w:rPr>
              <w:t>سابع عشر -</w:t>
            </w:r>
            <w:r>
              <w:rPr>
                <w:rtl/>
              </w:rPr>
              <w:tab/>
            </w:r>
            <w:r w:rsidR="00F0794D">
              <w:rPr>
                <w:rFonts w:hint="cs"/>
                <w:rtl/>
              </w:rPr>
              <w:t>العنف ضد المرأة</w:t>
            </w:r>
            <w:r w:rsidR="00F0794D">
              <w:rPr>
                <w:spacing w:val="60"/>
                <w:sz w:val="17"/>
                <w:rtl/>
              </w:rPr>
              <w:tab/>
            </w:r>
          </w:p>
        </w:tc>
        <w:tc>
          <w:tcPr>
            <w:tcW w:w="1166" w:type="dxa"/>
            <w:shd w:val="clear" w:color="auto" w:fill="auto"/>
            <w:vAlign w:val="bottom"/>
          </w:tcPr>
          <w:p w:rsidR="00482D71" w:rsidRPr="00482D71" w:rsidRDefault="00854577" w:rsidP="00482D71">
            <w:pPr>
              <w:spacing w:after="120"/>
              <w:jc w:val="right"/>
              <w:rPr>
                <w:rFonts w:hint="cs"/>
                <w:rtl/>
              </w:rPr>
            </w:pPr>
            <w:r>
              <w:rPr>
                <w:rFonts w:hint="cs"/>
                <w:rtl/>
              </w:rPr>
              <w:t>510-557</w:t>
            </w:r>
          </w:p>
        </w:tc>
        <w:tc>
          <w:tcPr>
            <w:tcW w:w="806" w:type="dxa"/>
            <w:shd w:val="clear" w:color="auto" w:fill="auto"/>
            <w:vAlign w:val="bottom"/>
          </w:tcPr>
          <w:p w:rsidR="00482D71" w:rsidRPr="00482D71" w:rsidRDefault="00854577" w:rsidP="00482D71">
            <w:pPr>
              <w:spacing w:after="120"/>
              <w:jc w:val="right"/>
              <w:rPr>
                <w:rFonts w:hint="cs"/>
                <w:rtl/>
              </w:rPr>
            </w:pPr>
            <w:r>
              <w:rPr>
                <w:rFonts w:hint="cs"/>
                <w:rtl/>
              </w:rPr>
              <w:t>144</w:t>
            </w:r>
          </w:p>
        </w:tc>
      </w:tr>
    </w:tbl>
    <w:p w:rsidR="00482D71" w:rsidRDefault="00482D71" w:rsidP="00955DDA">
      <w:pPr>
        <w:pStyle w:val="SingleTxt"/>
        <w:rPr>
          <w:rFonts w:hint="cs"/>
          <w:rtl/>
        </w:rPr>
      </w:pPr>
    </w:p>
    <w:p w:rsidR="00955DDA" w:rsidRDefault="00955DDA" w:rsidP="00DF57A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تصدي</w:t>
      </w:r>
      <w:r w:rsidR="00DF57A9">
        <w:rPr>
          <w:rFonts w:hint="cs"/>
          <w:rtl/>
        </w:rPr>
        <w:t>ر</w:t>
      </w:r>
    </w:p>
    <w:p w:rsidR="00955DDA" w:rsidRDefault="00955DDA" w:rsidP="00955DDA">
      <w:pPr>
        <w:pStyle w:val="SingleTxt"/>
        <w:rPr>
          <w:rFonts w:hint="cs"/>
          <w:rtl/>
        </w:rPr>
      </w:pPr>
      <w:r>
        <w:rPr>
          <w:rFonts w:hint="cs"/>
          <w:rtl/>
        </w:rPr>
        <w:t>صدقت باكستان على اتفاقية القضاء على جميع أشكال التمييز ضد المرأة في 12 نيسان/أبريل 1996. وكان من المقرر تقديم تقرير عن الامتثال للاتفاقية في غضون سنة ولكن لم يتسن تقديم هذا التقرير بالإضافة إلى تقريرين دوريين لاحقين. وقد عملت وزارة تنمية المرأة على إعداد هذا التقرير لمدة تزيد عن سنة من أجل تجميع واستكمال البيانات الوطنية والإقليمية والمشتركة بين القطاعات بما في ذلك ما ساهم به المجتمع المدني في مجال مكافحة التمييز ضد المرأة. ويغطي التقرير الفترة حتى كانون الأول/ديسمبر 2004.</w:t>
      </w:r>
    </w:p>
    <w:p w:rsidR="00955DDA" w:rsidRDefault="00955DDA" w:rsidP="00955DDA">
      <w:pPr>
        <w:pStyle w:val="SingleTxt"/>
        <w:rPr>
          <w:rFonts w:hint="cs"/>
          <w:rtl/>
        </w:rPr>
      </w:pPr>
      <w:r>
        <w:rPr>
          <w:rFonts w:hint="cs"/>
          <w:rtl/>
        </w:rPr>
        <w:t>وهذه الوثيقة نتاج عملية استشارية وطنية محكمة، أعدت خلالها عدة مسودات وتم تعديلها وصقلها. وجرت مناقشة التقرير في عدة محافل مشتركة بين الوزارات والمجتمع المدني. واعترافا بحق مواطني باكستان، نشر التقرير على الموقع الشبكي للوزارة، ودعي الجمهور إلى تقديم التعليقات من خلال إعلانات نُشرت في الصحافة الوطنية وعلى البريد الإلكتروني. مما أدى إلى مناقشات كثيرة ساعدت على صقل النسخة النهائية.</w:t>
      </w:r>
    </w:p>
    <w:p w:rsidR="00955DDA" w:rsidRDefault="00955DDA" w:rsidP="00955DDA">
      <w:pPr>
        <w:pStyle w:val="SingleTxt"/>
        <w:rPr>
          <w:rFonts w:hint="cs"/>
          <w:rtl/>
        </w:rPr>
      </w:pPr>
      <w:r>
        <w:rPr>
          <w:rFonts w:hint="cs"/>
          <w:rtl/>
        </w:rPr>
        <w:t xml:space="preserve">ويسعى التقرير إلى وضع ملامح الوضع الفعلي على أرض الواقع ويوضح منظور الحكومة فيما يتعلق بالمواد </w:t>
      </w:r>
      <w:proofErr w:type="spellStart"/>
      <w:r>
        <w:rPr>
          <w:rFonts w:hint="cs"/>
          <w:rtl/>
        </w:rPr>
        <w:t>الـ</w:t>
      </w:r>
      <w:proofErr w:type="spellEnd"/>
      <w:r>
        <w:rPr>
          <w:rFonts w:hint="cs"/>
          <w:rtl/>
        </w:rPr>
        <w:t xml:space="preserve"> 16 لمنطوق الاتفاقية.</w:t>
      </w:r>
    </w:p>
    <w:p w:rsidR="00955DDA" w:rsidRDefault="00955DDA" w:rsidP="00955DDA">
      <w:pPr>
        <w:pStyle w:val="SingleTxt"/>
        <w:rPr>
          <w:rFonts w:hint="cs"/>
          <w:rtl/>
        </w:rPr>
      </w:pPr>
      <w:r>
        <w:rPr>
          <w:rFonts w:hint="cs"/>
          <w:rtl/>
        </w:rPr>
        <w:t>ختاما، عرض التقرير على اللجنة الدائمة للجمعية الوطنية لشؤون المرأة التي اعتمدته بعد مناقشته والنظر فيه على النحو الواجب في جلسة عقدت يوم 7 شباط/فبراير 2005.</w:t>
      </w:r>
    </w:p>
    <w:p w:rsidR="00955DDA" w:rsidRDefault="00955DDA" w:rsidP="00955DDA">
      <w:pPr>
        <w:pStyle w:val="SingleTxt"/>
        <w:rPr>
          <w:rFonts w:hint="cs"/>
          <w:rtl/>
        </w:rPr>
      </w:pPr>
      <w:r>
        <w:rPr>
          <w:rFonts w:hint="cs"/>
          <w:rtl/>
        </w:rPr>
        <w:t xml:space="preserve">ويرجى أن يساعد هذا التقرير على تفهم المجتمع العالمي، بصورة أفضل، للاتجاهات الموجودة والناشئة في المجتمع الباكستاني، على درب المساواة بين الجنسين </w:t>
      </w:r>
    </w:p>
    <w:p w:rsidR="00955DDA" w:rsidRDefault="00955DDA" w:rsidP="00955DD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الفصل الأول</w:t>
      </w:r>
    </w:p>
    <w:p w:rsidR="00955DDA" w:rsidRDefault="00FE1E42" w:rsidP="00955DD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955DDA">
        <w:rPr>
          <w:rFonts w:hint="cs"/>
          <w:rtl/>
        </w:rPr>
        <w:t>مقدمة</w:t>
      </w:r>
    </w:p>
    <w:p w:rsidR="00955DDA" w:rsidRDefault="00955DDA" w:rsidP="00955DDA">
      <w:pPr>
        <w:pStyle w:val="SingleTxt"/>
        <w:rPr>
          <w:rFonts w:hint="cs"/>
          <w:rtl/>
        </w:rPr>
      </w:pPr>
      <w:r>
        <w:rPr>
          <w:rFonts w:hint="cs"/>
          <w:rtl/>
        </w:rPr>
        <w:t>1 -</w:t>
      </w:r>
      <w:r>
        <w:rPr>
          <w:rFonts w:hint="cs"/>
          <w:rtl/>
        </w:rPr>
        <w:tab/>
        <w:t>انضمت باكستان إلى اتفاقية القضاء على جميع أشكال التمييز ضد المرأة في 12 نيسان/أبريل 1999، وذلك مع تقديم بيان وإدراج تحفظ على المادة 29 (1):</w:t>
      </w:r>
    </w:p>
    <w:p w:rsidR="00955DDA" w:rsidRDefault="00955DDA" w:rsidP="00955DDA">
      <w:pPr>
        <w:pStyle w:val="SingleTxt"/>
        <w:rPr>
          <w:rFonts w:hint="cs"/>
          <w:rtl/>
        </w:rPr>
      </w:pPr>
      <w:r>
        <w:rPr>
          <w:rFonts w:hint="cs"/>
          <w:rtl/>
        </w:rPr>
        <w:tab/>
        <w:t>(أ)</w:t>
      </w:r>
      <w:r>
        <w:rPr>
          <w:rFonts w:hint="cs"/>
          <w:rtl/>
        </w:rPr>
        <w:tab/>
        <w:t xml:space="preserve">بيان </w:t>
      </w:r>
      <w:r>
        <w:rPr>
          <w:rFonts w:hint="eastAsia"/>
          <w:rtl/>
        </w:rPr>
        <w:t>”يخضع انضمام جمهورية باكستان الإسلامية إلى الاتفاقية المذكورة لأحكام دستور جمهورية باكستان الإسلامية</w:t>
      </w:r>
      <w:r>
        <w:rPr>
          <w:rFonts w:hint="cs"/>
          <w:rtl/>
        </w:rPr>
        <w:t>“.</w:t>
      </w:r>
    </w:p>
    <w:p w:rsidR="00955DDA" w:rsidRDefault="00955DDA" w:rsidP="00955DDA">
      <w:pPr>
        <w:pStyle w:val="SingleTxt"/>
        <w:rPr>
          <w:rFonts w:hint="cs"/>
          <w:rtl/>
        </w:rPr>
      </w:pPr>
      <w:r>
        <w:rPr>
          <w:rFonts w:hint="cs"/>
          <w:rtl/>
        </w:rPr>
        <w:tab/>
        <w:t>(ب)</w:t>
      </w:r>
      <w:r>
        <w:rPr>
          <w:rFonts w:hint="cs"/>
          <w:rtl/>
        </w:rPr>
        <w:tab/>
        <w:t xml:space="preserve">تحفظ </w:t>
      </w:r>
      <w:r>
        <w:rPr>
          <w:rFonts w:hint="eastAsia"/>
          <w:rtl/>
        </w:rPr>
        <w:t>”تعلن جمهورية باكستان الإسلامية أنها لا تعتبر نفسها ملزمة بالفقرة 1 من المادة 29 من الاتفاقية</w:t>
      </w:r>
      <w:r>
        <w:rPr>
          <w:rFonts w:hint="cs"/>
          <w:rtl/>
        </w:rPr>
        <w:t>“.</w:t>
      </w:r>
    </w:p>
    <w:p w:rsidR="00955DDA" w:rsidRPr="00955DDA" w:rsidRDefault="00955DDA" w:rsidP="00955DDA">
      <w:pPr>
        <w:pStyle w:val="SingleTxt"/>
        <w:spacing w:after="0" w:line="120" w:lineRule="exact"/>
        <w:rPr>
          <w:rFonts w:hint="cs"/>
          <w:sz w:val="10"/>
          <w:rtl/>
        </w:rPr>
      </w:pPr>
    </w:p>
    <w:p w:rsidR="00955DDA" w:rsidRDefault="00955DDA" w:rsidP="00955D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سبب البيان والتحفظ وأثرهما على تنفيذ الاتفاقية</w:t>
      </w:r>
    </w:p>
    <w:p w:rsidR="00955DDA" w:rsidRDefault="00955DDA" w:rsidP="00DF57A9">
      <w:pPr>
        <w:pStyle w:val="SingleTxt"/>
        <w:rPr>
          <w:rFonts w:hint="cs"/>
          <w:rtl/>
        </w:rPr>
      </w:pPr>
      <w:r>
        <w:rPr>
          <w:rFonts w:hint="cs"/>
          <w:rtl/>
        </w:rPr>
        <w:t>2 -</w:t>
      </w:r>
      <w:r>
        <w:rPr>
          <w:rFonts w:hint="cs"/>
          <w:rtl/>
        </w:rPr>
        <w:tab/>
        <w:t>يَسَّر البيان انضمام باكستان إلى الاتفاقية ويم</w:t>
      </w:r>
      <w:r w:rsidR="00DF57A9">
        <w:rPr>
          <w:rFonts w:hint="cs"/>
          <w:rtl/>
        </w:rPr>
        <w:t>ثل</w:t>
      </w:r>
      <w:r>
        <w:rPr>
          <w:rFonts w:hint="cs"/>
          <w:rtl/>
        </w:rPr>
        <w:t xml:space="preserve"> الوضع القانوني بشأن هذه المسألة. ويتفق التحفظ على الفقرة 1 من المادة 29 مع موقف باكستان العام حول اختصاص محكمة العدل الدولية.</w:t>
      </w:r>
    </w:p>
    <w:p w:rsidR="00955DDA" w:rsidRDefault="00955DDA" w:rsidP="00955DDA">
      <w:pPr>
        <w:pStyle w:val="SingleTxt"/>
        <w:rPr>
          <w:rFonts w:hint="cs"/>
          <w:rtl/>
        </w:rPr>
      </w:pPr>
      <w:r>
        <w:rPr>
          <w:rFonts w:hint="cs"/>
          <w:rtl/>
        </w:rPr>
        <w:t>3 -</w:t>
      </w:r>
      <w:r>
        <w:rPr>
          <w:rFonts w:hint="cs"/>
          <w:rtl/>
        </w:rPr>
        <w:tab/>
        <w:t>وقد تمت صياغة البيان بعناية. إذ كان الغرض منه عدم معارضة هدف الاتفاقية ومقصدها مع التخفيف من قلق الذين لديهم شكوك بشأن الاتفاقية. فقد كان إخضاع تنفيذ الاتفاقية لدستور باكستان مسارا معقولا.</w:t>
      </w:r>
    </w:p>
    <w:p w:rsidR="00955DDA" w:rsidRDefault="00955DDA" w:rsidP="00955DDA">
      <w:pPr>
        <w:pStyle w:val="SingleTxt"/>
        <w:rPr>
          <w:rFonts w:hint="cs"/>
          <w:rtl/>
        </w:rPr>
      </w:pPr>
      <w:r>
        <w:rPr>
          <w:rFonts w:hint="cs"/>
          <w:rtl/>
        </w:rPr>
        <w:t>4 -</w:t>
      </w:r>
      <w:r>
        <w:rPr>
          <w:rFonts w:hint="cs"/>
          <w:rtl/>
        </w:rPr>
        <w:tab/>
        <w:t xml:space="preserve">وكان دستور باكستان قد اعتمد في سنة 1973، واستفاد واضعوه من دراسة الإعلان العالمي لحقوق الإنسان والاتفاقية الدولية للقضاء على جميع أشكال التمييز العنصري، والعهد الدولي الخاص بالحقوق المدنية والسياسية والعهد الدولي الخاص بالحقوق الاقتصادية والاجتماعية والثقافية - وهي أهم صكوك دولية لحقوق الإنسان كانت موجودة في ذلك الوقت. وينعكس عدد كبير من المبادئ الواردة في هذه الوثائق في </w:t>
      </w:r>
      <w:r w:rsidR="00E26084">
        <w:rPr>
          <w:rFonts w:hint="cs"/>
          <w:rtl/>
        </w:rPr>
        <w:t>الدستور ولذلك يمكن القول بأن مضمون البيان لم يؤثر تأثيرا سلبيا على تنفيذ الاتفاقية مع تمكين باكستان من الانضمام إليها، في الوقت نفسه.</w:t>
      </w:r>
    </w:p>
    <w:p w:rsidR="00E26084" w:rsidRDefault="00E26084" w:rsidP="00955DDA">
      <w:pPr>
        <w:pStyle w:val="SingleTxt"/>
        <w:rPr>
          <w:rFonts w:hint="cs"/>
          <w:rtl/>
        </w:rPr>
      </w:pPr>
      <w:r>
        <w:rPr>
          <w:rFonts w:hint="cs"/>
          <w:rtl/>
        </w:rPr>
        <w:t>5 -</w:t>
      </w:r>
      <w:r>
        <w:rPr>
          <w:rFonts w:hint="cs"/>
          <w:rtl/>
        </w:rPr>
        <w:tab/>
        <w:t>ولا توجد هناك، على ما يبدو، إجراءات تشريعية أو سياسية أو إدارية اتخذتها الحكومة وتتعارض مع أحكام الاتفاقية، في الممارسة، على أساس البيان. ولا تعزى أوجه القصور في تنفيذ الاتفاقية، وهي أ</w:t>
      </w:r>
      <w:r w:rsidR="00DF57A9">
        <w:rPr>
          <w:rFonts w:hint="cs"/>
          <w:rtl/>
        </w:rPr>
        <w:t>م</w:t>
      </w:r>
      <w:r>
        <w:rPr>
          <w:rFonts w:hint="cs"/>
          <w:rtl/>
        </w:rPr>
        <w:t>ر لا بد منه في أي بلد، إلى البيان، بصورة مباشرة.</w:t>
      </w:r>
    </w:p>
    <w:p w:rsidR="00E26084" w:rsidRPr="00E26084" w:rsidRDefault="00E26084" w:rsidP="00E26084">
      <w:pPr>
        <w:pStyle w:val="SingleTxt"/>
        <w:spacing w:after="0" w:line="120" w:lineRule="exact"/>
        <w:rPr>
          <w:rFonts w:hint="cs"/>
          <w:sz w:val="10"/>
          <w:rtl/>
        </w:rPr>
      </w:pPr>
    </w:p>
    <w:p w:rsidR="00E26084" w:rsidRDefault="00FE1E42" w:rsidP="00E260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26084">
        <w:rPr>
          <w:rFonts w:hint="cs"/>
          <w:rtl/>
        </w:rPr>
        <w:t>معلومات عن التحفظات والبيانات المدرجة فيما يتصل بالالتزامات المماثلة في معاهدات حقوق الإنسان الأخرى</w:t>
      </w:r>
    </w:p>
    <w:p w:rsidR="00E26084" w:rsidRDefault="00E26084" w:rsidP="00E26084">
      <w:pPr>
        <w:pStyle w:val="SingleTxt"/>
        <w:rPr>
          <w:rFonts w:hint="cs"/>
          <w:rtl/>
        </w:rPr>
      </w:pPr>
      <w:r>
        <w:rPr>
          <w:rFonts w:hint="cs"/>
          <w:rtl/>
        </w:rPr>
        <w:t>6 -</w:t>
      </w:r>
      <w:r>
        <w:rPr>
          <w:rFonts w:hint="cs"/>
          <w:rtl/>
        </w:rPr>
        <w:tab/>
        <w:t>صدقت باكستان على اتفاقية الأمم المتحدة لحقوق الطفل في تشرين الثاني/نوفمبر 1990، مع إدراج تحفظ عام على الاتفاقية على النحو التالي ”تفسَّر أحكام الاتفاقية على ضوء مبادئ الشريعة الإسلامية وقيمها“. وسحبت باكستان تحفظها في 23 تموز/يوليه 1997. وبذلك، يلاحظ أن باكستان تبقي التحفظات/البيانات التي تدرجها بشأن معاهدات حقوق الإنسان قيد الاستعراض. وقد طلبت وزارة تنمية المرأة من اللجنة الوطنية لوضع المرأة أن تدرس البيان المقدم من باكستان بشأن اتفاقية القضاء على جميع أشكال التمييز ضد المرأة وأن تبدي آرائها فيما إذا كان من الممكن سحب البيان.</w:t>
      </w:r>
    </w:p>
    <w:p w:rsidR="00E26084" w:rsidRPr="00E26084" w:rsidRDefault="00E26084" w:rsidP="00E26084">
      <w:pPr>
        <w:pStyle w:val="SingleTxt"/>
        <w:spacing w:after="0" w:line="120" w:lineRule="exact"/>
        <w:rPr>
          <w:rFonts w:hint="cs"/>
          <w:sz w:val="10"/>
          <w:rtl/>
        </w:rPr>
      </w:pPr>
    </w:p>
    <w:p w:rsidR="00E26084" w:rsidRDefault="00E26084" w:rsidP="00E260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ملامح عامة للبلد</w:t>
      </w:r>
    </w:p>
    <w:p w:rsidR="00E26084" w:rsidRDefault="00E26084" w:rsidP="00E26084">
      <w:pPr>
        <w:pStyle w:val="SingleTxt"/>
        <w:rPr>
          <w:rFonts w:hint="cs"/>
          <w:rtl/>
        </w:rPr>
      </w:pPr>
      <w:r>
        <w:rPr>
          <w:rFonts w:hint="cs"/>
          <w:rtl/>
        </w:rPr>
        <w:t>7 -</w:t>
      </w:r>
      <w:r>
        <w:rPr>
          <w:rFonts w:hint="cs"/>
          <w:rtl/>
        </w:rPr>
        <w:tab/>
        <w:t>نالت باكستان الاستقلال في 14 آب/أغسطس 1947، بعد تقسيم الهند البريطانية السابقة.</w:t>
      </w:r>
    </w:p>
    <w:p w:rsidR="00E26084" w:rsidRDefault="00E26084" w:rsidP="00E26084">
      <w:pPr>
        <w:pStyle w:val="SingleTxt"/>
        <w:rPr>
          <w:rFonts w:hint="cs"/>
          <w:rtl/>
        </w:rPr>
      </w:pPr>
      <w:r>
        <w:rPr>
          <w:rFonts w:hint="cs"/>
          <w:rtl/>
        </w:rPr>
        <w:t>8 -</w:t>
      </w:r>
      <w:r>
        <w:rPr>
          <w:rFonts w:hint="cs"/>
          <w:rtl/>
        </w:rPr>
        <w:tab/>
        <w:t xml:space="preserve">وتقع باكستان بين خطي عرض 23-42 و 36-55 شمالا وخطي طول 60-45 و 75-20 شرقا. وهي تلامس جبال </w:t>
      </w:r>
      <w:proofErr w:type="spellStart"/>
      <w:r>
        <w:rPr>
          <w:rFonts w:hint="cs"/>
          <w:rtl/>
        </w:rPr>
        <w:t>هندكوش</w:t>
      </w:r>
      <w:proofErr w:type="spellEnd"/>
      <w:r>
        <w:rPr>
          <w:rFonts w:hint="cs"/>
          <w:rtl/>
        </w:rPr>
        <w:t xml:space="preserve"> في الشمال وتمتد من </w:t>
      </w:r>
      <w:proofErr w:type="spellStart"/>
      <w:r>
        <w:rPr>
          <w:rFonts w:hint="cs"/>
          <w:rtl/>
        </w:rPr>
        <w:t>بامير</w:t>
      </w:r>
      <w:proofErr w:type="spellEnd"/>
      <w:r>
        <w:rPr>
          <w:rFonts w:hint="cs"/>
          <w:rtl/>
        </w:rPr>
        <w:t xml:space="preserve"> إلى بحر العرب. وتحدها إيران في الغرب وأفغانستان في الشمال الغربي والهند في الشرق والجنوب الشرقي وبحر العرب في الجنوب. وهناك حدود مشتركة مع الصين على طول </w:t>
      </w:r>
      <w:proofErr w:type="spellStart"/>
      <w:r>
        <w:rPr>
          <w:rFonts w:hint="cs"/>
          <w:rtl/>
        </w:rPr>
        <w:t>غلغيت</w:t>
      </w:r>
      <w:proofErr w:type="spellEnd"/>
      <w:r>
        <w:rPr>
          <w:rFonts w:hint="cs"/>
          <w:rtl/>
        </w:rPr>
        <w:t xml:space="preserve"> </w:t>
      </w:r>
      <w:proofErr w:type="spellStart"/>
      <w:r>
        <w:rPr>
          <w:rFonts w:hint="cs"/>
          <w:rtl/>
        </w:rPr>
        <w:t>وبالتستان</w:t>
      </w:r>
      <w:proofErr w:type="spellEnd"/>
      <w:r>
        <w:rPr>
          <w:rFonts w:hint="cs"/>
          <w:rtl/>
        </w:rPr>
        <w:t xml:space="preserve"> في الشمال.</w:t>
      </w:r>
    </w:p>
    <w:p w:rsidR="00E26084" w:rsidRDefault="00E26084" w:rsidP="00E26084">
      <w:pPr>
        <w:pStyle w:val="SingleTxt"/>
        <w:rPr>
          <w:rFonts w:hint="cs"/>
          <w:rtl/>
        </w:rPr>
      </w:pPr>
      <w:r>
        <w:rPr>
          <w:rFonts w:hint="cs"/>
          <w:rtl/>
        </w:rPr>
        <w:t>9 -</w:t>
      </w:r>
      <w:r>
        <w:rPr>
          <w:rFonts w:hint="cs"/>
          <w:rtl/>
        </w:rPr>
        <w:tab/>
        <w:t>وتبلغ المساحة الإجمالية للبلد 095 796 كم</w:t>
      </w:r>
      <w:r w:rsidRPr="00E26084">
        <w:rPr>
          <w:rFonts w:hint="cs"/>
          <w:vertAlign w:val="superscript"/>
          <w:rtl/>
        </w:rPr>
        <w:t>2</w:t>
      </w:r>
      <w:r>
        <w:rPr>
          <w:rFonts w:hint="cs"/>
          <w:rtl/>
        </w:rPr>
        <w:t xml:space="preserve"> ويقدر عدد السكان بنحو 723 148 مليون، استنادا إلى إسقاط (آذار/مارس 2004) لتعداد السكان الذي أجري في سنة 1998. والبلد مقسم إلى أربع مقاطعات وهي: </w:t>
      </w:r>
      <w:proofErr w:type="spellStart"/>
      <w:r>
        <w:rPr>
          <w:rFonts w:hint="cs"/>
          <w:rtl/>
        </w:rPr>
        <w:t>بالوشستان</w:t>
      </w:r>
      <w:proofErr w:type="spellEnd"/>
      <w:r>
        <w:rPr>
          <w:rFonts w:hint="cs"/>
          <w:rtl/>
        </w:rPr>
        <w:t xml:space="preserve"> ومقاطعة الحدود الشمالية الغربية، وبنجاب والسند. ويضاف إقليم العاصمة إسلام أباد، والمناطق القبلية التي تديرها الحكومة الاتحادية، والمناطق الشمالية التي تديرها الحكومة الاتحادية إلى المقاطعات الأربع.</w:t>
      </w:r>
    </w:p>
    <w:p w:rsidR="00E26084" w:rsidRDefault="00E26084" w:rsidP="00E151E0">
      <w:pPr>
        <w:pStyle w:val="SingleTxt"/>
        <w:rPr>
          <w:rFonts w:hint="cs"/>
          <w:rtl/>
        </w:rPr>
      </w:pPr>
      <w:r>
        <w:rPr>
          <w:rFonts w:hint="cs"/>
          <w:rtl/>
        </w:rPr>
        <w:t>10 -</w:t>
      </w:r>
      <w:r>
        <w:rPr>
          <w:rFonts w:hint="cs"/>
          <w:rtl/>
        </w:rPr>
        <w:tab/>
        <w:t xml:space="preserve">وفيما يتصل بالمناخ، تتمتع باكستان بالتنوع بقدر كبير، فالسلاسل الجبلية العالية في الشمال والشمال الغربي تتسم بالبرودة الشديدة في الشتاء، بينما تتميز شهور الصيف، من نيسان/أبريل إلى أيلول/سبتمبر بجو لطيف. وفي سهول وادي </w:t>
      </w:r>
      <w:proofErr w:type="spellStart"/>
      <w:r>
        <w:rPr>
          <w:rFonts w:hint="cs"/>
          <w:rtl/>
        </w:rPr>
        <w:t>الإندوس</w:t>
      </w:r>
      <w:proofErr w:type="spellEnd"/>
      <w:r>
        <w:rPr>
          <w:rFonts w:hint="cs"/>
          <w:rtl/>
        </w:rPr>
        <w:t>، الجو حار للغاية في الصيف وبارد وجاف في الشتاء. ويسود الجو المعتدل الشريط الساحلي في الجنوب. وهناك نقص عام في الأمطار. وهي أم</w:t>
      </w:r>
      <w:r w:rsidR="00E151E0">
        <w:rPr>
          <w:rFonts w:hint="cs"/>
          <w:rtl/>
        </w:rPr>
        <w:t>ط</w:t>
      </w:r>
      <w:r>
        <w:rPr>
          <w:rFonts w:hint="cs"/>
          <w:rtl/>
        </w:rPr>
        <w:t>ار موسمية أصلا وتسقط في أواخر الصيف.</w:t>
      </w:r>
    </w:p>
    <w:p w:rsidR="00E26084" w:rsidRDefault="00E26084" w:rsidP="00E26084">
      <w:pPr>
        <w:pStyle w:val="SingleTxt"/>
        <w:rPr>
          <w:rFonts w:hint="cs"/>
          <w:rtl/>
        </w:rPr>
      </w:pPr>
      <w:r>
        <w:rPr>
          <w:rFonts w:hint="cs"/>
          <w:rtl/>
        </w:rPr>
        <w:t xml:space="preserve">11 </w:t>
      </w:r>
      <w:r w:rsidR="00E151E0">
        <w:rPr>
          <w:rFonts w:hint="cs"/>
          <w:rtl/>
        </w:rPr>
        <w:t>-</w:t>
      </w:r>
      <w:r>
        <w:rPr>
          <w:rFonts w:hint="cs"/>
          <w:rtl/>
        </w:rPr>
        <w:tab/>
        <w:t>واقتصاد البلد قائم على الزراعة، مع شبكة من القنوات تروي الجزء الأكبر من الأراضي المزروعة. وأهم المحاصيل هي القمح والقطن والأرز والدخن وقصب السكر. وتشمل الفواكه المانجو والبرتقال والموز والتفاح وتزرع بكثرة في أنحاء مختلفة من البلد.</w:t>
      </w:r>
    </w:p>
    <w:p w:rsidR="00E26084" w:rsidRDefault="00E26084" w:rsidP="00E151E0">
      <w:pPr>
        <w:pStyle w:val="SingleTxt"/>
        <w:rPr>
          <w:rFonts w:hint="cs"/>
          <w:rtl/>
        </w:rPr>
      </w:pPr>
      <w:r>
        <w:rPr>
          <w:rFonts w:hint="cs"/>
          <w:rtl/>
        </w:rPr>
        <w:t>12 -</w:t>
      </w:r>
      <w:r>
        <w:rPr>
          <w:rFonts w:hint="cs"/>
          <w:rtl/>
        </w:rPr>
        <w:tab/>
        <w:t>وأهم الموارد الطبيعية هي الغاز الطبيعي والفحم والملح والحديد. والبلد لديه صناعة آخذة في الاتساع. ويلعب القطن والمنسوجات والسكر والأسمنت في الصناعات الكيميائية دورا هاما في اقتصاد البلد.</w:t>
      </w:r>
    </w:p>
    <w:p w:rsidR="00E26084" w:rsidRDefault="00E26084" w:rsidP="00E26084">
      <w:pPr>
        <w:pStyle w:val="SingleTxt"/>
        <w:rPr>
          <w:rFonts w:hint="cs"/>
          <w:rtl/>
        </w:rPr>
      </w:pPr>
      <w:r>
        <w:rPr>
          <w:rFonts w:hint="cs"/>
          <w:rtl/>
        </w:rPr>
        <w:t>13 -</w:t>
      </w:r>
      <w:r>
        <w:rPr>
          <w:rFonts w:hint="cs"/>
          <w:rtl/>
        </w:rPr>
        <w:tab/>
        <w:t xml:space="preserve">واللغة الرسمية هي الأوردو وتستخدم كوسيلة للتفاهم والتعليم في </w:t>
      </w:r>
      <w:r w:rsidR="00AF6FAC">
        <w:rPr>
          <w:rFonts w:hint="cs"/>
          <w:rtl/>
        </w:rPr>
        <w:t xml:space="preserve">جميع أنحاء البلد. ويوجد عدد من اللغات الإقليمية يجري التحدث بها أيضا. فهناك البنجابية بنسبة 48 في المائة </w:t>
      </w:r>
      <w:proofErr w:type="spellStart"/>
      <w:r w:rsidR="00AF6FAC">
        <w:rPr>
          <w:rFonts w:hint="cs"/>
          <w:rtl/>
        </w:rPr>
        <w:t>والسندية</w:t>
      </w:r>
      <w:proofErr w:type="spellEnd"/>
      <w:r w:rsidR="00AF6FAC">
        <w:rPr>
          <w:rFonts w:hint="cs"/>
          <w:rtl/>
        </w:rPr>
        <w:t xml:space="preserve"> بنسبة 12 في المائة، </w:t>
      </w:r>
      <w:proofErr w:type="spellStart"/>
      <w:r w:rsidR="00AF6FAC">
        <w:rPr>
          <w:rFonts w:hint="cs"/>
          <w:rtl/>
        </w:rPr>
        <w:t>والسيرايكية</w:t>
      </w:r>
      <w:proofErr w:type="spellEnd"/>
      <w:r w:rsidR="00AF6FAC">
        <w:rPr>
          <w:rFonts w:hint="cs"/>
          <w:rtl/>
        </w:rPr>
        <w:t xml:space="preserve"> (وهي شكل مختلف من البنجابية) بنسبة 10 في المائة، </w:t>
      </w:r>
      <w:proofErr w:type="spellStart"/>
      <w:r w:rsidR="00AF6FAC">
        <w:rPr>
          <w:rFonts w:hint="cs"/>
          <w:rtl/>
        </w:rPr>
        <w:t>والباشتو</w:t>
      </w:r>
      <w:proofErr w:type="spellEnd"/>
      <w:r w:rsidR="00AF6FAC">
        <w:rPr>
          <w:rFonts w:hint="cs"/>
          <w:rtl/>
        </w:rPr>
        <w:t xml:space="preserve"> بنسبة 8 في المائة، </w:t>
      </w:r>
      <w:proofErr w:type="spellStart"/>
      <w:r w:rsidR="00AF6FAC">
        <w:rPr>
          <w:rFonts w:hint="cs"/>
          <w:rtl/>
        </w:rPr>
        <w:t>والبالوشيه</w:t>
      </w:r>
      <w:proofErr w:type="spellEnd"/>
      <w:r w:rsidR="00AF6FAC">
        <w:rPr>
          <w:rFonts w:hint="cs"/>
          <w:rtl/>
        </w:rPr>
        <w:t xml:space="preserve"> بنسبة 3 في المائة، والهندوكية بنسبة 2 في المائة، </w:t>
      </w:r>
      <w:proofErr w:type="spellStart"/>
      <w:r w:rsidR="00AF6FAC">
        <w:rPr>
          <w:rFonts w:hint="cs"/>
          <w:rtl/>
        </w:rPr>
        <w:t>والبراهمية</w:t>
      </w:r>
      <w:proofErr w:type="spellEnd"/>
      <w:r w:rsidR="00AF6FAC">
        <w:rPr>
          <w:rFonts w:hint="cs"/>
          <w:rtl/>
        </w:rPr>
        <w:t xml:space="preserve"> بنسبة 1 في المائة، والانكليزية وغيرها من اللغات، بنسبة 8 في المائة.</w:t>
      </w:r>
    </w:p>
    <w:p w:rsidR="00AF6FAC" w:rsidRDefault="00AF6FAC" w:rsidP="00E26084">
      <w:pPr>
        <w:pStyle w:val="SingleTxt"/>
        <w:rPr>
          <w:rFonts w:hint="cs"/>
          <w:rtl/>
        </w:rPr>
      </w:pPr>
      <w:r>
        <w:rPr>
          <w:rFonts w:hint="cs"/>
          <w:rtl/>
        </w:rPr>
        <w:t>14 -</w:t>
      </w:r>
      <w:r>
        <w:rPr>
          <w:rFonts w:hint="cs"/>
          <w:rtl/>
        </w:rPr>
        <w:tab/>
        <w:t>وباكستان جمهورية إسلامية. فقد اعتمد الدستور الحالي في سنة 1973، وهو ينص على الحكم البرلماني. وهناك مجلسان، مجلس الشيوخ، وهو المجلس الأعلى والجمعية الوطنية، وهي المجلس الأدنى. وفي سنة 2002، زاد حجم الهيئات التشريعية في البلد وحجزت مقاعد للمرأة من خلال العمل الإيجابي، وألغي أيضا نظام الانتخابات المنفصلة الذي كان يصوت المسلمون وغير المسلمين في ظله للمرشحين المسلمين وغير المسلمين. وإثر هذه التدابير، يتألف مجلس الشيوخ من 100 ممثل مع وجود 17 مقعدا للمرأة، بينما أصبح قوام الجمعية الوطنية 342 مقعدا يحجز منها 60 مقعدا للمرأة، التي لها الحق في الترشيح في الانتخابات الخاصة بالمقاعد العامة أيضا. ويرد مزيد من التفاصيل في الفصل السابع، وخاصة في الفقرات 106-110.</w:t>
      </w:r>
    </w:p>
    <w:p w:rsidR="00AF6FAC" w:rsidRDefault="00AF6FAC" w:rsidP="00E26084">
      <w:pPr>
        <w:pStyle w:val="SingleTxt"/>
        <w:rPr>
          <w:rFonts w:hint="cs"/>
          <w:rtl/>
        </w:rPr>
      </w:pPr>
      <w:r>
        <w:rPr>
          <w:rFonts w:hint="cs"/>
          <w:rtl/>
        </w:rPr>
        <w:t>15 -</w:t>
      </w:r>
      <w:r>
        <w:rPr>
          <w:rFonts w:hint="cs"/>
          <w:rtl/>
        </w:rPr>
        <w:tab/>
        <w:t>وهناك مجلس إقليمي في كل مقاطعة. ويبلغ القوام الإجمالي لجميع المجالس الإقليمية 728 مقعدا، حجز 128 منها للمرأة. ويتضمن الدستور قائمة بالموضوعات التي تتناولها الجمعية الوطنية، والتي تتصدى لها المجالس الإقليمية.</w:t>
      </w:r>
    </w:p>
    <w:p w:rsidR="00AF6FAC" w:rsidRDefault="00AF6FAC" w:rsidP="00E26084">
      <w:pPr>
        <w:pStyle w:val="SingleTxt"/>
        <w:rPr>
          <w:rFonts w:hint="cs"/>
          <w:rtl/>
        </w:rPr>
      </w:pPr>
      <w:r>
        <w:rPr>
          <w:rFonts w:hint="cs"/>
          <w:rtl/>
        </w:rPr>
        <w:t>16 -</w:t>
      </w:r>
      <w:r>
        <w:rPr>
          <w:rFonts w:hint="cs"/>
          <w:rtl/>
        </w:rPr>
        <w:tab/>
        <w:t>ويتألف النظام القضائي من المحكمة العليا والمحاكم العليا الإقليمية، والمحاكم الأخرى التي تمارس السلطة المدنية والجنائية. وتقرر المحكمة الشرعية الاتحادية إذا كان هناك قانون مدني مخالف لتعاليم الإسلام.</w:t>
      </w:r>
    </w:p>
    <w:p w:rsidR="00AF6FAC" w:rsidRDefault="00AF6FAC" w:rsidP="00E26084">
      <w:pPr>
        <w:pStyle w:val="SingleTxt"/>
        <w:rPr>
          <w:rFonts w:hint="cs"/>
          <w:rtl/>
        </w:rPr>
      </w:pPr>
      <w:r>
        <w:rPr>
          <w:rFonts w:hint="cs"/>
          <w:rtl/>
        </w:rPr>
        <w:t>17 -</w:t>
      </w:r>
      <w:r>
        <w:rPr>
          <w:rFonts w:hint="cs"/>
          <w:rtl/>
        </w:rPr>
        <w:tab/>
        <w:t>وتعتبر باكستان بلدا ناميا يزيد دخل الفرد فيها عن 600 دولار من دولارات الولايات المتحدة</w:t>
      </w:r>
      <w:r w:rsidR="00CA5D1D" w:rsidRPr="00CA5D1D">
        <w:rPr>
          <w:vertAlign w:val="superscript"/>
          <w:rtl/>
        </w:rPr>
        <w:t>(</w:t>
      </w:r>
      <w:r w:rsidR="00CA5D1D">
        <w:rPr>
          <w:rStyle w:val="FootnoteReference"/>
          <w:rtl/>
        </w:rPr>
        <w:footnoteReference w:id="1"/>
      </w:r>
      <w:r w:rsidR="00CA5D1D" w:rsidRPr="00CA5D1D">
        <w:rPr>
          <w:vertAlign w:val="superscript"/>
          <w:rtl/>
        </w:rPr>
        <w:t>)</w:t>
      </w:r>
      <w:r>
        <w:rPr>
          <w:rFonts w:hint="cs"/>
          <w:rtl/>
        </w:rPr>
        <w:t xml:space="preserve">. </w:t>
      </w:r>
      <w:r w:rsidR="00CA5D1D">
        <w:rPr>
          <w:rFonts w:hint="cs"/>
          <w:rtl/>
        </w:rPr>
        <w:t xml:space="preserve">وأهم الصناعات هي المنسوجات وتجهيز الأغذية، والمشروبات، ومواد البناء، والملابس، والمنتجات الورقية </w:t>
      </w:r>
      <w:proofErr w:type="spellStart"/>
      <w:r w:rsidR="00CA5D1D">
        <w:rPr>
          <w:rFonts w:hint="cs"/>
          <w:rtl/>
        </w:rPr>
        <w:t>والروبيان</w:t>
      </w:r>
      <w:proofErr w:type="spellEnd"/>
      <w:r w:rsidR="00CA5D1D">
        <w:rPr>
          <w:rFonts w:hint="cs"/>
          <w:rtl/>
        </w:rPr>
        <w:t>. وتبلغ القوة العاملة نحو 43.2 مليون شخصا منهم 39.6 مليون من العاملين و 3.6 مليون يعانون من البطالة. ويعمل نحو 42 في المائة منهم في الزراعة، و 57.9 في المائة في الأنشطة غير الزراعية/الصناعية. وتشمل الأنشطة غير الزراعية الصناعات التحويلية، والتجارة والخدمات والنقل، وما إلى ذلك. وفي القطاع غير الزراعي، يعمل الجزء الأكبر، أي ما يقرب من الثلث</w:t>
      </w:r>
      <w:r w:rsidR="00CB773D">
        <w:rPr>
          <w:rFonts w:hint="cs"/>
          <w:rtl/>
        </w:rPr>
        <w:t>ي</w:t>
      </w:r>
      <w:r w:rsidR="00CA5D1D">
        <w:rPr>
          <w:rFonts w:hint="cs"/>
          <w:rtl/>
        </w:rPr>
        <w:t>ن (64.6 في المائة) من العاملين في القطاع غير الرسمي. وقد زادت نسبة البطالة من 7.8 في المائة في 1999-2000 إلى 8.3 في المائة في 2001-2002</w:t>
      </w:r>
      <w:r w:rsidR="00CA5D1D" w:rsidRPr="00CA5D1D">
        <w:rPr>
          <w:vertAlign w:val="superscript"/>
          <w:rtl/>
        </w:rPr>
        <w:t>(</w:t>
      </w:r>
      <w:r w:rsidR="00CA5D1D">
        <w:rPr>
          <w:rStyle w:val="FootnoteReference"/>
          <w:rtl/>
        </w:rPr>
        <w:footnoteReference w:id="2"/>
      </w:r>
      <w:r w:rsidR="00CA5D1D" w:rsidRPr="00CA5D1D">
        <w:rPr>
          <w:vertAlign w:val="superscript"/>
          <w:rtl/>
        </w:rPr>
        <w:t>)</w:t>
      </w:r>
      <w:r w:rsidR="00CA5D1D">
        <w:rPr>
          <w:rFonts w:hint="cs"/>
          <w:rtl/>
        </w:rPr>
        <w:t>.</w:t>
      </w:r>
    </w:p>
    <w:p w:rsidR="00CA5D1D" w:rsidRDefault="00CA5D1D" w:rsidP="00E151E0">
      <w:pPr>
        <w:pStyle w:val="SingleTxt"/>
        <w:rPr>
          <w:rFonts w:hint="cs"/>
          <w:rtl/>
        </w:rPr>
      </w:pPr>
      <w:r>
        <w:rPr>
          <w:rFonts w:hint="cs"/>
          <w:rtl/>
        </w:rPr>
        <w:t>18 -</w:t>
      </w:r>
      <w:r>
        <w:rPr>
          <w:rFonts w:hint="cs"/>
          <w:rtl/>
        </w:rPr>
        <w:tab/>
        <w:t>ومر اقتصاد باكستان بفترة عصيبة في التسعينات وزاد الفقر وخُفضت قيمة العملة بصورة متكررة، وسجلت زيادة في الدين الخارجي والمحلي، وانخفض معدل نمو الاقتصاد، واتخذت تدابير عنيفة لوقف تدهور الاقتصاد. وكانت هذه التدابير مثمرة، فزاد معدل النمو وتجاوز الاحتياطي الأجنبي 12 بليون دولار من دولارات الولايات المتحدة. وتحسنت حالة الديون أيضا. فوفقا لآخر أرقام نشرتها الدراسة الاستقصائية للاقتصاد في باكستان، 2003-2004، سجلت حالات الفقر</w:t>
      </w:r>
      <w:r w:rsidRPr="00CA5D1D">
        <w:rPr>
          <w:vertAlign w:val="superscript"/>
          <w:rtl/>
        </w:rPr>
        <w:t>(</w:t>
      </w:r>
      <w:r>
        <w:rPr>
          <w:rStyle w:val="FootnoteReference"/>
          <w:rtl/>
        </w:rPr>
        <w:footnoteReference w:id="3"/>
      </w:r>
      <w:r w:rsidRPr="00CA5D1D">
        <w:rPr>
          <w:vertAlign w:val="superscript"/>
          <w:rtl/>
        </w:rPr>
        <w:t>)</w:t>
      </w:r>
      <w:r>
        <w:rPr>
          <w:rFonts w:hint="cs"/>
          <w:rtl/>
        </w:rPr>
        <w:t xml:space="preserve"> انخفاضا </w:t>
      </w:r>
      <w:r w:rsidR="00906F96">
        <w:rPr>
          <w:rFonts w:hint="cs"/>
          <w:rtl/>
        </w:rPr>
        <w:t>نسبته 4.2 في المائة منذ 2001-2002. ويقدر أن 28.35 في المائة من السكان يعيشون في حالة فقر، في الوقت الحالي.</w:t>
      </w:r>
    </w:p>
    <w:p w:rsidR="00906F96" w:rsidRPr="00906F96" w:rsidRDefault="00906F96" w:rsidP="00906F96">
      <w:pPr>
        <w:pStyle w:val="SingleTxt"/>
        <w:spacing w:after="0" w:line="120" w:lineRule="exact"/>
        <w:rPr>
          <w:rFonts w:hint="cs"/>
          <w:sz w:val="10"/>
          <w:rtl/>
        </w:rPr>
      </w:pPr>
    </w:p>
    <w:p w:rsidR="00906F96" w:rsidRDefault="00906F96" w:rsidP="00906F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معلومات تتعلق بإعداد التقرير</w:t>
      </w:r>
    </w:p>
    <w:p w:rsidR="00906F96" w:rsidRDefault="00906F96" w:rsidP="00906F96">
      <w:pPr>
        <w:pStyle w:val="SingleTxt"/>
        <w:rPr>
          <w:rFonts w:hint="cs"/>
          <w:rtl/>
        </w:rPr>
      </w:pPr>
      <w:r>
        <w:rPr>
          <w:rFonts w:hint="cs"/>
          <w:rtl/>
        </w:rPr>
        <w:t>19 -</w:t>
      </w:r>
      <w:r>
        <w:rPr>
          <w:rFonts w:hint="cs"/>
          <w:rtl/>
        </w:rPr>
        <w:tab/>
        <w:t>أنشأت وزارة تنمية المرأة مكتبا لمستشار تقني في الفترة 2002-2003 لمساعدتها في تجميع التقرير. وقد أعد مكتب المستشار مجموعة مواد عن الاتفاقية لجميع الوزارات الاتحادية والإقليمية والإدارات والوكالات المعنية. وتتألف المجموعة من ما يلي:</w:t>
      </w:r>
    </w:p>
    <w:p w:rsidR="00906F96" w:rsidRDefault="00906F96" w:rsidP="00906F96">
      <w:pPr>
        <w:pStyle w:val="SingleTxt"/>
        <w:rPr>
          <w:rFonts w:hint="cs"/>
          <w:rtl/>
        </w:rPr>
      </w:pPr>
      <w:r>
        <w:rPr>
          <w:rFonts w:hint="cs"/>
          <w:rtl/>
        </w:rPr>
        <w:tab/>
        <w:t>(أ)</w:t>
      </w:r>
      <w:r>
        <w:rPr>
          <w:rFonts w:hint="cs"/>
          <w:rtl/>
        </w:rPr>
        <w:tab/>
        <w:t>نص اتفاقية القضاء على جميع أشكال التمييز ضد المرأة.</w:t>
      </w:r>
    </w:p>
    <w:p w:rsidR="00906F96" w:rsidRDefault="00906F96" w:rsidP="00906F96">
      <w:pPr>
        <w:pStyle w:val="SingleTxt"/>
        <w:rPr>
          <w:rFonts w:hint="cs"/>
          <w:rtl/>
        </w:rPr>
      </w:pPr>
      <w:r>
        <w:rPr>
          <w:rFonts w:hint="cs"/>
          <w:rtl/>
        </w:rPr>
        <w:tab/>
        <w:t>(ب)</w:t>
      </w:r>
      <w:r>
        <w:rPr>
          <w:rFonts w:hint="cs"/>
          <w:rtl/>
        </w:rPr>
        <w:tab/>
        <w:t>مقدمة وملامح موجزة للاتفاقية والالتزامات التي تفرضها على باكستان.</w:t>
      </w:r>
    </w:p>
    <w:p w:rsidR="00906F96" w:rsidRDefault="00906F96" w:rsidP="00906F96">
      <w:pPr>
        <w:pStyle w:val="SingleTxt"/>
        <w:rPr>
          <w:rFonts w:hint="cs"/>
          <w:rtl/>
        </w:rPr>
      </w:pPr>
      <w:r>
        <w:rPr>
          <w:rFonts w:hint="cs"/>
          <w:rtl/>
        </w:rPr>
        <w:tab/>
        <w:t>(ج)</w:t>
      </w:r>
      <w:r>
        <w:rPr>
          <w:rFonts w:hint="cs"/>
          <w:rtl/>
        </w:rPr>
        <w:tab/>
        <w:t>مقدمة وموجز للتوصيات العامة المقدمة من اللجنة المعنية بالقضاء على التمييز ضد المرأة.</w:t>
      </w:r>
    </w:p>
    <w:p w:rsidR="00906F96" w:rsidRDefault="00906F96" w:rsidP="00906F96">
      <w:pPr>
        <w:pStyle w:val="SingleTxt"/>
        <w:rPr>
          <w:rFonts w:hint="cs"/>
          <w:rtl/>
        </w:rPr>
      </w:pPr>
      <w:r>
        <w:rPr>
          <w:rFonts w:hint="cs"/>
          <w:rtl/>
        </w:rPr>
        <w:tab/>
        <w:t>(د)</w:t>
      </w:r>
      <w:r>
        <w:rPr>
          <w:rFonts w:hint="cs"/>
          <w:rtl/>
        </w:rPr>
        <w:tab/>
        <w:t>نص التوصيات العامة.</w:t>
      </w:r>
    </w:p>
    <w:p w:rsidR="00906F96" w:rsidRDefault="00906F96" w:rsidP="00CB773D">
      <w:pPr>
        <w:pStyle w:val="SingleTxt"/>
        <w:rPr>
          <w:rFonts w:hint="cs"/>
          <w:rtl/>
        </w:rPr>
      </w:pPr>
      <w:r>
        <w:rPr>
          <w:rFonts w:hint="cs"/>
          <w:rtl/>
        </w:rPr>
        <w:tab/>
        <w:t>(هـ)</w:t>
      </w:r>
      <w:r>
        <w:rPr>
          <w:rFonts w:hint="cs"/>
          <w:rtl/>
        </w:rPr>
        <w:tab/>
        <w:t>جدول عملي مُستمد من نص الاتفاقية والتوصيات العامة تم وضعه ليناسب كل وزارة أو مجموعة وزارات. ويبين الجدول المطلوب بموجب الاتفاقية/التوصيات العامة في عمود، مع توضيح ذلك في العمود التالي والمعلومات المطلوبة في العمود الأخير. وأرسلت صورة مطبوعة لهذا الجدول مع اسطوانة للحاسوب لجميع الوزارات والإدارات والوكالات المعنية، على الصعيدين الاتحادي والإقليمي.</w:t>
      </w:r>
    </w:p>
    <w:p w:rsidR="00906F96" w:rsidRDefault="00906F96" w:rsidP="00906F96">
      <w:pPr>
        <w:pStyle w:val="SingleTxt"/>
        <w:rPr>
          <w:rFonts w:hint="cs"/>
          <w:rtl/>
        </w:rPr>
      </w:pPr>
      <w:r>
        <w:rPr>
          <w:rFonts w:hint="cs"/>
          <w:rtl/>
        </w:rPr>
        <w:tab/>
        <w:t>(و)</w:t>
      </w:r>
      <w:r>
        <w:rPr>
          <w:rFonts w:hint="cs"/>
          <w:rtl/>
        </w:rPr>
        <w:tab/>
        <w:t>طلب أيضا إلى الوزارات والجهات الأخرى المعنية تعيين موظفين ”كمنسقين“ معنيين بالاتفاقية للمساعدة في تجميع التقرير.</w:t>
      </w:r>
    </w:p>
    <w:p w:rsidR="00906F96" w:rsidRDefault="00906F96" w:rsidP="00906F96">
      <w:pPr>
        <w:pStyle w:val="SingleTxt"/>
        <w:rPr>
          <w:rFonts w:hint="cs"/>
          <w:rtl/>
        </w:rPr>
      </w:pPr>
      <w:r>
        <w:rPr>
          <w:rFonts w:hint="cs"/>
          <w:rtl/>
        </w:rPr>
        <w:t>20 -</w:t>
      </w:r>
      <w:r>
        <w:rPr>
          <w:rFonts w:hint="cs"/>
          <w:rtl/>
        </w:rPr>
        <w:tab/>
        <w:t>وبذل كل جهد ممكن للامتثال للمبادئ التوجيهية التي وضعتها اللجنة بشأن صياغة التقرير. وتم وضع كل جزء يتناول مادة/مواد معينة من الاتفاقية بشكل يتفق مع الأجزاء الأخرى. ويتناول الجزء الأول الأحكام الدستورية المتصلة بالمادة أو الحق المحدد. ويجري بعد ذلك سرد القوانين ذات الصلة ومناقشتها على النحو الواجب، يلي ذلك معلومات عن الإطار الإداري ثم مناقشة الحالة على أرض الواقع مع نبذة عن أهم التحديات ومسار العمل في المستقبل.</w:t>
      </w:r>
    </w:p>
    <w:p w:rsidR="00906F96" w:rsidRDefault="00906F96" w:rsidP="00906F96">
      <w:pPr>
        <w:pStyle w:val="SingleTxt"/>
        <w:rPr>
          <w:rFonts w:hint="cs"/>
          <w:rtl/>
        </w:rPr>
      </w:pPr>
      <w:r>
        <w:rPr>
          <w:rFonts w:hint="cs"/>
          <w:rtl/>
        </w:rPr>
        <w:t>21 -</w:t>
      </w:r>
      <w:r>
        <w:rPr>
          <w:rFonts w:hint="cs"/>
          <w:rtl/>
        </w:rPr>
        <w:tab/>
        <w:t xml:space="preserve">وتم وضع النص الكامل للمواد </w:t>
      </w:r>
      <w:proofErr w:type="spellStart"/>
      <w:r>
        <w:rPr>
          <w:rFonts w:hint="cs"/>
          <w:rtl/>
        </w:rPr>
        <w:t>الـ</w:t>
      </w:r>
      <w:proofErr w:type="spellEnd"/>
      <w:r>
        <w:rPr>
          <w:rFonts w:hint="cs"/>
          <w:rtl/>
        </w:rPr>
        <w:t xml:space="preserve"> 16 الأولى من الاتفاقية وجميع التوصيات في صيغة أسئلة محددة أو قضايا، جرت محاولة الإجابة عليها. ويبين النص المطبوع بالبنط الأسود الأسئلة أو القضايا المحددة، مما يكفل عدم تجنيب أي منها أو التغاض</w:t>
      </w:r>
      <w:r w:rsidR="00CB773D">
        <w:rPr>
          <w:rFonts w:hint="cs"/>
          <w:rtl/>
        </w:rPr>
        <w:t>ي</w:t>
      </w:r>
      <w:r>
        <w:rPr>
          <w:rFonts w:hint="cs"/>
          <w:rtl/>
        </w:rPr>
        <w:t xml:space="preserve"> عنها.</w:t>
      </w:r>
    </w:p>
    <w:p w:rsidR="00906F96" w:rsidRDefault="00906F96" w:rsidP="00906F96">
      <w:pPr>
        <w:pStyle w:val="SingleTxt"/>
        <w:rPr>
          <w:rFonts w:hint="cs"/>
          <w:rtl/>
        </w:rPr>
      </w:pPr>
      <w:r>
        <w:rPr>
          <w:rFonts w:hint="cs"/>
          <w:rtl/>
        </w:rPr>
        <w:t>22 -</w:t>
      </w:r>
      <w:r>
        <w:rPr>
          <w:rFonts w:hint="cs"/>
          <w:rtl/>
        </w:rPr>
        <w:tab/>
        <w:t>ختاما، أضيف فصل عن العنف ضد المرأة لإعطاء نظ</w:t>
      </w:r>
      <w:r w:rsidR="00CB773D">
        <w:rPr>
          <w:rFonts w:hint="cs"/>
          <w:rtl/>
        </w:rPr>
        <w:t>ر</w:t>
      </w:r>
      <w:r>
        <w:rPr>
          <w:rFonts w:hint="cs"/>
          <w:rtl/>
        </w:rPr>
        <w:t>ة شاملة لهذه المسألة الهامة والتصدي لعدم صلة أية مادة من مواد الاتفاقية بهذه المسألة بصورة مباشرة.</w:t>
      </w:r>
    </w:p>
    <w:p w:rsidR="00906F96" w:rsidRDefault="00906F96" w:rsidP="00906F96">
      <w:pPr>
        <w:pStyle w:val="SingleTxt"/>
        <w:rPr>
          <w:rFonts w:hint="cs"/>
          <w:rtl/>
        </w:rPr>
      </w:pPr>
      <w:r>
        <w:rPr>
          <w:rFonts w:hint="cs"/>
          <w:rtl/>
        </w:rPr>
        <w:t>23 -</w:t>
      </w:r>
      <w:r>
        <w:rPr>
          <w:rFonts w:hint="cs"/>
          <w:rtl/>
        </w:rPr>
        <w:tab/>
        <w:t>وبعد تجميع التقرير، تم نشره على الإنترنت</w:t>
      </w:r>
      <w:r w:rsidR="008E7A5E" w:rsidRPr="008E7A5E">
        <w:rPr>
          <w:vertAlign w:val="superscript"/>
          <w:rtl/>
        </w:rPr>
        <w:t>(</w:t>
      </w:r>
      <w:r w:rsidR="008E7A5E">
        <w:rPr>
          <w:rStyle w:val="FootnoteReference"/>
          <w:rtl/>
        </w:rPr>
        <w:footnoteReference w:id="4"/>
      </w:r>
      <w:r w:rsidR="008E7A5E" w:rsidRPr="008E7A5E">
        <w:rPr>
          <w:vertAlign w:val="superscript"/>
          <w:rtl/>
        </w:rPr>
        <w:t>)</w:t>
      </w:r>
      <w:r>
        <w:rPr>
          <w:rFonts w:hint="cs"/>
          <w:rtl/>
        </w:rPr>
        <w:t xml:space="preserve">، لإتاحة الفرصة لجميع الأشخاص </w:t>
      </w:r>
      <w:r w:rsidR="00A95B12">
        <w:rPr>
          <w:rFonts w:hint="cs"/>
          <w:rtl/>
        </w:rPr>
        <w:t>المعنيين لقراءته وإبداء تعليقاتهم عليه. ونشرت وزارة تنمية المرأة إعلانات في أهم الصحف في البلد، لإعلام الجمهور بأن التقرير منشور على الإنترنت ودعت الجميع إلى تقديم تعليقاتهم. وأرسل مشروع التقرير أيضا إلى أهم الناشطين في مجال حقوق الإنسان وحقوق المرأة في البلد، وإ</w:t>
      </w:r>
      <w:r w:rsidR="00CB773D">
        <w:rPr>
          <w:rFonts w:hint="cs"/>
          <w:rtl/>
        </w:rPr>
        <w:t>لى أهم المنظمات غير الحكومية للإ</w:t>
      </w:r>
      <w:r w:rsidR="00A95B12">
        <w:rPr>
          <w:rFonts w:hint="cs"/>
          <w:rtl/>
        </w:rPr>
        <w:t>طلاع على تعليقاتهم وآرائهم.</w:t>
      </w:r>
    </w:p>
    <w:p w:rsidR="00A95B12" w:rsidRDefault="00A95B12" w:rsidP="00906F96">
      <w:pPr>
        <w:pStyle w:val="SingleTxt"/>
        <w:rPr>
          <w:rFonts w:hint="cs"/>
          <w:rtl/>
        </w:rPr>
      </w:pPr>
      <w:r>
        <w:rPr>
          <w:rFonts w:hint="cs"/>
          <w:rtl/>
        </w:rPr>
        <w:t>24 -</w:t>
      </w:r>
      <w:r>
        <w:rPr>
          <w:rFonts w:hint="cs"/>
          <w:rtl/>
        </w:rPr>
        <w:tab/>
        <w:t>وفي 17 كانون الأول/ديسمبر 2004، عقدت الوزارة مشاورات وطنية جرت فيها مناقشة التقرير باستفاضة ووضعت عدة توصيات ومقترحات بشأن النص.</w:t>
      </w:r>
    </w:p>
    <w:p w:rsidR="00A95B12" w:rsidRDefault="00A95B12" w:rsidP="00906F96">
      <w:pPr>
        <w:pStyle w:val="SingleTxt"/>
        <w:rPr>
          <w:rFonts w:hint="cs"/>
          <w:rtl/>
        </w:rPr>
      </w:pPr>
      <w:r>
        <w:rPr>
          <w:rFonts w:hint="cs"/>
          <w:rtl/>
        </w:rPr>
        <w:t>25 -</w:t>
      </w:r>
      <w:r>
        <w:rPr>
          <w:rFonts w:hint="cs"/>
          <w:rtl/>
        </w:rPr>
        <w:tab/>
        <w:t>وفي 22 كانون الأول/ديسمبر 2004، نوقش التقرير في اللجنة الدائمة المعنية بقضايا المرأة بالبرلمان.</w:t>
      </w:r>
    </w:p>
    <w:p w:rsidR="00A95B12" w:rsidRDefault="00A95B12" w:rsidP="00906F96">
      <w:pPr>
        <w:pStyle w:val="SingleTxt"/>
        <w:rPr>
          <w:rFonts w:hint="cs"/>
          <w:rtl/>
        </w:rPr>
      </w:pPr>
      <w:r>
        <w:rPr>
          <w:rFonts w:hint="cs"/>
          <w:rtl/>
        </w:rPr>
        <w:t>26 -</w:t>
      </w:r>
      <w:r>
        <w:rPr>
          <w:rFonts w:hint="cs"/>
          <w:rtl/>
        </w:rPr>
        <w:tab/>
        <w:t>وفي 10 كانون الثاني/يناير، عرض التقرير، مرة أخرى على جميع أصحاب المصلحة في مشاورة وطنية بشأن بيجين + 10 واتفاقية القضاء على جميع أشكال التمييز ضد المرأة.</w:t>
      </w:r>
    </w:p>
    <w:p w:rsidR="00A95B12" w:rsidRDefault="00A95B12" w:rsidP="00E151E0">
      <w:pPr>
        <w:pStyle w:val="SingleTxt"/>
        <w:rPr>
          <w:rFonts w:hint="cs"/>
          <w:rtl/>
        </w:rPr>
      </w:pPr>
      <w:r>
        <w:rPr>
          <w:rFonts w:hint="cs"/>
          <w:rtl/>
        </w:rPr>
        <w:t>27 -</w:t>
      </w:r>
      <w:r>
        <w:rPr>
          <w:rFonts w:hint="cs"/>
          <w:rtl/>
        </w:rPr>
        <w:tab/>
        <w:t xml:space="preserve">وقامت وزارة تنمية المرأة وهيئة </w:t>
      </w:r>
      <w:proofErr w:type="spellStart"/>
      <w:r w:rsidR="00BF4238">
        <w:rPr>
          <w:rFonts w:hint="cs"/>
          <w:rtl/>
        </w:rPr>
        <w:t>شيركاتجاه</w:t>
      </w:r>
      <w:proofErr w:type="spellEnd"/>
      <w:r w:rsidR="00BF4238">
        <w:rPr>
          <w:rFonts w:hint="cs"/>
          <w:rtl/>
        </w:rPr>
        <w:t xml:space="preserve"> </w:t>
      </w:r>
      <w:r w:rsidR="00BF4238">
        <w:t>(</w:t>
      </w:r>
      <w:proofErr w:type="spellStart"/>
      <w:r w:rsidR="00BF4238">
        <w:t>Shirkatgah</w:t>
      </w:r>
      <w:proofErr w:type="spellEnd"/>
      <w:r w:rsidR="00BF4238">
        <w:t>)</w:t>
      </w:r>
      <w:r w:rsidR="00BF4238">
        <w:rPr>
          <w:rFonts w:hint="cs"/>
          <w:rtl/>
        </w:rPr>
        <w:t xml:space="preserve">، وهي من أهم المنظمات غير الحكومية المعنية بحقوق الإنسان الخاصة بالمرأة في باكستان، بالنظر في التقرير، كل صفحة على حدة، في 18 كانون الثاني/يناير 2005. وقدمت هيئة </w:t>
      </w:r>
      <w:proofErr w:type="spellStart"/>
      <w:r w:rsidR="00BF4238">
        <w:rPr>
          <w:rFonts w:hint="cs"/>
          <w:rtl/>
        </w:rPr>
        <w:t>شيركاتجاه</w:t>
      </w:r>
      <w:proofErr w:type="spellEnd"/>
      <w:r w:rsidR="00BF4238">
        <w:rPr>
          <w:rFonts w:hint="cs"/>
          <w:rtl/>
        </w:rPr>
        <w:t xml:space="preserve"> عددا من المقترحات القيمة جدا، أدرج معظمها في النص النهائي. وعرض التقرير أيضا على رئيس وزراء باكستان الذي اعتمده في نيسان/أبريل 2005.</w:t>
      </w:r>
    </w:p>
    <w:p w:rsidR="00BF4238" w:rsidRPr="00BF4238" w:rsidRDefault="00BF4238" w:rsidP="00BF4238">
      <w:pPr>
        <w:pStyle w:val="SingleTxt"/>
        <w:spacing w:after="0" w:line="120" w:lineRule="exact"/>
        <w:rPr>
          <w:rFonts w:hint="cs"/>
          <w:sz w:val="10"/>
          <w:rtl/>
        </w:rPr>
      </w:pPr>
    </w:p>
    <w:p w:rsidR="00BF4238" w:rsidRDefault="00BF4238" w:rsidP="00BF423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الثاني</w:t>
      </w:r>
    </w:p>
    <w:p w:rsidR="00BF4238" w:rsidRDefault="00FE1E42" w:rsidP="00BF423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F4238">
        <w:rPr>
          <w:rFonts w:hint="cs"/>
          <w:rtl/>
        </w:rPr>
        <w:t>انطباق الاتفاقية ومعلومات عن الإطار الدستور والقانوني والإداري</w:t>
      </w:r>
    </w:p>
    <w:p w:rsidR="00BF4238" w:rsidRDefault="00BF4238" w:rsidP="00BF4238">
      <w:pPr>
        <w:pStyle w:val="SingleTxt"/>
        <w:rPr>
          <w:rFonts w:hint="cs"/>
          <w:rtl/>
        </w:rPr>
      </w:pPr>
      <w:r>
        <w:rPr>
          <w:rFonts w:hint="cs"/>
          <w:rtl/>
        </w:rPr>
        <w:t>28</w:t>
      </w:r>
      <w:r w:rsidR="008F4E17">
        <w:rPr>
          <w:rFonts w:hint="cs"/>
          <w:rtl/>
        </w:rPr>
        <w:t xml:space="preserve"> -</w:t>
      </w:r>
      <w:r w:rsidR="008F4E17">
        <w:rPr>
          <w:rFonts w:hint="cs"/>
          <w:rtl/>
        </w:rPr>
        <w:tab/>
        <w:t>لا تنطبق الاتفاقيات الدولية في القانون المحلي عند التصديق عليها، في باكستان. ولم يصدر أي قانون وحيد شامل بالنسبة لأي من معاهدات حقوق الإنسان الثلاث الهامة التي تعد باكستان طرفا فيها وهي الاتفاقية الدولية للقضاء على التمييز العنصري، واتفاقية حقوق الطفل واتفاقية القضاء على جميع أشكال التمييز ضد المرأة. فالقوانين الموجودة تغطي بعض أحكام هذه المعاهدات بالفعل، وتمت مواءمة بعض هذه الأحكام أو تجري مواءمتها من خلال تعديل التشريعات القائمة وتم الامتثال لبعض منها عن طريق تشريعات جديدة.</w:t>
      </w:r>
    </w:p>
    <w:p w:rsidR="008F4E17" w:rsidRPr="008F4E17" w:rsidRDefault="008F4E17" w:rsidP="008F4E17">
      <w:pPr>
        <w:pStyle w:val="SingleTxt"/>
        <w:spacing w:after="0" w:line="120" w:lineRule="exact"/>
        <w:rPr>
          <w:rFonts w:hint="cs"/>
          <w:sz w:val="10"/>
          <w:rtl/>
        </w:rPr>
      </w:pPr>
    </w:p>
    <w:p w:rsidR="008F4E17" w:rsidRDefault="008F4E17" w:rsidP="008F4E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مقدار كفالة أحكام الاتفاقية في دستور باكستان أو قوانين أخرى ومداها</w:t>
      </w:r>
    </w:p>
    <w:p w:rsidR="008F4E17" w:rsidRDefault="008F4E17" w:rsidP="008F4E17">
      <w:pPr>
        <w:pStyle w:val="SingleTxt"/>
        <w:rPr>
          <w:rFonts w:hint="cs"/>
          <w:rtl/>
        </w:rPr>
      </w:pPr>
      <w:r>
        <w:rPr>
          <w:rFonts w:hint="cs"/>
          <w:rtl/>
        </w:rPr>
        <w:t>29 -</w:t>
      </w:r>
      <w:r>
        <w:rPr>
          <w:rFonts w:hint="cs"/>
          <w:rtl/>
        </w:rPr>
        <w:tab/>
        <w:t>يرد أدناه لمحة عامة للإطار الدستوري والقانوني والإداري لتنفيذ الاتفاقية.</w:t>
      </w:r>
    </w:p>
    <w:p w:rsidR="008F4E17" w:rsidRPr="008F4E17" w:rsidRDefault="008F4E17" w:rsidP="008F4E17">
      <w:pPr>
        <w:pStyle w:val="SingleTxt"/>
        <w:spacing w:after="0" w:line="120" w:lineRule="exact"/>
        <w:rPr>
          <w:rFonts w:hint="cs"/>
          <w:sz w:val="10"/>
          <w:rtl/>
        </w:rPr>
      </w:pPr>
    </w:p>
    <w:p w:rsidR="008F4E17" w:rsidRDefault="008F4E17" w:rsidP="008F4E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الدستور والقانوني والإداري للاتفاقية</w:t>
      </w:r>
    </w:p>
    <w:p w:rsidR="008F4E17" w:rsidRDefault="008F4E17" w:rsidP="008F4E17">
      <w:pPr>
        <w:pStyle w:val="SingleTxt"/>
        <w:rPr>
          <w:rFonts w:hint="cs"/>
          <w:rtl/>
        </w:rPr>
      </w:pPr>
      <w:r>
        <w:rPr>
          <w:rFonts w:hint="cs"/>
          <w:rtl/>
        </w:rPr>
        <w:t>30 -</w:t>
      </w:r>
      <w:r>
        <w:rPr>
          <w:rFonts w:hint="cs"/>
          <w:rtl/>
        </w:rPr>
        <w:tab/>
        <w:t>يتضمن دستور باكستان قدرا هاما من حقوق الإنسان. فترد مفاهيم لحقوق الإنسان من الديباجة إلى ما بعد ذلك ويوجد جزء منفصل عن الحقوق الأساسية للمواطنين. وفيما يلي لمحة عامة موجزة عن الأحكام الدستورية ذات الصلة بالموضوع:</w:t>
      </w:r>
    </w:p>
    <w:p w:rsidR="008F4E17" w:rsidRDefault="008F4E17" w:rsidP="00E151E0">
      <w:pPr>
        <w:pStyle w:val="SingleTxt"/>
        <w:rPr>
          <w:rFonts w:hint="cs"/>
          <w:rtl/>
        </w:rPr>
      </w:pPr>
      <w:r>
        <w:rPr>
          <w:rFonts w:hint="cs"/>
          <w:rtl/>
        </w:rPr>
        <w:tab/>
        <w:t>(أ)</w:t>
      </w:r>
      <w:r>
        <w:rPr>
          <w:rFonts w:hint="cs"/>
          <w:rtl/>
        </w:rPr>
        <w:tab/>
      </w:r>
      <w:r w:rsidR="00E151E0">
        <w:rPr>
          <w:rFonts w:hint="cs"/>
          <w:rtl/>
        </w:rPr>
        <w:t xml:space="preserve">هناك </w:t>
      </w:r>
      <w:r>
        <w:rPr>
          <w:rFonts w:hint="cs"/>
          <w:rtl/>
        </w:rPr>
        <w:t xml:space="preserve">عدة أحكام في الديباجة وفي الفصل المعني بالحقوق الأساسية والفصل المعني بمبادئ السياسة العامة </w:t>
      </w:r>
      <w:r w:rsidR="00E151E0">
        <w:rPr>
          <w:rFonts w:hint="cs"/>
          <w:rtl/>
        </w:rPr>
        <w:t xml:space="preserve">تبرز </w:t>
      </w:r>
      <w:r>
        <w:rPr>
          <w:rFonts w:hint="cs"/>
          <w:rtl/>
        </w:rPr>
        <w:t>مبادئ المساواة بين جميع المواطنين/الأشخاص في الحقوق والمعاملة، دون تمييز، بما في ذلك، على أساس نوع الجنس.</w:t>
      </w:r>
    </w:p>
    <w:p w:rsidR="008F4E17" w:rsidRDefault="008F4E17" w:rsidP="008F4E17">
      <w:pPr>
        <w:pStyle w:val="SingleTxt"/>
        <w:rPr>
          <w:rFonts w:hint="cs"/>
          <w:rtl/>
        </w:rPr>
      </w:pPr>
      <w:r>
        <w:rPr>
          <w:rFonts w:hint="cs"/>
          <w:rtl/>
        </w:rPr>
        <w:tab/>
        <w:t>(ب)</w:t>
      </w:r>
      <w:r>
        <w:rPr>
          <w:rFonts w:hint="cs"/>
          <w:rtl/>
        </w:rPr>
        <w:tab/>
        <w:t>تطلب المادة 3 من الدولة القضاء على الاستغلال بجميع أشكاله.</w:t>
      </w:r>
    </w:p>
    <w:p w:rsidR="008F4E17" w:rsidRDefault="008F4E17" w:rsidP="008F4E17">
      <w:pPr>
        <w:pStyle w:val="SingleTxt"/>
        <w:rPr>
          <w:rFonts w:hint="cs"/>
          <w:rtl/>
        </w:rPr>
      </w:pPr>
      <w:r>
        <w:rPr>
          <w:rFonts w:hint="cs"/>
          <w:rtl/>
        </w:rPr>
        <w:tab/>
        <w:t>(ج)</w:t>
      </w:r>
      <w:r>
        <w:rPr>
          <w:rFonts w:hint="cs"/>
          <w:rtl/>
        </w:rPr>
        <w:tab/>
        <w:t xml:space="preserve">تنص المادة 4 على حق الأفراد في التمتع بحماية القانون. وفي المعاملة وفقا للقانون. وينطبق هذا على المواطنين وكذلك </w:t>
      </w:r>
      <w:r>
        <w:rPr>
          <w:rFonts w:hint="eastAsia"/>
          <w:rtl/>
        </w:rPr>
        <w:t>”أي شخص آخر موجود داخل باكستان بشكل مؤقت</w:t>
      </w:r>
      <w:r>
        <w:rPr>
          <w:rFonts w:hint="cs"/>
          <w:rtl/>
        </w:rPr>
        <w:t>“. كما تنص هذه المادة بوضوح على أنه لا يجوز تعليق بعض الحقوق.</w:t>
      </w:r>
    </w:p>
    <w:p w:rsidR="008F4E17" w:rsidRDefault="008F4E17" w:rsidP="00E151E0">
      <w:pPr>
        <w:pStyle w:val="SingleTxt"/>
        <w:rPr>
          <w:rFonts w:hint="eastAsia"/>
          <w:rtl/>
        </w:rPr>
      </w:pPr>
      <w:r>
        <w:rPr>
          <w:rFonts w:hint="cs"/>
          <w:rtl/>
        </w:rPr>
        <w:tab/>
        <w:t>(د)</w:t>
      </w:r>
      <w:r>
        <w:rPr>
          <w:rFonts w:hint="cs"/>
          <w:rtl/>
        </w:rPr>
        <w:tab/>
        <w:t xml:space="preserve">وبموجب المادة 8، </w:t>
      </w:r>
      <w:r w:rsidR="00E151E0">
        <w:rPr>
          <w:rFonts w:hint="cs"/>
          <w:rtl/>
        </w:rPr>
        <w:t>ت</w:t>
      </w:r>
      <w:r>
        <w:rPr>
          <w:rFonts w:hint="cs"/>
          <w:rtl/>
        </w:rPr>
        <w:t xml:space="preserve">عتبر أي ممارسة أو قانون لا يتفق مع الحقوق الأساسية أو يحط من قدرها لاغيا. وتحظر على الدولة كذلك وضع أي قانون أو سياسة عامة تتعارض مع الحقوق الأساسية، باستثناء </w:t>
      </w:r>
      <w:r>
        <w:rPr>
          <w:rFonts w:hint="eastAsia"/>
          <w:rtl/>
        </w:rPr>
        <w:t xml:space="preserve">”أي قانون يتصل بأعضاء القوات المسلحة أو الشرطة ... </w:t>
      </w:r>
      <w:r>
        <w:rPr>
          <w:rFonts w:hint="cs"/>
          <w:rtl/>
        </w:rPr>
        <w:t>المكلفة بالمحافظة على النظام العام ... لأغراض أدائهم لواجباتهم بالصورة الملائمة ...</w:t>
      </w:r>
      <w:r>
        <w:rPr>
          <w:rFonts w:hint="eastAsia"/>
          <w:rtl/>
        </w:rPr>
        <w:t>“.</w:t>
      </w:r>
    </w:p>
    <w:p w:rsidR="008F4E17" w:rsidRDefault="008F4E17" w:rsidP="008F4E17">
      <w:pPr>
        <w:pStyle w:val="SingleTxt"/>
        <w:rPr>
          <w:rFonts w:hint="cs"/>
          <w:rtl/>
        </w:rPr>
      </w:pPr>
      <w:r>
        <w:rPr>
          <w:rFonts w:hint="cs"/>
          <w:rtl/>
        </w:rPr>
        <w:tab/>
        <w:t>(هـ)</w:t>
      </w:r>
      <w:r>
        <w:rPr>
          <w:rFonts w:hint="cs"/>
          <w:rtl/>
        </w:rPr>
        <w:tab/>
        <w:t>تكفل المادة 25 المساواة أمام القانون والمساواة في الحماية القانونية وتنص على عدم التمييز في المعاملة على أساس نوع الجنس وحده.</w:t>
      </w:r>
    </w:p>
    <w:p w:rsidR="008F4E17" w:rsidRDefault="008F4E17" w:rsidP="008F4E17">
      <w:pPr>
        <w:pStyle w:val="SingleTxt"/>
        <w:rPr>
          <w:rFonts w:hint="cs"/>
          <w:rtl/>
        </w:rPr>
      </w:pPr>
      <w:r>
        <w:rPr>
          <w:rFonts w:hint="cs"/>
          <w:rtl/>
        </w:rPr>
        <w:tab/>
        <w:t>(و)</w:t>
      </w:r>
      <w:r>
        <w:rPr>
          <w:rFonts w:hint="cs"/>
          <w:rtl/>
        </w:rPr>
        <w:tab/>
        <w:t>تنص المادتان 26 و 27 على المساواة في الوصول إلى الأماكن العامة والمساواة في التوظيف في القطاعين العام والخاص.</w:t>
      </w:r>
    </w:p>
    <w:p w:rsidR="008F4E17" w:rsidRDefault="008F4E17" w:rsidP="008F4E17">
      <w:pPr>
        <w:pStyle w:val="SingleTxt"/>
        <w:rPr>
          <w:rFonts w:hint="cs"/>
          <w:rtl/>
        </w:rPr>
      </w:pPr>
      <w:r>
        <w:rPr>
          <w:rFonts w:hint="cs"/>
          <w:rtl/>
        </w:rPr>
        <w:tab/>
        <w:t>(ز)</w:t>
      </w:r>
      <w:r>
        <w:rPr>
          <w:rFonts w:hint="cs"/>
          <w:rtl/>
        </w:rPr>
        <w:tab/>
        <w:t>تحظر المادتان 11 و 37 (ز) الاتجار بالأشخاص وكذلك البغاء.</w:t>
      </w:r>
    </w:p>
    <w:p w:rsidR="008F4E17" w:rsidRDefault="008F4E17" w:rsidP="008F4E17">
      <w:pPr>
        <w:pStyle w:val="SingleTxt"/>
        <w:rPr>
          <w:rFonts w:hint="cs"/>
          <w:rtl/>
        </w:rPr>
      </w:pPr>
      <w:r>
        <w:rPr>
          <w:rFonts w:hint="cs"/>
          <w:rtl/>
        </w:rPr>
        <w:tab/>
        <w:t>(ح)</w:t>
      </w:r>
      <w:r>
        <w:rPr>
          <w:rFonts w:hint="cs"/>
          <w:rtl/>
        </w:rPr>
        <w:tab/>
        <w:t>تضع المادة 32 أحكاما خاصة من أجل تمثيل المرأة في الحكومة المحلية.</w:t>
      </w:r>
    </w:p>
    <w:p w:rsidR="008F4E17" w:rsidRDefault="008F4E17" w:rsidP="008F4E17">
      <w:pPr>
        <w:pStyle w:val="SingleTxt"/>
        <w:rPr>
          <w:rFonts w:hint="cs"/>
          <w:rtl/>
        </w:rPr>
      </w:pPr>
      <w:r>
        <w:rPr>
          <w:rFonts w:hint="cs"/>
          <w:rtl/>
        </w:rPr>
        <w:tab/>
        <w:t>(ط)</w:t>
      </w:r>
      <w:r>
        <w:rPr>
          <w:rFonts w:hint="cs"/>
          <w:rtl/>
        </w:rPr>
        <w:tab/>
        <w:t>توجه المادة 34 الدولة إلى اتخاذ التدابير الملائمة لتمكين المرأة من المشاركة في جميع مجالات الحياة الوطنية والأنشطة المجتمعية. وبالإضافة إلى ذلك، تسمح المادتان الفرعيان 25 (3) و 26 (2) للدولة باتخاذ تدابير خاصة لحماية النساء والأطفال.</w:t>
      </w:r>
    </w:p>
    <w:p w:rsidR="008F4E17" w:rsidRDefault="008F4E17" w:rsidP="008F4E17">
      <w:pPr>
        <w:pStyle w:val="SingleTxt"/>
        <w:rPr>
          <w:rFonts w:hint="cs"/>
          <w:rtl/>
        </w:rPr>
      </w:pPr>
      <w:r>
        <w:rPr>
          <w:rFonts w:hint="cs"/>
          <w:rtl/>
        </w:rPr>
        <w:tab/>
        <w:t>(ي)</w:t>
      </w:r>
      <w:r>
        <w:rPr>
          <w:rFonts w:hint="cs"/>
          <w:rtl/>
        </w:rPr>
        <w:tab/>
        <w:t>تطلب المادة 35 من الدولة أن تقوم بحماية الزواج والأسرة والأم والطفل.</w:t>
      </w:r>
    </w:p>
    <w:p w:rsidR="008F4E17" w:rsidRDefault="008F4E17" w:rsidP="00E151E0">
      <w:pPr>
        <w:pStyle w:val="SingleTxt"/>
        <w:rPr>
          <w:rFonts w:hint="cs"/>
          <w:rtl/>
        </w:rPr>
      </w:pPr>
      <w:r>
        <w:rPr>
          <w:rFonts w:hint="cs"/>
          <w:rtl/>
        </w:rPr>
        <w:tab/>
        <w:t>(ك)</w:t>
      </w:r>
      <w:r>
        <w:rPr>
          <w:rFonts w:hint="cs"/>
          <w:rtl/>
        </w:rPr>
        <w:tab/>
        <w:t>توجه المادة الفرعية 37 (هـ) الدولة إلى اتخاذ تدابير لكفالة ظروف عمل عادلة وإنسانية للأطفال والنساء</w:t>
      </w:r>
      <w:r w:rsidR="001231BB">
        <w:rPr>
          <w:rFonts w:hint="cs"/>
          <w:rtl/>
        </w:rPr>
        <w:t xml:space="preserve">. وضمان عدم توظيفهم في أعمال لا تتفق مع سنهم أو نوع جنسهم. وكفالة استحقاقات الأمومة للنساء الموظفات (تعتبر صيغة هذه المادة عتيقة مقارنة بالفكر الحالي المتصل بحقوق المرأة، غير أن استحقاقات الأمومة الواردة في المادة متاحة للمرأة وهي تمارسها بوصفها حقا لها. وأدرجت مسألة عدم توظيف </w:t>
      </w:r>
      <w:r w:rsidR="00E151E0">
        <w:rPr>
          <w:rFonts w:hint="cs"/>
          <w:rtl/>
        </w:rPr>
        <w:t xml:space="preserve">النساء </w:t>
      </w:r>
      <w:r w:rsidR="001231BB">
        <w:rPr>
          <w:rFonts w:hint="cs"/>
          <w:rtl/>
        </w:rPr>
        <w:t xml:space="preserve">في </w:t>
      </w:r>
      <w:r w:rsidR="001231BB">
        <w:rPr>
          <w:rFonts w:hint="eastAsia"/>
          <w:rtl/>
        </w:rPr>
        <w:t>”أعمال لا تتفق مع سنهن ونوع جنسهن</w:t>
      </w:r>
      <w:r w:rsidR="001231BB">
        <w:rPr>
          <w:rFonts w:hint="cs"/>
          <w:rtl/>
        </w:rPr>
        <w:t>“ كضمان ضد الاستغلال وكانت ملائمة وقت صياغة الدستور وفي سياقه. غير أن هذه المسألة لم تستغل لعرقلة دخول المرأة في مجالات/ميادين العمل غير التقليدية كما يتبين من زيادة عدد النساء الملتحقات بدوائر الشرطة، والجيش والقوات الجوية وما إلى ذلك).</w:t>
      </w:r>
    </w:p>
    <w:p w:rsidR="001231BB" w:rsidRDefault="001231BB" w:rsidP="008F4E17">
      <w:pPr>
        <w:pStyle w:val="SingleTxt"/>
        <w:rPr>
          <w:rFonts w:hint="cs"/>
          <w:rtl/>
        </w:rPr>
      </w:pPr>
      <w:r>
        <w:rPr>
          <w:rFonts w:hint="cs"/>
          <w:rtl/>
        </w:rPr>
        <w:tab/>
        <w:t>(ل)</w:t>
      </w:r>
      <w:r>
        <w:rPr>
          <w:rFonts w:hint="cs"/>
          <w:rtl/>
        </w:rPr>
        <w:tab/>
        <w:t>تنص المادتان 51 و 106 على حجز مقاعد للمرأة في الهيئات التشريعية.</w:t>
      </w:r>
    </w:p>
    <w:p w:rsidR="001231BB" w:rsidRPr="001231BB" w:rsidRDefault="001231BB" w:rsidP="001231BB">
      <w:pPr>
        <w:pStyle w:val="SingleTxt"/>
        <w:spacing w:after="0" w:line="120" w:lineRule="exact"/>
        <w:rPr>
          <w:rFonts w:hint="cs"/>
          <w:sz w:val="10"/>
          <w:rtl/>
        </w:rPr>
      </w:pPr>
    </w:p>
    <w:p w:rsidR="001231BB" w:rsidRDefault="001231BB" w:rsidP="001231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الوضع الفعلي لهذه الحقوق وتوافرها العملي</w:t>
      </w:r>
    </w:p>
    <w:p w:rsidR="001231BB" w:rsidRDefault="001231BB" w:rsidP="00CB773D">
      <w:pPr>
        <w:pStyle w:val="SingleTxt"/>
        <w:rPr>
          <w:rFonts w:hint="cs"/>
          <w:rtl/>
        </w:rPr>
      </w:pPr>
      <w:r>
        <w:rPr>
          <w:rFonts w:hint="cs"/>
          <w:rtl/>
        </w:rPr>
        <w:t>31 -</w:t>
      </w:r>
      <w:r>
        <w:rPr>
          <w:rFonts w:hint="cs"/>
          <w:rtl/>
        </w:rPr>
        <w:tab/>
        <w:t>كل مواطن يستطيع التقدم إلى أي محكمة لها السلطة المناسبة في حالة المساس بحقوقه/ حقوقها الأساسية. وسبل الانتصاف هذه غير متاحة لجميع المواطنين بصورة متساوية، في الممارسة، وذلك لعدة أسباب، منها انخفاض مستوى الإلمام بالقراءة والكتابة وعدم وعي الفرد بحقوقه. ويعتبر التقدم إلى القضاء عن طريق محام م</w:t>
      </w:r>
      <w:r w:rsidR="00CB773D">
        <w:rPr>
          <w:rFonts w:hint="cs"/>
          <w:rtl/>
        </w:rPr>
        <w:t>ك</w:t>
      </w:r>
      <w:r>
        <w:rPr>
          <w:rFonts w:hint="cs"/>
          <w:rtl/>
        </w:rPr>
        <w:t>لفا من حيث الوقت والجهد والمال وبعد المسافات. ويلزم تعزيز مراعاة الفوارق بين الجنسين في جميع أجهزة الدولة، بما في ذلك، القضاء.</w:t>
      </w:r>
    </w:p>
    <w:p w:rsidR="001231BB" w:rsidRDefault="001231BB" w:rsidP="001231BB">
      <w:pPr>
        <w:pStyle w:val="SingleTxt"/>
        <w:rPr>
          <w:rFonts w:hint="cs"/>
          <w:rtl/>
        </w:rPr>
      </w:pPr>
      <w:r>
        <w:rPr>
          <w:rFonts w:hint="cs"/>
          <w:rtl/>
        </w:rPr>
        <w:t>32 -</w:t>
      </w:r>
      <w:r>
        <w:rPr>
          <w:rFonts w:hint="cs"/>
          <w:rtl/>
        </w:rPr>
        <w:tab/>
        <w:t xml:space="preserve">وتتم معالجة هذه الحالة، إلى حد ما، من خلال تدابير يتخذها كل من الحكومة والمجتمع المدني، إذ تقوم منظمات المجتمع المدني بتنظيم عدد كبير من البرامج لمساعدة القطاعات الأقل تمكنا من التقدم </w:t>
      </w:r>
      <w:r w:rsidR="00CB773D">
        <w:rPr>
          <w:rFonts w:hint="cs"/>
          <w:rtl/>
        </w:rPr>
        <w:t>إ</w:t>
      </w:r>
      <w:r>
        <w:rPr>
          <w:rFonts w:hint="cs"/>
          <w:rtl/>
        </w:rPr>
        <w:t>لى المحاكم والحصول على العدالة بين السكان، وخاصة النساء الفقيرات. وهناك تقليد سليم بين الناشطين في مجال حقوق الإنسان، وكثير منهم محامون أنفسهم، يتمثل في تقديم خدمات مجانية لضحايا انتهاكات حقوق الإنسان.</w:t>
      </w:r>
    </w:p>
    <w:p w:rsidR="001231BB" w:rsidRDefault="001231BB" w:rsidP="001231BB">
      <w:pPr>
        <w:pStyle w:val="SingleTxt"/>
        <w:rPr>
          <w:rFonts w:hint="cs"/>
          <w:rtl/>
        </w:rPr>
      </w:pPr>
      <w:r>
        <w:rPr>
          <w:rFonts w:hint="cs"/>
          <w:rtl/>
        </w:rPr>
        <w:t>33 -</w:t>
      </w:r>
      <w:r>
        <w:rPr>
          <w:rFonts w:hint="cs"/>
          <w:rtl/>
        </w:rPr>
        <w:tab/>
        <w:t>ومن جانب الحكومة، هناك أيضا آليات عديدة متاحة للمواطنين للمطالبة بحقوقهم. وهي:</w:t>
      </w:r>
    </w:p>
    <w:p w:rsidR="001231BB" w:rsidRDefault="001231BB" w:rsidP="005F4A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’1‘</w:t>
      </w:r>
      <w:r>
        <w:rPr>
          <w:rFonts w:hint="cs"/>
          <w:rtl/>
        </w:rPr>
        <w:tab/>
        <w:t xml:space="preserve">مكتب أمين المظالم الاتحادي - وينص ميثاق مؤسسة أمين المظالم على أنه سيقوم </w:t>
      </w:r>
      <w:r>
        <w:rPr>
          <w:rFonts w:hint="eastAsia"/>
          <w:rtl/>
        </w:rPr>
        <w:t>”بتشخيص أي ظلم يقع على شخص بسبب سوء الإدارة والتحقيق فيه وجبر الظلم وتقويمه</w:t>
      </w:r>
      <w:r>
        <w:rPr>
          <w:rFonts w:hint="cs"/>
          <w:rtl/>
        </w:rPr>
        <w:t xml:space="preserve">“. ويرد تعريف شامل لسوء الإدارة في الميثاق. ويشمل هذا التعريف أمورا من بينها قرار يعتبر </w:t>
      </w:r>
      <w:r>
        <w:rPr>
          <w:rFonts w:hint="eastAsia"/>
          <w:rtl/>
        </w:rPr>
        <w:t>”منحرف أو تعسفي أو غي</w:t>
      </w:r>
      <w:r w:rsidR="005F4AD5">
        <w:rPr>
          <w:rFonts w:hint="eastAsia"/>
          <w:rtl/>
        </w:rPr>
        <w:t>ر معقول أو غير عادل أو متحيز أو</w:t>
      </w:r>
      <w:r w:rsidR="005F4AD5">
        <w:rPr>
          <w:rFonts w:hint="cs"/>
          <w:rtl/>
        </w:rPr>
        <w:t> </w:t>
      </w:r>
      <w:r>
        <w:rPr>
          <w:rFonts w:hint="eastAsia"/>
          <w:rtl/>
        </w:rPr>
        <w:t>جائر أ, تمييزي</w:t>
      </w:r>
      <w:r>
        <w:rPr>
          <w:rFonts w:hint="cs"/>
          <w:rtl/>
        </w:rPr>
        <w:t>“.</w:t>
      </w:r>
    </w:p>
    <w:p w:rsidR="00573128" w:rsidRPr="00573128" w:rsidRDefault="00573128" w:rsidP="00573128">
      <w:pPr>
        <w:pStyle w:val="SingleTxt"/>
        <w:spacing w:after="0" w:line="120" w:lineRule="exact"/>
        <w:rPr>
          <w:rFonts w:hint="cs"/>
          <w:sz w:val="10"/>
          <w:rtl/>
        </w:rPr>
      </w:pPr>
    </w:p>
    <w:p w:rsidR="001231BB" w:rsidRDefault="00573128" w:rsidP="00573128">
      <w:pPr>
        <w:pStyle w:val="SingleTxt"/>
        <w:spacing w:after="0"/>
        <w:rPr>
          <w:rFonts w:hint="cs"/>
          <w:rtl/>
        </w:rPr>
      </w:pPr>
      <w:r>
        <w:rPr>
          <w:rFonts w:hint="cs"/>
          <w:rtl/>
        </w:rPr>
        <w:t>الجدول 2-1</w:t>
      </w:r>
    </w:p>
    <w:p w:rsidR="00573128" w:rsidRDefault="00573128" w:rsidP="00573128">
      <w:pPr>
        <w:pStyle w:val="SingleTxt"/>
        <w:rPr>
          <w:rFonts w:hint="cs"/>
          <w:b/>
          <w:bCs/>
          <w:rtl/>
        </w:rPr>
      </w:pPr>
      <w:r w:rsidRPr="00573128">
        <w:rPr>
          <w:rFonts w:hint="cs"/>
          <w:b/>
          <w:bCs/>
          <w:rtl/>
        </w:rPr>
        <w:t>مكتب أمين المظالم الاتحادي - إسلام أباد</w:t>
      </w:r>
    </w:p>
    <w:p w:rsidR="00FE1E42" w:rsidRPr="00FE1E42" w:rsidRDefault="00FE1E42" w:rsidP="00FE1E42">
      <w:pPr>
        <w:pStyle w:val="SingleTxt"/>
        <w:spacing w:after="0" w:line="120" w:lineRule="exact"/>
        <w:rPr>
          <w:rFonts w:hint="cs"/>
          <w:sz w:val="10"/>
          <w:rtl/>
        </w:rPr>
      </w:pPr>
    </w:p>
    <w:tbl>
      <w:tblPr>
        <w:bidiVisual/>
        <w:tblW w:w="7320" w:type="dxa"/>
        <w:jc w:val="center"/>
        <w:tblLayout w:type="fixed"/>
        <w:tblCellMar>
          <w:left w:w="0" w:type="dxa"/>
          <w:right w:w="0" w:type="dxa"/>
        </w:tblCellMar>
        <w:tblLook w:val="0000" w:firstRow="0" w:lastRow="0" w:firstColumn="0" w:lastColumn="0" w:noHBand="0" w:noVBand="0"/>
      </w:tblPr>
      <w:tblGrid>
        <w:gridCol w:w="2440"/>
        <w:gridCol w:w="2440"/>
        <w:gridCol w:w="2440"/>
      </w:tblGrid>
      <w:tr w:rsidR="00EE1FF3" w:rsidRPr="001231BB">
        <w:tblPrEx>
          <w:tblCellMar>
            <w:top w:w="0" w:type="dxa"/>
            <w:bottom w:w="0" w:type="dxa"/>
          </w:tblCellMar>
        </w:tblPrEx>
        <w:trPr>
          <w:cantSplit/>
          <w:tblHeader/>
          <w:jc w:val="center"/>
        </w:trPr>
        <w:tc>
          <w:tcPr>
            <w:tcW w:w="2440" w:type="dxa"/>
            <w:tcBorders>
              <w:top w:val="single" w:sz="4" w:space="0" w:color="auto"/>
              <w:bottom w:val="single" w:sz="12" w:space="0" w:color="auto"/>
            </w:tcBorders>
            <w:shd w:val="clear" w:color="auto" w:fill="auto"/>
            <w:vAlign w:val="bottom"/>
          </w:tcPr>
          <w:p w:rsidR="00EE1FF3" w:rsidRPr="001231BB" w:rsidRDefault="00EE1FF3" w:rsidP="00EE1FF3">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السنة</w:t>
            </w:r>
          </w:p>
        </w:tc>
        <w:tc>
          <w:tcPr>
            <w:tcW w:w="2440" w:type="dxa"/>
            <w:tcBorders>
              <w:top w:val="single" w:sz="4" w:space="0" w:color="auto"/>
              <w:bottom w:val="single" w:sz="12" w:space="0" w:color="auto"/>
            </w:tcBorders>
            <w:shd w:val="clear" w:color="auto" w:fill="auto"/>
            <w:vAlign w:val="bottom"/>
          </w:tcPr>
          <w:p w:rsidR="00EE1FF3" w:rsidRPr="001231BB" w:rsidRDefault="00EE1FF3" w:rsidP="00EE1FF3">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عدد الشكاوى المقدمة من المرأة</w:t>
            </w:r>
          </w:p>
        </w:tc>
        <w:tc>
          <w:tcPr>
            <w:tcW w:w="2440" w:type="dxa"/>
            <w:tcBorders>
              <w:top w:val="single" w:sz="4" w:space="0" w:color="auto"/>
              <w:bottom w:val="single" w:sz="12" w:space="0" w:color="auto"/>
            </w:tcBorders>
            <w:shd w:val="clear" w:color="auto" w:fill="auto"/>
            <w:vAlign w:val="bottom"/>
          </w:tcPr>
          <w:p w:rsidR="00EE1FF3" w:rsidRPr="001231BB" w:rsidRDefault="00EE1FF3" w:rsidP="00EE1FF3">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مجموع عدد الشكاوى الواردة</w:t>
            </w:r>
          </w:p>
        </w:tc>
      </w:tr>
      <w:tr w:rsidR="001231BB" w:rsidRPr="001231BB">
        <w:tblPrEx>
          <w:tblCellMar>
            <w:top w:w="0" w:type="dxa"/>
            <w:bottom w:w="0" w:type="dxa"/>
          </w:tblCellMar>
        </w:tblPrEx>
        <w:trPr>
          <w:cantSplit/>
          <w:trHeight w:hRule="exact" w:val="115"/>
          <w:tblHeader/>
          <w:jc w:val="center"/>
        </w:trPr>
        <w:tc>
          <w:tcPr>
            <w:tcW w:w="2440" w:type="dxa"/>
            <w:tcBorders>
              <w:top w:val="single" w:sz="12" w:space="0" w:color="auto"/>
            </w:tcBorders>
            <w:shd w:val="clear" w:color="auto" w:fill="auto"/>
            <w:vAlign w:val="bottom"/>
          </w:tcPr>
          <w:p w:rsidR="001231BB" w:rsidRPr="001231BB" w:rsidRDefault="001231BB" w:rsidP="001231BB">
            <w:pPr>
              <w:tabs>
                <w:tab w:val="left" w:pos="288"/>
                <w:tab w:val="left" w:pos="576"/>
                <w:tab w:val="left" w:pos="864"/>
                <w:tab w:val="left" w:pos="1152"/>
              </w:tabs>
              <w:spacing w:before="40" w:after="80" w:line="240" w:lineRule="exact"/>
              <w:ind w:left="72" w:right="72"/>
              <w:rPr>
                <w:rFonts w:hint="cs"/>
                <w:sz w:val="16"/>
                <w:szCs w:val="24"/>
                <w:rtl/>
              </w:rPr>
            </w:pPr>
          </w:p>
        </w:tc>
        <w:tc>
          <w:tcPr>
            <w:tcW w:w="2440" w:type="dxa"/>
            <w:tcBorders>
              <w:top w:val="single" w:sz="12" w:space="0" w:color="auto"/>
            </w:tcBorders>
            <w:shd w:val="clear" w:color="auto" w:fill="auto"/>
            <w:vAlign w:val="bottom"/>
          </w:tcPr>
          <w:p w:rsidR="001231BB" w:rsidRPr="001231BB" w:rsidRDefault="001231BB" w:rsidP="001231B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2440" w:type="dxa"/>
            <w:tcBorders>
              <w:top w:val="single" w:sz="12" w:space="0" w:color="auto"/>
            </w:tcBorders>
            <w:shd w:val="clear" w:color="auto" w:fill="auto"/>
            <w:vAlign w:val="bottom"/>
          </w:tcPr>
          <w:p w:rsidR="001231BB" w:rsidRPr="001231BB" w:rsidRDefault="001231BB" w:rsidP="001231B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1231BB" w:rsidRPr="001231BB">
        <w:tblPrEx>
          <w:tblCellMar>
            <w:top w:w="0" w:type="dxa"/>
            <w:bottom w:w="0" w:type="dxa"/>
          </w:tblCellMar>
        </w:tblPrEx>
        <w:trPr>
          <w:cantSplit/>
          <w:jc w:val="center"/>
        </w:trPr>
        <w:tc>
          <w:tcPr>
            <w:tcW w:w="2440" w:type="dxa"/>
            <w:shd w:val="clear" w:color="auto" w:fill="auto"/>
            <w:vAlign w:val="bottom"/>
          </w:tcPr>
          <w:p w:rsidR="001231BB" w:rsidRPr="001231BB" w:rsidRDefault="005F4AD5" w:rsidP="001231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2000</w:t>
            </w:r>
          </w:p>
        </w:tc>
        <w:tc>
          <w:tcPr>
            <w:tcW w:w="2440" w:type="dxa"/>
            <w:shd w:val="clear" w:color="auto" w:fill="auto"/>
            <w:vAlign w:val="bottom"/>
          </w:tcPr>
          <w:p w:rsidR="001231BB" w:rsidRPr="001231BB" w:rsidRDefault="005F4AD5" w:rsidP="001231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311 2</w:t>
            </w:r>
          </w:p>
        </w:tc>
        <w:tc>
          <w:tcPr>
            <w:tcW w:w="2440" w:type="dxa"/>
            <w:shd w:val="clear" w:color="auto" w:fill="auto"/>
            <w:vAlign w:val="bottom"/>
          </w:tcPr>
          <w:p w:rsidR="001231BB" w:rsidRPr="001231BB" w:rsidRDefault="005F4AD5" w:rsidP="001231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735 38</w:t>
            </w:r>
          </w:p>
        </w:tc>
      </w:tr>
      <w:tr w:rsidR="001231BB" w:rsidRPr="001231BB">
        <w:tblPrEx>
          <w:tblCellMar>
            <w:top w:w="0" w:type="dxa"/>
            <w:bottom w:w="0" w:type="dxa"/>
          </w:tblCellMar>
        </w:tblPrEx>
        <w:trPr>
          <w:cantSplit/>
          <w:jc w:val="center"/>
        </w:trPr>
        <w:tc>
          <w:tcPr>
            <w:tcW w:w="2440" w:type="dxa"/>
            <w:shd w:val="clear" w:color="auto" w:fill="auto"/>
            <w:vAlign w:val="bottom"/>
          </w:tcPr>
          <w:p w:rsidR="001231BB" w:rsidRPr="001231BB" w:rsidRDefault="005F4AD5" w:rsidP="001231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2001</w:t>
            </w:r>
          </w:p>
        </w:tc>
        <w:tc>
          <w:tcPr>
            <w:tcW w:w="2440" w:type="dxa"/>
            <w:shd w:val="clear" w:color="auto" w:fill="auto"/>
            <w:vAlign w:val="bottom"/>
          </w:tcPr>
          <w:p w:rsidR="001231BB" w:rsidRPr="001231BB" w:rsidRDefault="005F4AD5" w:rsidP="001231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956 1</w:t>
            </w:r>
          </w:p>
        </w:tc>
        <w:tc>
          <w:tcPr>
            <w:tcW w:w="2440" w:type="dxa"/>
            <w:shd w:val="clear" w:color="auto" w:fill="auto"/>
            <w:vAlign w:val="bottom"/>
          </w:tcPr>
          <w:p w:rsidR="001231BB" w:rsidRPr="001231BB" w:rsidRDefault="005F4AD5" w:rsidP="001231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843 38</w:t>
            </w:r>
          </w:p>
        </w:tc>
      </w:tr>
      <w:tr w:rsidR="001231BB" w:rsidRPr="001231BB">
        <w:tblPrEx>
          <w:tblCellMar>
            <w:top w:w="0" w:type="dxa"/>
            <w:bottom w:w="0" w:type="dxa"/>
          </w:tblCellMar>
        </w:tblPrEx>
        <w:trPr>
          <w:cantSplit/>
          <w:jc w:val="center"/>
        </w:trPr>
        <w:tc>
          <w:tcPr>
            <w:tcW w:w="2440" w:type="dxa"/>
            <w:tcBorders>
              <w:bottom w:val="single" w:sz="12" w:space="0" w:color="auto"/>
            </w:tcBorders>
            <w:shd w:val="clear" w:color="auto" w:fill="auto"/>
            <w:vAlign w:val="bottom"/>
          </w:tcPr>
          <w:p w:rsidR="001231BB" w:rsidRPr="001231BB" w:rsidRDefault="005F4AD5" w:rsidP="001231B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2002</w:t>
            </w:r>
          </w:p>
        </w:tc>
        <w:tc>
          <w:tcPr>
            <w:tcW w:w="2440" w:type="dxa"/>
            <w:tcBorders>
              <w:bottom w:val="single" w:sz="12" w:space="0" w:color="auto"/>
            </w:tcBorders>
            <w:shd w:val="clear" w:color="auto" w:fill="auto"/>
            <w:vAlign w:val="bottom"/>
          </w:tcPr>
          <w:p w:rsidR="001231BB" w:rsidRPr="001231BB" w:rsidRDefault="005F4AD5" w:rsidP="001231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098 2</w:t>
            </w:r>
          </w:p>
        </w:tc>
        <w:tc>
          <w:tcPr>
            <w:tcW w:w="2440" w:type="dxa"/>
            <w:tcBorders>
              <w:bottom w:val="single" w:sz="12" w:space="0" w:color="auto"/>
            </w:tcBorders>
            <w:shd w:val="clear" w:color="auto" w:fill="auto"/>
            <w:vAlign w:val="bottom"/>
          </w:tcPr>
          <w:p w:rsidR="001231BB" w:rsidRPr="001231BB" w:rsidRDefault="005F4AD5" w:rsidP="001231B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263 40</w:t>
            </w:r>
          </w:p>
        </w:tc>
      </w:tr>
    </w:tbl>
    <w:p w:rsidR="001231BB" w:rsidRPr="001231BB" w:rsidRDefault="001231BB" w:rsidP="001231BB">
      <w:pPr>
        <w:pStyle w:val="SingleTxt"/>
        <w:spacing w:after="0" w:line="120" w:lineRule="exact"/>
        <w:rPr>
          <w:rFonts w:hint="cs"/>
          <w:sz w:val="10"/>
          <w:rtl/>
        </w:rPr>
      </w:pPr>
    </w:p>
    <w:p w:rsidR="001231BB" w:rsidRDefault="00FE1E42" w:rsidP="00EE1FF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Pr>
          <w:rFonts w:hint="cs"/>
          <w:i/>
          <w:iCs/>
          <w:rtl/>
        </w:rPr>
        <w:tab/>
      </w:r>
      <w:r w:rsidR="00EE1FF3" w:rsidRPr="00EE1FF3">
        <w:rPr>
          <w:rFonts w:hint="cs"/>
          <w:i/>
          <w:iCs/>
          <w:rtl/>
        </w:rPr>
        <w:t>المصدر</w:t>
      </w:r>
      <w:r w:rsidR="00EE1FF3">
        <w:rPr>
          <w:rFonts w:hint="cs"/>
          <w:rtl/>
        </w:rPr>
        <w:t>: مكتب أمين المظالم الاتحادي، 2003.</w:t>
      </w:r>
    </w:p>
    <w:p w:rsidR="00EE1FF3" w:rsidRDefault="005F4AD5" w:rsidP="005F4A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’2‘</w:t>
      </w:r>
      <w:r>
        <w:rPr>
          <w:rFonts w:hint="cs"/>
          <w:rtl/>
        </w:rPr>
        <w:tab/>
        <w:t>محكمة الخدمات - هذا السبيل متاح لمواطني باكستان في الخدمة الحكومية.</w:t>
      </w:r>
    </w:p>
    <w:p w:rsidR="005F4AD5" w:rsidRDefault="005F4AD5" w:rsidP="005F4A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’3‘</w:t>
      </w:r>
      <w:r>
        <w:rPr>
          <w:rFonts w:hint="cs"/>
          <w:rtl/>
        </w:rPr>
        <w:tab/>
        <w:t>محاكم العمل.</w:t>
      </w:r>
    </w:p>
    <w:p w:rsidR="005F4AD5" w:rsidRPr="005F4AD5" w:rsidRDefault="005F4AD5" w:rsidP="005F4AD5">
      <w:pPr>
        <w:pStyle w:val="SingleTxt"/>
        <w:spacing w:after="0" w:line="120" w:lineRule="exact"/>
        <w:rPr>
          <w:rFonts w:hint="cs"/>
          <w:sz w:val="10"/>
          <w:rtl/>
        </w:rPr>
      </w:pPr>
    </w:p>
    <w:p w:rsidR="005F4AD5" w:rsidRDefault="005F4AD5" w:rsidP="005F4A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لمحة عامة لبعض التدابير القانونية والعملية التي تعمل على تنفيذ أحكام الاتفاقية</w:t>
      </w:r>
    </w:p>
    <w:p w:rsidR="005F4AD5" w:rsidRDefault="005F4AD5" w:rsidP="005F4AD5">
      <w:pPr>
        <w:pStyle w:val="SingleTxt"/>
        <w:rPr>
          <w:rFonts w:hint="cs"/>
          <w:rtl/>
        </w:rPr>
      </w:pPr>
      <w:r>
        <w:rPr>
          <w:rFonts w:hint="cs"/>
          <w:rtl/>
        </w:rPr>
        <w:t>34 -</w:t>
      </w:r>
      <w:r>
        <w:rPr>
          <w:rFonts w:hint="cs"/>
          <w:rtl/>
        </w:rPr>
        <w:tab/>
      </w:r>
      <w:r w:rsidR="00476E10">
        <w:rPr>
          <w:rFonts w:hint="cs"/>
          <w:rtl/>
        </w:rPr>
        <w:t>هناك عدد كبير من القوانين والتدابير الإدارية التي تعمل على تنفيذ أحكام مختلفة من الاتفاقية، بصورة مباشرة أو غي مباشرة. وترد أدناه لمحة عامة لها:</w:t>
      </w:r>
    </w:p>
    <w:p w:rsidR="00476E10" w:rsidRDefault="00476E10" w:rsidP="005F4AD5">
      <w:pPr>
        <w:pStyle w:val="SingleTxt"/>
        <w:rPr>
          <w:rFonts w:hint="cs"/>
          <w:rtl/>
        </w:rPr>
      </w:pPr>
      <w:r>
        <w:rPr>
          <w:rFonts w:hint="cs"/>
          <w:rtl/>
        </w:rPr>
        <w:tab/>
        <w:t>(أ)</w:t>
      </w:r>
      <w:r>
        <w:rPr>
          <w:rFonts w:hint="cs"/>
          <w:rtl/>
        </w:rPr>
        <w:tab/>
        <w:t>مرسوم قوانين الأسرة المسلمة، 1961 (ويهدف إلى حماية حقوق المرأة فيما يتصل بالزواج والطلاق).</w:t>
      </w:r>
    </w:p>
    <w:p w:rsidR="00476E10" w:rsidRDefault="00476E10" w:rsidP="005F4AD5">
      <w:pPr>
        <w:pStyle w:val="SingleTxt"/>
        <w:rPr>
          <w:rFonts w:hint="cs"/>
          <w:rtl/>
        </w:rPr>
      </w:pPr>
      <w:r>
        <w:rPr>
          <w:rFonts w:hint="cs"/>
          <w:rtl/>
        </w:rPr>
        <w:tab/>
        <w:t>(ب)</w:t>
      </w:r>
      <w:r>
        <w:rPr>
          <w:rFonts w:hint="cs"/>
          <w:rtl/>
        </w:rPr>
        <w:tab/>
        <w:t>قانون قيد زواج الأطفال، 1929، ويحظر زواج القصَّر وينص على عقوبات لأي شخص يقوم بزواج الأطفال، بما في ذلك الآباء أو الأوصياء.</w:t>
      </w:r>
    </w:p>
    <w:p w:rsidR="00476E10" w:rsidRDefault="00476E10" w:rsidP="001662DD">
      <w:pPr>
        <w:pStyle w:val="SingleTxt"/>
        <w:rPr>
          <w:rFonts w:hint="cs"/>
          <w:rtl/>
        </w:rPr>
      </w:pPr>
      <w:r>
        <w:rPr>
          <w:rFonts w:hint="cs"/>
          <w:rtl/>
        </w:rPr>
        <w:tab/>
        <w:t>(ج)</w:t>
      </w:r>
      <w:r>
        <w:rPr>
          <w:rFonts w:hint="cs"/>
          <w:rtl/>
        </w:rPr>
        <w:tab/>
        <w:t>قانون محاكم الأسرة، لسنة 1964، وينص على تشكيل محاكم خاصة للأسرة للفصل في قضايا الأسرة، مثل الطلاق والنفقة وحضانة الأطفال وما إلى ذلك. ولا</w:t>
      </w:r>
      <w:r>
        <w:rPr>
          <w:rFonts w:hint="eastAsia"/>
          <w:rtl/>
        </w:rPr>
        <w:t> </w:t>
      </w:r>
      <w:r>
        <w:rPr>
          <w:rFonts w:hint="cs"/>
          <w:rtl/>
        </w:rPr>
        <w:t>تدفع رسوم للمحكمة في هذه القضايا وعلى المحاكم أن تبت في هذه القضايا على نحو عاجل. وجرى تحديث هذا القانون بصورة شاملة في سنة 2002 وأدرجت فيه المطالب المستمرة للن</w:t>
      </w:r>
      <w:r w:rsidR="001662DD">
        <w:rPr>
          <w:rFonts w:hint="cs"/>
          <w:rtl/>
        </w:rPr>
        <w:t>ا</w:t>
      </w:r>
      <w:r>
        <w:rPr>
          <w:rFonts w:hint="cs"/>
          <w:rtl/>
        </w:rPr>
        <w:t>شطين في مجال حقوق المرأة ليصبح متمشيا مع العصر.</w:t>
      </w:r>
    </w:p>
    <w:p w:rsidR="00476E10" w:rsidRDefault="00476E10" w:rsidP="00476E10">
      <w:pPr>
        <w:pStyle w:val="SingleTxt"/>
        <w:rPr>
          <w:rFonts w:hint="cs"/>
          <w:rtl/>
        </w:rPr>
      </w:pPr>
      <w:r>
        <w:rPr>
          <w:rFonts w:hint="cs"/>
          <w:rtl/>
        </w:rPr>
        <w:tab/>
        <w:t>(د)</w:t>
      </w:r>
      <w:r>
        <w:rPr>
          <w:rFonts w:hint="cs"/>
          <w:rtl/>
        </w:rPr>
        <w:tab/>
        <w:t>هناك حظر على توظيف المرأة في النوبات الليلية (المادة 45 من قانون المصانع، والمادة الفرعية 23 (جيم) من قانون المناجم) أو في الوظائف الخطرة (قواعد الوظائف الخطرة، 1963).</w:t>
      </w:r>
    </w:p>
    <w:p w:rsidR="00476E10" w:rsidRDefault="00476E10" w:rsidP="00476E10">
      <w:pPr>
        <w:pStyle w:val="SingleTxt"/>
        <w:rPr>
          <w:rFonts w:hint="cs"/>
          <w:rtl/>
        </w:rPr>
      </w:pPr>
      <w:r>
        <w:rPr>
          <w:rFonts w:hint="cs"/>
          <w:rtl/>
        </w:rPr>
        <w:tab/>
        <w:t>(هـ)</w:t>
      </w:r>
      <w:r>
        <w:rPr>
          <w:rFonts w:hint="cs"/>
          <w:rtl/>
        </w:rPr>
        <w:tab/>
        <w:t>قانون استحقاقات الأمومة للمناجم، لسنة 1941.</w:t>
      </w:r>
    </w:p>
    <w:p w:rsidR="00476E10" w:rsidRDefault="00476E10" w:rsidP="00476E10">
      <w:pPr>
        <w:pStyle w:val="SingleTxt"/>
        <w:rPr>
          <w:rFonts w:hint="cs"/>
          <w:rtl/>
        </w:rPr>
      </w:pPr>
      <w:r>
        <w:rPr>
          <w:rFonts w:hint="cs"/>
          <w:rtl/>
        </w:rPr>
        <w:tab/>
        <w:t>(و)</w:t>
      </w:r>
      <w:r>
        <w:rPr>
          <w:rFonts w:hint="cs"/>
          <w:rtl/>
        </w:rPr>
        <w:tab/>
        <w:t>مرسوم استحقاقات الأمومة في غرب باكستان، لسنة 1958.</w:t>
      </w:r>
    </w:p>
    <w:p w:rsidR="00476E10" w:rsidRDefault="00476E10" w:rsidP="00476E10">
      <w:pPr>
        <w:pStyle w:val="SingleTxt"/>
        <w:rPr>
          <w:rFonts w:hint="cs"/>
          <w:rtl/>
        </w:rPr>
      </w:pPr>
      <w:r>
        <w:rPr>
          <w:rFonts w:hint="cs"/>
          <w:rtl/>
        </w:rPr>
        <w:tab/>
        <w:t>(ز)</w:t>
      </w:r>
      <w:r>
        <w:rPr>
          <w:rFonts w:hint="cs"/>
          <w:rtl/>
        </w:rPr>
        <w:tab/>
        <w:t>قواعد استحقاقات الأمومة في غرب باكستان، لسنة 1961.</w:t>
      </w:r>
    </w:p>
    <w:p w:rsidR="00476E10" w:rsidRDefault="00476E10" w:rsidP="00476E10">
      <w:pPr>
        <w:pStyle w:val="SingleTxt"/>
        <w:rPr>
          <w:rFonts w:hint="cs"/>
          <w:rtl/>
        </w:rPr>
      </w:pPr>
      <w:r>
        <w:rPr>
          <w:rFonts w:hint="cs"/>
          <w:rtl/>
        </w:rPr>
        <w:tab/>
        <w:t>(ح)</w:t>
      </w:r>
      <w:r>
        <w:rPr>
          <w:rFonts w:hint="cs"/>
          <w:rtl/>
        </w:rPr>
        <w:tab/>
        <w:t>مرسوم الضمان الاجتماعي لموظفي المقاطعات، لسنة 1965.</w:t>
      </w:r>
    </w:p>
    <w:p w:rsidR="00476E10" w:rsidRDefault="00476E10" w:rsidP="00476E10">
      <w:pPr>
        <w:pStyle w:val="SingleTxt"/>
        <w:rPr>
          <w:rFonts w:hint="cs"/>
          <w:rtl/>
        </w:rPr>
      </w:pPr>
      <w:r>
        <w:rPr>
          <w:rFonts w:hint="cs"/>
          <w:rtl/>
        </w:rPr>
        <w:tab/>
        <w:t>(ط)</w:t>
      </w:r>
      <w:r>
        <w:rPr>
          <w:rFonts w:hint="cs"/>
          <w:rtl/>
        </w:rPr>
        <w:tab/>
        <w:t>قواعد موظفي الخدمة المدنية (وتنص على إجازة الأمومة المدفوعة الأجر وغير ذلك).</w:t>
      </w:r>
    </w:p>
    <w:p w:rsidR="00476E10" w:rsidRDefault="00476E10" w:rsidP="00476E10">
      <w:pPr>
        <w:pStyle w:val="SingleTxt"/>
        <w:rPr>
          <w:rFonts w:hint="cs"/>
          <w:rtl/>
        </w:rPr>
      </w:pPr>
      <w:r>
        <w:rPr>
          <w:rFonts w:hint="cs"/>
          <w:rtl/>
        </w:rPr>
        <w:tab/>
        <w:t>(ي)</w:t>
      </w:r>
      <w:r>
        <w:rPr>
          <w:rFonts w:hint="cs"/>
          <w:rtl/>
        </w:rPr>
        <w:tab/>
        <w:t>بموجب القانون الجنائي لباكستان، لسنة 1860، هناك عقوبات شديدة منصوص عليها لجرائم خطف الأطفال أو اختطاف البنات/النساء بموجب المواد 361 و</w:t>
      </w:r>
      <w:r>
        <w:rPr>
          <w:rFonts w:hint="eastAsia"/>
          <w:rtl/>
        </w:rPr>
        <w:t> </w:t>
      </w:r>
      <w:r>
        <w:rPr>
          <w:rFonts w:hint="cs"/>
          <w:rtl/>
        </w:rPr>
        <w:t>363 و 364 ألف و 369. وقوادة البنات (المادة 366 ألف من القانون الجنائي لباكستان) واستيرادهن من الخارج (المادة 366 باء من القانون الجنائي لباكستان).</w:t>
      </w:r>
    </w:p>
    <w:p w:rsidR="00476E10" w:rsidRDefault="00476E10" w:rsidP="001662DD">
      <w:pPr>
        <w:pStyle w:val="SingleTxt"/>
        <w:rPr>
          <w:rFonts w:hint="cs"/>
          <w:rtl/>
        </w:rPr>
      </w:pPr>
      <w:r>
        <w:rPr>
          <w:rFonts w:hint="cs"/>
          <w:rtl/>
        </w:rPr>
        <w:tab/>
        <w:t>(ك)</w:t>
      </w:r>
      <w:r>
        <w:rPr>
          <w:rFonts w:hint="cs"/>
          <w:rtl/>
        </w:rPr>
        <w:tab/>
        <w:t xml:space="preserve">ينص قانون الإجراءات الجنائية، لسنة 1898، على معاملة خاصة للمرأة في مواجهة القانون. فلا يجوز دخول الشرطة إلى محل إقامة، لغرض القبض أو التفتيش، في حالة شغل </w:t>
      </w:r>
      <w:r w:rsidR="001662DD">
        <w:rPr>
          <w:rFonts w:hint="cs"/>
          <w:rtl/>
        </w:rPr>
        <w:t>ا</w:t>
      </w:r>
      <w:r>
        <w:rPr>
          <w:rFonts w:hint="cs"/>
          <w:rtl/>
        </w:rPr>
        <w:t>لمرأة للمكان، إلا بعد توجيه تنبيه، وتيس</w:t>
      </w:r>
      <w:r w:rsidR="001662DD">
        <w:rPr>
          <w:rFonts w:hint="cs"/>
          <w:rtl/>
        </w:rPr>
        <w:t>ي</w:t>
      </w:r>
      <w:r>
        <w:rPr>
          <w:rFonts w:hint="cs"/>
          <w:rtl/>
        </w:rPr>
        <w:t>ر انسحاب المرأة منه (المادة 48 من قانون الإجراءات الجنائية).</w:t>
      </w:r>
    </w:p>
    <w:p w:rsidR="00476E10" w:rsidRDefault="00476E10" w:rsidP="00476E10">
      <w:pPr>
        <w:pStyle w:val="SingleTxt"/>
        <w:rPr>
          <w:rFonts w:hint="cs"/>
          <w:rtl/>
        </w:rPr>
      </w:pPr>
      <w:r>
        <w:rPr>
          <w:rFonts w:hint="cs"/>
          <w:rtl/>
        </w:rPr>
        <w:tab/>
        <w:t>(ل)</w:t>
      </w:r>
      <w:r>
        <w:rPr>
          <w:rFonts w:hint="cs"/>
          <w:rtl/>
        </w:rPr>
        <w:tab/>
        <w:t>لا يجوز إلقاء القبض على المرأة المتهمة أو تفتيشها إلا بواسطة امرأة (المادة 52 من قانون الإجراءات الجنائية).</w:t>
      </w:r>
    </w:p>
    <w:p w:rsidR="00476E10" w:rsidRDefault="00476E10" w:rsidP="00476E10">
      <w:pPr>
        <w:pStyle w:val="SingleTxt"/>
        <w:rPr>
          <w:rFonts w:hint="cs"/>
          <w:rtl/>
        </w:rPr>
      </w:pPr>
      <w:r>
        <w:rPr>
          <w:rFonts w:hint="cs"/>
          <w:rtl/>
        </w:rPr>
        <w:tab/>
        <w:t>(م)</w:t>
      </w:r>
      <w:r>
        <w:rPr>
          <w:rFonts w:hint="cs"/>
          <w:rtl/>
        </w:rPr>
        <w:tab/>
        <w:t xml:space="preserve">لا يجوز احتجاز المرأة في مخفر شرطة أثناء الليل وحتى الصباح. بالإضافة إلى </w:t>
      </w:r>
      <w:r w:rsidR="00CB773D">
        <w:rPr>
          <w:rFonts w:hint="cs"/>
          <w:rtl/>
        </w:rPr>
        <w:t>ذلك، يجوز الإفراج عن المرأة بكف</w:t>
      </w:r>
      <w:r>
        <w:rPr>
          <w:rFonts w:hint="cs"/>
          <w:rtl/>
        </w:rPr>
        <w:t>الة حتى في حالة اتهامها بجريمة غير قابلة للكفالة ويعاقب عليها بالإعدام أو بالسجن مدى الحياة (المادة 497 من قانون الإجراءات الجنائية).</w:t>
      </w:r>
    </w:p>
    <w:p w:rsidR="00476E10" w:rsidRDefault="00476E10" w:rsidP="00476E10">
      <w:pPr>
        <w:pStyle w:val="SingleTxt"/>
        <w:rPr>
          <w:rFonts w:hint="cs"/>
          <w:rtl/>
        </w:rPr>
      </w:pPr>
      <w:r>
        <w:rPr>
          <w:rFonts w:hint="cs"/>
          <w:rtl/>
        </w:rPr>
        <w:tab/>
        <w:t>(ن)</w:t>
      </w:r>
      <w:r>
        <w:rPr>
          <w:rFonts w:hint="cs"/>
          <w:rtl/>
        </w:rPr>
        <w:tab/>
        <w:t>يجوز أن تفرج المحكمة عن امرأة مدانة في حالة عدم انطباق عقوبة الإعدام أو السجن مدى الحياة ووضعها تحت المراقبة وذلك لحسن السلوك، بإنشاء سند بضمانات أو بدونها (المادة 562 من قانون الإجراءات الجنائية).</w:t>
      </w:r>
    </w:p>
    <w:p w:rsidR="00476E10" w:rsidRDefault="00476E10" w:rsidP="00476E10">
      <w:pPr>
        <w:pStyle w:val="SingleTxt"/>
        <w:rPr>
          <w:rFonts w:hint="cs"/>
          <w:rtl/>
        </w:rPr>
      </w:pPr>
      <w:r>
        <w:rPr>
          <w:rFonts w:hint="cs"/>
          <w:rtl/>
        </w:rPr>
        <w:tab/>
        <w:t>(س)</w:t>
      </w:r>
      <w:r>
        <w:rPr>
          <w:rFonts w:hint="cs"/>
          <w:rtl/>
        </w:rPr>
        <w:tab/>
        <w:t>ينص القانون أيضا على التعويض، فبموجب المادة 545 من قانون الإجراءات الجنائية لباكستان، تعوض المحكمة الضحية بالأمر بتقديم مدفوعات إليها من الغرامات المأخوذة من المجرمين.</w:t>
      </w:r>
    </w:p>
    <w:p w:rsidR="00476E10" w:rsidRDefault="00476E10" w:rsidP="00476E10">
      <w:pPr>
        <w:pStyle w:val="SingleTxt"/>
        <w:rPr>
          <w:rFonts w:hint="cs"/>
          <w:rtl/>
        </w:rPr>
      </w:pPr>
      <w:r>
        <w:rPr>
          <w:rFonts w:hint="cs"/>
          <w:rtl/>
        </w:rPr>
        <w:t>35 -</w:t>
      </w:r>
      <w:r>
        <w:rPr>
          <w:rFonts w:hint="cs"/>
          <w:rtl/>
        </w:rPr>
        <w:tab/>
      </w:r>
      <w:r w:rsidR="0083181C">
        <w:rPr>
          <w:rFonts w:hint="cs"/>
          <w:rtl/>
        </w:rPr>
        <w:t>وقد صدرت القوانين والأحكام الواردة أعلاه قبل انضمام باكستان إلى الاتفاقية إذ ساد شعور بصلاحيتها وتنفيذها لالتزامات باكستان بموجب حكم أو أكثر من أحكام الاتفاقية. ولم يصدر قانون شامل يغطي جميع أحكام الاتفاقية. ويجري استعراض مسألة صياغة قانون من هذا القبيل.</w:t>
      </w:r>
    </w:p>
    <w:p w:rsidR="0083181C" w:rsidRPr="0083181C" w:rsidRDefault="0083181C" w:rsidP="0083181C">
      <w:pPr>
        <w:pStyle w:val="SingleTxt"/>
        <w:spacing w:after="0" w:line="120" w:lineRule="exact"/>
        <w:rPr>
          <w:rFonts w:hint="cs"/>
          <w:sz w:val="10"/>
          <w:rtl/>
        </w:rPr>
      </w:pPr>
    </w:p>
    <w:p w:rsidR="0083181C" w:rsidRDefault="0083181C" w:rsidP="008318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الإداري لتنفيذ الاتفاقية</w:t>
      </w:r>
    </w:p>
    <w:p w:rsidR="0083181C" w:rsidRDefault="0083181C" w:rsidP="008318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وزارة تنمية المرأة</w:t>
      </w:r>
    </w:p>
    <w:p w:rsidR="0083181C" w:rsidRDefault="0083181C" w:rsidP="0083181C">
      <w:pPr>
        <w:pStyle w:val="SingleTxt"/>
        <w:rPr>
          <w:rFonts w:hint="cs"/>
          <w:rtl/>
        </w:rPr>
      </w:pPr>
      <w:r>
        <w:rPr>
          <w:rFonts w:hint="cs"/>
          <w:rtl/>
        </w:rPr>
        <w:t>36 -</w:t>
      </w:r>
      <w:r>
        <w:rPr>
          <w:rFonts w:hint="cs"/>
          <w:rtl/>
        </w:rPr>
        <w:tab/>
        <w:t>تعتبر وزارة تنمية المرأة جهاز التنسيق الوطني للنهوض بالمرأة وتنفيذ اتفاقية القضاء على جميع أشكال التمييز ضد المرأة. وتساعد إدارات تنمية المرأة في المقاطعات الوزارة على الصعيد الإقليمي. وفيما يلي المهام الرئيسية الخاصة بالمرأة التي تقوم بها الوزارة:</w:t>
      </w:r>
    </w:p>
    <w:p w:rsidR="0083181C" w:rsidRDefault="0083181C" w:rsidP="0083181C">
      <w:pPr>
        <w:pStyle w:val="SingleTxt"/>
        <w:rPr>
          <w:rFonts w:hint="cs"/>
          <w:rtl/>
        </w:rPr>
      </w:pPr>
      <w:r>
        <w:rPr>
          <w:rFonts w:hint="cs"/>
          <w:rtl/>
        </w:rPr>
        <w:tab/>
        <w:t>(أ)</w:t>
      </w:r>
      <w:r>
        <w:rPr>
          <w:rFonts w:hint="cs"/>
          <w:rtl/>
        </w:rPr>
        <w:tab/>
        <w:t>صياغة السياسات العامة لتلبية الاحتياجات المحددة للمرأة؛</w:t>
      </w:r>
    </w:p>
    <w:p w:rsidR="0083181C" w:rsidRDefault="0083181C" w:rsidP="0083181C">
      <w:pPr>
        <w:pStyle w:val="SingleTxt"/>
        <w:rPr>
          <w:rFonts w:hint="cs"/>
          <w:rtl/>
        </w:rPr>
      </w:pPr>
      <w:r>
        <w:rPr>
          <w:rFonts w:hint="cs"/>
          <w:rtl/>
        </w:rPr>
        <w:tab/>
        <w:t>(ب)</w:t>
      </w:r>
      <w:r>
        <w:rPr>
          <w:rFonts w:hint="cs"/>
          <w:rtl/>
        </w:rPr>
        <w:tab/>
        <w:t>ضمان حماية مصالح المرأة واحتياجاتها بصورة ملائمة وتلبيتها من جانب أجهزة الحكومة المختلفة؛</w:t>
      </w:r>
    </w:p>
    <w:p w:rsidR="0083181C" w:rsidRDefault="0083181C" w:rsidP="0083181C">
      <w:pPr>
        <w:pStyle w:val="SingleTxt"/>
        <w:rPr>
          <w:rFonts w:hint="cs"/>
          <w:rtl/>
        </w:rPr>
      </w:pPr>
      <w:r>
        <w:rPr>
          <w:rFonts w:hint="cs"/>
          <w:rtl/>
        </w:rPr>
        <w:tab/>
        <w:t>(ج)</w:t>
      </w:r>
      <w:r>
        <w:rPr>
          <w:rFonts w:hint="cs"/>
          <w:rtl/>
        </w:rPr>
        <w:tab/>
        <w:t>كفالة تكافؤ الفرص في مجال التعليم والتوظيف ومشاركة المرأة في جميع مجلات الحياة بصورة أكمل؛</w:t>
      </w:r>
    </w:p>
    <w:p w:rsidR="0083181C" w:rsidRDefault="0083181C" w:rsidP="0083181C">
      <w:pPr>
        <w:pStyle w:val="SingleTxt"/>
        <w:rPr>
          <w:rFonts w:hint="cs"/>
          <w:rtl/>
        </w:rPr>
      </w:pPr>
      <w:r>
        <w:rPr>
          <w:rFonts w:hint="cs"/>
          <w:rtl/>
        </w:rPr>
        <w:tab/>
        <w:t>(د)</w:t>
      </w:r>
      <w:r>
        <w:rPr>
          <w:rFonts w:hint="cs"/>
          <w:rtl/>
        </w:rPr>
        <w:tab/>
        <w:t>القيام ببحوث في مجال أحوال المرأة ومشاكلها وتعزيز هذه البحوث، وتنفيذ وتشجيع البرامج والمشاريع الخاصة بتوفير تسهيلات خاصة للمرأة؛</w:t>
      </w:r>
    </w:p>
    <w:p w:rsidR="0083181C" w:rsidRDefault="0083181C" w:rsidP="0083181C">
      <w:pPr>
        <w:pStyle w:val="SingleTxt"/>
        <w:rPr>
          <w:rFonts w:hint="cs"/>
          <w:rtl/>
        </w:rPr>
      </w:pPr>
      <w:r>
        <w:rPr>
          <w:rFonts w:hint="cs"/>
          <w:rtl/>
        </w:rPr>
        <w:tab/>
        <w:t>(هـ)</w:t>
      </w:r>
      <w:r>
        <w:rPr>
          <w:rFonts w:hint="cs"/>
          <w:rtl/>
        </w:rPr>
        <w:tab/>
        <w:t>تمثيل باكستان في المنظمات الدولية التي تتناول مشاكل المرأة في الاتصالات الثنائية مع البلدان الأخرى؛</w:t>
      </w:r>
    </w:p>
    <w:p w:rsidR="0083181C" w:rsidRDefault="0083181C" w:rsidP="0083181C">
      <w:pPr>
        <w:pStyle w:val="SingleTxt"/>
        <w:rPr>
          <w:rFonts w:hint="cs"/>
          <w:rtl/>
        </w:rPr>
      </w:pPr>
      <w:r>
        <w:rPr>
          <w:rFonts w:hint="cs"/>
          <w:rtl/>
        </w:rPr>
        <w:tab/>
        <w:t>(و)</w:t>
      </w:r>
      <w:r>
        <w:rPr>
          <w:rFonts w:hint="cs"/>
          <w:rtl/>
        </w:rPr>
        <w:tab/>
        <w:t>المسائل المتعلقة بتكافؤ الفرص في مجال التعليم والتوظيف ومشاركة المرأة في جميع مجالات الحياة الوطنية، بصورة أكمل؛</w:t>
      </w:r>
    </w:p>
    <w:p w:rsidR="0083181C" w:rsidRDefault="0083181C" w:rsidP="0083181C">
      <w:pPr>
        <w:pStyle w:val="SingleTxt"/>
        <w:rPr>
          <w:rFonts w:hint="cs"/>
          <w:rtl/>
        </w:rPr>
      </w:pPr>
      <w:r>
        <w:rPr>
          <w:rFonts w:hint="cs"/>
          <w:rtl/>
        </w:rPr>
        <w:tab/>
        <w:t>(ز)</w:t>
      </w:r>
      <w:r>
        <w:rPr>
          <w:rFonts w:hint="cs"/>
          <w:rtl/>
        </w:rPr>
        <w:tab/>
        <w:t>تنفيذ الالتزامات الدولية لباكستان فيما يتصل بالمرأة وعلى سبيل المثال اتفاقية الأمم المتحدة للقضاء على جميع أشكال التمييز ضد المرأة ومنهاج عمل بيجين وما إلى ذلك.</w:t>
      </w:r>
    </w:p>
    <w:p w:rsidR="0083181C" w:rsidRDefault="0083181C" w:rsidP="0083181C">
      <w:pPr>
        <w:pStyle w:val="SingleTxt"/>
        <w:rPr>
          <w:rFonts w:hint="cs"/>
          <w:rtl/>
        </w:rPr>
      </w:pPr>
      <w:r>
        <w:rPr>
          <w:rFonts w:hint="cs"/>
          <w:rtl/>
        </w:rPr>
        <w:t>37 -</w:t>
      </w:r>
      <w:r>
        <w:rPr>
          <w:rFonts w:hint="cs"/>
          <w:rtl/>
        </w:rPr>
        <w:tab/>
        <w:t xml:space="preserve">وكانت الوزارة تعرف باسم وزارة تنمية المرأة والرعاية الاجتماعية والتعليم الخاص، حتى سنة 2004. غير أنه، لدى إعادة تنظيم الوزارات المختلفة التي جرت في سنة 2004، أعيدت تسمية الوزارة بوصفها وزارة تنمية المرأة. وأصبح التعليم الخاص والرعاية الاجتماعية وزارة منفصلة. وبينما خفض هذا الإجراء من حجم الوزارة، فقد أدى إلى زيادة تركيز نشاطها وعزز بذلك كفاءتها بوصفها الجهاز الرئيسي لإقرار السياسات الخاصة بقضايا المرأة في حكومة باكستان. ويقع التنفيذ الفعلي للسياسات على عاتق الوزارات المنفذة وهي وزارات الصحة والتعليم ورعاية السكان، والعمل والقوة العاملة والباكستانيين في الخارج، </w:t>
      </w:r>
      <w:r w:rsidR="001662DD">
        <w:rPr>
          <w:rFonts w:hint="cs"/>
          <w:rtl/>
        </w:rPr>
        <w:t>و</w:t>
      </w:r>
      <w:r>
        <w:rPr>
          <w:rFonts w:hint="cs"/>
          <w:rtl/>
        </w:rPr>
        <w:t>القانون، والعدل وحقوق الإنسان وما إلى ذلك.</w:t>
      </w:r>
    </w:p>
    <w:p w:rsidR="0083181C" w:rsidRPr="0083181C" w:rsidRDefault="0083181C" w:rsidP="0083181C">
      <w:pPr>
        <w:pStyle w:val="SingleTxt"/>
        <w:spacing w:after="0" w:line="120" w:lineRule="exact"/>
        <w:rPr>
          <w:rFonts w:hint="cs"/>
          <w:sz w:val="10"/>
          <w:rtl/>
        </w:rPr>
      </w:pPr>
    </w:p>
    <w:p w:rsidR="0083181C" w:rsidRDefault="0083181C" w:rsidP="008318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اللجنة الوطنية لوضع المرأة</w:t>
      </w:r>
    </w:p>
    <w:p w:rsidR="0083181C" w:rsidRDefault="0083181C" w:rsidP="0083181C">
      <w:pPr>
        <w:pStyle w:val="SingleTxt"/>
        <w:rPr>
          <w:rFonts w:hint="cs"/>
          <w:rtl/>
        </w:rPr>
      </w:pPr>
      <w:r>
        <w:rPr>
          <w:rFonts w:hint="cs"/>
          <w:rtl/>
        </w:rPr>
        <w:t>38 -</w:t>
      </w:r>
      <w:r>
        <w:rPr>
          <w:rFonts w:hint="cs"/>
          <w:rtl/>
        </w:rPr>
        <w:tab/>
        <w:t>أنشئت اللجنة الوطنية لوضع المرأة بموجب مرسوم رئاسي في 17 تموز/يوليه 2000. وتتمثل ولاية اللجنة فيما يلي:</w:t>
      </w:r>
    </w:p>
    <w:p w:rsidR="0083181C" w:rsidRDefault="0083181C" w:rsidP="0083181C">
      <w:pPr>
        <w:pStyle w:val="SingleTxt"/>
        <w:rPr>
          <w:rFonts w:hint="cs"/>
          <w:rtl/>
        </w:rPr>
      </w:pPr>
      <w:r>
        <w:rPr>
          <w:rFonts w:hint="cs"/>
          <w:rtl/>
        </w:rPr>
        <w:tab/>
        <w:t>(أ)</w:t>
      </w:r>
      <w:r>
        <w:rPr>
          <w:rFonts w:hint="cs"/>
          <w:rtl/>
        </w:rPr>
        <w:tab/>
        <w:t>النظر في السياسات والبرامج والتدابير الحكومية الأخرى الخاصة بتنمية المرأة والمساواة بين الجنسين، وتقييم التنفيذ وتقديم التوصيات المناسبة من أجل تحقيق الأثر الفعال؛</w:t>
      </w:r>
    </w:p>
    <w:p w:rsidR="0083181C" w:rsidRDefault="0083181C" w:rsidP="0083181C">
      <w:pPr>
        <w:pStyle w:val="SingleTxt"/>
        <w:rPr>
          <w:rFonts w:hint="cs"/>
          <w:rtl/>
        </w:rPr>
      </w:pPr>
      <w:r>
        <w:rPr>
          <w:rFonts w:hint="cs"/>
          <w:rtl/>
        </w:rPr>
        <w:tab/>
        <w:t>(ب)</w:t>
      </w:r>
      <w:r>
        <w:rPr>
          <w:rFonts w:hint="cs"/>
          <w:rtl/>
        </w:rPr>
        <w:tab/>
        <w:t>استعراض القوانين والقواعد والنظم التي تؤثر في وضع المرأة وحقوقها واقتراح إلغاء القوانين أو تعديلها أو وضع قوانين جديدة تكون أساسية من أجل القضاء على التمييز وحماية مصالح المرأة وتعزيزها وتحقيق المساواة بين الجنسين وفقا للدستور وما تم التعهد به من واجبات بموجب العهود والالتزامات الدولية؛</w:t>
      </w:r>
    </w:p>
    <w:p w:rsidR="0083181C" w:rsidRDefault="0083181C" w:rsidP="0083181C">
      <w:pPr>
        <w:pStyle w:val="SingleTxt"/>
        <w:rPr>
          <w:rFonts w:hint="cs"/>
          <w:rtl/>
        </w:rPr>
      </w:pPr>
      <w:r>
        <w:rPr>
          <w:rFonts w:hint="cs"/>
          <w:rtl/>
        </w:rPr>
        <w:tab/>
        <w:t>(ج)</w:t>
      </w:r>
      <w:r>
        <w:rPr>
          <w:rFonts w:hint="cs"/>
          <w:rtl/>
        </w:rPr>
        <w:tab/>
        <w:t>رصد الآليات والإجراءات المؤسسية الخاصة بالإنصاف في حالات انتهاك حقوق المرأة، وأسباب التظلمات الفردية ومرافق الرعاية الاجتماعية، واتخاذ مبادرات لتحسين الإدارة وتوفير العدالة والخدمات الاجتماعية بمزيد من الكفاءة من خلال المحافل والسلطات المعنية؛</w:t>
      </w:r>
    </w:p>
    <w:p w:rsidR="0083181C" w:rsidRDefault="0083181C" w:rsidP="0083181C">
      <w:pPr>
        <w:pStyle w:val="SingleTxt"/>
        <w:rPr>
          <w:rFonts w:hint="cs"/>
          <w:rtl/>
        </w:rPr>
      </w:pPr>
      <w:r>
        <w:rPr>
          <w:rFonts w:hint="cs"/>
          <w:rtl/>
        </w:rPr>
        <w:tab/>
        <w:t>(د)</w:t>
      </w:r>
      <w:r>
        <w:rPr>
          <w:rFonts w:hint="cs"/>
          <w:rtl/>
        </w:rPr>
        <w:tab/>
        <w:t>تشجيع ورعاية البحوث الرامية إلى توليد المعلومات والتحليل والدراسات الخاصة بالمرأة والقضايا الجنسانية وتوفير المعرفة والوعي اللازمين للسياسات الرشيدة والعمل الاستراتيجي؛</w:t>
      </w:r>
    </w:p>
    <w:p w:rsidR="0083181C" w:rsidRDefault="0083181C" w:rsidP="0083181C">
      <w:pPr>
        <w:pStyle w:val="SingleTxt"/>
        <w:rPr>
          <w:rFonts w:hint="cs"/>
          <w:rtl/>
        </w:rPr>
      </w:pPr>
      <w:r>
        <w:rPr>
          <w:rFonts w:hint="cs"/>
          <w:rtl/>
        </w:rPr>
        <w:tab/>
        <w:t>(هـ)</w:t>
      </w:r>
      <w:r>
        <w:rPr>
          <w:rFonts w:hint="cs"/>
          <w:rtl/>
        </w:rPr>
        <w:tab/>
        <w:t>إقامة تفاعل وحوار مع المنظمات غير الحكومية والخبراء والأفراد في المجتمع والمحافظة على هذا التفاعل والحوار. وشراكة نشطة مع اللجان والمؤسسات المماثلة في البلدان الأخرى من أجل التعاون والعمل على تحقيق المساواة بين الجنسين والتنمية، على الصعيد الوطني والإقليمي والدولي؛</w:t>
      </w:r>
    </w:p>
    <w:p w:rsidR="0083181C" w:rsidRDefault="0083181C" w:rsidP="0083181C">
      <w:pPr>
        <w:pStyle w:val="SingleTxt"/>
        <w:rPr>
          <w:rFonts w:hint="cs"/>
          <w:rtl/>
        </w:rPr>
      </w:pPr>
      <w:r>
        <w:rPr>
          <w:rFonts w:hint="cs"/>
          <w:rtl/>
        </w:rPr>
        <w:tab/>
        <w:t>(و)</w:t>
      </w:r>
      <w:r>
        <w:rPr>
          <w:rFonts w:hint="cs"/>
          <w:rtl/>
        </w:rPr>
        <w:tab/>
        <w:t>أية مهام أخرى قد توكلها إليها الحكومة الاتحادية.</w:t>
      </w:r>
    </w:p>
    <w:p w:rsidR="0083181C" w:rsidRDefault="00046718" w:rsidP="0083181C">
      <w:pPr>
        <w:pStyle w:val="SingleTxt"/>
        <w:rPr>
          <w:rFonts w:hint="cs"/>
          <w:rtl/>
        </w:rPr>
      </w:pPr>
      <w:r>
        <w:rPr>
          <w:rFonts w:hint="cs"/>
          <w:rtl/>
        </w:rPr>
        <w:t>39 -</w:t>
      </w:r>
      <w:r>
        <w:rPr>
          <w:rFonts w:hint="cs"/>
          <w:rtl/>
        </w:rPr>
        <w:tab/>
        <w:t xml:space="preserve">وتتألف اللجنة من 20 عضوا - عضوان من كل مقاطعة، وعضو من كل من إقليم العاصمة إسلام أباد، </w:t>
      </w:r>
      <w:proofErr w:type="spellStart"/>
      <w:r>
        <w:rPr>
          <w:rFonts w:hint="cs"/>
          <w:rtl/>
        </w:rPr>
        <w:t>وازاد</w:t>
      </w:r>
      <w:proofErr w:type="spellEnd"/>
      <w:r>
        <w:rPr>
          <w:rFonts w:hint="cs"/>
          <w:rtl/>
        </w:rPr>
        <w:t xml:space="preserve"> </w:t>
      </w:r>
      <w:proofErr w:type="spellStart"/>
      <w:r>
        <w:rPr>
          <w:rFonts w:hint="cs"/>
          <w:rtl/>
        </w:rPr>
        <w:t>وجامو</w:t>
      </w:r>
      <w:proofErr w:type="spellEnd"/>
      <w:r>
        <w:rPr>
          <w:rFonts w:hint="cs"/>
          <w:rtl/>
        </w:rPr>
        <w:t xml:space="preserve"> </w:t>
      </w:r>
      <w:proofErr w:type="spellStart"/>
      <w:r>
        <w:rPr>
          <w:rFonts w:hint="cs"/>
          <w:rtl/>
        </w:rPr>
        <w:t>وكاشمير</w:t>
      </w:r>
      <w:proofErr w:type="spellEnd"/>
      <w:r>
        <w:rPr>
          <w:rFonts w:hint="cs"/>
          <w:rtl/>
        </w:rPr>
        <w:t>، والمناطق الشمالية التي تديرها الحكومة الاتحادية، والمناطق القبلية التي تديرها الحكومة الاتحادية، وممثل عن الأقليات، وثلاثة فقهاء وثلاثة أعضاء بحكم منصبهم (وزراء المالية والقانون والداخلية). ويمكن تعيين مستشارين وخبراء حسب الاقتضاء.</w:t>
      </w:r>
    </w:p>
    <w:p w:rsidR="00046718" w:rsidRDefault="00046718" w:rsidP="001662DD">
      <w:pPr>
        <w:pStyle w:val="SingleTxt"/>
        <w:rPr>
          <w:rFonts w:hint="cs"/>
          <w:rtl/>
        </w:rPr>
      </w:pPr>
      <w:r>
        <w:rPr>
          <w:rFonts w:hint="cs"/>
          <w:rtl/>
        </w:rPr>
        <w:t>40 -</w:t>
      </w:r>
      <w:r>
        <w:rPr>
          <w:rFonts w:hint="cs"/>
          <w:rtl/>
        </w:rPr>
        <w:tab/>
        <w:t>واستعرضت اللجنة عددا من القوانين واقترحت تعديلات. ويشمل ذلك قانون الجنسية الباكستاني (1951). ونظرت أيضا في قوانين الحدود الإسلامية، بالتفصيل، وبعد قرار بالتصويت، صوت أثنائه عضوان سلبيا، أوصت بإلغائه (ترد التفاصيل في الفصل الخامس عشر، الفقرات 477-480).</w:t>
      </w:r>
    </w:p>
    <w:p w:rsidR="00046718" w:rsidRPr="00046718" w:rsidRDefault="00046718" w:rsidP="00046718">
      <w:pPr>
        <w:pStyle w:val="SingleTxt"/>
        <w:spacing w:after="0" w:line="120" w:lineRule="exact"/>
        <w:rPr>
          <w:rFonts w:hint="cs"/>
          <w:sz w:val="10"/>
          <w:rtl/>
        </w:rPr>
      </w:pPr>
    </w:p>
    <w:p w:rsidR="00046718" w:rsidRDefault="00046718" w:rsidP="000467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التقدم المحرز في كفالة التمتع بأحكام الاتفاقية</w:t>
      </w:r>
    </w:p>
    <w:p w:rsidR="00046718" w:rsidRDefault="00046718" w:rsidP="00046718">
      <w:pPr>
        <w:pStyle w:val="SingleTxt"/>
        <w:rPr>
          <w:rFonts w:hint="cs"/>
          <w:rtl/>
        </w:rPr>
      </w:pPr>
      <w:r>
        <w:rPr>
          <w:rFonts w:hint="cs"/>
          <w:rtl/>
        </w:rPr>
        <w:t>41 -</w:t>
      </w:r>
      <w:r>
        <w:rPr>
          <w:rFonts w:hint="cs"/>
          <w:rtl/>
        </w:rPr>
        <w:tab/>
        <w:t>تعتبر المرأة متأخرة في كل مجال من مجالات المساعي الوطنية في باكستان. بيد أن مؤشرات التعليم والصحة والتوظيف وما إلى ذلك تبين حدوث انخفاض مطرد، وإن كان تدريجيا في الفجوة بين الجنسين. ويعد معدل التغير في بعض المناطق بطيئا بالفعل. وقد اتخذت عدة إجراءات، يرد موجزها أدناه، لتعجيل عملية التغير المذكورة.</w:t>
      </w:r>
    </w:p>
    <w:p w:rsidR="00046718" w:rsidRPr="00046718" w:rsidRDefault="00046718" w:rsidP="00046718">
      <w:pPr>
        <w:pStyle w:val="SingleTxt"/>
        <w:spacing w:after="0" w:line="120" w:lineRule="exact"/>
        <w:rPr>
          <w:rFonts w:hint="cs"/>
          <w:sz w:val="10"/>
          <w:rtl/>
        </w:rPr>
      </w:pPr>
    </w:p>
    <w:p w:rsidR="00046718" w:rsidRDefault="00046718" w:rsidP="005842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584237">
        <w:rPr>
          <w:rFonts w:hint="cs"/>
          <w:rtl/>
        </w:rPr>
        <w:tab/>
      </w:r>
      <w:r w:rsidR="00584237">
        <w:rPr>
          <w:rFonts w:hint="cs"/>
          <w:rtl/>
        </w:rPr>
        <w:tab/>
      </w:r>
      <w:r>
        <w:rPr>
          <w:rFonts w:hint="cs"/>
          <w:rtl/>
        </w:rPr>
        <w:t>(أ)</w:t>
      </w:r>
      <w:r>
        <w:rPr>
          <w:rFonts w:hint="cs"/>
          <w:rtl/>
        </w:rPr>
        <w:tab/>
        <w:t>الالتزامات الدولية</w:t>
      </w:r>
    </w:p>
    <w:p w:rsidR="00046718" w:rsidRDefault="00046718" w:rsidP="000467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’1‘</w:t>
      </w:r>
      <w:r>
        <w:rPr>
          <w:rFonts w:hint="cs"/>
          <w:rtl/>
        </w:rPr>
        <w:tab/>
      </w:r>
      <w:r w:rsidR="00584237">
        <w:rPr>
          <w:rFonts w:hint="cs"/>
          <w:rtl/>
        </w:rPr>
        <w:t>توقيع البروتوكول الاختياري لاتفاقية حقوق الطفل بشأن بيع الأطفال واستغلالهم في البغاء وفي إنتاج المواد الإباحية، في 26 أيلول/سبتمبر 2001.</w:t>
      </w:r>
    </w:p>
    <w:p w:rsidR="00584237" w:rsidRDefault="00584237" w:rsidP="000467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’2‘</w:t>
      </w:r>
      <w:r>
        <w:rPr>
          <w:rFonts w:hint="cs"/>
          <w:rtl/>
        </w:rPr>
        <w:tab/>
        <w:t>التصديق على اتفاقية منظمة العمل الدولية الأساسية رقم 100، المتعلقة بالمساواة بين العمال والعاملات في الأجر عن العمل المتساوي في القيمة، في 11 تشرين الأول/أكتوبر 2001.</w:t>
      </w:r>
    </w:p>
    <w:p w:rsidR="00584237" w:rsidRDefault="00584237" w:rsidP="000467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’3‘</w:t>
      </w:r>
      <w:r>
        <w:rPr>
          <w:rFonts w:hint="cs"/>
          <w:rtl/>
        </w:rPr>
        <w:tab/>
        <w:t>التصديق على اتفاقية رابطة جنوب آسيا للتعاون الإقليمي المتعلقة بمنع ومكافحة الاتجار بالنساء والأطفال لأغراض البغاء، في كانون الثاني/يناير 2003.</w:t>
      </w:r>
    </w:p>
    <w:p w:rsidR="00584237" w:rsidRPr="00584237" w:rsidRDefault="00584237" w:rsidP="00584237">
      <w:pPr>
        <w:pStyle w:val="SingleTxt"/>
        <w:spacing w:after="0" w:line="120" w:lineRule="exact"/>
        <w:rPr>
          <w:rFonts w:hint="cs"/>
          <w:sz w:val="10"/>
          <w:rtl/>
        </w:rPr>
      </w:pPr>
    </w:p>
    <w:p w:rsidR="00584237" w:rsidRDefault="00584237" w:rsidP="005842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(ب)</w:t>
      </w:r>
      <w:r>
        <w:rPr>
          <w:rFonts w:hint="cs"/>
          <w:rtl/>
        </w:rPr>
        <w:tab/>
        <w:t>القوانين الصادرة أو المعدلة</w:t>
      </w:r>
    </w:p>
    <w:p w:rsidR="00584237" w:rsidRDefault="00584237" w:rsidP="0058423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’1‘</w:t>
      </w:r>
      <w:r>
        <w:rPr>
          <w:rFonts w:hint="cs"/>
          <w:rtl/>
        </w:rPr>
        <w:tab/>
      </w:r>
      <w:r w:rsidR="00B70884">
        <w:rPr>
          <w:rFonts w:hint="cs"/>
          <w:rtl/>
        </w:rPr>
        <w:t>تم تعديل قانون الجنسية الباكستاني في سنة 1951 لمنح أبناء المرأة الباكستانية المتزوجة بأجنبي الحق في الجنسية الباكستانية.</w:t>
      </w:r>
    </w:p>
    <w:p w:rsidR="00B70884" w:rsidRDefault="00B70884" w:rsidP="0058423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’2‘</w:t>
      </w:r>
      <w:r>
        <w:rPr>
          <w:rFonts w:hint="cs"/>
          <w:rtl/>
        </w:rPr>
        <w:tab/>
        <w:t>صدور مرسوم منع ومكافحة الاتجار بالأشخاص، في تشرين الثاني/نوفمبر 2002.</w:t>
      </w:r>
    </w:p>
    <w:p w:rsidR="00B70884" w:rsidRDefault="00B70884" w:rsidP="0058423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’3‘</w:t>
      </w:r>
      <w:r>
        <w:rPr>
          <w:rFonts w:hint="cs"/>
          <w:rtl/>
        </w:rPr>
        <w:tab/>
        <w:t xml:space="preserve">قانون (تعديل) القانون الجنائي، لسنة 2004، لإزالة بعض الثغرات في قانون تيسير الملاحقة الجنائية لما يسمى </w:t>
      </w:r>
      <w:proofErr w:type="spellStart"/>
      <w:r>
        <w:rPr>
          <w:rFonts w:hint="cs"/>
          <w:rtl/>
        </w:rPr>
        <w:t>بـ</w:t>
      </w:r>
      <w:proofErr w:type="spellEnd"/>
      <w:r>
        <w:rPr>
          <w:rFonts w:hint="cs"/>
          <w:rtl/>
        </w:rPr>
        <w:t xml:space="preserve"> </w:t>
      </w:r>
      <w:r>
        <w:rPr>
          <w:rFonts w:hint="eastAsia"/>
          <w:rtl/>
        </w:rPr>
        <w:t>”القتل باسم الشرف</w:t>
      </w:r>
      <w:r>
        <w:rPr>
          <w:rFonts w:hint="cs"/>
          <w:rtl/>
        </w:rPr>
        <w:t>“.</w:t>
      </w:r>
    </w:p>
    <w:p w:rsidR="00B70884" w:rsidRDefault="00B70884" w:rsidP="0058423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’4‘</w:t>
      </w:r>
      <w:r>
        <w:rPr>
          <w:rFonts w:hint="cs"/>
          <w:rtl/>
        </w:rPr>
        <w:tab/>
        <w:t>إلغاء نظام هيئات الناخبين المنفصلة.</w:t>
      </w:r>
    </w:p>
    <w:p w:rsidR="00B70884" w:rsidRPr="00B70884" w:rsidRDefault="00B70884" w:rsidP="00B708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B70884" w:rsidRDefault="00B70884" w:rsidP="00B708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(ج)</w:t>
      </w:r>
      <w:r>
        <w:rPr>
          <w:rFonts w:hint="cs"/>
          <w:rtl/>
        </w:rPr>
        <w:tab/>
        <w:t>الإجراءات السياسية</w:t>
      </w:r>
    </w:p>
    <w:p w:rsidR="00B70884" w:rsidRDefault="00B70884" w:rsidP="00B708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’1‘</w:t>
      </w:r>
      <w:r>
        <w:rPr>
          <w:rFonts w:hint="cs"/>
          <w:rtl/>
        </w:rPr>
        <w:tab/>
        <w:t>إعلان خطة العمل الوطنية للنهوض بالمرأة وبدء تنفيذها في 7 آذار/مارس 2002.</w:t>
      </w:r>
    </w:p>
    <w:p w:rsidR="00B70884" w:rsidRDefault="00B70884" w:rsidP="00B708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’2‘</w:t>
      </w:r>
      <w:r>
        <w:rPr>
          <w:rFonts w:hint="cs"/>
          <w:rtl/>
        </w:rPr>
        <w:tab/>
        <w:t>اعتماد السياسة الوطنية الخاصة بالمرأة.</w:t>
      </w:r>
    </w:p>
    <w:p w:rsidR="00B70884" w:rsidRPr="00B70884" w:rsidRDefault="00B70884" w:rsidP="00B708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B70884" w:rsidRDefault="00B70884" w:rsidP="00B708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(د)</w:t>
      </w:r>
      <w:r>
        <w:rPr>
          <w:rFonts w:hint="cs"/>
          <w:rtl/>
        </w:rPr>
        <w:tab/>
        <w:t>إنشاء هيئات جديدة</w:t>
      </w:r>
    </w:p>
    <w:p w:rsidR="00B70884" w:rsidRDefault="00B70884" w:rsidP="00B708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’1‘</w:t>
      </w:r>
      <w:r>
        <w:rPr>
          <w:rFonts w:hint="cs"/>
          <w:rtl/>
        </w:rPr>
        <w:tab/>
        <w:t>إنشاء اللجنة الوطنية لوضع المرأة في تموز/يوليه 2000.</w:t>
      </w:r>
    </w:p>
    <w:p w:rsidR="00B70884" w:rsidRPr="00B70884" w:rsidRDefault="00B70884" w:rsidP="00B708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B70884" w:rsidRDefault="00B70884" w:rsidP="00B708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(هـ)</w:t>
      </w:r>
      <w:r>
        <w:rPr>
          <w:rFonts w:hint="cs"/>
          <w:rtl/>
        </w:rPr>
        <w:tab/>
        <w:t>تدابير أخرى</w:t>
      </w:r>
    </w:p>
    <w:p w:rsidR="00B70884" w:rsidRDefault="00B70884" w:rsidP="00B7088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’1‘</w:t>
      </w:r>
      <w:r>
        <w:rPr>
          <w:rFonts w:hint="cs"/>
          <w:rtl/>
        </w:rPr>
        <w:tab/>
      </w:r>
      <w:r w:rsidR="004D683E">
        <w:rPr>
          <w:rFonts w:hint="cs"/>
          <w:rtl/>
        </w:rPr>
        <w:t>إعلان سنة 2000 سنة حقوق الإنسان وكرامة الإنسان.</w:t>
      </w:r>
    </w:p>
    <w:p w:rsidR="004D683E" w:rsidRDefault="004D683E" w:rsidP="004D68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’2‘</w:t>
      </w:r>
      <w:r>
        <w:rPr>
          <w:rFonts w:hint="cs"/>
          <w:rtl/>
        </w:rPr>
        <w:tab/>
        <w:t xml:space="preserve">أقيمت مراكز لإدارة الأزمات لصالح النساء اللاتي في محنة، في إسلام آباد </w:t>
      </w:r>
      <w:proofErr w:type="spellStart"/>
      <w:r>
        <w:rPr>
          <w:rFonts w:hint="cs"/>
          <w:rtl/>
        </w:rPr>
        <w:t>وفيهاري</w:t>
      </w:r>
      <w:proofErr w:type="spellEnd"/>
      <w:r>
        <w:rPr>
          <w:rFonts w:hint="cs"/>
          <w:rtl/>
        </w:rPr>
        <w:t xml:space="preserve"> </w:t>
      </w:r>
      <w:proofErr w:type="spellStart"/>
      <w:r>
        <w:rPr>
          <w:rFonts w:hint="cs"/>
          <w:rtl/>
        </w:rPr>
        <w:t>وساهيوال</w:t>
      </w:r>
      <w:proofErr w:type="spellEnd"/>
      <w:r>
        <w:rPr>
          <w:rFonts w:hint="cs"/>
          <w:rtl/>
        </w:rPr>
        <w:t xml:space="preserve">. وتقدم المساعدات القانونية والصحية والمأوى المؤقت، مجانا، للنساء ضحايا العنف، بما في ذلك العنف المنزلي، في هذه المراكز. وتجري زيادة عدد هذه المراكز إلى 10. وستكون المراكز السبعة الإضافية في كراتشي </w:t>
      </w:r>
      <w:proofErr w:type="spellStart"/>
      <w:r>
        <w:rPr>
          <w:rFonts w:hint="cs"/>
          <w:rtl/>
        </w:rPr>
        <w:t>وميانوالي</w:t>
      </w:r>
      <w:proofErr w:type="spellEnd"/>
      <w:r>
        <w:rPr>
          <w:rFonts w:hint="cs"/>
          <w:rtl/>
        </w:rPr>
        <w:t xml:space="preserve"> </w:t>
      </w:r>
      <w:proofErr w:type="spellStart"/>
      <w:r>
        <w:rPr>
          <w:rFonts w:hint="cs"/>
          <w:rtl/>
        </w:rPr>
        <w:t>وكوهات</w:t>
      </w:r>
      <w:proofErr w:type="spellEnd"/>
      <w:r>
        <w:rPr>
          <w:rFonts w:hint="cs"/>
          <w:rtl/>
        </w:rPr>
        <w:t xml:space="preserve"> </w:t>
      </w:r>
      <w:proofErr w:type="spellStart"/>
      <w:r>
        <w:rPr>
          <w:rFonts w:hint="cs"/>
          <w:rtl/>
        </w:rPr>
        <w:t>وراولبندي</w:t>
      </w:r>
      <w:proofErr w:type="spellEnd"/>
      <w:r>
        <w:rPr>
          <w:rFonts w:hint="cs"/>
          <w:rtl/>
        </w:rPr>
        <w:t xml:space="preserve"> وكيتا </w:t>
      </w:r>
      <w:proofErr w:type="spellStart"/>
      <w:r>
        <w:rPr>
          <w:rFonts w:hint="cs"/>
          <w:rtl/>
        </w:rPr>
        <w:t>وبشاور</w:t>
      </w:r>
      <w:proofErr w:type="spellEnd"/>
      <w:r>
        <w:rPr>
          <w:rFonts w:hint="cs"/>
          <w:rtl/>
        </w:rPr>
        <w:t xml:space="preserve"> ولاهور. ومن المنتظر أن يبدأ تشغيلها في 30 حزيران/يونيه 2005.</w:t>
      </w:r>
    </w:p>
    <w:p w:rsidR="004D683E" w:rsidRDefault="004D683E" w:rsidP="004D68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’3‘</w:t>
      </w:r>
      <w:r>
        <w:rPr>
          <w:rFonts w:hint="cs"/>
          <w:rtl/>
        </w:rPr>
        <w:tab/>
        <w:t>إنشاء مراكز شرطة للمرأة في عشرة مدن رئيسية بالبلد. وتبذل الجهود لزيادة عدد هذه المراكز وكذلك لتحسين أدائها من خلال التدريب المناسب للموظفين. وبالإضافة إلى ذلك، يجري تعيين ضابطات الشرطة في مراكز الشرطة النموذجية للتعامل مع المتقدمات بشكاوى.</w:t>
      </w:r>
    </w:p>
    <w:p w:rsidR="004D683E" w:rsidRDefault="004D683E" w:rsidP="004D68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’4‘</w:t>
      </w:r>
      <w:r>
        <w:rPr>
          <w:rFonts w:hint="cs"/>
          <w:rtl/>
        </w:rPr>
        <w:tab/>
        <w:t>بدأت وزارة الإعلام حملة جماهيرية للتوعية والتثقيف في مجال حقوق الإنسان، في نيسان/أبريل 2000. واستمرت هذه الحملة طوال السنة وساعدت على تثقيف الشعب بحقوقه من خلال الوسائط البصرية والمطبوعة.</w:t>
      </w:r>
    </w:p>
    <w:p w:rsidR="004D683E" w:rsidRPr="004D683E" w:rsidRDefault="004D683E" w:rsidP="004D68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D683E" w:rsidRDefault="004D683E" w:rsidP="001662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662DD">
        <w:rPr>
          <w:rFonts w:hint="cs"/>
          <w:rtl/>
        </w:rPr>
        <w:t xml:space="preserve">الخطة </w:t>
      </w:r>
      <w:r>
        <w:rPr>
          <w:rFonts w:hint="cs"/>
          <w:rtl/>
        </w:rPr>
        <w:t>الوطنية للنهوض بالمرأة وتمكينها</w:t>
      </w:r>
    </w:p>
    <w:p w:rsidR="004D683E" w:rsidRDefault="004D683E" w:rsidP="001662DD">
      <w:pPr>
        <w:pStyle w:val="SingleTxt"/>
        <w:rPr>
          <w:rFonts w:hint="cs"/>
          <w:rtl/>
        </w:rPr>
      </w:pPr>
      <w:r>
        <w:rPr>
          <w:rFonts w:hint="cs"/>
          <w:rtl/>
        </w:rPr>
        <w:t>42 -</w:t>
      </w:r>
      <w:r>
        <w:rPr>
          <w:rFonts w:hint="cs"/>
          <w:rtl/>
        </w:rPr>
        <w:tab/>
        <w:t xml:space="preserve">أعدت </w:t>
      </w:r>
      <w:r w:rsidR="001662DD">
        <w:rPr>
          <w:rFonts w:hint="cs"/>
          <w:rtl/>
        </w:rPr>
        <w:t xml:space="preserve">الخطة </w:t>
      </w:r>
      <w:r>
        <w:rPr>
          <w:rFonts w:hint="cs"/>
          <w:rtl/>
        </w:rPr>
        <w:t>كمتابعة للمؤتمر العالمي الرابع للمرأة عن طريق عملية تشاركية وطنية شملت الحكومة الاتحادية وحكومات المقاطعات، والمنظمات غير الحكومية وفرادى الخبراء وتتضمن أكثر من 180 من الإجراءات ذات الجوانب الفرعية العديدة.</w:t>
      </w:r>
    </w:p>
    <w:p w:rsidR="004D683E" w:rsidRDefault="004D683E" w:rsidP="004D683E">
      <w:pPr>
        <w:pStyle w:val="SingleTxt"/>
        <w:rPr>
          <w:rFonts w:hint="cs"/>
          <w:rtl/>
        </w:rPr>
      </w:pPr>
      <w:r>
        <w:rPr>
          <w:rFonts w:hint="cs"/>
          <w:rtl/>
        </w:rPr>
        <w:t>43 -</w:t>
      </w:r>
      <w:r>
        <w:rPr>
          <w:rFonts w:hint="cs"/>
          <w:rtl/>
        </w:rPr>
        <w:tab/>
        <w:t xml:space="preserve">وتنص خطة العمل </w:t>
      </w:r>
      <w:r w:rsidR="001662DD">
        <w:rPr>
          <w:rFonts w:hint="cs"/>
          <w:rtl/>
        </w:rPr>
        <w:t xml:space="preserve">الوطنية </w:t>
      </w:r>
      <w:r>
        <w:rPr>
          <w:rFonts w:hint="cs"/>
          <w:rtl/>
        </w:rPr>
        <w:t xml:space="preserve">على أن </w:t>
      </w:r>
      <w:r>
        <w:rPr>
          <w:rFonts w:hint="eastAsia"/>
          <w:rtl/>
        </w:rPr>
        <w:t>”المساواة بين المرأة والرجل مسألة تتعلق بحقوق الإنسان وشرط من شروط العدالة الاجتماعية وشرط مسبق ضروري وأساسي للمساواة والتنمية والسلام من أجل النهوض بالتنمية المستدامة التي محورها الإنسان</w:t>
      </w:r>
      <w:r>
        <w:rPr>
          <w:rFonts w:hint="cs"/>
          <w:rtl/>
        </w:rPr>
        <w:t>“.</w:t>
      </w:r>
    </w:p>
    <w:p w:rsidR="004D683E" w:rsidRDefault="004D683E" w:rsidP="001662DD">
      <w:pPr>
        <w:pStyle w:val="SingleTxt"/>
        <w:rPr>
          <w:rFonts w:hint="cs"/>
          <w:rtl/>
        </w:rPr>
      </w:pPr>
      <w:r>
        <w:rPr>
          <w:rFonts w:hint="cs"/>
          <w:rtl/>
        </w:rPr>
        <w:t>44 -</w:t>
      </w:r>
      <w:r>
        <w:rPr>
          <w:rFonts w:hint="cs"/>
          <w:rtl/>
        </w:rPr>
        <w:tab/>
        <w:t xml:space="preserve">وتحدد الخطة أهدافا استراتيجية وإجراءات محددة في المجالات ذات الأولوية </w:t>
      </w:r>
      <w:proofErr w:type="spellStart"/>
      <w:r>
        <w:rPr>
          <w:rFonts w:hint="cs"/>
          <w:rtl/>
        </w:rPr>
        <w:t>الـ</w:t>
      </w:r>
      <w:proofErr w:type="spellEnd"/>
      <w:r>
        <w:rPr>
          <w:rFonts w:hint="cs"/>
          <w:rtl/>
        </w:rPr>
        <w:t xml:space="preserve"> 12 التي حددها منهاج عمل بيجين إضافة إلى مجال ثالث عشر هو </w:t>
      </w:r>
      <w:r>
        <w:rPr>
          <w:rFonts w:hint="eastAsia"/>
          <w:rtl/>
        </w:rPr>
        <w:t xml:space="preserve">”النساء والفتيات </w:t>
      </w:r>
      <w:r w:rsidR="001662DD">
        <w:rPr>
          <w:rFonts w:hint="cs"/>
          <w:rtl/>
        </w:rPr>
        <w:t>المعوقات</w:t>
      </w:r>
      <w:r>
        <w:rPr>
          <w:rFonts w:hint="cs"/>
          <w:rtl/>
        </w:rPr>
        <w:t>“.</w:t>
      </w:r>
    </w:p>
    <w:p w:rsidR="004D683E" w:rsidRPr="004D683E" w:rsidRDefault="004D683E" w:rsidP="004D683E">
      <w:pPr>
        <w:pStyle w:val="SingleTxt"/>
        <w:rPr>
          <w:rFonts w:hint="cs"/>
          <w:sz w:val="10"/>
          <w:rtl/>
        </w:rPr>
      </w:pPr>
      <w:r>
        <w:rPr>
          <w:rFonts w:hint="cs"/>
          <w:rtl/>
        </w:rPr>
        <w:t>45 -</w:t>
      </w:r>
      <w:r>
        <w:rPr>
          <w:rFonts w:hint="cs"/>
          <w:rtl/>
        </w:rPr>
        <w:tab/>
        <w:t>وقامت وزارة تنمية المرأة بفحص للخطة في سنة 2002 لقياس التقدم. وإضافة إلى ذلك، أقامت مكتبا لمنسق الخطة الوطنية لتعجيل التقدم وقياسه حتى يتم تنفيذ الإجراءات فيها بحلول سنة 2013 - وهي فترة تنفيذ الخطة.</w:t>
      </w:r>
    </w:p>
    <w:p w:rsidR="004D683E" w:rsidRPr="004D683E" w:rsidRDefault="004D683E" w:rsidP="004D683E">
      <w:pPr>
        <w:pStyle w:val="SingleTxt"/>
        <w:spacing w:after="0" w:line="120" w:lineRule="exact"/>
        <w:rPr>
          <w:rFonts w:hint="cs"/>
          <w:sz w:val="10"/>
          <w:rtl/>
        </w:rPr>
      </w:pPr>
    </w:p>
    <w:p w:rsidR="004D683E" w:rsidRDefault="004D683E" w:rsidP="004D68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السياسة الوطنية للنهوض بالمرأة وتمكينها</w:t>
      </w:r>
    </w:p>
    <w:p w:rsidR="004D683E" w:rsidRDefault="004D683E" w:rsidP="001662DD">
      <w:pPr>
        <w:pStyle w:val="SingleTxt"/>
        <w:rPr>
          <w:rFonts w:hint="cs"/>
          <w:rtl/>
        </w:rPr>
      </w:pPr>
      <w:r>
        <w:rPr>
          <w:rFonts w:hint="cs"/>
          <w:rtl/>
        </w:rPr>
        <w:t>46 -</w:t>
      </w:r>
      <w:r>
        <w:rPr>
          <w:rFonts w:hint="cs"/>
          <w:rtl/>
        </w:rPr>
        <w:tab/>
        <w:t>أعلنت السياسة الوطنية للنهوض بالمرأة وتمكينها في 7 آذار/مارس 2002، بعد عملية تشاور على نطاق البلد. وجرت استشارة نحو 2000 من أصحاب المصلحة (الحكومة ومنظمات المجتمع المدني والمانحون وقطاع الشركات وقادة الحكومات المحلية وغيرهم) خلال 67 جلسة عقدت على فترة 8 شهور (2002). وتشمل السياسة رؤية ومقصدا وأهداف مختلفة وتضع مبادئ توجيهية وتشمل تدابير السياسة الرئيسية، مع معالجة أبعاد التمكين في المجالات الاجتماعية والاقتصادية والسياسية، على نحو محدد. وتنعكس القضايا المشتركة بين القطاعات بصورة كاملة في تدابير السياسة الرئيسية. وقد استمدت هذه التدابير من السياسة الصحية الوطنية، وإصلاحات قطاع التعليم، والسياسة العمالية، وسُبل الوصول إلى برنامج العدالة وإصلاحات الشرطة وبرنامج تخفيف حدة الفقر وما إلى ذلك.</w:t>
      </w:r>
    </w:p>
    <w:p w:rsidR="004D683E" w:rsidRPr="004D683E" w:rsidRDefault="004D683E" w:rsidP="004D683E">
      <w:pPr>
        <w:pStyle w:val="SingleTxt"/>
        <w:spacing w:after="0" w:line="120" w:lineRule="exact"/>
        <w:rPr>
          <w:rFonts w:hint="cs"/>
          <w:sz w:val="10"/>
          <w:rtl/>
        </w:rPr>
      </w:pPr>
    </w:p>
    <w:p w:rsidR="004D683E" w:rsidRDefault="004D683E" w:rsidP="004D68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التحديات</w:t>
      </w:r>
    </w:p>
    <w:p w:rsidR="004D683E" w:rsidRDefault="004D683E" w:rsidP="004D683E">
      <w:pPr>
        <w:pStyle w:val="SingleTxt"/>
        <w:rPr>
          <w:rFonts w:hint="cs"/>
          <w:rtl/>
        </w:rPr>
      </w:pPr>
      <w:r>
        <w:rPr>
          <w:rFonts w:hint="cs"/>
          <w:rtl/>
        </w:rPr>
        <w:t>47 -</w:t>
      </w:r>
      <w:r>
        <w:rPr>
          <w:rFonts w:hint="cs"/>
          <w:rtl/>
        </w:rPr>
        <w:tab/>
        <w:t>يعتبر أهم التحديات التي تواجهها باكستان في مجال تعزيز حقوق المرأة وحمايتها هو كفالة أن تحقق الالتزامات الدولية والأحكام الدستورية والقوانين الصادرة وآلية التنفيذ وآليات الرصد المنشأة، والبرامج المختلفة التي تم الشروع فيها تغييرا إيجابيا في حياة نساء باكستان. ولم يتم التغلب على هذا التحدي بعد لعوامل متعددة. فالدولة تعاني من نقص شديد في الموارد. وهناك أيضا عدم وعي في قطاعات متعددة ومواقف اجتماعية راسخة فيما يتعلق بالمرأة وحقوق المرأة؛ مما يؤثر على نطاق ونوعية المبادرات التي يمكن اتخاذها من أجل تعزيز حقوق المرأة وحمايتها. وموظفو الدولة، وخاصة موظفو وزارة تنمية المرأة، لا يحصلون على ما يكفي من موارد وتدريب من أجل التصدي، بالشكل الملائم، لنطاق وتعقيد القضايا التي تواجههم لدى الاضطلاع بولايتهم. وتعاني السلطة القضائية وإدارات/وكالات إنفاذ القوانين من نقص مماثل في الموارد وأحيانا في الوعي والتدريب الملائم.</w:t>
      </w:r>
    </w:p>
    <w:p w:rsidR="004D683E" w:rsidRDefault="004D683E" w:rsidP="004D683E">
      <w:pPr>
        <w:pStyle w:val="SingleTxt"/>
        <w:rPr>
          <w:rFonts w:hint="cs"/>
          <w:rtl/>
        </w:rPr>
      </w:pPr>
      <w:r>
        <w:rPr>
          <w:rFonts w:hint="cs"/>
          <w:rtl/>
        </w:rPr>
        <w:t>48 -</w:t>
      </w:r>
      <w:r>
        <w:rPr>
          <w:rFonts w:hint="cs"/>
          <w:rtl/>
        </w:rPr>
        <w:tab/>
      </w:r>
      <w:r w:rsidR="00945189">
        <w:rPr>
          <w:rFonts w:hint="cs"/>
          <w:rtl/>
        </w:rPr>
        <w:t>ويؤدي انخفاض الإلمام بالقراءة والكتابة إلى زيادة الأثر المترتب على ذلك. فالنساء والرجال غير واعين بحقوقهم. وحتى عندما يكون الرجل على وعي بحقوق المرأة، فإنه غير مستعد للاعتراف بها أو لمنحها إياها.</w:t>
      </w:r>
    </w:p>
    <w:p w:rsidR="00945189" w:rsidRDefault="00945189" w:rsidP="004D683E">
      <w:pPr>
        <w:pStyle w:val="SingleTxt"/>
        <w:rPr>
          <w:rFonts w:hint="cs"/>
          <w:rtl/>
        </w:rPr>
      </w:pPr>
      <w:r>
        <w:rPr>
          <w:rFonts w:hint="cs"/>
          <w:rtl/>
        </w:rPr>
        <w:t>49 -</w:t>
      </w:r>
      <w:r>
        <w:rPr>
          <w:rFonts w:hint="cs"/>
          <w:rtl/>
        </w:rPr>
        <w:tab/>
        <w:t>وما زال هناك فهم غير سليم للدور الذي تقوم به المرأة في عملية التنمية الوطنية. وتظل عدة قوالب نمطية سائدة مما يؤدي أحيانا إلى عدم تنفيذ الضمانات الدستورية والقانونية القائمة ضد التمييز تنفيذا كاملا. ويتم تبرير الأفعال على أساس تعاليم الإسلام، دون أن يكون لها سند ديني، في بعض الأحيان.</w:t>
      </w:r>
    </w:p>
    <w:p w:rsidR="00945189" w:rsidRDefault="00945189" w:rsidP="004D683E">
      <w:pPr>
        <w:pStyle w:val="SingleTxt"/>
        <w:rPr>
          <w:rFonts w:hint="cs"/>
          <w:rtl/>
        </w:rPr>
      </w:pPr>
      <w:r>
        <w:rPr>
          <w:rFonts w:hint="cs"/>
          <w:rtl/>
        </w:rPr>
        <w:t>50 -</w:t>
      </w:r>
      <w:r>
        <w:rPr>
          <w:rFonts w:hint="cs"/>
          <w:rtl/>
        </w:rPr>
        <w:tab/>
        <w:t>وكما يحدث في أغلب البلدان الأخرى، تعتبر الشؤون المنزلية مسألة خاصة، ولا يتم الإبلاغ، عامة، عن الأحداث التي تجري داخل الأسرة/المشاكل المنزلية، بما في ذلك العنف ولا تجري معالجتها بالجدية المناسبة من جانب السلطات، إذا تم الإبلاغ عنها، في كثير من الأحيان.</w:t>
      </w:r>
    </w:p>
    <w:p w:rsidR="00945189" w:rsidRDefault="00945189" w:rsidP="004D683E">
      <w:pPr>
        <w:pStyle w:val="SingleTxt"/>
        <w:rPr>
          <w:rFonts w:hint="cs"/>
          <w:rtl/>
        </w:rPr>
      </w:pPr>
      <w:r>
        <w:rPr>
          <w:rFonts w:hint="cs"/>
          <w:rtl/>
        </w:rPr>
        <w:t>51 -</w:t>
      </w:r>
      <w:r>
        <w:rPr>
          <w:rFonts w:hint="cs"/>
          <w:rtl/>
        </w:rPr>
        <w:tab/>
        <w:t>ومعدل إلمام النساء بالقراءة والكتابة منخفض في باكستان، ولذلك، فهو يؤثر على وعي المرأة بحقوقها. وهناك نقص في المعلمات المؤهلات والمدربات، في المناطق الريفية من البلد.</w:t>
      </w:r>
    </w:p>
    <w:p w:rsidR="00945189" w:rsidRPr="00945189" w:rsidRDefault="00945189" w:rsidP="00945189">
      <w:pPr>
        <w:pStyle w:val="SingleTxt"/>
        <w:spacing w:after="0" w:line="120" w:lineRule="exact"/>
        <w:rPr>
          <w:rFonts w:hint="cs"/>
          <w:sz w:val="10"/>
          <w:rtl/>
        </w:rPr>
      </w:pPr>
    </w:p>
    <w:p w:rsidR="00945189" w:rsidRDefault="00900206" w:rsidP="0090020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الثالث</w:t>
      </w:r>
    </w:p>
    <w:p w:rsidR="00900206" w:rsidRDefault="00FE1E42" w:rsidP="0090020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900206">
        <w:rPr>
          <w:rFonts w:hint="cs"/>
          <w:rtl/>
        </w:rPr>
        <w:t>المواد 1 و 2 و 3</w:t>
      </w:r>
    </w:p>
    <w:p w:rsidR="00900206" w:rsidRDefault="00FE1E42" w:rsidP="00900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00206">
        <w:rPr>
          <w:rFonts w:hint="cs"/>
          <w:rtl/>
        </w:rPr>
        <w:t>(تعريف التمييز، واتخاذ جميع التدابير لتنفيذ الاتفاقية)</w:t>
      </w:r>
    </w:p>
    <w:p w:rsidR="00900206" w:rsidRDefault="00FE1E42" w:rsidP="00900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00206">
        <w:rPr>
          <w:rFonts w:hint="cs"/>
          <w:rtl/>
        </w:rPr>
        <w:t>الإطار الدستوري والقانوني والإداري</w:t>
      </w:r>
    </w:p>
    <w:p w:rsidR="00900206" w:rsidRDefault="00FE1E42" w:rsidP="00900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00206">
        <w:rPr>
          <w:rFonts w:hint="cs"/>
          <w:rtl/>
        </w:rPr>
        <w:t>تعريف التمييز</w:t>
      </w:r>
    </w:p>
    <w:p w:rsidR="00900206" w:rsidRDefault="00900206" w:rsidP="00900206">
      <w:pPr>
        <w:pStyle w:val="SingleTxt"/>
        <w:rPr>
          <w:rFonts w:hint="cs"/>
          <w:rtl/>
        </w:rPr>
      </w:pPr>
      <w:r>
        <w:rPr>
          <w:rFonts w:hint="cs"/>
          <w:rtl/>
        </w:rPr>
        <w:t>52 -</w:t>
      </w:r>
      <w:r>
        <w:rPr>
          <w:rFonts w:hint="cs"/>
          <w:rtl/>
        </w:rPr>
        <w:tab/>
        <w:t>لا يتضمن الدستور تعريفا للتمييز ضد المرأة أو وصفا له، وإن كان مفهوم عدم التمييز جزءا مكملا للدستور وموجودا ضمنيا في محتواه.</w:t>
      </w:r>
    </w:p>
    <w:p w:rsidR="00900206" w:rsidRDefault="00900206" w:rsidP="00900206">
      <w:pPr>
        <w:pStyle w:val="SingleTxt"/>
        <w:rPr>
          <w:rFonts w:hint="cs"/>
          <w:rtl/>
        </w:rPr>
      </w:pPr>
      <w:r>
        <w:rPr>
          <w:rFonts w:hint="cs"/>
          <w:rtl/>
        </w:rPr>
        <w:t>53 -</w:t>
      </w:r>
      <w:r>
        <w:rPr>
          <w:rFonts w:hint="cs"/>
          <w:rtl/>
        </w:rPr>
        <w:tab/>
        <w:t xml:space="preserve">والمادتان الدستوريتان المتصلتان بالموضوع هما المادة الفرعية 25 (2) </w:t>
      </w:r>
      <w:r>
        <w:rPr>
          <w:rFonts w:hint="eastAsia"/>
          <w:rtl/>
        </w:rPr>
        <w:t>”لا يجوز التمييز على أساس نوع الجنس وحده</w:t>
      </w:r>
      <w:r>
        <w:rPr>
          <w:rFonts w:hint="cs"/>
          <w:rtl/>
        </w:rPr>
        <w:t xml:space="preserve">“. والمادة 27 </w:t>
      </w:r>
      <w:r>
        <w:rPr>
          <w:rFonts w:hint="eastAsia"/>
          <w:rtl/>
        </w:rPr>
        <w:t>”لا يجوز التمييز ضد مواطن فيما يتعلق بتعيين من هذا النوع (الخدمة في باكستان) على أساس العرق أو الديانة أو الطائفة أو نوع الجنس أو محل الإقامة أو محل الميلاد فقط</w:t>
      </w:r>
      <w:r>
        <w:rPr>
          <w:rFonts w:hint="cs"/>
          <w:rtl/>
        </w:rPr>
        <w:t>“. وبذلك يقرر الدستور ضمانات واضحة ومحددة ضد التمييز على أساس نوع الجنس.</w:t>
      </w:r>
    </w:p>
    <w:p w:rsidR="00900206" w:rsidRDefault="00900206" w:rsidP="00900206">
      <w:pPr>
        <w:pStyle w:val="SingleTxt"/>
        <w:rPr>
          <w:rFonts w:hint="cs"/>
          <w:rtl/>
        </w:rPr>
      </w:pPr>
      <w:r>
        <w:rPr>
          <w:rFonts w:hint="cs"/>
          <w:rtl/>
        </w:rPr>
        <w:t>54 -</w:t>
      </w:r>
      <w:r>
        <w:rPr>
          <w:rFonts w:hint="cs"/>
          <w:rtl/>
        </w:rPr>
        <w:tab/>
        <w:t>وقد أدان القادة، من الرئيس إلى من بعده</w:t>
      </w:r>
      <w:r w:rsidR="001662DD">
        <w:rPr>
          <w:rFonts w:hint="cs"/>
          <w:rtl/>
        </w:rPr>
        <w:t>،</w:t>
      </w:r>
      <w:r>
        <w:rPr>
          <w:rFonts w:hint="cs"/>
          <w:rtl/>
        </w:rPr>
        <w:t xml:space="preserve"> التمييز ضد المرأة في مناسبات عديدة. وكانت الرغبة في عدم معاناة المرأة من التمييز السبب وراء إنشاء وزارة تنمية المرأة واللجنة الوطنية لوضع لامرأة.</w:t>
      </w:r>
    </w:p>
    <w:p w:rsidR="00900206" w:rsidRPr="00900206" w:rsidRDefault="00900206" w:rsidP="00900206">
      <w:pPr>
        <w:pStyle w:val="SingleTxt"/>
        <w:spacing w:after="0" w:line="120" w:lineRule="exact"/>
        <w:rPr>
          <w:rFonts w:hint="cs"/>
          <w:sz w:val="10"/>
          <w:rtl/>
        </w:rPr>
      </w:pPr>
    </w:p>
    <w:p w:rsidR="00900206" w:rsidRDefault="00CB773D" w:rsidP="00900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00206">
        <w:rPr>
          <w:rFonts w:hint="cs"/>
          <w:rtl/>
        </w:rPr>
        <w:t>تجسيد مبدأ المساواة بين الرجل والمرأة في الدساتير الوطنية والتشريعات المناسبة الأخرى وكفالة التحقيق العملي لهذا المبدأ من خلال القانون والوسائل المناسبة الأخرى</w:t>
      </w:r>
    </w:p>
    <w:p w:rsidR="00900206" w:rsidRDefault="00900206" w:rsidP="00900206">
      <w:pPr>
        <w:pStyle w:val="SingleTxt"/>
        <w:rPr>
          <w:rFonts w:hint="cs"/>
          <w:rtl/>
        </w:rPr>
      </w:pPr>
      <w:r>
        <w:rPr>
          <w:rFonts w:hint="cs"/>
          <w:rtl/>
        </w:rPr>
        <w:t>55 -</w:t>
      </w:r>
      <w:r>
        <w:rPr>
          <w:rFonts w:hint="cs"/>
          <w:rtl/>
        </w:rPr>
        <w:tab/>
        <w:t>ترد الأحكام الدستورية التي تؤكد على المساواة في الحقوق والمساواة في المعاملة بين جميع المواطنين، بما في ذلك، النساء، في الفصل الثاني، الفقرة 30. ولا يجوز أن تخالف القوانين الصادرة في باكستان هذه الأحكام الدستورية. وهناك اختلاف في الرأي بين قطاعات سكان باكستان فيما إذا كانت بعض القوانين، مثل قوانين الحدود الإسلامية، متفقة مع الدستور</w:t>
      </w:r>
      <w:r w:rsidR="00CD4568" w:rsidRPr="00CD4568">
        <w:rPr>
          <w:vertAlign w:val="superscript"/>
          <w:rtl/>
        </w:rPr>
        <w:t>(</w:t>
      </w:r>
      <w:r w:rsidR="00CD4568">
        <w:rPr>
          <w:rStyle w:val="FootnoteReference"/>
          <w:rtl/>
        </w:rPr>
        <w:footnoteReference w:id="5"/>
      </w:r>
      <w:r w:rsidR="00CD4568" w:rsidRPr="00CD4568">
        <w:rPr>
          <w:vertAlign w:val="superscript"/>
          <w:rtl/>
        </w:rPr>
        <w:t>)</w:t>
      </w:r>
      <w:r w:rsidR="00CD4568">
        <w:rPr>
          <w:rFonts w:hint="cs"/>
          <w:rtl/>
        </w:rPr>
        <w:t>.</w:t>
      </w:r>
    </w:p>
    <w:p w:rsidR="00CD4568" w:rsidRDefault="00CB773D" w:rsidP="00CD45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D4568">
        <w:rPr>
          <w:rFonts w:hint="cs"/>
          <w:rtl/>
        </w:rPr>
        <w:t>التدابير التشريعية المناسبة وغيرها، بما في ذلك ما يقتضيه الأمر من جزاءات، لحظر كل تمييز ضد المرأة</w:t>
      </w:r>
    </w:p>
    <w:p w:rsidR="00CD4568" w:rsidRDefault="00CB773D" w:rsidP="00CD45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D4568">
        <w:rPr>
          <w:rFonts w:hint="cs"/>
          <w:rtl/>
        </w:rPr>
        <w:t>المحاكم الوطنية ذات الاختصاص والمؤسسات العامة الأخرى لضمان الحماية الفعالة للمرأة من أي عمل تمييزي</w:t>
      </w:r>
    </w:p>
    <w:p w:rsidR="00CD4568" w:rsidRDefault="00CD4568" w:rsidP="00CD4568">
      <w:pPr>
        <w:pStyle w:val="SingleTxt"/>
        <w:rPr>
          <w:rFonts w:hint="cs"/>
          <w:rtl/>
        </w:rPr>
      </w:pPr>
      <w:r>
        <w:rPr>
          <w:rFonts w:hint="cs"/>
          <w:rtl/>
        </w:rPr>
        <w:t>56 -</w:t>
      </w:r>
      <w:r>
        <w:rPr>
          <w:rFonts w:hint="cs"/>
          <w:rtl/>
        </w:rPr>
        <w:tab/>
        <w:t xml:space="preserve">ينص الدستور على ضمانات واضحة ومحددة ضد التمييز على أساس نوع الجنس. غير أنه لا يوجد قانون يحظر التمييز ضد المرأة على نحو محدد. ولا توجد أيضا جزاءات قانونية تطبق في حالات التمييز ضد المرأة أو ضد أي شخص آخر. إلا أنه يمكن الطعن في أي إجراء تمييزي من جانب الدولة. أو موظفي الدولة أو العاملين نيابة عن الدولة أمام المحاكم. وتستطيع المحكمة منح تعويض عن الأضرار لمقدمي الدعوى وهي تفعل ذلك، مما قد يشمل جانب </w:t>
      </w:r>
      <w:r>
        <w:rPr>
          <w:rFonts w:hint="eastAsia"/>
          <w:rtl/>
        </w:rPr>
        <w:t>”الجزاءات</w:t>
      </w:r>
      <w:r>
        <w:rPr>
          <w:rFonts w:hint="cs"/>
          <w:rtl/>
        </w:rPr>
        <w:t>“ من الاتفاقية. غير أنه من الصعب ملاحقة هذه القضايا في المحاكم، أحيانا كثيرة، ولا توجد مبادئ توجيهية محددة للمحاكم بشأن قيمة التعويضات التي تستطيع الحكم بها لمقدمي الدعاوى. وتشمل سُبل الانتصاف الأخرى، مكتب أمين المظالم (الفصل الثاني، الفقرة 33)، ومحكمة الخدمات ومحاكم العمل.</w:t>
      </w:r>
    </w:p>
    <w:p w:rsidR="00CD4568" w:rsidRDefault="00CD4568" w:rsidP="00CD4568">
      <w:pPr>
        <w:pStyle w:val="SingleTxt"/>
        <w:rPr>
          <w:rFonts w:hint="cs"/>
          <w:rtl/>
        </w:rPr>
      </w:pPr>
      <w:r>
        <w:rPr>
          <w:rFonts w:hint="cs"/>
          <w:rtl/>
        </w:rPr>
        <w:t>57 -</w:t>
      </w:r>
      <w:r>
        <w:rPr>
          <w:rFonts w:hint="cs"/>
          <w:rtl/>
        </w:rPr>
        <w:tab/>
        <w:t>وهناك مثال حي لكيفية تفعيل التدابير العلاجية وهو مسألة قبول الفتيات في كليات الطب المشتركة بين الجنسين في باكستان</w:t>
      </w:r>
      <w:r w:rsidR="00A52687" w:rsidRPr="00A52687">
        <w:rPr>
          <w:vertAlign w:val="superscript"/>
          <w:rtl/>
        </w:rPr>
        <w:t>(</w:t>
      </w:r>
      <w:r w:rsidR="00A52687">
        <w:rPr>
          <w:rStyle w:val="FootnoteReference"/>
          <w:rtl/>
        </w:rPr>
        <w:footnoteReference w:id="6"/>
      </w:r>
      <w:r w:rsidR="00A52687" w:rsidRPr="00A52687">
        <w:rPr>
          <w:vertAlign w:val="superscript"/>
          <w:rtl/>
        </w:rPr>
        <w:t>)</w:t>
      </w:r>
      <w:r>
        <w:rPr>
          <w:rFonts w:hint="cs"/>
          <w:rtl/>
        </w:rPr>
        <w:t xml:space="preserve">. فحتى سنة 1990، </w:t>
      </w:r>
      <w:r w:rsidR="00CB773D">
        <w:rPr>
          <w:rFonts w:hint="cs"/>
          <w:rtl/>
        </w:rPr>
        <w:t>كانت هناك</w:t>
      </w:r>
      <w:r w:rsidR="00A52687">
        <w:rPr>
          <w:rFonts w:hint="cs"/>
          <w:rtl/>
        </w:rPr>
        <w:t xml:space="preserve"> حصة محددة لقبول الفتيات في كليات الطب بباكستان. وكانت النتيجة أن عددا كبيرا من الفتيات الحاصلات على درجات أفضل من الفتيان حرم من القبول في هذه المؤسسات الشهيرة. وتقدمت الفتيات بعريضة ضد ممارسة حصص القبول. وحكمت المحكمة بأن يكون القبول في كليات الطب على أساس الجدارة المفتوحة، مما أدى إلى تنفيذ سياسة جديدة لنظام مفتوح وشفاف للقبول في جميع الكليات المهنية. ويستند الاختيار النهائي إلى الجدارة، بصورة تامة، وذلك </w:t>
      </w:r>
      <w:r w:rsidR="00A1602D">
        <w:rPr>
          <w:rFonts w:hint="cs"/>
          <w:rtl/>
        </w:rPr>
        <w:t>بصرف النظر عن نوع الجنس. وفي سنة 2003، كانت هناك 322 فتاة في فصل مؤلف من 350 طالبا في كلية طب داو، بكراتشي، وهي أولى كليات الطب في مقاطعة السند.</w:t>
      </w:r>
    </w:p>
    <w:p w:rsidR="00A1602D" w:rsidRPr="00A1602D" w:rsidRDefault="00A1602D" w:rsidP="00A1602D">
      <w:pPr>
        <w:pStyle w:val="SingleTxt"/>
        <w:spacing w:after="0" w:line="120" w:lineRule="exact"/>
        <w:rPr>
          <w:rFonts w:hint="cs"/>
          <w:sz w:val="10"/>
          <w:rtl/>
        </w:rPr>
      </w:pPr>
    </w:p>
    <w:p w:rsidR="00A1602D" w:rsidRDefault="00CB773D" w:rsidP="00A160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602D">
        <w:rPr>
          <w:rFonts w:hint="cs"/>
          <w:rtl/>
        </w:rPr>
        <w:t>الامتناع عن الاضطلاع بأي عمل أو ممارسة تمييزية ضد المرأة، وكفالة تصرف السلطات والمؤسسات بما يتفق وهذا الالتزام</w:t>
      </w:r>
    </w:p>
    <w:p w:rsidR="00A1602D" w:rsidRDefault="00A1602D" w:rsidP="00A1602D">
      <w:pPr>
        <w:pStyle w:val="SingleTxt"/>
        <w:rPr>
          <w:rFonts w:hint="cs"/>
          <w:rtl/>
        </w:rPr>
      </w:pPr>
      <w:r>
        <w:rPr>
          <w:rFonts w:hint="cs"/>
          <w:rtl/>
        </w:rPr>
        <w:t>58 -</w:t>
      </w:r>
      <w:r>
        <w:rPr>
          <w:rFonts w:hint="cs"/>
          <w:rtl/>
        </w:rPr>
        <w:tab/>
        <w:t>تساعد الأحكام الدستورية المذكورة أعلاه أيضا على عدم قيام الحكومة أو أي مؤسسة أو شخص يتصرف في ظل سلطتها أو نيابة عنها بالاضطلاع بالتمييز ضد المرأة.</w:t>
      </w:r>
    </w:p>
    <w:p w:rsidR="00A1602D" w:rsidRDefault="00A1602D" w:rsidP="001662DD">
      <w:pPr>
        <w:pStyle w:val="SingleTxt"/>
        <w:rPr>
          <w:rFonts w:hint="cs"/>
          <w:rtl/>
        </w:rPr>
      </w:pPr>
      <w:r>
        <w:rPr>
          <w:rFonts w:hint="cs"/>
          <w:rtl/>
        </w:rPr>
        <w:t>59 -</w:t>
      </w:r>
      <w:r>
        <w:rPr>
          <w:rFonts w:hint="cs"/>
          <w:rtl/>
        </w:rPr>
        <w:tab/>
        <w:t>وهناك مجموعة واسعة النطاق من القواعد والنظم التي تحكم سلوك موظفي الحكومة. وتنص على نطاق الجزاءات التي تفرض في حالة التخلي عن الواجب أو السلوك غير اللائق من جانب أي موظف من موظفي الحكومة. وبينما لا ي</w:t>
      </w:r>
      <w:r w:rsidR="001662DD">
        <w:rPr>
          <w:rFonts w:hint="cs"/>
          <w:rtl/>
        </w:rPr>
        <w:t>ر</w:t>
      </w:r>
      <w:r>
        <w:rPr>
          <w:rFonts w:hint="cs"/>
          <w:rtl/>
        </w:rPr>
        <w:t xml:space="preserve">د </w:t>
      </w:r>
      <w:r>
        <w:rPr>
          <w:rFonts w:hint="eastAsia"/>
          <w:rtl/>
        </w:rPr>
        <w:t>”الاضطلاع بالتمييز ضد المرأة</w:t>
      </w:r>
      <w:r>
        <w:rPr>
          <w:rFonts w:hint="cs"/>
          <w:rtl/>
        </w:rPr>
        <w:t>“ بوصفه سلوكا غير لائق، قد يكون من الممكن إقامة دعوى ضد موظف من موظفي الخدمة المدنية بموجب قواعد السلوك والكفاءة لحكومة باكستان في حالة إبداء تحيز أو تحامل، بما في ذلك، على أساس نوع الجنس.</w:t>
      </w:r>
    </w:p>
    <w:p w:rsidR="00A1602D" w:rsidRDefault="00A1602D" w:rsidP="00A1602D">
      <w:pPr>
        <w:pStyle w:val="SingleTxt"/>
        <w:rPr>
          <w:rFonts w:hint="cs"/>
          <w:rtl/>
        </w:rPr>
      </w:pPr>
      <w:r>
        <w:rPr>
          <w:rFonts w:hint="cs"/>
          <w:rtl/>
        </w:rPr>
        <w:t>60 -</w:t>
      </w:r>
      <w:r>
        <w:rPr>
          <w:rFonts w:hint="cs"/>
          <w:rtl/>
        </w:rPr>
        <w:tab/>
        <w:t>ويتضمن القانون الجنائي الباكستاني عدة أحكام (المواد 161 إلى 171) تتناول الجرائم التي يرتكبها موظفو الحكومة:</w:t>
      </w:r>
    </w:p>
    <w:p w:rsidR="00A1602D" w:rsidRDefault="00A1602D" w:rsidP="00A1602D">
      <w:pPr>
        <w:pStyle w:val="SingleTxt"/>
        <w:rPr>
          <w:rFonts w:hint="cs"/>
          <w:rtl/>
        </w:rPr>
      </w:pPr>
      <w:r>
        <w:rPr>
          <w:rFonts w:hint="cs"/>
          <w:rtl/>
        </w:rPr>
        <w:tab/>
        <w:t>(أ)</w:t>
      </w:r>
      <w:r>
        <w:rPr>
          <w:rFonts w:hint="cs"/>
          <w:rtl/>
        </w:rPr>
        <w:tab/>
        <w:t>المادة 161: الموظف العام الذي يتقاضى عوضا غير الراتب القانوني مقابل إجراء رسمي.</w:t>
      </w:r>
    </w:p>
    <w:p w:rsidR="00A1602D" w:rsidRDefault="00A1602D" w:rsidP="00A1602D">
      <w:pPr>
        <w:pStyle w:val="SingleTxt"/>
        <w:rPr>
          <w:rFonts w:hint="cs"/>
          <w:rtl/>
        </w:rPr>
      </w:pPr>
      <w:r>
        <w:rPr>
          <w:rFonts w:hint="cs"/>
          <w:rtl/>
        </w:rPr>
        <w:tab/>
        <w:t>(ب)</w:t>
      </w:r>
      <w:r>
        <w:rPr>
          <w:rFonts w:hint="cs"/>
          <w:rtl/>
        </w:rPr>
        <w:tab/>
        <w:t>المادة 166: الموظف العام الذي يخالف القانون بقصد التسبب في ضرر لأي شخص.</w:t>
      </w:r>
    </w:p>
    <w:p w:rsidR="00A1602D" w:rsidRDefault="00A1602D" w:rsidP="00A1602D">
      <w:pPr>
        <w:pStyle w:val="SingleTxt"/>
        <w:rPr>
          <w:rFonts w:hint="cs"/>
          <w:rtl/>
        </w:rPr>
      </w:pPr>
      <w:r>
        <w:rPr>
          <w:rFonts w:hint="cs"/>
          <w:rtl/>
        </w:rPr>
        <w:tab/>
        <w:t>(ج)</w:t>
      </w:r>
      <w:r>
        <w:rPr>
          <w:rFonts w:hint="cs"/>
          <w:rtl/>
        </w:rPr>
        <w:tab/>
        <w:t>المادة 167: الموظف العام الذي يلفق وثيقة رسمية بقصد التسبب في ضرر.</w:t>
      </w:r>
    </w:p>
    <w:p w:rsidR="00A1602D" w:rsidRDefault="00A1602D" w:rsidP="001662DD">
      <w:pPr>
        <w:pStyle w:val="SingleTxt"/>
        <w:rPr>
          <w:rFonts w:hint="cs"/>
          <w:rtl/>
        </w:rPr>
      </w:pPr>
      <w:r>
        <w:rPr>
          <w:rFonts w:hint="cs"/>
          <w:rtl/>
        </w:rPr>
        <w:t>61 -</w:t>
      </w:r>
      <w:r>
        <w:rPr>
          <w:rFonts w:hint="cs"/>
          <w:rtl/>
        </w:rPr>
        <w:tab/>
        <w:t xml:space="preserve">وتعريف </w:t>
      </w:r>
      <w:r>
        <w:rPr>
          <w:rFonts w:hint="eastAsia"/>
          <w:rtl/>
        </w:rPr>
        <w:t>”الضرر</w:t>
      </w:r>
      <w:r>
        <w:rPr>
          <w:rFonts w:hint="cs"/>
          <w:rtl/>
        </w:rPr>
        <w:t xml:space="preserve">“ في القانون الجنائي الباكستاني هو </w:t>
      </w:r>
      <w:r>
        <w:rPr>
          <w:rFonts w:hint="eastAsia"/>
          <w:rtl/>
        </w:rPr>
        <w:t>”أي أ</w:t>
      </w:r>
      <w:r w:rsidR="001662DD">
        <w:rPr>
          <w:rFonts w:hint="cs"/>
          <w:rtl/>
        </w:rPr>
        <w:t>ذ</w:t>
      </w:r>
      <w:r>
        <w:rPr>
          <w:rFonts w:hint="eastAsia"/>
          <w:rtl/>
        </w:rPr>
        <w:t>ى يتم التسبب فيه للشخص في البدن أو العقل أو السمعة أو الممتلكات، بصورة غير شرعية</w:t>
      </w:r>
      <w:r>
        <w:rPr>
          <w:rFonts w:hint="cs"/>
          <w:rtl/>
        </w:rPr>
        <w:t>“. وبينما يمكن، من الناحية النظرية، استخدام الأحكام المذكورة آنفا لمعاقبة الموظف العام الذي يتمادى في التمييز ضد المرأة، فإنها لم تستخدم، على ما يبدو، ويمكن زيادة تطويرها.</w:t>
      </w:r>
    </w:p>
    <w:p w:rsidR="00A1602D" w:rsidRPr="00A1602D" w:rsidRDefault="00A1602D" w:rsidP="00A1602D">
      <w:pPr>
        <w:pStyle w:val="SingleTxt"/>
        <w:spacing w:after="0" w:line="120" w:lineRule="exact"/>
        <w:rPr>
          <w:rFonts w:hint="cs"/>
          <w:sz w:val="10"/>
          <w:rtl/>
        </w:rPr>
      </w:pPr>
    </w:p>
    <w:p w:rsidR="00A1602D" w:rsidRDefault="00CB773D" w:rsidP="00A160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602D">
        <w:rPr>
          <w:rFonts w:hint="cs"/>
          <w:rtl/>
        </w:rPr>
        <w:t>اتخاذ جميع التدابير المناسبة للقضاء على التمييز ضد المرأة من جانب أي شخص أو</w:t>
      </w:r>
      <w:r w:rsidR="00A1602D">
        <w:rPr>
          <w:rFonts w:hint="eastAsia"/>
          <w:rtl/>
        </w:rPr>
        <w:t> </w:t>
      </w:r>
      <w:r w:rsidR="00A1602D">
        <w:rPr>
          <w:rFonts w:hint="cs"/>
          <w:rtl/>
        </w:rPr>
        <w:t>منظمة أو مؤسسة</w:t>
      </w:r>
    </w:p>
    <w:p w:rsidR="00A1602D" w:rsidRDefault="00A1602D" w:rsidP="001662DD">
      <w:pPr>
        <w:pStyle w:val="SingleTxt"/>
        <w:rPr>
          <w:rFonts w:hint="cs"/>
          <w:rtl/>
        </w:rPr>
      </w:pPr>
      <w:r>
        <w:rPr>
          <w:rFonts w:hint="cs"/>
          <w:rtl/>
        </w:rPr>
        <w:t>62 -</w:t>
      </w:r>
      <w:r>
        <w:rPr>
          <w:rFonts w:hint="cs"/>
          <w:rtl/>
        </w:rPr>
        <w:tab/>
        <w:t xml:space="preserve">يحظى القطاع </w:t>
      </w:r>
      <w:r w:rsidR="001662DD">
        <w:rPr>
          <w:rFonts w:hint="cs"/>
          <w:rtl/>
        </w:rPr>
        <w:t xml:space="preserve">العام </w:t>
      </w:r>
      <w:r>
        <w:rPr>
          <w:rFonts w:hint="cs"/>
          <w:rtl/>
        </w:rPr>
        <w:t>بتغطية كافية نسبيا. ولا تتوفر الحماية في القطاع الخاص بنفس المستوى حتى الآن، وإن كان اللجوء إلى المحاكم ممكنا، من الناحية النظرية.</w:t>
      </w:r>
    </w:p>
    <w:p w:rsidR="00A1602D" w:rsidRDefault="00CB773D" w:rsidP="00A160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602D">
        <w:rPr>
          <w:rFonts w:hint="cs"/>
          <w:rtl/>
        </w:rPr>
        <w:t>اتخاذ جميع التدابير المناسبة، بما في ذلك التشريع، لتعديل أو إلغاء القوانين والأنظمة والأعراف والممارسات القائمة التي تشكل تمييزا ضد المرأة</w:t>
      </w:r>
    </w:p>
    <w:p w:rsidR="00A1602D" w:rsidRDefault="00A1602D" w:rsidP="00A1602D">
      <w:pPr>
        <w:pStyle w:val="SingleTxt"/>
        <w:rPr>
          <w:rFonts w:hint="cs"/>
          <w:rtl/>
        </w:rPr>
      </w:pPr>
      <w:r>
        <w:rPr>
          <w:rFonts w:hint="cs"/>
          <w:rtl/>
        </w:rPr>
        <w:t>63 -</w:t>
      </w:r>
      <w:r>
        <w:rPr>
          <w:rFonts w:hint="cs"/>
          <w:rtl/>
        </w:rPr>
        <w:tab/>
        <w:t>تمت مناقشة المادة 8 بالفعل، في الفصل الثاني، الفقرة 30. ونظرا لأن الدستور يؤكد مبدأ المساواة بين جميع المواطنين في البلد، بصورة متكررة، يمكن القول بأن هذا الحكم من أحكام الدستور يغطي البند المذكور أعلاه من الاتفاقية، على نحو ملائم.</w:t>
      </w:r>
    </w:p>
    <w:p w:rsidR="00A1602D" w:rsidRDefault="00A1602D" w:rsidP="00A1602D">
      <w:pPr>
        <w:pStyle w:val="SingleTxt"/>
        <w:rPr>
          <w:rFonts w:hint="cs"/>
          <w:rtl/>
        </w:rPr>
      </w:pPr>
      <w:r>
        <w:rPr>
          <w:rFonts w:hint="cs"/>
          <w:rtl/>
        </w:rPr>
        <w:t>64 -</w:t>
      </w:r>
      <w:r>
        <w:rPr>
          <w:rFonts w:hint="cs"/>
          <w:rtl/>
        </w:rPr>
        <w:tab/>
        <w:t>تضع الدساتير المثاليات ولكن تحقيقها مهمة صعبة. وما زالت هناك بلاغات عن حالات ذكرت فيها العادات والممارسات والتفسير الخاطئ للدين كمبررات لممارسة أفعال التمييز ضد المرأة.</w:t>
      </w:r>
    </w:p>
    <w:p w:rsidR="00A1602D" w:rsidRDefault="00A1602D" w:rsidP="00CB773D">
      <w:pPr>
        <w:pStyle w:val="SingleTxt"/>
        <w:rPr>
          <w:rFonts w:hint="cs"/>
          <w:rtl/>
        </w:rPr>
      </w:pPr>
      <w:r>
        <w:rPr>
          <w:rFonts w:hint="cs"/>
          <w:rtl/>
        </w:rPr>
        <w:t>65 -</w:t>
      </w:r>
      <w:r>
        <w:rPr>
          <w:rFonts w:hint="cs"/>
          <w:rtl/>
        </w:rPr>
        <w:tab/>
        <w:t>ويعدل مرسوم (تعديل) القانون ا</w:t>
      </w:r>
      <w:r w:rsidR="00CB773D">
        <w:rPr>
          <w:rFonts w:hint="cs"/>
          <w:rtl/>
        </w:rPr>
        <w:t>ل</w:t>
      </w:r>
      <w:r>
        <w:rPr>
          <w:rFonts w:hint="cs"/>
          <w:rtl/>
        </w:rPr>
        <w:t>جنائي المواد 299، 302، 305، 308، 310، 311، 316، 324، 337، 338 من القانون الجنائي الباكستاني والمادتين 345 و 401 من قانون الإجراءات الجنائية لضمان ملاحقة أكثر فعالية لقضايا ما يسمى بجرائم القتل دفاعا عن الشرف. ويدرج المرسوم أيضا مادة جديدة (310 ألف) تعاقب على تزويج الإناث كجزء من حل توافقي لتسوية نزاع بين أسرتين أو قبيلتين بعقوبة مشددة قد تصل إلى 10 سنوات ولا تقل عن ثلاث سنوات. وأضيفت المادتان أيضا إلى قانون الإجراءات الجنائية.</w:t>
      </w:r>
    </w:p>
    <w:p w:rsidR="00A1602D" w:rsidRDefault="00A1602D" w:rsidP="00A1602D">
      <w:pPr>
        <w:pStyle w:val="SingleTxt"/>
        <w:rPr>
          <w:rFonts w:hint="cs"/>
          <w:rtl/>
        </w:rPr>
      </w:pPr>
      <w:r>
        <w:rPr>
          <w:rFonts w:hint="cs"/>
          <w:rtl/>
        </w:rPr>
        <w:t>66 -</w:t>
      </w:r>
      <w:r>
        <w:rPr>
          <w:rFonts w:hint="cs"/>
          <w:rtl/>
        </w:rPr>
        <w:tab/>
        <w:t>وتولي عناية خاصة لزيادة وعي الشرطة والقضاء بالشؤون الجنسانية في إطار برنامج الوصول إلى العدالة.</w:t>
      </w:r>
      <w:r w:rsidR="001662DD">
        <w:rPr>
          <w:rFonts w:hint="cs"/>
          <w:rtl/>
        </w:rPr>
        <w:t xml:space="preserve"> وقد تولت اللجنة الوطنية لوضع ال</w:t>
      </w:r>
      <w:r>
        <w:rPr>
          <w:rFonts w:hint="cs"/>
          <w:rtl/>
        </w:rPr>
        <w:t>مرأة عملية النظر في القوانين التي تعتبر تمييزية ضد المرأة واقترحت بالفعل إجراء تعديلات لقانون الجنسية الباكستاني لسنة 1951، بتغيير بعض الأحكام التمييزية ضد المرأة. وقامت الحكومة بتعديل القانون وفقا لذلك. وفي آب/أغسطس 2003، أوصت اللجنة أيضا بإلغاء قوانين الحدود الإسلامية التي يعتبرها كثيرون تمييزية ضد المرأة، وذلك في آب/أغسطس 2003.</w:t>
      </w:r>
    </w:p>
    <w:p w:rsidR="00A1602D" w:rsidRPr="00A1602D" w:rsidRDefault="00A1602D" w:rsidP="00A1602D">
      <w:pPr>
        <w:pStyle w:val="SingleTxt"/>
        <w:spacing w:after="0" w:line="120" w:lineRule="exact"/>
        <w:rPr>
          <w:rFonts w:hint="cs"/>
          <w:sz w:val="10"/>
          <w:rtl/>
        </w:rPr>
      </w:pPr>
    </w:p>
    <w:p w:rsidR="00A1602D" w:rsidRDefault="00A1602D" w:rsidP="00A160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إلغاء جميع أحكام قوانين العقوبات الوطنية التي تشكل تمييزا ضد المرأة</w:t>
      </w:r>
    </w:p>
    <w:p w:rsidR="00A1602D" w:rsidRDefault="00A1602D" w:rsidP="00A1602D">
      <w:pPr>
        <w:pStyle w:val="SingleTxt"/>
        <w:rPr>
          <w:rFonts w:hint="cs"/>
          <w:rtl/>
        </w:rPr>
      </w:pPr>
      <w:r>
        <w:rPr>
          <w:rFonts w:hint="cs"/>
          <w:rtl/>
        </w:rPr>
        <w:t>67 -</w:t>
      </w:r>
      <w:r>
        <w:rPr>
          <w:rFonts w:hint="cs"/>
          <w:rtl/>
        </w:rPr>
        <w:tab/>
        <w:t>يتضمن القانون الجنائي الباكستاني 511 مادة، منها عدد كبير يمنح حماية أفضل للمرأة عن الرجل. وينص قانون الإجراءات الجنائية لسنة 1898 على معاملة خاصة للمرأة، في مواجهة القانون. وترد هذه في الفصل الثاني، الفقرة 34، الفقرات الفرعية كاف إلى سين.</w:t>
      </w:r>
    </w:p>
    <w:p w:rsidR="00A1602D" w:rsidRDefault="00A1602D" w:rsidP="00A1602D">
      <w:pPr>
        <w:pStyle w:val="SingleTxt"/>
        <w:rPr>
          <w:rFonts w:hint="cs"/>
          <w:rtl/>
        </w:rPr>
      </w:pPr>
      <w:r>
        <w:rPr>
          <w:rFonts w:hint="cs"/>
          <w:rtl/>
        </w:rPr>
        <w:t>68 -</w:t>
      </w:r>
      <w:r>
        <w:rPr>
          <w:rFonts w:hint="cs"/>
          <w:rtl/>
        </w:rPr>
        <w:tab/>
        <w:t>وتناقش القوانين التي تعتبر تمييزية ضد المرأة في إطار المادة 15 من الاتفاقية.</w:t>
      </w:r>
    </w:p>
    <w:p w:rsidR="00A1602D" w:rsidRPr="00A1602D" w:rsidRDefault="00A1602D" w:rsidP="00A1602D">
      <w:pPr>
        <w:pStyle w:val="SingleTxt"/>
        <w:spacing w:after="0" w:line="120" w:lineRule="exact"/>
        <w:rPr>
          <w:rFonts w:hint="cs"/>
          <w:sz w:val="10"/>
          <w:rtl/>
        </w:rPr>
      </w:pPr>
    </w:p>
    <w:p w:rsidR="00A1602D" w:rsidRDefault="00A1602D" w:rsidP="00A160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المعلومات المقدمة عملا بالتوصية العامة 6</w:t>
      </w:r>
    </w:p>
    <w:p w:rsidR="00A1602D" w:rsidRDefault="00CB773D" w:rsidP="009D02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D02E6">
        <w:rPr>
          <w:rFonts w:hint="cs"/>
          <w:rtl/>
        </w:rPr>
        <w:t>إقامة و/أو تعزيز الأجهزة والمؤسسات والإجراءات الوطنية الفعالة؛ إسداء المشورة بشأن آثار جميع السياسات الحكومية على المرأة؛ رصد حالة المرأة بشكل شامل؛ المساعدة في رسم سياسات جديدة للقضاء على التمييز، وتنفيذ الاستراتيجيات والتدابير الرامية إلى القضاء على التمييز ضد المرأة تنفيذا فعالا</w:t>
      </w:r>
    </w:p>
    <w:p w:rsidR="009D02E6" w:rsidRDefault="009D02E6" w:rsidP="009D02E6">
      <w:pPr>
        <w:pStyle w:val="SingleTxt"/>
        <w:rPr>
          <w:rFonts w:hint="cs"/>
          <w:rtl/>
        </w:rPr>
      </w:pPr>
      <w:r>
        <w:rPr>
          <w:rFonts w:hint="cs"/>
          <w:rtl/>
        </w:rPr>
        <w:t>69 -</w:t>
      </w:r>
      <w:r>
        <w:rPr>
          <w:rFonts w:hint="cs"/>
          <w:rtl/>
        </w:rPr>
        <w:tab/>
        <w:t>تعتبر وزارة تنمية المرأة الجهاز الوطني المعني بحقوق المرأة وتنميتها وتمكينها في باكستان. وأهم أدوا</w:t>
      </w:r>
      <w:r w:rsidR="001662DD">
        <w:rPr>
          <w:rFonts w:hint="cs"/>
          <w:rtl/>
        </w:rPr>
        <w:t>ر</w:t>
      </w:r>
      <w:r>
        <w:rPr>
          <w:rFonts w:hint="cs"/>
          <w:rtl/>
        </w:rPr>
        <w:t>ه هو رسم السياسات. وقد وردت ولايته في الفصل الثاني، الفقرة 36 من التقرير. وعهد إلى اللجنة الوطنية لوضع المرأة برصد أثر جميع السياسات الحكومية وإسداء المشورة بشأنها، ودراسة القوانين وما إلى ذلك (الفصل الثاني، الفقرة 42). ويلبي هذان الجهازان المتطلبات الواردة أعلاه بدرجة كبيرة.</w:t>
      </w:r>
    </w:p>
    <w:p w:rsidR="009D02E6" w:rsidRDefault="00CB773D" w:rsidP="001662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D02E6">
        <w:rPr>
          <w:rFonts w:hint="cs"/>
          <w:rtl/>
        </w:rPr>
        <w:t xml:space="preserve">نشر الاتفاقية والتقارير المقدمة من البلدان </w:t>
      </w:r>
      <w:r w:rsidR="001662DD">
        <w:rPr>
          <w:rFonts w:hint="cs"/>
          <w:rtl/>
        </w:rPr>
        <w:t>ب</w:t>
      </w:r>
      <w:r w:rsidR="009D02E6">
        <w:rPr>
          <w:rFonts w:hint="cs"/>
          <w:rtl/>
        </w:rPr>
        <w:t>لغات الدول المعنية: التماس مساعدة الأمين العام في توفير ترجمات للاتفاقية ولتقارير اللجنة</w:t>
      </w:r>
    </w:p>
    <w:p w:rsidR="009D02E6" w:rsidRDefault="009D02E6" w:rsidP="009D02E6">
      <w:pPr>
        <w:pStyle w:val="SingleTxt"/>
        <w:rPr>
          <w:rFonts w:hint="cs"/>
          <w:rtl/>
        </w:rPr>
      </w:pPr>
      <w:r>
        <w:rPr>
          <w:rFonts w:hint="cs"/>
          <w:rtl/>
        </w:rPr>
        <w:t>70 -</w:t>
      </w:r>
      <w:r>
        <w:rPr>
          <w:rFonts w:hint="cs"/>
          <w:rtl/>
        </w:rPr>
        <w:tab/>
        <w:t xml:space="preserve">ترجمت الاتفاقية إلى الأوردو، واللغات الوطنية واللغات الإقليمية ومنها </w:t>
      </w:r>
      <w:proofErr w:type="spellStart"/>
      <w:r>
        <w:rPr>
          <w:rFonts w:hint="cs"/>
          <w:rtl/>
        </w:rPr>
        <w:t>البلوشية</w:t>
      </w:r>
      <w:proofErr w:type="spellEnd"/>
      <w:r>
        <w:rPr>
          <w:rFonts w:hint="cs"/>
          <w:rtl/>
        </w:rPr>
        <w:t xml:space="preserve"> والبنجابية </w:t>
      </w:r>
      <w:proofErr w:type="spellStart"/>
      <w:r>
        <w:rPr>
          <w:rFonts w:hint="cs"/>
          <w:rtl/>
        </w:rPr>
        <w:t>والباشتو</w:t>
      </w:r>
      <w:proofErr w:type="spellEnd"/>
      <w:r>
        <w:rPr>
          <w:rFonts w:hint="cs"/>
          <w:rtl/>
        </w:rPr>
        <w:t xml:space="preserve"> </w:t>
      </w:r>
      <w:proofErr w:type="spellStart"/>
      <w:r>
        <w:rPr>
          <w:rFonts w:hint="cs"/>
          <w:rtl/>
        </w:rPr>
        <w:t>والسندية</w:t>
      </w:r>
      <w:proofErr w:type="spellEnd"/>
      <w:r>
        <w:rPr>
          <w:rFonts w:hint="cs"/>
          <w:rtl/>
        </w:rPr>
        <w:t>. وقامت الوزارة بنشر الاتفاقية على نطاق واسع بين الوزارات والإدارات الحكومية وكذلك، المؤسسات التعليمية وما إلى ذلك. وتم توفير نص الاتفاقية، كجزء من عملية إعداد التقارير، على جميع الوزارات والإدارات الاتحادية تقريبا فضلا عن مكتب الأمين الأول في كل مقاطعة. ولم تتم ترجمة التقرير القطري إلى الأوردو أو إلى أي لغة من اللغات الإقليمية. وتنظر الوزارة في إمكانية ترجمة هذا التقرير إلى الأوردو على الأقل.</w:t>
      </w:r>
    </w:p>
    <w:p w:rsidR="009D02E6" w:rsidRPr="009D02E6" w:rsidRDefault="009D02E6" w:rsidP="009D02E6">
      <w:pPr>
        <w:pStyle w:val="SingleTxt"/>
        <w:spacing w:after="0" w:line="120" w:lineRule="exact"/>
        <w:rPr>
          <w:rFonts w:hint="cs"/>
          <w:sz w:val="10"/>
          <w:rtl/>
        </w:rPr>
      </w:pPr>
    </w:p>
    <w:p w:rsidR="009D02E6" w:rsidRDefault="009D02E6" w:rsidP="009D02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التوصية العامة 9</w:t>
      </w:r>
    </w:p>
    <w:p w:rsidR="009D02E6" w:rsidRDefault="00CB773D" w:rsidP="009D02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D02E6">
        <w:rPr>
          <w:rFonts w:hint="cs"/>
          <w:rtl/>
        </w:rPr>
        <w:t>تبذل الدول قصارى جهدها لضمان قيام دوائرها الإحصائية الوطنية بصياغة استبياناتها بحيث يمكن تجزئة البيانات حسب الجنس، سواء من حيث الأعداد المطلقة أو النسب المئوية</w:t>
      </w:r>
    </w:p>
    <w:p w:rsidR="009D02E6" w:rsidRDefault="009D02E6" w:rsidP="001662DD">
      <w:pPr>
        <w:pStyle w:val="SingleTxt"/>
        <w:rPr>
          <w:rFonts w:hint="cs"/>
          <w:rtl/>
        </w:rPr>
      </w:pPr>
      <w:r>
        <w:rPr>
          <w:rFonts w:hint="cs"/>
          <w:rtl/>
        </w:rPr>
        <w:t>71 -</w:t>
      </w:r>
      <w:r>
        <w:rPr>
          <w:rFonts w:hint="cs"/>
          <w:rtl/>
        </w:rPr>
        <w:tab/>
        <w:t>تعد شعبة الإحصاءات أهم جهاز لجمع البيانات في حكومة باكستان. وتتألف من ثلاثة كيانات - مكتب الإحصاءات الاتحادي وهيئة التعدا</w:t>
      </w:r>
      <w:r w:rsidR="001662DD">
        <w:rPr>
          <w:rFonts w:hint="cs"/>
          <w:rtl/>
        </w:rPr>
        <w:t>د</w:t>
      </w:r>
      <w:r>
        <w:rPr>
          <w:rFonts w:hint="cs"/>
          <w:rtl/>
        </w:rPr>
        <w:t xml:space="preserve"> الزراعي وهيئة تعداد السكان. وهناك أيضا المعهد الوطني للدراسات السكانية ويعني بالملامح السكانية للبلد. وتقوم شعبة التخطيط، وهي الإدارة المعنية بإعداد خطط التنمية الوطنية للبلد، بجمع البيانات أيضا. ويقوم معهد اقتصاديات التنمية لباكستان بجمع البيانات، بالإضافة إلى ذلك.</w:t>
      </w:r>
    </w:p>
    <w:p w:rsidR="009D02E6" w:rsidRDefault="009D02E6" w:rsidP="009D02E6">
      <w:pPr>
        <w:pStyle w:val="SingleTxt"/>
        <w:rPr>
          <w:rFonts w:hint="cs"/>
          <w:rtl/>
        </w:rPr>
      </w:pPr>
      <w:r>
        <w:rPr>
          <w:rFonts w:hint="cs"/>
          <w:rtl/>
        </w:rPr>
        <w:t>72 -</w:t>
      </w:r>
      <w:r>
        <w:rPr>
          <w:rFonts w:hint="cs"/>
          <w:rtl/>
        </w:rPr>
        <w:tab/>
        <w:t>وتحتفظ شعبة الإحصاءات بموقع شبكي يمكن الحصول منه على جميع منشوراتها بالمجان. وكثير من البيانات الواردة في هذه المنشورات مفصلة حسب نوع الجنس.</w:t>
      </w:r>
    </w:p>
    <w:p w:rsidR="009D02E6" w:rsidRDefault="009D02E6" w:rsidP="009D02E6">
      <w:pPr>
        <w:pStyle w:val="SingleTxt"/>
        <w:rPr>
          <w:rFonts w:hint="cs"/>
          <w:rtl/>
        </w:rPr>
      </w:pPr>
      <w:r>
        <w:rPr>
          <w:rFonts w:hint="cs"/>
          <w:rtl/>
        </w:rPr>
        <w:t>73 -</w:t>
      </w:r>
      <w:r>
        <w:rPr>
          <w:rFonts w:hint="cs"/>
          <w:rtl/>
        </w:rPr>
        <w:tab/>
        <w:t>غير أن جمع البيانات المفصلة حسب نوع الجنس يظل نقطة ضعف في مجالات عديدة. وعلى سبيل المثال، فإن الحصول على بيانات مفصلة حسب نوع الجنس بالنسبة للجرائم المختلفة يظل أمرا صعبا. ولا يحتفظ مكتب أمين المظالم الاتحادي بسجلات مفصلة حسب نوع الجنس. (كان عليه أن يفحص سجلاته لتوفير المعلومات الواردة في الجدول 12-1، بناء على طلب وزارة تنمية المرأة).</w:t>
      </w:r>
    </w:p>
    <w:p w:rsidR="009D02E6" w:rsidRDefault="009D02E6" w:rsidP="009D02E6">
      <w:pPr>
        <w:pStyle w:val="SingleTxt"/>
        <w:rPr>
          <w:rFonts w:hint="cs"/>
          <w:rtl/>
        </w:rPr>
      </w:pPr>
      <w:r>
        <w:rPr>
          <w:rFonts w:hint="cs"/>
          <w:rtl/>
        </w:rPr>
        <w:t>74 -</w:t>
      </w:r>
      <w:r>
        <w:rPr>
          <w:rFonts w:hint="cs"/>
          <w:rtl/>
        </w:rPr>
        <w:tab/>
        <w:t xml:space="preserve">وقد بادرت وزارة تنمية المرأة بإجراء طُلب فيه إلى الحكومة الاتحادية أن تصدر تعليمات إلى جميع الوزارات/الإدارات/الوكالات، والمؤسسات التابعة لها وكذلك جميع حكومات المقاطعات بالأخذ بمنظور جنساني في جميع عمليات جمع البيانات. وأجرت وزارة </w:t>
      </w:r>
      <w:r w:rsidR="001662DD">
        <w:rPr>
          <w:rFonts w:hint="cs"/>
          <w:rtl/>
        </w:rPr>
        <w:t>ت</w:t>
      </w:r>
      <w:r>
        <w:rPr>
          <w:rFonts w:hint="cs"/>
          <w:rtl/>
        </w:rPr>
        <w:t>نمية المرأة، في هذا الصدد، دراسة تفصيلية لمنشورات شعبة الإحصاءات وقدمت اقتراحات محددة لضمان توفير بيانات مفصلة حسب نوع الجنس في أكبر عدد ممكن من المجالات.</w:t>
      </w:r>
    </w:p>
    <w:p w:rsidR="00A731A7" w:rsidRPr="00A731A7" w:rsidRDefault="00A731A7" w:rsidP="00A731A7">
      <w:pPr>
        <w:pStyle w:val="SingleTxt"/>
        <w:spacing w:after="0" w:line="120" w:lineRule="exact"/>
        <w:rPr>
          <w:rFonts w:hint="cs"/>
          <w:sz w:val="10"/>
          <w:rtl/>
        </w:rPr>
      </w:pPr>
    </w:p>
    <w:p w:rsidR="009D02E6" w:rsidRDefault="00A731A7" w:rsidP="00A731A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الرابع</w:t>
      </w:r>
    </w:p>
    <w:p w:rsidR="00A731A7" w:rsidRDefault="00CB773D" w:rsidP="00A731A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731A7">
        <w:rPr>
          <w:rFonts w:hint="cs"/>
          <w:rtl/>
        </w:rPr>
        <w:t>مادة 4</w:t>
      </w:r>
    </w:p>
    <w:p w:rsidR="00A731A7" w:rsidRDefault="00CB773D" w:rsidP="00A731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731A7">
        <w:rPr>
          <w:rFonts w:hint="cs"/>
          <w:rtl/>
        </w:rPr>
        <w:t>(العمل الإيجابي)</w:t>
      </w:r>
    </w:p>
    <w:p w:rsidR="00A731A7" w:rsidRDefault="00CB773D" w:rsidP="00A731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731A7">
        <w:rPr>
          <w:rFonts w:hint="cs"/>
          <w:rtl/>
        </w:rPr>
        <w:t>الأحكام الدستورية والإطار الإداري/الإجراءات الإدارية</w:t>
      </w:r>
    </w:p>
    <w:p w:rsidR="00A731A7" w:rsidRDefault="00A731A7" w:rsidP="00A731A7">
      <w:pPr>
        <w:pStyle w:val="SingleTxt"/>
        <w:rPr>
          <w:rFonts w:hint="cs"/>
          <w:rtl/>
        </w:rPr>
      </w:pPr>
      <w:r>
        <w:rPr>
          <w:rFonts w:hint="cs"/>
          <w:rtl/>
        </w:rPr>
        <w:t>75 -</w:t>
      </w:r>
      <w:r>
        <w:rPr>
          <w:rFonts w:hint="cs"/>
          <w:rtl/>
        </w:rPr>
        <w:tab/>
        <w:t xml:space="preserve">تنص المادة 34 من الدستور على أن </w:t>
      </w:r>
      <w:r>
        <w:rPr>
          <w:rFonts w:hint="eastAsia"/>
          <w:rtl/>
        </w:rPr>
        <w:t>”تتخذ تدابير لكفالة مشاركة المرأة في جميع مجالات الحياة العامة، بصورة كاملة</w:t>
      </w:r>
      <w:r>
        <w:rPr>
          <w:rFonts w:hint="cs"/>
          <w:rtl/>
        </w:rPr>
        <w:t xml:space="preserve">“. وهذا يكمل الضمانات الواردة في المواد 25 </w:t>
      </w:r>
      <w:r w:rsidR="007F0285">
        <w:rPr>
          <w:rFonts w:hint="cs"/>
          <w:rtl/>
        </w:rPr>
        <w:t>و 26 و</w:t>
      </w:r>
      <w:r w:rsidR="007F0285">
        <w:rPr>
          <w:rFonts w:hint="eastAsia"/>
          <w:rtl/>
        </w:rPr>
        <w:t> </w:t>
      </w:r>
      <w:r w:rsidR="007F0285">
        <w:rPr>
          <w:rFonts w:hint="cs"/>
          <w:rtl/>
        </w:rPr>
        <w:t>27. وبذلك، يوفر الدستور أساسا واضحا لتعجيل المساواة بين المرأة والرجل من خلال العمل الإيجابي.</w:t>
      </w:r>
    </w:p>
    <w:p w:rsidR="007F0285" w:rsidRDefault="007F0285" w:rsidP="00A731A7">
      <w:pPr>
        <w:pStyle w:val="SingleTxt"/>
        <w:rPr>
          <w:rFonts w:hint="cs"/>
          <w:rtl/>
        </w:rPr>
      </w:pPr>
      <w:r>
        <w:rPr>
          <w:rFonts w:hint="cs"/>
          <w:rtl/>
        </w:rPr>
        <w:tab/>
        <w:t>(أ)</w:t>
      </w:r>
      <w:r>
        <w:rPr>
          <w:rFonts w:hint="cs"/>
          <w:rtl/>
        </w:rPr>
        <w:tab/>
        <w:t>اتخذت الحكومة عددا من التدابير في هذا الصدد:</w:t>
      </w:r>
    </w:p>
    <w:p w:rsidR="007F0285" w:rsidRDefault="007F0285" w:rsidP="007F02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’1‘</w:t>
      </w:r>
      <w:r>
        <w:rPr>
          <w:rFonts w:hint="cs"/>
          <w:rtl/>
        </w:rPr>
        <w:tab/>
      </w:r>
      <w:r w:rsidR="008718BC">
        <w:rPr>
          <w:rFonts w:hint="cs"/>
          <w:rtl/>
        </w:rPr>
        <w:t>إنشاء وزارة تنمية المرأة (ترد التفاصيل في الفصل الثاني، الفقرة 36 وما بعدها)؛</w:t>
      </w:r>
    </w:p>
    <w:p w:rsidR="008718BC" w:rsidRDefault="008718BC" w:rsidP="008718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’2‘</w:t>
      </w:r>
      <w:r>
        <w:rPr>
          <w:rFonts w:hint="cs"/>
          <w:rtl/>
        </w:rPr>
        <w:tab/>
        <w:t>توفير حصة نسبتها 5 في المائة للمرأة في الخدمة الحكومية، بالإضافة إلى المنافسة الحرة. غير أن معدل تنفيذ هذه الحصة لا يتساوى في جميع المقاطعات. فهناك مقاطعتان لا تقبلان الحصة. ولم تتحقق نسبة 5 في المائة في أغلب الإدارات الحكومية.</w:t>
      </w:r>
    </w:p>
    <w:p w:rsidR="008718BC" w:rsidRDefault="008718BC" w:rsidP="008718BC">
      <w:pPr>
        <w:pStyle w:val="SingleTxt"/>
        <w:rPr>
          <w:rFonts w:hint="cs"/>
          <w:rtl/>
        </w:rPr>
      </w:pPr>
      <w:r>
        <w:rPr>
          <w:rFonts w:hint="cs"/>
          <w:rtl/>
        </w:rPr>
        <w:tab/>
        <w:t>(ب)</w:t>
      </w:r>
      <w:r>
        <w:rPr>
          <w:rFonts w:hint="cs"/>
          <w:rtl/>
        </w:rPr>
        <w:tab/>
        <w:t>توفير حصة نسبتها 2 في المائة للمعوقين، بما في ذلك المرأة، في الخدمة الحكومية؛</w:t>
      </w:r>
    </w:p>
    <w:p w:rsidR="008718BC" w:rsidRDefault="008718BC" w:rsidP="008718BC">
      <w:pPr>
        <w:pStyle w:val="SingleTxt"/>
        <w:rPr>
          <w:rFonts w:hint="cs"/>
          <w:rtl/>
        </w:rPr>
      </w:pPr>
      <w:r>
        <w:rPr>
          <w:rFonts w:hint="cs"/>
          <w:rtl/>
        </w:rPr>
        <w:tab/>
        <w:t>(ج)</w:t>
      </w:r>
      <w:r>
        <w:rPr>
          <w:rFonts w:hint="cs"/>
          <w:rtl/>
        </w:rPr>
        <w:tab/>
        <w:t>إنشاء أول مصرف للمرأة يخدم العميلات ويوفر أيضا التمويل للمرأة كي تبدأ مشاريعها التجارية الصغيرة (ترد التفاصيل في الفصل الثالث عشر، الفقرات 125-135)؛</w:t>
      </w:r>
    </w:p>
    <w:p w:rsidR="008718BC" w:rsidRDefault="008718BC" w:rsidP="00CB773D">
      <w:pPr>
        <w:pStyle w:val="SingleTxt"/>
        <w:rPr>
          <w:rFonts w:hint="cs"/>
          <w:rtl/>
        </w:rPr>
      </w:pPr>
      <w:r>
        <w:rPr>
          <w:rFonts w:hint="cs"/>
          <w:rtl/>
        </w:rPr>
        <w:tab/>
        <w:t>(د)</w:t>
      </w:r>
      <w:r>
        <w:rPr>
          <w:rFonts w:hint="cs"/>
          <w:rtl/>
        </w:rPr>
        <w:tab/>
        <w:t>حجز 33 في المائة من المقاعد للمرأة في أغلب مستويات الهيئات المحلية و 17 في المائة من المقاعد في الجمعية الوطنية ومجلس الشيوخ والجمعيات الإقليمية. وقد تم انتخاب أكثر من 105 36 نساء كأعضاء في المجلس، نتيجة لذلك. وانتخبت 73 امرأة في الجمعية الوطنية وقوامها 342 عضوا. فانتخبت 60 امرأة في المقاعد المحجوزة و 13 امرأة في المقاعد العامة. وهناك 143 عضوة في الجمعيات الإقليمية الأربع، 128 منهن في المقاعد المحجوزة و 15 في المقاعد العامة، بالإضافة إلى 18 عضوة في مجلس الشيوخ المؤلف من 100 عضو. وتوجد امرأتان في مجلس الوزراء الاتحادي (ترد مزيد من التفاصيل في الفصل السابع، الفقرات 23 وما بعدها)؛</w:t>
      </w:r>
    </w:p>
    <w:p w:rsidR="008718BC" w:rsidRDefault="008718BC" w:rsidP="008718BC">
      <w:pPr>
        <w:pStyle w:val="SingleTxt"/>
        <w:rPr>
          <w:rFonts w:hint="cs"/>
          <w:rtl/>
        </w:rPr>
      </w:pPr>
      <w:r>
        <w:rPr>
          <w:rFonts w:hint="cs"/>
          <w:rtl/>
        </w:rPr>
        <w:tab/>
        <w:t>(هـ)</w:t>
      </w:r>
      <w:r>
        <w:rPr>
          <w:rFonts w:hint="cs"/>
          <w:rtl/>
        </w:rPr>
        <w:tab/>
        <w:t>إنشاء اللجنة الوطنية لوضع المرأة في تموز/يوليه 2000 (ترد التفاصيل في الفصل الثاني، الفقرة 41)؛</w:t>
      </w:r>
    </w:p>
    <w:p w:rsidR="008718BC" w:rsidRDefault="008718BC" w:rsidP="008718BC">
      <w:pPr>
        <w:pStyle w:val="SingleTxt"/>
        <w:rPr>
          <w:rFonts w:hint="cs"/>
          <w:rtl/>
        </w:rPr>
      </w:pPr>
      <w:r>
        <w:rPr>
          <w:rFonts w:hint="cs"/>
          <w:rtl/>
        </w:rPr>
        <w:tab/>
        <w:t>(و)</w:t>
      </w:r>
      <w:r>
        <w:rPr>
          <w:rFonts w:hint="cs"/>
          <w:rtl/>
        </w:rPr>
        <w:tab/>
        <w:t xml:space="preserve">رفع مستوى مراكز دراسات المرأة في خمس جامعات كبرى إلى أقسام كاملة. وتعمل ثلاثة منها في الوقت الحالي في لاهور </w:t>
      </w:r>
      <w:proofErr w:type="spellStart"/>
      <w:r>
        <w:rPr>
          <w:rFonts w:hint="cs"/>
          <w:rtl/>
        </w:rPr>
        <w:t>وبيشاور</w:t>
      </w:r>
      <w:proofErr w:type="spellEnd"/>
      <w:r>
        <w:rPr>
          <w:rFonts w:hint="cs"/>
          <w:rtl/>
        </w:rPr>
        <w:t xml:space="preserve"> وكاراتشي؛</w:t>
      </w:r>
    </w:p>
    <w:p w:rsidR="008718BC" w:rsidRDefault="008718BC" w:rsidP="008718BC">
      <w:pPr>
        <w:pStyle w:val="SingleTxt"/>
        <w:rPr>
          <w:rFonts w:hint="cs"/>
          <w:rtl/>
        </w:rPr>
      </w:pPr>
      <w:r>
        <w:rPr>
          <w:rFonts w:hint="cs"/>
          <w:rtl/>
        </w:rPr>
        <w:tab/>
        <w:t>(ز)</w:t>
      </w:r>
      <w:r>
        <w:rPr>
          <w:rFonts w:hint="cs"/>
          <w:rtl/>
        </w:rPr>
        <w:tab/>
        <w:t>إنشاء مراكز شرطة للمرأة، يتألف موظفوها من النساء؛</w:t>
      </w:r>
    </w:p>
    <w:p w:rsidR="008718BC" w:rsidRDefault="008718BC" w:rsidP="008718BC">
      <w:pPr>
        <w:pStyle w:val="SingleTxt"/>
        <w:rPr>
          <w:rFonts w:hint="cs"/>
          <w:rtl/>
        </w:rPr>
      </w:pPr>
      <w:r>
        <w:rPr>
          <w:rFonts w:hint="cs"/>
          <w:rtl/>
        </w:rPr>
        <w:tab/>
        <w:t>(ح)</w:t>
      </w:r>
      <w:r>
        <w:rPr>
          <w:rFonts w:hint="cs"/>
          <w:rtl/>
        </w:rPr>
        <w:tab/>
        <w:t>إنشاء مكاتب خاصة بالمرأة في مراكز الشرطة لمساعدة مقدمات الشكاوى. وسيكون موظفو هذه المكاتب من ضابطات الشرطة؛</w:t>
      </w:r>
    </w:p>
    <w:p w:rsidR="008718BC" w:rsidRDefault="008718BC" w:rsidP="001662DD">
      <w:pPr>
        <w:pStyle w:val="SingleTxt"/>
        <w:rPr>
          <w:rFonts w:hint="cs"/>
          <w:rtl/>
        </w:rPr>
      </w:pPr>
      <w:r>
        <w:rPr>
          <w:rFonts w:hint="cs"/>
          <w:rtl/>
        </w:rPr>
        <w:tab/>
        <w:t>(ط)</w:t>
      </w:r>
      <w:r>
        <w:rPr>
          <w:rFonts w:hint="cs"/>
          <w:rtl/>
        </w:rPr>
        <w:tab/>
        <w:t>وضع برنامج تغذية خاص بالمدارس للبنات في 29 من أفقر المناطق في باكستان. وتبلغ قيمة البرنامج 600 3 مليون روبية ويستفيد منه نصف مليون فتاة (</w:t>
      </w:r>
      <w:r w:rsidR="001662DD">
        <w:rPr>
          <w:rFonts w:hint="cs"/>
          <w:rtl/>
        </w:rPr>
        <w:t>ي</w:t>
      </w:r>
      <w:r>
        <w:rPr>
          <w:rFonts w:hint="cs"/>
          <w:rtl/>
        </w:rPr>
        <w:t>رد مزيد من التفاصيل في إطار المادة 15، الفقرة 239).</w:t>
      </w:r>
    </w:p>
    <w:p w:rsidR="008718BC" w:rsidRPr="008718BC" w:rsidRDefault="008718BC" w:rsidP="008718BC">
      <w:pPr>
        <w:pStyle w:val="SingleTxt"/>
        <w:spacing w:after="0" w:line="120" w:lineRule="exact"/>
        <w:rPr>
          <w:rFonts w:hint="cs"/>
          <w:sz w:val="10"/>
          <w:rtl/>
        </w:rPr>
      </w:pPr>
    </w:p>
    <w:p w:rsidR="008718BC" w:rsidRDefault="008718BC" w:rsidP="008718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التحديات وخطط المستقبل</w:t>
      </w:r>
    </w:p>
    <w:p w:rsidR="008718BC" w:rsidRDefault="008718BC" w:rsidP="008718BC">
      <w:pPr>
        <w:pStyle w:val="SingleTxt"/>
        <w:rPr>
          <w:rFonts w:hint="cs"/>
          <w:rtl/>
        </w:rPr>
      </w:pPr>
      <w:r>
        <w:rPr>
          <w:rFonts w:hint="cs"/>
          <w:rtl/>
        </w:rPr>
        <w:t>76 -</w:t>
      </w:r>
      <w:r>
        <w:rPr>
          <w:rFonts w:hint="cs"/>
          <w:rtl/>
        </w:rPr>
        <w:tab/>
        <w:t xml:space="preserve">هناك تقليد سليم فيما يتصل بالعمل الإيجابي في باكستان، وتعود جذور هذه الممارسة إلى الدستور ولكن لم تؤد الإجراءات المتخذة في إطار هذا البند إلى التقدم المتوخى. ومن الأسباب المحتملة لذلك عدم وجود سياسة شاملة للعمل الإيجابي تتخلل عمل جميع كيانات الحكومة. وتسعى وزارة تنمية المرأة إلى تحقيق مزيد من الاتساق في برامج العمل الإيجابي للحكومة من خلال </w:t>
      </w:r>
      <w:r w:rsidR="003C018F">
        <w:rPr>
          <w:rFonts w:hint="cs"/>
          <w:rtl/>
        </w:rPr>
        <w:t xml:space="preserve">خطة عمل الإصلاح </w:t>
      </w:r>
      <w:proofErr w:type="spellStart"/>
      <w:r w:rsidR="003C018F">
        <w:rPr>
          <w:rFonts w:hint="cs"/>
          <w:rtl/>
        </w:rPr>
        <w:t>الجنساني</w:t>
      </w:r>
      <w:proofErr w:type="spellEnd"/>
      <w:r w:rsidR="003C018F">
        <w:rPr>
          <w:rFonts w:hint="cs"/>
          <w:rtl/>
        </w:rPr>
        <w:t>.</w:t>
      </w:r>
    </w:p>
    <w:p w:rsidR="003C018F" w:rsidRDefault="003C018F" w:rsidP="008718BC">
      <w:pPr>
        <w:pStyle w:val="SingleTxt"/>
        <w:rPr>
          <w:rFonts w:hint="cs"/>
          <w:rtl/>
        </w:rPr>
      </w:pPr>
      <w:r>
        <w:rPr>
          <w:rFonts w:hint="cs"/>
          <w:rtl/>
        </w:rPr>
        <w:t>77 -</w:t>
      </w:r>
      <w:r>
        <w:rPr>
          <w:rFonts w:hint="cs"/>
          <w:rtl/>
        </w:rPr>
        <w:tab/>
        <w:t xml:space="preserve">وتعتبر خطة عمل الإصلاح </w:t>
      </w:r>
      <w:proofErr w:type="spellStart"/>
      <w:r>
        <w:rPr>
          <w:rFonts w:hint="cs"/>
          <w:rtl/>
        </w:rPr>
        <w:t>الجنساني</w:t>
      </w:r>
      <w:proofErr w:type="spellEnd"/>
      <w:r>
        <w:rPr>
          <w:rFonts w:hint="cs"/>
          <w:rtl/>
        </w:rPr>
        <w:t xml:space="preserve"> خطة شاملة تقوم على أساس العمل الإيجابي، للمساعدة على إدماج المرأة في التيار الوطني الرئيسي. وتتناول التدابير الخاصة الرامية إلى تيسير دخول المرأة وتقدمها في مجالات من قبيل الخدمة الحكومية، والسياسة وما إلى ذلك، بصورة محددة، وتقدم توصيات بشأن هذه التدابير. ويتمثل الهدف في توعية الجهاز الحكومي، على المستويين الاتحادي والإقليمي، باحتياجات المرأة، من جانب، وكيفية التصدي لها.</w:t>
      </w:r>
    </w:p>
    <w:p w:rsidR="003C018F" w:rsidRDefault="00521ACC" w:rsidP="008718BC">
      <w:pPr>
        <w:pStyle w:val="SingleTxt"/>
        <w:rPr>
          <w:rFonts w:hint="cs"/>
          <w:rtl/>
        </w:rPr>
      </w:pPr>
      <w:r>
        <w:rPr>
          <w:rFonts w:hint="cs"/>
          <w:rtl/>
        </w:rPr>
        <w:t>78 -</w:t>
      </w:r>
      <w:r>
        <w:rPr>
          <w:rFonts w:hint="cs"/>
          <w:rtl/>
        </w:rPr>
        <w:tab/>
        <w:t xml:space="preserve">وتقترح خطة عمل الإصلاح </w:t>
      </w:r>
      <w:proofErr w:type="spellStart"/>
      <w:r>
        <w:rPr>
          <w:rFonts w:hint="cs"/>
          <w:rtl/>
        </w:rPr>
        <w:t>الجنساني</w:t>
      </w:r>
      <w:proofErr w:type="spellEnd"/>
      <w:r>
        <w:rPr>
          <w:rFonts w:hint="cs"/>
          <w:rtl/>
        </w:rPr>
        <w:t xml:space="preserve"> مجموعة من الإصلاحات الأساسية ومجموعة أخرى من الإصلاحات الداعمة وتشمل:</w:t>
      </w:r>
    </w:p>
    <w:p w:rsidR="00521ACC" w:rsidRDefault="00521ACC" w:rsidP="008718BC">
      <w:pPr>
        <w:pStyle w:val="SingleTxt"/>
        <w:rPr>
          <w:rFonts w:hint="cs"/>
          <w:rtl/>
        </w:rPr>
      </w:pPr>
      <w:r>
        <w:rPr>
          <w:rFonts w:hint="cs"/>
          <w:rtl/>
        </w:rPr>
        <w:tab/>
        <w:t>(أ)</w:t>
      </w:r>
      <w:r>
        <w:rPr>
          <w:rFonts w:hint="cs"/>
          <w:rtl/>
        </w:rPr>
        <w:tab/>
        <w:t>الإصلاحات المؤسسية؛</w:t>
      </w:r>
    </w:p>
    <w:p w:rsidR="00521ACC" w:rsidRDefault="00521ACC" w:rsidP="008718BC">
      <w:pPr>
        <w:pStyle w:val="SingleTxt"/>
        <w:rPr>
          <w:rFonts w:hint="cs"/>
          <w:rtl/>
        </w:rPr>
      </w:pPr>
      <w:r>
        <w:rPr>
          <w:rFonts w:hint="cs"/>
          <w:rtl/>
        </w:rPr>
        <w:tab/>
        <w:t>(ب)</w:t>
      </w:r>
      <w:r>
        <w:rPr>
          <w:rFonts w:hint="cs"/>
          <w:rtl/>
        </w:rPr>
        <w:tab/>
        <w:t>إصلاحات في السياسات وآليات الميزانية والإنفاق العام؛</w:t>
      </w:r>
    </w:p>
    <w:p w:rsidR="00521ACC" w:rsidRDefault="00521ACC" w:rsidP="008718BC">
      <w:pPr>
        <w:pStyle w:val="SingleTxt"/>
        <w:rPr>
          <w:rFonts w:hint="cs"/>
          <w:rtl/>
        </w:rPr>
      </w:pPr>
      <w:r>
        <w:rPr>
          <w:rFonts w:hint="cs"/>
          <w:rtl/>
        </w:rPr>
        <w:tab/>
        <w:t>(ج)</w:t>
      </w:r>
      <w:r>
        <w:rPr>
          <w:rFonts w:hint="cs"/>
          <w:rtl/>
        </w:rPr>
        <w:tab/>
        <w:t>إصلاحات لزيادة توظيف المرأة في هيئات القطاع العام وتحسينه؛</w:t>
      </w:r>
    </w:p>
    <w:p w:rsidR="00521ACC" w:rsidRDefault="00521ACC" w:rsidP="008718BC">
      <w:pPr>
        <w:pStyle w:val="SingleTxt"/>
        <w:rPr>
          <w:rFonts w:hint="cs"/>
          <w:rtl/>
        </w:rPr>
      </w:pPr>
      <w:r>
        <w:rPr>
          <w:rFonts w:hint="cs"/>
          <w:rtl/>
        </w:rPr>
        <w:tab/>
        <w:t>(د)</w:t>
      </w:r>
      <w:r>
        <w:rPr>
          <w:rFonts w:hint="cs"/>
          <w:rtl/>
        </w:rPr>
        <w:tab/>
        <w:t>إصلاحات لتحسين المشاركة السياسية للمرأة؛</w:t>
      </w:r>
    </w:p>
    <w:p w:rsidR="00521ACC" w:rsidRDefault="00521ACC" w:rsidP="008718BC">
      <w:pPr>
        <w:pStyle w:val="SingleTxt"/>
        <w:rPr>
          <w:rFonts w:hint="cs"/>
          <w:rtl/>
        </w:rPr>
      </w:pPr>
      <w:r>
        <w:rPr>
          <w:rFonts w:hint="cs"/>
          <w:rtl/>
        </w:rPr>
        <w:tab/>
        <w:t>(هـ)</w:t>
      </w:r>
      <w:r>
        <w:rPr>
          <w:rFonts w:hint="cs"/>
          <w:rtl/>
        </w:rPr>
        <w:tab/>
        <w:t>عمليات تدخُّل متصلة ببناء القدرات.</w:t>
      </w:r>
    </w:p>
    <w:p w:rsidR="00521ACC" w:rsidRDefault="00521ACC" w:rsidP="00521ACC">
      <w:pPr>
        <w:pStyle w:val="SingleTxt"/>
        <w:rPr>
          <w:rFonts w:hint="cs"/>
          <w:rtl/>
        </w:rPr>
      </w:pPr>
      <w:r>
        <w:rPr>
          <w:rFonts w:hint="cs"/>
          <w:rtl/>
        </w:rPr>
        <w:t>79 -</w:t>
      </w:r>
      <w:r>
        <w:rPr>
          <w:rFonts w:hint="cs"/>
          <w:rtl/>
        </w:rPr>
        <w:tab/>
        <w:t xml:space="preserve">وتم توخي عدد من الإجراءات في إطار كل من هذه البنود الرئيسية. وخصص مبلغ 385 مليون روبية في ميزانية 2004-2005 للإجراءات التي تتخذ في إطار خطة عمل الإصلاح </w:t>
      </w:r>
      <w:proofErr w:type="spellStart"/>
      <w:r>
        <w:rPr>
          <w:rFonts w:hint="cs"/>
          <w:rtl/>
        </w:rPr>
        <w:t>الجنساني</w:t>
      </w:r>
      <w:proofErr w:type="spellEnd"/>
      <w:r>
        <w:rPr>
          <w:rFonts w:hint="cs"/>
          <w:rtl/>
        </w:rPr>
        <w:t xml:space="preserve">. واعتمدت أربع مقاطعات هذه الخطة كذلك. واعتمد رئيس الوزراء الخطة في حزيران/يونيه 2005. وحددت وزارة تنمية المرأة الوزارات الست الشريكة وتشمل وزارة القانون والعدل وحقوق الإنسان ووزارة العمل والقوة العاملة والباكستانيين في الخارج، ووزارة التعليم ووزارة الصحة من أجل إنشاء </w:t>
      </w:r>
      <w:r>
        <w:rPr>
          <w:rFonts w:hint="eastAsia"/>
          <w:rtl/>
        </w:rPr>
        <w:t xml:space="preserve">”أقسام </w:t>
      </w:r>
      <w:proofErr w:type="spellStart"/>
      <w:r>
        <w:rPr>
          <w:rFonts w:hint="eastAsia"/>
          <w:rtl/>
        </w:rPr>
        <w:t>جنسانية</w:t>
      </w:r>
      <w:proofErr w:type="spellEnd"/>
      <w:r>
        <w:rPr>
          <w:rFonts w:hint="cs"/>
          <w:rtl/>
        </w:rPr>
        <w:t xml:space="preserve">“ للمساعدة على تنفيذ خطة عمل الإصلاح </w:t>
      </w:r>
      <w:proofErr w:type="spellStart"/>
      <w:r>
        <w:rPr>
          <w:rFonts w:hint="cs"/>
          <w:rtl/>
        </w:rPr>
        <w:t>الجنساني</w:t>
      </w:r>
      <w:proofErr w:type="spellEnd"/>
      <w:r>
        <w:rPr>
          <w:rFonts w:hint="cs"/>
          <w:rtl/>
        </w:rPr>
        <w:t xml:space="preserve"> وتتضمن قضايا المرأة وشواغلها بالنسبة لجميع المسائل المتصلة بولاية وزارة كل منها. وسيتألف كل قسم من هذه الأقسام من موظف من الرتبة 18 (مضى نحو 12 سنة في الخدمة الحكومية)، يساعده موظف من الرتبة 17 مع ملاك موظفين يتراوح عدده بين 6 و 8 موظفين. ومن الملامح البارزة أنه سيتم، في إطار خطة عمل الإصلاح </w:t>
      </w:r>
      <w:proofErr w:type="spellStart"/>
      <w:r>
        <w:rPr>
          <w:rFonts w:hint="cs"/>
          <w:rtl/>
        </w:rPr>
        <w:t>الجنساني</w:t>
      </w:r>
      <w:proofErr w:type="spellEnd"/>
      <w:r>
        <w:rPr>
          <w:rFonts w:hint="cs"/>
          <w:rtl/>
        </w:rPr>
        <w:t>، تخصيص 10 في المائة من المقاعد في الدوائر المركزية العليا للمرأة (يرجى النظر في الفصل السابع، الفقرات 156-159). ويساعد هذا الإجراء على تمثيل المرأة في البيروقراطية.</w:t>
      </w:r>
    </w:p>
    <w:p w:rsidR="00521ACC" w:rsidRDefault="00521ACC" w:rsidP="00521AC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الخامس</w:t>
      </w:r>
    </w:p>
    <w:p w:rsidR="00521ACC" w:rsidRDefault="00CB773D" w:rsidP="00521AC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21ACC">
        <w:rPr>
          <w:rFonts w:hint="cs"/>
          <w:rtl/>
        </w:rPr>
        <w:t>المادة 5</w:t>
      </w:r>
    </w:p>
    <w:p w:rsidR="00521ACC" w:rsidRDefault="00CB773D" w:rsidP="00521A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21ACC">
        <w:rPr>
          <w:rFonts w:hint="cs"/>
          <w:rtl/>
        </w:rPr>
        <w:t>القضاء على الأنماط</w:t>
      </w:r>
    </w:p>
    <w:p w:rsidR="00521ACC" w:rsidRDefault="00CB773D" w:rsidP="00521A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21ACC">
        <w:rPr>
          <w:rFonts w:hint="cs"/>
          <w:rtl/>
        </w:rPr>
        <w:t>التدابير الإدارية</w:t>
      </w:r>
    </w:p>
    <w:p w:rsidR="00521ACC" w:rsidRDefault="00521ACC" w:rsidP="00521ACC">
      <w:pPr>
        <w:pStyle w:val="SingleTxt"/>
        <w:rPr>
          <w:rFonts w:hint="cs"/>
          <w:rtl/>
        </w:rPr>
      </w:pPr>
      <w:r>
        <w:rPr>
          <w:rFonts w:hint="cs"/>
          <w:rtl/>
        </w:rPr>
        <w:t>80 -</w:t>
      </w:r>
      <w:r>
        <w:rPr>
          <w:rFonts w:hint="cs"/>
          <w:rtl/>
        </w:rPr>
        <w:tab/>
        <w:t>يعتبر تغيير المفاهيم الاجتماعية عملية طويلة، غير أنه تبذل الجهود لتحقيق تغيير إيجابي في المواقف المتعلقة بالمرأة:</w:t>
      </w:r>
    </w:p>
    <w:p w:rsidR="00521ACC" w:rsidRDefault="00521ACC" w:rsidP="00521ACC">
      <w:pPr>
        <w:pStyle w:val="SingleTxt"/>
        <w:rPr>
          <w:rFonts w:hint="cs"/>
          <w:rtl/>
        </w:rPr>
      </w:pPr>
      <w:r>
        <w:rPr>
          <w:rFonts w:hint="cs"/>
          <w:rtl/>
        </w:rPr>
        <w:tab/>
        <w:t>(أ)</w:t>
      </w:r>
      <w:r>
        <w:rPr>
          <w:rFonts w:hint="cs"/>
          <w:rtl/>
        </w:rPr>
        <w:tab/>
        <w:t>الإعلام ووسائط الإعلام:</w:t>
      </w:r>
    </w:p>
    <w:p w:rsidR="00521ACC" w:rsidRDefault="00521ACC" w:rsidP="00521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’1‘</w:t>
      </w:r>
      <w:r>
        <w:rPr>
          <w:rFonts w:hint="cs"/>
          <w:rtl/>
        </w:rPr>
        <w:tab/>
      </w:r>
      <w:r w:rsidR="00D3649E">
        <w:rPr>
          <w:rFonts w:hint="cs"/>
          <w:rtl/>
        </w:rPr>
        <w:t xml:space="preserve">نظمت وزارة تنمية المرأة حملة توعية بشأن العنف ضد المرأة في الفترة 1996-1999. وبث تلفزيون باكستان إعلانات عديدة عن العنف </w:t>
      </w:r>
      <w:r w:rsidR="00CB773D">
        <w:rPr>
          <w:rFonts w:hint="cs"/>
          <w:rtl/>
        </w:rPr>
        <w:t>ضد المرأة، وكذلك مناقشات عن الآ</w:t>
      </w:r>
      <w:r w:rsidR="00D3649E">
        <w:rPr>
          <w:rFonts w:hint="cs"/>
          <w:rtl/>
        </w:rPr>
        <w:t xml:space="preserve">ثار السلبية للعنف ضد المرأة. وقد أنتج 76 برنامجا تعبر عن الوعي </w:t>
      </w:r>
      <w:proofErr w:type="spellStart"/>
      <w:r w:rsidR="00D3649E">
        <w:rPr>
          <w:rFonts w:hint="cs"/>
          <w:rtl/>
        </w:rPr>
        <w:t>الجنساني</w:t>
      </w:r>
      <w:proofErr w:type="spellEnd"/>
      <w:r w:rsidR="00D3649E">
        <w:rPr>
          <w:rFonts w:hint="cs"/>
          <w:rtl/>
        </w:rPr>
        <w:t xml:space="preserve"> وتم بثها عبر تلفزيون باكستان في الفترة 1998-2002.</w:t>
      </w:r>
    </w:p>
    <w:p w:rsidR="00D3649E" w:rsidRDefault="00D3649E" w:rsidP="00521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’2‘</w:t>
      </w:r>
      <w:r>
        <w:rPr>
          <w:rFonts w:hint="cs"/>
          <w:rtl/>
        </w:rPr>
        <w:tab/>
        <w:t>نُظمت حلقات عمل للتوعية الجنسانية من أجل المديرين والمنتجين في تلفزيون باكستان وغيرهم من الفنيين في مجال وسائط الإعلام. وكان هناك 200 امرأة من بين 504 مشاركين من القطاعين العام والخاص تلقوا التدريب.</w:t>
      </w:r>
    </w:p>
    <w:p w:rsidR="00D3649E" w:rsidRDefault="00D3649E" w:rsidP="00521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’3‘</w:t>
      </w:r>
      <w:r>
        <w:rPr>
          <w:rFonts w:hint="cs"/>
          <w:rtl/>
        </w:rPr>
        <w:tab/>
        <w:t>أصدر تلفزيون باكستان توجيها في سنة 1999، مؤداه عدم السماح بعرض العنف ضد المرأة والحط من كرامتها شفويا أو بدنيا على شاشة التلفزيون.</w:t>
      </w:r>
    </w:p>
    <w:p w:rsidR="00D3649E" w:rsidRDefault="00D3649E" w:rsidP="00521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’4‘</w:t>
      </w:r>
      <w:r>
        <w:rPr>
          <w:rFonts w:hint="cs"/>
          <w:rtl/>
        </w:rPr>
        <w:tab/>
        <w:t xml:space="preserve">وتم تصوير المرأة بشكل إيجابي ومتوازن ومتنوع من خلال مشروع </w:t>
      </w:r>
      <w:r>
        <w:rPr>
          <w:rFonts w:hint="eastAsia"/>
          <w:rtl/>
        </w:rPr>
        <w:t>”صورة المرأة في وسائط الإعلام</w:t>
      </w:r>
      <w:r>
        <w:rPr>
          <w:rFonts w:hint="cs"/>
          <w:rtl/>
        </w:rPr>
        <w:t>“ الممول من المانحين. وشغلت امرأة منصب المدير الوطني للمشروع وحصلت على جائزة الأداء المتميز وجائزة رابطة إذاعة الكومنولث للبرمجة الجنسانية والتفوق التقني.</w:t>
      </w:r>
    </w:p>
    <w:p w:rsidR="00D3649E" w:rsidRDefault="002B39F3" w:rsidP="00521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’5‘</w:t>
      </w:r>
      <w:r>
        <w:rPr>
          <w:rFonts w:hint="cs"/>
          <w:rtl/>
        </w:rPr>
        <w:tab/>
        <w:t>أنشأ تلفزيون باكستان معهدا لتدريب الفنيين في وسائط الإعلام في مجال تقنيات تطوير البرامج وإنتاجها. وتعتبر التوعية الجنسانية والتبسيط من العناصر الهامة في برنامج التدريب.</w:t>
      </w:r>
    </w:p>
    <w:p w:rsidR="002B39F3" w:rsidRDefault="002B39F3" w:rsidP="00521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’6‘</w:t>
      </w:r>
      <w:r>
        <w:rPr>
          <w:rFonts w:hint="cs"/>
          <w:rtl/>
        </w:rPr>
        <w:tab/>
        <w:t>والمرأة ممثلة في الهيئة المركزية لمراقبي الأفلام، وهيئة الرقابة على الإنتاج الخاص، وهيئة الرقابة على الإعلانات وهيئة الرقابة على الأعمال الدرامية. وليس هناك حاليا ما يفرض وجود المرأة في هذه الهيئات. وتبحث وزارة تنمية المرأة في طرق لضمان تكوين المرأة لنسبة 25 في المائة من عضوية هذه الهيئات.</w:t>
      </w:r>
    </w:p>
    <w:p w:rsidR="002B39F3" w:rsidRDefault="002B39F3" w:rsidP="002B39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29" w:hanging="662"/>
        <w:rPr>
          <w:rFonts w:hint="cs"/>
          <w:rtl/>
        </w:rPr>
      </w:pPr>
      <w:r>
        <w:rPr>
          <w:rFonts w:hint="cs"/>
          <w:rtl/>
        </w:rPr>
        <w:t>الجدول 5-1</w:t>
      </w:r>
    </w:p>
    <w:p w:rsidR="002B39F3" w:rsidRDefault="002B39F3" w:rsidP="00521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2B39F3">
        <w:rPr>
          <w:rFonts w:hint="cs"/>
          <w:b/>
          <w:bCs/>
          <w:rtl/>
        </w:rPr>
        <w:t>تمثيل المرأة في هيئات الرقابة المختلفة</w:t>
      </w:r>
    </w:p>
    <w:p w:rsidR="00CB773D" w:rsidRPr="00CB773D" w:rsidRDefault="00CB773D" w:rsidP="00CB773D">
      <w:pPr>
        <w:pStyle w:val="SingleTxt"/>
        <w:spacing w:after="0" w:line="120" w:lineRule="exact"/>
        <w:rPr>
          <w:rFonts w:hint="cs"/>
          <w:sz w:val="10"/>
          <w:rtl/>
        </w:rPr>
      </w:pPr>
    </w:p>
    <w:tbl>
      <w:tblPr>
        <w:bidiVisual/>
        <w:tblW w:w="7296" w:type="dxa"/>
        <w:jc w:val="center"/>
        <w:tblInd w:w="-561" w:type="dxa"/>
        <w:tblLayout w:type="fixed"/>
        <w:tblCellMar>
          <w:left w:w="0" w:type="dxa"/>
          <w:right w:w="0" w:type="dxa"/>
        </w:tblCellMar>
        <w:tblLook w:val="0000" w:firstRow="0" w:lastRow="0" w:firstColumn="0" w:lastColumn="0" w:noHBand="0" w:noVBand="0"/>
      </w:tblPr>
      <w:tblGrid>
        <w:gridCol w:w="4481"/>
        <w:gridCol w:w="1440"/>
        <w:gridCol w:w="1375"/>
      </w:tblGrid>
      <w:tr w:rsidR="00E174A0" w:rsidRPr="00E174A0">
        <w:tblPrEx>
          <w:tblCellMar>
            <w:top w:w="0" w:type="dxa"/>
            <w:bottom w:w="0" w:type="dxa"/>
          </w:tblCellMar>
        </w:tblPrEx>
        <w:trPr>
          <w:cantSplit/>
          <w:tblHeader/>
          <w:jc w:val="center"/>
        </w:trPr>
        <w:tc>
          <w:tcPr>
            <w:tcW w:w="4481" w:type="dxa"/>
            <w:tcBorders>
              <w:top w:val="single" w:sz="4" w:space="0" w:color="auto"/>
              <w:bottom w:val="single" w:sz="12" w:space="0" w:color="auto"/>
            </w:tcBorders>
            <w:shd w:val="clear" w:color="auto" w:fill="auto"/>
            <w:vAlign w:val="bottom"/>
          </w:tcPr>
          <w:p w:rsidR="00E174A0" w:rsidRPr="00E174A0" w:rsidRDefault="00E174A0" w:rsidP="00E174A0">
            <w:pPr>
              <w:tabs>
                <w:tab w:val="left" w:pos="288"/>
                <w:tab w:val="left" w:pos="576"/>
                <w:tab w:val="left" w:pos="864"/>
                <w:tab w:val="left" w:pos="1152"/>
              </w:tabs>
              <w:spacing w:before="80" w:after="80" w:line="240" w:lineRule="exact"/>
              <w:ind w:left="72" w:right="72"/>
              <w:rPr>
                <w:rFonts w:hint="cs"/>
                <w:i/>
                <w:iCs/>
                <w:sz w:val="16"/>
                <w:szCs w:val="24"/>
                <w:rtl/>
              </w:rPr>
            </w:pPr>
          </w:p>
        </w:tc>
        <w:tc>
          <w:tcPr>
            <w:tcW w:w="1440" w:type="dxa"/>
            <w:tcBorders>
              <w:top w:val="single" w:sz="4" w:space="0" w:color="auto"/>
              <w:bottom w:val="single" w:sz="12" w:space="0" w:color="auto"/>
            </w:tcBorders>
            <w:shd w:val="clear" w:color="auto" w:fill="auto"/>
            <w:vAlign w:val="bottom"/>
          </w:tcPr>
          <w:p w:rsidR="00E174A0" w:rsidRPr="00E174A0" w:rsidRDefault="00E174A0" w:rsidP="00E174A0">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الإناث</w:t>
            </w:r>
          </w:p>
        </w:tc>
        <w:tc>
          <w:tcPr>
            <w:tcW w:w="1375" w:type="dxa"/>
            <w:tcBorders>
              <w:top w:val="single" w:sz="4" w:space="0" w:color="auto"/>
              <w:bottom w:val="single" w:sz="12" w:space="0" w:color="auto"/>
            </w:tcBorders>
            <w:shd w:val="clear" w:color="auto" w:fill="auto"/>
            <w:vAlign w:val="bottom"/>
          </w:tcPr>
          <w:p w:rsidR="00E174A0" w:rsidRPr="00E174A0" w:rsidRDefault="00E174A0" w:rsidP="00E174A0">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المجموع</w:t>
            </w:r>
          </w:p>
        </w:tc>
      </w:tr>
      <w:tr w:rsidR="00E174A0" w:rsidRPr="00E174A0">
        <w:tblPrEx>
          <w:tblCellMar>
            <w:top w:w="0" w:type="dxa"/>
            <w:bottom w:w="0" w:type="dxa"/>
          </w:tblCellMar>
        </w:tblPrEx>
        <w:trPr>
          <w:cantSplit/>
          <w:trHeight w:hRule="exact" w:val="115"/>
          <w:tblHeader/>
          <w:jc w:val="center"/>
        </w:trPr>
        <w:tc>
          <w:tcPr>
            <w:tcW w:w="4481" w:type="dxa"/>
            <w:tcBorders>
              <w:top w:val="single" w:sz="12" w:space="0" w:color="auto"/>
            </w:tcBorders>
            <w:shd w:val="clear" w:color="auto" w:fill="auto"/>
            <w:vAlign w:val="bottom"/>
          </w:tcPr>
          <w:p w:rsidR="00E174A0" w:rsidRPr="00E174A0" w:rsidRDefault="00E174A0" w:rsidP="00E174A0">
            <w:pPr>
              <w:tabs>
                <w:tab w:val="left" w:pos="288"/>
                <w:tab w:val="left" w:pos="576"/>
                <w:tab w:val="left" w:pos="864"/>
                <w:tab w:val="left" w:pos="1152"/>
              </w:tabs>
              <w:spacing w:before="40" w:after="80" w:line="240" w:lineRule="exact"/>
              <w:ind w:left="72" w:right="72"/>
              <w:rPr>
                <w:rFonts w:hint="cs"/>
                <w:sz w:val="16"/>
                <w:szCs w:val="24"/>
                <w:rtl/>
              </w:rPr>
            </w:pPr>
          </w:p>
        </w:tc>
        <w:tc>
          <w:tcPr>
            <w:tcW w:w="1440" w:type="dxa"/>
            <w:tcBorders>
              <w:top w:val="single" w:sz="12" w:space="0" w:color="auto"/>
            </w:tcBorders>
            <w:shd w:val="clear" w:color="auto" w:fill="auto"/>
            <w:vAlign w:val="bottom"/>
          </w:tcPr>
          <w:p w:rsidR="00E174A0" w:rsidRPr="00E174A0" w:rsidRDefault="00E174A0" w:rsidP="00E174A0">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375" w:type="dxa"/>
            <w:tcBorders>
              <w:top w:val="single" w:sz="12" w:space="0" w:color="auto"/>
            </w:tcBorders>
            <w:shd w:val="clear" w:color="auto" w:fill="auto"/>
            <w:vAlign w:val="bottom"/>
          </w:tcPr>
          <w:p w:rsidR="00E174A0" w:rsidRPr="00E174A0" w:rsidRDefault="00E174A0" w:rsidP="00E174A0">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E174A0" w:rsidRPr="00E174A0">
        <w:tblPrEx>
          <w:tblCellMar>
            <w:top w:w="0" w:type="dxa"/>
            <w:bottom w:w="0" w:type="dxa"/>
          </w:tblCellMar>
        </w:tblPrEx>
        <w:trPr>
          <w:cantSplit/>
          <w:jc w:val="center"/>
        </w:trPr>
        <w:tc>
          <w:tcPr>
            <w:tcW w:w="4481" w:type="dxa"/>
            <w:shd w:val="clear" w:color="auto" w:fill="auto"/>
            <w:vAlign w:val="bottom"/>
          </w:tcPr>
          <w:p w:rsidR="00E174A0" w:rsidRPr="00E174A0" w:rsidRDefault="00E174A0" w:rsidP="00E174A0">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الهيئة المركزية لمراقبي الأفلام</w:t>
            </w:r>
          </w:p>
        </w:tc>
        <w:tc>
          <w:tcPr>
            <w:tcW w:w="1440" w:type="dxa"/>
            <w:shd w:val="clear" w:color="auto" w:fill="auto"/>
            <w:vAlign w:val="bottom"/>
          </w:tcPr>
          <w:p w:rsidR="00E174A0" w:rsidRPr="00E174A0" w:rsidRDefault="00E174A0" w:rsidP="00E174A0">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13</w:t>
            </w:r>
          </w:p>
        </w:tc>
        <w:tc>
          <w:tcPr>
            <w:tcW w:w="1375" w:type="dxa"/>
            <w:shd w:val="clear" w:color="auto" w:fill="auto"/>
            <w:vAlign w:val="bottom"/>
          </w:tcPr>
          <w:p w:rsidR="00E174A0" w:rsidRPr="00E174A0" w:rsidRDefault="00E174A0" w:rsidP="00E174A0">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86</w:t>
            </w:r>
          </w:p>
        </w:tc>
      </w:tr>
      <w:tr w:rsidR="00E174A0" w:rsidRPr="00E174A0">
        <w:tblPrEx>
          <w:tblCellMar>
            <w:top w:w="0" w:type="dxa"/>
            <w:bottom w:w="0" w:type="dxa"/>
          </w:tblCellMar>
        </w:tblPrEx>
        <w:trPr>
          <w:cantSplit/>
          <w:jc w:val="center"/>
        </w:trPr>
        <w:tc>
          <w:tcPr>
            <w:tcW w:w="4481" w:type="dxa"/>
            <w:shd w:val="clear" w:color="auto" w:fill="auto"/>
            <w:vAlign w:val="bottom"/>
          </w:tcPr>
          <w:p w:rsidR="00E174A0" w:rsidRPr="00E174A0" w:rsidRDefault="00E174A0" w:rsidP="00E174A0">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هيئة الرقابة على الإنتاج الخاص</w:t>
            </w:r>
          </w:p>
        </w:tc>
        <w:tc>
          <w:tcPr>
            <w:tcW w:w="1440" w:type="dxa"/>
            <w:shd w:val="clear" w:color="auto" w:fill="auto"/>
            <w:vAlign w:val="bottom"/>
          </w:tcPr>
          <w:p w:rsidR="00E174A0" w:rsidRPr="00E174A0" w:rsidRDefault="00E174A0" w:rsidP="00E174A0">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w:t>
            </w:r>
          </w:p>
        </w:tc>
        <w:tc>
          <w:tcPr>
            <w:tcW w:w="1375" w:type="dxa"/>
            <w:shd w:val="clear" w:color="auto" w:fill="auto"/>
            <w:vAlign w:val="bottom"/>
          </w:tcPr>
          <w:p w:rsidR="00E174A0" w:rsidRPr="00E174A0" w:rsidRDefault="00E174A0" w:rsidP="00E174A0">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w:t>
            </w:r>
          </w:p>
        </w:tc>
      </w:tr>
      <w:tr w:rsidR="00E174A0" w:rsidRPr="00E174A0">
        <w:tblPrEx>
          <w:tblCellMar>
            <w:top w:w="0" w:type="dxa"/>
            <w:bottom w:w="0" w:type="dxa"/>
          </w:tblCellMar>
        </w:tblPrEx>
        <w:trPr>
          <w:cantSplit/>
          <w:jc w:val="center"/>
        </w:trPr>
        <w:tc>
          <w:tcPr>
            <w:tcW w:w="4481" w:type="dxa"/>
            <w:shd w:val="clear" w:color="auto" w:fill="auto"/>
            <w:vAlign w:val="bottom"/>
          </w:tcPr>
          <w:p w:rsidR="00E174A0" w:rsidRPr="00E174A0" w:rsidRDefault="00E174A0" w:rsidP="00E174A0">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هيئة الرقابة على الإعلانات</w:t>
            </w:r>
          </w:p>
        </w:tc>
        <w:tc>
          <w:tcPr>
            <w:tcW w:w="1440" w:type="dxa"/>
            <w:shd w:val="clear" w:color="auto" w:fill="auto"/>
            <w:vAlign w:val="bottom"/>
          </w:tcPr>
          <w:p w:rsidR="00E174A0" w:rsidRPr="00E174A0" w:rsidRDefault="00E174A0" w:rsidP="00E174A0">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w:t>
            </w:r>
          </w:p>
        </w:tc>
        <w:tc>
          <w:tcPr>
            <w:tcW w:w="1375" w:type="dxa"/>
            <w:shd w:val="clear" w:color="auto" w:fill="auto"/>
            <w:vAlign w:val="bottom"/>
          </w:tcPr>
          <w:p w:rsidR="00E174A0" w:rsidRPr="00E174A0" w:rsidRDefault="00E174A0" w:rsidP="00E174A0">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w:t>
            </w:r>
          </w:p>
        </w:tc>
      </w:tr>
      <w:tr w:rsidR="00E174A0" w:rsidRPr="00E174A0">
        <w:tblPrEx>
          <w:tblCellMar>
            <w:top w:w="0" w:type="dxa"/>
            <w:bottom w:w="0" w:type="dxa"/>
          </w:tblCellMar>
        </w:tblPrEx>
        <w:trPr>
          <w:cantSplit/>
          <w:jc w:val="center"/>
        </w:trPr>
        <w:tc>
          <w:tcPr>
            <w:tcW w:w="4481" w:type="dxa"/>
            <w:tcBorders>
              <w:bottom w:val="single" w:sz="12" w:space="0" w:color="auto"/>
            </w:tcBorders>
            <w:shd w:val="clear" w:color="auto" w:fill="auto"/>
            <w:vAlign w:val="bottom"/>
          </w:tcPr>
          <w:p w:rsidR="00E174A0" w:rsidRPr="00E174A0" w:rsidRDefault="00E174A0" w:rsidP="00E174A0">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هيئة الرقابة على الأعمال الدرامية (المحطة 1 والمحطة 2)</w:t>
            </w:r>
          </w:p>
        </w:tc>
        <w:tc>
          <w:tcPr>
            <w:tcW w:w="1440" w:type="dxa"/>
            <w:tcBorders>
              <w:bottom w:val="single" w:sz="12" w:space="0" w:color="auto"/>
            </w:tcBorders>
            <w:shd w:val="clear" w:color="auto" w:fill="auto"/>
            <w:vAlign w:val="bottom"/>
          </w:tcPr>
          <w:p w:rsidR="00E174A0" w:rsidRPr="00E174A0" w:rsidRDefault="00E174A0" w:rsidP="00E174A0">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w:t>
            </w:r>
          </w:p>
        </w:tc>
        <w:tc>
          <w:tcPr>
            <w:tcW w:w="1375" w:type="dxa"/>
            <w:tcBorders>
              <w:bottom w:val="single" w:sz="12" w:space="0" w:color="auto"/>
            </w:tcBorders>
            <w:shd w:val="clear" w:color="auto" w:fill="auto"/>
            <w:vAlign w:val="bottom"/>
          </w:tcPr>
          <w:p w:rsidR="00E174A0" w:rsidRPr="00E174A0" w:rsidRDefault="00E174A0" w:rsidP="00E174A0">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52</w:t>
            </w:r>
          </w:p>
        </w:tc>
      </w:tr>
    </w:tbl>
    <w:p w:rsidR="00E174A0" w:rsidRPr="00E174A0" w:rsidRDefault="00E174A0" w:rsidP="00E174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2B39F3" w:rsidRDefault="00CB773D" w:rsidP="00E174A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00E174A0">
        <w:rPr>
          <w:rFonts w:hint="cs"/>
          <w:rtl/>
        </w:rPr>
        <w:t>تم تجميعه من المعلومات الواردة من جميع الهيئات المعنية، 2004.</w:t>
      </w:r>
    </w:p>
    <w:p w:rsidR="00E174A0" w:rsidRPr="00E174A0" w:rsidRDefault="00E174A0" w:rsidP="00E174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E174A0" w:rsidRDefault="00E174A0" w:rsidP="00521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’7‘</w:t>
      </w:r>
      <w:r>
        <w:rPr>
          <w:rFonts w:hint="cs"/>
          <w:rtl/>
        </w:rPr>
        <w:tab/>
      </w:r>
      <w:r w:rsidR="00A518A8">
        <w:rPr>
          <w:rFonts w:hint="cs"/>
          <w:rtl/>
        </w:rPr>
        <w:t>هناك امرأتان بين أعضاء هيئة التحكيم لجوائز الأفلام الوطنية.</w:t>
      </w:r>
    </w:p>
    <w:p w:rsidR="00A518A8" w:rsidRDefault="00A518A8" w:rsidP="00521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’8‘</w:t>
      </w:r>
      <w:r>
        <w:rPr>
          <w:rFonts w:hint="cs"/>
          <w:rtl/>
        </w:rPr>
        <w:tab/>
        <w:t>وبادرت وزارة تنمية المرأة بتنظيم حملة لتوعية المرأة من خلال وسائط الإعلام الجماهيرية بتكلفة 18.28 مليون روبية. وكانت عروض العرائس من بين الوسائط المستخدمة لزيادة الوعي بقضايا المرأة. وكان الهدف من الحملة هو (أ) إيجاد وعي شامل بحقوق المرأة ووضعها و (ب) إحداث تغيير إيجابي في المواقف الخاصة بالمرأة داخل المجتمع.</w:t>
      </w:r>
    </w:p>
    <w:p w:rsidR="00A518A8" w:rsidRDefault="00A518A8" w:rsidP="00521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’9‘</w:t>
      </w:r>
      <w:r>
        <w:rPr>
          <w:rFonts w:hint="cs"/>
          <w:rtl/>
        </w:rPr>
        <w:tab/>
        <w:t>اعتمدت الوزارة مدونة لقواعد الممارسة الأخلاقية (الوسائط المطبوعة) في سنة 2002. وأعدت مبادئ توجيهية لإبلاغ المواد التي تتناول التمييز بين الجنسين والعنف ضد المرأة، ونشر هذه المواد وترويجها.</w:t>
      </w:r>
    </w:p>
    <w:p w:rsidR="00A518A8" w:rsidRDefault="00A518A8" w:rsidP="00521A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’10‘</w:t>
      </w:r>
      <w:r>
        <w:rPr>
          <w:rFonts w:hint="cs"/>
          <w:rtl/>
        </w:rPr>
        <w:tab/>
        <w:t>تنص المادة 12 من مدونة قواعد السلوك المعتمدة من النقابة الاتحادية للصحفيين في باكستان على أن الصحافة تتحمل مسؤولية خاصة عن منع التحيز ضد المرأة والأقليات والقطاعات الضعيفة الأخرى في المجتمع، مع اتباع الحذر الشديد في الإبلاغ عن الحوادث الخاصة بها.</w:t>
      </w:r>
    </w:p>
    <w:p w:rsidR="00A518A8" w:rsidRDefault="00A518A8" w:rsidP="00A518A8">
      <w:pPr>
        <w:pStyle w:val="SingleTxt"/>
        <w:rPr>
          <w:rFonts w:hint="cs"/>
          <w:rtl/>
        </w:rPr>
      </w:pPr>
      <w:r>
        <w:rPr>
          <w:rFonts w:hint="cs"/>
          <w:rtl/>
        </w:rPr>
        <w:tab/>
        <w:t>(ب)</w:t>
      </w:r>
      <w:r>
        <w:rPr>
          <w:rFonts w:hint="cs"/>
          <w:rtl/>
        </w:rPr>
        <w:tab/>
        <w:t>التعليم</w:t>
      </w:r>
    </w:p>
    <w:p w:rsidR="00A518A8" w:rsidRDefault="00A518A8" w:rsidP="00A518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’1‘</w:t>
      </w:r>
      <w:r>
        <w:rPr>
          <w:rFonts w:hint="cs"/>
          <w:rtl/>
        </w:rPr>
        <w:tab/>
        <w:t>يجري تنقيح المنهج التعليمي مع التركيز على حقوق الإنسان.</w:t>
      </w:r>
    </w:p>
    <w:p w:rsidR="00A518A8" w:rsidRDefault="00A518A8" w:rsidP="00A518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’2‘</w:t>
      </w:r>
      <w:r>
        <w:rPr>
          <w:rFonts w:hint="cs"/>
          <w:rtl/>
        </w:rPr>
        <w:tab/>
        <w:t xml:space="preserve">في بنجاب، أعدت مواد تعليمية تتسم بالوعي </w:t>
      </w:r>
      <w:proofErr w:type="spellStart"/>
      <w:r>
        <w:rPr>
          <w:rFonts w:hint="cs"/>
          <w:rtl/>
        </w:rPr>
        <w:t>الجنساني</w:t>
      </w:r>
      <w:proofErr w:type="spellEnd"/>
      <w:r>
        <w:rPr>
          <w:rFonts w:hint="cs"/>
          <w:rtl/>
        </w:rPr>
        <w:t xml:space="preserve"> في إطار مشروع المدارس الإعدادية لبنجاب؛ مما شمل إنتاج 220 منشورا وزعت على أربع مراحل، بدعم من المانحين (1997-2000). وتم في إطار المشروع نفسه طباعة 000 885 6 كتابا وتوزيعها على 90 في المائة من المدارس الإعدادية في جميع أنحاء بنجاب.</w:t>
      </w:r>
    </w:p>
    <w:p w:rsidR="00A518A8" w:rsidRDefault="00A518A8" w:rsidP="00A518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مشروع حقوق الإنسان والوعي الجماهيري</w:t>
      </w:r>
    </w:p>
    <w:p w:rsidR="00A518A8" w:rsidRDefault="00A518A8" w:rsidP="00A518A8">
      <w:pPr>
        <w:pStyle w:val="SingleTxt"/>
        <w:rPr>
          <w:rFonts w:hint="cs"/>
          <w:rtl/>
        </w:rPr>
      </w:pPr>
      <w:r>
        <w:rPr>
          <w:rFonts w:hint="cs"/>
          <w:rtl/>
        </w:rPr>
        <w:t>81 -</w:t>
      </w:r>
      <w:r>
        <w:rPr>
          <w:rFonts w:hint="cs"/>
          <w:rtl/>
        </w:rPr>
        <w:tab/>
        <w:t>شرعت وزارة القانون والعدل وحقوق الإنسان في تنفيذ هذا المشروع بمساعدة من حكومتي النرويج وسويسرا، في سنة 1999. واتخذت تدابير هامة خلال السنتين الأخيرتين. فيما يلي موجز لها.</w:t>
      </w:r>
    </w:p>
    <w:p w:rsidR="00A518A8" w:rsidRDefault="00A518A8" w:rsidP="00A518A8">
      <w:pPr>
        <w:pStyle w:val="SingleTxt"/>
        <w:rPr>
          <w:rFonts w:hint="cs"/>
          <w:rtl/>
        </w:rPr>
      </w:pPr>
      <w:r>
        <w:rPr>
          <w:rFonts w:hint="cs"/>
          <w:rtl/>
        </w:rPr>
        <w:t>82 -</w:t>
      </w:r>
      <w:r>
        <w:rPr>
          <w:rFonts w:hint="cs"/>
          <w:rtl/>
        </w:rPr>
        <w:tab/>
        <w:t>كانت أهم عناصر المشروع توعية الجماهير من خلال وسائط الإعلام؛ والتدريب المحلي، وتطوير المناهج؛ وإنشاء معهد على المستوى الجامعي.</w:t>
      </w:r>
    </w:p>
    <w:p w:rsidR="00A518A8" w:rsidRDefault="00A518A8" w:rsidP="00D42E69">
      <w:pPr>
        <w:pStyle w:val="SingleTxt"/>
        <w:rPr>
          <w:rFonts w:hint="cs"/>
          <w:rtl/>
        </w:rPr>
      </w:pPr>
      <w:r>
        <w:rPr>
          <w:rFonts w:hint="cs"/>
          <w:rtl/>
        </w:rPr>
        <w:t>83 -</w:t>
      </w:r>
      <w:r>
        <w:rPr>
          <w:rFonts w:hint="cs"/>
          <w:rtl/>
        </w:rPr>
        <w:tab/>
        <w:t xml:space="preserve">وعرض 13 برنامجا لأحاديث على تلفزيون باكستان ومحطة </w:t>
      </w:r>
      <w:proofErr w:type="spellStart"/>
      <w:r>
        <w:rPr>
          <w:rFonts w:hint="cs"/>
          <w:rtl/>
        </w:rPr>
        <w:t>برايم</w:t>
      </w:r>
      <w:proofErr w:type="spellEnd"/>
      <w:r>
        <w:rPr>
          <w:rFonts w:hint="cs"/>
          <w:rtl/>
        </w:rPr>
        <w:t xml:space="preserve"> </w:t>
      </w:r>
      <w:proofErr w:type="spellStart"/>
      <w:r>
        <w:rPr>
          <w:rFonts w:hint="cs"/>
          <w:rtl/>
        </w:rPr>
        <w:t>انترتينمنت</w:t>
      </w:r>
      <w:proofErr w:type="spellEnd"/>
      <w:r>
        <w:rPr>
          <w:rFonts w:hint="cs"/>
          <w:rtl/>
        </w:rPr>
        <w:t xml:space="preserve"> </w:t>
      </w:r>
      <w:r>
        <w:t>(Prime Entertainment)</w:t>
      </w:r>
      <w:r w:rsidR="0003774E">
        <w:rPr>
          <w:rFonts w:hint="cs"/>
          <w:rtl/>
        </w:rPr>
        <w:t xml:space="preserve"> ابتداء من منتصف حزيران/يونيه 2003. وتناولت البرامج مسائل القتل </w:t>
      </w:r>
      <w:r w:rsidR="00D42E69">
        <w:rPr>
          <w:rFonts w:hint="cs"/>
          <w:rtl/>
        </w:rPr>
        <w:t xml:space="preserve">دفاعا عن </w:t>
      </w:r>
      <w:r w:rsidR="0003774E">
        <w:rPr>
          <w:rFonts w:hint="cs"/>
          <w:rtl/>
        </w:rPr>
        <w:t xml:space="preserve">الشرف والمهر، والعنف ضد المرأة، وعدالة الأحداث، وإصلاح السجون، وعمل الأطفال، وحقوق الأقليات. وأذاع راديو باكستان (لمدة 3 شهور) ومحطة </w:t>
      </w:r>
      <w:proofErr w:type="spellStart"/>
      <w:r w:rsidR="0003774E">
        <w:rPr>
          <w:rFonts w:hint="cs"/>
          <w:rtl/>
        </w:rPr>
        <w:t>إف</w:t>
      </w:r>
      <w:proofErr w:type="spellEnd"/>
      <w:r w:rsidR="0003774E">
        <w:rPr>
          <w:rFonts w:hint="cs"/>
          <w:rtl/>
        </w:rPr>
        <w:t xml:space="preserve">. </w:t>
      </w:r>
      <w:proofErr w:type="spellStart"/>
      <w:r w:rsidR="0003774E">
        <w:rPr>
          <w:rFonts w:hint="cs"/>
          <w:rtl/>
        </w:rPr>
        <w:t>إم</w:t>
      </w:r>
      <w:proofErr w:type="spellEnd"/>
      <w:r w:rsidR="0003774E">
        <w:rPr>
          <w:rFonts w:hint="cs"/>
          <w:rtl/>
        </w:rPr>
        <w:t xml:space="preserve">. 100 (لمدة شهرين ونصف) إعلانات </w:t>
      </w:r>
      <w:proofErr w:type="spellStart"/>
      <w:r w:rsidR="0003774E">
        <w:rPr>
          <w:rFonts w:hint="cs"/>
          <w:rtl/>
        </w:rPr>
        <w:t>واسكتشات</w:t>
      </w:r>
      <w:proofErr w:type="spellEnd"/>
      <w:r w:rsidR="0003774E">
        <w:rPr>
          <w:rFonts w:hint="cs"/>
          <w:rtl/>
        </w:rPr>
        <w:t xml:space="preserve"> وأغاني عن قضايا حقوق الإنسان. ونظمت عروض مسرحية في الشوارع في ست مدن رئيسية، تناولت القضايا التي جرت مناقشتها في البرامج التلفزيونية. وتم تنظيم 20 عرضا من عروض العرائس عن المواضيع نفسها في أربع مقاطعات. ونظمت مسابقة لكتابة مقالات من أجل طلاب المدارس الابتدائية والإعدادية والثانوية على المستويين الاتحادي والإقليمي في أيار/مايو 2003. ومنح الطلاب الفائزون في المسابقات شهادات تقدير. ونظمت أكاد</w:t>
      </w:r>
      <w:r w:rsidR="00CB773D">
        <w:rPr>
          <w:rFonts w:hint="cs"/>
          <w:rtl/>
        </w:rPr>
        <w:t>ي</w:t>
      </w:r>
      <w:r w:rsidR="0003774E">
        <w:rPr>
          <w:rFonts w:hint="cs"/>
          <w:rtl/>
        </w:rPr>
        <w:t>مية الشرطة الوطنية حلقة دراسية عن حقوق الإنسان وأنشطة الشرطة. وكانت حقوق المرأة عنصرا جوهريا في هذه الحلقة الدراسية. كما تم تنظيم 12 حلقة دراسية عن أنشطة الشرطة في جميع عواصم المقاطعات والمدن الرئيسية الأخرى، عن طريق مكاتب المفتشين العامين في الشرطة. وجرت توعية ما يزيد عن ألفين من ضباط الشرطة في مجال قضايا حقوق الإنسان ودور الشرطة في حماية حقوق الإنسان وقواعد سلوك موظفي الشرطة تجاه الجمهور.</w:t>
      </w:r>
    </w:p>
    <w:p w:rsidR="0003774E" w:rsidRDefault="0003774E" w:rsidP="00A518A8">
      <w:pPr>
        <w:pStyle w:val="SingleTxt"/>
        <w:rPr>
          <w:rFonts w:hint="cs"/>
          <w:rtl/>
        </w:rPr>
      </w:pPr>
      <w:r>
        <w:rPr>
          <w:rFonts w:hint="cs"/>
          <w:rtl/>
        </w:rPr>
        <w:t>84 -</w:t>
      </w:r>
      <w:r>
        <w:rPr>
          <w:rFonts w:hint="cs"/>
          <w:rtl/>
        </w:rPr>
        <w:tab/>
        <w:t xml:space="preserve">ويعمل مركز لدراسة حقوق الإنسان، بكلية الحقوق في جامعة </w:t>
      </w:r>
      <w:proofErr w:type="spellStart"/>
      <w:r>
        <w:rPr>
          <w:rFonts w:hint="cs"/>
          <w:rtl/>
        </w:rPr>
        <w:t>بيشاور</w:t>
      </w:r>
      <w:proofErr w:type="spellEnd"/>
      <w:r>
        <w:rPr>
          <w:rFonts w:hint="cs"/>
          <w:rtl/>
        </w:rPr>
        <w:t xml:space="preserve">، منذ ثلاث سنوات ونصف. وتعتبر حقوق المرأة عنصرا جوهريا من أنشطة المركز الذي قام بوضع المناهج الدراسية لدراسات الحصول على درجة الماجستير وأمور أخرى. ونظم المركز أيضا حلقات عمل عن تطوير البرامج في تشرين الثاني/نوفمبر 2002. كما قام بتنظيم حلقات دراسية عن حقوق الإنسان والديمقراطية والإعلان العالمي لحقوق الإنسان، في سنة 2002، ومؤتمر عن العنف ضد الأطفال. ونظمت كلية الموظفين الإداريين لباكستان، وهي أولى مؤسسات التدريب الرفيع في باكستان، حلقة عمل للتثقيف في مجال حقوق الإنسان من أجل 25 من معلمي التعليم الثانوي الأقدمين في سنة 2002. وبالمثل، دُعي ناشطون بارزون في مجال حقوق الإنسان للمرأة والمنظمات غير الحكومية المعنية بها إلى توعية المعينين الجدد في الخدمة المدنية في أكاديمية الخدمة المدنية في مجال اتفاقية الأمم المتحدة لمنع جميع أشكال التمييز ضد المرأة، وحقوق المرأة وقضايا المرأة وكيف يمكن التصدي لها. وتقوم المعاهد الوطنية للإدارة العامة التي يجب أن يتم تدريب الموظفين من المستوى المتوسط فيها قبل النظر في ترقيتهم إلى المستوى الأعلى. كذلك، بتنظيم محاضرات عن الاتفاقية وغيرها من صكوك حقوق الإنسان، وحقوق الإنسان، بما في ذلك حقوق المرأة؛ ودعت متكلمين بارزين من جانب الحكومة والمجتمع المدني </w:t>
      </w:r>
      <w:r w:rsidR="00D42E69">
        <w:rPr>
          <w:rFonts w:hint="cs"/>
          <w:rtl/>
        </w:rPr>
        <w:t>ل</w:t>
      </w:r>
      <w:r>
        <w:rPr>
          <w:rFonts w:hint="cs"/>
          <w:rtl/>
        </w:rPr>
        <w:t>محاضرة الموظفين الذين يتلقوا التدريب في هذه المعاهد.</w:t>
      </w:r>
    </w:p>
    <w:p w:rsidR="0003774E" w:rsidRDefault="0003774E" w:rsidP="00A518A8">
      <w:pPr>
        <w:pStyle w:val="SingleTxt"/>
        <w:rPr>
          <w:rFonts w:hint="cs"/>
          <w:rtl/>
        </w:rPr>
      </w:pPr>
      <w:r>
        <w:rPr>
          <w:rFonts w:hint="cs"/>
          <w:rtl/>
        </w:rPr>
        <w:t>85 -</w:t>
      </w:r>
      <w:r>
        <w:rPr>
          <w:rFonts w:hint="cs"/>
          <w:rtl/>
        </w:rPr>
        <w:tab/>
        <w:t>وفي مجال تطوير المناهج، تم بالفعل إعداد وحدات تعليمية عن حقوق الإنسان، بما في ذلك حقوق المرأة</w:t>
      </w:r>
      <w:r w:rsidR="00D42E69">
        <w:rPr>
          <w:rFonts w:hint="cs"/>
          <w:rtl/>
        </w:rPr>
        <w:t>،</w:t>
      </w:r>
      <w:r>
        <w:rPr>
          <w:rFonts w:hint="cs"/>
          <w:rtl/>
        </w:rPr>
        <w:t xml:space="preserve"> وتحرير هذه الوحدات وتنقيحها. ووضعت نصوص مواد للصفين الرابع والخامس والصفوف من السادس إلى العاشر وأرسلت إلى مجالس الكتب المدرسية الإقليمية لإدراجها في المادة ذات الصلة بالموضوع، على المستوى الملائم. وأدرجت مواضيع حقوق الإنسان، بنجاح، في المناهج الدراسية للمواد الاختيارية باللغات الإقليمية.</w:t>
      </w:r>
    </w:p>
    <w:p w:rsidR="0003774E" w:rsidRPr="0003774E" w:rsidRDefault="0003774E" w:rsidP="0003774E">
      <w:pPr>
        <w:pStyle w:val="SingleTxt"/>
        <w:spacing w:after="0" w:line="120" w:lineRule="exact"/>
        <w:rPr>
          <w:rFonts w:hint="cs"/>
          <w:sz w:val="10"/>
          <w:rtl/>
        </w:rPr>
      </w:pPr>
    </w:p>
    <w:p w:rsidR="0003774E" w:rsidRDefault="0003774E" w:rsidP="000377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الحالة على أرض الواقع</w:t>
      </w:r>
    </w:p>
    <w:p w:rsidR="0003774E" w:rsidRDefault="0003774E" w:rsidP="00CB773D">
      <w:pPr>
        <w:pStyle w:val="SingleTxt"/>
        <w:rPr>
          <w:rFonts w:hint="cs"/>
          <w:rtl/>
        </w:rPr>
      </w:pPr>
      <w:r>
        <w:rPr>
          <w:rFonts w:hint="cs"/>
          <w:rtl/>
        </w:rPr>
        <w:t>86 -</w:t>
      </w:r>
      <w:r>
        <w:rPr>
          <w:rFonts w:hint="cs"/>
          <w:rtl/>
        </w:rPr>
        <w:tab/>
        <w:t xml:space="preserve">بالرغم من التدابير الواردة </w:t>
      </w:r>
      <w:r w:rsidR="00CB773D">
        <w:rPr>
          <w:rFonts w:hint="cs"/>
          <w:rtl/>
        </w:rPr>
        <w:t>أ</w:t>
      </w:r>
      <w:r>
        <w:rPr>
          <w:rFonts w:hint="cs"/>
          <w:rtl/>
        </w:rPr>
        <w:t>علاه، فهناك قطاعات كبيرة من المجتمع الباكستاني لديها بعض الآراء، على الأقل، فيما يتصل بدور الرجال والنساء في المجتمع. وبصورة عامة، يفترض أن الزوج هو عائل الأسرة ورئيسها. وينتظر من الزوجة أن تعتني بشؤون المنزل وتقوم برعاية الأطفال وكبار السن. ولا تتوفر بيانات عن نسبة الرجال الذين يساعدون في الأنشطة المنزلية. غير أن نسبة هؤلاء الرجال ليست كبيرة وقد تكون لا ذكر لها في المناطق الريفية. ومن المحتمل أن المجتمع الباكستاني لا يختلف كثيرا عن المجتمع في أي بلد من بلدان جنوب آسيا، في هذا الصدد.</w:t>
      </w:r>
    </w:p>
    <w:p w:rsidR="0003774E" w:rsidRDefault="0003774E" w:rsidP="00D42E69">
      <w:pPr>
        <w:pStyle w:val="SingleTxt"/>
        <w:rPr>
          <w:rFonts w:hint="cs"/>
          <w:rtl/>
        </w:rPr>
      </w:pPr>
      <w:r>
        <w:rPr>
          <w:rFonts w:hint="cs"/>
          <w:rtl/>
        </w:rPr>
        <w:t>87 -</w:t>
      </w:r>
      <w:r>
        <w:rPr>
          <w:rFonts w:hint="cs"/>
          <w:rtl/>
        </w:rPr>
        <w:tab/>
      </w:r>
      <w:r w:rsidR="00DD6BA5">
        <w:rPr>
          <w:rFonts w:hint="cs"/>
          <w:rtl/>
        </w:rPr>
        <w:t xml:space="preserve">ومع ذلك، فإن مفهوم دور الرجال والنساء يتغير تدريجيا. فالتعليم وتوفر المعلومات على نطاق واسع عن طريق الإذاعة والتلفزيون وأطباق </w:t>
      </w:r>
      <w:proofErr w:type="spellStart"/>
      <w:r w:rsidR="00DD6BA5">
        <w:rPr>
          <w:rFonts w:hint="cs"/>
          <w:rtl/>
        </w:rPr>
        <w:t>الساتل</w:t>
      </w:r>
      <w:proofErr w:type="spellEnd"/>
      <w:r w:rsidR="00DD6BA5">
        <w:rPr>
          <w:rFonts w:hint="cs"/>
          <w:rtl/>
        </w:rPr>
        <w:t xml:space="preserve"> وما إلى ذلك يقدم منظورا أوسع لدى المشاهدين و</w:t>
      </w:r>
      <w:r w:rsidR="00D42E69">
        <w:rPr>
          <w:rFonts w:hint="cs"/>
          <w:rtl/>
        </w:rPr>
        <w:t>ي</w:t>
      </w:r>
      <w:r w:rsidR="00DD6BA5">
        <w:rPr>
          <w:rFonts w:hint="cs"/>
          <w:rtl/>
        </w:rPr>
        <w:t xml:space="preserve">وضح أن المرأة تستطيع القيام بعدة أدوار هامة فضلا عن كونها زوجة وأم. وتشارك المرأة الباكستانية بصورة نشطة في إدارة المنظمات غير الحكومية. وتشارك، بأعداد مختلفة، في جميع قطاعات الاقتصاد، ابتداء من التكنولوجيا النووية، والعناية بالأغذية بعد الحصاد، وتربية الحيوانات، والصناعات </w:t>
      </w:r>
      <w:proofErr w:type="spellStart"/>
      <w:r w:rsidR="00DD6BA5">
        <w:rPr>
          <w:rFonts w:hint="cs"/>
          <w:rtl/>
        </w:rPr>
        <w:t>البترو</w:t>
      </w:r>
      <w:proofErr w:type="spellEnd"/>
      <w:r w:rsidR="00CB773D">
        <w:rPr>
          <w:rFonts w:hint="cs"/>
          <w:rtl/>
        </w:rPr>
        <w:t xml:space="preserve"> - </w:t>
      </w:r>
      <w:r w:rsidR="00DD6BA5">
        <w:rPr>
          <w:rFonts w:hint="cs"/>
          <w:rtl/>
        </w:rPr>
        <w:t>كيميائية، والتعليم، ووسائط الإعلام، والرعاية الصحية والخدمة الدبلوماسية والخدمات الاجتماعية وكذلك البحوث والإدارة وما إلى ذلك.</w:t>
      </w:r>
    </w:p>
    <w:p w:rsidR="00DD6BA5" w:rsidRDefault="00DD6BA5" w:rsidP="00CB773D">
      <w:pPr>
        <w:pStyle w:val="SingleTxt"/>
        <w:rPr>
          <w:rFonts w:hint="cs"/>
          <w:rtl/>
        </w:rPr>
      </w:pPr>
      <w:r>
        <w:rPr>
          <w:rFonts w:hint="cs"/>
          <w:rtl/>
        </w:rPr>
        <w:t>88 -</w:t>
      </w:r>
      <w:r>
        <w:rPr>
          <w:rFonts w:hint="cs"/>
          <w:rtl/>
        </w:rPr>
        <w:tab/>
        <w:t>وهناك ظاهرة حديثة تمثلت في دخول المرأة في خدمات الشرطة والجيش. فتشكل المرأة نسبة متزايدة وملحوظة من قوات الشرطة. وتتضمن قوات أمن الموانئ الجوية مجموعة كبيرة من النساء. كما تتلقى المرأة التدريب على الحراسة الجوية. وعينت أول امرأة من رتبة اللواء في السلاح الطبي للجيش، في سنة 2001. ويجري تجنيد المرأة في القوات المسلحة العادية. فتعمل، مثلا كمراقبة للمرور الجوي وكرُبَّان لطائرات النقل في السلاح الجوي. وتجد أيضا التوظيف في هذا المجال في الخطوط الجوية التجارية.</w:t>
      </w:r>
    </w:p>
    <w:p w:rsidR="00DD6BA5" w:rsidRPr="00DD6BA5" w:rsidRDefault="00DD6BA5" w:rsidP="00DD6BA5">
      <w:pPr>
        <w:pStyle w:val="SingleTxt"/>
        <w:spacing w:after="0" w:line="120" w:lineRule="exact"/>
        <w:rPr>
          <w:rFonts w:hint="cs"/>
          <w:sz w:val="10"/>
          <w:rtl/>
        </w:rPr>
      </w:pPr>
    </w:p>
    <w:p w:rsidR="00DD6BA5" w:rsidRDefault="00DD6BA5" w:rsidP="00DD6B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معلومات عن الصحة الإنجابية/التثقيف في الحياة الأسرية</w:t>
      </w:r>
    </w:p>
    <w:p w:rsidR="00DD6BA5" w:rsidRDefault="00DD6BA5" w:rsidP="00DD6BA5">
      <w:pPr>
        <w:pStyle w:val="SingleTxt"/>
        <w:rPr>
          <w:rFonts w:hint="cs"/>
          <w:rtl/>
        </w:rPr>
      </w:pPr>
      <w:r>
        <w:rPr>
          <w:rFonts w:hint="cs"/>
          <w:rtl/>
        </w:rPr>
        <w:t>89 -</w:t>
      </w:r>
      <w:r>
        <w:rPr>
          <w:rFonts w:hint="cs"/>
          <w:rtl/>
        </w:rPr>
        <w:tab/>
        <w:t>نظرا لما يتسم به المجتمع من طابع تقليدي، تعتبر إثارة هذا الموضوع مسألة صعبة مع الأبناء والطلاب بالنسبة للمعلمين والآباء. وتقوم وزارتا التعليم ورعاية السكان باستحداث أساليب لإدماج التثقيف في مجال الحياة الأسرية من خلال قنوات الاتصال المناسبة. وعُقدت بعض الجلسات الإعلامية في مدارس البنات بشأن قضايا الصحة الإنجابية، وذلك في إطار البرنامج الوطني لمراقبة متلازمة نقص المناعة البشرية (الإيدز).</w:t>
      </w:r>
    </w:p>
    <w:p w:rsidR="00DD6BA5" w:rsidRPr="00DD6BA5" w:rsidRDefault="00DD6BA5" w:rsidP="00DD6BA5">
      <w:pPr>
        <w:pStyle w:val="SingleTxt"/>
        <w:spacing w:after="0" w:line="120" w:lineRule="exact"/>
        <w:rPr>
          <w:rFonts w:hint="cs"/>
          <w:sz w:val="10"/>
          <w:rtl/>
        </w:rPr>
      </w:pPr>
    </w:p>
    <w:p w:rsidR="00DD6BA5" w:rsidRDefault="00DD6BA5" w:rsidP="00DD6B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التحديات ومسار العمل في المستقبل</w:t>
      </w:r>
    </w:p>
    <w:p w:rsidR="00DD6BA5" w:rsidRDefault="00DD6BA5" w:rsidP="00D42E69">
      <w:pPr>
        <w:pStyle w:val="SingleTxt"/>
        <w:rPr>
          <w:rFonts w:hint="cs"/>
          <w:rtl/>
        </w:rPr>
      </w:pPr>
      <w:r>
        <w:rPr>
          <w:rFonts w:hint="cs"/>
          <w:rtl/>
        </w:rPr>
        <w:t>90 -</w:t>
      </w:r>
      <w:r>
        <w:rPr>
          <w:rFonts w:hint="cs"/>
          <w:rtl/>
        </w:rPr>
        <w:tab/>
        <w:t xml:space="preserve">تعتبر المادة 5 من الاتفاقية، أصعب المواد من حيث التنفيذ، من جوانب عديدة. فمواقف المجتمع وأولوياته </w:t>
      </w:r>
      <w:proofErr w:type="spellStart"/>
      <w:r>
        <w:rPr>
          <w:rFonts w:hint="cs"/>
          <w:rtl/>
        </w:rPr>
        <w:t>وتحيزاته</w:t>
      </w:r>
      <w:proofErr w:type="spellEnd"/>
      <w:r>
        <w:rPr>
          <w:rFonts w:hint="cs"/>
          <w:rtl/>
        </w:rPr>
        <w:t xml:space="preserve"> وأهواؤه، تتطور على مر القرون وهي نتاج خليط معقد من الثقافة والتاريخ والعادات والدين. ويعتبر تغييرها مهمة صعبة. ولا شك أن الأ</w:t>
      </w:r>
      <w:r w:rsidR="00D42E69">
        <w:rPr>
          <w:rFonts w:hint="cs"/>
          <w:rtl/>
        </w:rPr>
        <w:t>فك</w:t>
      </w:r>
      <w:r>
        <w:rPr>
          <w:rFonts w:hint="cs"/>
          <w:rtl/>
        </w:rPr>
        <w:t>ار الخاصة بأدوار الرجال والنساء عميقة الجذور في باكستان، بالمقارنة ببلدان أكثر تقدما. غير أن مما لا شك فيه أن</w:t>
      </w:r>
      <w:r w:rsidR="00D42E69">
        <w:rPr>
          <w:rFonts w:hint="cs"/>
          <w:rtl/>
        </w:rPr>
        <w:t>ه</w:t>
      </w:r>
      <w:r>
        <w:rPr>
          <w:rFonts w:hint="cs"/>
          <w:rtl/>
        </w:rPr>
        <w:t xml:space="preserve"> بدأ حدوث تغيير، فزيادة النسب المئوية للفتيات الملتحقات بالمدارس وزيادة معدل الإلمام بالقراءة والكتابة بين النساء، وزيادة نسبة المرأة في القوة العاملة، وانخفاض معدل نمو السكان ومعدل الخصوبة تشير إلى تغير في الاتجاه السليم، وإن كان غير مؤثر بدرجة كبيرة، من ناحية الأرقام.</w:t>
      </w:r>
    </w:p>
    <w:p w:rsidR="00DD6BA5" w:rsidRDefault="00DD6BA5" w:rsidP="00DD6BA5">
      <w:pPr>
        <w:pStyle w:val="SingleTxt"/>
        <w:rPr>
          <w:rFonts w:hint="cs"/>
          <w:rtl/>
        </w:rPr>
      </w:pPr>
      <w:r>
        <w:rPr>
          <w:rFonts w:hint="cs"/>
          <w:rtl/>
        </w:rPr>
        <w:t>91 -</w:t>
      </w:r>
      <w:r>
        <w:rPr>
          <w:rFonts w:hint="cs"/>
          <w:rtl/>
        </w:rPr>
        <w:tab/>
        <w:t>وتتمثل أهم التحديات في إدماج ضرورة تغيير المفاهيم العامة في جميع السياسات الحكومية وخاصة في مجال التعليم ووسائط الإعلام وقطاع الإعلام. فبدلا من اتخاذ تدابير منفصلة على مستوى الوزارات أو الإدارات، يلزم وجود رؤية شاملة عن كيفية استخدام أجهزة الدولة المختلفة لتحقيق تغيير إيجابي في مواقف المجتمع تجاه المرأة. ووزارة تنمية المرأة في سبيلها إلى وضع الخطوط النهائية لمشروع لمتابعة اتفاقية القضاء على جميع أشكال التمييز ضد المرأة وتقديم التقارير بشأنها. وسوف يكون تغيير مواقف المجتمع تجاه المرأة عنصرا جوهريا في هذا المشروع.</w:t>
      </w:r>
    </w:p>
    <w:p w:rsidR="00DD6BA5" w:rsidRPr="00DD6BA5" w:rsidRDefault="00DD6BA5" w:rsidP="00DD6BA5">
      <w:pPr>
        <w:pStyle w:val="SingleTxt"/>
        <w:spacing w:after="0" w:line="120" w:lineRule="exact"/>
        <w:rPr>
          <w:rFonts w:hint="cs"/>
          <w:sz w:val="10"/>
          <w:rtl/>
        </w:rPr>
      </w:pPr>
    </w:p>
    <w:p w:rsidR="00DD6BA5" w:rsidRDefault="00DD6BA5" w:rsidP="00DD6BA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السادس</w:t>
      </w:r>
    </w:p>
    <w:p w:rsidR="00DD6BA5" w:rsidRDefault="0018681A" w:rsidP="00DD6BA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D6BA5">
        <w:rPr>
          <w:rFonts w:hint="cs"/>
          <w:rtl/>
        </w:rPr>
        <w:t>المادة 6</w:t>
      </w:r>
    </w:p>
    <w:p w:rsidR="00DD6BA5" w:rsidRDefault="0018681A" w:rsidP="00DD6B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D6BA5">
        <w:rPr>
          <w:rFonts w:hint="cs"/>
          <w:rtl/>
        </w:rPr>
        <w:t>الاتجار بالنساء والفتيات</w:t>
      </w:r>
    </w:p>
    <w:p w:rsidR="00DD6BA5" w:rsidRDefault="0018681A" w:rsidP="00DD6B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D6BA5">
        <w:rPr>
          <w:rFonts w:hint="cs"/>
          <w:rtl/>
        </w:rPr>
        <w:t>الإطار الدستوري</w:t>
      </w:r>
    </w:p>
    <w:p w:rsidR="00DD6BA5" w:rsidRDefault="00DD6BA5" w:rsidP="00DD6BA5">
      <w:pPr>
        <w:pStyle w:val="SingleTxt"/>
        <w:rPr>
          <w:rFonts w:hint="cs"/>
          <w:rtl/>
        </w:rPr>
      </w:pPr>
      <w:r>
        <w:rPr>
          <w:rFonts w:hint="cs"/>
          <w:rtl/>
        </w:rPr>
        <w:t>92 -</w:t>
      </w:r>
      <w:r>
        <w:rPr>
          <w:rFonts w:hint="cs"/>
          <w:rtl/>
        </w:rPr>
        <w:tab/>
        <w:t xml:space="preserve">تدعو المادة 37 (ز) من دستور الدولة إلى </w:t>
      </w:r>
      <w:r>
        <w:rPr>
          <w:rFonts w:hint="eastAsia"/>
          <w:rtl/>
        </w:rPr>
        <w:t>”منع البغاء ...</w:t>
      </w:r>
      <w:r>
        <w:rPr>
          <w:rFonts w:hint="cs"/>
          <w:rtl/>
        </w:rPr>
        <w:t xml:space="preserve">“. وتنص المادة 11 (2) على أن </w:t>
      </w:r>
      <w:r>
        <w:rPr>
          <w:rFonts w:hint="eastAsia"/>
          <w:rtl/>
        </w:rPr>
        <w:t>”يحظر جميع أشكال السخرة والاتجار بالأشخاص</w:t>
      </w:r>
      <w:r>
        <w:rPr>
          <w:rFonts w:hint="cs"/>
          <w:rtl/>
        </w:rPr>
        <w:t>“.</w:t>
      </w:r>
    </w:p>
    <w:p w:rsidR="00DD6BA5" w:rsidRDefault="00DD6BA5" w:rsidP="00DD6BA5">
      <w:pPr>
        <w:pStyle w:val="SingleTxt"/>
        <w:rPr>
          <w:rFonts w:hint="cs"/>
          <w:rtl/>
        </w:rPr>
      </w:pPr>
      <w:r>
        <w:rPr>
          <w:rFonts w:hint="cs"/>
          <w:rtl/>
        </w:rPr>
        <w:t>93 -</w:t>
      </w:r>
      <w:r>
        <w:rPr>
          <w:rFonts w:hint="cs"/>
          <w:rtl/>
        </w:rPr>
        <w:tab/>
        <w:t xml:space="preserve">وفي 15 آب/أغسطس 2001، صدقت باكستان على اتفاقية منظمة العمل الدولية رقم 182 الأساسية المتعلقة بحظر </w:t>
      </w:r>
      <w:r>
        <w:rPr>
          <w:rFonts w:hint="eastAsia"/>
          <w:rtl/>
        </w:rPr>
        <w:t>”أسوأ أشكال عمل الأطفال</w:t>
      </w:r>
      <w:r>
        <w:rPr>
          <w:rFonts w:hint="cs"/>
          <w:rtl/>
        </w:rPr>
        <w:t>“ بما يشمل بغاء الأطفال والاتجار بهم. ووقعت باكستان أيضا على البروتوكول الاختياري لاتفاقية حقوق الطفل بشأن بيع الأطفال واستغلالهم في البغاء وفي إنتاج المواد الإباحية، في أيلول/سبتمبر 2001. وتوفر الالتزامات الدستورية وهذين الصكين إطارا تفصيليا للحكومة من أجل مكافحة الاتجار بالأشخاص.</w:t>
      </w:r>
    </w:p>
    <w:p w:rsidR="00DD6BA5" w:rsidRPr="00DD6BA5" w:rsidRDefault="00DD6BA5" w:rsidP="00DD6BA5">
      <w:pPr>
        <w:pStyle w:val="SingleTxt"/>
        <w:spacing w:after="0" w:line="120" w:lineRule="exact"/>
        <w:rPr>
          <w:rFonts w:hint="cs"/>
          <w:sz w:val="10"/>
          <w:rtl/>
        </w:rPr>
      </w:pPr>
    </w:p>
    <w:p w:rsidR="00DD6BA5" w:rsidRDefault="00DD6BA5" w:rsidP="00DD6B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التشريعي</w:t>
      </w:r>
    </w:p>
    <w:p w:rsidR="00DD6BA5" w:rsidRDefault="00DD6BA5" w:rsidP="00DD6BA5">
      <w:pPr>
        <w:pStyle w:val="SingleTxt"/>
        <w:rPr>
          <w:rFonts w:hint="cs"/>
          <w:rtl/>
        </w:rPr>
      </w:pPr>
      <w:r>
        <w:rPr>
          <w:rFonts w:hint="cs"/>
          <w:rtl/>
        </w:rPr>
        <w:t>94 -</w:t>
      </w:r>
      <w:r>
        <w:rPr>
          <w:rFonts w:hint="cs"/>
          <w:rtl/>
        </w:rPr>
        <w:tab/>
        <w:t xml:space="preserve">صدر مرسوم منع الاتجار بالأشخاص ومكافحته في تشرين الأول/أكتوبر 2002. ويعتبر ذلك </w:t>
      </w:r>
      <w:r w:rsidR="00D42E69">
        <w:rPr>
          <w:rFonts w:hint="cs"/>
          <w:rtl/>
        </w:rPr>
        <w:t>ال</w:t>
      </w:r>
      <w:r>
        <w:rPr>
          <w:rFonts w:hint="cs"/>
          <w:rtl/>
        </w:rPr>
        <w:t>مرسوم قانون</w:t>
      </w:r>
      <w:r w:rsidR="00D42E69">
        <w:rPr>
          <w:rFonts w:hint="cs"/>
          <w:rtl/>
        </w:rPr>
        <w:t>ا</w:t>
      </w:r>
      <w:r>
        <w:rPr>
          <w:rFonts w:hint="cs"/>
          <w:rtl/>
        </w:rPr>
        <w:t xml:space="preserve"> شامل</w:t>
      </w:r>
      <w:r w:rsidR="00D42E69">
        <w:rPr>
          <w:rFonts w:hint="cs"/>
          <w:rtl/>
        </w:rPr>
        <w:t>ا</w:t>
      </w:r>
      <w:r>
        <w:rPr>
          <w:rFonts w:hint="cs"/>
          <w:rtl/>
        </w:rPr>
        <w:t xml:space="preserve"> مصمم</w:t>
      </w:r>
      <w:r w:rsidR="00D42E69">
        <w:rPr>
          <w:rFonts w:hint="cs"/>
          <w:rtl/>
        </w:rPr>
        <w:t>ا</w:t>
      </w:r>
      <w:r>
        <w:rPr>
          <w:rFonts w:hint="cs"/>
          <w:rtl/>
        </w:rPr>
        <w:t xml:space="preserve"> للوفاء بالتزامات باكستان بموجب المعاهدات الدولية المختلفة المعنية بالاتجار بالأشخاص (بما في ذلك الأحكام ذات الصلة من اتفاقية القضاء على جميع أشكال التمييز ضد المرأة) وكذلك المعاهدات التي يحتمل أن تصبح باكستان طرفا فيها مستقبلا ومنها بروتوكول منع ومكافحة الاتجار بالأشخاص، وخاصة النساء والأطفال المكمل لاتفاقية الأمم المتحدة لمكافحة الجريمة المنظمة عبر الحدود الوطنية. وفيما يلي أبرز معالم المرسوم:</w:t>
      </w:r>
    </w:p>
    <w:p w:rsidR="00DD6BA5" w:rsidRDefault="00DD6BA5" w:rsidP="00DD6BA5">
      <w:pPr>
        <w:pStyle w:val="SingleTxt"/>
        <w:rPr>
          <w:rFonts w:hint="cs"/>
          <w:rtl/>
        </w:rPr>
      </w:pPr>
      <w:r>
        <w:rPr>
          <w:rFonts w:hint="cs"/>
          <w:rtl/>
        </w:rPr>
        <w:tab/>
        <w:t>(أ)</w:t>
      </w:r>
      <w:r>
        <w:rPr>
          <w:rFonts w:hint="cs"/>
          <w:rtl/>
        </w:rPr>
        <w:tab/>
        <w:t xml:space="preserve">يتضمن القانون تعريفا شاملا لعبارة </w:t>
      </w:r>
      <w:r>
        <w:rPr>
          <w:rFonts w:hint="eastAsia"/>
          <w:rtl/>
        </w:rPr>
        <w:t>”الاتجار بالأشخاص</w:t>
      </w:r>
      <w:r>
        <w:rPr>
          <w:rFonts w:hint="cs"/>
          <w:rtl/>
        </w:rPr>
        <w:t>“ - التمكن من شخص أو اعتقاله أو بيعه أو شرائه أو تجنيده أو احتجازه أو إيوائه أو استقباله دون موافقته الضمنية أو الصريحة، باستخدام القهر أو الاختطاف أو بتقديم أو تلقي أي مدفوعات أو مزايا أو اقتسام أو تلقي حصة من نقل هذا الشخص خارج باكستان أو داخلها فيما بعد، بأي أسلوب</w:t>
      </w:r>
      <w:r w:rsidR="00D42E69">
        <w:rPr>
          <w:rFonts w:hint="cs"/>
          <w:rtl/>
        </w:rPr>
        <w:t>،</w:t>
      </w:r>
      <w:r>
        <w:rPr>
          <w:rFonts w:hint="cs"/>
          <w:rtl/>
        </w:rPr>
        <w:t xml:space="preserve"> لأي من الأغراض الواردة في ...</w:t>
      </w:r>
      <w:r>
        <w:rPr>
          <w:rFonts w:hint="eastAsia"/>
          <w:rtl/>
        </w:rPr>
        <w:t xml:space="preserve">“. </w:t>
      </w:r>
      <w:r>
        <w:rPr>
          <w:rFonts w:hint="cs"/>
          <w:rtl/>
        </w:rPr>
        <w:t xml:space="preserve">ومما يعوز هذا التعريف، إيراد تعريف منفصل </w:t>
      </w:r>
      <w:r>
        <w:rPr>
          <w:rFonts w:hint="eastAsia"/>
          <w:rtl/>
        </w:rPr>
        <w:t>”للقهر</w:t>
      </w:r>
      <w:r w:rsidR="00D42E69">
        <w:rPr>
          <w:rFonts w:hint="cs"/>
          <w:rtl/>
        </w:rPr>
        <w:t>“</w:t>
      </w:r>
      <w:r>
        <w:rPr>
          <w:rFonts w:hint="cs"/>
          <w:rtl/>
        </w:rPr>
        <w:t xml:space="preserve"> وهو استخدام القوة أو العنف أو الإكراه البدني أو الخداع أو الغش أو الأفعال أو الظروف التي لا تشمل القوة البدنية بالضرورة وإن كانت مدبَّرة لتحقيق نفس الأثر ومنها التهديد الموثوق باستخدام القوة أو إيقاع ضرر شديد</w:t>
      </w:r>
      <w:r>
        <w:rPr>
          <w:rFonts w:hint="eastAsia"/>
          <w:rtl/>
        </w:rPr>
        <w:t xml:space="preserve">“. </w:t>
      </w:r>
      <w:r>
        <w:rPr>
          <w:rFonts w:hint="cs"/>
          <w:rtl/>
        </w:rPr>
        <w:t>ويحظر الاتجار بالأشخاص لسبب أيا كان، بما في ذلك العمل أو الترفيه أو البغاء.</w:t>
      </w:r>
    </w:p>
    <w:p w:rsidR="00DD6BA5" w:rsidRDefault="00DD6BA5" w:rsidP="00DD6BA5">
      <w:pPr>
        <w:pStyle w:val="SingleTxt"/>
        <w:rPr>
          <w:rFonts w:hint="cs"/>
          <w:rtl/>
        </w:rPr>
      </w:pPr>
      <w:r>
        <w:rPr>
          <w:rFonts w:hint="cs"/>
          <w:rtl/>
        </w:rPr>
        <w:tab/>
        <w:t>(ب)</w:t>
      </w:r>
      <w:r>
        <w:rPr>
          <w:rFonts w:hint="cs"/>
          <w:rtl/>
        </w:rPr>
        <w:tab/>
        <w:t xml:space="preserve">ويكفي وجود شخصين يعملان معا لارتكاب جريمة تقع في نطاق القانون لاعتبارها </w:t>
      </w:r>
      <w:r>
        <w:rPr>
          <w:rFonts w:hint="eastAsia"/>
          <w:rtl/>
        </w:rPr>
        <w:t>”مجموعة إجرامية منظمة</w:t>
      </w:r>
      <w:r>
        <w:rPr>
          <w:rFonts w:hint="cs"/>
          <w:rtl/>
        </w:rPr>
        <w:t>“ تستحق بذلك عقوبة أشد. وهذا التعريف أشد من التعريف الوارد في اتفاقية مكافحة الجريمة المنظمة عبر الحدود الوطنية، حيث يعتبر ثلاثة أشخاص أو أكثر مجموعة إجرامية.</w:t>
      </w:r>
    </w:p>
    <w:p w:rsidR="00DD6BA5" w:rsidRDefault="00DD6BA5" w:rsidP="00DD6BA5">
      <w:pPr>
        <w:pStyle w:val="SingleTxt"/>
        <w:rPr>
          <w:rFonts w:hint="cs"/>
          <w:rtl/>
        </w:rPr>
      </w:pPr>
      <w:r>
        <w:rPr>
          <w:rFonts w:hint="cs"/>
          <w:rtl/>
        </w:rPr>
        <w:t>95 -</w:t>
      </w:r>
      <w:r>
        <w:rPr>
          <w:rFonts w:hint="cs"/>
          <w:rtl/>
        </w:rPr>
        <w:tab/>
        <w:t>وينص المرسوم على عقوبات أشد إذا كان الضحايا من النساء و/أو الأطفال. وتنص المادة 3 (3) من القانون على أن:</w:t>
      </w:r>
    </w:p>
    <w:p w:rsidR="00DD6BA5" w:rsidRDefault="00DD6BA5" w:rsidP="00DD6BA5">
      <w:pPr>
        <w:pStyle w:val="SingleTxt"/>
        <w:rPr>
          <w:rFonts w:hint="cs"/>
          <w:rtl/>
        </w:rPr>
      </w:pPr>
      <w:r>
        <w:rPr>
          <w:rFonts w:hint="cs"/>
          <w:rtl/>
        </w:rPr>
        <w:tab/>
        <w:t>(أ)</w:t>
      </w:r>
      <w:r>
        <w:rPr>
          <w:rFonts w:hint="cs"/>
          <w:rtl/>
        </w:rPr>
        <w:tab/>
        <w:t xml:space="preserve">يعاقب أي شخص يقوم، عن علم، بشراء امرأة أو طفل أو بيعه أو إيوائه أو نقله أو تقديمه أو احتجازه عن طريق الإكراه أو الخطف أو يتلقى أو </w:t>
      </w:r>
      <w:r w:rsidR="00D42E69">
        <w:rPr>
          <w:rFonts w:hint="cs"/>
          <w:rtl/>
        </w:rPr>
        <w:t xml:space="preserve">يتوقع </w:t>
      </w:r>
      <w:r>
        <w:rPr>
          <w:rFonts w:hint="cs"/>
          <w:rtl/>
        </w:rPr>
        <w:t>الحصول على منفعة من الاتجار به داخل باكستان أو خارجها أو قصدا لذلك، لأغراض الترفيه الاستغلالي من جانب أي شخص، أو إذا كان قد تلقى أو يتوقع الحصول على منفعة ما مقابل ذلك، بالسجن لمدة قد تمتد إلى عشر سنوات ويتعرض أيضا للغرامة؛</w:t>
      </w:r>
    </w:p>
    <w:p w:rsidR="00DD6BA5" w:rsidRDefault="00DD6BA5" w:rsidP="00DD6BA5">
      <w:pPr>
        <w:pStyle w:val="SingleTxt"/>
        <w:rPr>
          <w:rFonts w:hint="cs"/>
          <w:rtl/>
        </w:rPr>
      </w:pPr>
      <w:r>
        <w:rPr>
          <w:rFonts w:hint="cs"/>
          <w:rtl/>
        </w:rPr>
        <w:tab/>
        <w:t>(ب)</w:t>
      </w:r>
      <w:r>
        <w:rPr>
          <w:rFonts w:hint="cs"/>
          <w:rtl/>
        </w:rPr>
        <w:tab/>
        <w:t>على أنه إذا كان ارتكاب الجريمة المنصوص عليها في هذه المادة تنطوي على اختطاف الضحية أو احتجازها أو أي محاولة للقيام بذلك، يمكن أن تمتد فترة السجن إلى 14 سنة مع فرض الغرامة.</w:t>
      </w:r>
    </w:p>
    <w:p w:rsidR="00DD6BA5" w:rsidRDefault="00DD6BA5" w:rsidP="00DD6BA5">
      <w:pPr>
        <w:pStyle w:val="SingleTxt"/>
        <w:rPr>
          <w:rFonts w:hint="cs"/>
          <w:rtl/>
        </w:rPr>
      </w:pPr>
      <w:r>
        <w:rPr>
          <w:rFonts w:hint="cs"/>
          <w:rtl/>
        </w:rPr>
        <w:t>96 -</w:t>
      </w:r>
      <w:r>
        <w:rPr>
          <w:rFonts w:hint="cs"/>
          <w:rtl/>
        </w:rPr>
        <w:tab/>
        <w:t>وينص المرسوم كذلك على معاقبة الجريمة التي تكون في مرحلة التخطيط ولم ترتكب بعد. كما ينص على تعويض الضحية بالشكل المناسب.</w:t>
      </w:r>
    </w:p>
    <w:p w:rsidR="00DD6BA5" w:rsidRPr="00DD6BA5" w:rsidRDefault="00DD6BA5" w:rsidP="00DD6BA5">
      <w:pPr>
        <w:pStyle w:val="SingleTxt"/>
        <w:spacing w:after="0" w:line="120" w:lineRule="exact"/>
        <w:rPr>
          <w:rFonts w:hint="cs"/>
          <w:sz w:val="10"/>
          <w:rtl/>
        </w:rPr>
      </w:pPr>
    </w:p>
    <w:p w:rsidR="00DD6BA5" w:rsidRDefault="00DD6BA5" w:rsidP="00DD6B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الحالة على أرض الواقع</w:t>
      </w:r>
    </w:p>
    <w:p w:rsidR="00DD6BA5" w:rsidRDefault="00DD6BA5" w:rsidP="00DD6BA5">
      <w:pPr>
        <w:pStyle w:val="SingleTxt"/>
        <w:rPr>
          <w:rFonts w:hint="cs"/>
          <w:rtl/>
        </w:rPr>
      </w:pPr>
      <w:r>
        <w:rPr>
          <w:rFonts w:hint="cs"/>
          <w:rtl/>
        </w:rPr>
        <w:t>97 -</w:t>
      </w:r>
      <w:r>
        <w:rPr>
          <w:rFonts w:hint="cs"/>
          <w:rtl/>
        </w:rPr>
        <w:tab/>
        <w:t>يمكن، بذلك، اعتبار أن الإطار الدستوري والتشريعي، الخاص بالاتجار بالأشخاص في باكستان ملائم.</w:t>
      </w:r>
    </w:p>
    <w:p w:rsidR="00DD6BA5" w:rsidRDefault="00DD6BA5" w:rsidP="00D42E69">
      <w:pPr>
        <w:pStyle w:val="SingleTxt"/>
        <w:rPr>
          <w:rFonts w:hint="cs"/>
          <w:rtl/>
        </w:rPr>
      </w:pPr>
      <w:r>
        <w:rPr>
          <w:rFonts w:hint="cs"/>
          <w:rtl/>
        </w:rPr>
        <w:t>98 -</w:t>
      </w:r>
      <w:r>
        <w:rPr>
          <w:rFonts w:hint="cs"/>
          <w:rtl/>
        </w:rPr>
        <w:tab/>
        <w:t xml:space="preserve">ويذكر أن باكستان، مصدر للأشخاص الخاضعين للاتجار ومقصد لهم وبلد </w:t>
      </w:r>
      <w:r w:rsidR="00D42E69">
        <w:rPr>
          <w:rFonts w:hint="cs"/>
          <w:rtl/>
        </w:rPr>
        <w:t>مر</w:t>
      </w:r>
      <w:r>
        <w:rPr>
          <w:rFonts w:hint="cs"/>
          <w:rtl/>
        </w:rPr>
        <w:t xml:space="preserve">ور عابر لهم، </w:t>
      </w:r>
      <w:r w:rsidR="009825FF">
        <w:rPr>
          <w:rFonts w:hint="cs"/>
          <w:rtl/>
        </w:rPr>
        <w:t xml:space="preserve">ومن المؤسف أن هناك اختلافات واسعة النطاق، في الآراء، بشأن نطاق هذه المشكلة. وتقدر بعض المنظمات غير الحكومية أن نحو 000 200 شخص، أغلبهم من النساء، يتم الاتجار بهم داخل باكستان. وتتراوح التقديرات الخاصة بالأشخاص الذين يجري تهريبهم عبر الحدود، في أنحاء العالم، بين 000 800 شخصا وحوالي 2 مليون شخص. وحتى لو أخذنا رقم 2 مليون على أنه العدد المقبول، فليس من المعقول، على ما يبدو، أن تكون باكستان وحدها </w:t>
      </w:r>
      <w:proofErr w:type="spellStart"/>
      <w:r w:rsidR="009825FF">
        <w:rPr>
          <w:rFonts w:hint="cs"/>
          <w:rtl/>
        </w:rPr>
        <w:t>مسؤولة</w:t>
      </w:r>
      <w:proofErr w:type="spellEnd"/>
      <w:r w:rsidR="009825FF">
        <w:rPr>
          <w:rFonts w:hint="cs"/>
          <w:rtl/>
        </w:rPr>
        <w:t xml:space="preserve"> عن 10 في المائة من المشكلة العالمية.</w:t>
      </w:r>
    </w:p>
    <w:p w:rsidR="009825FF" w:rsidRDefault="009825FF" w:rsidP="0018681A">
      <w:pPr>
        <w:pStyle w:val="SingleTxt"/>
        <w:rPr>
          <w:rFonts w:hint="cs"/>
          <w:rtl/>
        </w:rPr>
      </w:pPr>
      <w:r>
        <w:rPr>
          <w:rFonts w:hint="cs"/>
          <w:rtl/>
        </w:rPr>
        <w:t>99 -</w:t>
      </w:r>
      <w:r>
        <w:rPr>
          <w:rFonts w:hint="cs"/>
          <w:rtl/>
        </w:rPr>
        <w:tab/>
        <w:t>وقد أرسلت وزارة تنمية المرأة استبيانا مفصلا إلى جميع الحكومات المحلية في المقاطعات لتصديره إلى جميع السجون في باكستان، بحثا عن معلومات عن عدد النساء المحتجزات بموجب قانون الأجانب أو بموجب أي قانون آخر متصل بالاتجار. وأوضحت الإجا</w:t>
      </w:r>
      <w:r w:rsidR="0018681A">
        <w:rPr>
          <w:rFonts w:hint="cs"/>
          <w:rtl/>
        </w:rPr>
        <w:t>ب</w:t>
      </w:r>
      <w:r>
        <w:rPr>
          <w:rFonts w:hint="cs"/>
          <w:rtl/>
        </w:rPr>
        <w:t>ات الأولية المقدمة أن هناك عددا قليلا جدا من النساء اللاتي تم الاتجار بهن في السجون الباكستانية.</w:t>
      </w:r>
    </w:p>
    <w:p w:rsidR="009825FF" w:rsidRDefault="009825FF" w:rsidP="009825FF">
      <w:pPr>
        <w:pStyle w:val="SingleTxt"/>
        <w:rPr>
          <w:rFonts w:hint="cs"/>
          <w:rtl/>
        </w:rPr>
      </w:pPr>
      <w:r>
        <w:rPr>
          <w:rFonts w:hint="cs"/>
          <w:rtl/>
        </w:rPr>
        <w:t>100-</w:t>
      </w:r>
      <w:r>
        <w:rPr>
          <w:rFonts w:hint="cs"/>
          <w:rtl/>
        </w:rPr>
        <w:tab/>
        <w:t>وبذلك، يبدو أن الأشخاص الذين يتم الاتجار بهم والقادمين إلى باكستان يختفون بين السكان. ومن الصعب اقتفاء أثر هؤلاء الأشخاص رسميا والاحتفاظ بسجلات دقيقة لهم.</w:t>
      </w:r>
    </w:p>
    <w:p w:rsidR="009825FF" w:rsidRPr="009825FF" w:rsidRDefault="009825FF" w:rsidP="009825FF">
      <w:pPr>
        <w:pStyle w:val="SingleTxt"/>
        <w:spacing w:after="0" w:line="120" w:lineRule="exact"/>
        <w:rPr>
          <w:rFonts w:hint="cs"/>
          <w:sz w:val="10"/>
          <w:rtl/>
        </w:rPr>
      </w:pPr>
    </w:p>
    <w:p w:rsidR="009825FF" w:rsidRDefault="009825FF" w:rsidP="009825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الوقائية المتخذة لكبح الاتجار</w:t>
      </w:r>
    </w:p>
    <w:p w:rsidR="009825FF" w:rsidRDefault="009825FF" w:rsidP="009825FF">
      <w:pPr>
        <w:pStyle w:val="SingleTxt"/>
        <w:rPr>
          <w:rFonts w:hint="cs"/>
          <w:rtl/>
        </w:rPr>
      </w:pPr>
      <w:r>
        <w:rPr>
          <w:rFonts w:hint="cs"/>
          <w:rtl/>
        </w:rPr>
        <w:t>101-</w:t>
      </w:r>
      <w:r>
        <w:rPr>
          <w:rFonts w:hint="cs"/>
          <w:rtl/>
        </w:rPr>
        <w:tab/>
        <w:t xml:space="preserve">بعد صدور القانون، عينت وكالة التحقيقات الاتحادية بوصفها الوكالة التنفيذية لحكومة باكستان. وقامت الوكالة بعدة حملات، خاصة في منطقة </w:t>
      </w:r>
      <w:proofErr w:type="spellStart"/>
      <w:r>
        <w:rPr>
          <w:rFonts w:hint="cs"/>
          <w:rtl/>
        </w:rPr>
        <w:t>ماندي</w:t>
      </w:r>
      <w:proofErr w:type="spellEnd"/>
      <w:r>
        <w:rPr>
          <w:rFonts w:hint="cs"/>
          <w:rtl/>
        </w:rPr>
        <w:t xml:space="preserve"> بهاء الدين (في بنجاب) عند وكلاء السياحة عديمي الضمير الذين يساعدون في إيفاد الأشخاص إلى الخارج بناء على وثائق مزورة.</w:t>
      </w:r>
    </w:p>
    <w:p w:rsidR="009825FF" w:rsidRDefault="009825FF" w:rsidP="009825FF">
      <w:pPr>
        <w:pStyle w:val="SingleTxt"/>
        <w:rPr>
          <w:rFonts w:hint="cs"/>
          <w:rtl/>
        </w:rPr>
      </w:pPr>
      <w:r>
        <w:rPr>
          <w:rFonts w:hint="cs"/>
          <w:rtl/>
        </w:rPr>
        <w:t>102-</w:t>
      </w:r>
      <w:r>
        <w:rPr>
          <w:rFonts w:hint="cs"/>
          <w:rtl/>
        </w:rPr>
        <w:tab/>
        <w:t>وتشمل التدابير الأخرى المتخذة لمكافحة الاتجار بالبشر ما يلي:</w:t>
      </w:r>
    </w:p>
    <w:p w:rsidR="009825FF" w:rsidRDefault="009825FF" w:rsidP="00D42E69">
      <w:pPr>
        <w:pStyle w:val="SingleTxt"/>
        <w:rPr>
          <w:rFonts w:hint="cs"/>
          <w:rtl/>
        </w:rPr>
      </w:pPr>
      <w:r>
        <w:rPr>
          <w:rFonts w:hint="cs"/>
          <w:rtl/>
        </w:rPr>
        <w:tab/>
        <w:t>(أ)</w:t>
      </w:r>
      <w:r>
        <w:rPr>
          <w:rFonts w:hint="cs"/>
          <w:rtl/>
        </w:rPr>
        <w:tab/>
        <w:t>هناك مراكز لوكالة التحقيقات الاتحادية في جميع الموانئ الجوية ولا يسمح بركوب الطائرات إلا للمسافرين حملة الوثائق السليمة. بالإضافة إلى ذلك بدأت الهيئة الوطنية لتسجيل الأجانب التابعة لوزارة الداخلية في تحديد عدد الأجانب الموجود</w:t>
      </w:r>
      <w:r w:rsidR="00D42E69">
        <w:rPr>
          <w:rFonts w:hint="cs"/>
          <w:rtl/>
        </w:rPr>
        <w:t>ين</w:t>
      </w:r>
      <w:r>
        <w:rPr>
          <w:rFonts w:hint="cs"/>
          <w:rtl/>
        </w:rPr>
        <w:t xml:space="preserve"> بصورة غير قانونية في باكستان وتسجيلهم.</w:t>
      </w:r>
    </w:p>
    <w:p w:rsidR="009825FF" w:rsidRDefault="009825FF" w:rsidP="009825FF">
      <w:pPr>
        <w:pStyle w:val="SingleTxt"/>
        <w:rPr>
          <w:rFonts w:hint="cs"/>
          <w:rtl/>
        </w:rPr>
      </w:pPr>
      <w:r>
        <w:rPr>
          <w:rFonts w:hint="cs"/>
          <w:rtl/>
        </w:rPr>
        <w:tab/>
        <w:t>(ب)</w:t>
      </w:r>
      <w:r>
        <w:rPr>
          <w:rFonts w:hint="cs"/>
          <w:rtl/>
        </w:rPr>
        <w:tab/>
        <w:t>انتهى وضع قاعدة بيانات لجميع البالغين من مواطني باكستان. وتقوم الهيئة الوطنية لتسجيل الأجانب بإصدار بطاقات الهوية الوطنية الحاسوبية لجميع المواطنين البالغين في باكستان. وتحدد الشروط الخاصة بهذه البطاقات الحاسوبية بشكل يتعذر معه على الأجانب غير القانونيين الوفاء بها وبذلك يتم التعرف عليهم تلقائيا. وستتم مساعدة ضحايا الاتجار على العودة إلى بلدانهم الأصلية، بعد ذلك.</w:t>
      </w:r>
    </w:p>
    <w:p w:rsidR="009825FF" w:rsidRDefault="009825FF" w:rsidP="0018681A">
      <w:pPr>
        <w:pStyle w:val="SingleTxt"/>
        <w:rPr>
          <w:rFonts w:hint="cs"/>
          <w:rtl/>
        </w:rPr>
      </w:pPr>
      <w:r>
        <w:rPr>
          <w:rFonts w:hint="cs"/>
          <w:rtl/>
        </w:rPr>
        <w:tab/>
        <w:t>(ج)</w:t>
      </w:r>
      <w:r>
        <w:rPr>
          <w:rFonts w:hint="cs"/>
          <w:rtl/>
        </w:rPr>
        <w:tab/>
        <w:t>أنشئت نقاط تفتيش في مناطق الحدود لكبح الدخول إلى باكستان بشكل غير قانو</w:t>
      </w:r>
      <w:r w:rsidR="0018681A">
        <w:rPr>
          <w:rFonts w:hint="cs"/>
          <w:rtl/>
        </w:rPr>
        <w:t>ن</w:t>
      </w:r>
      <w:r>
        <w:rPr>
          <w:rFonts w:hint="cs"/>
          <w:rtl/>
        </w:rPr>
        <w:t>ي.</w:t>
      </w:r>
    </w:p>
    <w:p w:rsidR="009825FF" w:rsidRDefault="009825FF" w:rsidP="009825FF">
      <w:pPr>
        <w:pStyle w:val="SingleTxt"/>
        <w:rPr>
          <w:rFonts w:hint="cs"/>
          <w:rtl/>
        </w:rPr>
      </w:pPr>
      <w:r>
        <w:rPr>
          <w:rFonts w:hint="cs"/>
          <w:rtl/>
        </w:rPr>
        <w:tab/>
        <w:t>(د)</w:t>
      </w:r>
      <w:r>
        <w:rPr>
          <w:rFonts w:hint="cs"/>
          <w:rtl/>
        </w:rPr>
        <w:tab/>
        <w:t xml:space="preserve">أقامت الحكومة ثلاثة مراكز للأزمات في </w:t>
      </w:r>
      <w:proofErr w:type="spellStart"/>
      <w:r>
        <w:rPr>
          <w:rFonts w:hint="cs"/>
          <w:rtl/>
        </w:rPr>
        <w:t>فيهاري</w:t>
      </w:r>
      <w:proofErr w:type="spellEnd"/>
      <w:r>
        <w:rPr>
          <w:rFonts w:hint="cs"/>
          <w:rtl/>
        </w:rPr>
        <w:t xml:space="preserve"> </w:t>
      </w:r>
      <w:proofErr w:type="spellStart"/>
      <w:r>
        <w:rPr>
          <w:rFonts w:hint="cs"/>
          <w:rtl/>
        </w:rPr>
        <w:t>وساهيوال</w:t>
      </w:r>
      <w:proofErr w:type="spellEnd"/>
      <w:r>
        <w:rPr>
          <w:rFonts w:hint="cs"/>
          <w:rtl/>
        </w:rPr>
        <w:t xml:space="preserve"> وإسلام أباد لمساعدة النساء والأطفال الذين في محنة. وتعمل على تمديد هذه الخدمات بحيث تشمل النساء والأطفال ضحايا الاتجار. ويجري أيضا زيادة عدد هذه المراكز إلى 10. وستكون المراكز السبعة الإضافية في كاراتشي </w:t>
      </w:r>
      <w:proofErr w:type="spellStart"/>
      <w:r>
        <w:rPr>
          <w:rFonts w:hint="cs"/>
          <w:rtl/>
        </w:rPr>
        <w:t>وميافوالي</w:t>
      </w:r>
      <w:proofErr w:type="spellEnd"/>
      <w:r>
        <w:rPr>
          <w:rFonts w:hint="cs"/>
          <w:rtl/>
        </w:rPr>
        <w:t xml:space="preserve"> </w:t>
      </w:r>
      <w:proofErr w:type="spellStart"/>
      <w:r>
        <w:rPr>
          <w:rFonts w:hint="cs"/>
          <w:rtl/>
        </w:rPr>
        <w:t>وكوهات</w:t>
      </w:r>
      <w:proofErr w:type="spellEnd"/>
      <w:r>
        <w:rPr>
          <w:rFonts w:hint="cs"/>
          <w:rtl/>
        </w:rPr>
        <w:t xml:space="preserve"> </w:t>
      </w:r>
      <w:proofErr w:type="spellStart"/>
      <w:r>
        <w:rPr>
          <w:rFonts w:hint="cs"/>
          <w:rtl/>
        </w:rPr>
        <w:t>وراولبندي</w:t>
      </w:r>
      <w:proofErr w:type="spellEnd"/>
      <w:r>
        <w:rPr>
          <w:rFonts w:hint="cs"/>
          <w:rtl/>
        </w:rPr>
        <w:t xml:space="preserve"> وكيتا </w:t>
      </w:r>
      <w:proofErr w:type="spellStart"/>
      <w:r>
        <w:rPr>
          <w:rFonts w:hint="cs"/>
          <w:rtl/>
        </w:rPr>
        <w:t>وبيشاور</w:t>
      </w:r>
      <w:proofErr w:type="spellEnd"/>
      <w:r>
        <w:rPr>
          <w:rFonts w:hint="cs"/>
          <w:rtl/>
        </w:rPr>
        <w:t xml:space="preserve"> ولاهور. ومن المنتظر تشغيلها بحلول 30 حزيران/يونيه 2005.</w:t>
      </w:r>
    </w:p>
    <w:p w:rsidR="009825FF" w:rsidRPr="009825FF" w:rsidRDefault="009825FF" w:rsidP="009825FF">
      <w:pPr>
        <w:pStyle w:val="SingleTxt"/>
        <w:spacing w:after="0" w:line="120" w:lineRule="exact"/>
        <w:rPr>
          <w:rFonts w:hint="cs"/>
          <w:sz w:val="10"/>
          <w:rtl/>
        </w:rPr>
      </w:pPr>
    </w:p>
    <w:p w:rsidR="009825FF" w:rsidRDefault="009825FF" w:rsidP="009825F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السابع</w:t>
      </w:r>
    </w:p>
    <w:p w:rsidR="009825FF" w:rsidRDefault="00597152" w:rsidP="009825F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9825FF">
        <w:rPr>
          <w:rFonts w:hint="cs"/>
          <w:rtl/>
        </w:rPr>
        <w:t>المادة 7</w:t>
      </w:r>
    </w:p>
    <w:p w:rsidR="009825FF" w:rsidRDefault="00597152" w:rsidP="009825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825FF">
        <w:rPr>
          <w:rFonts w:hint="cs"/>
          <w:rtl/>
        </w:rPr>
        <w:t>(الحقوق السياسية للمرأة)</w:t>
      </w:r>
    </w:p>
    <w:p w:rsidR="009825FF" w:rsidRDefault="00597152" w:rsidP="009825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825FF">
        <w:rPr>
          <w:rFonts w:hint="cs"/>
          <w:rtl/>
        </w:rPr>
        <w:t>الإطار الدستوري والتشريعي</w:t>
      </w:r>
    </w:p>
    <w:p w:rsidR="009825FF" w:rsidRDefault="00597152" w:rsidP="009825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825FF">
        <w:rPr>
          <w:rFonts w:hint="cs"/>
          <w:rtl/>
        </w:rPr>
        <w:t>المعايير المطلوبة في الناخبين والمرشحين</w:t>
      </w:r>
    </w:p>
    <w:p w:rsidR="009825FF" w:rsidRDefault="009825FF" w:rsidP="009825FF">
      <w:pPr>
        <w:pStyle w:val="SingleTxt"/>
        <w:rPr>
          <w:rFonts w:hint="cs"/>
          <w:rtl/>
        </w:rPr>
      </w:pPr>
      <w:r>
        <w:rPr>
          <w:rFonts w:hint="cs"/>
          <w:rtl/>
        </w:rPr>
        <w:t>103-</w:t>
      </w:r>
      <w:r>
        <w:rPr>
          <w:rFonts w:hint="cs"/>
          <w:rtl/>
        </w:rPr>
        <w:tab/>
        <w:t>تحدد المادتان 51 (2) و 106 (2) من الدستور المعايير المطلوبة في الناخب بالنسبة للجمعية الوطنية والجمعيات الإقليمية. وترد المعايير الخاصة بانتخاب أعضاء الجمعية الوطنية في المادة 62 من الدستور، وترد معايير التجريد من الأهلية في المادة 63. وتنطبق المعايير الواردة في المادة 62 على مجلس الشيوخ أيضا. وتعتبر المادتان خاليتان تماما من التمييز.</w:t>
      </w:r>
    </w:p>
    <w:p w:rsidR="009825FF" w:rsidRDefault="009825FF" w:rsidP="009825FF">
      <w:pPr>
        <w:pStyle w:val="SingleTxt"/>
        <w:rPr>
          <w:rFonts w:hint="cs"/>
          <w:rtl/>
        </w:rPr>
      </w:pPr>
      <w:r>
        <w:rPr>
          <w:rFonts w:hint="cs"/>
          <w:rtl/>
        </w:rPr>
        <w:t>104-</w:t>
      </w:r>
      <w:r>
        <w:rPr>
          <w:rFonts w:hint="cs"/>
          <w:rtl/>
        </w:rPr>
        <w:tab/>
        <w:t>وقد وردت المعايير الخاصة برئيس جمهورية باكستان في المادة 41. ولا يوجد حظر على انتخاب المرأة رئيسة للجمهورية، في هذه المادة أيضا. بيد أن المادة 41 تشترط أن يكون الرئيس مسلما وأن يزيد سنه عن 45 سنة.</w:t>
      </w:r>
    </w:p>
    <w:p w:rsidR="009825FF" w:rsidRDefault="009825FF" w:rsidP="009825FF">
      <w:pPr>
        <w:pStyle w:val="SingleTxt"/>
        <w:rPr>
          <w:rFonts w:hint="cs"/>
          <w:rtl/>
        </w:rPr>
      </w:pPr>
      <w:r>
        <w:rPr>
          <w:rFonts w:hint="cs"/>
          <w:rtl/>
        </w:rPr>
        <w:t>105-</w:t>
      </w:r>
      <w:r>
        <w:rPr>
          <w:rFonts w:hint="cs"/>
          <w:rtl/>
        </w:rPr>
        <w:tab/>
      </w:r>
      <w:r w:rsidR="003F5D8D">
        <w:rPr>
          <w:rFonts w:hint="cs"/>
          <w:rtl/>
        </w:rPr>
        <w:t>والمعايير المطلوبة لانتخاب رئيس الجمهورية هي نفس المعايير المطلوبة في أعضاء الجمعية الوطنية. وترد الإجراءات المتبعة لانتخاب رئيس الوزراء في المادة 91. وهنا أيضا لا</w:t>
      </w:r>
      <w:r w:rsidR="00784580">
        <w:rPr>
          <w:rFonts w:hint="eastAsia"/>
          <w:rtl/>
        </w:rPr>
        <w:t> </w:t>
      </w:r>
      <w:r w:rsidR="003F5D8D">
        <w:rPr>
          <w:rFonts w:hint="cs"/>
          <w:rtl/>
        </w:rPr>
        <w:t xml:space="preserve">يوجد حاجز يمنع المرأة من أن تصبح رئيسة للوزراء في باكستان. فقد كان هذا البلد أول </w:t>
      </w:r>
      <w:r w:rsidR="00784580">
        <w:rPr>
          <w:rFonts w:hint="cs"/>
          <w:rtl/>
        </w:rPr>
        <w:t>بلد إسلامي ينتخب امرأة رئيسة للوزراء، في الممارسة.</w:t>
      </w:r>
    </w:p>
    <w:p w:rsidR="00784580" w:rsidRDefault="00784580" w:rsidP="00597152">
      <w:pPr>
        <w:pStyle w:val="SingleTxt"/>
        <w:rPr>
          <w:rFonts w:hint="cs"/>
          <w:rtl/>
        </w:rPr>
      </w:pPr>
      <w:r>
        <w:rPr>
          <w:rFonts w:hint="cs"/>
          <w:rtl/>
        </w:rPr>
        <w:t>106-</w:t>
      </w:r>
      <w:r>
        <w:rPr>
          <w:rFonts w:hint="cs"/>
          <w:rtl/>
        </w:rPr>
        <w:tab/>
        <w:t xml:space="preserve">وتبين المادة 51 من الدستور تكوين الجمعية الوطنية وقوامها. وكانت تتألف من 207 أعضاء حتى سنة 2002، منهم 10 أعضاء مسلمين، و 10 أعضاء منتخبين من مجتمعات الأقليات و 20 عضوة. وسقطت مدة المقاعد </w:t>
      </w:r>
      <w:proofErr w:type="spellStart"/>
      <w:r>
        <w:rPr>
          <w:rFonts w:hint="cs"/>
          <w:rtl/>
        </w:rPr>
        <w:t>الـ</w:t>
      </w:r>
      <w:proofErr w:type="spellEnd"/>
      <w:r>
        <w:rPr>
          <w:rFonts w:hint="cs"/>
          <w:rtl/>
        </w:rPr>
        <w:t xml:space="preserve"> 20 المحجوزة للمرأة بعد الانتخابات العامة الثالثة المعقودة في سنة 1988 منذ بدء تنفيذ الدستور. ومع ذلك كانت المرأة مؤهلة للترشيح </w:t>
      </w:r>
      <w:r w:rsidR="00597152">
        <w:rPr>
          <w:rFonts w:hint="cs"/>
          <w:rtl/>
        </w:rPr>
        <w:t>ل</w:t>
      </w:r>
      <w:r>
        <w:rPr>
          <w:rFonts w:hint="cs"/>
          <w:rtl/>
        </w:rPr>
        <w:t>لمقاعد العامة. وقد تم تعديل المادة 51 بعد ذلك بموجب الأمر القانوني الإطاري الصادر في تشرين الأول/أكتوبر 2002. وزاد قوام الجمعية الوطنية إلى 342 مقعدا، منها 60 محجوزة للمرأة.</w:t>
      </w:r>
    </w:p>
    <w:p w:rsidR="00784580" w:rsidRDefault="00784580" w:rsidP="00597152">
      <w:pPr>
        <w:pStyle w:val="SingleTxt"/>
        <w:rPr>
          <w:rFonts w:hint="cs"/>
          <w:rtl/>
        </w:rPr>
      </w:pPr>
      <w:r>
        <w:rPr>
          <w:rFonts w:hint="cs"/>
          <w:rtl/>
        </w:rPr>
        <w:t>107-</w:t>
      </w:r>
      <w:r>
        <w:rPr>
          <w:rFonts w:hint="cs"/>
          <w:rtl/>
        </w:rPr>
        <w:tab/>
        <w:t>ويرد تشكيل مجلس الشيوخ وقوامه في المادة 59 من الدستور. ولم تكن هناك مقاعد محجوزة للمرأة في مجلس الشيوخ حتى سنة 2002. ولكن تم تعديل ا</w:t>
      </w:r>
      <w:r w:rsidR="00597152">
        <w:rPr>
          <w:rFonts w:hint="cs"/>
          <w:rtl/>
        </w:rPr>
        <w:t>ل</w:t>
      </w:r>
      <w:r>
        <w:rPr>
          <w:rFonts w:hint="cs"/>
          <w:rtl/>
        </w:rPr>
        <w:t>مادة 59 بموجب الأمر القانوني الإطاري أيضا وزاد قوام مجلس الشيوخ من 87 إلى 100 مقعد. وهناك 17 مقعدا محجوزة للمرأة، في الوقت الحالي.</w:t>
      </w:r>
    </w:p>
    <w:p w:rsidR="00784580" w:rsidRDefault="00784580" w:rsidP="00784580">
      <w:pPr>
        <w:pStyle w:val="SingleTxt"/>
        <w:rPr>
          <w:rFonts w:hint="cs"/>
          <w:rtl/>
        </w:rPr>
      </w:pPr>
      <w:r>
        <w:rPr>
          <w:rFonts w:hint="cs"/>
          <w:rtl/>
        </w:rPr>
        <w:t>108-</w:t>
      </w:r>
      <w:r>
        <w:rPr>
          <w:rFonts w:hint="cs"/>
          <w:rtl/>
        </w:rPr>
        <w:tab/>
        <w:t xml:space="preserve">وتنظم المادة 106 من الدستور قوام الجمعيات الإقليمية وتشكيلها. وكان هناك 23 مقعدا محجوزة للمرأة في الجمعيات الإقليمية، مع 12 مقعدا في جمعية مقاطعة بنجاب، و 5 مقاعد في جمعية مقاطعة السند، و 4 مقاعد في جمعية مقاطعة الحدود الشمالية الغربية، ومقعدان في جمعية مقاطعة </w:t>
      </w:r>
      <w:proofErr w:type="spellStart"/>
      <w:r>
        <w:rPr>
          <w:rFonts w:hint="cs"/>
          <w:rtl/>
        </w:rPr>
        <w:t>بالوشستان</w:t>
      </w:r>
      <w:proofErr w:type="spellEnd"/>
      <w:r>
        <w:rPr>
          <w:rFonts w:hint="cs"/>
          <w:rtl/>
        </w:rPr>
        <w:t>، حتى صدور الأمر القانوني الإطاري. بيد أن عدد المقاعد المحجوزة للمرأة زاد إلى 128 مقعدا من مجموع 728، بموجب التعديلات التي أدخلت على المادة 106 من خلال الأمر القانوني الإطاري. وتبلغ النسبة المئوية للمقاعد المحجوزة للمرأة في مجلس الشيوخ والجمعية الوطنية والجمعيات الإقليمية نحو 17 في المائة.</w:t>
      </w:r>
    </w:p>
    <w:p w:rsidR="00784580" w:rsidRDefault="00784580" w:rsidP="00D42E69">
      <w:pPr>
        <w:pStyle w:val="SingleTxt"/>
        <w:rPr>
          <w:rFonts w:hint="cs"/>
          <w:rtl/>
        </w:rPr>
      </w:pPr>
      <w:r>
        <w:rPr>
          <w:rFonts w:hint="cs"/>
          <w:rtl/>
        </w:rPr>
        <w:t>109-</w:t>
      </w:r>
      <w:r>
        <w:rPr>
          <w:rFonts w:hint="cs"/>
          <w:rtl/>
        </w:rPr>
        <w:tab/>
        <w:t>ويرد أدناه عدد النساء ونسبته</w:t>
      </w:r>
      <w:r w:rsidR="00D42E69">
        <w:rPr>
          <w:rFonts w:hint="cs"/>
          <w:rtl/>
        </w:rPr>
        <w:t>ن</w:t>
      </w:r>
      <w:r>
        <w:rPr>
          <w:rFonts w:hint="cs"/>
          <w:rtl/>
        </w:rPr>
        <w:t xml:space="preserve"> حسبما يقتضيه الأمر القانوني الإطاري:</w:t>
      </w:r>
    </w:p>
    <w:p w:rsidR="00784580" w:rsidRPr="00784580" w:rsidRDefault="00784580" w:rsidP="00784580">
      <w:pPr>
        <w:pStyle w:val="SingleTxt"/>
        <w:spacing w:after="0" w:line="120" w:lineRule="exact"/>
        <w:rPr>
          <w:rFonts w:hint="cs"/>
          <w:sz w:val="10"/>
          <w:rtl/>
        </w:rPr>
      </w:pPr>
    </w:p>
    <w:p w:rsidR="00784580" w:rsidRDefault="00784580" w:rsidP="00784580">
      <w:pPr>
        <w:pStyle w:val="SingleTxt"/>
        <w:spacing w:after="0"/>
        <w:rPr>
          <w:rFonts w:hint="cs"/>
          <w:rtl/>
        </w:rPr>
      </w:pPr>
      <w:r>
        <w:rPr>
          <w:rFonts w:hint="cs"/>
          <w:rtl/>
        </w:rPr>
        <w:t>الجدول 7-1</w:t>
      </w:r>
    </w:p>
    <w:p w:rsidR="00784580" w:rsidRDefault="00784580" w:rsidP="00784580">
      <w:pPr>
        <w:pStyle w:val="SingleTxt"/>
        <w:rPr>
          <w:rFonts w:hint="cs"/>
          <w:b/>
          <w:bCs/>
          <w:rtl/>
        </w:rPr>
      </w:pPr>
      <w:r w:rsidRPr="00784580">
        <w:rPr>
          <w:rFonts w:hint="cs"/>
          <w:b/>
          <w:bCs/>
          <w:rtl/>
        </w:rPr>
        <w:t>الموقف التشريعي الخاص بتمثيل المرأة</w:t>
      </w:r>
    </w:p>
    <w:p w:rsidR="00597152" w:rsidRPr="00597152" w:rsidRDefault="00597152" w:rsidP="00597152">
      <w:pPr>
        <w:pStyle w:val="SingleTxt"/>
        <w:spacing w:after="0" w:line="120" w:lineRule="exact"/>
        <w:rPr>
          <w:rFonts w:hint="cs"/>
          <w:sz w:val="10"/>
          <w:rtl/>
        </w:rPr>
      </w:pPr>
    </w:p>
    <w:tbl>
      <w:tblPr>
        <w:bidiVisual/>
        <w:tblW w:w="7320" w:type="dxa"/>
        <w:jc w:val="center"/>
        <w:tblLayout w:type="fixed"/>
        <w:tblCellMar>
          <w:left w:w="0" w:type="dxa"/>
          <w:right w:w="0" w:type="dxa"/>
        </w:tblCellMar>
        <w:tblLook w:val="0000" w:firstRow="0" w:lastRow="0" w:firstColumn="0" w:lastColumn="0" w:noHBand="0" w:noVBand="0"/>
      </w:tblPr>
      <w:tblGrid>
        <w:gridCol w:w="3225"/>
        <w:gridCol w:w="1280"/>
        <w:gridCol w:w="1200"/>
        <w:gridCol w:w="800"/>
        <w:gridCol w:w="815"/>
      </w:tblGrid>
      <w:tr w:rsidR="00662916" w:rsidRPr="0053451E">
        <w:tblPrEx>
          <w:tblCellMar>
            <w:top w:w="0" w:type="dxa"/>
            <w:bottom w:w="0" w:type="dxa"/>
          </w:tblCellMar>
        </w:tblPrEx>
        <w:trPr>
          <w:cantSplit/>
          <w:tblHeader/>
          <w:jc w:val="center"/>
        </w:trPr>
        <w:tc>
          <w:tcPr>
            <w:tcW w:w="3225" w:type="dxa"/>
            <w:tcBorders>
              <w:top w:val="single" w:sz="4" w:space="0" w:color="auto"/>
            </w:tcBorders>
            <w:shd w:val="clear" w:color="auto" w:fill="auto"/>
            <w:vAlign w:val="bottom"/>
          </w:tcPr>
          <w:p w:rsidR="00662916" w:rsidRPr="0053451E" w:rsidRDefault="00662916" w:rsidP="0053451E">
            <w:pPr>
              <w:tabs>
                <w:tab w:val="left" w:pos="288"/>
                <w:tab w:val="left" w:pos="576"/>
                <w:tab w:val="left" w:pos="864"/>
                <w:tab w:val="left" w:pos="1152"/>
              </w:tabs>
              <w:spacing w:before="80" w:after="80" w:line="240" w:lineRule="exact"/>
              <w:ind w:left="72" w:right="72"/>
              <w:rPr>
                <w:rFonts w:hint="cs"/>
                <w:i/>
                <w:iCs/>
                <w:sz w:val="16"/>
                <w:szCs w:val="24"/>
                <w:rtl/>
              </w:rPr>
            </w:pPr>
          </w:p>
        </w:tc>
        <w:tc>
          <w:tcPr>
            <w:tcW w:w="1280" w:type="dxa"/>
            <w:vMerge w:val="restart"/>
            <w:tcBorders>
              <w:top w:val="single" w:sz="4" w:space="0" w:color="auto"/>
            </w:tcBorders>
            <w:shd w:val="clear" w:color="auto" w:fill="auto"/>
            <w:vAlign w:val="bottom"/>
          </w:tcPr>
          <w:p w:rsidR="00662916" w:rsidRPr="0053451E" w:rsidRDefault="00662916" w:rsidP="0053451E">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المقاعد المحجوزة للمرأة في مجلس الشيوخ (المجلس الأعلى) المجموع (100)</w:t>
            </w:r>
          </w:p>
        </w:tc>
        <w:tc>
          <w:tcPr>
            <w:tcW w:w="1200" w:type="dxa"/>
            <w:vMerge w:val="restart"/>
            <w:tcBorders>
              <w:top w:val="single" w:sz="4" w:space="0" w:color="auto"/>
            </w:tcBorders>
            <w:shd w:val="clear" w:color="auto" w:fill="auto"/>
            <w:vAlign w:val="bottom"/>
          </w:tcPr>
          <w:p w:rsidR="00662916" w:rsidRPr="0053451E" w:rsidRDefault="00662916" w:rsidP="0053451E">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المقاعد المحجوزة للمرأة في الجمعية الوطنية (المجلس الأدنى) المجموع (342)</w:t>
            </w:r>
          </w:p>
        </w:tc>
        <w:tc>
          <w:tcPr>
            <w:tcW w:w="1615" w:type="dxa"/>
            <w:gridSpan w:val="2"/>
            <w:tcBorders>
              <w:top w:val="single" w:sz="4" w:space="0" w:color="auto"/>
              <w:bottom w:val="single" w:sz="4" w:space="0" w:color="auto"/>
            </w:tcBorders>
            <w:shd w:val="clear" w:color="auto" w:fill="auto"/>
            <w:vAlign w:val="bottom"/>
          </w:tcPr>
          <w:p w:rsidR="00662916" w:rsidRPr="0053451E" w:rsidRDefault="00662916" w:rsidP="00F26544">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الجمعيات الإقليمية</w:t>
            </w:r>
          </w:p>
        </w:tc>
      </w:tr>
      <w:tr w:rsidR="00662916" w:rsidRPr="0053451E">
        <w:tblPrEx>
          <w:tblCellMar>
            <w:top w:w="0" w:type="dxa"/>
            <w:bottom w:w="0" w:type="dxa"/>
          </w:tblCellMar>
        </w:tblPrEx>
        <w:trPr>
          <w:cantSplit/>
          <w:tblHeader/>
          <w:jc w:val="center"/>
        </w:trPr>
        <w:tc>
          <w:tcPr>
            <w:tcW w:w="3225" w:type="dxa"/>
            <w:tcBorders>
              <w:bottom w:val="single" w:sz="12" w:space="0" w:color="auto"/>
            </w:tcBorders>
            <w:shd w:val="clear" w:color="auto" w:fill="auto"/>
            <w:vAlign w:val="bottom"/>
          </w:tcPr>
          <w:p w:rsidR="00662916" w:rsidRPr="0053451E" w:rsidRDefault="00662916" w:rsidP="0053451E">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المقاطعات</w:t>
            </w:r>
          </w:p>
        </w:tc>
        <w:tc>
          <w:tcPr>
            <w:tcW w:w="1280" w:type="dxa"/>
            <w:vMerge/>
            <w:tcBorders>
              <w:bottom w:val="single" w:sz="12" w:space="0" w:color="auto"/>
            </w:tcBorders>
            <w:shd w:val="clear" w:color="auto" w:fill="auto"/>
            <w:vAlign w:val="bottom"/>
          </w:tcPr>
          <w:p w:rsidR="00662916" w:rsidRPr="0053451E" w:rsidRDefault="00662916" w:rsidP="0053451E">
            <w:pPr>
              <w:tabs>
                <w:tab w:val="left" w:pos="288"/>
                <w:tab w:val="left" w:pos="576"/>
                <w:tab w:val="left" w:pos="864"/>
                <w:tab w:val="left" w:pos="1152"/>
              </w:tabs>
              <w:spacing w:after="80" w:line="240" w:lineRule="exact"/>
              <w:ind w:left="72" w:right="72"/>
              <w:jc w:val="lowKashida"/>
              <w:rPr>
                <w:rFonts w:hint="cs"/>
                <w:i/>
                <w:iCs/>
                <w:sz w:val="16"/>
                <w:szCs w:val="24"/>
                <w:rtl/>
              </w:rPr>
            </w:pPr>
          </w:p>
        </w:tc>
        <w:tc>
          <w:tcPr>
            <w:tcW w:w="1200" w:type="dxa"/>
            <w:vMerge/>
            <w:tcBorders>
              <w:bottom w:val="single" w:sz="12" w:space="0" w:color="auto"/>
            </w:tcBorders>
            <w:shd w:val="clear" w:color="auto" w:fill="auto"/>
            <w:vAlign w:val="bottom"/>
          </w:tcPr>
          <w:p w:rsidR="00662916" w:rsidRPr="0053451E" w:rsidRDefault="00662916" w:rsidP="0053451E">
            <w:pPr>
              <w:tabs>
                <w:tab w:val="left" w:pos="288"/>
                <w:tab w:val="left" w:pos="576"/>
                <w:tab w:val="left" w:pos="864"/>
                <w:tab w:val="left" w:pos="1152"/>
              </w:tabs>
              <w:spacing w:after="80" w:line="240" w:lineRule="exact"/>
              <w:ind w:left="72" w:right="72"/>
              <w:jc w:val="lowKashida"/>
              <w:rPr>
                <w:rFonts w:hint="cs"/>
                <w:i/>
                <w:iCs/>
                <w:sz w:val="16"/>
                <w:szCs w:val="24"/>
                <w:rtl/>
              </w:rPr>
            </w:pPr>
          </w:p>
        </w:tc>
        <w:tc>
          <w:tcPr>
            <w:tcW w:w="800" w:type="dxa"/>
            <w:tcBorders>
              <w:top w:val="single" w:sz="4" w:space="0" w:color="auto"/>
              <w:bottom w:val="single" w:sz="12" w:space="0" w:color="auto"/>
            </w:tcBorders>
            <w:shd w:val="clear" w:color="auto" w:fill="auto"/>
            <w:vAlign w:val="bottom"/>
          </w:tcPr>
          <w:p w:rsidR="00662916" w:rsidRPr="0053451E" w:rsidRDefault="00662916" w:rsidP="0053451E">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المجموع</w:t>
            </w:r>
          </w:p>
        </w:tc>
        <w:tc>
          <w:tcPr>
            <w:tcW w:w="815" w:type="dxa"/>
            <w:tcBorders>
              <w:top w:val="single" w:sz="4" w:space="0" w:color="auto"/>
              <w:bottom w:val="single" w:sz="12" w:space="0" w:color="auto"/>
            </w:tcBorders>
            <w:shd w:val="clear" w:color="auto" w:fill="auto"/>
            <w:vAlign w:val="bottom"/>
          </w:tcPr>
          <w:p w:rsidR="00662916" w:rsidRPr="0053451E" w:rsidRDefault="00662916" w:rsidP="0053451E">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عدد المقاعد المحجوزة للمرأة</w:t>
            </w:r>
          </w:p>
        </w:tc>
      </w:tr>
      <w:tr w:rsidR="0053451E" w:rsidRPr="0053451E">
        <w:tblPrEx>
          <w:tblCellMar>
            <w:top w:w="0" w:type="dxa"/>
            <w:bottom w:w="0" w:type="dxa"/>
          </w:tblCellMar>
        </w:tblPrEx>
        <w:trPr>
          <w:cantSplit/>
          <w:trHeight w:hRule="exact" w:val="115"/>
          <w:tblHeader/>
          <w:jc w:val="center"/>
        </w:trPr>
        <w:tc>
          <w:tcPr>
            <w:tcW w:w="3225" w:type="dxa"/>
            <w:tcBorders>
              <w:top w:val="single" w:sz="12" w:space="0" w:color="auto"/>
            </w:tcBorders>
            <w:shd w:val="clear" w:color="auto" w:fill="auto"/>
            <w:vAlign w:val="bottom"/>
          </w:tcPr>
          <w:p w:rsidR="0053451E" w:rsidRPr="0053451E" w:rsidRDefault="0053451E" w:rsidP="0053451E">
            <w:pPr>
              <w:tabs>
                <w:tab w:val="left" w:pos="288"/>
                <w:tab w:val="left" w:pos="576"/>
                <w:tab w:val="left" w:pos="864"/>
                <w:tab w:val="left" w:pos="1152"/>
              </w:tabs>
              <w:spacing w:before="40" w:after="80" w:line="240" w:lineRule="exact"/>
              <w:ind w:left="72" w:right="72"/>
              <w:rPr>
                <w:rFonts w:hint="cs"/>
                <w:sz w:val="16"/>
                <w:szCs w:val="24"/>
                <w:rtl/>
              </w:rPr>
            </w:pPr>
          </w:p>
        </w:tc>
        <w:tc>
          <w:tcPr>
            <w:tcW w:w="1280" w:type="dxa"/>
            <w:tcBorders>
              <w:top w:val="single" w:sz="12" w:space="0" w:color="auto"/>
            </w:tcBorders>
            <w:shd w:val="clear" w:color="auto" w:fill="auto"/>
            <w:vAlign w:val="bottom"/>
          </w:tcPr>
          <w:p w:rsidR="0053451E" w:rsidRPr="0053451E" w:rsidRDefault="0053451E" w:rsidP="0053451E">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00" w:type="dxa"/>
            <w:tcBorders>
              <w:top w:val="single" w:sz="12" w:space="0" w:color="auto"/>
            </w:tcBorders>
            <w:shd w:val="clear" w:color="auto" w:fill="auto"/>
            <w:vAlign w:val="bottom"/>
          </w:tcPr>
          <w:p w:rsidR="0053451E" w:rsidRPr="0053451E" w:rsidRDefault="0053451E" w:rsidP="0053451E">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800" w:type="dxa"/>
            <w:tcBorders>
              <w:top w:val="single" w:sz="12" w:space="0" w:color="auto"/>
            </w:tcBorders>
            <w:shd w:val="clear" w:color="auto" w:fill="auto"/>
            <w:vAlign w:val="bottom"/>
          </w:tcPr>
          <w:p w:rsidR="0053451E" w:rsidRPr="0053451E" w:rsidRDefault="0053451E" w:rsidP="0053451E">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815" w:type="dxa"/>
            <w:tcBorders>
              <w:top w:val="single" w:sz="12" w:space="0" w:color="auto"/>
            </w:tcBorders>
            <w:shd w:val="clear" w:color="auto" w:fill="auto"/>
            <w:vAlign w:val="bottom"/>
          </w:tcPr>
          <w:p w:rsidR="0053451E" w:rsidRPr="0053451E" w:rsidRDefault="0053451E" w:rsidP="0053451E">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7759A9" w:rsidRPr="0053451E">
        <w:tblPrEx>
          <w:tblCellMar>
            <w:top w:w="0" w:type="dxa"/>
            <w:bottom w:w="0" w:type="dxa"/>
          </w:tblCellMar>
        </w:tblPrEx>
        <w:trPr>
          <w:cantSplit/>
          <w:jc w:val="center"/>
        </w:trPr>
        <w:tc>
          <w:tcPr>
            <w:tcW w:w="3225" w:type="dxa"/>
            <w:shd w:val="clear" w:color="auto" w:fill="auto"/>
            <w:vAlign w:val="bottom"/>
          </w:tcPr>
          <w:p w:rsidR="0053451E" w:rsidRPr="0053451E" w:rsidRDefault="000F22AC" w:rsidP="0053451E">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بنجاب</w:t>
            </w:r>
          </w:p>
        </w:tc>
        <w:tc>
          <w:tcPr>
            <w:tcW w:w="1280"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w:t>
            </w:r>
          </w:p>
        </w:tc>
        <w:tc>
          <w:tcPr>
            <w:tcW w:w="1200"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35</w:t>
            </w:r>
          </w:p>
        </w:tc>
        <w:tc>
          <w:tcPr>
            <w:tcW w:w="800"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371</w:t>
            </w:r>
          </w:p>
        </w:tc>
        <w:tc>
          <w:tcPr>
            <w:tcW w:w="815"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66</w:t>
            </w:r>
          </w:p>
        </w:tc>
      </w:tr>
      <w:tr w:rsidR="007759A9" w:rsidRPr="0053451E">
        <w:tblPrEx>
          <w:tblCellMar>
            <w:top w:w="0" w:type="dxa"/>
            <w:bottom w:w="0" w:type="dxa"/>
          </w:tblCellMar>
        </w:tblPrEx>
        <w:trPr>
          <w:cantSplit/>
          <w:jc w:val="center"/>
        </w:trPr>
        <w:tc>
          <w:tcPr>
            <w:tcW w:w="3225" w:type="dxa"/>
            <w:shd w:val="clear" w:color="auto" w:fill="auto"/>
            <w:vAlign w:val="bottom"/>
          </w:tcPr>
          <w:p w:rsidR="0053451E" w:rsidRPr="0053451E" w:rsidRDefault="000F22AC" w:rsidP="0053451E">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السند</w:t>
            </w:r>
          </w:p>
        </w:tc>
        <w:tc>
          <w:tcPr>
            <w:tcW w:w="1280"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w:t>
            </w:r>
          </w:p>
        </w:tc>
        <w:tc>
          <w:tcPr>
            <w:tcW w:w="1200"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14</w:t>
            </w:r>
          </w:p>
        </w:tc>
        <w:tc>
          <w:tcPr>
            <w:tcW w:w="800"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168</w:t>
            </w:r>
          </w:p>
        </w:tc>
        <w:tc>
          <w:tcPr>
            <w:tcW w:w="815"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29</w:t>
            </w:r>
          </w:p>
        </w:tc>
      </w:tr>
      <w:tr w:rsidR="007759A9" w:rsidRPr="0053451E">
        <w:tblPrEx>
          <w:tblCellMar>
            <w:top w:w="0" w:type="dxa"/>
            <w:bottom w:w="0" w:type="dxa"/>
          </w:tblCellMar>
        </w:tblPrEx>
        <w:trPr>
          <w:cantSplit/>
          <w:jc w:val="center"/>
        </w:trPr>
        <w:tc>
          <w:tcPr>
            <w:tcW w:w="3225" w:type="dxa"/>
            <w:shd w:val="clear" w:color="auto" w:fill="auto"/>
            <w:vAlign w:val="bottom"/>
          </w:tcPr>
          <w:p w:rsidR="0053451E" w:rsidRPr="0053451E" w:rsidRDefault="000F22AC" w:rsidP="0053451E">
            <w:pPr>
              <w:tabs>
                <w:tab w:val="left" w:pos="288"/>
                <w:tab w:val="left" w:pos="576"/>
                <w:tab w:val="left" w:pos="864"/>
                <w:tab w:val="left" w:pos="1152"/>
              </w:tabs>
              <w:spacing w:before="40" w:after="80" w:line="240" w:lineRule="exact"/>
              <w:ind w:left="72" w:right="72"/>
              <w:rPr>
                <w:rFonts w:hint="cs"/>
                <w:sz w:val="16"/>
                <w:szCs w:val="24"/>
                <w:rtl/>
              </w:rPr>
            </w:pPr>
            <w:proofErr w:type="spellStart"/>
            <w:r>
              <w:rPr>
                <w:rFonts w:hint="cs"/>
                <w:sz w:val="16"/>
                <w:szCs w:val="24"/>
                <w:rtl/>
              </w:rPr>
              <w:t>بالوشستان</w:t>
            </w:r>
            <w:proofErr w:type="spellEnd"/>
          </w:p>
        </w:tc>
        <w:tc>
          <w:tcPr>
            <w:tcW w:w="1280"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w:t>
            </w:r>
          </w:p>
        </w:tc>
        <w:tc>
          <w:tcPr>
            <w:tcW w:w="1200"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w:t>
            </w:r>
          </w:p>
        </w:tc>
        <w:tc>
          <w:tcPr>
            <w:tcW w:w="800"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65</w:t>
            </w:r>
          </w:p>
        </w:tc>
        <w:tc>
          <w:tcPr>
            <w:tcW w:w="815"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w:t>
            </w:r>
          </w:p>
        </w:tc>
      </w:tr>
      <w:tr w:rsidR="007759A9" w:rsidRPr="0053451E">
        <w:tblPrEx>
          <w:tblCellMar>
            <w:top w:w="0" w:type="dxa"/>
            <w:bottom w:w="0" w:type="dxa"/>
          </w:tblCellMar>
        </w:tblPrEx>
        <w:trPr>
          <w:cantSplit/>
          <w:jc w:val="center"/>
        </w:trPr>
        <w:tc>
          <w:tcPr>
            <w:tcW w:w="3225" w:type="dxa"/>
            <w:shd w:val="clear" w:color="auto" w:fill="auto"/>
            <w:vAlign w:val="bottom"/>
          </w:tcPr>
          <w:p w:rsidR="0053451E" w:rsidRPr="0053451E" w:rsidRDefault="000F22AC" w:rsidP="0053451E">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مقاطعة الحدود الشمالية الغربية</w:t>
            </w:r>
          </w:p>
        </w:tc>
        <w:tc>
          <w:tcPr>
            <w:tcW w:w="1280"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w:t>
            </w:r>
          </w:p>
        </w:tc>
        <w:tc>
          <w:tcPr>
            <w:tcW w:w="1200"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w:t>
            </w:r>
          </w:p>
        </w:tc>
        <w:tc>
          <w:tcPr>
            <w:tcW w:w="800"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124</w:t>
            </w:r>
          </w:p>
        </w:tc>
        <w:tc>
          <w:tcPr>
            <w:tcW w:w="815"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22</w:t>
            </w:r>
          </w:p>
        </w:tc>
      </w:tr>
      <w:tr w:rsidR="007759A9" w:rsidRPr="0053451E">
        <w:tblPrEx>
          <w:tblCellMar>
            <w:top w:w="0" w:type="dxa"/>
            <w:bottom w:w="0" w:type="dxa"/>
          </w:tblCellMar>
        </w:tblPrEx>
        <w:trPr>
          <w:cantSplit/>
          <w:jc w:val="center"/>
        </w:trPr>
        <w:tc>
          <w:tcPr>
            <w:tcW w:w="3225" w:type="dxa"/>
            <w:shd w:val="clear" w:color="auto" w:fill="auto"/>
            <w:vAlign w:val="bottom"/>
          </w:tcPr>
          <w:p w:rsidR="0053451E" w:rsidRPr="0053451E" w:rsidRDefault="000F22AC" w:rsidP="007759A9">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المناطق القبلية التي تديرها الحكومة الاتحادية</w:t>
            </w:r>
          </w:p>
        </w:tc>
        <w:tc>
          <w:tcPr>
            <w:tcW w:w="1280"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صفر</w:t>
            </w:r>
          </w:p>
        </w:tc>
        <w:tc>
          <w:tcPr>
            <w:tcW w:w="1200"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صفر</w:t>
            </w:r>
          </w:p>
        </w:tc>
        <w:tc>
          <w:tcPr>
            <w:tcW w:w="800"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غير متاح</w:t>
            </w:r>
          </w:p>
        </w:tc>
        <w:tc>
          <w:tcPr>
            <w:tcW w:w="815" w:type="dxa"/>
            <w:shd w:val="clear" w:color="auto" w:fill="auto"/>
            <w:vAlign w:val="bottom"/>
          </w:tcPr>
          <w:p w:rsidR="0053451E" w:rsidRPr="0053451E" w:rsidRDefault="001A4809" w:rsidP="0053451E">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صفر</w:t>
            </w:r>
          </w:p>
        </w:tc>
      </w:tr>
      <w:tr w:rsidR="007759A9" w:rsidRPr="0053451E">
        <w:tblPrEx>
          <w:tblCellMar>
            <w:top w:w="0" w:type="dxa"/>
            <w:bottom w:w="0" w:type="dxa"/>
          </w:tblCellMar>
        </w:tblPrEx>
        <w:trPr>
          <w:cantSplit/>
          <w:jc w:val="center"/>
        </w:trPr>
        <w:tc>
          <w:tcPr>
            <w:tcW w:w="3225" w:type="dxa"/>
            <w:tcBorders>
              <w:bottom w:val="single" w:sz="4" w:space="0" w:color="auto"/>
            </w:tcBorders>
            <w:shd w:val="clear" w:color="auto" w:fill="auto"/>
            <w:vAlign w:val="bottom"/>
          </w:tcPr>
          <w:p w:rsidR="0053451E" w:rsidRPr="0053451E" w:rsidRDefault="000F22AC" w:rsidP="000F22AC">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العاصمة الاتحادية</w:t>
            </w:r>
          </w:p>
        </w:tc>
        <w:tc>
          <w:tcPr>
            <w:tcW w:w="1280" w:type="dxa"/>
            <w:tcBorders>
              <w:bottom w:val="single" w:sz="4" w:space="0" w:color="auto"/>
            </w:tcBorders>
            <w:shd w:val="clear" w:color="auto" w:fill="auto"/>
            <w:vAlign w:val="bottom"/>
          </w:tcPr>
          <w:p w:rsidR="0053451E" w:rsidRPr="0053451E" w:rsidRDefault="001A4809" w:rsidP="000F22A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w:t>
            </w:r>
          </w:p>
        </w:tc>
        <w:tc>
          <w:tcPr>
            <w:tcW w:w="1200" w:type="dxa"/>
            <w:tcBorders>
              <w:bottom w:val="single" w:sz="4" w:space="0" w:color="auto"/>
            </w:tcBorders>
            <w:shd w:val="clear" w:color="auto" w:fill="auto"/>
            <w:vAlign w:val="bottom"/>
          </w:tcPr>
          <w:p w:rsidR="0053451E" w:rsidRPr="0053451E" w:rsidRDefault="001A4809" w:rsidP="000F22A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صفر</w:t>
            </w:r>
          </w:p>
        </w:tc>
        <w:tc>
          <w:tcPr>
            <w:tcW w:w="800" w:type="dxa"/>
            <w:tcBorders>
              <w:bottom w:val="single" w:sz="4" w:space="0" w:color="auto"/>
            </w:tcBorders>
            <w:shd w:val="clear" w:color="auto" w:fill="auto"/>
            <w:vAlign w:val="bottom"/>
          </w:tcPr>
          <w:p w:rsidR="0053451E" w:rsidRPr="0053451E" w:rsidRDefault="001A4809" w:rsidP="000F22A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غير متاح</w:t>
            </w:r>
          </w:p>
        </w:tc>
        <w:tc>
          <w:tcPr>
            <w:tcW w:w="815" w:type="dxa"/>
            <w:tcBorders>
              <w:bottom w:val="single" w:sz="4" w:space="0" w:color="auto"/>
            </w:tcBorders>
            <w:shd w:val="clear" w:color="auto" w:fill="auto"/>
            <w:vAlign w:val="bottom"/>
          </w:tcPr>
          <w:p w:rsidR="0053451E" w:rsidRPr="0053451E" w:rsidRDefault="001A4809" w:rsidP="000F22A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صفر</w:t>
            </w:r>
          </w:p>
        </w:tc>
      </w:tr>
      <w:tr w:rsidR="007759A9" w:rsidRPr="000F22AC">
        <w:tblPrEx>
          <w:tblCellMar>
            <w:top w:w="0" w:type="dxa"/>
            <w:bottom w:w="0" w:type="dxa"/>
          </w:tblCellMar>
        </w:tblPrEx>
        <w:trPr>
          <w:cantSplit/>
          <w:jc w:val="center"/>
        </w:trPr>
        <w:tc>
          <w:tcPr>
            <w:tcW w:w="3225" w:type="dxa"/>
            <w:tcBorders>
              <w:top w:val="single" w:sz="4" w:space="0" w:color="auto"/>
              <w:bottom w:val="single" w:sz="12" w:space="0" w:color="auto"/>
            </w:tcBorders>
            <w:shd w:val="clear" w:color="auto" w:fill="auto"/>
            <w:vAlign w:val="bottom"/>
          </w:tcPr>
          <w:p w:rsidR="0053451E" w:rsidRPr="000F22AC" w:rsidRDefault="00D461BF" w:rsidP="000F22AC">
            <w:pPr>
              <w:tabs>
                <w:tab w:val="left" w:pos="288"/>
                <w:tab w:val="left" w:pos="576"/>
                <w:tab w:val="left" w:pos="864"/>
                <w:tab w:val="left" w:pos="1152"/>
              </w:tabs>
              <w:spacing w:before="60" w:after="60" w:line="240" w:lineRule="exact"/>
              <w:ind w:left="72" w:right="72"/>
              <w:rPr>
                <w:rFonts w:hint="cs"/>
                <w:bCs/>
                <w:sz w:val="16"/>
                <w:szCs w:val="24"/>
                <w:rtl/>
              </w:rPr>
            </w:pPr>
            <w:r>
              <w:rPr>
                <w:bCs/>
                <w:sz w:val="16"/>
                <w:szCs w:val="24"/>
                <w:rtl/>
              </w:rPr>
              <w:tab/>
            </w:r>
            <w:r w:rsidR="000F22AC" w:rsidRPr="000F22AC">
              <w:rPr>
                <w:rFonts w:hint="cs"/>
                <w:bCs/>
                <w:sz w:val="16"/>
                <w:szCs w:val="24"/>
                <w:rtl/>
              </w:rPr>
              <w:t>المجموع</w:t>
            </w:r>
          </w:p>
        </w:tc>
        <w:tc>
          <w:tcPr>
            <w:tcW w:w="1280" w:type="dxa"/>
            <w:tcBorders>
              <w:top w:val="single" w:sz="4" w:space="0" w:color="auto"/>
              <w:bottom w:val="single" w:sz="12" w:space="0" w:color="auto"/>
            </w:tcBorders>
            <w:shd w:val="clear" w:color="auto" w:fill="auto"/>
            <w:vAlign w:val="bottom"/>
          </w:tcPr>
          <w:p w:rsidR="0053451E" w:rsidRPr="000F22AC" w:rsidRDefault="001A4809" w:rsidP="000F22AC">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17</w:t>
            </w:r>
          </w:p>
        </w:tc>
        <w:tc>
          <w:tcPr>
            <w:tcW w:w="1200" w:type="dxa"/>
            <w:tcBorders>
              <w:top w:val="single" w:sz="4" w:space="0" w:color="auto"/>
              <w:bottom w:val="single" w:sz="12" w:space="0" w:color="auto"/>
            </w:tcBorders>
            <w:shd w:val="clear" w:color="auto" w:fill="auto"/>
            <w:vAlign w:val="bottom"/>
          </w:tcPr>
          <w:p w:rsidR="0053451E" w:rsidRPr="000F22AC" w:rsidRDefault="001A4809" w:rsidP="000F22AC">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60</w:t>
            </w:r>
          </w:p>
        </w:tc>
        <w:tc>
          <w:tcPr>
            <w:tcW w:w="800" w:type="dxa"/>
            <w:tcBorders>
              <w:top w:val="single" w:sz="4" w:space="0" w:color="auto"/>
              <w:bottom w:val="single" w:sz="12" w:space="0" w:color="auto"/>
            </w:tcBorders>
            <w:shd w:val="clear" w:color="auto" w:fill="auto"/>
            <w:vAlign w:val="bottom"/>
          </w:tcPr>
          <w:p w:rsidR="0053451E" w:rsidRPr="000F22AC" w:rsidRDefault="001A4809" w:rsidP="000F22AC">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728</w:t>
            </w:r>
          </w:p>
        </w:tc>
        <w:tc>
          <w:tcPr>
            <w:tcW w:w="815" w:type="dxa"/>
            <w:tcBorders>
              <w:top w:val="single" w:sz="4" w:space="0" w:color="auto"/>
              <w:bottom w:val="single" w:sz="12" w:space="0" w:color="auto"/>
            </w:tcBorders>
            <w:shd w:val="clear" w:color="auto" w:fill="auto"/>
            <w:vAlign w:val="bottom"/>
          </w:tcPr>
          <w:p w:rsidR="0053451E" w:rsidRPr="000F22AC" w:rsidRDefault="001A4809" w:rsidP="000F22AC">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128</w:t>
            </w:r>
          </w:p>
        </w:tc>
      </w:tr>
    </w:tbl>
    <w:p w:rsidR="007C5C4F" w:rsidRPr="007C5C4F" w:rsidRDefault="007C5C4F" w:rsidP="007C5C4F">
      <w:pPr>
        <w:pStyle w:val="SingleTxt"/>
        <w:spacing w:after="0" w:line="120" w:lineRule="exact"/>
        <w:rPr>
          <w:rFonts w:hint="cs"/>
          <w:sz w:val="10"/>
          <w:rtl/>
        </w:rPr>
      </w:pPr>
    </w:p>
    <w:p w:rsidR="00784580" w:rsidRDefault="007C5C4F" w:rsidP="007C5C4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7C5C4F">
        <w:rPr>
          <w:rFonts w:hint="cs"/>
          <w:i/>
          <w:iCs/>
          <w:rtl/>
        </w:rPr>
        <w:t>المصدر</w:t>
      </w:r>
      <w:r>
        <w:rPr>
          <w:rFonts w:hint="cs"/>
          <w:rtl/>
        </w:rPr>
        <w:t>: الأمر القانوني الإطاري، 2002.</w:t>
      </w:r>
    </w:p>
    <w:p w:rsidR="007C5C4F" w:rsidRPr="007C5C4F" w:rsidRDefault="007C5C4F" w:rsidP="007C5C4F">
      <w:pPr>
        <w:pStyle w:val="SingleTxt"/>
        <w:spacing w:after="0" w:line="120" w:lineRule="exact"/>
        <w:rPr>
          <w:rFonts w:hint="cs"/>
          <w:sz w:val="10"/>
          <w:rtl/>
        </w:rPr>
      </w:pPr>
    </w:p>
    <w:p w:rsidR="007C5C4F" w:rsidRDefault="00A01900" w:rsidP="00784580">
      <w:pPr>
        <w:pStyle w:val="SingleTxt"/>
        <w:rPr>
          <w:rFonts w:hint="cs"/>
          <w:rtl/>
        </w:rPr>
      </w:pPr>
      <w:r>
        <w:rPr>
          <w:rFonts w:hint="cs"/>
          <w:rtl/>
        </w:rPr>
        <w:t>110-</w:t>
      </w:r>
      <w:r>
        <w:rPr>
          <w:rFonts w:hint="cs"/>
          <w:rtl/>
        </w:rPr>
        <w:tab/>
        <w:t>وبذلك نرى أنه ليس هناك قيد أو حاجز يحول دون مشاركة المرأة في النشاط السياسي بأي أسلوب. ويشمل هذا حق التصويت في جميع الانتخابات والاستفتاءات العامة وأهلية الترشيح لشغل أي من وظائف الهيئات أو المناصب التي يتم شغلها عن طريق الانتخابات العامة. وتمثل بعض التعديلات المدخلة عن طريق الأمر القانوني الإطاري عملا إيجابيا بشكل ملحوظ.</w:t>
      </w:r>
    </w:p>
    <w:p w:rsidR="00A01900" w:rsidRDefault="00A01900" w:rsidP="00A019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التشريعي</w:t>
      </w:r>
    </w:p>
    <w:p w:rsidR="00A01900" w:rsidRDefault="00A01900" w:rsidP="00A01900">
      <w:pPr>
        <w:pStyle w:val="SingleTxt"/>
        <w:rPr>
          <w:rFonts w:hint="cs"/>
          <w:rtl/>
        </w:rPr>
      </w:pPr>
      <w:r>
        <w:rPr>
          <w:rFonts w:hint="cs"/>
          <w:rtl/>
        </w:rPr>
        <w:t>111-</w:t>
      </w:r>
      <w:r>
        <w:rPr>
          <w:rFonts w:hint="cs"/>
          <w:rtl/>
        </w:rPr>
        <w:tab/>
        <w:t>من أهم القوانين الخاصة بإجراء انتخابات الجمعية الوطنية والجمعيات الإقليمية، قانون تمثيل الشعب، لسنة 1976، وقواعد تمثيل الشعب (إجراء الانتخابات) لسنة 1977، ويجري انتخاب أعضاء مجلس الشيوخ (المجلس الأعلى) وفقا للأحكام القانونية ذات الصلة بالموضوع والواردة في قانون (انتخابات) مجلس الشيوخ، لسنة 1975، وأمر (أعضاء) مجلس الشيوخ (من العاصمة الاتحادية)، 1985، وقواعد (انتخابات) مجلس الشيوخ، لسنة 1975.</w:t>
      </w:r>
    </w:p>
    <w:p w:rsidR="00A01900" w:rsidRDefault="00A01900" w:rsidP="00CA7E1F">
      <w:pPr>
        <w:pStyle w:val="SingleTxt"/>
        <w:rPr>
          <w:rFonts w:hint="cs"/>
          <w:rtl/>
        </w:rPr>
      </w:pPr>
      <w:r>
        <w:rPr>
          <w:rFonts w:hint="cs"/>
          <w:rtl/>
        </w:rPr>
        <w:t>112-</w:t>
      </w:r>
      <w:r>
        <w:rPr>
          <w:rFonts w:hint="cs"/>
          <w:rtl/>
        </w:rPr>
        <w:tab/>
        <w:t xml:space="preserve">ويتناول قانون القوائم الانتخابية لسنة 1974، </w:t>
      </w:r>
      <w:r w:rsidR="00CA7E1F">
        <w:rPr>
          <w:rFonts w:hint="cs"/>
          <w:rtl/>
        </w:rPr>
        <w:t>وقواعد القوائم الانتخابية، لسنة 1974، إعداد قوائم الناخبين، وتنقيحها سنويا، وتعديلها وحفظها. وتُقرر حدود دوائر الجمعية الوطنية والجمعيات الإقليمية وفقا لأحكام قانون رسم حدود الدوائر الانتخابية.</w:t>
      </w:r>
    </w:p>
    <w:p w:rsidR="00CA7E1F" w:rsidRDefault="00CA7E1F" w:rsidP="00CA7E1F">
      <w:pPr>
        <w:pStyle w:val="SingleTxt"/>
        <w:rPr>
          <w:rFonts w:hint="cs"/>
          <w:rtl/>
        </w:rPr>
      </w:pPr>
      <w:r>
        <w:rPr>
          <w:rFonts w:hint="cs"/>
          <w:rtl/>
        </w:rPr>
        <w:t>113-</w:t>
      </w:r>
      <w:r>
        <w:rPr>
          <w:rFonts w:hint="cs"/>
          <w:rtl/>
        </w:rPr>
        <w:tab/>
        <w:t>وينظم الأمر الخاص بالأحزاب السياسية لسنة 2002 سلوك الأحزاب السياسية، 2002، وصدر الأمر الخاص بإجراء الانتخابات العامة، لسنة 2002، لتيسير إجراء الانتخابات التي أجريت في تشرين الأول/أكتوبر 2002. وهناك قانون آخر له صلة بالموضوع وهو الأمر الخاص بلجان الانتخابات.</w:t>
      </w:r>
    </w:p>
    <w:p w:rsidR="00CA7E1F" w:rsidRDefault="00CA7E1F" w:rsidP="00CA7E1F">
      <w:pPr>
        <w:pStyle w:val="SingleTxt"/>
        <w:rPr>
          <w:rFonts w:hint="cs"/>
          <w:rtl/>
        </w:rPr>
      </w:pPr>
      <w:r>
        <w:rPr>
          <w:rFonts w:hint="cs"/>
          <w:rtl/>
        </w:rPr>
        <w:t>114-</w:t>
      </w:r>
      <w:r>
        <w:rPr>
          <w:rFonts w:hint="cs"/>
          <w:rtl/>
        </w:rPr>
        <w:tab/>
        <w:t>وينظم قانون الحكم المحلي، لسنة 2001، انتخابات الهيئات المحلية.</w:t>
      </w:r>
    </w:p>
    <w:p w:rsidR="00CA7E1F" w:rsidRDefault="00CA7E1F" w:rsidP="00CA7E1F">
      <w:pPr>
        <w:pStyle w:val="SingleTxt"/>
        <w:rPr>
          <w:rFonts w:hint="cs"/>
          <w:rtl/>
        </w:rPr>
      </w:pPr>
      <w:r>
        <w:rPr>
          <w:rFonts w:hint="cs"/>
          <w:rtl/>
        </w:rPr>
        <w:t>115-</w:t>
      </w:r>
      <w:r>
        <w:rPr>
          <w:rFonts w:hint="cs"/>
          <w:rtl/>
        </w:rPr>
        <w:tab/>
        <w:t>وتجري الانتخابات الخاصة بالمقاعد العامة في الجمعية الوطنية والجمعيات الإقليمية على أساس نظام الأسبقية. ولكن تجري الانتخابات الخاصة بالمقاعد المحجوزة للمرأة والفنيين على أساس نظام قوائم الأحزاب.</w:t>
      </w:r>
    </w:p>
    <w:p w:rsidR="00CA7E1F" w:rsidRDefault="00CA7E1F" w:rsidP="00CA7E1F">
      <w:pPr>
        <w:pStyle w:val="SingleTxt"/>
        <w:rPr>
          <w:rFonts w:hint="cs"/>
          <w:rtl/>
        </w:rPr>
      </w:pPr>
      <w:r>
        <w:rPr>
          <w:rFonts w:hint="cs"/>
          <w:rtl/>
        </w:rPr>
        <w:t>116-</w:t>
      </w:r>
      <w:r>
        <w:rPr>
          <w:rFonts w:hint="cs"/>
          <w:rtl/>
        </w:rPr>
        <w:tab/>
        <w:t>تجري الانتخابات الخاصة بمجلس الشيوخ على أساس التمثيل النسبي، بواسطة صوت واحد قابل للتحويل.</w:t>
      </w:r>
    </w:p>
    <w:p w:rsidR="00CA7E1F" w:rsidRDefault="00CA7E1F" w:rsidP="00CA7E1F">
      <w:pPr>
        <w:pStyle w:val="SingleTxt"/>
        <w:rPr>
          <w:rFonts w:hint="cs"/>
          <w:rtl/>
        </w:rPr>
      </w:pPr>
      <w:r>
        <w:rPr>
          <w:rFonts w:hint="cs"/>
          <w:rtl/>
        </w:rPr>
        <w:t>117-</w:t>
      </w:r>
      <w:r>
        <w:rPr>
          <w:rFonts w:hint="cs"/>
          <w:rtl/>
        </w:rPr>
        <w:tab/>
        <w:t>وتعتبر هذه القوانين والقواعد، جميعها، غير تمييزية ولا تفرض قيودا على المرأة.</w:t>
      </w:r>
    </w:p>
    <w:p w:rsidR="00CA7E1F" w:rsidRPr="00CA7E1F" w:rsidRDefault="00CA7E1F" w:rsidP="00CA7E1F">
      <w:pPr>
        <w:pStyle w:val="SingleTxt"/>
        <w:spacing w:after="0" w:line="120" w:lineRule="exact"/>
        <w:rPr>
          <w:rFonts w:hint="cs"/>
          <w:sz w:val="10"/>
          <w:rtl/>
        </w:rPr>
      </w:pPr>
    </w:p>
    <w:p w:rsidR="00CA7E1F" w:rsidRDefault="00CA7E1F" w:rsidP="00CA7E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الإداري</w:t>
      </w:r>
    </w:p>
    <w:p w:rsidR="00CA7E1F" w:rsidRDefault="00CA7E1F" w:rsidP="00CA7E1F">
      <w:pPr>
        <w:pStyle w:val="SingleTxt"/>
        <w:rPr>
          <w:rFonts w:hint="cs"/>
          <w:rtl/>
        </w:rPr>
      </w:pPr>
      <w:r>
        <w:rPr>
          <w:rFonts w:hint="cs"/>
          <w:rtl/>
        </w:rPr>
        <w:t>118-</w:t>
      </w:r>
      <w:r>
        <w:rPr>
          <w:rFonts w:hint="cs"/>
          <w:rtl/>
        </w:rPr>
        <w:tab/>
        <w:t>يتألف الإطار الإداري من مكتب لجنة الانتخابات المنشأة بموجب المادة 218 م الدستور. وتشمل واجبات رئيس لجنة الانتخابات ما يلي: (أ) إعداد قوائم الناخبين لانتخابات الجمعية الوطنية والجمعيات الإقليمية وتنقيح هذه القوائم سنويا؛ (ب) تنظيم وإجراء انتخابات مجلس الشيوخ أو الانتخابات التي تجري لشغل الشواغر العرضية في أي مجلس أو أي جمعية إقليمية؛ (ج) تعيين أعضاء محاكم الانتخابات.</w:t>
      </w:r>
    </w:p>
    <w:p w:rsidR="00CA7E1F" w:rsidRPr="00CA7E1F" w:rsidRDefault="00CA7E1F" w:rsidP="00CA7E1F">
      <w:pPr>
        <w:pStyle w:val="SingleTxt"/>
        <w:spacing w:after="0" w:line="120" w:lineRule="exact"/>
        <w:rPr>
          <w:rFonts w:hint="cs"/>
          <w:sz w:val="10"/>
          <w:rtl/>
        </w:rPr>
      </w:pPr>
    </w:p>
    <w:p w:rsidR="00CA7E1F" w:rsidRDefault="00CA7E1F" w:rsidP="00CA7E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الأحكام الجزائية</w:t>
      </w:r>
    </w:p>
    <w:p w:rsidR="00CA7E1F" w:rsidRDefault="00CA7E1F" w:rsidP="00CA7E1F">
      <w:pPr>
        <w:pStyle w:val="SingleTxt"/>
        <w:rPr>
          <w:rFonts w:hint="cs"/>
          <w:rtl/>
        </w:rPr>
      </w:pPr>
      <w:r>
        <w:rPr>
          <w:rFonts w:hint="cs"/>
          <w:rtl/>
        </w:rPr>
        <w:t>119-</w:t>
      </w:r>
      <w:r>
        <w:rPr>
          <w:rFonts w:hint="cs"/>
          <w:rtl/>
        </w:rPr>
        <w:tab/>
        <w:t>يتضمن كل من قانون تمثيل الشعب، لسنة 1976، وقواعد تمثيل الشعب (إجراء الانتخابات) لسنة 1977 أحكاما بشأن إجراء الانتخابات والجزاءات المفروضة على انتهاك هذه الأحكام. وبالإضافة إلى ذلك، يتضمن القانون الجنا</w:t>
      </w:r>
      <w:r w:rsidR="004136A1">
        <w:rPr>
          <w:rFonts w:hint="cs"/>
          <w:rtl/>
        </w:rPr>
        <w:t>ئي الباكستاني أحكاما تتعلق بالا</w:t>
      </w:r>
      <w:r>
        <w:rPr>
          <w:rFonts w:hint="cs"/>
          <w:rtl/>
        </w:rPr>
        <w:t xml:space="preserve">نتخابات، في المادة 171 من المواد الفرعية من </w:t>
      </w:r>
      <w:r>
        <w:rPr>
          <w:rFonts w:hint="eastAsia"/>
          <w:rtl/>
        </w:rPr>
        <w:t>”ألف</w:t>
      </w:r>
      <w:r>
        <w:rPr>
          <w:rFonts w:hint="cs"/>
          <w:rtl/>
        </w:rPr>
        <w:t xml:space="preserve">“ إلى </w:t>
      </w:r>
      <w:r>
        <w:rPr>
          <w:rFonts w:hint="eastAsia"/>
          <w:rtl/>
        </w:rPr>
        <w:t>”ياء</w:t>
      </w:r>
      <w:r>
        <w:rPr>
          <w:rFonts w:hint="cs"/>
          <w:rtl/>
        </w:rPr>
        <w:t xml:space="preserve">“، </w:t>
      </w:r>
      <w:r w:rsidR="004136A1">
        <w:rPr>
          <w:rFonts w:hint="cs"/>
          <w:rtl/>
        </w:rPr>
        <w:t xml:space="preserve">وتعد المواد الفرعية </w:t>
      </w:r>
      <w:r w:rsidR="004136A1">
        <w:rPr>
          <w:rFonts w:hint="eastAsia"/>
          <w:rtl/>
        </w:rPr>
        <w:t>”ألف</w:t>
      </w:r>
      <w:r w:rsidR="004136A1">
        <w:rPr>
          <w:rFonts w:hint="cs"/>
          <w:rtl/>
        </w:rPr>
        <w:t xml:space="preserve">“ و </w:t>
      </w:r>
      <w:r w:rsidR="004136A1">
        <w:rPr>
          <w:rFonts w:hint="eastAsia"/>
          <w:rtl/>
        </w:rPr>
        <w:t>”جيم</w:t>
      </w:r>
      <w:r w:rsidR="004136A1">
        <w:rPr>
          <w:rFonts w:hint="cs"/>
          <w:rtl/>
        </w:rPr>
        <w:t xml:space="preserve">“ و </w:t>
      </w:r>
      <w:r w:rsidR="004136A1">
        <w:rPr>
          <w:rFonts w:hint="eastAsia"/>
          <w:rtl/>
        </w:rPr>
        <w:t>”ياء</w:t>
      </w:r>
      <w:r w:rsidR="004136A1">
        <w:rPr>
          <w:rFonts w:hint="cs"/>
          <w:rtl/>
        </w:rPr>
        <w:t>“ من هذه المادة ذات صلة بالموضوع.</w:t>
      </w:r>
    </w:p>
    <w:p w:rsidR="004136A1" w:rsidRDefault="004136A1" w:rsidP="00CA7E1F">
      <w:pPr>
        <w:pStyle w:val="SingleTxt"/>
        <w:rPr>
          <w:rFonts w:hint="cs"/>
          <w:rtl/>
        </w:rPr>
      </w:pPr>
      <w:r>
        <w:rPr>
          <w:rFonts w:hint="cs"/>
          <w:rtl/>
        </w:rPr>
        <w:t>120-</w:t>
      </w:r>
      <w:r>
        <w:rPr>
          <w:rFonts w:hint="cs"/>
          <w:rtl/>
        </w:rPr>
        <w:tab/>
        <w:t>وتعتبر القوانين والأحكام الدستورية المذكورة أعلاه شاملة تماما، ويمكن أن نقول إنها تغطي ما يقرب من جميع الحالات التي يمكن حرمان المرأة فيها من حقها في المشاركة السياسية، سواء كناخبة أو كمرشحة. وأهم الصعوبات تتمثل في تنفيذ القوانين. ويمكن أن يعزى ضعف التنفيذ إلى عدم تدريب سلطات إنفاذ القوانين وافتقارها إلى الموارد، وعدم قيام الأشخاص وبخاصة النساء اللواتي انتهكت حقوقهن الانتخابية بالتقدم بشكاوى، وعدم وجود شهود لإثبات الشكوى.</w:t>
      </w:r>
    </w:p>
    <w:p w:rsidR="004136A1" w:rsidRPr="004136A1" w:rsidRDefault="004136A1" w:rsidP="004136A1">
      <w:pPr>
        <w:pStyle w:val="SingleTxt"/>
        <w:spacing w:after="0" w:line="120" w:lineRule="exact"/>
        <w:rPr>
          <w:rFonts w:hint="cs"/>
          <w:sz w:val="10"/>
          <w:rtl/>
        </w:rPr>
      </w:pPr>
    </w:p>
    <w:p w:rsidR="004136A1" w:rsidRDefault="004136A1" w:rsidP="004136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الحالة على أرض الواقع</w:t>
      </w:r>
    </w:p>
    <w:p w:rsidR="004136A1" w:rsidRDefault="004136A1" w:rsidP="004136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الناخبون</w:t>
      </w:r>
    </w:p>
    <w:p w:rsidR="004136A1" w:rsidRDefault="004136A1" w:rsidP="004136A1">
      <w:pPr>
        <w:pStyle w:val="SingleTxt"/>
        <w:rPr>
          <w:rFonts w:hint="cs"/>
          <w:rtl/>
        </w:rPr>
      </w:pPr>
      <w:r>
        <w:rPr>
          <w:rFonts w:hint="cs"/>
          <w:rtl/>
        </w:rPr>
        <w:t>121-</w:t>
      </w:r>
      <w:r>
        <w:rPr>
          <w:rFonts w:hint="cs"/>
          <w:rtl/>
        </w:rPr>
        <w:tab/>
        <w:t>كانت نسبة الناخبات في انتخابات 1988، 46.3 في المائة. وانخفضت هذه النسبة بصورة طفيفة في انتخابات 1990، فأصبحت 46.1 في المائة، ثم أصبحت 45.5 في المائة في انتخابات 1993، وبلغت 44.5 في المائة، في انتخابات 1997. وارتفعت النسبة إلى 46.1 في المائة في الانتخابات التي أجريت في 10 تشرين الأول/أكتوبر 2002.</w:t>
      </w:r>
    </w:p>
    <w:p w:rsidR="004136A1" w:rsidRDefault="004136A1" w:rsidP="00597152">
      <w:pPr>
        <w:pStyle w:val="SingleTxt"/>
        <w:rPr>
          <w:rFonts w:hint="cs"/>
          <w:rtl/>
        </w:rPr>
      </w:pPr>
      <w:r>
        <w:rPr>
          <w:rFonts w:hint="cs"/>
          <w:rtl/>
        </w:rPr>
        <w:t>122-</w:t>
      </w:r>
      <w:r>
        <w:rPr>
          <w:rFonts w:hint="cs"/>
          <w:rtl/>
        </w:rPr>
        <w:tab/>
        <w:t xml:space="preserve">ويعتقد أن مشاركة الناخبات في الانتخابات أقل من مشاركة الناخبين بصورة عامة. فقد بينت دراسة قائمة على </w:t>
      </w:r>
      <w:r w:rsidR="00597152">
        <w:rPr>
          <w:rFonts w:hint="cs"/>
          <w:rtl/>
        </w:rPr>
        <w:t>أ</w:t>
      </w:r>
      <w:r>
        <w:rPr>
          <w:rFonts w:hint="cs"/>
          <w:rtl/>
        </w:rPr>
        <w:t>ساس 25 في المائة من مجموع اللجان الانتخابية في انتخابات 1990 أن 48 في المائة من الناخبين و 30 في المائة من الناخبات أدلوا بأصواتهم. وأشارت دراسة أخرى عن بيانات مشاركة الناخبين من الدوائر الانتخابية في لاهور (بنجاب) خلال انتخابات 1993، عن حضور 46.9 في المائة من الناخبين و 40.4 في المائة من الناخبات للإدلاء بأصواتهم</w:t>
      </w:r>
      <w:r w:rsidRPr="004136A1">
        <w:rPr>
          <w:vertAlign w:val="superscript"/>
          <w:rtl/>
        </w:rPr>
        <w:t>(</w:t>
      </w:r>
      <w:r>
        <w:rPr>
          <w:rStyle w:val="FootnoteReference"/>
          <w:rtl/>
        </w:rPr>
        <w:footnoteReference w:id="7"/>
      </w:r>
      <w:r w:rsidRPr="004136A1">
        <w:rPr>
          <w:vertAlign w:val="superscript"/>
          <w:rtl/>
        </w:rPr>
        <w:t>)</w:t>
      </w:r>
      <w:r>
        <w:rPr>
          <w:rFonts w:hint="cs"/>
          <w:rtl/>
        </w:rPr>
        <w:t>.</w:t>
      </w:r>
    </w:p>
    <w:p w:rsidR="004136A1" w:rsidRDefault="004136A1" w:rsidP="004136A1">
      <w:pPr>
        <w:pStyle w:val="SingleTxt"/>
        <w:rPr>
          <w:rFonts w:hint="cs"/>
          <w:rtl/>
        </w:rPr>
      </w:pPr>
      <w:r>
        <w:rPr>
          <w:rFonts w:hint="cs"/>
          <w:rtl/>
        </w:rPr>
        <w:t>123-</w:t>
      </w:r>
      <w:r>
        <w:rPr>
          <w:rFonts w:hint="cs"/>
          <w:rtl/>
        </w:rPr>
        <w:tab/>
        <w:t xml:space="preserve">وهناك عقوبات للذين يهددون الناخبين أو يمنعونهم من ممارسة حقوقهم الانتخابية، على النحو المذكور أعلاه. غير أن المرأة مُنعت من الإدلاء بصوتها في انتخابات الأجهزة المحلية والانتخابات الأخيرة (تشرين الأول/أكتوبر 2002)، في بعض المناطق من البلد. وقدمت شكوى إلى المحكمة العليا في </w:t>
      </w:r>
      <w:proofErr w:type="spellStart"/>
      <w:r>
        <w:rPr>
          <w:rFonts w:hint="cs"/>
          <w:rtl/>
        </w:rPr>
        <w:t>ب</w:t>
      </w:r>
      <w:r w:rsidR="00597152">
        <w:rPr>
          <w:rFonts w:hint="cs"/>
          <w:rtl/>
        </w:rPr>
        <w:t>ي</w:t>
      </w:r>
      <w:r>
        <w:rPr>
          <w:rFonts w:hint="cs"/>
          <w:rtl/>
        </w:rPr>
        <w:t>شاور</w:t>
      </w:r>
      <w:proofErr w:type="spellEnd"/>
      <w:r>
        <w:rPr>
          <w:rFonts w:hint="cs"/>
          <w:rtl/>
        </w:rPr>
        <w:t>، التي حكمت بأنه لا يجوز منع المرأة من ممارسة حقوقها السياسية، في آذار/مارس 2004. ولكن المحكمة لم تعلن بطلان الانتخابات السابقة في الدوائر الانتخابية التي مُنعت فيها المرأة من الإدلاء بصوتها.</w:t>
      </w:r>
    </w:p>
    <w:p w:rsidR="004136A1" w:rsidRPr="004136A1" w:rsidRDefault="004136A1" w:rsidP="004136A1">
      <w:pPr>
        <w:pStyle w:val="SingleTxt"/>
        <w:spacing w:after="0" w:line="120" w:lineRule="exact"/>
        <w:rPr>
          <w:rFonts w:hint="cs"/>
          <w:sz w:val="10"/>
          <w:rtl/>
        </w:rPr>
      </w:pPr>
    </w:p>
    <w:p w:rsidR="004136A1" w:rsidRDefault="004136A1" w:rsidP="004136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المرأة كمرشحة </w:t>
      </w:r>
      <w:proofErr w:type="spellStart"/>
      <w:r>
        <w:rPr>
          <w:rFonts w:hint="cs"/>
          <w:rtl/>
        </w:rPr>
        <w:t>وعضوة</w:t>
      </w:r>
      <w:proofErr w:type="spellEnd"/>
      <w:r>
        <w:rPr>
          <w:rFonts w:hint="cs"/>
          <w:rtl/>
        </w:rPr>
        <w:t xml:space="preserve"> منتخبة في مجلس الشيوخ والجمعية الوطنية والجمعية الإقليمية</w:t>
      </w:r>
    </w:p>
    <w:p w:rsidR="004136A1" w:rsidRDefault="004136A1" w:rsidP="004136A1">
      <w:pPr>
        <w:pStyle w:val="SingleTxt"/>
        <w:rPr>
          <w:rFonts w:hint="cs"/>
          <w:rtl/>
        </w:rPr>
      </w:pPr>
      <w:r>
        <w:rPr>
          <w:rFonts w:hint="cs"/>
          <w:rtl/>
        </w:rPr>
        <w:t>124-</w:t>
      </w:r>
      <w:r>
        <w:rPr>
          <w:rFonts w:hint="cs"/>
          <w:rtl/>
        </w:rPr>
        <w:tab/>
        <w:t>كان حجز نسب خاصة للمرأة في السلطة التشريعية، بالإضافة إلى إمكانية خوضها الانتخابات لشغل المقاعد المفتوحة، من السمات الشائعة في النظام السياسي الباكستاني، بوصف ذلك شكلا من أشكال العمل الإيجابي. وكانت النسبة المخصصة للمرأة في دستور 1973 لفترة محددة قد انتهت في سنة 1988 بانتهاء هذه الفترة. وظل بإمكان المرأة أن ترشح نفسها في الانتخابات الخاصة بشغل المقاعد العامة. وكانت نسبة النساء اللواتي خُضن انتخابات المقاعد العامة التي أجريت في 1985 و 1988 و 1990 و 1993 و 1997، 1.2 في المائة و 1.8 في المائة و 0.97 في المائة و 1 في المائة و 2 في المائة، على التوالي.</w:t>
      </w:r>
    </w:p>
    <w:p w:rsidR="004136A1" w:rsidRPr="004136A1" w:rsidRDefault="004136A1" w:rsidP="004136A1">
      <w:pPr>
        <w:pStyle w:val="SingleTxt"/>
        <w:spacing w:after="0" w:line="120" w:lineRule="exact"/>
        <w:rPr>
          <w:rFonts w:hint="cs"/>
          <w:sz w:val="10"/>
          <w:rtl/>
        </w:rPr>
      </w:pPr>
    </w:p>
    <w:p w:rsidR="004136A1" w:rsidRDefault="00BF32BA" w:rsidP="00B25573">
      <w:pPr>
        <w:pStyle w:val="SingleTxt"/>
        <w:spacing w:after="0"/>
        <w:rPr>
          <w:rFonts w:hint="cs"/>
          <w:rtl/>
        </w:rPr>
      </w:pPr>
      <w:r>
        <w:rPr>
          <w:rFonts w:hint="cs"/>
          <w:rtl/>
        </w:rPr>
        <w:t>الجدول 7-2</w:t>
      </w:r>
    </w:p>
    <w:p w:rsidR="00BF32BA" w:rsidRDefault="00BF32BA" w:rsidP="004136A1">
      <w:pPr>
        <w:pStyle w:val="SingleTxt"/>
        <w:rPr>
          <w:rFonts w:hint="cs"/>
          <w:b/>
          <w:bCs/>
          <w:rtl/>
        </w:rPr>
      </w:pPr>
      <w:r w:rsidRPr="00B25573">
        <w:rPr>
          <w:rFonts w:hint="cs"/>
          <w:b/>
          <w:bCs/>
          <w:rtl/>
        </w:rPr>
        <w:t>النساء المنتخبات لشغل المقاعد العامة في الجمعية الوطنية والجمعيات الإقليمية اعتبارا من سنة 1970</w:t>
      </w:r>
    </w:p>
    <w:p w:rsidR="00597152" w:rsidRPr="00597152" w:rsidRDefault="00597152" w:rsidP="00597152">
      <w:pPr>
        <w:pStyle w:val="SingleTxt"/>
        <w:spacing w:after="0" w:line="120" w:lineRule="exact"/>
        <w:rPr>
          <w:rFonts w:hint="cs"/>
          <w:sz w:val="10"/>
          <w:rtl/>
        </w:rPr>
      </w:pPr>
    </w:p>
    <w:tbl>
      <w:tblPr>
        <w:bidiVisual/>
        <w:tblW w:w="7320" w:type="dxa"/>
        <w:jc w:val="center"/>
        <w:tblLayout w:type="fixed"/>
        <w:tblCellMar>
          <w:left w:w="0" w:type="dxa"/>
          <w:right w:w="0" w:type="dxa"/>
        </w:tblCellMar>
        <w:tblLook w:val="0000" w:firstRow="0" w:lastRow="0" w:firstColumn="0" w:lastColumn="0" w:noHBand="0" w:noVBand="0"/>
      </w:tblPr>
      <w:tblGrid>
        <w:gridCol w:w="2440"/>
        <w:gridCol w:w="2440"/>
        <w:gridCol w:w="2440"/>
      </w:tblGrid>
      <w:tr w:rsidR="00DC6F35" w:rsidRPr="00DC6F35">
        <w:tblPrEx>
          <w:tblCellMar>
            <w:top w:w="0" w:type="dxa"/>
            <w:bottom w:w="0" w:type="dxa"/>
          </w:tblCellMar>
        </w:tblPrEx>
        <w:trPr>
          <w:cantSplit/>
          <w:tblHeader/>
          <w:jc w:val="center"/>
        </w:trPr>
        <w:tc>
          <w:tcPr>
            <w:tcW w:w="2440" w:type="dxa"/>
            <w:tcBorders>
              <w:top w:val="single" w:sz="4" w:space="0" w:color="auto"/>
              <w:bottom w:val="single" w:sz="12" w:space="0" w:color="auto"/>
            </w:tcBorders>
            <w:shd w:val="clear" w:color="auto" w:fill="auto"/>
            <w:vAlign w:val="bottom"/>
          </w:tcPr>
          <w:p w:rsidR="00DC6F35" w:rsidRPr="00DC6F35" w:rsidRDefault="00DC6F35" w:rsidP="00DC6F35">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السنة</w:t>
            </w:r>
          </w:p>
        </w:tc>
        <w:tc>
          <w:tcPr>
            <w:tcW w:w="2440" w:type="dxa"/>
            <w:tcBorders>
              <w:top w:val="single" w:sz="4" w:space="0" w:color="auto"/>
              <w:bottom w:val="single" w:sz="12" w:space="0" w:color="auto"/>
            </w:tcBorders>
            <w:shd w:val="clear" w:color="auto" w:fill="auto"/>
            <w:vAlign w:val="bottom"/>
          </w:tcPr>
          <w:p w:rsidR="00DC6F35" w:rsidRPr="00DC6F35" w:rsidRDefault="00DC6F35" w:rsidP="00DC6F35">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النسبة المئوية في الجمعية الوطنية</w:t>
            </w:r>
          </w:p>
        </w:tc>
        <w:tc>
          <w:tcPr>
            <w:tcW w:w="2440" w:type="dxa"/>
            <w:tcBorders>
              <w:top w:val="single" w:sz="4" w:space="0" w:color="auto"/>
              <w:bottom w:val="single" w:sz="12" w:space="0" w:color="auto"/>
            </w:tcBorders>
            <w:shd w:val="clear" w:color="auto" w:fill="auto"/>
            <w:vAlign w:val="bottom"/>
          </w:tcPr>
          <w:p w:rsidR="00DC6F35" w:rsidRPr="00DC6F35" w:rsidRDefault="00DC6F35" w:rsidP="00DC6F35">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متوسط النسبة المئوية للجمعيات الإقليمية الأربع مجتمعة</w:t>
            </w:r>
          </w:p>
        </w:tc>
      </w:tr>
      <w:tr w:rsidR="00DC6F35" w:rsidRPr="00DC6F35">
        <w:tblPrEx>
          <w:tblCellMar>
            <w:top w:w="0" w:type="dxa"/>
            <w:bottom w:w="0" w:type="dxa"/>
          </w:tblCellMar>
        </w:tblPrEx>
        <w:trPr>
          <w:cantSplit/>
          <w:trHeight w:hRule="exact" w:val="115"/>
          <w:tblHeader/>
          <w:jc w:val="center"/>
        </w:trPr>
        <w:tc>
          <w:tcPr>
            <w:tcW w:w="2440" w:type="dxa"/>
            <w:tcBorders>
              <w:top w:val="single" w:sz="12" w:space="0" w:color="auto"/>
            </w:tcBorders>
            <w:shd w:val="clear" w:color="auto" w:fill="auto"/>
            <w:vAlign w:val="bottom"/>
          </w:tcPr>
          <w:p w:rsidR="00DC6F35" w:rsidRPr="00DC6F35" w:rsidRDefault="00DC6F35" w:rsidP="00DC6F35">
            <w:pPr>
              <w:tabs>
                <w:tab w:val="left" w:pos="288"/>
                <w:tab w:val="left" w:pos="576"/>
                <w:tab w:val="left" w:pos="864"/>
                <w:tab w:val="left" w:pos="1152"/>
              </w:tabs>
              <w:spacing w:before="40" w:after="80" w:line="240" w:lineRule="exact"/>
              <w:ind w:left="72" w:right="72"/>
              <w:rPr>
                <w:rFonts w:hint="cs"/>
                <w:sz w:val="16"/>
                <w:szCs w:val="24"/>
                <w:rtl/>
              </w:rPr>
            </w:pPr>
          </w:p>
        </w:tc>
        <w:tc>
          <w:tcPr>
            <w:tcW w:w="2440" w:type="dxa"/>
            <w:tcBorders>
              <w:top w:val="single" w:sz="12" w:space="0" w:color="auto"/>
            </w:tcBorders>
            <w:shd w:val="clear" w:color="auto" w:fill="auto"/>
            <w:vAlign w:val="bottom"/>
          </w:tcPr>
          <w:p w:rsidR="00DC6F35" w:rsidRPr="00DC6F35" w:rsidRDefault="00DC6F35" w:rsidP="00DC6F35">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2440" w:type="dxa"/>
            <w:tcBorders>
              <w:top w:val="single" w:sz="12" w:space="0" w:color="auto"/>
            </w:tcBorders>
            <w:shd w:val="clear" w:color="auto" w:fill="auto"/>
            <w:vAlign w:val="bottom"/>
          </w:tcPr>
          <w:p w:rsidR="00DC6F35" w:rsidRPr="00DC6F35" w:rsidRDefault="00DC6F35" w:rsidP="00DC6F35">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DC6F35" w:rsidRPr="00DC6F35">
        <w:tblPrEx>
          <w:tblCellMar>
            <w:top w:w="0" w:type="dxa"/>
            <w:bottom w:w="0" w:type="dxa"/>
          </w:tblCellMar>
        </w:tblPrEx>
        <w:trPr>
          <w:cantSplit/>
          <w:jc w:val="center"/>
        </w:trPr>
        <w:tc>
          <w:tcPr>
            <w:tcW w:w="2440" w:type="dxa"/>
            <w:shd w:val="clear" w:color="auto" w:fill="auto"/>
            <w:vAlign w:val="bottom"/>
          </w:tcPr>
          <w:p w:rsidR="00DC6F35" w:rsidRPr="00DC6F35" w:rsidRDefault="00DC6F35" w:rsidP="00DC6F35">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1970</w:t>
            </w:r>
          </w:p>
        </w:tc>
        <w:tc>
          <w:tcPr>
            <w:tcW w:w="2440" w:type="dxa"/>
            <w:shd w:val="clear" w:color="auto" w:fill="auto"/>
            <w:vAlign w:val="bottom"/>
          </w:tcPr>
          <w:p w:rsidR="00DC6F35" w:rsidRPr="00DC6F35" w:rsidRDefault="00DC6F35" w:rsidP="00DC6F35">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0.0</w:t>
            </w:r>
          </w:p>
        </w:tc>
        <w:tc>
          <w:tcPr>
            <w:tcW w:w="2440" w:type="dxa"/>
            <w:shd w:val="clear" w:color="auto" w:fill="auto"/>
            <w:vAlign w:val="bottom"/>
          </w:tcPr>
          <w:p w:rsidR="00DC6F35" w:rsidRPr="00DC6F35" w:rsidRDefault="00DC6F35" w:rsidP="00DC6F35">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r>
      <w:tr w:rsidR="00DC6F35" w:rsidRPr="00DC6F35">
        <w:tblPrEx>
          <w:tblCellMar>
            <w:top w:w="0" w:type="dxa"/>
            <w:bottom w:w="0" w:type="dxa"/>
          </w:tblCellMar>
        </w:tblPrEx>
        <w:trPr>
          <w:cantSplit/>
          <w:jc w:val="center"/>
        </w:trPr>
        <w:tc>
          <w:tcPr>
            <w:tcW w:w="2440" w:type="dxa"/>
            <w:shd w:val="clear" w:color="auto" w:fill="auto"/>
            <w:vAlign w:val="bottom"/>
          </w:tcPr>
          <w:p w:rsidR="00DC6F35" w:rsidRPr="00DC6F35" w:rsidRDefault="00DC6F35" w:rsidP="00DC6F35">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1990</w:t>
            </w:r>
          </w:p>
        </w:tc>
        <w:tc>
          <w:tcPr>
            <w:tcW w:w="2440" w:type="dxa"/>
            <w:shd w:val="clear" w:color="auto" w:fill="auto"/>
            <w:vAlign w:val="bottom"/>
          </w:tcPr>
          <w:p w:rsidR="00DC6F35" w:rsidRPr="00DC6F35" w:rsidRDefault="00DC6F35" w:rsidP="00DC6F35">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w:t>
            </w:r>
          </w:p>
        </w:tc>
        <w:tc>
          <w:tcPr>
            <w:tcW w:w="2440" w:type="dxa"/>
            <w:shd w:val="clear" w:color="auto" w:fill="auto"/>
            <w:vAlign w:val="bottom"/>
          </w:tcPr>
          <w:p w:rsidR="00DC6F35" w:rsidRPr="00DC6F35" w:rsidRDefault="00DC6F35" w:rsidP="00DC6F35">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0.4</w:t>
            </w:r>
          </w:p>
        </w:tc>
      </w:tr>
      <w:tr w:rsidR="00DC6F35" w:rsidRPr="00DC6F35">
        <w:tblPrEx>
          <w:tblCellMar>
            <w:top w:w="0" w:type="dxa"/>
            <w:bottom w:w="0" w:type="dxa"/>
          </w:tblCellMar>
        </w:tblPrEx>
        <w:trPr>
          <w:cantSplit/>
          <w:jc w:val="center"/>
        </w:trPr>
        <w:tc>
          <w:tcPr>
            <w:tcW w:w="2440" w:type="dxa"/>
            <w:tcBorders>
              <w:bottom w:val="single" w:sz="12" w:space="0" w:color="auto"/>
            </w:tcBorders>
            <w:shd w:val="clear" w:color="auto" w:fill="auto"/>
            <w:vAlign w:val="bottom"/>
          </w:tcPr>
          <w:p w:rsidR="00DC6F35" w:rsidRPr="00DC6F35" w:rsidRDefault="00DC6F35" w:rsidP="00DC6F35">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2002</w:t>
            </w:r>
          </w:p>
        </w:tc>
        <w:tc>
          <w:tcPr>
            <w:tcW w:w="2440" w:type="dxa"/>
            <w:tcBorders>
              <w:bottom w:val="single" w:sz="12" w:space="0" w:color="auto"/>
            </w:tcBorders>
            <w:shd w:val="clear" w:color="auto" w:fill="auto"/>
            <w:vAlign w:val="bottom"/>
          </w:tcPr>
          <w:p w:rsidR="00DC6F35" w:rsidRPr="00DC6F35" w:rsidRDefault="00DC6F35" w:rsidP="00DC6F35">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0.21</w:t>
            </w:r>
          </w:p>
        </w:tc>
        <w:tc>
          <w:tcPr>
            <w:tcW w:w="2440" w:type="dxa"/>
            <w:tcBorders>
              <w:bottom w:val="single" w:sz="12" w:space="0" w:color="auto"/>
            </w:tcBorders>
            <w:shd w:val="clear" w:color="auto" w:fill="auto"/>
            <w:vAlign w:val="bottom"/>
          </w:tcPr>
          <w:p w:rsidR="00DC6F35" w:rsidRPr="00DC6F35" w:rsidRDefault="00DC6F35" w:rsidP="00DC6F35">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0.20</w:t>
            </w:r>
          </w:p>
        </w:tc>
      </w:tr>
    </w:tbl>
    <w:p w:rsidR="00BF32BA" w:rsidRDefault="00DC6F35" w:rsidP="00DC6F3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w:t>
      </w:r>
      <w:r>
        <w:rPr>
          <w:rFonts w:hint="cs"/>
          <w:rtl/>
        </w:rPr>
        <w:tab/>
        <w:t>غير متاح.</w:t>
      </w:r>
    </w:p>
    <w:p w:rsidR="00DC6F35" w:rsidRDefault="00DC6F35" w:rsidP="00DC6F3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DC6F35">
        <w:rPr>
          <w:rFonts w:hint="cs"/>
          <w:i/>
          <w:iCs/>
          <w:rtl/>
        </w:rPr>
        <w:t>المصدر</w:t>
      </w:r>
      <w:r>
        <w:rPr>
          <w:rFonts w:hint="cs"/>
          <w:rtl/>
        </w:rPr>
        <w:t xml:space="preserve">: لجنة الانتخابات لباكستان. ورد ذكرها في تقرير خط الأساس لمشاركة المرأة في الحياة العامة والسياسية في باكستان، مؤسسة </w:t>
      </w:r>
      <w:proofErr w:type="spellStart"/>
      <w:r>
        <w:rPr>
          <w:rFonts w:hint="cs"/>
          <w:rtl/>
        </w:rPr>
        <w:t>أورات</w:t>
      </w:r>
      <w:proofErr w:type="spellEnd"/>
      <w:r>
        <w:rPr>
          <w:rFonts w:hint="cs"/>
          <w:rtl/>
        </w:rPr>
        <w:t>، تشرين الأول/أكتوبر 1999.</w:t>
      </w:r>
    </w:p>
    <w:p w:rsidR="00597152" w:rsidRPr="00597152" w:rsidRDefault="00597152" w:rsidP="0059715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4B3B98" w:rsidRDefault="00597152" w:rsidP="00800D61">
      <w:pPr>
        <w:pStyle w:val="SingleTxt"/>
        <w:spacing w:after="0"/>
        <w:rPr>
          <w:rFonts w:hint="cs"/>
          <w:rtl/>
        </w:rPr>
      </w:pPr>
      <w:r>
        <w:rPr>
          <w:rtl/>
        </w:rPr>
        <w:br w:type="page"/>
      </w:r>
      <w:r w:rsidR="00800D61">
        <w:rPr>
          <w:rFonts w:hint="cs"/>
          <w:rtl/>
        </w:rPr>
        <w:t>الجدول 7-3</w:t>
      </w:r>
    </w:p>
    <w:p w:rsidR="00800D61" w:rsidRDefault="00800D61" w:rsidP="004B3B98">
      <w:pPr>
        <w:pStyle w:val="SingleTxt"/>
        <w:rPr>
          <w:rFonts w:hint="cs"/>
          <w:b/>
          <w:bCs/>
          <w:rtl/>
        </w:rPr>
      </w:pPr>
      <w:r w:rsidRPr="00800D61">
        <w:rPr>
          <w:rFonts w:hint="cs"/>
          <w:b/>
          <w:bCs/>
          <w:rtl/>
        </w:rPr>
        <w:t>عدد أعضاء مجلس الشيوخ المنتخبين حسب نوع الجنس وسنة الانتخابات</w:t>
      </w:r>
    </w:p>
    <w:p w:rsidR="00597152" w:rsidRPr="00597152" w:rsidRDefault="00597152" w:rsidP="00597152">
      <w:pPr>
        <w:pStyle w:val="SingleTxt"/>
        <w:spacing w:after="0" w:line="120" w:lineRule="exact"/>
        <w:rPr>
          <w:rFonts w:hint="cs"/>
          <w:sz w:val="10"/>
          <w:rtl/>
        </w:rPr>
      </w:pPr>
    </w:p>
    <w:tbl>
      <w:tblPr>
        <w:bidiVisual/>
        <w:tblW w:w="7320" w:type="dxa"/>
        <w:jc w:val="center"/>
        <w:tblLayout w:type="fixed"/>
        <w:tblCellMar>
          <w:left w:w="0" w:type="dxa"/>
          <w:right w:w="0" w:type="dxa"/>
        </w:tblCellMar>
        <w:tblLook w:val="0000" w:firstRow="0" w:lastRow="0" w:firstColumn="0" w:lastColumn="0" w:noHBand="0" w:noVBand="0"/>
      </w:tblPr>
      <w:tblGrid>
        <w:gridCol w:w="1305"/>
        <w:gridCol w:w="2240"/>
        <w:gridCol w:w="960"/>
        <w:gridCol w:w="960"/>
        <w:gridCol w:w="880"/>
        <w:gridCol w:w="975"/>
      </w:tblGrid>
      <w:tr w:rsidR="00DB7BD5" w:rsidRPr="00800D61">
        <w:tblPrEx>
          <w:tblCellMar>
            <w:top w:w="0" w:type="dxa"/>
            <w:bottom w:w="0" w:type="dxa"/>
          </w:tblCellMar>
        </w:tblPrEx>
        <w:trPr>
          <w:cantSplit/>
          <w:tblHeader/>
          <w:jc w:val="center"/>
        </w:trPr>
        <w:tc>
          <w:tcPr>
            <w:tcW w:w="1305" w:type="dxa"/>
            <w:vMerge w:val="restart"/>
            <w:tcBorders>
              <w:top w:val="single" w:sz="4" w:space="0" w:color="auto"/>
            </w:tcBorders>
            <w:shd w:val="clear" w:color="auto" w:fill="auto"/>
            <w:vAlign w:val="bottom"/>
          </w:tcPr>
          <w:p w:rsidR="00DB7BD5" w:rsidRDefault="00DB7BD5" w:rsidP="00800D61">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سنة الانتخابات</w:t>
            </w:r>
          </w:p>
        </w:tc>
        <w:tc>
          <w:tcPr>
            <w:tcW w:w="2240" w:type="dxa"/>
            <w:vMerge w:val="restart"/>
            <w:tcBorders>
              <w:top w:val="single" w:sz="4" w:space="0" w:color="auto"/>
            </w:tcBorders>
            <w:shd w:val="clear" w:color="auto" w:fill="auto"/>
            <w:vAlign w:val="bottom"/>
          </w:tcPr>
          <w:p w:rsidR="00DB7BD5" w:rsidRDefault="00DB7BD5" w:rsidP="00800D61">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عدد أعضاء مجلس الشيوخ المنتخبين</w:t>
            </w:r>
          </w:p>
        </w:tc>
        <w:tc>
          <w:tcPr>
            <w:tcW w:w="3775" w:type="dxa"/>
            <w:gridSpan w:val="4"/>
            <w:tcBorders>
              <w:top w:val="single" w:sz="4" w:space="0" w:color="auto"/>
              <w:bottom w:val="single" w:sz="4" w:space="0" w:color="auto"/>
            </w:tcBorders>
            <w:shd w:val="clear" w:color="auto" w:fill="auto"/>
            <w:vAlign w:val="bottom"/>
          </w:tcPr>
          <w:p w:rsidR="00DB7BD5" w:rsidRDefault="00DB7BD5" w:rsidP="00800D61">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عدد أعضاء مجلس الشيوخ المنتخبين</w:t>
            </w:r>
          </w:p>
        </w:tc>
      </w:tr>
      <w:tr w:rsidR="00DB7BD5" w:rsidRPr="00800D61">
        <w:tblPrEx>
          <w:tblCellMar>
            <w:top w:w="0" w:type="dxa"/>
            <w:bottom w:w="0" w:type="dxa"/>
          </w:tblCellMar>
        </w:tblPrEx>
        <w:trPr>
          <w:cantSplit/>
          <w:tblHeader/>
          <w:jc w:val="center"/>
        </w:trPr>
        <w:tc>
          <w:tcPr>
            <w:tcW w:w="1305" w:type="dxa"/>
            <w:vMerge/>
            <w:shd w:val="clear" w:color="auto" w:fill="auto"/>
            <w:vAlign w:val="bottom"/>
          </w:tcPr>
          <w:p w:rsidR="00DB7BD5" w:rsidRPr="00800D61" w:rsidRDefault="00DB7BD5" w:rsidP="00800D61">
            <w:pPr>
              <w:tabs>
                <w:tab w:val="left" w:pos="288"/>
                <w:tab w:val="left" w:pos="576"/>
                <w:tab w:val="left" w:pos="864"/>
                <w:tab w:val="left" w:pos="1152"/>
              </w:tabs>
              <w:spacing w:after="80" w:line="240" w:lineRule="exact"/>
              <w:ind w:left="72" w:right="72"/>
              <w:rPr>
                <w:rFonts w:hint="cs"/>
                <w:i/>
                <w:iCs/>
                <w:sz w:val="16"/>
                <w:szCs w:val="24"/>
                <w:rtl/>
              </w:rPr>
            </w:pPr>
          </w:p>
        </w:tc>
        <w:tc>
          <w:tcPr>
            <w:tcW w:w="2240" w:type="dxa"/>
            <w:vMerge/>
            <w:tcBorders>
              <w:bottom w:val="single" w:sz="4" w:space="0" w:color="auto"/>
            </w:tcBorders>
            <w:shd w:val="clear" w:color="auto" w:fill="auto"/>
            <w:vAlign w:val="bottom"/>
          </w:tcPr>
          <w:p w:rsidR="00DB7BD5" w:rsidRPr="00800D61" w:rsidRDefault="00DB7BD5" w:rsidP="00800D61">
            <w:pPr>
              <w:tabs>
                <w:tab w:val="left" w:pos="288"/>
                <w:tab w:val="left" w:pos="576"/>
                <w:tab w:val="left" w:pos="864"/>
                <w:tab w:val="left" w:pos="1152"/>
              </w:tabs>
              <w:spacing w:before="80" w:after="80" w:line="240" w:lineRule="exact"/>
              <w:ind w:left="72" w:right="72"/>
              <w:jc w:val="center"/>
              <w:rPr>
                <w:rFonts w:hint="cs"/>
                <w:i/>
                <w:iCs/>
                <w:sz w:val="16"/>
                <w:szCs w:val="24"/>
                <w:rtl/>
              </w:rPr>
            </w:pPr>
          </w:p>
        </w:tc>
        <w:tc>
          <w:tcPr>
            <w:tcW w:w="1920" w:type="dxa"/>
            <w:gridSpan w:val="2"/>
            <w:tcBorders>
              <w:top w:val="single" w:sz="4" w:space="0" w:color="auto"/>
              <w:bottom w:val="single" w:sz="4" w:space="0" w:color="auto"/>
            </w:tcBorders>
            <w:shd w:val="clear" w:color="auto" w:fill="auto"/>
            <w:vAlign w:val="bottom"/>
          </w:tcPr>
          <w:p w:rsidR="00DB7BD5" w:rsidRPr="00800D61" w:rsidRDefault="00DB7BD5" w:rsidP="00800D61">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النساء</w:t>
            </w:r>
          </w:p>
        </w:tc>
        <w:tc>
          <w:tcPr>
            <w:tcW w:w="1855" w:type="dxa"/>
            <w:gridSpan w:val="2"/>
            <w:tcBorders>
              <w:top w:val="single" w:sz="4" w:space="0" w:color="auto"/>
              <w:bottom w:val="single" w:sz="4" w:space="0" w:color="auto"/>
            </w:tcBorders>
            <w:shd w:val="clear" w:color="auto" w:fill="auto"/>
            <w:vAlign w:val="bottom"/>
          </w:tcPr>
          <w:p w:rsidR="00DB7BD5" w:rsidRPr="00800D61" w:rsidRDefault="00DB7BD5" w:rsidP="00800D61">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الرجال</w:t>
            </w:r>
          </w:p>
        </w:tc>
      </w:tr>
      <w:tr w:rsidR="00DB7BD5" w:rsidRPr="00800D61">
        <w:tblPrEx>
          <w:tblCellMar>
            <w:top w:w="0" w:type="dxa"/>
            <w:bottom w:w="0" w:type="dxa"/>
          </w:tblCellMar>
        </w:tblPrEx>
        <w:trPr>
          <w:cantSplit/>
          <w:tblHeader/>
          <w:jc w:val="center"/>
        </w:trPr>
        <w:tc>
          <w:tcPr>
            <w:tcW w:w="1305" w:type="dxa"/>
            <w:vMerge/>
            <w:tcBorders>
              <w:bottom w:val="single" w:sz="12" w:space="0" w:color="auto"/>
            </w:tcBorders>
            <w:shd w:val="clear" w:color="auto" w:fill="auto"/>
            <w:vAlign w:val="bottom"/>
          </w:tcPr>
          <w:p w:rsidR="00DB7BD5" w:rsidRPr="00800D61" w:rsidRDefault="00DB7BD5" w:rsidP="00800D61">
            <w:pPr>
              <w:tabs>
                <w:tab w:val="left" w:pos="288"/>
                <w:tab w:val="left" w:pos="576"/>
                <w:tab w:val="left" w:pos="864"/>
                <w:tab w:val="left" w:pos="1152"/>
              </w:tabs>
              <w:spacing w:after="80" w:line="240" w:lineRule="exact"/>
              <w:ind w:left="72" w:right="72"/>
              <w:rPr>
                <w:rFonts w:hint="cs"/>
                <w:i/>
                <w:iCs/>
                <w:sz w:val="16"/>
                <w:szCs w:val="24"/>
                <w:rtl/>
              </w:rPr>
            </w:pPr>
          </w:p>
        </w:tc>
        <w:tc>
          <w:tcPr>
            <w:tcW w:w="2240" w:type="dxa"/>
            <w:tcBorders>
              <w:top w:val="single" w:sz="4" w:space="0" w:color="auto"/>
              <w:bottom w:val="single" w:sz="12" w:space="0" w:color="auto"/>
            </w:tcBorders>
            <w:shd w:val="clear" w:color="auto" w:fill="auto"/>
            <w:vAlign w:val="bottom"/>
          </w:tcPr>
          <w:p w:rsidR="00DB7BD5" w:rsidRPr="00800D61" w:rsidRDefault="00DB7BD5" w:rsidP="00800D61">
            <w:pPr>
              <w:tabs>
                <w:tab w:val="left" w:pos="288"/>
                <w:tab w:val="left" w:pos="576"/>
                <w:tab w:val="left" w:pos="864"/>
                <w:tab w:val="left" w:pos="1152"/>
              </w:tabs>
              <w:spacing w:after="80" w:line="240" w:lineRule="exact"/>
              <w:ind w:left="72" w:right="72"/>
              <w:jc w:val="center"/>
              <w:rPr>
                <w:rFonts w:hint="cs"/>
                <w:i/>
                <w:iCs/>
                <w:sz w:val="16"/>
                <w:szCs w:val="24"/>
                <w:rtl/>
              </w:rPr>
            </w:pPr>
            <w:r>
              <w:rPr>
                <w:rFonts w:hint="cs"/>
                <w:i/>
                <w:iCs/>
                <w:sz w:val="16"/>
                <w:szCs w:val="24"/>
                <w:rtl/>
              </w:rPr>
              <w:t>المجموع</w:t>
            </w:r>
          </w:p>
        </w:tc>
        <w:tc>
          <w:tcPr>
            <w:tcW w:w="960" w:type="dxa"/>
            <w:tcBorders>
              <w:top w:val="single" w:sz="4" w:space="0" w:color="auto"/>
              <w:bottom w:val="single" w:sz="12" w:space="0" w:color="auto"/>
            </w:tcBorders>
            <w:shd w:val="clear" w:color="auto" w:fill="auto"/>
            <w:vAlign w:val="bottom"/>
          </w:tcPr>
          <w:p w:rsidR="00DB7BD5" w:rsidRPr="00800D61" w:rsidRDefault="00DB7BD5" w:rsidP="00800D61">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العدد</w:t>
            </w:r>
          </w:p>
        </w:tc>
        <w:tc>
          <w:tcPr>
            <w:tcW w:w="960" w:type="dxa"/>
            <w:tcBorders>
              <w:top w:val="single" w:sz="4" w:space="0" w:color="auto"/>
              <w:bottom w:val="single" w:sz="12" w:space="0" w:color="auto"/>
            </w:tcBorders>
            <w:shd w:val="clear" w:color="auto" w:fill="auto"/>
            <w:vAlign w:val="bottom"/>
          </w:tcPr>
          <w:p w:rsidR="00DB7BD5" w:rsidRPr="00800D61" w:rsidRDefault="00DB7BD5" w:rsidP="00800D61">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النسبة المئوية</w:t>
            </w:r>
          </w:p>
        </w:tc>
        <w:tc>
          <w:tcPr>
            <w:tcW w:w="880" w:type="dxa"/>
            <w:tcBorders>
              <w:top w:val="single" w:sz="4" w:space="0" w:color="auto"/>
              <w:bottom w:val="single" w:sz="12" w:space="0" w:color="auto"/>
            </w:tcBorders>
            <w:shd w:val="clear" w:color="auto" w:fill="auto"/>
            <w:vAlign w:val="bottom"/>
          </w:tcPr>
          <w:p w:rsidR="00DB7BD5" w:rsidRPr="00800D61" w:rsidRDefault="00DB7BD5" w:rsidP="00800D61">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العدد</w:t>
            </w:r>
          </w:p>
        </w:tc>
        <w:tc>
          <w:tcPr>
            <w:tcW w:w="975" w:type="dxa"/>
            <w:tcBorders>
              <w:top w:val="single" w:sz="4" w:space="0" w:color="auto"/>
              <w:bottom w:val="single" w:sz="12" w:space="0" w:color="auto"/>
            </w:tcBorders>
            <w:shd w:val="clear" w:color="auto" w:fill="auto"/>
            <w:vAlign w:val="bottom"/>
          </w:tcPr>
          <w:p w:rsidR="00DB7BD5" w:rsidRPr="00800D61" w:rsidRDefault="00DB7BD5" w:rsidP="00800D61">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النسبة المئوية</w:t>
            </w:r>
          </w:p>
        </w:tc>
      </w:tr>
      <w:tr w:rsidR="00800D61" w:rsidRPr="00800D61">
        <w:tblPrEx>
          <w:tblCellMar>
            <w:top w:w="0" w:type="dxa"/>
            <w:bottom w:w="0" w:type="dxa"/>
          </w:tblCellMar>
        </w:tblPrEx>
        <w:trPr>
          <w:cantSplit/>
          <w:trHeight w:hRule="exact" w:val="115"/>
          <w:tblHeader/>
          <w:jc w:val="center"/>
        </w:trPr>
        <w:tc>
          <w:tcPr>
            <w:tcW w:w="1305" w:type="dxa"/>
            <w:tcBorders>
              <w:top w:val="single" w:sz="12" w:space="0" w:color="auto"/>
            </w:tcBorders>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rPr>
                <w:rFonts w:hint="cs"/>
                <w:sz w:val="16"/>
                <w:szCs w:val="24"/>
                <w:rtl/>
              </w:rPr>
            </w:pPr>
          </w:p>
        </w:tc>
        <w:tc>
          <w:tcPr>
            <w:tcW w:w="2240" w:type="dxa"/>
            <w:tcBorders>
              <w:top w:val="single" w:sz="12" w:space="0" w:color="auto"/>
            </w:tcBorders>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center"/>
              <w:rPr>
                <w:rFonts w:hint="cs"/>
                <w:sz w:val="16"/>
                <w:szCs w:val="24"/>
                <w:rtl/>
              </w:rPr>
            </w:pPr>
          </w:p>
        </w:tc>
        <w:tc>
          <w:tcPr>
            <w:tcW w:w="960" w:type="dxa"/>
            <w:tcBorders>
              <w:top w:val="single" w:sz="12" w:space="0" w:color="auto"/>
            </w:tcBorders>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960" w:type="dxa"/>
            <w:tcBorders>
              <w:top w:val="single" w:sz="12" w:space="0" w:color="auto"/>
            </w:tcBorders>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880" w:type="dxa"/>
            <w:tcBorders>
              <w:top w:val="single" w:sz="12" w:space="0" w:color="auto"/>
            </w:tcBorders>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975" w:type="dxa"/>
            <w:tcBorders>
              <w:top w:val="single" w:sz="12" w:space="0" w:color="auto"/>
            </w:tcBorders>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800D61" w:rsidRPr="00800D61">
        <w:tblPrEx>
          <w:tblCellMar>
            <w:top w:w="0" w:type="dxa"/>
            <w:bottom w:w="0" w:type="dxa"/>
          </w:tblCellMar>
        </w:tblPrEx>
        <w:trPr>
          <w:cantSplit/>
          <w:jc w:val="center"/>
        </w:trPr>
        <w:tc>
          <w:tcPr>
            <w:tcW w:w="1305"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1985</w:t>
            </w:r>
          </w:p>
        </w:tc>
        <w:tc>
          <w:tcPr>
            <w:tcW w:w="2240"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center"/>
              <w:rPr>
                <w:rFonts w:hint="cs"/>
                <w:sz w:val="16"/>
                <w:szCs w:val="24"/>
                <w:rtl/>
              </w:rPr>
            </w:pPr>
            <w:r>
              <w:rPr>
                <w:rFonts w:hint="cs"/>
                <w:sz w:val="16"/>
                <w:szCs w:val="24"/>
                <w:rtl/>
              </w:rPr>
              <w:t>87</w:t>
            </w:r>
          </w:p>
        </w:tc>
        <w:tc>
          <w:tcPr>
            <w:tcW w:w="960"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صفر</w:t>
            </w:r>
          </w:p>
        </w:tc>
        <w:tc>
          <w:tcPr>
            <w:tcW w:w="960"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0.0</w:t>
            </w:r>
          </w:p>
        </w:tc>
        <w:tc>
          <w:tcPr>
            <w:tcW w:w="880"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87</w:t>
            </w:r>
          </w:p>
        </w:tc>
        <w:tc>
          <w:tcPr>
            <w:tcW w:w="975"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r>
      <w:tr w:rsidR="00800D61" w:rsidRPr="00800D61">
        <w:tblPrEx>
          <w:tblCellMar>
            <w:top w:w="0" w:type="dxa"/>
            <w:bottom w:w="0" w:type="dxa"/>
          </w:tblCellMar>
        </w:tblPrEx>
        <w:trPr>
          <w:cantSplit/>
          <w:jc w:val="center"/>
        </w:trPr>
        <w:tc>
          <w:tcPr>
            <w:tcW w:w="1305"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1990</w:t>
            </w:r>
          </w:p>
        </w:tc>
        <w:tc>
          <w:tcPr>
            <w:tcW w:w="2240"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center"/>
              <w:rPr>
                <w:rFonts w:hint="cs"/>
                <w:sz w:val="16"/>
                <w:szCs w:val="24"/>
                <w:rtl/>
              </w:rPr>
            </w:pPr>
            <w:r>
              <w:rPr>
                <w:rFonts w:hint="cs"/>
                <w:sz w:val="16"/>
                <w:szCs w:val="24"/>
                <w:rtl/>
              </w:rPr>
              <w:t>87</w:t>
            </w:r>
          </w:p>
        </w:tc>
        <w:tc>
          <w:tcPr>
            <w:tcW w:w="960"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w:t>
            </w:r>
          </w:p>
        </w:tc>
        <w:tc>
          <w:tcPr>
            <w:tcW w:w="960"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w:t>
            </w:r>
          </w:p>
        </w:tc>
        <w:tc>
          <w:tcPr>
            <w:tcW w:w="880"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86</w:t>
            </w:r>
          </w:p>
        </w:tc>
        <w:tc>
          <w:tcPr>
            <w:tcW w:w="975"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98.9</w:t>
            </w:r>
          </w:p>
        </w:tc>
      </w:tr>
      <w:tr w:rsidR="00800D61" w:rsidRPr="00800D61">
        <w:tblPrEx>
          <w:tblCellMar>
            <w:top w:w="0" w:type="dxa"/>
            <w:bottom w:w="0" w:type="dxa"/>
          </w:tblCellMar>
        </w:tblPrEx>
        <w:trPr>
          <w:cantSplit/>
          <w:jc w:val="center"/>
        </w:trPr>
        <w:tc>
          <w:tcPr>
            <w:tcW w:w="1305"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1997</w:t>
            </w:r>
          </w:p>
        </w:tc>
        <w:tc>
          <w:tcPr>
            <w:tcW w:w="2240"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center"/>
              <w:rPr>
                <w:rFonts w:hint="cs"/>
                <w:sz w:val="16"/>
                <w:szCs w:val="24"/>
                <w:rtl/>
              </w:rPr>
            </w:pPr>
            <w:r>
              <w:rPr>
                <w:rFonts w:hint="cs"/>
                <w:sz w:val="16"/>
                <w:szCs w:val="24"/>
                <w:rtl/>
              </w:rPr>
              <w:t>87</w:t>
            </w:r>
          </w:p>
        </w:tc>
        <w:tc>
          <w:tcPr>
            <w:tcW w:w="960"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w:t>
            </w:r>
          </w:p>
        </w:tc>
        <w:tc>
          <w:tcPr>
            <w:tcW w:w="960"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2.3</w:t>
            </w:r>
          </w:p>
        </w:tc>
        <w:tc>
          <w:tcPr>
            <w:tcW w:w="880"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85</w:t>
            </w:r>
          </w:p>
        </w:tc>
        <w:tc>
          <w:tcPr>
            <w:tcW w:w="975" w:type="dxa"/>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97.7</w:t>
            </w:r>
          </w:p>
        </w:tc>
      </w:tr>
      <w:tr w:rsidR="00800D61" w:rsidRPr="00800D61">
        <w:tblPrEx>
          <w:tblCellMar>
            <w:top w:w="0" w:type="dxa"/>
            <w:bottom w:w="0" w:type="dxa"/>
          </w:tblCellMar>
        </w:tblPrEx>
        <w:trPr>
          <w:cantSplit/>
          <w:jc w:val="center"/>
        </w:trPr>
        <w:tc>
          <w:tcPr>
            <w:tcW w:w="1305" w:type="dxa"/>
            <w:tcBorders>
              <w:bottom w:val="single" w:sz="12" w:space="0" w:color="auto"/>
            </w:tcBorders>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2002</w:t>
            </w:r>
          </w:p>
        </w:tc>
        <w:tc>
          <w:tcPr>
            <w:tcW w:w="2240" w:type="dxa"/>
            <w:tcBorders>
              <w:bottom w:val="single" w:sz="12" w:space="0" w:color="auto"/>
            </w:tcBorders>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center"/>
              <w:rPr>
                <w:rFonts w:hint="cs"/>
                <w:sz w:val="16"/>
                <w:szCs w:val="24"/>
                <w:rtl/>
              </w:rPr>
            </w:pPr>
            <w:r>
              <w:rPr>
                <w:rFonts w:hint="cs"/>
                <w:sz w:val="16"/>
                <w:szCs w:val="24"/>
                <w:rtl/>
              </w:rPr>
              <w:t>100</w:t>
            </w:r>
          </w:p>
        </w:tc>
        <w:tc>
          <w:tcPr>
            <w:tcW w:w="960" w:type="dxa"/>
            <w:tcBorders>
              <w:bottom w:val="single" w:sz="12" w:space="0" w:color="auto"/>
            </w:tcBorders>
            <w:shd w:val="clear" w:color="auto" w:fill="auto"/>
            <w:vAlign w:val="bottom"/>
          </w:tcPr>
          <w:p w:rsidR="00800D61" w:rsidRPr="00831A0F"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18</w:t>
            </w:r>
            <w:r w:rsidR="00831A0F" w:rsidRPr="00831A0F">
              <w:rPr>
                <w:sz w:val="16"/>
                <w:szCs w:val="24"/>
                <w:vertAlign w:val="superscript"/>
                <w:rtl/>
              </w:rPr>
              <w:t>(</w:t>
            </w:r>
            <w:r w:rsidR="00831A0F">
              <w:rPr>
                <w:rStyle w:val="FootnoteReference"/>
                <w:rtl/>
              </w:rPr>
              <w:footnoteReference w:id="8"/>
            </w:r>
            <w:r w:rsidR="00831A0F" w:rsidRPr="00831A0F">
              <w:rPr>
                <w:sz w:val="16"/>
                <w:szCs w:val="24"/>
                <w:vertAlign w:val="superscript"/>
                <w:rtl/>
              </w:rPr>
              <w:t>)</w:t>
            </w:r>
          </w:p>
        </w:tc>
        <w:tc>
          <w:tcPr>
            <w:tcW w:w="960" w:type="dxa"/>
            <w:tcBorders>
              <w:bottom w:val="single" w:sz="12" w:space="0" w:color="auto"/>
            </w:tcBorders>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18</w:t>
            </w:r>
          </w:p>
        </w:tc>
        <w:tc>
          <w:tcPr>
            <w:tcW w:w="880" w:type="dxa"/>
            <w:tcBorders>
              <w:bottom w:val="single" w:sz="12" w:space="0" w:color="auto"/>
            </w:tcBorders>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72</w:t>
            </w:r>
          </w:p>
        </w:tc>
        <w:tc>
          <w:tcPr>
            <w:tcW w:w="975" w:type="dxa"/>
            <w:tcBorders>
              <w:bottom w:val="single" w:sz="12" w:space="0" w:color="auto"/>
            </w:tcBorders>
            <w:shd w:val="clear" w:color="auto" w:fill="auto"/>
            <w:vAlign w:val="bottom"/>
          </w:tcPr>
          <w:p w:rsidR="00800D61" w:rsidRPr="00800D61" w:rsidRDefault="00800D61" w:rsidP="00800D61">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72</w:t>
            </w:r>
          </w:p>
        </w:tc>
      </w:tr>
    </w:tbl>
    <w:p w:rsidR="00800D61" w:rsidRPr="00800D61" w:rsidRDefault="00800D61" w:rsidP="00800D61">
      <w:pPr>
        <w:pStyle w:val="SingleTxt"/>
        <w:spacing w:after="0" w:line="120" w:lineRule="exact"/>
        <w:rPr>
          <w:rFonts w:hint="cs"/>
          <w:sz w:val="10"/>
          <w:rtl/>
        </w:rPr>
      </w:pPr>
    </w:p>
    <w:p w:rsidR="00800D61" w:rsidRDefault="00D42E69" w:rsidP="00D42E6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Pr>
          <w:rFonts w:hint="cs"/>
          <w:i/>
          <w:iCs/>
          <w:rtl/>
        </w:rPr>
        <w:tab/>
      </w:r>
      <w:r w:rsidR="00800D61" w:rsidRPr="00BA7A33">
        <w:rPr>
          <w:rFonts w:hint="cs"/>
          <w:i/>
          <w:iCs/>
          <w:rtl/>
        </w:rPr>
        <w:t>المصدر</w:t>
      </w:r>
      <w:r w:rsidR="00800D61">
        <w:rPr>
          <w:rFonts w:hint="cs"/>
          <w:rtl/>
        </w:rPr>
        <w:t xml:space="preserve">: أمانة مجلس الشيوخ، دار البرلمان، إسلام أباد. تقرير خط الأساس لمشاركة المرأة في الحياة العامة والسياسية في باكستان، مؤسسة </w:t>
      </w:r>
      <w:proofErr w:type="spellStart"/>
      <w:r w:rsidR="00800D61">
        <w:rPr>
          <w:rFonts w:hint="cs"/>
          <w:rtl/>
        </w:rPr>
        <w:t>أورات</w:t>
      </w:r>
      <w:proofErr w:type="spellEnd"/>
      <w:r w:rsidR="00800D61">
        <w:rPr>
          <w:rFonts w:hint="cs"/>
          <w:rtl/>
        </w:rPr>
        <w:t>، تشرين الأول/أكتوبر 199</w:t>
      </w:r>
      <w:r>
        <w:rPr>
          <w:rFonts w:hint="cs"/>
          <w:rtl/>
        </w:rPr>
        <w:t>9</w:t>
      </w:r>
      <w:r w:rsidR="00800D61">
        <w:rPr>
          <w:rFonts w:hint="cs"/>
          <w:rtl/>
        </w:rPr>
        <w:t>.</w:t>
      </w:r>
    </w:p>
    <w:p w:rsidR="00597152" w:rsidRPr="00597152" w:rsidRDefault="00597152" w:rsidP="00597152">
      <w:pPr>
        <w:pStyle w:val="SingleTxt"/>
        <w:spacing w:after="0" w:line="120" w:lineRule="exact"/>
        <w:rPr>
          <w:rFonts w:hint="cs"/>
          <w:sz w:val="10"/>
          <w:rtl/>
        </w:rPr>
      </w:pPr>
    </w:p>
    <w:p w:rsidR="00800D61" w:rsidRPr="00800D61" w:rsidRDefault="00800D61" w:rsidP="00800D61">
      <w:pPr>
        <w:pStyle w:val="SingleTxt"/>
        <w:spacing w:after="0" w:line="120" w:lineRule="exact"/>
        <w:rPr>
          <w:rFonts w:hint="cs"/>
          <w:sz w:val="10"/>
          <w:rtl/>
        </w:rPr>
      </w:pPr>
    </w:p>
    <w:p w:rsidR="00800D61" w:rsidRDefault="00C81693" w:rsidP="00C81693">
      <w:pPr>
        <w:pStyle w:val="SingleTxt"/>
        <w:spacing w:after="0"/>
        <w:rPr>
          <w:rFonts w:hint="cs"/>
          <w:rtl/>
        </w:rPr>
      </w:pPr>
      <w:r>
        <w:rPr>
          <w:rFonts w:hint="cs"/>
          <w:rtl/>
        </w:rPr>
        <w:t>الجدول 7-4</w:t>
      </w:r>
    </w:p>
    <w:p w:rsidR="00C81693" w:rsidRDefault="00C81693" w:rsidP="004B3B98">
      <w:pPr>
        <w:pStyle w:val="SingleTxt"/>
        <w:rPr>
          <w:rFonts w:hint="cs"/>
          <w:b/>
          <w:bCs/>
          <w:rtl/>
        </w:rPr>
      </w:pPr>
      <w:r w:rsidRPr="00C81693">
        <w:rPr>
          <w:rFonts w:hint="cs"/>
          <w:b/>
          <w:bCs/>
          <w:rtl/>
        </w:rPr>
        <w:t>عدد الأعضاء المنتخبين في الجمعية الوطنية حسب نوع الجنس وسنة الانتخابات</w:t>
      </w:r>
    </w:p>
    <w:p w:rsidR="00597152" w:rsidRPr="00597152" w:rsidRDefault="00597152" w:rsidP="00597152">
      <w:pPr>
        <w:pStyle w:val="SingleTxt"/>
        <w:spacing w:after="0" w:line="120" w:lineRule="exact"/>
        <w:rPr>
          <w:rFonts w:hint="cs"/>
          <w:sz w:val="10"/>
          <w:rtl/>
        </w:rPr>
      </w:pPr>
    </w:p>
    <w:tbl>
      <w:tblPr>
        <w:bidiVisual/>
        <w:tblW w:w="7320" w:type="dxa"/>
        <w:jc w:val="center"/>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C81693" w:rsidRPr="00C81693">
        <w:tblPrEx>
          <w:tblCellMar>
            <w:top w:w="0" w:type="dxa"/>
            <w:bottom w:w="0" w:type="dxa"/>
          </w:tblCellMar>
        </w:tblPrEx>
        <w:trPr>
          <w:cantSplit/>
          <w:tblHeader/>
          <w:jc w:val="center"/>
        </w:trPr>
        <w:tc>
          <w:tcPr>
            <w:tcW w:w="1220" w:type="dxa"/>
            <w:vMerge w:val="restart"/>
            <w:tcBorders>
              <w:top w:val="single" w:sz="4"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سنة الانتخابات</w:t>
            </w:r>
          </w:p>
        </w:tc>
        <w:tc>
          <w:tcPr>
            <w:tcW w:w="1220" w:type="dxa"/>
            <w:vMerge w:val="restart"/>
            <w:tcBorders>
              <w:top w:val="single" w:sz="4" w:space="0" w:color="auto"/>
              <w:bottom w:val="single" w:sz="4"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عدد الأعضاء المنتخبين</w:t>
            </w:r>
          </w:p>
        </w:tc>
        <w:tc>
          <w:tcPr>
            <w:tcW w:w="4880" w:type="dxa"/>
            <w:gridSpan w:val="4"/>
            <w:tcBorders>
              <w:top w:val="single" w:sz="4" w:space="0" w:color="auto"/>
              <w:bottom w:val="single" w:sz="4"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عدد الأعضاء المنتخبين</w:t>
            </w:r>
          </w:p>
        </w:tc>
      </w:tr>
      <w:tr w:rsidR="00C81693" w:rsidRPr="00C81693">
        <w:tblPrEx>
          <w:tblCellMar>
            <w:top w:w="0" w:type="dxa"/>
            <w:bottom w:w="0" w:type="dxa"/>
          </w:tblCellMar>
        </w:tblPrEx>
        <w:trPr>
          <w:cantSplit/>
          <w:tblHeader/>
          <w:jc w:val="center"/>
        </w:trPr>
        <w:tc>
          <w:tcPr>
            <w:tcW w:w="1220" w:type="dxa"/>
            <w:vMerge/>
            <w:shd w:val="clear" w:color="auto" w:fill="auto"/>
            <w:vAlign w:val="bottom"/>
          </w:tcPr>
          <w:p w:rsidR="00C81693" w:rsidRPr="00C81693" w:rsidRDefault="00C81693" w:rsidP="00C81693">
            <w:pPr>
              <w:tabs>
                <w:tab w:val="left" w:pos="288"/>
                <w:tab w:val="left" w:pos="576"/>
                <w:tab w:val="left" w:pos="864"/>
                <w:tab w:val="left" w:pos="1152"/>
              </w:tabs>
              <w:spacing w:after="80" w:line="240" w:lineRule="exact"/>
              <w:ind w:left="72" w:right="72"/>
              <w:rPr>
                <w:rFonts w:hint="cs"/>
                <w:i/>
                <w:iCs/>
                <w:sz w:val="16"/>
                <w:szCs w:val="24"/>
                <w:rtl/>
              </w:rPr>
            </w:pPr>
          </w:p>
        </w:tc>
        <w:tc>
          <w:tcPr>
            <w:tcW w:w="1220" w:type="dxa"/>
            <w:vMerge/>
            <w:tcBorders>
              <w:bottom w:val="single" w:sz="4"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after="80" w:line="240" w:lineRule="exact"/>
              <w:ind w:left="72" w:right="72"/>
              <w:jc w:val="lowKashida"/>
              <w:rPr>
                <w:rFonts w:hint="cs"/>
                <w:i/>
                <w:iCs/>
                <w:sz w:val="16"/>
                <w:szCs w:val="24"/>
                <w:rtl/>
              </w:rPr>
            </w:pPr>
          </w:p>
        </w:tc>
        <w:tc>
          <w:tcPr>
            <w:tcW w:w="2440" w:type="dxa"/>
            <w:gridSpan w:val="2"/>
            <w:tcBorders>
              <w:top w:val="single" w:sz="4" w:space="0" w:color="auto"/>
              <w:bottom w:val="single" w:sz="4"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after="80" w:line="240" w:lineRule="exact"/>
              <w:ind w:left="72" w:right="72"/>
              <w:jc w:val="center"/>
              <w:rPr>
                <w:rFonts w:hint="cs"/>
                <w:i/>
                <w:iCs/>
                <w:sz w:val="16"/>
                <w:szCs w:val="24"/>
                <w:rtl/>
              </w:rPr>
            </w:pPr>
            <w:r>
              <w:rPr>
                <w:rFonts w:hint="cs"/>
                <w:i/>
                <w:iCs/>
                <w:sz w:val="16"/>
                <w:szCs w:val="24"/>
                <w:rtl/>
              </w:rPr>
              <w:t>النساء</w:t>
            </w:r>
          </w:p>
        </w:tc>
        <w:tc>
          <w:tcPr>
            <w:tcW w:w="2440" w:type="dxa"/>
            <w:gridSpan w:val="2"/>
            <w:tcBorders>
              <w:top w:val="single" w:sz="4" w:space="0" w:color="auto"/>
              <w:bottom w:val="single" w:sz="4"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after="80" w:line="240" w:lineRule="exact"/>
              <w:ind w:left="72" w:right="72"/>
              <w:jc w:val="center"/>
              <w:rPr>
                <w:rFonts w:hint="cs"/>
                <w:i/>
                <w:iCs/>
                <w:sz w:val="16"/>
                <w:szCs w:val="24"/>
                <w:rtl/>
              </w:rPr>
            </w:pPr>
            <w:r>
              <w:rPr>
                <w:rFonts w:hint="cs"/>
                <w:i/>
                <w:iCs/>
                <w:sz w:val="16"/>
                <w:szCs w:val="24"/>
                <w:rtl/>
              </w:rPr>
              <w:t>الرجال</w:t>
            </w:r>
          </w:p>
        </w:tc>
      </w:tr>
      <w:tr w:rsidR="00C81693" w:rsidRPr="00C81693">
        <w:tblPrEx>
          <w:tblCellMar>
            <w:top w:w="0" w:type="dxa"/>
            <w:bottom w:w="0" w:type="dxa"/>
          </w:tblCellMar>
        </w:tblPrEx>
        <w:trPr>
          <w:cantSplit/>
          <w:tblHeader/>
          <w:jc w:val="center"/>
        </w:trPr>
        <w:tc>
          <w:tcPr>
            <w:tcW w:w="1220" w:type="dxa"/>
            <w:vMerge/>
            <w:tcBorders>
              <w:bottom w:val="single" w:sz="12"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after="80" w:line="240" w:lineRule="exact"/>
              <w:ind w:left="72" w:right="72"/>
              <w:rPr>
                <w:rFonts w:hint="cs"/>
                <w:i/>
                <w:iCs/>
                <w:sz w:val="16"/>
                <w:szCs w:val="24"/>
                <w:rtl/>
              </w:rPr>
            </w:pPr>
          </w:p>
        </w:tc>
        <w:tc>
          <w:tcPr>
            <w:tcW w:w="1220" w:type="dxa"/>
            <w:tcBorders>
              <w:top w:val="single" w:sz="4" w:space="0" w:color="auto"/>
              <w:bottom w:val="single" w:sz="12"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المجموع</w:t>
            </w:r>
          </w:p>
        </w:tc>
        <w:tc>
          <w:tcPr>
            <w:tcW w:w="1220" w:type="dxa"/>
            <w:tcBorders>
              <w:top w:val="single" w:sz="4" w:space="0" w:color="auto"/>
              <w:bottom w:val="single" w:sz="12"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العدد</w:t>
            </w:r>
          </w:p>
        </w:tc>
        <w:tc>
          <w:tcPr>
            <w:tcW w:w="1220" w:type="dxa"/>
            <w:tcBorders>
              <w:top w:val="single" w:sz="4" w:space="0" w:color="auto"/>
              <w:bottom w:val="single" w:sz="12"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النسبة المئوية</w:t>
            </w:r>
          </w:p>
        </w:tc>
        <w:tc>
          <w:tcPr>
            <w:tcW w:w="1220" w:type="dxa"/>
            <w:tcBorders>
              <w:top w:val="single" w:sz="4" w:space="0" w:color="auto"/>
              <w:bottom w:val="single" w:sz="12"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العدد</w:t>
            </w:r>
          </w:p>
        </w:tc>
        <w:tc>
          <w:tcPr>
            <w:tcW w:w="1220" w:type="dxa"/>
            <w:tcBorders>
              <w:top w:val="single" w:sz="4" w:space="0" w:color="auto"/>
              <w:bottom w:val="single" w:sz="12"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النسبة المئوية</w:t>
            </w:r>
          </w:p>
        </w:tc>
      </w:tr>
      <w:tr w:rsidR="00C81693" w:rsidRPr="00C81693">
        <w:tblPrEx>
          <w:tblCellMar>
            <w:top w:w="0" w:type="dxa"/>
            <w:bottom w:w="0" w:type="dxa"/>
          </w:tblCellMar>
        </w:tblPrEx>
        <w:trPr>
          <w:cantSplit/>
          <w:trHeight w:hRule="exact" w:val="115"/>
          <w:tblHeader/>
          <w:jc w:val="center"/>
        </w:trPr>
        <w:tc>
          <w:tcPr>
            <w:tcW w:w="1220" w:type="dxa"/>
            <w:tcBorders>
              <w:top w:val="single" w:sz="12"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before="40" w:after="80" w:line="240" w:lineRule="exact"/>
              <w:ind w:left="72" w:right="72"/>
              <w:rPr>
                <w:rFonts w:hint="cs"/>
                <w:sz w:val="16"/>
                <w:szCs w:val="24"/>
                <w:rtl/>
              </w:rPr>
            </w:pPr>
          </w:p>
        </w:tc>
        <w:tc>
          <w:tcPr>
            <w:tcW w:w="1220" w:type="dxa"/>
            <w:tcBorders>
              <w:top w:val="single" w:sz="12"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20" w:type="dxa"/>
            <w:tcBorders>
              <w:top w:val="single" w:sz="12"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20" w:type="dxa"/>
            <w:tcBorders>
              <w:top w:val="single" w:sz="12"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20" w:type="dxa"/>
            <w:tcBorders>
              <w:top w:val="single" w:sz="12"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20" w:type="dxa"/>
            <w:tcBorders>
              <w:top w:val="single" w:sz="12" w:space="0" w:color="auto"/>
            </w:tcBorders>
            <w:shd w:val="clear" w:color="auto" w:fill="auto"/>
            <w:vAlign w:val="bottom"/>
          </w:tcPr>
          <w:p w:rsidR="00C81693" w:rsidRPr="00C81693" w:rsidRDefault="00C81693" w:rsidP="00C81693">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C81693" w:rsidRPr="00C81693">
        <w:tblPrEx>
          <w:tblCellMar>
            <w:top w:w="0" w:type="dxa"/>
            <w:bottom w:w="0" w:type="dxa"/>
          </w:tblCellMar>
        </w:tblPrEx>
        <w:trPr>
          <w:cantSplit/>
          <w:jc w:val="center"/>
        </w:trPr>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1985</w:t>
            </w:r>
          </w:p>
        </w:tc>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237</w:t>
            </w:r>
          </w:p>
        </w:tc>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23</w:t>
            </w:r>
          </w:p>
        </w:tc>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9.7</w:t>
            </w:r>
          </w:p>
        </w:tc>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214</w:t>
            </w:r>
          </w:p>
        </w:tc>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90.3</w:t>
            </w:r>
          </w:p>
        </w:tc>
      </w:tr>
      <w:tr w:rsidR="00C81693" w:rsidRPr="00C81693">
        <w:tblPrEx>
          <w:tblCellMar>
            <w:top w:w="0" w:type="dxa"/>
            <w:bottom w:w="0" w:type="dxa"/>
          </w:tblCellMar>
        </w:tblPrEx>
        <w:trPr>
          <w:cantSplit/>
          <w:jc w:val="center"/>
        </w:trPr>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1990</w:t>
            </w:r>
          </w:p>
        </w:tc>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217</w:t>
            </w:r>
          </w:p>
        </w:tc>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w:t>
            </w:r>
          </w:p>
        </w:tc>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0.9</w:t>
            </w:r>
          </w:p>
        </w:tc>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215</w:t>
            </w:r>
          </w:p>
        </w:tc>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99.1</w:t>
            </w:r>
          </w:p>
        </w:tc>
      </w:tr>
      <w:tr w:rsidR="00C81693" w:rsidRPr="00C81693">
        <w:tblPrEx>
          <w:tblCellMar>
            <w:top w:w="0" w:type="dxa"/>
            <w:bottom w:w="0" w:type="dxa"/>
          </w:tblCellMar>
        </w:tblPrEx>
        <w:trPr>
          <w:cantSplit/>
          <w:jc w:val="center"/>
        </w:trPr>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1997</w:t>
            </w:r>
          </w:p>
        </w:tc>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217</w:t>
            </w:r>
          </w:p>
        </w:tc>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w:t>
            </w:r>
          </w:p>
        </w:tc>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2.8</w:t>
            </w:r>
          </w:p>
        </w:tc>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211</w:t>
            </w:r>
          </w:p>
        </w:tc>
        <w:tc>
          <w:tcPr>
            <w:tcW w:w="1220" w:type="dxa"/>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97.2</w:t>
            </w:r>
          </w:p>
        </w:tc>
      </w:tr>
      <w:tr w:rsidR="00C81693" w:rsidRPr="00C81693">
        <w:tblPrEx>
          <w:tblCellMar>
            <w:top w:w="0" w:type="dxa"/>
            <w:bottom w:w="0" w:type="dxa"/>
          </w:tblCellMar>
        </w:tblPrEx>
        <w:trPr>
          <w:cantSplit/>
          <w:jc w:val="center"/>
        </w:trPr>
        <w:tc>
          <w:tcPr>
            <w:tcW w:w="1220" w:type="dxa"/>
            <w:tcBorders>
              <w:bottom w:val="single" w:sz="12" w:space="0" w:color="auto"/>
            </w:tcBorders>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2002</w:t>
            </w:r>
          </w:p>
        </w:tc>
        <w:tc>
          <w:tcPr>
            <w:tcW w:w="1220" w:type="dxa"/>
            <w:tcBorders>
              <w:bottom w:val="single" w:sz="12" w:space="0" w:color="auto"/>
            </w:tcBorders>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342</w:t>
            </w:r>
          </w:p>
        </w:tc>
        <w:tc>
          <w:tcPr>
            <w:tcW w:w="1220" w:type="dxa"/>
            <w:tcBorders>
              <w:bottom w:val="single" w:sz="12" w:space="0" w:color="auto"/>
            </w:tcBorders>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73</w:t>
            </w:r>
          </w:p>
        </w:tc>
        <w:tc>
          <w:tcPr>
            <w:tcW w:w="1220" w:type="dxa"/>
            <w:tcBorders>
              <w:bottom w:val="single" w:sz="12" w:space="0" w:color="auto"/>
            </w:tcBorders>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21.3</w:t>
            </w:r>
          </w:p>
        </w:tc>
        <w:tc>
          <w:tcPr>
            <w:tcW w:w="1220" w:type="dxa"/>
            <w:tcBorders>
              <w:bottom w:val="single" w:sz="12" w:space="0" w:color="auto"/>
            </w:tcBorders>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269</w:t>
            </w:r>
          </w:p>
        </w:tc>
        <w:tc>
          <w:tcPr>
            <w:tcW w:w="1220" w:type="dxa"/>
            <w:tcBorders>
              <w:bottom w:val="single" w:sz="12" w:space="0" w:color="auto"/>
            </w:tcBorders>
            <w:shd w:val="clear" w:color="auto" w:fill="auto"/>
            <w:vAlign w:val="bottom"/>
          </w:tcPr>
          <w:p w:rsidR="00C81693" w:rsidRPr="00C81693" w:rsidRDefault="00EB25A3" w:rsidP="00C81693">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78.7</w:t>
            </w:r>
          </w:p>
        </w:tc>
      </w:tr>
    </w:tbl>
    <w:p w:rsidR="00EB25A3" w:rsidRPr="00EB25A3" w:rsidRDefault="00EB25A3" w:rsidP="00EB25A3">
      <w:pPr>
        <w:pStyle w:val="SingleTxt"/>
        <w:spacing w:after="0" w:line="120" w:lineRule="exact"/>
        <w:rPr>
          <w:rFonts w:hint="cs"/>
          <w:sz w:val="10"/>
          <w:rtl/>
        </w:rPr>
      </w:pPr>
    </w:p>
    <w:p w:rsidR="00C81693" w:rsidRDefault="00D42E69" w:rsidP="00D42E6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Pr>
          <w:rFonts w:hint="cs"/>
          <w:i/>
          <w:iCs/>
          <w:rtl/>
        </w:rPr>
        <w:tab/>
      </w:r>
      <w:r w:rsidR="00EB25A3" w:rsidRPr="00EB25A3">
        <w:rPr>
          <w:rFonts w:hint="cs"/>
          <w:i/>
          <w:iCs/>
          <w:rtl/>
        </w:rPr>
        <w:t>المصدر</w:t>
      </w:r>
      <w:r w:rsidR="00EB25A3">
        <w:rPr>
          <w:rFonts w:hint="cs"/>
          <w:rtl/>
        </w:rPr>
        <w:t xml:space="preserve">: أمانة الجمعية الوطنية، دار البرلمان، إسلام أباد. وردت في تقرير خط الأساس لمشاركة المرأة في الحياة العامة والسياسية في باكستان، مؤسسة </w:t>
      </w:r>
      <w:proofErr w:type="spellStart"/>
      <w:r w:rsidR="00EB25A3">
        <w:rPr>
          <w:rFonts w:hint="cs"/>
          <w:rtl/>
        </w:rPr>
        <w:t>أورات</w:t>
      </w:r>
      <w:proofErr w:type="spellEnd"/>
      <w:r w:rsidR="00EB25A3">
        <w:rPr>
          <w:rFonts w:hint="cs"/>
          <w:rtl/>
        </w:rPr>
        <w:t>، تشرين الأول/أكتوبر 199</w:t>
      </w:r>
      <w:r>
        <w:rPr>
          <w:rFonts w:hint="cs"/>
          <w:rtl/>
        </w:rPr>
        <w:t>9</w:t>
      </w:r>
      <w:r w:rsidR="00EB25A3">
        <w:rPr>
          <w:rFonts w:hint="cs"/>
          <w:rtl/>
        </w:rPr>
        <w:t>.</w:t>
      </w:r>
    </w:p>
    <w:p w:rsidR="00597152" w:rsidRPr="00597152" w:rsidRDefault="00597152" w:rsidP="0059715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597152" w:rsidRPr="00597152" w:rsidRDefault="00597152" w:rsidP="0059715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EB25A3" w:rsidRDefault="00597152" w:rsidP="00EB25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B25A3">
        <w:rPr>
          <w:rFonts w:hint="cs"/>
          <w:rtl/>
        </w:rPr>
        <w:t>المشاركة في صياغة السياسات الحكومية وتنفيذها، شغل الوظائف العامة وأداء جميع المهام العامة على مستويات الحكومة كافة</w:t>
      </w:r>
    </w:p>
    <w:p w:rsidR="00EB25A3" w:rsidRDefault="00EB25A3" w:rsidP="007A0673">
      <w:pPr>
        <w:pStyle w:val="SingleTxt"/>
        <w:spacing w:line="380" w:lineRule="exact"/>
        <w:rPr>
          <w:rFonts w:hint="cs"/>
          <w:rtl/>
        </w:rPr>
      </w:pPr>
      <w:r>
        <w:rPr>
          <w:rFonts w:hint="cs"/>
          <w:rtl/>
        </w:rPr>
        <w:t>125-</w:t>
      </w:r>
      <w:r>
        <w:rPr>
          <w:rFonts w:hint="cs"/>
          <w:rtl/>
        </w:rPr>
        <w:tab/>
      </w:r>
      <w:r w:rsidR="00E31A5B">
        <w:rPr>
          <w:rFonts w:hint="cs"/>
          <w:rtl/>
        </w:rPr>
        <w:t xml:space="preserve">لا توجد قيود على تمثيل المرأة في سياسات الحكومة ولكن ليس هناك آلية مؤسسية لضمان التشاور مع المرأة عند صياغة سياسات الحكومة. وأصدرت شعبة التخطيط تعليمات إلى جميع الوزارات والشُعب بالتشديد بصورة خاصة على النهوض بالمرأة في جميع المشاريع، كتدبير إصلاحي. وقد أدرجت مقاطعة </w:t>
      </w:r>
      <w:proofErr w:type="spellStart"/>
      <w:r w:rsidR="00E31A5B">
        <w:rPr>
          <w:rFonts w:hint="cs"/>
          <w:rtl/>
        </w:rPr>
        <w:t>بالوشستان</w:t>
      </w:r>
      <w:proofErr w:type="spellEnd"/>
      <w:r w:rsidR="00E31A5B">
        <w:rPr>
          <w:rFonts w:hint="cs"/>
          <w:rtl/>
        </w:rPr>
        <w:t xml:space="preserve"> مرفقا عن تقييم الأثر </w:t>
      </w:r>
      <w:proofErr w:type="spellStart"/>
      <w:r w:rsidR="00E31A5B">
        <w:rPr>
          <w:rFonts w:hint="cs"/>
          <w:rtl/>
        </w:rPr>
        <w:t>الجنساني</w:t>
      </w:r>
      <w:proofErr w:type="spellEnd"/>
      <w:r w:rsidR="00E31A5B">
        <w:rPr>
          <w:rFonts w:hint="cs"/>
          <w:rtl/>
        </w:rPr>
        <w:t xml:space="preserve"> للنموذج الأول للجنة التخطيط </w:t>
      </w:r>
      <w:r w:rsidR="00E31A5B">
        <w:t>(PE-I)</w:t>
      </w:r>
      <w:r w:rsidR="00E31A5B">
        <w:rPr>
          <w:rFonts w:hint="cs"/>
          <w:rtl/>
        </w:rPr>
        <w:t>، وهو أهم وثيقة لوضع المشاريع لحكومة باكستان. وتبذل الجهود لاعتماد مرفق مماثل في المقاطعات الثلاث الأخرى وعلى الصعيد الاتحادي.</w:t>
      </w:r>
    </w:p>
    <w:p w:rsidR="00E31A5B" w:rsidRDefault="00E31A5B" w:rsidP="002F717C">
      <w:pPr>
        <w:pStyle w:val="SingleTxt"/>
        <w:spacing w:line="380" w:lineRule="exact"/>
        <w:rPr>
          <w:rFonts w:hint="cs"/>
          <w:rtl/>
        </w:rPr>
      </w:pPr>
      <w:r>
        <w:rPr>
          <w:rFonts w:hint="cs"/>
          <w:rtl/>
        </w:rPr>
        <w:t>126-</w:t>
      </w:r>
      <w:r>
        <w:rPr>
          <w:rFonts w:hint="cs"/>
          <w:rtl/>
        </w:rPr>
        <w:tab/>
        <w:t>ويمكن ا</w:t>
      </w:r>
      <w:r w:rsidR="00597152">
        <w:rPr>
          <w:rFonts w:hint="cs"/>
          <w:rtl/>
        </w:rPr>
        <w:t>لإ</w:t>
      </w:r>
      <w:r>
        <w:rPr>
          <w:rFonts w:hint="cs"/>
          <w:rtl/>
        </w:rPr>
        <w:t>طلاع على عملية صياغة السياسات واتخاذ القرارات الحكومية على مستوى مجلس الوزراء، والسلطة التشريعية والخدمة الحكومية والهيئات المحلية. وترد مناقشة هذه المستويات المختلفة، تفصيليا، فيما يلي.</w:t>
      </w:r>
    </w:p>
    <w:p w:rsidR="00E31A5B" w:rsidRDefault="00E31A5B" w:rsidP="00E31A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على مستوى مجلس الوزراء</w:t>
      </w:r>
    </w:p>
    <w:p w:rsidR="00E31A5B" w:rsidRDefault="00E31A5B" w:rsidP="002F717C">
      <w:pPr>
        <w:pStyle w:val="SingleTxt"/>
        <w:spacing w:line="380" w:lineRule="exact"/>
        <w:rPr>
          <w:rFonts w:hint="cs"/>
          <w:rtl/>
        </w:rPr>
      </w:pPr>
      <w:r>
        <w:rPr>
          <w:rFonts w:hint="cs"/>
          <w:rtl/>
        </w:rPr>
        <w:t>127-</w:t>
      </w:r>
      <w:r>
        <w:rPr>
          <w:rFonts w:hint="cs"/>
          <w:rtl/>
        </w:rPr>
        <w:tab/>
        <w:t>يعد مجلس الوزراء أعلى المستويات. وبصورة عامة، يتضمن كل مجلس من مجالس الوزراء في باكستان، امرأة واحدة على الأقل. وترد أدناه النسبة المئوية للمرأة في مجالس الوزراء المختلفة في باكستان</w:t>
      </w:r>
      <w:r w:rsidR="000B3DE3">
        <w:rPr>
          <w:rFonts w:hint="cs"/>
          <w:rtl/>
        </w:rPr>
        <w:t>:</w:t>
      </w:r>
    </w:p>
    <w:p w:rsidR="000B3DE3" w:rsidRDefault="000B3DE3" w:rsidP="000B3DE3">
      <w:pPr>
        <w:pStyle w:val="SingleTxt"/>
        <w:spacing w:after="0"/>
        <w:rPr>
          <w:rFonts w:hint="cs"/>
          <w:rtl/>
        </w:rPr>
      </w:pPr>
      <w:r>
        <w:rPr>
          <w:rFonts w:hint="cs"/>
          <w:rtl/>
        </w:rPr>
        <w:t>الجدول 7-5</w:t>
      </w:r>
    </w:p>
    <w:p w:rsidR="000B3DE3" w:rsidRDefault="000B3DE3" w:rsidP="00A167F5">
      <w:pPr>
        <w:pStyle w:val="SingleTxt"/>
        <w:spacing w:after="0"/>
        <w:rPr>
          <w:rFonts w:hint="cs"/>
          <w:b/>
          <w:bCs/>
          <w:rtl/>
        </w:rPr>
      </w:pPr>
      <w:r w:rsidRPr="000B3DE3">
        <w:rPr>
          <w:rFonts w:hint="cs"/>
          <w:b/>
          <w:bCs/>
          <w:rtl/>
        </w:rPr>
        <w:t>الوزراء ووزراء الدولة في مجلس الوزراء الاتحادي</w:t>
      </w:r>
    </w:p>
    <w:p w:rsidR="00D42E69" w:rsidRPr="00D42E69" w:rsidRDefault="00D42E69" w:rsidP="00E31A5B">
      <w:pPr>
        <w:pStyle w:val="SingleTxt"/>
        <w:rPr>
          <w:rFonts w:hint="cs"/>
          <w:rtl/>
        </w:rPr>
      </w:pPr>
      <w:r>
        <w:rPr>
          <w:rFonts w:hint="cs"/>
          <w:rtl/>
        </w:rPr>
        <w:t>حسب نوع الجنس والسنة</w:t>
      </w:r>
    </w:p>
    <w:tbl>
      <w:tblPr>
        <w:bidiVisual/>
        <w:tblW w:w="0" w:type="auto"/>
        <w:jc w:val="center"/>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B3DE3" w:rsidRPr="000B3DE3">
        <w:tblPrEx>
          <w:tblCellMar>
            <w:top w:w="0" w:type="dxa"/>
            <w:bottom w:w="0" w:type="dxa"/>
          </w:tblCellMar>
        </w:tblPrEx>
        <w:trPr>
          <w:cantSplit/>
          <w:tblHeader/>
          <w:jc w:val="center"/>
        </w:trPr>
        <w:tc>
          <w:tcPr>
            <w:tcW w:w="1046" w:type="dxa"/>
            <w:tcBorders>
              <w:top w:val="single" w:sz="4"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80" w:after="80" w:line="240" w:lineRule="exact"/>
              <w:ind w:left="72" w:right="72"/>
              <w:rPr>
                <w:rFonts w:hint="cs"/>
                <w:i/>
                <w:iCs/>
                <w:sz w:val="16"/>
                <w:szCs w:val="24"/>
                <w:rtl/>
              </w:rPr>
            </w:pPr>
          </w:p>
        </w:tc>
        <w:tc>
          <w:tcPr>
            <w:tcW w:w="3138" w:type="dxa"/>
            <w:gridSpan w:val="3"/>
            <w:tcBorders>
              <w:top w:val="single" w:sz="4" w:space="0" w:color="auto"/>
              <w:bottom w:val="single" w:sz="4"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الوزراء الاتحاديون</w:t>
            </w:r>
          </w:p>
        </w:tc>
        <w:tc>
          <w:tcPr>
            <w:tcW w:w="3138" w:type="dxa"/>
            <w:gridSpan w:val="3"/>
            <w:tcBorders>
              <w:top w:val="single" w:sz="4" w:space="0" w:color="auto"/>
              <w:bottom w:val="single" w:sz="4"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80" w:after="80" w:line="240" w:lineRule="exact"/>
              <w:ind w:left="72" w:right="144"/>
              <w:jc w:val="center"/>
              <w:rPr>
                <w:rFonts w:hint="cs"/>
                <w:i/>
                <w:iCs/>
                <w:sz w:val="16"/>
                <w:szCs w:val="24"/>
                <w:rtl/>
              </w:rPr>
            </w:pPr>
            <w:r>
              <w:rPr>
                <w:rFonts w:hint="cs"/>
                <w:i/>
                <w:iCs/>
                <w:sz w:val="16"/>
                <w:szCs w:val="24"/>
                <w:rtl/>
              </w:rPr>
              <w:t>وزراء الدولة</w:t>
            </w:r>
          </w:p>
        </w:tc>
      </w:tr>
      <w:tr w:rsidR="000B3DE3" w:rsidRPr="000B3DE3">
        <w:tblPrEx>
          <w:tblCellMar>
            <w:top w:w="0" w:type="dxa"/>
            <w:bottom w:w="0" w:type="dxa"/>
          </w:tblCellMar>
        </w:tblPrEx>
        <w:trPr>
          <w:cantSplit/>
          <w:tblHeader/>
          <w:jc w:val="center"/>
        </w:trPr>
        <w:tc>
          <w:tcPr>
            <w:tcW w:w="1046" w:type="dxa"/>
            <w:tcBorders>
              <w:bottom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السنة</w:t>
            </w:r>
          </w:p>
        </w:tc>
        <w:tc>
          <w:tcPr>
            <w:tcW w:w="1046" w:type="dxa"/>
            <w:tcBorders>
              <w:top w:val="single" w:sz="4" w:space="0" w:color="auto"/>
              <w:bottom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after="80" w:line="240" w:lineRule="exact"/>
              <w:ind w:left="72" w:right="144"/>
              <w:jc w:val="lowKashida"/>
              <w:rPr>
                <w:rFonts w:hint="cs"/>
                <w:i/>
                <w:iCs/>
                <w:sz w:val="16"/>
                <w:szCs w:val="24"/>
                <w:rtl/>
              </w:rPr>
            </w:pPr>
            <w:r>
              <w:rPr>
                <w:rFonts w:hint="cs"/>
                <w:i/>
                <w:iCs/>
                <w:sz w:val="16"/>
                <w:szCs w:val="24"/>
                <w:rtl/>
              </w:rPr>
              <w:t>النساء</w:t>
            </w:r>
          </w:p>
        </w:tc>
        <w:tc>
          <w:tcPr>
            <w:tcW w:w="1046" w:type="dxa"/>
            <w:tcBorders>
              <w:top w:val="single" w:sz="4" w:space="0" w:color="auto"/>
              <w:bottom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after="80" w:line="240" w:lineRule="exact"/>
              <w:ind w:left="72" w:right="144"/>
              <w:jc w:val="lowKashida"/>
              <w:rPr>
                <w:rFonts w:hint="cs"/>
                <w:i/>
                <w:iCs/>
                <w:sz w:val="16"/>
                <w:szCs w:val="24"/>
                <w:rtl/>
              </w:rPr>
            </w:pPr>
            <w:r>
              <w:rPr>
                <w:rFonts w:hint="cs"/>
                <w:i/>
                <w:iCs/>
                <w:sz w:val="16"/>
                <w:szCs w:val="24"/>
                <w:rtl/>
              </w:rPr>
              <w:t>الرجال</w:t>
            </w:r>
          </w:p>
        </w:tc>
        <w:tc>
          <w:tcPr>
            <w:tcW w:w="1046" w:type="dxa"/>
            <w:tcBorders>
              <w:top w:val="single" w:sz="4" w:space="0" w:color="auto"/>
              <w:bottom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after="80" w:line="240" w:lineRule="exact"/>
              <w:ind w:left="72" w:right="144"/>
              <w:jc w:val="lowKashida"/>
              <w:rPr>
                <w:rFonts w:hint="cs"/>
                <w:i/>
                <w:iCs/>
                <w:sz w:val="16"/>
                <w:szCs w:val="24"/>
                <w:rtl/>
              </w:rPr>
            </w:pPr>
            <w:r>
              <w:rPr>
                <w:rFonts w:hint="cs"/>
                <w:i/>
                <w:iCs/>
                <w:sz w:val="16"/>
                <w:szCs w:val="24"/>
                <w:rtl/>
              </w:rPr>
              <w:t>الجنسان</w:t>
            </w:r>
          </w:p>
        </w:tc>
        <w:tc>
          <w:tcPr>
            <w:tcW w:w="1046" w:type="dxa"/>
            <w:tcBorders>
              <w:top w:val="single" w:sz="4" w:space="0" w:color="auto"/>
              <w:bottom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after="80" w:line="240" w:lineRule="exact"/>
              <w:ind w:left="72" w:right="144"/>
              <w:jc w:val="lowKashida"/>
              <w:rPr>
                <w:rFonts w:hint="cs"/>
                <w:i/>
                <w:iCs/>
                <w:sz w:val="16"/>
                <w:szCs w:val="24"/>
                <w:rtl/>
              </w:rPr>
            </w:pPr>
            <w:r>
              <w:rPr>
                <w:rFonts w:hint="cs"/>
                <w:i/>
                <w:iCs/>
                <w:sz w:val="16"/>
                <w:szCs w:val="24"/>
                <w:rtl/>
              </w:rPr>
              <w:t>النساء</w:t>
            </w:r>
          </w:p>
        </w:tc>
        <w:tc>
          <w:tcPr>
            <w:tcW w:w="1046" w:type="dxa"/>
            <w:tcBorders>
              <w:top w:val="single" w:sz="4" w:space="0" w:color="auto"/>
              <w:bottom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after="80" w:line="240" w:lineRule="exact"/>
              <w:ind w:left="72" w:right="144"/>
              <w:jc w:val="lowKashida"/>
              <w:rPr>
                <w:rFonts w:hint="cs"/>
                <w:i/>
                <w:iCs/>
                <w:sz w:val="16"/>
                <w:szCs w:val="24"/>
                <w:rtl/>
              </w:rPr>
            </w:pPr>
            <w:r>
              <w:rPr>
                <w:rFonts w:hint="cs"/>
                <w:i/>
                <w:iCs/>
                <w:sz w:val="16"/>
                <w:szCs w:val="24"/>
                <w:rtl/>
              </w:rPr>
              <w:t>الرجال</w:t>
            </w:r>
          </w:p>
        </w:tc>
        <w:tc>
          <w:tcPr>
            <w:tcW w:w="1046" w:type="dxa"/>
            <w:tcBorders>
              <w:top w:val="single" w:sz="4" w:space="0" w:color="auto"/>
              <w:bottom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after="80" w:line="240" w:lineRule="exact"/>
              <w:ind w:left="72" w:right="144"/>
              <w:jc w:val="lowKashida"/>
              <w:rPr>
                <w:rFonts w:hint="cs"/>
                <w:i/>
                <w:iCs/>
                <w:sz w:val="16"/>
                <w:szCs w:val="24"/>
                <w:rtl/>
              </w:rPr>
            </w:pPr>
            <w:r>
              <w:rPr>
                <w:rFonts w:hint="cs"/>
                <w:i/>
                <w:iCs/>
                <w:sz w:val="16"/>
                <w:szCs w:val="24"/>
                <w:rtl/>
              </w:rPr>
              <w:t>الجنسان</w:t>
            </w:r>
          </w:p>
        </w:tc>
      </w:tr>
      <w:tr w:rsidR="000B3DE3" w:rsidRPr="000B3DE3">
        <w:tblPrEx>
          <w:tblCellMar>
            <w:top w:w="0" w:type="dxa"/>
            <w:bottom w:w="0" w:type="dxa"/>
          </w:tblCellMar>
        </w:tblPrEx>
        <w:trPr>
          <w:cantSplit/>
          <w:trHeight w:hRule="exact" w:val="115"/>
          <w:tblHeader/>
          <w:jc w:val="center"/>
        </w:trPr>
        <w:tc>
          <w:tcPr>
            <w:tcW w:w="1046" w:type="dxa"/>
            <w:tcBorders>
              <w:top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72"/>
              <w:rPr>
                <w:rFonts w:hint="cs"/>
                <w:sz w:val="16"/>
                <w:szCs w:val="24"/>
                <w:rtl/>
              </w:rPr>
            </w:pPr>
          </w:p>
        </w:tc>
        <w:tc>
          <w:tcPr>
            <w:tcW w:w="1046" w:type="dxa"/>
            <w:tcBorders>
              <w:top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p>
        </w:tc>
        <w:tc>
          <w:tcPr>
            <w:tcW w:w="1046" w:type="dxa"/>
            <w:tcBorders>
              <w:top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p>
        </w:tc>
        <w:tc>
          <w:tcPr>
            <w:tcW w:w="1046" w:type="dxa"/>
            <w:tcBorders>
              <w:top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p>
        </w:tc>
        <w:tc>
          <w:tcPr>
            <w:tcW w:w="1046" w:type="dxa"/>
            <w:tcBorders>
              <w:top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p>
        </w:tc>
        <w:tc>
          <w:tcPr>
            <w:tcW w:w="1046" w:type="dxa"/>
            <w:tcBorders>
              <w:top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p>
        </w:tc>
        <w:tc>
          <w:tcPr>
            <w:tcW w:w="1046" w:type="dxa"/>
            <w:tcBorders>
              <w:top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p>
        </w:tc>
      </w:tr>
      <w:tr w:rsidR="000B3DE3" w:rsidRPr="000B3DE3">
        <w:tblPrEx>
          <w:tblCellMar>
            <w:top w:w="0" w:type="dxa"/>
            <w:bottom w:w="0" w:type="dxa"/>
          </w:tblCellMar>
        </w:tblPrEx>
        <w:trPr>
          <w:cantSplit/>
          <w:jc w:val="center"/>
        </w:trPr>
        <w:tc>
          <w:tcPr>
            <w:tcW w:w="1046" w:type="dxa"/>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1995</w:t>
            </w:r>
          </w:p>
        </w:tc>
        <w:tc>
          <w:tcPr>
            <w:tcW w:w="1046" w:type="dxa"/>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w:t>
            </w:r>
          </w:p>
        </w:tc>
        <w:tc>
          <w:tcPr>
            <w:tcW w:w="1046" w:type="dxa"/>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16</w:t>
            </w:r>
          </w:p>
        </w:tc>
        <w:tc>
          <w:tcPr>
            <w:tcW w:w="1046" w:type="dxa"/>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16</w:t>
            </w:r>
          </w:p>
        </w:tc>
        <w:tc>
          <w:tcPr>
            <w:tcW w:w="1046" w:type="dxa"/>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w:t>
            </w:r>
          </w:p>
        </w:tc>
        <w:tc>
          <w:tcPr>
            <w:tcW w:w="1046" w:type="dxa"/>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5</w:t>
            </w:r>
          </w:p>
        </w:tc>
        <w:tc>
          <w:tcPr>
            <w:tcW w:w="1046" w:type="dxa"/>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5</w:t>
            </w:r>
          </w:p>
        </w:tc>
      </w:tr>
      <w:tr w:rsidR="000B3DE3" w:rsidRPr="000B3DE3">
        <w:tblPrEx>
          <w:tblCellMar>
            <w:top w:w="0" w:type="dxa"/>
            <w:bottom w:w="0" w:type="dxa"/>
          </w:tblCellMar>
        </w:tblPrEx>
        <w:trPr>
          <w:cantSplit/>
          <w:jc w:val="center"/>
        </w:trPr>
        <w:tc>
          <w:tcPr>
            <w:tcW w:w="1046" w:type="dxa"/>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1998</w:t>
            </w:r>
          </w:p>
        </w:tc>
        <w:tc>
          <w:tcPr>
            <w:tcW w:w="1046" w:type="dxa"/>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1</w:t>
            </w:r>
          </w:p>
        </w:tc>
        <w:tc>
          <w:tcPr>
            <w:tcW w:w="1046" w:type="dxa"/>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18</w:t>
            </w:r>
          </w:p>
        </w:tc>
        <w:tc>
          <w:tcPr>
            <w:tcW w:w="1046" w:type="dxa"/>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19</w:t>
            </w:r>
          </w:p>
        </w:tc>
        <w:tc>
          <w:tcPr>
            <w:tcW w:w="1046" w:type="dxa"/>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1</w:t>
            </w:r>
          </w:p>
        </w:tc>
        <w:tc>
          <w:tcPr>
            <w:tcW w:w="1046" w:type="dxa"/>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4</w:t>
            </w:r>
          </w:p>
        </w:tc>
        <w:tc>
          <w:tcPr>
            <w:tcW w:w="1046" w:type="dxa"/>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5</w:t>
            </w:r>
          </w:p>
        </w:tc>
      </w:tr>
      <w:tr w:rsidR="000B3DE3" w:rsidRPr="000B3DE3">
        <w:tblPrEx>
          <w:tblCellMar>
            <w:top w:w="0" w:type="dxa"/>
            <w:bottom w:w="0" w:type="dxa"/>
          </w:tblCellMar>
        </w:tblPrEx>
        <w:trPr>
          <w:cantSplit/>
          <w:jc w:val="center"/>
        </w:trPr>
        <w:tc>
          <w:tcPr>
            <w:tcW w:w="1046" w:type="dxa"/>
            <w:tcBorders>
              <w:bottom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2003</w:t>
            </w:r>
          </w:p>
        </w:tc>
        <w:tc>
          <w:tcPr>
            <w:tcW w:w="1046" w:type="dxa"/>
            <w:tcBorders>
              <w:bottom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1</w:t>
            </w:r>
          </w:p>
        </w:tc>
        <w:tc>
          <w:tcPr>
            <w:tcW w:w="1046" w:type="dxa"/>
            <w:tcBorders>
              <w:bottom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17</w:t>
            </w:r>
          </w:p>
        </w:tc>
        <w:tc>
          <w:tcPr>
            <w:tcW w:w="1046" w:type="dxa"/>
            <w:tcBorders>
              <w:bottom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18</w:t>
            </w:r>
          </w:p>
        </w:tc>
        <w:tc>
          <w:tcPr>
            <w:tcW w:w="1046" w:type="dxa"/>
            <w:tcBorders>
              <w:bottom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w:t>
            </w:r>
          </w:p>
        </w:tc>
        <w:tc>
          <w:tcPr>
            <w:tcW w:w="1046" w:type="dxa"/>
            <w:tcBorders>
              <w:bottom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7</w:t>
            </w:r>
          </w:p>
        </w:tc>
        <w:tc>
          <w:tcPr>
            <w:tcW w:w="1046" w:type="dxa"/>
            <w:tcBorders>
              <w:bottom w:val="single" w:sz="12" w:space="0" w:color="auto"/>
            </w:tcBorders>
            <w:shd w:val="clear" w:color="auto" w:fill="auto"/>
            <w:vAlign w:val="bottom"/>
          </w:tcPr>
          <w:p w:rsidR="000B3DE3" w:rsidRPr="000B3DE3" w:rsidRDefault="000B3DE3" w:rsidP="000B3DE3">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7</w:t>
            </w:r>
          </w:p>
        </w:tc>
      </w:tr>
    </w:tbl>
    <w:p w:rsidR="000B3DE3" w:rsidRDefault="00597152" w:rsidP="0059715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Pr>
          <w:rFonts w:hint="cs"/>
          <w:i/>
          <w:iCs/>
          <w:rtl/>
        </w:rPr>
        <w:tab/>
      </w:r>
      <w:r w:rsidR="000B3DE3">
        <w:rPr>
          <w:rFonts w:hint="cs"/>
          <w:i/>
          <w:iCs/>
          <w:rtl/>
        </w:rPr>
        <w:t>المصدر:</w:t>
      </w:r>
      <w:r w:rsidR="000B3DE3">
        <w:rPr>
          <w:rFonts w:hint="cs"/>
          <w:rtl/>
        </w:rPr>
        <w:t xml:space="preserve"> تقرير خط الأساس لمشاركة المرأة في الحياة العامة والسياسية في باكستان، مؤسسة </w:t>
      </w:r>
      <w:proofErr w:type="spellStart"/>
      <w:r w:rsidR="000B3DE3">
        <w:rPr>
          <w:rFonts w:hint="cs"/>
          <w:rtl/>
        </w:rPr>
        <w:t>أورات</w:t>
      </w:r>
      <w:proofErr w:type="spellEnd"/>
      <w:r w:rsidR="000B3DE3">
        <w:rPr>
          <w:rFonts w:hint="cs"/>
          <w:rtl/>
        </w:rPr>
        <w:t>، تشرين الأول/أكتوبر 1999. قامت وزارة تنمية المرأة بإضافة الس</w:t>
      </w:r>
      <w:r>
        <w:rPr>
          <w:rFonts w:hint="cs"/>
          <w:rtl/>
        </w:rPr>
        <w:t>ط</w:t>
      </w:r>
      <w:r w:rsidR="000B3DE3">
        <w:rPr>
          <w:rFonts w:hint="cs"/>
          <w:rtl/>
        </w:rPr>
        <w:t>ر الأخير.</w:t>
      </w:r>
    </w:p>
    <w:p w:rsidR="000B3DE3" w:rsidRDefault="00EE2BD2" w:rsidP="00EE2BD2">
      <w:pPr>
        <w:pStyle w:val="SingleTxt"/>
        <w:spacing w:after="0"/>
        <w:rPr>
          <w:rFonts w:hint="cs"/>
          <w:rtl/>
        </w:rPr>
      </w:pPr>
      <w:r>
        <w:rPr>
          <w:rFonts w:hint="cs"/>
          <w:rtl/>
        </w:rPr>
        <w:t>الجدول 7-6</w:t>
      </w:r>
    </w:p>
    <w:p w:rsidR="00EE2BD2" w:rsidRDefault="00EE2BD2" w:rsidP="007A0673">
      <w:pPr>
        <w:pStyle w:val="SingleTxt"/>
        <w:spacing w:after="0"/>
        <w:rPr>
          <w:rFonts w:hint="cs"/>
          <w:b/>
          <w:bCs/>
          <w:rtl/>
        </w:rPr>
      </w:pPr>
      <w:r w:rsidRPr="00EE2BD2">
        <w:rPr>
          <w:rFonts w:hint="cs"/>
          <w:b/>
          <w:bCs/>
          <w:rtl/>
        </w:rPr>
        <w:t>المستشارون والمساعدون الخاصون لرئيس الوزراء</w:t>
      </w:r>
    </w:p>
    <w:p w:rsidR="007A0673" w:rsidRDefault="007A0673" w:rsidP="007A0673">
      <w:pPr>
        <w:pStyle w:val="SingleTxt"/>
        <w:rPr>
          <w:rFonts w:hint="cs"/>
          <w:rtl/>
        </w:rPr>
      </w:pPr>
      <w:r>
        <w:rPr>
          <w:rFonts w:hint="cs"/>
          <w:rtl/>
        </w:rPr>
        <w:t>حسب نوع الجنس والسنة</w:t>
      </w:r>
    </w:p>
    <w:tbl>
      <w:tblPr>
        <w:bidiVisual/>
        <w:tblW w:w="0" w:type="auto"/>
        <w:jc w:val="center"/>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EE2BD2" w:rsidRPr="00EE2BD2">
        <w:tblPrEx>
          <w:tblCellMar>
            <w:top w:w="0" w:type="dxa"/>
            <w:bottom w:w="0" w:type="dxa"/>
          </w:tblCellMar>
        </w:tblPrEx>
        <w:trPr>
          <w:cantSplit/>
          <w:tblHeader/>
          <w:jc w:val="center"/>
        </w:trPr>
        <w:tc>
          <w:tcPr>
            <w:tcW w:w="1046" w:type="dxa"/>
            <w:tcBorders>
              <w:top w:val="single" w:sz="4"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before="80" w:after="80" w:line="240" w:lineRule="exact"/>
              <w:ind w:left="72" w:right="72"/>
              <w:rPr>
                <w:rFonts w:hint="cs"/>
                <w:i/>
                <w:iCs/>
                <w:sz w:val="16"/>
                <w:szCs w:val="24"/>
                <w:rtl/>
              </w:rPr>
            </w:pPr>
          </w:p>
        </w:tc>
        <w:tc>
          <w:tcPr>
            <w:tcW w:w="3138" w:type="dxa"/>
            <w:gridSpan w:val="3"/>
            <w:tcBorders>
              <w:top w:val="single" w:sz="4" w:space="0" w:color="auto"/>
              <w:bottom w:val="single" w:sz="4" w:space="0" w:color="auto"/>
            </w:tcBorders>
            <w:shd w:val="clear" w:color="auto" w:fill="auto"/>
            <w:vAlign w:val="bottom"/>
          </w:tcPr>
          <w:p w:rsidR="00EE2BD2" w:rsidRPr="00EE2BD2" w:rsidRDefault="007A0673" w:rsidP="00EE2BD2">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المستشارون</w:t>
            </w:r>
          </w:p>
        </w:tc>
        <w:tc>
          <w:tcPr>
            <w:tcW w:w="3138" w:type="dxa"/>
            <w:gridSpan w:val="3"/>
            <w:tcBorders>
              <w:top w:val="single" w:sz="4" w:space="0" w:color="auto"/>
              <w:bottom w:val="single" w:sz="4" w:space="0" w:color="auto"/>
            </w:tcBorders>
            <w:shd w:val="clear" w:color="auto" w:fill="auto"/>
            <w:vAlign w:val="bottom"/>
          </w:tcPr>
          <w:p w:rsidR="00EE2BD2" w:rsidRPr="00EE2BD2" w:rsidRDefault="007A0673" w:rsidP="00EE2BD2">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المساعدون الخاصون</w:t>
            </w:r>
          </w:p>
        </w:tc>
      </w:tr>
      <w:tr w:rsidR="00EE2BD2" w:rsidRPr="00EE2BD2">
        <w:tblPrEx>
          <w:tblCellMar>
            <w:top w:w="0" w:type="dxa"/>
            <w:bottom w:w="0" w:type="dxa"/>
          </w:tblCellMar>
        </w:tblPrEx>
        <w:trPr>
          <w:cantSplit/>
          <w:tblHeader/>
          <w:jc w:val="center"/>
        </w:trPr>
        <w:tc>
          <w:tcPr>
            <w:tcW w:w="1046" w:type="dxa"/>
            <w:tcBorders>
              <w:bottom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السنة</w:t>
            </w:r>
          </w:p>
        </w:tc>
        <w:tc>
          <w:tcPr>
            <w:tcW w:w="1046" w:type="dxa"/>
            <w:tcBorders>
              <w:top w:val="single" w:sz="4" w:space="0" w:color="auto"/>
              <w:bottom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النساء</w:t>
            </w:r>
          </w:p>
        </w:tc>
        <w:tc>
          <w:tcPr>
            <w:tcW w:w="1046" w:type="dxa"/>
            <w:tcBorders>
              <w:top w:val="single" w:sz="4" w:space="0" w:color="auto"/>
              <w:bottom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الرجال</w:t>
            </w:r>
          </w:p>
        </w:tc>
        <w:tc>
          <w:tcPr>
            <w:tcW w:w="1046" w:type="dxa"/>
            <w:tcBorders>
              <w:top w:val="single" w:sz="4" w:space="0" w:color="auto"/>
              <w:bottom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الجنسان</w:t>
            </w:r>
          </w:p>
        </w:tc>
        <w:tc>
          <w:tcPr>
            <w:tcW w:w="1046" w:type="dxa"/>
            <w:tcBorders>
              <w:top w:val="single" w:sz="4" w:space="0" w:color="auto"/>
              <w:bottom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النساء</w:t>
            </w:r>
          </w:p>
        </w:tc>
        <w:tc>
          <w:tcPr>
            <w:tcW w:w="1046" w:type="dxa"/>
            <w:tcBorders>
              <w:top w:val="single" w:sz="4" w:space="0" w:color="auto"/>
              <w:bottom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الرجال</w:t>
            </w:r>
          </w:p>
        </w:tc>
        <w:tc>
          <w:tcPr>
            <w:tcW w:w="1046" w:type="dxa"/>
            <w:tcBorders>
              <w:top w:val="single" w:sz="4" w:space="0" w:color="auto"/>
              <w:bottom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الجنسان</w:t>
            </w:r>
          </w:p>
        </w:tc>
      </w:tr>
      <w:tr w:rsidR="00EE2BD2" w:rsidRPr="00EE2BD2">
        <w:tblPrEx>
          <w:tblCellMar>
            <w:top w:w="0" w:type="dxa"/>
            <w:bottom w:w="0" w:type="dxa"/>
          </w:tblCellMar>
        </w:tblPrEx>
        <w:trPr>
          <w:cantSplit/>
          <w:trHeight w:hRule="exact" w:val="115"/>
          <w:tblHeader/>
          <w:jc w:val="center"/>
        </w:trPr>
        <w:tc>
          <w:tcPr>
            <w:tcW w:w="1046" w:type="dxa"/>
            <w:tcBorders>
              <w:top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rPr>
                <w:rFonts w:hint="cs"/>
                <w:sz w:val="16"/>
                <w:szCs w:val="24"/>
                <w:rtl/>
              </w:rPr>
            </w:pPr>
          </w:p>
        </w:tc>
        <w:tc>
          <w:tcPr>
            <w:tcW w:w="1046" w:type="dxa"/>
            <w:tcBorders>
              <w:top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tcBorders>
              <w:top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tcBorders>
              <w:top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tcBorders>
              <w:top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tcBorders>
              <w:top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tcBorders>
              <w:top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EE2BD2" w:rsidRPr="00EE2BD2">
        <w:tblPrEx>
          <w:tblCellMar>
            <w:top w:w="0" w:type="dxa"/>
            <w:bottom w:w="0" w:type="dxa"/>
          </w:tblCellMar>
        </w:tblPrEx>
        <w:trPr>
          <w:cantSplit/>
          <w:jc w:val="center"/>
        </w:trPr>
        <w:tc>
          <w:tcPr>
            <w:tcW w:w="1046" w:type="dxa"/>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1995</w:t>
            </w:r>
          </w:p>
        </w:tc>
        <w:tc>
          <w:tcPr>
            <w:tcW w:w="1046" w:type="dxa"/>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c>
          <w:tcPr>
            <w:tcW w:w="1046" w:type="dxa"/>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w:t>
            </w:r>
          </w:p>
        </w:tc>
        <w:tc>
          <w:tcPr>
            <w:tcW w:w="1046" w:type="dxa"/>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w:t>
            </w:r>
          </w:p>
        </w:tc>
        <w:tc>
          <w:tcPr>
            <w:tcW w:w="1046" w:type="dxa"/>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w:t>
            </w:r>
          </w:p>
        </w:tc>
        <w:tc>
          <w:tcPr>
            <w:tcW w:w="1046" w:type="dxa"/>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w:t>
            </w:r>
          </w:p>
        </w:tc>
        <w:tc>
          <w:tcPr>
            <w:tcW w:w="1046" w:type="dxa"/>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w:t>
            </w:r>
          </w:p>
        </w:tc>
      </w:tr>
      <w:tr w:rsidR="00EE2BD2" w:rsidRPr="00EE2BD2">
        <w:tblPrEx>
          <w:tblCellMar>
            <w:top w:w="0" w:type="dxa"/>
            <w:bottom w:w="0" w:type="dxa"/>
          </w:tblCellMar>
        </w:tblPrEx>
        <w:trPr>
          <w:cantSplit/>
          <w:jc w:val="center"/>
        </w:trPr>
        <w:tc>
          <w:tcPr>
            <w:tcW w:w="1046" w:type="dxa"/>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1998</w:t>
            </w:r>
          </w:p>
        </w:tc>
        <w:tc>
          <w:tcPr>
            <w:tcW w:w="1046" w:type="dxa"/>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c>
          <w:tcPr>
            <w:tcW w:w="1046" w:type="dxa"/>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w:t>
            </w:r>
          </w:p>
        </w:tc>
        <w:tc>
          <w:tcPr>
            <w:tcW w:w="1046" w:type="dxa"/>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w:t>
            </w:r>
          </w:p>
        </w:tc>
        <w:tc>
          <w:tcPr>
            <w:tcW w:w="1046" w:type="dxa"/>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w:t>
            </w:r>
          </w:p>
        </w:tc>
        <w:tc>
          <w:tcPr>
            <w:tcW w:w="1046" w:type="dxa"/>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c>
          <w:tcPr>
            <w:tcW w:w="1046" w:type="dxa"/>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w:t>
            </w:r>
          </w:p>
        </w:tc>
      </w:tr>
      <w:tr w:rsidR="00EE2BD2" w:rsidRPr="00EE2BD2">
        <w:tblPrEx>
          <w:tblCellMar>
            <w:top w:w="0" w:type="dxa"/>
            <w:bottom w:w="0" w:type="dxa"/>
          </w:tblCellMar>
        </w:tblPrEx>
        <w:trPr>
          <w:cantSplit/>
          <w:jc w:val="center"/>
        </w:trPr>
        <w:tc>
          <w:tcPr>
            <w:tcW w:w="1046" w:type="dxa"/>
            <w:tcBorders>
              <w:bottom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2003</w:t>
            </w:r>
          </w:p>
        </w:tc>
        <w:tc>
          <w:tcPr>
            <w:tcW w:w="1046" w:type="dxa"/>
            <w:tcBorders>
              <w:bottom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w:t>
            </w:r>
          </w:p>
        </w:tc>
        <w:tc>
          <w:tcPr>
            <w:tcW w:w="1046" w:type="dxa"/>
            <w:tcBorders>
              <w:bottom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w:t>
            </w:r>
          </w:p>
        </w:tc>
        <w:tc>
          <w:tcPr>
            <w:tcW w:w="1046" w:type="dxa"/>
            <w:tcBorders>
              <w:bottom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w:t>
            </w:r>
          </w:p>
        </w:tc>
        <w:tc>
          <w:tcPr>
            <w:tcW w:w="1046" w:type="dxa"/>
            <w:tcBorders>
              <w:bottom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c>
          <w:tcPr>
            <w:tcW w:w="1046" w:type="dxa"/>
            <w:tcBorders>
              <w:bottom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w:t>
            </w:r>
          </w:p>
        </w:tc>
        <w:tc>
          <w:tcPr>
            <w:tcW w:w="1046" w:type="dxa"/>
            <w:tcBorders>
              <w:bottom w:val="single" w:sz="12" w:space="0" w:color="auto"/>
            </w:tcBorders>
            <w:shd w:val="clear" w:color="auto" w:fill="auto"/>
            <w:vAlign w:val="bottom"/>
          </w:tcPr>
          <w:p w:rsidR="00EE2BD2" w:rsidRPr="00EE2BD2" w:rsidRDefault="00EE2BD2" w:rsidP="00EE2BD2">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w:t>
            </w:r>
          </w:p>
        </w:tc>
      </w:tr>
    </w:tbl>
    <w:p w:rsidR="00EE2BD2" w:rsidRPr="00EE2BD2" w:rsidRDefault="00597152" w:rsidP="00EE2BD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Pr>
          <w:rFonts w:hint="cs"/>
          <w:i/>
          <w:iCs/>
          <w:rtl/>
        </w:rPr>
        <w:tab/>
      </w:r>
      <w:r w:rsidR="00EE2BD2">
        <w:rPr>
          <w:rFonts w:hint="cs"/>
          <w:i/>
          <w:iCs/>
          <w:rtl/>
        </w:rPr>
        <w:t>المصدر:</w:t>
      </w:r>
      <w:r w:rsidR="00EE2BD2">
        <w:rPr>
          <w:rFonts w:hint="cs"/>
          <w:rtl/>
        </w:rPr>
        <w:t xml:space="preserve"> تقرير خط الأساس لمشاركة المرأة في الحياة العامة والسياسية في باكستان، مؤسسة </w:t>
      </w:r>
      <w:proofErr w:type="spellStart"/>
      <w:r w:rsidR="00EE2BD2">
        <w:rPr>
          <w:rFonts w:hint="cs"/>
          <w:rtl/>
        </w:rPr>
        <w:t>أورات</w:t>
      </w:r>
      <w:proofErr w:type="spellEnd"/>
      <w:r w:rsidR="00EE2BD2">
        <w:rPr>
          <w:rFonts w:hint="cs"/>
          <w:rtl/>
        </w:rPr>
        <w:t>، تشرين الأول/أكتوبر 1999. قامت وزارة تنمية المرأة بإضافة السطر الأخير.</w:t>
      </w:r>
    </w:p>
    <w:p w:rsidR="00EE2BD2" w:rsidRDefault="00190A93" w:rsidP="00B974D8">
      <w:pPr>
        <w:pStyle w:val="SingleTxt"/>
        <w:rPr>
          <w:rFonts w:hint="cs"/>
          <w:rtl/>
        </w:rPr>
      </w:pPr>
      <w:r>
        <w:rPr>
          <w:rFonts w:hint="cs"/>
          <w:rtl/>
        </w:rPr>
        <w:t>128</w:t>
      </w:r>
      <w:r w:rsidR="00EE2BD2">
        <w:rPr>
          <w:rFonts w:hint="cs"/>
          <w:rtl/>
        </w:rPr>
        <w:t>-</w:t>
      </w:r>
      <w:r w:rsidR="00EE2BD2">
        <w:rPr>
          <w:rFonts w:hint="cs"/>
          <w:rtl/>
        </w:rPr>
        <w:tab/>
      </w:r>
      <w:r w:rsidR="00A01EED">
        <w:rPr>
          <w:rFonts w:hint="cs"/>
          <w:rtl/>
        </w:rPr>
        <w:t xml:space="preserve">وقد شغلت المرأة، على مر السنين، مناصب وزيرة في مجال تنمية المرأة، والرعاية الاجتماعية والتعليم الخاص والتعليم ورعاية السكان. وفي سنة 1999، تضمنت الوزارة ثلاث وزيرات اتحاديات لوزارات التعليم، وتنمية المرأة، والرعاية الاجتماعية والتعليم الخاص والقانون، والعدل وحقوق الإنسان. وفي سنة 1999، أنشئ مجلس للأمن القومي تضمن </w:t>
      </w:r>
      <w:r w:rsidR="00B974D8">
        <w:rPr>
          <w:rFonts w:hint="cs"/>
          <w:rtl/>
        </w:rPr>
        <w:t>عضوة واحدة - وزيرة تنمية المرأة والرعاية الاجتماعية والتعليم الخاص.</w:t>
      </w:r>
    </w:p>
    <w:p w:rsidR="00B974D8" w:rsidRDefault="00B974D8" w:rsidP="009A2C97">
      <w:pPr>
        <w:pStyle w:val="SingleTxt"/>
        <w:rPr>
          <w:rFonts w:hint="cs"/>
          <w:rtl/>
        </w:rPr>
      </w:pPr>
      <w:r>
        <w:rPr>
          <w:rFonts w:hint="cs"/>
          <w:rtl/>
        </w:rPr>
        <w:t>129-</w:t>
      </w:r>
      <w:r>
        <w:rPr>
          <w:rFonts w:hint="cs"/>
          <w:rtl/>
        </w:rPr>
        <w:tab/>
        <w:t>وتعين المرأة بصورة منتظمة في مناصب الوزراء وأمناء البرلمان ومستشارين لرؤساء وزراء المقاطعات. وقد تضمنت وزارة بنجاب خمس وزيرات (من مجموع 31 وزيرا) ومستشارتين اثنتين للحكومة (من بين 4 مستشارين) و 8 أمينات برلمانيات (من مجموع 38) في الفترة 2003/2004.</w:t>
      </w:r>
    </w:p>
    <w:p w:rsidR="00B974D8" w:rsidRPr="00B974D8" w:rsidRDefault="00B974D8" w:rsidP="00B974D8">
      <w:pPr>
        <w:pStyle w:val="SingleTxt"/>
        <w:spacing w:after="0" w:line="120" w:lineRule="exact"/>
        <w:rPr>
          <w:rFonts w:hint="cs"/>
          <w:sz w:val="10"/>
          <w:rtl/>
        </w:rPr>
      </w:pPr>
    </w:p>
    <w:p w:rsidR="00B974D8" w:rsidRDefault="00B974D8" w:rsidP="00B974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على المستوى التشريعي</w:t>
      </w:r>
    </w:p>
    <w:p w:rsidR="00B974D8" w:rsidRDefault="00B974D8" w:rsidP="00B974D8">
      <w:pPr>
        <w:pStyle w:val="SingleTxt"/>
        <w:rPr>
          <w:rFonts w:hint="cs"/>
          <w:rtl/>
        </w:rPr>
      </w:pPr>
      <w:r>
        <w:rPr>
          <w:rFonts w:hint="cs"/>
          <w:rtl/>
        </w:rPr>
        <w:t>130-</w:t>
      </w:r>
      <w:r>
        <w:rPr>
          <w:rFonts w:hint="cs"/>
          <w:rtl/>
        </w:rPr>
        <w:tab/>
        <w:t xml:space="preserve">كانت نتيجة الانتخابات التي أجريت في تشرين الأول/أكتوبر 2002، انتخاب 73 امرأة لعضوية الجمعية العامة - 60 منهن للمقاعد المحجوزة و 14 في المقاعد العامة؛ و 18 عضوة في مجلس الشيوخ، منهن 17 للمقاعد المحجوزة وامرأة واحدة </w:t>
      </w:r>
      <w:proofErr w:type="spellStart"/>
      <w:r>
        <w:rPr>
          <w:rFonts w:hint="cs"/>
          <w:rtl/>
        </w:rPr>
        <w:t>كعضوة</w:t>
      </w:r>
      <w:proofErr w:type="spellEnd"/>
      <w:r>
        <w:rPr>
          <w:rFonts w:hint="cs"/>
          <w:rtl/>
        </w:rPr>
        <w:t xml:space="preserve"> فنية؛ و 143 عضوة في مختلف جمعيات المقاطعات - منهن 128 للمقاعد المحجوزة و 15 في المقاعد العامة.</w:t>
      </w:r>
    </w:p>
    <w:p w:rsidR="00B974D8" w:rsidRDefault="00B974D8" w:rsidP="00B974D8">
      <w:pPr>
        <w:pStyle w:val="SingleTxt"/>
        <w:rPr>
          <w:rFonts w:hint="cs"/>
          <w:rtl/>
        </w:rPr>
      </w:pPr>
      <w:r>
        <w:rPr>
          <w:rFonts w:hint="cs"/>
          <w:rtl/>
        </w:rPr>
        <w:t>131-</w:t>
      </w:r>
      <w:r>
        <w:rPr>
          <w:rFonts w:hint="cs"/>
          <w:rtl/>
        </w:rPr>
        <w:tab/>
        <w:t>ووجود هؤلاء النساء في مجلس الشيوخ والجمعية الوطنية وجمعيات المقاطعات يمنحهن دورا أكبر كثيرا في تحديد الأولويات التشريعية في كل مجلس على حدة.</w:t>
      </w:r>
    </w:p>
    <w:p w:rsidR="00B974D8" w:rsidRPr="00B974D8" w:rsidRDefault="00B974D8" w:rsidP="00B974D8">
      <w:pPr>
        <w:pStyle w:val="SingleTxt"/>
        <w:spacing w:after="0" w:line="120" w:lineRule="exact"/>
        <w:rPr>
          <w:rFonts w:hint="cs"/>
          <w:sz w:val="10"/>
          <w:rtl/>
        </w:rPr>
      </w:pPr>
    </w:p>
    <w:p w:rsidR="00B974D8" w:rsidRDefault="00B974D8" w:rsidP="00B974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على مستوى الهيئات المحلية</w:t>
      </w:r>
    </w:p>
    <w:p w:rsidR="00B974D8" w:rsidRDefault="00B974D8" w:rsidP="00B974D8">
      <w:pPr>
        <w:pStyle w:val="SingleTxt"/>
        <w:rPr>
          <w:rFonts w:hint="cs"/>
          <w:rtl/>
        </w:rPr>
      </w:pPr>
      <w:r>
        <w:rPr>
          <w:rFonts w:hint="cs"/>
          <w:rtl/>
        </w:rPr>
        <w:t>132-</w:t>
      </w:r>
      <w:r>
        <w:rPr>
          <w:rFonts w:hint="cs"/>
          <w:rtl/>
        </w:rPr>
        <w:tab/>
        <w:t>بدأت باكستان في تنفيذ مشروع متكامل لنقل السلطة إلى المجتمعات المحلية من أجل إعادة تنشيط الهيئات المحلية، في سنة 2000. وتم تنفيذ خطة نقل السلطة في آب/أغسطس 2001. وفي هذه السنة حجزت 33 في المائة من المقاعد للمرأة. وكانت للمرأة حرية التنافس على المقاعد العامة أيضا.</w:t>
      </w:r>
    </w:p>
    <w:p w:rsidR="00B974D8" w:rsidRDefault="00B974D8" w:rsidP="00597152">
      <w:pPr>
        <w:pStyle w:val="SingleTxt"/>
        <w:rPr>
          <w:rFonts w:hint="cs"/>
          <w:rtl/>
        </w:rPr>
      </w:pPr>
      <w:r>
        <w:rPr>
          <w:rFonts w:hint="cs"/>
          <w:rtl/>
        </w:rPr>
        <w:t>133-</w:t>
      </w:r>
      <w:r>
        <w:rPr>
          <w:rFonts w:hint="cs"/>
          <w:rtl/>
        </w:rPr>
        <w:tab/>
        <w:t>وخاضت 512 60 امرأة انتخابات المستويات الثلاثة للهيئات ا</w:t>
      </w:r>
      <w:r w:rsidR="00597152">
        <w:rPr>
          <w:rFonts w:hint="cs"/>
          <w:rtl/>
        </w:rPr>
        <w:t>ل</w:t>
      </w:r>
      <w:r>
        <w:rPr>
          <w:rFonts w:hint="cs"/>
          <w:rtl/>
        </w:rPr>
        <w:t>محلية وهي، من الأدنى إلى الأعلى، مجلس النقابة ومجلس المدينة ومجلس المنطقة. وانتخبت 105 36 نساء لعضوية مجالس الاتحاد، منهن 953 35 للمقاعد المحجوزة في جميع النقابات. وانتخبت 126 امرأة للمقاعد المحجوزة للأقليات. وانتخبت 16 امرأة في منصب العمدة ونائب العمدة - و</w:t>
      </w:r>
      <w:r>
        <w:rPr>
          <w:rFonts w:hint="eastAsia"/>
          <w:rtl/>
        </w:rPr>
        <w:t> </w:t>
      </w:r>
      <w:r>
        <w:rPr>
          <w:rFonts w:hint="cs"/>
          <w:rtl/>
        </w:rPr>
        <w:t>11 امرأة في منصب رئيس مجلس النقابة وامرأتان اثنتان في منصب نائب رئيس النقابة، وامرأة واحدة في منصب رئيس المدينة، وامرأتان في منصب رئيس المنطقة.</w:t>
      </w:r>
    </w:p>
    <w:p w:rsidR="00B974D8" w:rsidRDefault="00B974D8" w:rsidP="00B974D8">
      <w:pPr>
        <w:pStyle w:val="SingleTxt"/>
        <w:rPr>
          <w:rFonts w:hint="cs"/>
          <w:rtl/>
        </w:rPr>
      </w:pPr>
      <w:r>
        <w:rPr>
          <w:rFonts w:hint="cs"/>
          <w:rtl/>
        </w:rPr>
        <w:t>134-</w:t>
      </w:r>
      <w:r>
        <w:rPr>
          <w:rFonts w:hint="cs"/>
          <w:rtl/>
        </w:rPr>
        <w:tab/>
        <w:t>وشرعت وزارة تنمية المرأة في برنامج وطني للمشاركة السياسية للمرأة استنادا إلى تحقيق حجز 33 في المائة من المقاعد للمرأة في الهيئات المحلية و 17 في المائة من المقاعد في الهيئات التشريعية للمقاطعات وعلى الصعيد الاتحادي. وتم في إطار هذا البرنامج تقديم دورة توجيهية في النظام السياسي والجهاز التشريعي، وخدمة الدوائر والبحوث والوثائق والتواصل للعضوات المنتخبات حديثا في المجالس التشريعية وغيرها.</w:t>
      </w:r>
    </w:p>
    <w:p w:rsidR="00B974D8" w:rsidRPr="00B974D8" w:rsidRDefault="00B974D8" w:rsidP="00B974D8">
      <w:pPr>
        <w:pStyle w:val="SingleTxt"/>
        <w:spacing w:after="0" w:line="120" w:lineRule="exact"/>
        <w:rPr>
          <w:rFonts w:hint="cs"/>
          <w:sz w:val="10"/>
          <w:rtl/>
        </w:rPr>
      </w:pPr>
    </w:p>
    <w:p w:rsidR="00B974D8" w:rsidRDefault="00B974D8" w:rsidP="00B974D8">
      <w:pPr>
        <w:pStyle w:val="SingleTxt"/>
        <w:spacing w:after="0"/>
        <w:rPr>
          <w:rFonts w:hint="cs"/>
          <w:rtl/>
        </w:rPr>
      </w:pPr>
      <w:r>
        <w:rPr>
          <w:rFonts w:hint="cs"/>
          <w:rtl/>
        </w:rPr>
        <w:t>الجدول 7-7</w:t>
      </w:r>
    </w:p>
    <w:p w:rsidR="00B974D8" w:rsidRDefault="00B974D8" w:rsidP="00B974D8">
      <w:pPr>
        <w:pStyle w:val="SingleTxt"/>
        <w:rPr>
          <w:rFonts w:hint="cs"/>
          <w:b/>
          <w:bCs/>
          <w:rtl/>
        </w:rPr>
      </w:pPr>
      <w:r w:rsidRPr="00B974D8">
        <w:rPr>
          <w:rFonts w:hint="cs"/>
          <w:b/>
          <w:bCs/>
          <w:rtl/>
        </w:rPr>
        <w:t>المرأة في الحكم المحلي</w:t>
      </w:r>
    </w:p>
    <w:p w:rsidR="00597152" w:rsidRPr="00597152" w:rsidRDefault="00597152" w:rsidP="00597152">
      <w:pPr>
        <w:pStyle w:val="SingleTxt"/>
        <w:spacing w:after="0" w:line="120" w:lineRule="exact"/>
        <w:rPr>
          <w:rFonts w:hint="cs"/>
          <w:sz w:val="10"/>
          <w:rtl/>
        </w:rPr>
      </w:pPr>
    </w:p>
    <w:tbl>
      <w:tblPr>
        <w:bidiVisual/>
        <w:tblW w:w="0" w:type="auto"/>
        <w:jc w:val="center"/>
        <w:tblLayout w:type="fixed"/>
        <w:tblCellMar>
          <w:left w:w="0" w:type="dxa"/>
          <w:right w:w="0" w:type="dxa"/>
        </w:tblCellMar>
        <w:tblLook w:val="0000" w:firstRow="0" w:lastRow="0" w:firstColumn="0" w:lastColumn="0" w:noHBand="0" w:noVBand="0"/>
      </w:tblPr>
      <w:tblGrid>
        <w:gridCol w:w="1830"/>
        <w:gridCol w:w="1830"/>
        <w:gridCol w:w="1830"/>
        <w:gridCol w:w="1830"/>
      </w:tblGrid>
      <w:tr w:rsidR="00BE383F" w:rsidRPr="00BE383F">
        <w:tblPrEx>
          <w:tblCellMar>
            <w:top w:w="0" w:type="dxa"/>
            <w:bottom w:w="0" w:type="dxa"/>
          </w:tblCellMar>
        </w:tblPrEx>
        <w:trPr>
          <w:cantSplit/>
          <w:tblHeader/>
          <w:jc w:val="center"/>
        </w:trPr>
        <w:tc>
          <w:tcPr>
            <w:tcW w:w="1830" w:type="dxa"/>
            <w:tcBorders>
              <w:top w:val="single" w:sz="4" w:space="0" w:color="auto"/>
              <w:bottom w:val="single" w:sz="12" w:space="0" w:color="auto"/>
            </w:tcBorders>
            <w:shd w:val="clear" w:color="auto" w:fill="auto"/>
            <w:vAlign w:val="bottom"/>
          </w:tcPr>
          <w:p w:rsidR="00BE383F" w:rsidRPr="00BE383F" w:rsidRDefault="00EB67DC" w:rsidP="00BE383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المقاطعات</w:t>
            </w:r>
          </w:p>
        </w:tc>
        <w:tc>
          <w:tcPr>
            <w:tcW w:w="1830" w:type="dxa"/>
            <w:tcBorders>
              <w:top w:val="single" w:sz="4" w:space="0" w:color="auto"/>
              <w:bottom w:val="single" w:sz="12" w:space="0" w:color="auto"/>
            </w:tcBorders>
            <w:shd w:val="clear" w:color="auto" w:fill="auto"/>
            <w:vAlign w:val="bottom"/>
          </w:tcPr>
          <w:p w:rsidR="00BE383F" w:rsidRPr="00BE383F" w:rsidRDefault="00EB67DC" w:rsidP="00BE383F">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المناطق</w:t>
            </w:r>
          </w:p>
        </w:tc>
        <w:tc>
          <w:tcPr>
            <w:tcW w:w="1830" w:type="dxa"/>
            <w:tcBorders>
              <w:top w:val="single" w:sz="4" w:space="0" w:color="auto"/>
              <w:bottom w:val="single" w:sz="12" w:space="0" w:color="auto"/>
            </w:tcBorders>
            <w:shd w:val="clear" w:color="auto" w:fill="auto"/>
            <w:vAlign w:val="bottom"/>
          </w:tcPr>
          <w:p w:rsidR="00BE383F" w:rsidRPr="00BE383F" w:rsidRDefault="00EB67DC" w:rsidP="00BE383F">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المدن</w:t>
            </w:r>
          </w:p>
        </w:tc>
        <w:tc>
          <w:tcPr>
            <w:tcW w:w="1830" w:type="dxa"/>
            <w:tcBorders>
              <w:top w:val="single" w:sz="4" w:space="0" w:color="auto"/>
              <w:bottom w:val="single" w:sz="12" w:space="0" w:color="auto"/>
            </w:tcBorders>
            <w:shd w:val="clear" w:color="auto" w:fill="auto"/>
            <w:vAlign w:val="bottom"/>
          </w:tcPr>
          <w:p w:rsidR="00BE383F" w:rsidRPr="00BE383F" w:rsidRDefault="00EB67DC" w:rsidP="00BE383F">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النقابات</w:t>
            </w:r>
          </w:p>
        </w:tc>
      </w:tr>
      <w:tr w:rsidR="00BE383F" w:rsidRPr="00BE383F">
        <w:tblPrEx>
          <w:tblCellMar>
            <w:top w:w="0" w:type="dxa"/>
            <w:bottom w:w="0" w:type="dxa"/>
          </w:tblCellMar>
        </w:tblPrEx>
        <w:trPr>
          <w:cantSplit/>
          <w:trHeight w:hRule="exact" w:val="115"/>
          <w:tblHeader/>
          <w:jc w:val="center"/>
        </w:trPr>
        <w:tc>
          <w:tcPr>
            <w:tcW w:w="1830" w:type="dxa"/>
            <w:tcBorders>
              <w:top w:val="single" w:sz="12" w:space="0" w:color="auto"/>
            </w:tcBorders>
            <w:shd w:val="clear" w:color="auto" w:fill="auto"/>
            <w:vAlign w:val="bottom"/>
          </w:tcPr>
          <w:p w:rsidR="00BE383F" w:rsidRPr="00BE383F" w:rsidRDefault="00BE383F" w:rsidP="00BE383F">
            <w:pPr>
              <w:tabs>
                <w:tab w:val="left" w:pos="288"/>
                <w:tab w:val="left" w:pos="576"/>
                <w:tab w:val="left" w:pos="864"/>
                <w:tab w:val="left" w:pos="1152"/>
              </w:tabs>
              <w:spacing w:before="40" w:after="80" w:line="240" w:lineRule="exact"/>
              <w:ind w:left="72" w:right="72"/>
              <w:rPr>
                <w:rFonts w:hint="cs"/>
                <w:sz w:val="16"/>
                <w:szCs w:val="24"/>
                <w:rtl/>
              </w:rPr>
            </w:pPr>
          </w:p>
        </w:tc>
        <w:tc>
          <w:tcPr>
            <w:tcW w:w="1830" w:type="dxa"/>
            <w:tcBorders>
              <w:top w:val="single" w:sz="12" w:space="0" w:color="auto"/>
            </w:tcBorders>
            <w:shd w:val="clear" w:color="auto" w:fill="auto"/>
            <w:vAlign w:val="bottom"/>
          </w:tcPr>
          <w:p w:rsidR="00BE383F" w:rsidRPr="00BE383F" w:rsidRDefault="00BE383F" w:rsidP="00BE383F">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830" w:type="dxa"/>
            <w:tcBorders>
              <w:top w:val="single" w:sz="12" w:space="0" w:color="auto"/>
            </w:tcBorders>
            <w:shd w:val="clear" w:color="auto" w:fill="auto"/>
            <w:vAlign w:val="bottom"/>
          </w:tcPr>
          <w:p w:rsidR="00BE383F" w:rsidRPr="00BE383F" w:rsidRDefault="00BE383F" w:rsidP="00BE383F">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830" w:type="dxa"/>
            <w:tcBorders>
              <w:top w:val="single" w:sz="12" w:space="0" w:color="auto"/>
            </w:tcBorders>
            <w:shd w:val="clear" w:color="auto" w:fill="auto"/>
            <w:vAlign w:val="bottom"/>
          </w:tcPr>
          <w:p w:rsidR="00BE383F" w:rsidRPr="00BE383F" w:rsidRDefault="00BE383F" w:rsidP="00BE383F">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BE383F" w:rsidRPr="00BE383F">
        <w:tblPrEx>
          <w:tblCellMar>
            <w:top w:w="0" w:type="dxa"/>
            <w:bottom w:w="0" w:type="dxa"/>
          </w:tblCellMar>
        </w:tblPrEx>
        <w:trPr>
          <w:cantSplit/>
          <w:jc w:val="center"/>
        </w:trPr>
        <w:tc>
          <w:tcPr>
            <w:tcW w:w="1830" w:type="dxa"/>
            <w:shd w:val="clear" w:color="auto" w:fill="auto"/>
            <w:vAlign w:val="bottom"/>
          </w:tcPr>
          <w:p w:rsidR="00BE383F" w:rsidRPr="00BE383F" w:rsidRDefault="00EB67DC" w:rsidP="00BE383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بنجاب</w:t>
            </w:r>
          </w:p>
        </w:tc>
        <w:tc>
          <w:tcPr>
            <w:tcW w:w="1830" w:type="dxa"/>
            <w:shd w:val="clear" w:color="auto" w:fill="auto"/>
            <w:vAlign w:val="bottom"/>
          </w:tcPr>
          <w:p w:rsidR="00BE383F" w:rsidRPr="00BE383F" w:rsidRDefault="00701E81" w:rsidP="00BE383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139 1</w:t>
            </w:r>
          </w:p>
        </w:tc>
        <w:tc>
          <w:tcPr>
            <w:tcW w:w="1830" w:type="dxa"/>
            <w:shd w:val="clear" w:color="auto" w:fill="auto"/>
            <w:vAlign w:val="bottom"/>
          </w:tcPr>
          <w:p w:rsidR="00BE383F" w:rsidRPr="00BE383F" w:rsidRDefault="00701E81" w:rsidP="00BE383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143 1</w:t>
            </w:r>
          </w:p>
        </w:tc>
        <w:tc>
          <w:tcPr>
            <w:tcW w:w="1830" w:type="dxa"/>
            <w:shd w:val="clear" w:color="auto" w:fill="auto"/>
            <w:vAlign w:val="bottom"/>
          </w:tcPr>
          <w:p w:rsidR="00BE383F" w:rsidRPr="00BE383F" w:rsidRDefault="00701E81" w:rsidP="00BE383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718 20</w:t>
            </w:r>
          </w:p>
        </w:tc>
      </w:tr>
      <w:tr w:rsidR="00BE383F" w:rsidRPr="00BE383F">
        <w:tblPrEx>
          <w:tblCellMar>
            <w:top w:w="0" w:type="dxa"/>
            <w:bottom w:w="0" w:type="dxa"/>
          </w:tblCellMar>
        </w:tblPrEx>
        <w:trPr>
          <w:cantSplit/>
          <w:jc w:val="center"/>
        </w:trPr>
        <w:tc>
          <w:tcPr>
            <w:tcW w:w="1830" w:type="dxa"/>
            <w:shd w:val="clear" w:color="auto" w:fill="auto"/>
            <w:vAlign w:val="bottom"/>
          </w:tcPr>
          <w:p w:rsidR="00BE383F" w:rsidRPr="00BE383F" w:rsidRDefault="00EB67DC" w:rsidP="00BE383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السند</w:t>
            </w:r>
          </w:p>
        </w:tc>
        <w:tc>
          <w:tcPr>
            <w:tcW w:w="1830" w:type="dxa"/>
            <w:shd w:val="clear" w:color="auto" w:fill="auto"/>
            <w:vAlign w:val="bottom"/>
          </w:tcPr>
          <w:p w:rsidR="00BE383F" w:rsidRPr="00BE383F" w:rsidRDefault="00701E81" w:rsidP="00BE383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361</w:t>
            </w:r>
          </w:p>
        </w:tc>
        <w:tc>
          <w:tcPr>
            <w:tcW w:w="1830" w:type="dxa"/>
            <w:shd w:val="clear" w:color="auto" w:fill="auto"/>
            <w:vAlign w:val="bottom"/>
          </w:tcPr>
          <w:p w:rsidR="00BE383F" w:rsidRPr="00BE383F" w:rsidRDefault="00701E81" w:rsidP="00BE383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363</w:t>
            </w:r>
          </w:p>
        </w:tc>
        <w:tc>
          <w:tcPr>
            <w:tcW w:w="1830" w:type="dxa"/>
            <w:shd w:val="clear" w:color="auto" w:fill="auto"/>
            <w:vAlign w:val="bottom"/>
          </w:tcPr>
          <w:p w:rsidR="00BE383F" w:rsidRPr="00BE383F" w:rsidRDefault="00701E81" w:rsidP="00BE383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498 6</w:t>
            </w:r>
          </w:p>
        </w:tc>
      </w:tr>
      <w:tr w:rsidR="00BE383F" w:rsidRPr="00BE383F">
        <w:tblPrEx>
          <w:tblCellMar>
            <w:top w:w="0" w:type="dxa"/>
            <w:bottom w:w="0" w:type="dxa"/>
          </w:tblCellMar>
        </w:tblPrEx>
        <w:trPr>
          <w:cantSplit/>
          <w:jc w:val="center"/>
        </w:trPr>
        <w:tc>
          <w:tcPr>
            <w:tcW w:w="1830" w:type="dxa"/>
            <w:shd w:val="clear" w:color="auto" w:fill="auto"/>
            <w:vAlign w:val="bottom"/>
          </w:tcPr>
          <w:p w:rsidR="00BE383F" w:rsidRPr="00BE383F" w:rsidRDefault="00EB67DC" w:rsidP="00BE383F">
            <w:pPr>
              <w:tabs>
                <w:tab w:val="left" w:pos="288"/>
                <w:tab w:val="left" w:pos="576"/>
                <w:tab w:val="left" w:pos="864"/>
                <w:tab w:val="left" w:pos="1152"/>
              </w:tabs>
              <w:spacing w:before="40" w:after="80" w:line="240" w:lineRule="exact"/>
              <w:ind w:left="72" w:right="72"/>
              <w:rPr>
                <w:rFonts w:hint="cs"/>
                <w:sz w:val="16"/>
                <w:szCs w:val="24"/>
                <w:rtl/>
              </w:rPr>
            </w:pPr>
            <w:proofErr w:type="spellStart"/>
            <w:r>
              <w:rPr>
                <w:rFonts w:hint="cs"/>
                <w:sz w:val="16"/>
                <w:szCs w:val="24"/>
                <w:rtl/>
              </w:rPr>
              <w:t>بالوشستان</w:t>
            </w:r>
            <w:proofErr w:type="spellEnd"/>
          </w:p>
        </w:tc>
        <w:tc>
          <w:tcPr>
            <w:tcW w:w="1830" w:type="dxa"/>
            <w:shd w:val="clear" w:color="auto" w:fill="auto"/>
            <w:vAlign w:val="bottom"/>
          </w:tcPr>
          <w:p w:rsidR="00BE383F" w:rsidRPr="00BE383F" w:rsidRDefault="00701E81" w:rsidP="00BE383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173</w:t>
            </w:r>
          </w:p>
        </w:tc>
        <w:tc>
          <w:tcPr>
            <w:tcW w:w="1830" w:type="dxa"/>
            <w:shd w:val="clear" w:color="auto" w:fill="auto"/>
            <w:vAlign w:val="bottom"/>
          </w:tcPr>
          <w:p w:rsidR="00BE383F" w:rsidRPr="00BE383F" w:rsidRDefault="00701E81" w:rsidP="00BE383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258</w:t>
            </w:r>
          </w:p>
        </w:tc>
        <w:tc>
          <w:tcPr>
            <w:tcW w:w="1830" w:type="dxa"/>
            <w:shd w:val="clear" w:color="auto" w:fill="auto"/>
            <w:vAlign w:val="bottom"/>
          </w:tcPr>
          <w:p w:rsidR="00BE383F" w:rsidRPr="00BE383F" w:rsidRDefault="00701E81" w:rsidP="00BE383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108 3</w:t>
            </w:r>
          </w:p>
        </w:tc>
      </w:tr>
      <w:tr w:rsidR="00BE383F" w:rsidRPr="00BE383F">
        <w:tblPrEx>
          <w:tblCellMar>
            <w:top w:w="0" w:type="dxa"/>
            <w:bottom w:w="0" w:type="dxa"/>
          </w:tblCellMar>
        </w:tblPrEx>
        <w:trPr>
          <w:cantSplit/>
          <w:jc w:val="center"/>
        </w:trPr>
        <w:tc>
          <w:tcPr>
            <w:tcW w:w="1830" w:type="dxa"/>
            <w:tcBorders>
              <w:bottom w:val="single" w:sz="4" w:space="0" w:color="auto"/>
            </w:tcBorders>
            <w:shd w:val="clear" w:color="auto" w:fill="auto"/>
            <w:vAlign w:val="bottom"/>
          </w:tcPr>
          <w:p w:rsidR="00BE383F" w:rsidRPr="00BE383F" w:rsidRDefault="00EB67DC" w:rsidP="00EB67DC">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مقاطعة الحدود الشمالية</w:t>
            </w:r>
          </w:p>
        </w:tc>
        <w:tc>
          <w:tcPr>
            <w:tcW w:w="1830" w:type="dxa"/>
            <w:tcBorders>
              <w:bottom w:val="single" w:sz="4" w:space="0" w:color="auto"/>
            </w:tcBorders>
            <w:shd w:val="clear" w:color="auto" w:fill="auto"/>
            <w:vAlign w:val="bottom"/>
          </w:tcPr>
          <w:p w:rsidR="00BE383F" w:rsidRPr="00BE383F" w:rsidRDefault="00701E81" w:rsidP="00EB67D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315</w:t>
            </w:r>
          </w:p>
        </w:tc>
        <w:tc>
          <w:tcPr>
            <w:tcW w:w="1830" w:type="dxa"/>
            <w:tcBorders>
              <w:bottom w:val="single" w:sz="4" w:space="0" w:color="auto"/>
            </w:tcBorders>
            <w:shd w:val="clear" w:color="auto" w:fill="auto"/>
            <w:vAlign w:val="bottom"/>
          </w:tcPr>
          <w:p w:rsidR="00BE383F" w:rsidRPr="00BE383F" w:rsidRDefault="00701E81" w:rsidP="00EB67D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231</w:t>
            </w:r>
          </w:p>
        </w:tc>
        <w:tc>
          <w:tcPr>
            <w:tcW w:w="1830" w:type="dxa"/>
            <w:tcBorders>
              <w:bottom w:val="single" w:sz="4" w:space="0" w:color="auto"/>
            </w:tcBorders>
            <w:shd w:val="clear" w:color="auto" w:fill="auto"/>
            <w:vAlign w:val="bottom"/>
          </w:tcPr>
          <w:p w:rsidR="00BE383F" w:rsidRPr="00BE383F" w:rsidRDefault="00701E81" w:rsidP="00EB67D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742 5</w:t>
            </w:r>
          </w:p>
        </w:tc>
      </w:tr>
      <w:tr w:rsidR="00BE383F" w:rsidRPr="00EB67DC">
        <w:tblPrEx>
          <w:tblCellMar>
            <w:top w:w="0" w:type="dxa"/>
            <w:bottom w:w="0" w:type="dxa"/>
          </w:tblCellMar>
        </w:tblPrEx>
        <w:trPr>
          <w:cantSplit/>
          <w:jc w:val="center"/>
        </w:trPr>
        <w:tc>
          <w:tcPr>
            <w:tcW w:w="1830" w:type="dxa"/>
            <w:tcBorders>
              <w:top w:val="single" w:sz="4" w:space="0" w:color="auto"/>
              <w:bottom w:val="single" w:sz="12" w:space="0" w:color="auto"/>
            </w:tcBorders>
            <w:shd w:val="clear" w:color="auto" w:fill="auto"/>
            <w:vAlign w:val="bottom"/>
          </w:tcPr>
          <w:p w:rsidR="00BE383F" w:rsidRPr="00EB67DC" w:rsidRDefault="00EB67DC" w:rsidP="00EB67DC">
            <w:pPr>
              <w:tabs>
                <w:tab w:val="left" w:pos="288"/>
                <w:tab w:val="left" w:pos="576"/>
                <w:tab w:val="left" w:pos="864"/>
                <w:tab w:val="left" w:pos="1152"/>
              </w:tabs>
              <w:spacing w:before="60" w:after="60" w:line="240" w:lineRule="exact"/>
              <w:ind w:left="72" w:right="72"/>
              <w:rPr>
                <w:rFonts w:hint="cs"/>
                <w:bCs/>
                <w:sz w:val="16"/>
                <w:szCs w:val="24"/>
                <w:rtl/>
              </w:rPr>
            </w:pPr>
            <w:r w:rsidRPr="00EB67DC">
              <w:rPr>
                <w:bCs/>
                <w:sz w:val="16"/>
                <w:szCs w:val="24"/>
                <w:rtl/>
              </w:rPr>
              <w:tab/>
            </w:r>
            <w:r w:rsidRPr="00EB67DC">
              <w:rPr>
                <w:rFonts w:hint="cs"/>
                <w:bCs/>
                <w:sz w:val="16"/>
                <w:szCs w:val="24"/>
                <w:rtl/>
              </w:rPr>
              <w:t>المجموع</w:t>
            </w:r>
          </w:p>
        </w:tc>
        <w:tc>
          <w:tcPr>
            <w:tcW w:w="1830" w:type="dxa"/>
            <w:tcBorders>
              <w:top w:val="single" w:sz="4" w:space="0" w:color="auto"/>
              <w:bottom w:val="single" w:sz="12" w:space="0" w:color="auto"/>
            </w:tcBorders>
            <w:shd w:val="clear" w:color="auto" w:fill="auto"/>
            <w:vAlign w:val="bottom"/>
          </w:tcPr>
          <w:p w:rsidR="00BE383F" w:rsidRPr="00EB67DC" w:rsidRDefault="00BE383F" w:rsidP="00EB67DC">
            <w:pPr>
              <w:tabs>
                <w:tab w:val="left" w:pos="288"/>
                <w:tab w:val="left" w:pos="576"/>
                <w:tab w:val="left" w:pos="864"/>
                <w:tab w:val="left" w:pos="1152"/>
              </w:tabs>
              <w:spacing w:before="60" w:after="60" w:line="240" w:lineRule="exact"/>
              <w:ind w:left="72" w:right="72"/>
              <w:jc w:val="lowKashida"/>
              <w:rPr>
                <w:rFonts w:hint="cs"/>
                <w:bCs/>
                <w:sz w:val="16"/>
                <w:szCs w:val="24"/>
                <w:rtl/>
              </w:rPr>
            </w:pPr>
          </w:p>
        </w:tc>
        <w:tc>
          <w:tcPr>
            <w:tcW w:w="1830" w:type="dxa"/>
            <w:tcBorders>
              <w:top w:val="single" w:sz="4" w:space="0" w:color="auto"/>
              <w:bottom w:val="single" w:sz="12" w:space="0" w:color="auto"/>
            </w:tcBorders>
            <w:shd w:val="clear" w:color="auto" w:fill="auto"/>
            <w:vAlign w:val="bottom"/>
          </w:tcPr>
          <w:p w:rsidR="00BE383F" w:rsidRPr="00EB67DC" w:rsidRDefault="00BE383F" w:rsidP="00EB67DC">
            <w:pPr>
              <w:tabs>
                <w:tab w:val="left" w:pos="288"/>
                <w:tab w:val="left" w:pos="576"/>
                <w:tab w:val="left" w:pos="864"/>
                <w:tab w:val="left" w:pos="1152"/>
              </w:tabs>
              <w:spacing w:before="60" w:after="60" w:line="240" w:lineRule="exact"/>
              <w:ind w:left="72" w:right="72"/>
              <w:jc w:val="lowKashida"/>
              <w:rPr>
                <w:rFonts w:hint="cs"/>
                <w:bCs/>
                <w:sz w:val="16"/>
                <w:szCs w:val="24"/>
                <w:rtl/>
              </w:rPr>
            </w:pPr>
          </w:p>
        </w:tc>
        <w:tc>
          <w:tcPr>
            <w:tcW w:w="1830" w:type="dxa"/>
            <w:tcBorders>
              <w:top w:val="single" w:sz="4" w:space="0" w:color="auto"/>
              <w:bottom w:val="single" w:sz="12" w:space="0" w:color="auto"/>
            </w:tcBorders>
            <w:shd w:val="clear" w:color="auto" w:fill="auto"/>
            <w:vAlign w:val="bottom"/>
          </w:tcPr>
          <w:p w:rsidR="00BE383F" w:rsidRPr="00EB67DC" w:rsidRDefault="00701E81" w:rsidP="00EB67DC">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049 40*</w:t>
            </w:r>
          </w:p>
        </w:tc>
      </w:tr>
    </w:tbl>
    <w:p w:rsidR="00FB51CB" w:rsidRPr="00FB51CB" w:rsidRDefault="00FB51CB" w:rsidP="00FB51CB">
      <w:pPr>
        <w:pStyle w:val="SingleTxt"/>
        <w:spacing w:after="0" w:line="120" w:lineRule="exact"/>
        <w:rPr>
          <w:rFonts w:hint="cs"/>
          <w:sz w:val="10"/>
          <w:rtl/>
        </w:rPr>
      </w:pPr>
    </w:p>
    <w:p w:rsidR="00B974D8" w:rsidRDefault="00597152" w:rsidP="00FB51C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005622A1">
        <w:rPr>
          <w:rFonts w:hint="cs"/>
          <w:rtl/>
        </w:rPr>
        <w:t>•</w:t>
      </w:r>
      <w:r w:rsidR="005622A1">
        <w:rPr>
          <w:rFonts w:hint="cs"/>
          <w:rtl/>
        </w:rPr>
        <w:tab/>
      </w:r>
      <w:r w:rsidR="00FB51CB">
        <w:rPr>
          <w:rFonts w:hint="cs"/>
          <w:rtl/>
        </w:rPr>
        <w:t>مجموع مقاعد المرأة وقد تم شغل 105 36 منها.</w:t>
      </w:r>
    </w:p>
    <w:p w:rsidR="00FB51CB" w:rsidRDefault="00597152" w:rsidP="00FB51C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Pr>
          <w:rFonts w:hint="cs"/>
          <w:i/>
          <w:iCs/>
          <w:rtl/>
        </w:rPr>
        <w:tab/>
      </w:r>
      <w:r w:rsidR="00FB51CB">
        <w:rPr>
          <w:rFonts w:hint="cs"/>
          <w:i/>
          <w:iCs/>
          <w:rtl/>
        </w:rPr>
        <w:t>المصدر</w:t>
      </w:r>
      <w:r w:rsidR="00FB51CB">
        <w:rPr>
          <w:rFonts w:hint="cs"/>
          <w:rtl/>
        </w:rPr>
        <w:t>: مشروع المشاركة السياسية للمرأة.</w:t>
      </w:r>
    </w:p>
    <w:p w:rsidR="00597152" w:rsidRPr="00597152" w:rsidRDefault="00597152" w:rsidP="0059715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FB51CB" w:rsidRDefault="00FB51CB" w:rsidP="00B974D8">
      <w:pPr>
        <w:pStyle w:val="SingleTxt"/>
        <w:rPr>
          <w:rFonts w:hint="cs"/>
          <w:rtl/>
        </w:rPr>
      </w:pPr>
      <w:r>
        <w:rPr>
          <w:rFonts w:hint="cs"/>
          <w:rtl/>
        </w:rPr>
        <w:t>135-</w:t>
      </w:r>
      <w:r>
        <w:rPr>
          <w:rFonts w:hint="cs"/>
          <w:rtl/>
        </w:rPr>
        <w:tab/>
      </w:r>
      <w:r w:rsidR="00F05431">
        <w:rPr>
          <w:rFonts w:hint="cs"/>
          <w:rtl/>
        </w:rPr>
        <w:t>انتهت آخر انتخابات الهيئات المحلية في 2001. وقد خفضت الحكومة مجموع عدد أعضاء المجالس في الهيئات المحلية مع بقاء النسب المئوية للرجال والنساء على ما هي عليه.</w:t>
      </w:r>
    </w:p>
    <w:p w:rsidR="00F05431" w:rsidRPr="00F05431" w:rsidRDefault="00F05431" w:rsidP="00F05431">
      <w:pPr>
        <w:pStyle w:val="SingleTxt"/>
        <w:spacing w:after="0" w:line="120" w:lineRule="exact"/>
        <w:rPr>
          <w:rFonts w:hint="cs"/>
          <w:sz w:val="10"/>
          <w:rtl/>
        </w:rPr>
      </w:pPr>
    </w:p>
    <w:p w:rsidR="00F05431" w:rsidRDefault="00F05431" w:rsidP="00F054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الخدمة الحكومية</w:t>
      </w:r>
    </w:p>
    <w:p w:rsidR="00F05431" w:rsidRDefault="00F05431" w:rsidP="00F054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الدستوري المتصل بالمرأة في الخدمة الحكومية</w:t>
      </w:r>
    </w:p>
    <w:p w:rsidR="00F05431" w:rsidRDefault="00F05431" w:rsidP="00F05431">
      <w:pPr>
        <w:pStyle w:val="SingleTxt"/>
        <w:rPr>
          <w:rFonts w:hint="cs"/>
          <w:rtl/>
        </w:rPr>
      </w:pPr>
      <w:r>
        <w:rPr>
          <w:rFonts w:hint="cs"/>
          <w:rtl/>
        </w:rPr>
        <w:t>136-</w:t>
      </w:r>
      <w:r>
        <w:rPr>
          <w:rFonts w:hint="cs"/>
          <w:rtl/>
        </w:rPr>
        <w:tab/>
        <w:t xml:space="preserve">تعتبر المادة النافذة في هذا الصدد، المادة 27 من الدستور التي تنص على ما يلي: </w:t>
      </w:r>
      <w:r>
        <w:rPr>
          <w:rFonts w:hint="eastAsia"/>
          <w:rtl/>
        </w:rPr>
        <w:t>”لا</w:t>
      </w:r>
      <w:r>
        <w:rPr>
          <w:rFonts w:hint="cs"/>
          <w:rtl/>
        </w:rPr>
        <w:t> </w:t>
      </w:r>
      <w:r>
        <w:rPr>
          <w:rFonts w:hint="eastAsia"/>
          <w:rtl/>
        </w:rPr>
        <w:t xml:space="preserve">يجوز </w:t>
      </w:r>
      <w:r>
        <w:rPr>
          <w:rFonts w:hint="cs"/>
          <w:rtl/>
        </w:rPr>
        <w:t>التمييز ضد أي مواطن يكون مؤهلا للتعيين في خدمة باكستان ... على أساس العرق أو الدين أو الطائفة أو نوع الجنس أو محل الإقامة أو الميلاد</w:t>
      </w:r>
      <w:r>
        <w:rPr>
          <w:rFonts w:hint="eastAsia"/>
          <w:rtl/>
        </w:rPr>
        <w:t xml:space="preserve">“. </w:t>
      </w:r>
      <w:r>
        <w:rPr>
          <w:rFonts w:hint="cs"/>
          <w:rtl/>
        </w:rPr>
        <w:t>وتحظى المرأة أيضا بالضمان الإضافي الوارد في المادة 34، والتي تمنح الحكومة فرصة واسعة النطاق للأخذ بالعمل الإيجابي في أي مجال يكون تمثيل المرأة فيه منخفضا.</w:t>
      </w:r>
    </w:p>
    <w:p w:rsidR="00F05431" w:rsidRPr="00F05431" w:rsidRDefault="00F05431" w:rsidP="00F05431">
      <w:pPr>
        <w:pStyle w:val="SingleTxt"/>
        <w:spacing w:after="0" w:line="120" w:lineRule="exact"/>
        <w:rPr>
          <w:rFonts w:hint="cs"/>
          <w:sz w:val="10"/>
          <w:rtl/>
        </w:rPr>
      </w:pPr>
    </w:p>
    <w:p w:rsidR="00F05431" w:rsidRDefault="00F05431" w:rsidP="00F054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الأحكام التشريعية والدستورية المتصلة بالخدمة الحكومية</w:t>
      </w:r>
    </w:p>
    <w:p w:rsidR="00F05431" w:rsidRDefault="00F05431" w:rsidP="00F05431">
      <w:pPr>
        <w:pStyle w:val="SingleTxt"/>
        <w:rPr>
          <w:rFonts w:hint="cs"/>
          <w:rtl/>
        </w:rPr>
      </w:pPr>
      <w:r>
        <w:rPr>
          <w:rFonts w:hint="cs"/>
          <w:rtl/>
        </w:rPr>
        <w:t>137-</w:t>
      </w:r>
      <w:r>
        <w:rPr>
          <w:rFonts w:hint="cs"/>
          <w:rtl/>
        </w:rPr>
        <w:tab/>
        <w:t>تنظم مجموعة كبيرة من القوانين والنظم المسائل المتصلة بالخدمة الحكومية ومنها:</w:t>
      </w:r>
    </w:p>
    <w:p w:rsidR="00F05431" w:rsidRDefault="00F05431" w:rsidP="00F05431">
      <w:pPr>
        <w:pStyle w:val="SingleTxt"/>
        <w:rPr>
          <w:rFonts w:hint="cs"/>
          <w:rtl/>
        </w:rPr>
      </w:pPr>
      <w:r>
        <w:rPr>
          <w:rFonts w:hint="cs"/>
          <w:rtl/>
        </w:rPr>
        <w:tab/>
        <w:t>(أ)</w:t>
      </w:r>
      <w:r>
        <w:rPr>
          <w:rFonts w:hint="cs"/>
          <w:rtl/>
        </w:rPr>
        <w:tab/>
        <w:t>قواعد الإجازات لموظفي حكومة غرب باكستان لسنة 1955، نظم المعاشات التقاعدية لسنة 1963؛</w:t>
      </w:r>
    </w:p>
    <w:p w:rsidR="00F05431" w:rsidRDefault="00F05431" w:rsidP="00F05431">
      <w:pPr>
        <w:pStyle w:val="SingleTxt"/>
        <w:rPr>
          <w:rFonts w:hint="cs"/>
          <w:rtl/>
        </w:rPr>
      </w:pPr>
      <w:r>
        <w:rPr>
          <w:rFonts w:hint="cs"/>
          <w:rtl/>
        </w:rPr>
        <w:tab/>
        <w:t>(ب)</w:t>
      </w:r>
      <w:r>
        <w:rPr>
          <w:rFonts w:hint="cs"/>
          <w:rtl/>
        </w:rPr>
        <w:tab/>
        <w:t>قواعد السلوك لسنة 1966 وما إلى ذلك؛</w:t>
      </w:r>
    </w:p>
    <w:p w:rsidR="00F05431" w:rsidRDefault="00F05431" w:rsidP="00F05431">
      <w:pPr>
        <w:pStyle w:val="SingleTxt"/>
        <w:rPr>
          <w:rFonts w:hint="cs"/>
          <w:rtl/>
        </w:rPr>
      </w:pPr>
      <w:r>
        <w:rPr>
          <w:rFonts w:hint="cs"/>
          <w:rtl/>
        </w:rPr>
        <w:tab/>
        <w:t>(ج)</w:t>
      </w:r>
      <w:r>
        <w:rPr>
          <w:rFonts w:hint="cs"/>
          <w:rtl/>
        </w:rPr>
        <w:tab/>
        <w:t>قانون موظفي الخدمة المدنية لسنة 1973؛</w:t>
      </w:r>
    </w:p>
    <w:p w:rsidR="00F05431" w:rsidRDefault="00F05431" w:rsidP="00F05431">
      <w:pPr>
        <w:pStyle w:val="SingleTxt"/>
        <w:rPr>
          <w:rFonts w:hint="cs"/>
          <w:rtl/>
        </w:rPr>
      </w:pPr>
      <w:r>
        <w:rPr>
          <w:rFonts w:hint="cs"/>
          <w:rtl/>
        </w:rPr>
        <w:tab/>
        <w:t>(د)</w:t>
      </w:r>
      <w:r>
        <w:rPr>
          <w:rFonts w:hint="cs"/>
          <w:rtl/>
        </w:rPr>
        <w:tab/>
        <w:t>قانون المحاكم الإدارية لسنة 1973؛</w:t>
      </w:r>
    </w:p>
    <w:p w:rsidR="00F05431" w:rsidRDefault="00F05431" w:rsidP="00F05431">
      <w:pPr>
        <w:pStyle w:val="SingleTxt"/>
        <w:rPr>
          <w:rFonts w:hint="cs"/>
          <w:rtl/>
        </w:rPr>
      </w:pPr>
      <w:r>
        <w:rPr>
          <w:rFonts w:hint="cs"/>
          <w:rtl/>
        </w:rPr>
        <w:tab/>
        <w:t>(هـ)</w:t>
      </w:r>
      <w:r>
        <w:rPr>
          <w:rFonts w:hint="cs"/>
          <w:rtl/>
        </w:rPr>
        <w:tab/>
        <w:t>قواعد الكفاءة والنظام لموظفي الخدمة المدنية لسنة 1973؛</w:t>
      </w:r>
    </w:p>
    <w:p w:rsidR="00F05431" w:rsidRDefault="00F05431" w:rsidP="00F05431">
      <w:pPr>
        <w:pStyle w:val="SingleTxt"/>
        <w:rPr>
          <w:rFonts w:hint="cs"/>
          <w:rtl/>
        </w:rPr>
      </w:pPr>
      <w:r>
        <w:rPr>
          <w:rFonts w:hint="cs"/>
          <w:rtl/>
        </w:rPr>
        <w:tab/>
        <w:t>(و)</w:t>
      </w:r>
      <w:r>
        <w:rPr>
          <w:rFonts w:hint="cs"/>
          <w:rtl/>
        </w:rPr>
        <w:tab/>
        <w:t>قواعد (تعيين وترقية ونقل) موظفي الخدمة المدنية لسنة 1974؛</w:t>
      </w:r>
    </w:p>
    <w:p w:rsidR="00F05431" w:rsidRDefault="00F05431" w:rsidP="00F05431">
      <w:pPr>
        <w:pStyle w:val="SingleTxt"/>
        <w:rPr>
          <w:rFonts w:hint="cs"/>
          <w:rtl/>
        </w:rPr>
      </w:pPr>
      <w:r>
        <w:rPr>
          <w:rFonts w:hint="cs"/>
          <w:rtl/>
        </w:rPr>
        <w:tab/>
        <w:t>(ز)</w:t>
      </w:r>
      <w:r>
        <w:rPr>
          <w:rFonts w:hint="cs"/>
          <w:rtl/>
        </w:rPr>
        <w:tab/>
        <w:t>قانون الأبعاد من الخدمة (السلطات الخاصة) لسنة 2000؛</w:t>
      </w:r>
    </w:p>
    <w:p w:rsidR="00F05431" w:rsidRDefault="00F05431" w:rsidP="00F05431">
      <w:pPr>
        <w:pStyle w:val="SingleTxt"/>
        <w:rPr>
          <w:rFonts w:hint="cs"/>
          <w:rtl/>
        </w:rPr>
      </w:pPr>
      <w:r>
        <w:rPr>
          <w:rFonts w:hint="cs"/>
          <w:rtl/>
        </w:rPr>
        <w:tab/>
        <w:t>(ح)</w:t>
      </w:r>
      <w:r>
        <w:rPr>
          <w:rFonts w:hint="cs"/>
          <w:rtl/>
        </w:rPr>
        <w:tab/>
        <w:t>قانون المحكمة الإدارية.</w:t>
      </w:r>
    </w:p>
    <w:p w:rsidR="00F05431" w:rsidRDefault="00F05431" w:rsidP="00F05431">
      <w:pPr>
        <w:pStyle w:val="SingleTxt"/>
        <w:rPr>
          <w:rFonts w:hint="cs"/>
          <w:rtl/>
        </w:rPr>
      </w:pPr>
      <w:r>
        <w:rPr>
          <w:rFonts w:hint="cs"/>
          <w:rtl/>
        </w:rPr>
        <w:t>138-</w:t>
      </w:r>
      <w:r>
        <w:rPr>
          <w:rFonts w:hint="cs"/>
          <w:rtl/>
        </w:rPr>
        <w:tab/>
        <w:t>وهذه القوانين غير تمييزية. وتوجد أحكام خاصة، تعتبر سخية في القوانين ذات الصلة، بالنسبة لإجازة الأمومة وما إلى ذلك.</w:t>
      </w:r>
      <w:r w:rsidR="00831A0F">
        <w:rPr>
          <w:rFonts w:hint="cs"/>
          <w:rtl/>
        </w:rPr>
        <w:t xml:space="preserve"> ولا تعين المرأة عادة في منصب بعيد عن زوجها.</w:t>
      </w:r>
    </w:p>
    <w:p w:rsidR="00831A0F" w:rsidRDefault="00831A0F" w:rsidP="00F05431">
      <w:pPr>
        <w:pStyle w:val="SingleTxt"/>
        <w:rPr>
          <w:rFonts w:hint="cs"/>
          <w:rtl/>
        </w:rPr>
      </w:pPr>
      <w:r>
        <w:rPr>
          <w:rFonts w:hint="cs"/>
          <w:rtl/>
        </w:rPr>
        <w:t>139-</w:t>
      </w:r>
      <w:r>
        <w:rPr>
          <w:rFonts w:hint="cs"/>
          <w:rtl/>
        </w:rPr>
        <w:tab/>
        <w:t>وهناك 22 طبقة أو مستوى في الخدمة الحكومية. وتسمى بجداول المرتبات الأساسية، وأدناها المستوى - 1 (عمال النظافة وما إلى ذلك) وأعلاها المستوى -22 (الوزراء، مثل وزير الخارجية ووزير الداخلية وما إلى ذلك).</w:t>
      </w:r>
    </w:p>
    <w:p w:rsidR="00831A0F" w:rsidRDefault="00831A0F" w:rsidP="00F05431">
      <w:pPr>
        <w:pStyle w:val="SingleTxt"/>
        <w:rPr>
          <w:rFonts w:hint="cs"/>
          <w:rtl/>
        </w:rPr>
      </w:pPr>
      <w:r>
        <w:rPr>
          <w:rFonts w:hint="cs"/>
          <w:rtl/>
        </w:rPr>
        <w:t>140-</w:t>
      </w:r>
      <w:r>
        <w:rPr>
          <w:rFonts w:hint="cs"/>
          <w:rtl/>
        </w:rPr>
        <w:tab/>
        <w:t>وتعد شعبة المؤسسات الكيان الحكومي المعني بمسائل الخدمة المدنية. وتشمل ولايته (أ) تنظيم جميع المسائل الخاصة بالتطبيق العام على المجموعات الوظيفية المختلفة في الخدمة المدنية بما في ذلك (ب) التعيين (ج) السلوك والنظام (د) مدة الخدمة وشروطها.</w:t>
      </w:r>
    </w:p>
    <w:p w:rsidR="00831A0F" w:rsidRPr="00831A0F" w:rsidRDefault="00831A0F" w:rsidP="00831A0F">
      <w:pPr>
        <w:pStyle w:val="SingleTxt"/>
        <w:spacing w:after="0" w:line="120" w:lineRule="exact"/>
        <w:rPr>
          <w:rFonts w:hint="cs"/>
          <w:sz w:val="10"/>
          <w:rtl/>
        </w:rPr>
      </w:pPr>
    </w:p>
    <w:p w:rsidR="00831A0F" w:rsidRPr="00831A0F" w:rsidRDefault="00831A0F" w:rsidP="00831A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الخدمة الحكومية</w:t>
      </w:r>
      <w:r w:rsidRPr="00831A0F">
        <w:rPr>
          <w:vertAlign w:val="superscript"/>
          <w:rtl/>
        </w:rPr>
        <w:t>(</w:t>
      </w:r>
      <w:r>
        <w:rPr>
          <w:rStyle w:val="FootnoteReference"/>
          <w:rtl/>
        </w:rPr>
        <w:footnoteReference w:id="9"/>
      </w:r>
      <w:r w:rsidRPr="00831A0F">
        <w:rPr>
          <w:vertAlign w:val="superscript"/>
          <w:rtl/>
        </w:rPr>
        <w:t>)</w:t>
      </w:r>
    </w:p>
    <w:p w:rsidR="00831A0F" w:rsidRDefault="00831A0F" w:rsidP="0084124D">
      <w:pPr>
        <w:pStyle w:val="SingleTxt"/>
        <w:rPr>
          <w:rFonts w:hint="cs"/>
          <w:rtl/>
        </w:rPr>
      </w:pPr>
      <w:r>
        <w:rPr>
          <w:rFonts w:hint="cs"/>
          <w:rtl/>
        </w:rPr>
        <w:t>141-</w:t>
      </w:r>
      <w:r>
        <w:rPr>
          <w:rFonts w:hint="cs"/>
          <w:rtl/>
        </w:rPr>
        <w:tab/>
      </w:r>
      <w:r w:rsidR="009A2C97">
        <w:rPr>
          <w:rFonts w:hint="cs"/>
          <w:rtl/>
        </w:rPr>
        <w:t>أوكلت اللجنة الوطنية لوضع ال</w:t>
      </w:r>
      <w:r w:rsidR="0084124D">
        <w:rPr>
          <w:rFonts w:hint="cs"/>
          <w:rtl/>
        </w:rPr>
        <w:t>مرأة مهمة إعداد تقرير بحثي عن أوضاع توظيف المرأة في هيئات القطاع العام، في سنة 2001.</w:t>
      </w:r>
    </w:p>
    <w:p w:rsidR="0084124D" w:rsidRDefault="0084124D" w:rsidP="0084124D">
      <w:pPr>
        <w:pStyle w:val="SingleTxt"/>
        <w:rPr>
          <w:rFonts w:hint="cs"/>
          <w:rtl/>
        </w:rPr>
      </w:pPr>
      <w:r>
        <w:rPr>
          <w:rFonts w:hint="cs"/>
          <w:rtl/>
        </w:rPr>
        <w:t>142-</w:t>
      </w:r>
      <w:r>
        <w:rPr>
          <w:rFonts w:hint="cs"/>
          <w:rtl/>
        </w:rPr>
        <w:tab/>
        <w:t>وترد أدناه بعض الملامح والتوصيات البارزة لهذه الدراسة.</w:t>
      </w:r>
    </w:p>
    <w:p w:rsidR="00597152" w:rsidRPr="00597152" w:rsidRDefault="00597152" w:rsidP="00597152">
      <w:pPr>
        <w:pStyle w:val="SingleTxt"/>
        <w:spacing w:after="0" w:line="120" w:lineRule="exact"/>
        <w:rPr>
          <w:rFonts w:hint="cs"/>
          <w:sz w:val="10"/>
          <w:rtl/>
        </w:rPr>
      </w:pPr>
    </w:p>
    <w:p w:rsidR="0084124D" w:rsidRDefault="00597152" w:rsidP="0084124D">
      <w:pPr>
        <w:pStyle w:val="SingleTxt"/>
        <w:spacing w:after="0"/>
        <w:rPr>
          <w:rFonts w:hint="cs"/>
          <w:rtl/>
        </w:rPr>
      </w:pPr>
      <w:r>
        <w:rPr>
          <w:rtl/>
        </w:rPr>
        <w:br w:type="page"/>
      </w:r>
      <w:r w:rsidR="0084124D">
        <w:rPr>
          <w:rFonts w:hint="cs"/>
          <w:rtl/>
        </w:rPr>
        <w:t>الجدول 7-8</w:t>
      </w:r>
    </w:p>
    <w:p w:rsidR="0084124D" w:rsidRDefault="0084124D" w:rsidP="0084124D">
      <w:pPr>
        <w:pStyle w:val="SingleTxt"/>
        <w:rPr>
          <w:rFonts w:hint="cs"/>
          <w:b/>
          <w:bCs/>
          <w:rtl/>
        </w:rPr>
      </w:pPr>
      <w:r w:rsidRPr="0084124D">
        <w:rPr>
          <w:rFonts w:hint="cs"/>
          <w:b/>
          <w:bCs/>
          <w:rtl/>
        </w:rPr>
        <w:t>المرأة في الخدمة الحكومية</w:t>
      </w:r>
    </w:p>
    <w:p w:rsidR="00597152" w:rsidRPr="00597152" w:rsidRDefault="00597152" w:rsidP="00597152">
      <w:pPr>
        <w:pStyle w:val="SingleTxt"/>
        <w:spacing w:after="0" w:line="120" w:lineRule="exact"/>
        <w:rPr>
          <w:rFonts w:hint="cs"/>
          <w:sz w:val="10"/>
          <w:rtl/>
        </w:rPr>
      </w:pPr>
    </w:p>
    <w:tbl>
      <w:tblPr>
        <w:bidiVisual/>
        <w:tblW w:w="7320" w:type="dxa"/>
        <w:jc w:val="center"/>
        <w:tblLayout w:type="fixed"/>
        <w:tblCellMar>
          <w:left w:w="0" w:type="dxa"/>
          <w:right w:w="0" w:type="dxa"/>
        </w:tblCellMar>
        <w:tblLook w:val="0000" w:firstRow="0" w:lastRow="0" w:firstColumn="0" w:lastColumn="0" w:noHBand="0" w:noVBand="0"/>
      </w:tblPr>
      <w:tblGrid>
        <w:gridCol w:w="3465"/>
        <w:gridCol w:w="1040"/>
        <w:gridCol w:w="960"/>
        <w:gridCol w:w="880"/>
        <w:gridCol w:w="975"/>
      </w:tblGrid>
      <w:tr w:rsidR="00155FCB" w:rsidRPr="0084124D">
        <w:tblPrEx>
          <w:tblCellMar>
            <w:top w:w="0" w:type="dxa"/>
            <w:bottom w:w="0" w:type="dxa"/>
          </w:tblCellMar>
        </w:tblPrEx>
        <w:trPr>
          <w:cantSplit/>
          <w:tblHeader/>
          <w:jc w:val="center"/>
        </w:trPr>
        <w:tc>
          <w:tcPr>
            <w:tcW w:w="3465" w:type="dxa"/>
            <w:tcBorders>
              <w:top w:val="single" w:sz="4" w:space="0" w:color="auto"/>
              <w:bottom w:val="single" w:sz="12" w:space="0" w:color="auto"/>
            </w:tcBorders>
            <w:shd w:val="clear" w:color="auto" w:fill="auto"/>
            <w:vAlign w:val="bottom"/>
          </w:tcPr>
          <w:p w:rsidR="0084124D" w:rsidRPr="0084124D" w:rsidRDefault="0084124D" w:rsidP="0084124D">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جدول المرتبات الأساسية</w:t>
            </w:r>
          </w:p>
        </w:tc>
        <w:tc>
          <w:tcPr>
            <w:tcW w:w="1040" w:type="dxa"/>
            <w:tcBorders>
              <w:top w:val="single" w:sz="4" w:space="0" w:color="auto"/>
              <w:bottom w:val="single" w:sz="12" w:space="0" w:color="auto"/>
            </w:tcBorders>
            <w:shd w:val="clear" w:color="auto" w:fill="auto"/>
            <w:vAlign w:val="bottom"/>
          </w:tcPr>
          <w:p w:rsidR="0084124D" w:rsidRPr="0084124D" w:rsidRDefault="0084124D" w:rsidP="0084124D">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مجموع عدد الموظفين</w:t>
            </w:r>
          </w:p>
        </w:tc>
        <w:tc>
          <w:tcPr>
            <w:tcW w:w="960" w:type="dxa"/>
            <w:tcBorders>
              <w:top w:val="single" w:sz="4" w:space="0" w:color="auto"/>
              <w:bottom w:val="single" w:sz="12" w:space="0" w:color="auto"/>
            </w:tcBorders>
            <w:shd w:val="clear" w:color="auto" w:fill="auto"/>
            <w:vAlign w:val="bottom"/>
          </w:tcPr>
          <w:p w:rsidR="0084124D" w:rsidRPr="0084124D" w:rsidRDefault="0084124D" w:rsidP="0084124D">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الذكور</w:t>
            </w:r>
          </w:p>
        </w:tc>
        <w:tc>
          <w:tcPr>
            <w:tcW w:w="880" w:type="dxa"/>
            <w:tcBorders>
              <w:top w:val="single" w:sz="4" w:space="0" w:color="auto"/>
              <w:bottom w:val="single" w:sz="12" w:space="0" w:color="auto"/>
            </w:tcBorders>
            <w:shd w:val="clear" w:color="auto" w:fill="auto"/>
            <w:vAlign w:val="bottom"/>
          </w:tcPr>
          <w:p w:rsidR="0084124D" w:rsidRPr="0084124D" w:rsidRDefault="0084124D" w:rsidP="0084124D">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الإناث</w:t>
            </w:r>
          </w:p>
        </w:tc>
        <w:tc>
          <w:tcPr>
            <w:tcW w:w="975" w:type="dxa"/>
            <w:tcBorders>
              <w:top w:val="single" w:sz="4" w:space="0" w:color="auto"/>
              <w:bottom w:val="single" w:sz="12" w:space="0" w:color="auto"/>
            </w:tcBorders>
            <w:shd w:val="clear" w:color="auto" w:fill="auto"/>
            <w:vAlign w:val="bottom"/>
          </w:tcPr>
          <w:p w:rsidR="0084124D" w:rsidRPr="0084124D" w:rsidRDefault="0084124D" w:rsidP="0084124D">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 xml:space="preserve">النسبة المئوية </w:t>
            </w:r>
            <w:proofErr w:type="spellStart"/>
            <w:r>
              <w:rPr>
                <w:rFonts w:hint="cs"/>
                <w:i/>
                <w:iCs/>
                <w:sz w:val="16"/>
                <w:szCs w:val="24"/>
                <w:rtl/>
              </w:rPr>
              <w:t>للموظفيات</w:t>
            </w:r>
            <w:proofErr w:type="spellEnd"/>
          </w:p>
        </w:tc>
      </w:tr>
      <w:tr w:rsidR="0084124D" w:rsidRPr="0084124D">
        <w:tblPrEx>
          <w:tblCellMar>
            <w:top w:w="0" w:type="dxa"/>
            <w:bottom w:w="0" w:type="dxa"/>
          </w:tblCellMar>
        </w:tblPrEx>
        <w:trPr>
          <w:cantSplit/>
          <w:trHeight w:hRule="exact" w:val="115"/>
          <w:tblHeader/>
          <w:jc w:val="center"/>
        </w:trPr>
        <w:tc>
          <w:tcPr>
            <w:tcW w:w="3465" w:type="dxa"/>
            <w:tcBorders>
              <w:top w:val="single" w:sz="12" w:space="0" w:color="auto"/>
            </w:tcBorders>
            <w:shd w:val="clear" w:color="auto" w:fill="auto"/>
            <w:vAlign w:val="bottom"/>
          </w:tcPr>
          <w:p w:rsidR="0084124D" w:rsidRPr="0084124D" w:rsidRDefault="0084124D" w:rsidP="0084124D">
            <w:pPr>
              <w:tabs>
                <w:tab w:val="left" w:pos="288"/>
                <w:tab w:val="left" w:pos="576"/>
                <w:tab w:val="left" w:pos="864"/>
                <w:tab w:val="left" w:pos="1152"/>
              </w:tabs>
              <w:spacing w:before="40" w:after="80" w:line="240" w:lineRule="exact"/>
              <w:ind w:left="72" w:right="72"/>
              <w:rPr>
                <w:rFonts w:hint="cs"/>
                <w:sz w:val="16"/>
                <w:szCs w:val="24"/>
                <w:rtl/>
              </w:rPr>
            </w:pPr>
          </w:p>
        </w:tc>
        <w:tc>
          <w:tcPr>
            <w:tcW w:w="1040" w:type="dxa"/>
            <w:tcBorders>
              <w:top w:val="single" w:sz="12" w:space="0" w:color="auto"/>
            </w:tcBorders>
            <w:shd w:val="clear" w:color="auto" w:fill="auto"/>
            <w:vAlign w:val="bottom"/>
          </w:tcPr>
          <w:p w:rsidR="0084124D" w:rsidRPr="0084124D" w:rsidRDefault="0084124D" w:rsidP="0084124D">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960" w:type="dxa"/>
            <w:tcBorders>
              <w:top w:val="single" w:sz="12" w:space="0" w:color="auto"/>
            </w:tcBorders>
            <w:shd w:val="clear" w:color="auto" w:fill="auto"/>
            <w:vAlign w:val="bottom"/>
          </w:tcPr>
          <w:p w:rsidR="0084124D" w:rsidRPr="0084124D" w:rsidRDefault="0084124D" w:rsidP="0084124D">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880" w:type="dxa"/>
            <w:tcBorders>
              <w:top w:val="single" w:sz="12" w:space="0" w:color="auto"/>
            </w:tcBorders>
            <w:shd w:val="clear" w:color="auto" w:fill="auto"/>
            <w:vAlign w:val="bottom"/>
          </w:tcPr>
          <w:p w:rsidR="0084124D" w:rsidRPr="0084124D" w:rsidRDefault="0084124D" w:rsidP="0084124D">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975" w:type="dxa"/>
            <w:tcBorders>
              <w:top w:val="single" w:sz="12" w:space="0" w:color="auto"/>
            </w:tcBorders>
            <w:shd w:val="clear" w:color="auto" w:fill="auto"/>
            <w:vAlign w:val="bottom"/>
          </w:tcPr>
          <w:p w:rsidR="0084124D" w:rsidRPr="0084124D" w:rsidRDefault="0084124D" w:rsidP="0084124D">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155FCB" w:rsidRPr="0084124D">
        <w:tblPrEx>
          <w:tblCellMar>
            <w:top w:w="0" w:type="dxa"/>
            <w:bottom w:w="0" w:type="dxa"/>
          </w:tblCellMar>
        </w:tblPrEx>
        <w:trPr>
          <w:cantSplit/>
          <w:jc w:val="center"/>
        </w:trPr>
        <w:tc>
          <w:tcPr>
            <w:tcW w:w="3465" w:type="dxa"/>
            <w:shd w:val="clear" w:color="auto" w:fill="auto"/>
            <w:vAlign w:val="bottom"/>
          </w:tcPr>
          <w:p w:rsidR="0084124D" w:rsidRPr="0084124D" w:rsidRDefault="0084124D" w:rsidP="0084124D">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جميع المستويات (المستوى 1-22)</w:t>
            </w:r>
          </w:p>
        </w:tc>
        <w:tc>
          <w:tcPr>
            <w:tcW w:w="1040" w:type="dxa"/>
            <w:shd w:val="clear" w:color="auto" w:fill="auto"/>
            <w:vAlign w:val="bottom"/>
          </w:tcPr>
          <w:p w:rsidR="0084124D" w:rsidRPr="0084124D" w:rsidRDefault="00155FCB" w:rsidP="0084124D">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189 175</w:t>
            </w:r>
          </w:p>
        </w:tc>
        <w:tc>
          <w:tcPr>
            <w:tcW w:w="960" w:type="dxa"/>
            <w:shd w:val="clear" w:color="auto" w:fill="auto"/>
            <w:vAlign w:val="bottom"/>
          </w:tcPr>
          <w:p w:rsidR="0084124D" w:rsidRPr="0084124D" w:rsidRDefault="00155FCB" w:rsidP="0084124D">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802 165</w:t>
            </w:r>
          </w:p>
        </w:tc>
        <w:tc>
          <w:tcPr>
            <w:tcW w:w="880" w:type="dxa"/>
            <w:shd w:val="clear" w:color="auto" w:fill="auto"/>
            <w:vAlign w:val="bottom"/>
          </w:tcPr>
          <w:p w:rsidR="0084124D" w:rsidRPr="0084124D" w:rsidRDefault="00155FCB" w:rsidP="0084124D">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387 9</w:t>
            </w:r>
          </w:p>
        </w:tc>
        <w:tc>
          <w:tcPr>
            <w:tcW w:w="975" w:type="dxa"/>
            <w:shd w:val="clear" w:color="auto" w:fill="auto"/>
            <w:vAlign w:val="bottom"/>
          </w:tcPr>
          <w:p w:rsidR="0084124D" w:rsidRPr="0084124D" w:rsidRDefault="00155FCB" w:rsidP="0084124D">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5.4</w:t>
            </w:r>
          </w:p>
        </w:tc>
      </w:tr>
      <w:tr w:rsidR="00155FCB" w:rsidRPr="0084124D">
        <w:tblPrEx>
          <w:tblCellMar>
            <w:top w:w="0" w:type="dxa"/>
            <w:bottom w:w="0" w:type="dxa"/>
          </w:tblCellMar>
        </w:tblPrEx>
        <w:trPr>
          <w:cantSplit/>
          <w:jc w:val="center"/>
        </w:trPr>
        <w:tc>
          <w:tcPr>
            <w:tcW w:w="3465" w:type="dxa"/>
            <w:shd w:val="clear" w:color="auto" w:fill="auto"/>
            <w:vAlign w:val="bottom"/>
          </w:tcPr>
          <w:p w:rsidR="0084124D" w:rsidRPr="0084124D" w:rsidRDefault="0084124D" w:rsidP="0084124D">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فئة المديرين (المستوى 16-22)</w:t>
            </w:r>
          </w:p>
        </w:tc>
        <w:tc>
          <w:tcPr>
            <w:tcW w:w="1040" w:type="dxa"/>
            <w:shd w:val="clear" w:color="auto" w:fill="auto"/>
            <w:vAlign w:val="bottom"/>
          </w:tcPr>
          <w:p w:rsidR="0084124D" w:rsidRPr="0084124D" w:rsidRDefault="00155FCB" w:rsidP="0084124D">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872 21</w:t>
            </w:r>
          </w:p>
        </w:tc>
        <w:tc>
          <w:tcPr>
            <w:tcW w:w="960" w:type="dxa"/>
            <w:shd w:val="clear" w:color="auto" w:fill="auto"/>
            <w:vAlign w:val="bottom"/>
          </w:tcPr>
          <w:p w:rsidR="0084124D" w:rsidRPr="0084124D" w:rsidRDefault="00155FCB" w:rsidP="0084124D">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974 19</w:t>
            </w:r>
          </w:p>
        </w:tc>
        <w:tc>
          <w:tcPr>
            <w:tcW w:w="880" w:type="dxa"/>
            <w:shd w:val="clear" w:color="auto" w:fill="auto"/>
            <w:vAlign w:val="bottom"/>
          </w:tcPr>
          <w:p w:rsidR="0084124D" w:rsidRPr="0084124D" w:rsidRDefault="00155FCB" w:rsidP="0084124D">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898 1</w:t>
            </w:r>
          </w:p>
        </w:tc>
        <w:tc>
          <w:tcPr>
            <w:tcW w:w="975" w:type="dxa"/>
            <w:shd w:val="clear" w:color="auto" w:fill="auto"/>
            <w:vAlign w:val="bottom"/>
          </w:tcPr>
          <w:p w:rsidR="0084124D" w:rsidRPr="0084124D" w:rsidRDefault="00155FCB" w:rsidP="0084124D">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8.7</w:t>
            </w:r>
          </w:p>
        </w:tc>
      </w:tr>
      <w:tr w:rsidR="00155FCB" w:rsidRPr="0084124D">
        <w:tblPrEx>
          <w:tblCellMar>
            <w:top w:w="0" w:type="dxa"/>
            <w:bottom w:w="0" w:type="dxa"/>
          </w:tblCellMar>
        </w:tblPrEx>
        <w:trPr>
          <w:cantSplit/>
          <w:jc w:val="center"/>
        </w:trPr>
        <w:tc>
          <w:tcPr>
            <w:tcW w:w="3465" w:type="dxa"/>
            <w:tcBorders>
              <w:bottom w:val="single" w:sz="12" w:space="0" w:color="auto"/>
            </w:tcBorders>
            <w:shd w:val="clear" w:color="auto" w:fill="auto"/>
            <w:vAlign w:val="bottom"/>
          </w:tcPr>
          <w:p w:rsidR="0084124D" w:rsidRPr="0084124D" w:rsidRDefault="0084124D" w:rsidP="0084124D">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 xml:space="preserve">الفئات الأخرى (المستوى </w:t>
            </w:r>
            <w:r w:rsidR="009A2C97">
              <w:rPr>
                <w:rFonts w:hint="cs"/>
                <w:sz w:val="16"/>
                <w:szCs w:val="24"/>
                <w:rtl/>
              </w:rPr>
              <w:t>1-15</w:t>
            </w:r>
            <w:r>
              <w:rPr>
                <w:rFonts w:hint="cs"/>
                <w:sz w:val="16"/>
                <w:szCs w:val="24"/>
                <w:rtl/>
              </w:rPr>
              <w:t>)</w:t>
            </w:r>
          </w:p>
        </w:tc>
        <w:tc>
          <w:tcPr>
            <w:tcW w:w="1040" w:type="dxa"/>
            <w:tcBorders>
              <w:bottom w:val="single" w:sz="12" w:space="0" w:color="auto"/>
            </w:tcBorders>
            <w:shd w:val="clear" w:color="auto" w:fill="auto"/>
            <w:vAlign w:val="bottom"/>
          </w:tcPr>
          <w:p w:rsidR="0084124D" w:rsidRPr="0084124D" w:rsidRDefault="00155FCB" w:rsidP="0084124D">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317 153</w:t>
            </w:r>
          </w:p>
        </w:tc>
        <w:tc>
          <w:tcPr>
            <w:tcW w:w="960" w:type="dxa"/>
            <w:tcBorders>
              <w:bottom w:val="single" w:sz="12" w:space="0" w:color="auto"/>
            </w:tcBorders>
            <w:shd w:val="clear" w:color="auto" w:fill="auto"/>
            <w:vAlign w:val="bottom"/>
          </w:tcPr>
          <w:p w:rsidR="0084124D" w:rsidRPr="0084124D" w:rsidRDefault="00155FCB" w:rsidP="0084124D">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828 145</w:t>
            </w:r>
          </w:p>
        </w:tc>
        <w:tc>
          <w:tcPr>
            <w:tcW w:w="880" w:type="dxa"/>
            <w:tcBorders>
              <w:bottom w:val="single" w:sz="12" w:space="0" w:color="auto"/>
            </w:tcBorders>
            <w:shd w:val="clear" w:color="auto" w:fill="auto"/>
            <w:vAlign w:val="bottom"/>
          </w:tcPr>
          <w:p w:rsidR="0084124D" w:rsidRPr="0084124D" w:rsidRDefault="00155FCB" w:rsidP="0084124D">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489 7</w:t>
            </w:r>
          </w:p>
        </w:tc>
        <w:tc>
          <w:tcPr>
            <w:tcW w:w="975" w:type="dxa"/>
            <w:tcBorders>
              <w:bottom w:val="single" w:sz="12" w:space="0" w:color="auto"/>
            </w:tcBorders>
            <w:shd w:val="clear" w:color="auto" w:fill="auto"/>
            <w:vAlign w:val="bottom"/>
          </w:tcPr>
          <w:p w:rsidR="0084124D" w:rsidRPr="0084124D" w:rsidRDefault="00155FCB" w:rsidP="0084124D">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4.9</w:t>
            </w:r>
          </w:p>
        </w:tc>
      </w:tr>
    </w:tbl>
    <w:p w:rsidR="0084124D" w:rsidRPr="0084124D" w:rsidRDefault="0084124D" w:rsidP="0084124D">
      <w:pPr>
        <w:pStyle w:val="SingleTxt"/>
        <w:spacing w:after="0" w:line="120" w:lineRule="exact"/>
        <w:rPr>
          <w:rFonts w:hint="cs"/>
          <w:sz w:val="10"/>
          <w:rtl/>
        </w:rPr>
      </w:pPr>
    </w:p>
    <w:p w:rsidR="0084124D" w:rsidRDefault="00597152" w:rsidP="0084124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rPr>
      </w:pPr>
      <w:r>
        <w:rPr>
          <w:rFonts w:hint="cs"/>
          <w:i/>
          <w:iCs/>
          <w:rtl/>
        </w:rPr>
        <w:tab/>
      </w:r>
      <w:r>
        <w:rPr>
          <w:rFonts w:hint="cs"/>
          <w:i/>
          <w:iCs/>
          <w:rtl/>
        </w:rPr>
        <w:tab/>
      </w:r>
      <w:r w:rsidR="0084124D" w:rsidRPr="0084124D">
        <w:rPr>
          <w:rFonts w:hint="cs"/>
          <w:i/>
          <w:iCs/>
          <w:rtl/>
        </w:rPr>
        <w:t>تعداد موظفي الحكومة لسنة 1993، على النحو الوارد في التقرير البحثي للجنة الوطنية لوضع المرأة عن أوضاع توظيف المرأة في باكستان، كانون الأول/ديسمبر 2003.</w:t>
      </w:r>
    </w:p>
    <w:p w:rsidR="00597152" w:rsidRPr="00597152" w:rsidRDefault="00597152" w:rsidP="0059715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84124D" w:rsidRDefault="0084124D" w:rsidP="00597152">
      <w:pPr>
        <w:pStyle w:val="SingleTxt"/>
        <w:rPr>
          <w:rFonts w:hint="cs"/>
          <w:rtl/>
        </w:rPr>
      </w:pPr>
      <w:r>
        <w:rPr>
          <w:rFonts w:hint="cs"/>
          <w:rtl/>
        </w:rPr>
        <w:t>143-</w:t>
      </w:r>
      <w:r>
        <w:rPr>
          <w:rFonts w:hint="cs"/>
          <w:rtl/>
        </w:rPr>
        <w:tab/>
      </w:r>
      <w:r w:rsidR="00F53E4D">
        <w:rPr>
          <w:rFonts w:hint="cs"/>
          <w:rtl/>
        </w:rPr>
        <w:t xml:space="preserve">ويوضح الجدول أعلاه أن تمثيل المرأة في الخدمة الحكومية منخفض جدا. وأن التفاوت بين الرجال والنساء موجود من الناحيتين الكمية والنوعية. وهناك عوامل عديدة تعتبر </w:t>
      </w:r>
      <w:proofErr w:type="spellStart"/>
      <w:r w:rsidR="00F53E4D">
        <w:rPr>
          <w:rFonts w:hint="cs"/>
          <w:rtl/>
        </w:rPr>
        <w:t>مسؤولة</w:t>
      </w:r>
      <w:proofErr w:type="spellEnd"/>
      <w:r w:rsidR="00F53E4D">
        <w:rPr>
          <w:rFonts w:hint="cs"/>
          <w:rtl/>
        </w:rPr>
        <w:t xml:space="preserve"> عن هذه الحالة إذ أن نسبة النساء غير الملمات بالقراءة والكتابة تفوق نسبة الرجال. وتنطوي الخدمة الحكومية على درجة معينة من القدرة على التحرك مع احتمال التعيين في مناطق مختلفة من البلد أو المقاطعة أو النقل إليها. وبعض النساء يجدن هذا غير مناسب. ولم تأخذ مدة إدارة الحصة المحددة من الحكومة على محمل جدي، وقد يكون ذلك نتيجة لضعف إجراءات المتابعة وعدم مساءلة الإدارات عن تحقيق الحصص المستهدفة في فترة زمنية محددة.</w:t>
      </w:r>
    </w:p>
    <w:p w:rsidR="00F53E4D" w:rsidRDefault="00F53E4D" w:rsidP="00597152">
      <w:pPr>
        <w:pStyle w:val="SingleTxt"/>
        <w:rPr>
          <w:rFonts w:hint="cs"/>
          <w:rtl/>
        </w:rPr>
      </w:pPr>
      <w:r>
        <w:rPr>
          <w:rFonts w:hint="cs"/>
          <w:rtl/>
        </w:rPr>
        <w:t>144-</w:t>
      </w:r>
      <w:r>
        <w:rPr>
          <w:rFonts w:hint="cs"/>
          <w:rtl/>
        </w:rPr>
        <w:tab/>
        <w:t xml:space="preserve">وهناك دلائل على أن نسبة النساء في الخدمة الحكومية تتزايد تدريجيا منها أن نحو ثلث المديرين المرشحين للترقية من لجنة الخدمة المدنية بالسند، في سنة 2002، كان من النساء. وبالمثل فإن البيانات المتصلة بامتحان الخدمات المركزية العليا </w:t>
      </w:r>
      <w:r>
        <w:t>(CSS)</w:t>
      </w:r>
      <w:r>
        <w:rPr>
          <w:rFonts w:hint="cs"/>
          <w:rtl/>
        </w:rPr>
        <w:t xml:space="preserve"> توضح أن المرأة تحقق تقدما في هذا الامتحان بالرغم من عدم وجود حصص. ففي سنة 1997، كانت المرأة تمثل 11 في المائة من </w:t>
      </w:r>
      <w:proofErr w:type="spellStart"/>
      <w:r>
        <w:rPr>
          <w:rFonts w:hint="cs"/>
          <w:rtl/>
        </w:rPr>
        <w:t>الناحيتن</w:t>
      </w:r>
      <w:proofErr w:type="spellEnd"/>
      <w:r>
        <w:rPr>
          <w:rFonts w:hint="cs"/>
          <w:rtl/>
        </w:rPr>
        <w:t>. وارتفعت هذه النسبة إلى 18 في المائة في سنة 2001.</w:t>
      </w:r>
    </w:p>
    <w:p w:rsidR="00F53E4D" w:rsidRPr="00F53E4D" w:rsidRDefault="00F53E4D" w:rsidP="00F53E4D">
      <w:pPr>
        <w:pStyle w:val="SingleTxt"/>
        <w:spacing w:after="0" w:line="120" w:lineRule="exact"/>
        <w:rPr>
          <w:rFonts w:hint="cs"/>
          <w:sz w:val="10"/>
          <w:rtl/>
        </w:rPr>
      </w:pPr>
    </w:p>
    <w:p w:rsidR="00F53E4D" w:rsidRDefault="00130AD5" w:rsidP="00F53E4D">
      <w:pPr>
        <w:pStyle w:val="SingleTxt"/>
        <w:spacing w:after="0"/>
        <w:rPr>
          <w:rFonts w:hint="cs"/>
          <w:rtl/>
        </w:rPr>
      </w:pPr>
      <w:r>
        <w:rPr>
          <w:rtl/>
        </w:rPr>
        <w:br w:type="page"/>
      </w:r>
      <w:r w:rsidR="00F53E4D">
        <w:rPr>
          <w:rFonts w:hint="cs"/>
          <w:rtl/>
        </w:rPr>
        <w:t>الجدول 7-9</w:t>
      </w:r>
    </w:p>
    <w:p w:rsidR="00F53E4D" w:rsidRDefault="00F53E4D" w:rsidP="0084124D">
      <w:pPr>
        <w:pStyle w:val="SingleTxt"/>
        <w:rPr>
          <w:rFonts w:hint="cs"/>
          <w:b/>
          <w:bCs/>
          <w:rtl/>
        </w:rPr>
      </w:pPr>
      <w:r w:rsidRPr="00F53E4D">
        <w:rPr>
          <w:rFonts w:hint="cs"/>
          <w:b/>
          <w:bCs/>
          <w:rtl/>
        </w:rPr>
        <w:t>أداء المتقدمين للامتحانات التنافسية خلال السنوات الخمس الماضية (1997-2001)</w:t>
      </w:r>
    </w:p>
    <w:p w:rsidR="00597152" w:rsidRPr="00597152" w:rsidRDefault="00597152" w:rsidP="00597152">
      <w:pPr>
        <w:pStyle w:val="SingleTxt"/>
        <w:spacing w:after="0" w:line="120" w:lineRule="exact"/>
        <w:rPr>
          <w:rFonts w:hint="cs"/>
          <w:sz w:val="10"/>
          <w:rtl/>
        </w:rPr>
      </w:pPr>
    </w:p>
    <w:tbl>
      <w:tblPr>
        <w:bidiVisual/>
        <w:tblW w:w="8828" w:type="dxa"/>
        <w:jc w:val="center"/>
        <w:tblInd w:w="-955" w:type="dxa"/>
        <w:tblLayout w:type="fixed"/>
        <w:tblCellMar>
          <w:left w:w="0" w:type="dxa"/>
          <w:right w:w="0" w:type="dxa"/>
        </w:tblCellMar>
        <w:tblLook w:val="0000" w:firstRow="0" w:lastRow="0" w:firstColumn="0" w:lastColumn="0" w:noHBand="0" w:noVBand="0"/>
      </w:tblPr>
      <w:tblGrid>
        <w:gridCol w:w="1817"/>
        <w:gridCol w:w="765"/>
        <w:gridCol w:w="765"/>
        <w:gridCol w:w="765"/>
        <w:gridCol w:w="765"/>
        <w:gridCol w:w="765"/>
        <w:gridCol w:w="616"/>
        <w:gridCol w:w="669"/>
        <w:gridCol w:w="616"/>
        <w:gridCol w:w="669"/>
        <w:gridCol w:w="616"/>
      </w:tblGrid>
      <w:tr w:rsidR="00BC34D7" w:rsidRPr="00130AD5">
        <w:tblPrEx>
          <w:tblCellMar>
            <w:top w:w="0" w:type="dxa"/>
            <w:bottom w:w="0" w:type="dxa"/>
          </w:tblCellMar>
        </w:tblPrEx>
        <w:trPr>
          <w:cantSplit/>
          <w:tblHeader/>
          <w:jc w:val="center"/>
        </w:trPr>
        <w:tc>
          <w:tcPr>
            <w:tcW w:w="1817" w:type="dxa"/>
            <w:tcBorders>
              <w:top w:val="single" w:sz="4" w:space="0" w:color="auto"/>
            </w:tcBorders>
            <w:shd w:val="clear" w:color="auto" w:fill="auto"/>
            <w:vAlign w:val="bottom"/>
          </w:tcPr>
          <w:p w:rsidR="00BC34D7" w:rsidRDefault="00BC34D7" w:rsidP="00130AD5">
            <w:pPr>
              <w:tabs>
                <w:tab w:val="left" w:pos="288"/>
                <w:tab w:val="left" w:pos="576"/>
                <w:tab w:val="left" w:pos="864"/>
                <w:tab w:val="left" w:pos="1152"/>
              </w:tabs>
              <w:spacing w:after="80" w:line="240" w:lineRule="exact"/>
              <w:ind w:right="40"/>
              <w:rPr>
                <w:rFonts w:hint="cs"/>
                <w:i/>
                <w:iCs/>
                <w:sz w:val="16"/>
                <w:szCs w:val="24"/>
                <w:rtl/>
              </w:rPr>
            </w:pPr>
          </w:p>
        </w:tc>
        <w:tc>
          <w:tcPr>
            <w:tcW w:w="1530" w:type="dxa"/>
            <w:gridSpan w:val="2"/>
            <w:tcBorders>
              <w:top w:val="single" w:sz="4" w:space="0" w:color="auto"/>
              <w:bottom w:val="single" w:sz="4" w:space="0" w:color="auto"/>
            </w:tcBorders>
            <w:shd w:val="clear" w:color="auto" w:fill="auto"/>
            <w:vAlign w:val="bottom"/>
          </w:tcPr>
          <w:p w:rsidR="00BC34D7" w:rsidRDefault="009A2C97" w:rsidP="00BC34D7">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1997</w:t>
            </w:r>
          </w:p>
        </w:tc>
        <w:tc>
          <w:tcPr>
            <w:tcW w:w="1530" w:type="dxa"/>
            <w:gridSpan w:val="2"/>
            <w:tcBorders>
              <w:top w:val="single" w:sz="4" w:space="0" w:color="auto"/>
              <w:bottom w:val="single" w:sz="4" w:space="0" w:color="auto"/>
            </w:tcBorders>
            <w:shd w:val="clear" w:color="auto" w:fill="auto"/>
            <w:vAlign w:val="bottom"/>
          </w:tcPr>
          <w:p w:rsidR="00BC34D7" w:rsidRDefault="009A2C97" w:rsidP="00BC34D7">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1998</w:t>
            </w:r>
          </w:p>
        </w:tc>
        <w:tc>
          <w:tcPr>
            <w:tcW w:w="1381" w:type="dxa"/>
            <w:gridSpan w:val="2"/>
            <w:tcBorders>
              <w:top w:val="single" w:sz="4" w:space="0" w:color="auto"/>
              <w:bottom w:val="single" w:sz="4" w:space="0" w:color="auto"/>
            </w:tcBorders>
            <w:shd w:val="clear" w:color="auto" w:fill="auto"/>
            <w:vAlign w:val="bottom"/>
          </w:tcPr>
          <w:p w:rsidR="00BC34D7" w:rsidRDefault="009A2C97" w:rsidP="00BC34D7">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1999</w:t>
            </w:r>
          </w:p>
        </w:tc>
        <w:tc>
          <w:tcPr>
            <w:tcW w:w="1285" w:type="dxa"/>
            <w:gridSpan w:val="2"/>
            <w:tcBorders>
              <w:top w:val="single" w:sz="4" w:space="0" w:color="auto"/>
              <w:bottom w:val="single" w:sz="4" w:space="0" w:color="auto"/>
            </w:tcBorders>
            <w:shd w:val="clear" w:color="auto" w:fill="auto"/>
            <w:vAlign w:val="bottom"/>
          </w:tcPr>
          <w:p w:rsidR="00BC34D7" w:rsidRDefault="009A2C97" w:rsidP="00BC34D7">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2000</w:t>
            </w:r>
          </w:p>
        </w:tc>
        <w:tc>
          <w:tcPr>
            <w:tcW w:w="1285" w:type="dxa"/>
            <w:gridSpan w:val="2"/>
            <w:tcBorders>
              <w:top w:val="single" w:sz="4" w:space="0" w:color="auto"/>
              <w:bottom w:val="single" w:sz="4" w:space="0" w:color="auto"/>
            </w:tcBorders>
            <w:shd w:val="clear" w:color="auto" w:fill="auto"/>
            <w:vAlign w:val="bottom"/>
          </w:tcPr>
          <w:p w:rsidR="00BC34D7" w:rsidRDefault="009A2C97" w:rsidP="00BC34D7">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2001</w:t>
            </w:r>
          </w:p>
        </w:tc>
      </w:tr>
      <w:tr w:rsidR="00130AD5" w:rsidRPr="00130AD5">
        <w:tblPrEx>
          <w:tblCellMar>
            <w:top w:w="0" w:type="dxa"/>
            <w:bottom w:w="0" w:type="dxa"/>
          </w:tblCellMar>
        </w:tblPrEx>
        <w:trPr>
          <w:cantSplit/>
          <w:tblHeader/>
          <w:jc w:val="center"/>
        </w:trPr>
        <w:tc>
          <w:tcPr>
            <w:tcW w:w="1817" w:type="dxa"/>
            <w:tcBorders>
              <w:bottom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المتقدمون</w:t>
            </w:r>
          </w:p>
        </w:tc>
        <w:tc>
          <w:tcPr>
            <w:tcW w:w="765" w:type="dxa"/>
            <w:tcBorders>
              <w:top w:val="single" w:sz="4" w:space="0" w:color="auto"/>
              <w:bottom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ذكور</w:t>
            </w:r>
          </w:p>
        </w:tc>
        <w:tc>
          <w:tcPr>
            <w:tcW w:w="765" w:type="dxa"/>
            <w:tcBorders>
              <w:top w:val="single" w:sz="4" w:space="0" w:color="auto"/>
              <w:bottom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إناث</w:t>
            </w:r>
          </w:p>
        </w:tc>
        <w:tc>
          <w:tcPr>
            <w:tcW w:w="765" w:type="dxa"/>
            <w:tcBorders>
              <w:top w:val="single" w:sz="4" w:space="0" w:color="auto"/>
              <w:bottom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ذكور</w:t>
            </w:r>
          </w:p>
        </w:tc>
        <w:tc>
          <w:tcPr>
            <w:tcW w:w="765" w:type="dxa"/>
            <w:tcBorders>
              <w:top w:val="single" w:sz="4" w:space="0" w:color="auto"/>
              <w:bottom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إناث</w:t>
            </w:r>
          </w:p>
        </w:tc>
        <w:tc>
          <w:tcPr>
            <w:tcW w:w="765" w:type="dxa"/>
            <w:tcBorders>
              <w:top w:val="single" w:sz="4" w:space="0" w:color="auto"/>
              <w:bottom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ذكور</w:t>
            </w:r>
          </w:p>
        </w:tc>
        <w:tc>
          <w:tcPr>
            <w:tcW w:w="616" w:type="dxa"/>
            <w:tcBorders>
              <w:top w:val="single" w:sz="4" w:space="0" w:color="auto"/>
              <w:bottom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إناث</w:t>
            </w:r>
          </w:p>
        </w:tc>
        <w:tc>
          <w:tcPr>
            <w:tcW w:w="669" w:type="dxa"/>
            <w:tcBorders>
              <w:top w:val="single" w:sz="4" w:space="0" w:color="auto"/>
              <w:bottom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ذكور</w:t>
            </w:r>
          </w:p>
        </w:tc>
        <w:tc>
          <w:tcPr>
            <w:tcW w:w="616" w:type="dxa"/>
            <w:tcBorders>
              <w:top w:val="single" w:sz="4" w:space="0" w:color="auto"/>
              <w:bottom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إناث</w:t>
            </w:r>
          </w:p>
        </w:tc>
        <w:tc>
          <w:tcPr>
            <w:tcW w:w="669" w:type="dxa"/>
            <w:tcBorders>
              <w:top w:val="single" w:sz="4" w:space="0" w:color="auto"/>
              <w:bottom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ذكور</w:t>
            </w:r>
          </w:p>
        </w:tc>
        <w:tc>
          <w:tcPr>
            <w:tcW w:w="616" w:type="dxa"/>
            <w:tcBorders>
              <w:top w:val="single" w:sz="4" w:space="0" w:color="auto"/>
              <w:bottom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إناث</w:t>
            </w:r>
          </w:p>
        </w:tc>
      </w:tr>
      <w:tr w:rsidR="00130AD5" w:rsidRPr="00130AD5">
        <w:tblPrEx>
          <w:tblCellMar>
            <w:top w:w="0" w:type="dxa"/>
            <w:bottom w:w="0" w:type="dxa"/>
          </w:tblCellMar>
        </w:tblPrEx>
        <w:trPr>
          <w:cantSplit/>
          <w:trHeight w:hRule="exact" w:val="115"/>
          <w:tblHeader/>
          <w:jc w:val="center"/>
        </w:trPr>
        <w:tc>
          <w:tcPr>
            <w:tcW w:w="1817" w:type="dxa"/>
            <w:tcBorders>
              <w:top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40"/>
              <w:rPr>
                <w:rFonts w:hint="cs"/>
                <w:sz w:val="16"/>
                <w:szCs w:val="24"/>
                <w:rtl/>
              </w:rPr>
            </w:pPr>
          </w:p>
        </w:tc>
        <w:tc>
          <w:tcPr>
            <w:tcW w:w="765" w:type="dxa"/>
            <w:tcBorders>
              <w:top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144"/>
              <w:jc w:val="lowKashida"/>
              <w:rPr>
                <w:rFonts w:hint="cs"/>
                <w:sz w:val="16"/>
                <w:szCs w:val="24"/>
                <w:rtl/>
              </w:rPr>
            </w:pPr>
          </w:p>
        </w:tc>
        <w:tc>
          <w:tcPr>
            <w:tcW w:w="765" w:type="dxa"/>
            <w:tcBorders>
              <w:top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144"/>
              <w:jc w:val="lowKashida"/>
              <w:rPr>
                <w:rFonts w:hint="cs"/>
                <w:sz w:val="16"/>
                <w:szCs w:val="24"/>
                <w:rtl/>
              </w:rPr>
            </w:pPr>
          </w:p>
        </w:tc>
        <w:tc>
          <w:tcPr>
            <w:tcW w:w="765" w:type="dxa"/>
            <w:tcBorders>
              <w:top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144"/>
              <w:jc w:val="lowKashida"/>
              <w:rPr>
                <w:rFonts w:hint="cs"/>
                <w:sz w:val="16"/>
                <w:szCs w:val="24"/>
                <w:rtl/>
              </w:rPr>
            </w:pPr>
          </w:p>
        </w:tc>
        <w:tc>
          <w:tcPr>
            <w:tcW w:w="765" w:type="dxa"/>
            <w:tcBorders>
              <w:top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144"/>
              <w:jc w:val="lowKashida"/>
              <w:rPr>
                <w:rFonts w:hint="cs"/>
                <w:sz w:val="16"/>
                <w:szCs w:val="24"/>
                <w:rtl/>
              </w:rPr>
            </w:pPr>
          </w:p>
        </w:tc>
        <w:tc>
          <w:tcPr>
            <w:tcW w:w="765" w:type="dxa"/>
            <w:tcBorders>
              <w:top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144"/>
              <w:jc w:val="lowKashida"/>
              <w:rPr>
                <w:rFonts w:hint="cs"/>
                <w:sz w:val="16"/>
                <w:szCs w:val="24"/>
                <w:rtl/>
              </w:rPr>
            </w:pPr>
          </w:p>
        </w:tc>
        <w:tc>
          <w:tcPr>
            <w:tcW w:w="616" w:type="dxa"/>
            <w:tcBorders>
              <w:top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144"/>
              <w:jc w:val="lowKashida"/>
              <w:rPr>
                <w:rFonts w:hint="cs"/>
                <w:sz w:val="16"/>
                <w:szCs w:val="24"/>
                <w:rtl/>
              </w:rPr>
            </w:pPr>
          </w:p>
        </w:tc>
        <w:tc>
          <w:tcPr>
            <w:tcW w:w="669" w:type="dxa"/>
            <w:tcBorders>
              <w:top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144"/>
              <w:jc w:val="lowKashida"/>
              <w:rPr>
                <w:rFonts w:hint="cs"/>
                <w:sz w:val="16"/>
                <w:szCs w:val="24"/>
                <w:rtl/>
              </w:rPr>
            </w:pPr>
          </w:p>
        </w:tc>
        <w:tc>
          <w:tcPr>
            <w:tcW w:w="616" w:type="dxa"/>
            <w:tcBorders>
              <w:top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144"/>
              <w:jc w:val="lowKashida"/>
              <w:rPr>
                <w:rFonts w:hint="cs"/>
                <w:sz w:val="16"/>
                <w:szCs w:val="24"/>
                <w:rtl/>
              </w:rPr>
            </w:pPr>
          </w:p>
        </w:tc>
        <w:tc>
          <w:tcPr>
            <w:tcW w:w="669" w:type="dxa"/>
            <w:tcBorders>
              <w:top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144"/>
              <w:jc w:val="lowKashida"/>
              <w:rPr>
                <w:rFonts w:hint="cs"/>
                <w:sz w:val="16"/>
                <w:szCs w:val="24"/>
                <w:rtl/>
              </w:rPr>
            </w:pPr>
          </w:p>
        </w:tc>
        <w:tc>
          <w:tcPr>
            <w:tcW w:w="616" w:type="dxa"/>
            <w:tcBorders>
              <w:top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144"/>
              <w:jc w:val="lowKashida"/>
              <w:rPr>
                <w:rFonts w:hint="cs"/>
                <w:sz w:val="16"/>
                <w:szCs w:val="24"/>
                <w:rtl/>
              </w:rPr>
            </w:pPr>
          </w:p>
        </w:tc>
      </w:tr>
      <w:tr w:rsidR="00130AD5" w:rsidRPr="00130AD5">
        <w:tblPrEx>
          <w:tblCellMar>
            <w:top w:w="0" w:type="dxa"/>
            <w:bottom w:w="0" w:type="dxa"/>
          </w:tblCellMar>
        </w:tblPrEx>
        <w:trPr>
          <w:cantSplit/>
          <w:jc w:val="center"/>
        </w:trPr>
        <w:tc>
          <w:tcPr>
            <w:tcW w:w="1817" w:type="dxa"/>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الحاضرون</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249</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295</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217</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260</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248</w:t>
            </w:r>
          </w:p>
        </w:tc>
        <w:tc>
          <w:tcPr>
            <w:tcW w:w="616"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380</w:t>
            </w:r>
          </w:p>
        </w:tc>
        <w:tc>
          <w:tcPr>
            <w:tcW w:w="669"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411</w:t>
            </w:r>
          </w:p>
        </w:tc>
        <w:tc>
          <w:tcPr>
            <w:tcW w:w="616"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550</w:t>
            </w:r>
          </w:p>
        </w:tc>
        <w:tc>
          <w:tcPr>
            <w:tcW w:w="669"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227</w:t>
            </w:r>
          </w:p>
        </w:tc>
        <w:tc>
          <w:tcPr>
            <w:tcW w:w="616"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404</w:t>
            </w:r>
          </w:p>
        </w:tc>
      </w:tr>
      <w:tr w:rsidR="00130AD5" w:rsidRPr="00130AD5">
        <w:tblPrEx>
          <w:tblCellMar>
            <w:top w:w="0" w:type="dxa"/>
            <w:bottom w:w="0" w:type="dxa"/>
          </w:tblCellMar>
        </w:tblPrEx>
        <w:trPr>
          <w:cantSplit/>
          <w:jc w:val="center"/>
        </w:trPr>
        <w:tc>
          <w:tcPr>
            <w:tcW w:w="1817" w:type="dxa"/>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40"/>
              <w:rPr>
                <w:rFonts w:hint="cs"/>
                <w:sz w:val="16"/>
                <w:szCs w:val="24"/>
                <w:rtl/>
              </w:rPr>
            </w:pP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(11)</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(11)</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616"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(13)</w:t>
            </w:r>
          </w:p>
        </w:tc>
        <w:tc>
          <w:tcPr>
            <w:tcW w:w="669"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w:t>
            </w:r>
          </w:p>
        </w:tc>
        <w:tc>
          <w:tcPr>
            <w:tcW w:w="616"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w:t>
            </w:r>
          </w:p>
        </w:tc>
        <w:tc>
          <w:tcPr>
            <w:tcW w:w="669"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616"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(15)</w:t>
            </w:r>
          </w:p>
        </w:tc>
      </w:tr>
      <w:tr w:rsidR="00130AD5" w:rsidRPr="00130AD5">
        <w:tblPrEx>
          <w:tblCellMar>
            <w:top w:w="0" w:type="dxa"/>
            <w:bottom w:w="0" w:type="dxa"/>
          </w:tblCellMar>
        </w:tblPrEx>
        <w:trPr>
          <w:cantSplit/>
          <w:jc w:val="center"/>
        </w:trPr>
        <w:tc>
          <w:tcPr>
            <w:tcW w:w="1817" w:type="dxa"/>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40"/>
              <w:rPr>
                <w:rFonts w:hint="cs"/>
                <w:sz w:val="16"/>
                <w:szCs w:val="24"/>
                <w:rtl/>
              </w:rPr>
            </w:pP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(89)</w:t>
            </w:r>
          </w:p>
        </w:tc>
        <w:tc>
          <w:tcPr>
            <w:tcW w:w="765" w:type="dxa"/>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144"/>
              <w:jc w:val="lowKashida"/>
              <w:rPr>
                <w:rFonts w:hint="cs"/>
                <w:sz w:val="16"/>
                <w:szCs w:val="24"/>
                <w:rtl/>
              </w:rPr>
            </w:pP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(89)</w:t>
            </w:r>
          </w:p>
        </w:tc>
        <w:tc>
          <w:tcPr>
            <w:tcW w:w="765" w:type="dxa"/>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144"/>
              <w:jc w:val="lowKashida"/>
              <w:rPr>
                <w:rFonts w:hint="cs"/>
                <w:sz w:val="16"/>
                <w:szCs w:val="24"/>
                <w:rtl/>
              </w:rPr>
            </w:pP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(87)</w:t>
            </w:r>
          </w:p>
        </w:tc>
        <w:tc>
          <w:tcPr>
            <w:tcW w:w="616" w:type="dxa"/>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144"/>
              <w:jc w:val="lowKashida"/>
              <w:rPr>
                <w:rFonts w:hint="cs"/>
                <w:sz w:val="16"/>
                <w:szCs w:val="24"/>
                <w:rtl/>
              </w:rPr>
            </w:pPr>
          </w:p>
        </w:tc>
        <w:tc>
          <w:tcPr>
            <w:tcW w:w="669"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(88)</w:t>
            </w:r>
          </w:p>
        </w:tc>
        <w:tc>
          <w:tcPr>
            <w:tcW w:w="616" w:type="dxa"/>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144"/>
              <w:jc w:val="lowKashida"/>
              <w:rPr>
                <w:rFonts w:hint="cs"/>
                <w:sz w:val="16"/>
                <w:szCs w:val="24"/>
                <w:rtl/>
              </w:rPr>
            </w:pPr>
          </w:p>
        </w:tc>
        <w:tc>
          <w:tcPr>
            <w:tcW w:w="669"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(85)</w:t>
            </w:r>
          </w:p>
        </w:tc>
        <w:tc>
          <w:tcPr>
            <w:tcW w:w="616" w:type="dxa"/>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144"/>
              <w:jc w:val="lowKashida"/>
              <w:rPr>
                <w:rFonts w:hint="cs"/>
                <w:sz w:val="16"/>
                <w:szCs w:val="24"/>
                <w:rtl/>
              </w:rPr>
            </w:pPr>
          </w:p>
        </w:tc>
      </w:tr>
      <w:tr w:rsidR="00130AD5" w:rsidRPr="00130AD5">
        <w:tblPrEx>
          <w:tblCellMar>
            <w:top w:w="0" w:type="dxa"/>
            <w:bottom w:w="0" w:type="dxa"/>
          </w:tblCellMar>
        </w:tblPrEx>
        <w:trPr>
          <w:cantSplit/>
          <w:jc w:val="center"/>
        </w:trPr>
        <w:tc>
          <w:tcPr>
            <w:tcW w:w="1817" w:type="dxa"/>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الناجحون</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445</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65</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464</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62</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386</w:t>
            </w:r>
          </w:p>
        </w:tc>
        <w:tc>
          <w:tcPr>
            <w:tcW w:w="616"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61</w:t>
            </w:r>
          </w:p>
        </w:tc>
        <w:tc>
          <w:tcPr>
            <w:tcW w:w="669"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783</w:t>
            </w:r>
          </w:p>
        </w:tc>
        <w:tc>
          <w:tcPr>
            <w:tcW w:w="616"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117</w:t>
            </w:r>
          </w:p>
        </w:tc>
        <w:tc>
          <w:tcPr>
            <w:tcW w:w="669"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602</w:t>
            </w:r>
          </w:p>
        </w:tc>
        <w:tc>
          <w:tcPr>
            <w:tcW w:w="616"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123</w:t>
            </w:r>
          </w:p>
        </w:tc>
      </w:tr>
      <w:tr w:rsidR="00130AD5" w:rsidRPr="00130AD5">
        <w:tblPrEx>
          <w:tblCellMar>
            <w:top w:w="0" w:type="dxa"/>
            <w:bottom w:w="0" w:type="dxa"/>
          </w:tblCellMar>
        </w:tblPrEx>
        <w:trPr>
          <w:cantSplit/>
          <w:jc w:val="center"/>
        </w:trPr>
        <w:tc>
          <w:tcPr>
            <w:tcW w:w="1817" w:type="dxa"/>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40"/>
              <w:rPr>
                <w:rFonts w:hint="cs"/>
                <w:sz w:val="16"/>
                <w:szCs w:val="24"/>
                <w:rtl/>
              </w:rPr>
            </w:pP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(87)</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(13)</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(88)</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(86)</w:t>
            </w:r>
          </w:p>
        </w:tc>
        <w:tc>
          <w:tcPr>
            <w:tcW w:w="616"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(14)</w:t>
            </w:r>
          </w:p>
        </w:tc>
        <w:tc>
          <w:tcPr>
            <w:tcW w:w="669"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(87)</w:t>
            </w:r>
          </w:p>
        </w:tc>
        <w:tc>
          <w:tcPr>
            <w:tcW w:w="616"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(13)</w:t>
            </w:r>
          </w:p>
        </w:tc>
        <w:tc>
          <w:tcPr>
            <w:tcW w:w="669"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(83)</w:t>
            </w:r>
          </w:p>
        </w:tc>
        <w:tc>
          <w:tcPr>
            <w:tcW w:w="616"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(17)</w:t>
            </w:r>
          </w:p>
        </w:tc>
      </w:tr>
      <w:tr w:rsidR="00130AD5" w:rsidRPr="00130AD5">
        <w:tblPrEx>
          <w:tblCellMar>
            <w:top w:w="0" w:type="dxa"/>
            <w:bottom w:w="0" w:type="dxa"/>
          </w:tblCellMar>
        </w:tblPrEx>
        <w:trPr>
          <w:cantSplit/>
          <w:jc w:val="center"/>
        </w:trPr>
        <w:tc>
          <w:tcPr>
            <w:tcW w:w="1817" w:type="dxa"/>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الذين وقع عليهم الاختيار</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186</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24</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185</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29</w:t>
            </w:r>
          </w:p>
        </w:tc>
        <w:tc>
          <w:tcPr>
            <w:tcW w:w="765"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205</w:t>
            </w:r>
          </w:p>
        </w:tc>
        <w:tc>
          <w:tcPr>
            <w:tcW w:w="616"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30</w:t>
            </w:r>
          </w:p>
        </w:tc>
        <w:tc>
          <w:tcPr>
            <w:tcW w:w="669"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177</w:t>
            </w:r>
          </w:p>
        </w:tc>
        <w:tc>
          <w:tcPr>
            <w:tcW w:w="616"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29</w:t>
            </w:r>
          </w:p>
        </w:tc>
        <w:tc>
          <w:tcPr>
            <w:tcW w:w="669"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131</w:t>
            </w:r>
          </w:p>
        </w:tc>
        <w:tc>
          <w:tcPr>
            <w:tcW w:w="616" w:type="dxa"/>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28</w:t>
            </w:r>
          </w:p>
        </w:tc>
      </w:tr>
      <w:tr w:rsidR="00130AD5" w:rsidRPr="00130AD5">
        <w:tblPrEx>
          <w:tblCellMar>
            <w:top w:w="0" w:type="dxa"/>
            <w:bottom w:w="0" w:type="dxa"/>
          </w:tblCellMar>
        </w:tblPrEx>
        <w:trPr>
          <w:cantSplit/>
          <w:jc w:val="center"/>
        </w:trPr>
        <w:tc>
          <w:tcPr>
            <w:tcW w:w="1817" w:type="dxa"/>
            <w:tcBorders>
              <w:bottom w:val="single" w:sz="12" w:space="0" w:color="auto"/>
            </w:tcBorders>
            <w:shd w:val="clear" w:color="auto" w:fill="auto"/>
            <w:vAlign w:val="bottom"/>
          </w:tcPr>
          <w:p w:rsidR="00130AD5" w:rsidRPr="00130AD5" w:rsidRDefault="00130AD5" w:rsidP="00130AD5">
            <w:pPr>
              <w:tabs>
                <w:tab w:val="left" w:pos="288"/>
                <w:tab w:val="left" w:pos="576"/>
                <w:tab w:val="left" w:pos="864"/>
                <w:tab w:val="left" w:pos="1152"/>
              </w:tabs>
              <w:spacing w:before="40" w:after="80" w:line="240" w:lineRule="exact"/>
              <w:ind w:right="40"/>
              <w:rPr>
                <w:rFonts w:hint="cs"/>
                <w:sz w:val="16"/>
                <w:szCs w:val="24"/>
                <w:rtl/>
              </w:rPr>
            </w:pPr>
          </w:p>
        </w:tc>
        <w:tc>
          <w:tcPr>
            <w:tcW w:w="765" w:type="dxa"/>
            <w:tcBorders>
              <w:bottom w:val="single" w:sz="12" w:space="0" w:color="auto"/>
            </w:tcBorders>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(89)</w:t>
            </w:r>
          </w:p>
        </w:tc>
        <w:tc>
          <w:tcPr>
            <w:tcW w:w="765" w:type="dxa"/>
            <w:tcBorders>
              <w:bottom w:val="single" w:sz="12" w:space="0" w:color="auto"/>
            </w:tcBorders>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(11)</w:t>
            </w:r>
          </w:p>
        </w:tc>
        <w:tc>
          <w:tcPr>
            <w:tcW w:w="765" w:type="dxa"/>
            <w:tcBorders>
              <w:bottom w:val="single" w:sz="12" w:space="0" w:color="auto"/>
            </w:tcBorders>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(86)</w:t>
            </w:r>
          </w:p>
        </w:tc>
        <w:tc>
          <w:tcPr>
            <w:tcW w:w="765" w:type="dxa"/>
            <w:tcBorders>
              <w:bottom w:val="single" w:sz="12" w:space="0" w:color="auto"/>
            </w:tcBorders>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(14)</w:t>
            </w:r>
          </w:p>
        </w:tc>
        <w:tc>
          <w:tcPr>
            <w:tcW w:w="765" w:type="dxa"/>
            <w:tcBorders>
              <w:bottom w:val="single" w:sz="12" w:space="0" w:color="auto"/>
            </w:tcBorders>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(87)</w:t>
            </w:r>
          </w:p>
        </w:tc>
        <w:tc>
          <w:tcPr>
            <w:tcW w:w="616" w:type="dxa"/>
            <w:tcBorders>
              <w:bottom w:val="single" w:sz="12" w:space="0" w:color="auto"/>
            </w:tcBorders>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(13)</w:t>
            </w:r>
          </w:p>
        </w:tc>
        <w:tc>
          <w:tcPr>
            <w:tcW w:w="669" w:type="dxa"/>
            <w:tcBorders>
              <w:bottom w:val="single" w:sz="12" w:space="0" w:color="auto"/>
            </w:tcBorders>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(86)</w:t>
            </w:r>
          </w:p>
        </w:tc>
        <w:tc>
          <w:tcPr>
            <w:tcW w:w="616" w:type="dxa"/>
            <w:tcBorders>
              <w:bottom w:val="single" w:sz="12" w:space="0" w:color="auto"/>
            </w:tcBorders>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(14)</w:t>
            </w:r>
          </w:p>
        </w:tc>
        <w:tc>
          <w:tcPr>
            <w:tcW w:w="669" w:type="dxa"/>
            <w:tcBorders>
              <w:bottom w:val="single" w:sz="12" w:space="0" w:color="auto"/>
            </w:tcBorders>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(82)</w:t>
            </w:r>
          </w:p>
        </w:tc>
        <w:tc>
          <w:tcPr>
            <w:tcW w:w="616" w:type="dxa"/>
            <w:tcBorders>
              <w:bottom w:val="single" w:sz="12" w:space="0" w:color="auto"/>
            </w:tcBorders>
            <w:shd w:val="clear" w:color="auto" w:fill="auto"/>
            <w:vAlign w:val="bottom"/>
          </w:tcPr>
          <w:p w:rsidR="00130AD5" w:rsidRPr="00130AD5" w:rsidRDefault="00BC34D7" w:rsidP="00130AD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(18)</w:t>
            </w:r>
          </w:p>
        </w:tc>
      </w:tr>
    </w:tbl>
    <w:p w:rsidR="00BC34D7" w:rsidRPr="00BC34D7" w:rsidRDefault="00BC34D7" w:rsidP="00BC34D7">
      <w:pPr>
        <w:pStyle w:val="SingleTxt"/>
        <w:spacing w:after="0" w:line="120" w:lineRule="exact"/>
        <w:rPr>
          <w:rFonts w:hint="cs"/>
          <w:sz w:val="10"/>
          <w:rtl/>
        </w:rPr>
      </w:pPr>
    </w:p>
    <w:p w:rsidR="00F53E4D" w:rsidRDefault="00597152" w:rsidP="00BC34D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Pr>
          <w:rFonts w:hint="cs"/>
          <w:i/>
          <w:iCs/>
          <w:rtl/>
        </w:rPr>
        <w:tab/>
      </w:r>
      <w:r w:rsidR="00BC34D7">
        <w:rPr>
          <w:rFonts w:hint="cs"/>
          <w:i/>
          <w:iCs/>
          <w:rtl/>
        </w:rPr>
        <w:t>المصدر:</w:t>
      </w:r>
      <w:r w:rsidR="00BC34D7">
        <w:rPr>
          <w:rFonts w:hint="cs"/>
          <w:rtl/>
        </w:rPr>
        <w:t xml:space="preserve"> لجنة الخدمة المدنية الاتحادية (2003). الأرقام الواردة بين قوسين نسب مئوية.</w:t>
      </w:r>
    </w:p>
    <w:p w:rsidR="00597152" w:rsidRPr="00597152" w:rsidRDefault="00597152" w:rsidP="0059715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597152" w:rsidRPr="00597152" w:rsidRDefault="00597152" w:rsidP="0059715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BC34D7" w:rsidRDefault="00BC34D7" w:rsidP="0084124D">
      <w:pPr>
        <w:pStyle w:val="SingleTxt"/>
        <w:rPr>
          <w:rFonts w:hint="cs"/>
          <w:rtl/>
        </w:rPr>
      </w:pPr>
      <w:r>
        <w:rPr>
          <w:rFonts w:hint="cs"/>
          <w:rtl/>
        </w:rPr>
        <w:t>145-</w:t>
      </w:r>
      <w:r>
        <w:rPr>
          <w:rFonts w:hint="cs"/>
          <w:rtl/>
        </w:rPr>
        <w:tab/>
      </w:r>
      <w:r w:rsidR="008F7849">
        <w:rPr>
          <w:rFonts w:hint="cs"/>
          <w:rtl/>
        </w:rPr>
        <w:t>وتقوم وزارة تنمية المرأة حاليا بعملية وضع خطة عمل الإصلاحات الجنسية في صيغتها النهائية. وتوصي الخطة بوضع استراتيجية تتسم بمزيد من الاتساق والفكر السليم للعمل الإيجابي الرامي إلى جلب المرأة في الخدمة الحكومية.</w:t>
      </w:r>
    </w:p>
    <w:p w:rsidR="00654AB2" w:rsidRPr="00654AB2" w:rsidRDefault="00654AB2" w:rsidP="00654AB2">
      <w:pPr>
        <w:pStyle w:val="SingleTxt"/>
        <w:spacing w:after="0" w:line="120" w:lineRule="exact"/>
        <w:rPr>
          <w:rFonts w:hint="cs"/>
          <w:sz w:val="10"/>
          <w:rtl/>
        </w:rPr>
      </w:pPr>
    </w:p>
    <w:p w:rsidR="008F7849" w:rsidRDefault="00654AB2" w:rsidP="00654A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المعلومات المقدمة بشأن المسائل المثارة في التوصية العامة 23</w:t>
      </w:r>
    </w:p>
    <w:p w:rsidR="00654AB2" w:rsidRDefault="00597152" w:rsidP="00654A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54AB2">
        <w:rPr>
          <w:rFonts w:hint="cs"/>
          <w:rtl/>
        </w:rPr>
        <w:t>الدول الأطراف ملزمة بكفالة عدم قيام منظمات مثل الأحزاب السياسية والنقابات التي قد لا تخضع مباشرة لالتزامات بموجب الاتفاقية، بالتمييز ضد المرأة وبكفالة احترامها للمبادئ الواردة في المادتين 7 و 8</w:t>
      </w:r>
    </w:p>
    <w:p w:rsidR="00654AB2" w:rsidRDefault="00654AB2" w:rsidP="00654AB2">
      <w:pPr>
        <w:pStyle w:val="SingleTxt"/>
        <w:rPr>
          <w:rFonts w:hint="cs"/>
          <w:rtl/>
        </w:rPr>
      </w:pPr>
      <w:r>
        <w:rPr>
          <w:rFonts w:hint="cs"/>
          <w:rtl/>
        </w:rPr>
        <w:t>146-</w:t>
      </w:r>
      <w:r>
        <w:rPr>
          <w:rFonts w:hint="cs"/>
          <w:rtl/>
        </w:rPr>
        <w:tab/>
      </w:r>
      <w:r w:rsidR="002B6E11">
        <w:rPr>
          <w:rFonts w:hint="cs"/>
          <w:rtl/>
        </w:rPr>
        <w:t xml:space="preserve">لا توجد قيود أو حواجز أمام عضوية المرأة في الأحزاب السياسية والنقابات. ويوجد جناح للمرأة في جميع الأحزاب السياسية تقريبا. ولكن تظل عضوية المرأة في الأحزاب السياسية مجالا ضعيفا. ومن الصعب الحصول على بيانات </w:t>
      </w:r>
      <w:proofErr w:type="spellStart"/>
      <w:r w:rsidR="002B6E11">
        <w:rPr>
          <w:rFonts w:hint="cs"/>
          <w:rtl/>
        </w:rPr>
        <w:t>موثوقة</w:t>
      </w:r>
      <w:proofErr w:type="spellEnd"/>
      <w:r w:rsidR="002B6E11">
        <w:rPr>
          <w:rFonts w:hint="cs"/>
          <w:rtl/>
        </w:rPr>
        <w:t>. ولا تحتفظ أغلبية الأحزاب السياسية ببيانات مفصلة حسب نوع الجنس عن العضوية، كمسألة روتينية.</w:t>
      </w:r>
    </w:p>
    <w:p w:rsidR="002B6E11" w:rsidRDefault="002B6E11" w:rsidP="00654AB2">
      <w:pPr>
        <w:pStyle w:val="SingleTxt"/>
        <w:rPr>
          <w:rFonts w:hint="cs"/>
          <w:rtl/>
        </w:rPr>
      </w:pPr>
      <w:r>
        <w:rPr>
          <w:rFonts w:hint="cs"/>
          <w:rtl/>
        </w:rPr>
        <w:t>147-</w:t>
      </w:r>
      <w:r>
        <w:rPr>
          <w:rFonts w:hint="cs"/>
          <w:rtl/>
        </w:rPr>
        <w:tab/>
      </w:r>
      <w:r w:rsidR="00555612">
        <w:rPr>
          <w:rFonts w:hint="cs"/>
          <w:rtl/>
        </w:rPr>
        <w:t xml:space="preserve">ووفقا لدراسة تفصيلية قامت بها منظمتان غير حكوميتين في باكستان، عن حقوق المرأة، وهما مؤسستا </w:t>
      </w:r>
      <w:proofErr w:type="spellStart"/>
      <w:r w:rsidR="00555612">
        <w:rPr>
          <w:rFonts w:hint="cs"/>
          <w:rtl/>
        </w:rPr>
        <w:t>أورات</w:t>
      </w:r>
      <w:proofErr w:type="spellEnd"/>
      <w:r w:rsidR="00555612">
        <w:rPr>
          <w:rFonts w:hint="cs"/>
          <w:rtl/>
        </w:rPr>
        <w:t xml:space="preserve"> وباتان، تمثل المرأة 17.4 في المائة من أعضاء حركة الإنصاف الباكستانية، و 4.55 في المائة من أعضاء الجماعة الإسلامية (تمثل المرأة 12.5 في المائة من عمال الحزب)، و 16.66 في المائة من ح</w:t>
      </w:r>
      <w:r w:rsidR="00B821AB">
        <w:rPr>
          <w:rFonts w:hint="cs"/>
          <w:rtl/>
        </w:rPr>
        <w:t>ز</w:t>
      </w:r>
      <w:r w:rsidR="00555612">
        <w:rPr>
          <w:rFonts w:hint="cs"/>
          <w:rtl/>
        </w:rPr>
        <w:t xml:space="preserve">ب </w:t>
      </w:r>
      <w:proofErr w:type="spellStart"/>
      <w:r w:rsidR="00555612">
        <w:rPr>
          <w:rFonts w:hint="cs"/>
          <w:rtl/>
        </w:rPr>
        <w:t>باكتون</w:t>
      </w:r>
      <w:proofErr w:type="spellEnd"/>
      <w:r w:rsidR="00555612">
        <w:rPr>
          <w:rFonts w:hint="cs"/>
          <w:rtl/>
        </w:rPr>
        <w:t xml:space="preserve"> </w:t>
      </w:r>
      <w:proofErr w:type="spellStart"/>
      <w:r w:rsidR="00555612">
        <w:rPr>
          <w:rFonts w:hint="cs"/>
          <w:rtl/>
        </w:rPr>
        <w:t>خواميلي</w:t>
      </w:r>
      <w:proofErr w:type="spellEnd"/>
      <w:r w:rsidR="00555612">
        <w:rPr>
          <w:rFonts w:hint="cs"/>
          <w:rtl/>
        </w:rPr>
        <w:t xml:space="preserve"> </w:t>
      </w:r>
      <w:proofErr w:type="spellStart"/>
      <w:r w:rsidR="00555612">
        <w:rPr>
          <w:rFonts w:hint="cs"/>
          <w:rtl/>
        </w:rPr>
        <w:t>أوامي</w:t>
      </w:r>
      <w:proofErr w:type="spellEnd"/>
      <w:r w:rsidR="00555612">
        <w:rPr>
          <w:rFonts w:hint="cs"/>
          <w:rtl/>
        </w:rPr>
        <w:t xml:space="preserve">، و 20 في المائة من حزب </w:t>
      </w:r>
      <w:proofErr w:type="spellStart"/>
      <w:r w:rsidR="00555612">
        <w:rPr>
          <w:rFonts w:hint="cs"/>
          <w:rtl/>
        </w:rPr>
        <w:t>أوامي</w:t>
      </w:r>
      <w:proofErr w:type="spellEnd"/>
      <w:r w:rsidR="00555612">
        <w:rPr>
          <w:rFonts w:hint="cs"/>
          <w:rtl/>
        </w:rPr>
        <w:t xml:space="preserve"> الوطني، و 20 في المائة من حزب الشعب الباكستان</w:t>
      </w:r>
      <w:r w:rsidR="00B821AB">
        <w:rPr>
          <w:rFonts w:hint="cs"/>
          <w:rtl/>
        </w:rPr>
        <w:t>ي</w:t>
      </w:r>
      <w:r w:rsidR="00555612">
        <w:rPr>
          <w:rFonts w:hint="cs"/>
          <w:rtl/>
        </w:rPr>
        <w:t>، و 2.14 في المائة من حزب جمهور الوطن. وليست المرأة ممثلة في جمعية علماء الإسلام، مجموعة فضل الرحمن، التي يبلغ عدد أعضائها 000 38</w:t>
      </w:r>
      <w:r w:rsidR="00555612" w:rsidRPr="00555612">
        <w:rPr>
          <w:vertAlign w:val="superscript"/>
          <w:rtl/>
        </w:rPr>
        <w:t>(</w:t>
      </w:r>
      <w:r w:rsidR="00555612">
        <w:rPr>
          <w:rStyle w:val="FootnoteReference"/>
          <w:rtl/>
        </w:rPr>
        <w:footnoteReference w:id="10"/>
      </w:r>
      <w:r w:rsidR="00555612" w:rsidRPr="00555612">
        <w:rPr>
          <w:vertAlign w:val="superscript"/>
          <w:rtl/>
        </w:rPr>
        <w:t>)</w:t>
      </w:r>
      <w:r w:rsidR="00555612">
        <w:rPr>
          <w:rFonts w:hint="cs"/>
          <w:rtl/>
        </w:rPr>
        <w:t xml:space="preserve">. ويمكن أن تكون هذه الأرقام قد </w:t>
      </w:r>
      <w:r w:rsidR="00B821AB">
        <w:rPr>
          <w:rFonts w:hint="cs"/>
          <w:rtl/>
        </w:rPr>
        <w:t>ت</w:t>
      </w:r>
      <w:r w:rsidR="00555612">
        <w:rPr>
          <w:rFonts w:hint="cs"/>
          <w:rtl/>
        </w:rPr>
        <w:t>حسنت منذ سنة 1999، ولكن لا تتوفر أرقام مستكملة.</w:t>
      </w:r>
    </w:p>
    <w:p w:rsidR="00555612" w:rsidRDefault="00555612" w:rsidP="00654AB2">
      <w:pPr>
        <w:pStyle w:val="SingleTxt"/>
        <w:rPr>
          <w:rFonts w:hint="cs"/>
          <w:rtl/>
        </w:rPr>
      </w:pPr>
      <w:r>
        <w:rPr>
          <w:rFonts w:hint="cs"/>
          <w:rtl/>
        </w:rPr>
        <w:t>148-</w:t>
      </w:r>
      <w:r>
        <w:rPr>
          <w:rFonts w:hint="cs"/>
          <w:rtl/>
        </w:rPr>
        <w:tab/>
        <w:t>وترد معلومات بشأن المرأة في النقابات العمالية في الجدول التالي.</w:t>
      </w:r>
    </w:p>
    <w:p w:rsidR="00555612" w:rsidRPr="00555612" w:rsidRDefault="00555612" w:rsidP="00555612">
      <w:pPr>
        <w:pStyle w:val="SingleTxt"/>
        <w:spacing w:after="0" w:line="120" w:lineRule="exact"/>
        <w:rPr>
          <w:rFonts w:hint="cs"/>
          <w:sz w:val="10"/>
          <w:rtl/>
        </w:rPr>
      </w:pPr>
    </w:p>
    <w:p w:rsidR="00555612" w:rsidRDefault="00555612" w:rsidP="00555612">
      <w:pPr>
        <w:pStyle w:val="SingleTxt"/>
        <w:spacing w:after="0"/>
        <w:rPr>
          <w:rFonts w:hint="cs"/>
          <w:rtl/>
        </w:rPr>
      </w:pPr>
      <w:r>
        <w:rPr>
          <w:rFonts w:hint="cs"/>
          <w:rtl/>
        </w:rPr>
        <w:t>الجدول 7-10</w:t>
      </w:r>
    </w:p>
    <w:p w:rsidR="00555612" w:rsidRPr="00555612" w:rsidRDefault="00555612" w:rsidP="00654AB2">
      <w:pPr>
        <w:pStyle w:val="SingleTxt"/>
        <w:rPr>
          <w:rFonts w:hint="cs"/>
          <w:b/>
          <w:bCs/>
          <w:rtl/>
        </w:rPr>
      </w:pPr>
      <w:r w:rsidRPr="00555612">
        <w:rPr>
          <w:rFonts w:hint="cs"/>
          <w:b/>
          <w:bCs/>
          <w:rtl/>
        </w:rPr>
        <w:t>الأعضاء المسجلون في النقابات حسب نوع الجنس</w:t>
      </w:r>
    </w:p>
    <w:p w:rsidR="00555612" w:rsidRPr="00555612" w:rsidRDefault="00555612" w:rsidP="00555612">
      <w:pPr>
        <w:pStyle w:val="SingleTxt"/>
        <w:spacing w:after="0" w:line="120" w:lineRule="exact"/>
        <w:rPr>
          <w:rFonts w:hint="cs"/>
          <w:sz w:val="10"/>
          <w:rtl/>
        </w:rPr>
      </w:pPr>
    </w:p>
    <w:tbl>
      <w:tblPr>
        <w:bidiVisual/>
        <w:tblW w:w="0" w:type="auto"/>
        <w:jc w:val="center"/>
        <w:tblInd w:w="1267"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A845EB" w:rsidRPr="00A845EB">
        <w:tblPrEx>
          <w:tblCellMar>
            <w:top w:w="0" w:type="dxa"/>
            <w:bottom w:w="0" w:type="dxa"/>
          </w:tblCellMar>
        </w:tblPrEx>
        <w:trPr>
          <w:cantSplit/>
          <w:tblHeader/>
          <w:jc w:val="center"/>
        </w:trPr>
        <w:tc>
          <w:tcPr>
            <w:tcW w:w="1046" w:type="dxa"/>
            <w:vMerge w:val="restart"/>
            <w:tcBorders>
              <w:top w:val="single" w:sz="4"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السنة</w:t>
            </w:r>
          </w:p>
        </w:tc>
        <w:tc>
          <w:tcPr>
            <w:tcW w:w="1046" w:type="dxa"/>
            <w:vMerge w:val="restart"/>
            <w:tcBorders>
              <w:top w:val="single" w:sz="4"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مجموع المسجلين في النقابات</w:t>
            </w:r>
          </w:p>
        </w:tc>
        <w:tc>
          <w:tcPr>
            <w:tcW w:w="1046" w:type="dxa"/>
            <w:vMerge w:val="restart"/>
            <w:tcBorders>
              <w:top w:val="single" w:sz="4"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مجموع المسجلين المبلغ عنهم في النقابات</w:t>
            </w:r>
          </w:p>
        </w:tc>
        <w:tc>
          <w:tcPr>
            <w:tcW w:w="1046" w:type="dxa"/>
            <w:vMerge w:val="restart"/>
            <w:tcBorders>
              <w:top w:val="single" w:sz="4"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أعضاء النقابات المبلغة</w:t>
            </w:r>
          </w:p>
        </w:tc>
        <w:tc>
          <w:tcPr>
            <w:tcW w:w="3138" w:type="dxa"/>
            <w:gridSpan w:val="3"/>
            <w:tcBorders>
              <w:top w:val="single" w:sz="4" w:space="0" w:color="auto"/>
              <w:bottom w:val="single" w:sz="4"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العضوية</w:t>
            </w:r>
          </w:p>
        </w:tc>
      </w:tr>
      <w:tr w:rsidR="00A845EB" w:rsidRPr="00A845EB">
        <w:tblPrEx>
          <w:tblCellMar>
            <w:top w:w="0" w:type="dxa"/>
            <w:bottom w:w="0" w:type="dxa"/>
          </w:tblCellMar>
        </w:tblPrEx>
        <w:trPr>
          <w:cantSplit/>
          <w:tblHeader/>
          <w:jc w:val="center"/>
        </w:trPr>
        <w:tc>
          <w:tcPr>
            <w:tcW w:w="1046" w:type="dxa"/>
            <w:vMerge/>
            <w:tcBorders>
              <w:bottom w:val="single" w:sz="12"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after="80" w:line="240" w:lineRule="exact"/>
              <w:ind w:left="72" w:right="72"/>
              <w:rPr>
                <w:rFonts w:hint="cs"/>
                <w:i/>
                <w:iCs/>
                <w:sz w:val="16"/>
                <w:szCs w:val="24"/>
                <w:rtl/>
              </w:rPr>
            </w:pPr>
          </w:p>
        </w:tc>
        <w:tc>
          <w:tcPr>
            <w:tcW w:w="1046" w:type="dxa"/>
            <w:vMerge/>
            <w:tcBorders>
              <w:bottom w:val="single" w:sz="12"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after="80" w:line="240" w:lineRule="exact"/>
              <w:ind w:left="72" w:right="72"/>
              <w:jc w:val="lowKashida"/>
              <w:rPr>
                <w:rFonts w:hint="cs"/>
                <w:i/>
                <w:iCs/>
                <w:sz w:val="16"/>
                <w:szCs w:val="24"/>
                <w:rtl/>
              </w:rPr>
            </w:pPr>
          </w:p>
        </w:tc>
        <w:tc>
          <w:tcPr>
            <w:tcW w:w="1046" w:type="dxa"/>
            <w:vMerge/>
            <w:tcBorders>
              <w:bottom w:val="single" w:sz="12"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after="80" w:line="240" w:lineRule="exact"/>
              <w:ind w:left="72" w:right="72"/>
              <w:jc w:val="lowKashida"/>
              <w:rPr>
                <w:rFonts w:hint="cs"/>
                <w:i/>
                <w:iCs/>
                <w:sz w:val="16"/>
                <w:szCs w:val="24"/>
                <w:rtl/>
              </w:rPr>
            </w:pPr>
          </w:p>
        </w:tc>
        <w:tc>
          <w:tcPr>
            <w:tcW w:w="1046" w:type="dxa"/>
            <w:vMerge/>
            <w:tcBorders>
              <w:bottom w:val="single" w:sz="12"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after="80" w:line="240" w:lineRule="exact"/>
              <w:ind w:left="72" w:right="72"/>
              <w:jc w:val="lowKashida"/>
              <w:rPr>
                <w:rFonts w:hint="cs"/>
                <w:i/>
                <w:iCs/>
                <w:sz w:val="16"/>
                <w:szCs w:val="24"/>
                <w:rtl/>
              </w:rPr>
            </w:pPr>
          </w:p>
        </w:tc>
        <w:tc>
          <w:tcPr>
            <w:tcW w:w="1046" w:type="dxa"/>
            <w:tcBorders>
              <w:top w:val="single" w:sz="4" w:space="0" w:color="auto"/>
              <w:bottom w:val="single" w:sz="12"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المجموع</w:t>
            </w:r>
          </w:p>
        </w:tc>
        <w:tc>
          <w:tcPr>
            <w:tcW w:w="1046" w:type="dxa"/>
            <w:tcBorders>
              <w:top w:val="single" w:sz="4" w:space="0" w:color="auto"/>
              <w:bottom w:val="single" w:sz="12"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ذك</w:t>
            </w:r>
            <w:r w:rsidR="00B821AB">
              <w:rPr>
                <w:rFonts w:hint="cs"/>
                <w:i/>
                <w:iCs/>
                <w:sz w:val="16"/>
                <w:szCs w:val="24"/>
                <w:rtl/>
              </w:rPr>
              <w:t>و</w:t>
            </w:r>
            <w:r>
              <w:rPr>
                <w:rFonts w:hint="cs"/>
                <w:i/>
                <w:iCs/>
                <w:sz w:val="16"/>
                <w:szCs w:val="24"/>
                <w:rtl/>
              </w:rPr>
              <w:t>ر</w:t>
            </w:r>
          </w:p>
        </w:tc>
        <w:tc>
          <w:tcPr>
            <w:tcW w:w="1046" w:type="dxa"/>
            <w:tcBorders>
              <w:top w:val="single" w:sz="4" w:space="0" w:color="auto"/>
              <w:bottom w:val="single" w:sz="12"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إناث</w:t>
            </w:r>
            <w:r>
              <w:rPr>
                <w:rFonts w:hint="cs"/>
                <w:i/>
                <w:iCs/>
                <w:sz w:val="16"/>
                <w:szCs w:val="24"/>
                <w:rtl/>
              </w:rPr>
              <w:br/>
              <w:t>(النسبة المئوية)</w:t>
            </w:r>
          </w:p>
        </w:tc>
      </w:tr>
      <w:tr w:rsidR="00A845EB" w:rsidRPr="00A845EB">
        <w:tblPrEx>
          <w:tblCellMar>
            <w:top w:w="0" w:type="dxa"/>
            <w:bottom w:w="0" w:type="dxa"/>
          </w:tblCellMar>
        </w:tblPrEx>
        <w:trPr>
          <w:cantSplit/>
          <w:trHeight w:hRule="exact" w:val="115"/>
          <w:tblHeader/>
          <w:jc w:val="center"/>
        </w:trPr>
        <w:tc>
          <w:tcPr>
            <w:tcW w:w="1046" w:type="dxa"/>
            <w:tcBorders>
              <w:top w:val="single" w:sz="12"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before="40" w:after="80" w:line="240" w:lineRule="exact"/>
              <w:ind w:left="72" w:right="72"/>
              <w:rPr>
                <w:rFonts w:hint="cs"/>
                <w:sz w:val="16"/>
                <w:szCs w:val="24"/>
                <w:rtl/>
              </w:rPr>
            </w:pPr>
          </w:p>
        </w:tc>
        <w:tc>
          <w:tcPr>
            <w:tcW w:w="1046" w:type="dxa"/>
            <w:tcBorders>
              <w:top w:val="single" w:sz="12"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tcBorders>
              <w:top w:val="single" w:sz="12"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tcBorders>
              <w:top w:val="single" w:sz="12"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tcBorders>
              <w:top w:val="single" w:sz="12"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tcBorders>
              <w:top w:val="single" w:sz="12"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6" w:type="dxa"/>
            <w:tcBorders>
              <w:top w:val="single" w:sz="12" w:space="0" w:color="auto"/>
            </w:tcBorders>
            <w:shd w:val="clear" w:color="auto" w:fill="auto"/>
            <w:vAlign w:val="bottom"/>
          </w:tcPr>
          <w:p w:rsidR="00A845EB" w:rsidRPr="00A845EB" w:rsidRDefault="00A845EB" w:rsidP="00A845EB">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A845EB" w:rsidRPr="00A845EB">
        <w:tblPrEx>
          <w:tblCellMar>
            <w:top w:w="0" w:type="dxa"/>
            <w:bottom w:w="0" w:type="dxa"/>
          </w:tblCellMar>
        </w:tblPrEx>
        <w:trPr>
          <w:cantSplit/>
          <w:jc w:val="center"/>
        </w:trPr>
        <w:tc>
          <w:tcPr>
            <w:tcW w:w="1046" w:type="dxa"/>
            <w:shd w:val="clear" w:color="auto" w:fill="auto"/>
          </w:tcPr>
          <w:p w:rsidR="00A845EB" w:rsidRPr="00A845EB" w:rsidRDefault="005F4097" w:rsidP="005F4097">
            <w:pPr>
              <w:tabs>
                <w:tab w:val="left" w:pos="288"/>
                <w:tab w:val="left" w:pos="576"/>
                <w:tab w:val="left" w:pos="864"/>
                <w:tab w:val="left" w:pos="1152"/>
              </w:tabs>
              <w:spacing w:before="40" w:after="80" w:line="240" w:lineRule="exact"/>
              <w:ind w:left="72" w:right="72"/>
              <w:jc w:val="left"/>
              <w:rPr>
                <w:rFonts w:hint="cs"/>
                <w:sz w:val="16"/>
                <w:szCs w:val="24"/>
                <w:rtl/>
              </w:rPr>
            </w:pPr>
            <w:r>
              <w:rPr>
                <w:rFonts w:hint="cs"/>
                <w:sz w:val="16"/>
                <w:szCs w:val="24"/>
                <w:rtl/>
              </w:rPr>
              <w:t>1991</w:t>
            </w:r>
          </w:p>
        </w:tc>
        <w:tc>
          <w:tcPr>
            <w:tcW w:w="1046" w:type="dxa"/>
            <w:shd w:val="clear" w:color="auto" w:fill="auto"/>
          </w:tcPr>
          <w:p w:rsidR="00A845EB" w:rsidRPr="00A845EB" w:rsidRDefault="005F4097" w:rsidP="005F4097">
            <w:pPr>
              <w:tabs>
                <w:tab w:val="left" w:pos="288"/>
                <w:tab w:val="left" w:pos="576"/>
                <w:tab w:val="left" w:pos="864"/>
                <w:tab w:val="left" w:pos="1152"/>
              </w:tabs>
              <w:spacing w:before="40" w:after="80" w:line="240" w:lineRule="exact"/>
              <w:ind w:left="72" w:right="72"/>
              <w:jc w:val="left"/>
              <w:rPr>
                <w:rFonts w:hint="cs"/>
                <w:sz w:val="16"/>
                <w:szCs w:val="24"/>
                <w:rtl/>
              </w:rPr>
            </w:pPr>
            <w:r>
              <w:rPr>
                <w:rFonts w:hint="cs"/>
                <w:sz w:val="16"/>
                <w:szCs w:val="24"/>
                <w:rtl/>
              </w:rPr>
              <w:t>027 7</w:t>
            </w:r>
          </w:p>
        </w:tc>
        <w:tc>
          <w:tcPr>
            <w:tcW w:w="1046" w:type="dxa"/>
            <w:shd w:val="clear" w:color="auto" w:fill="auto"/>
          </w:tcPr>
          <w:p w:rsidR="00A845EB" w:rsidRPr="00A845EB" w:rsidRDefault="005F4097" w:rsidP="005F4097">
            <w:pPr>
              <w:tabs>
                <w:tab w:val="left" w:pos="288"/>
                <w:tab w:val="left" w:pos="576"/>
                <w:tab w:val="left" w:pos="864"/>
                <w:tab w:val="left" w:pos="1152"/>
              </w:tabs>
              <w:spacing w:before="40" w:after="80" w:line="240" w:lineRule="exact"/>
              <w:ind w:left="72" w:right="72"/>
              <w:jc w:val="left"/>
              <w:rPr>
                <w:rFonts w:hint="cs"/>
                <w:sz w:val="16"/>
                <w:szCs w:val="24"/>
                <w:rtl/>
              </w:rPr>
            </w:pPr>
            <w:r>
              <w:rPr>
                <w:rFonts w:hint="cs"/>
                <w:sz w:val="16"/>
                <w:szCs w:val="24"/>
                <w:rtl/>
              </w:rPr>
              <w:t>441 1</w:t>
            </w:r>
          </w:p>
        </w:tc>
        <w:tc>
          <w:tcPr>
            <w:tcW w:w="1046" w:type="dxa"/>
            <w:shd w:val="clear" w:color="auto" w:fill="auto"/>
          </w:tcPr>
          <w:p w:rsidR="00A845EB" w:rsidRPr="00A845EB" w:rsidRDefault="005F4097" w:rsidP="005F4097">
            <w:pPr>
              <w:tabs>
                <w:tab w:val="left" w:pos="288"/>
                <w:tab w:val="left" w:pos="576"/>
                <w:tab w:val="left" w:pos="864"/>
                <w:tab w:val="left" w:pos="1152"/>
              </w:tabs>
              <w:spacing w:before="40" w:after="80" w:line="240" w:lineRule="exact"/>
              <w:ind w:left="72" w:right="72"/>
              <w:jc w:val="left"/>
              <w:rPr>
                <w:rFonts w:hint="cs"/>
                <w:sz w:val="16"/>
                <w:szCs w:val="24"/>
                <w:rtl/>
              </w:rPr>
            </w:pPr>
            <w:r>
              <w:rPr>
                <w:rFonts w:hint="cs"/>
                <w:sz w:val="16"/>
                <w:szCs w:val="24"/>
                <w:rtl/>
              </w:rPr>
              <w:t>-</w:t>
            </w:r>
          </w:p>
        </w:tc>
        <w:tc>
          <w:tcPr>
            <w:tcW w:w="1046" w:type="dxa"/>
            <w:shd w:val="clear" w:color="auto" w:fill="auto"/>
          </w:tcPr>
          <w:p w:rsidR="00A845EB" w:rsidRPr="00A845EB" w:rsidRDefault="005F4097" w:rsidP="005F4097">
            <w:pPr>
              <w:tabs>
                <w:tab w:val="left" w:pos="288"/>
                <w:tab w:val="left" w:pos="576"/>
                <w:tab w:val="left" w:pos="864"/>
                <w:tab w:val="left" w:pos="1152"/>
              </w:tabs>
              <w:spacing w:before="40" w:after="80" w:line="240" w:lineRule="exact"/>
              <w:ind w:left="72" w:right="72"/>
              <w:jc w:val="left"/>
              <w:rPr>
                <w:rFonts w:hint="cs"/>
                <w:sz w:val="16"/>
                <w:szCs w:val="24"/>
                <w:rtl/>
              </w:rPr>
            </w:pPr>
            <w:r>
              <w:rPr>
                <w:rFonts w:hint="cs"/>
                <w:sz w:val="16"/>
                <w:szCs w:val="24"/>
                <w:rtl/>
              </w:rPr>
              <w:t>803 288</w:t>
            </w:r>
          </w:p>
        </w:tc>
        <w:tc>
          <w:tcPr>
            <w:tcW w:w="1046" w:type="dxa"/>
            <w:shd w:val="clear" w:color="auto" w:fill="auto"/>
          </w:tcPr>
          <w:p w:rsidR="00A845EB" w:rsidRPr="00A845EB" w:rsidRDefault="005F4097" w:rsidP="005F4097">
            <w:pPr>
              <w:tabs>
                <w:tab w:val="left" w:pos="288"/>
                <w:tab w:val="left" w:pos="576"/>
                <w:tab w:val="left" w:pos="864"/>
                <w:tab w:val="left" w:pos="1152"/>
              </w:tabs>
              <w:spacing w:before="40" w:after="80" w:line="240" w:lineRule="exact"/>
              <w:ind w:left="72" w:right="72"/>
              <w:jc w:val="left"/>
              <w:rPr>
                <w:rFonts w:hint="cs"/>
                <w:sz w:val="16"/>
                <w:szCs w:val="24"/>
                <w:rtl/>
              </w:rPr>
            </w:pPr>
            <w:r>
              <w:rPr>
                <w:rFonts w:hint="cs"/>
                <w:sz w:val="16"/>
                <w:szCs w:val="24"/>
                <w:rtl/>
              </w:rPr>
              <w:t>245 283</w:t>
            </w:r>
          </w:p>
        </w:tc>
        <w:tc>
          <w:tcPr>
            <w:tcW w:w="1046" w:type="dxa"/>
            <w:shd w:val="clear" w:color="auto" w:fill="auto"/>
          </w:tcPr>
          <w:p w:rsidR="00A845EB" w:rsidRPr="00A845EB" w:rsidRDefault="005F4097" w:rsidP="005F4097">
            <w:pPr>
              <w:tabs>
                <w:tab w:val="left" w:pos="288"/>
                <w:tab w:val="left" w:pos="576"/>
                <w:tab w:val="left" w:pos="864"/>
                <w:tab w:val="left" w:pos="1152"/>
              </w:tabs>
              <w:spacing w:before="40" w:after="80" w:line="240" w:lineRule="exact"/>
              <w:ind w:left="72" w:right="72"/>
              <w:jc w:val="left"/>
              <w:rPr>
                <w:rFonts w:hint="cs"/>
                <w:sz w:val="16"/>
                <w:szCs w:val="24"/>
                <w:rtl/>
              </w:rPr>
            </w:pPr>
            <w:r>
              <w:rPr>
                <w:rFonts w:hint="cs"/>
                <w:sz w:val="16"/>
                <w:szCs w:val="24"/>
                <w:rtl/>
              </w:rPr>
              <w:t>558 5</w:t>
            </w:r>
            <w:r>
              <w:rPr>
                <w:sz w:val="16"/>
                <w:szCs w:val="24"/>
                <w:rtl/>
              </w:rPr>
              <w:br/>
            </w:r>
            <w:r>
              <w:rPr>
                <w:rFonts w:hint="cs"/>
                <w:sz w:val="16"/>
                <w:szCs w:val="24"/>
                <w:rtl/>
              </w:rPr>
              <w:t>(1.92</w:t>
            </w:r>
            <w:r w:rsidRPr="005F4097">
              <w:rPr>
                <w:rFonts w:cs="Akhbar MT" w:hint="cs"/>
                <w:sz w:val="16"/>
                <w:szCs w:val="24"/>
                <w:rtl/>
              </w:rPr>
              <w:t>%</w:t>
            </w:r>
            <w:r>
              <w:rPr>
                <w:rFonts w:hint="cs"/>
                <w:sz w:val="16"/>
                <w:szCs w:val="24"/>
                <w:rtl/>
              </w:rPr>
              <w:t>)</w:t>
            </w:r>
          </w:p>
        </w:tc>
      </w:tr>
      <w:tr w:rsidR="00A845EB" w:rsidRPr="00A845EB">
        <w:tblPrEx>
          <w:tblCellMar>
            <w:top w:w="0" w:type="dxa"/>
            <w:bottom w:w="0" w:type="dxa"/>
          </w:tblCellMar>
        </w:tblPrEx>
        <w:trPr>
          <w:cantSplit/>
          <w:jc w:val="center"/>
        </w:trPr>
        <w:tc>
          <w:tcPr>
            <w:tcW w:w="1046" w:type="dxa"/>
            <w:shd w:val="clear" w:color="auto" w:fill="auto"/>
          </w:tcPr>
          <w:p w:rsidR="00A845EB" w:rsidRPr="00A845EB" w:rsidRDefault="005F4097" w:rsidP="005F4097">
            <w:pPr>
              <w:tabs>
                <w:tab w:val="left" w:pos="288"/>
                <w:tab w:val="left" w:pos="576"/>
                <w:tab w:val="left" w:pos="864"/>
                <w:tab w:val="left" w:pos="1152"/>
              </w:tabs>
              <w:spacing w:before="40" w:after="80" w:line="240" w:lineRule="exact"/>
              <w:ind w:left="72" w:right="72"/>
              <w:jc w:val="left"/>
              <w:rPr>
                <w:rFonts w:hint="cs"/>
                <w:sz w:val="16"/>
                <w:szCs w:val="24"/>
                <w:rtl/>
              </w:rPr>
            </w:pPr>
            <w:r>
              <w:rPr>
                <w:rFonts w:hint="cs"/>
                <w:sz w:val="16"/>
                <w:szCs w:val="24"/>
                <w:rtl/>
              </w:rPr>
              <w:t>1999</w:t>
            </w:r>
          </w:p>
        </w:tc>
        <w:tc>
          <w:tcPr>
            <w:tcW w:w="1046" w:type="dxa"/>
            <w:shd w:val="clear" w:color="auto" w:fill="auto"/>
          </w:tcPr>
          <w:p w:rsidR="00A845EB" w:rsidRPr="00A845EB" w:rsidRDefault="005F4097" w:rsidP="005F4097">
            <w:pPr>
              <w:tabs>
                <w:tab w:val="left" w:pos="288"/>
                <w:tab w:val="left" w:pos="576"/>
                <w:tab w:val="left" w:pos="864"/>
                <w:tab w:val="left" w:pos="1152"/>
              </w:tabs>
              <w:spacing w:before="40" w:after="80" w:line="240" w:lineRule="exact"/>
              <w:ind w:left="72" w:right="72"/>
              <w:jc w:val="left"/>
              <w:rPr>
                <w:rFonts w:hint="cs"/>
                <w:sz w:val="16"/>
                <w:szCs w:val="24"/>
                <w:rtl/>
              </w:rPr>
            </w:pPr>
            <w:r>
              <w:rPr>
                <w:rFonts w:hint="cs"/>
                <w:sz w:val="16"/>
                <w:szCs w:val="24"/>
                <w:rtl/>
              </w:rPr>
              <w:t>382 7</w:t>
            </w:r>
          </w:p>
        </w:tc>
        <w:tc>
          <w:tcPr>
            <w:tcW w:w="1046" w:type="dxa"/>
            <w:shd w:val="clear" w:color="auto" w:fill="auto"/>
          </w:tcPr>
          <w:p w:rsidR="00A845EB" w:rsidRPr="00A845EB" w:rsidRDefault="005F4097" w:rsidP="005F4097">
            <w:pPr>
              <w:tabs>
                <w:tab w:val="left" w:pos="288"/>
                <w:tab w:val="left" w:pos="576"/>
                <w:tab w:val="left" w:pos="864"/>
                <w:tab w:val="left" w:pos="1152"/>
              </w:tabs>
              <w:spacing w:before="40" w:after="80" w:line="240" w:lineRule="exact"/>
              <w:ind w:left="72" w:right="72"/>
              <w:jc w:val="left"/>
              <w:rPr>
                <w:rFonts w:hint="cs"/>
                <w:sz w:val="16"/>
                <w:szCs w:val="24"/>
                <w:rtl/>
              </w:rPr>
            </w:pPr>
            <w:r>
              <w:rPr>
                <w:rFonts w:hint="cs"/>
                <w:sz w:val="16"/>
                <w:szCs w:val="24"/>
                <w:rtl/>
              </w:rPr>
              <w:t>493 1</w:t>
            </w:r>
          </w:p>
        </w:tc>
        <w:tc>
          <w:tcPr>
            <w:tcW w:w="1046" w:type="dxa"/>
            <w:shd w:val="clear" w:color="auto" w:fill="auto"/>
          </w:tcPr>
          <w:p w:rsidR="00A845EB" w:rsidRPr="00A845EB" w:rsidRDefault="005F4097" w:rsidP="005F4097">
            <w:pPr>
              <w:tabs>
                <w:tab w:val="left" w:pos="288"/>
                <w:tab w:val="left" w:pos="576"/>
                <w:tab w:val="left" w:pos="864"/>
                <w:tab w:val="left" w:pos="1152"/>
              </w:tabs>
              <w:spacing w:before="40" w:after="80" w:line="240" w:lineRule="exact"/>
              <w:ind w:left="72" w:right="72"/>
              <w:jc w:val="left"/>
              <w:rPr>
                <w:rFonts w:hint="cs"/>
                <w:sz w:val="16"/>
                <w:szCs w:val="24"/>
                <w:rtl/>
              </w:rPr>
            </w:pPr>
            <w:r>
              <w:rPr>
                <w:rFonts w:hint="cs"/>
                <w:sz w:val="16"/>
                <w:szCs w:val="24"/>
                <w:rtl/>
              </w:rPr>
              <w:t>-</w:t>
            </w:r>
          </w:p>
        </w:tc>
        <w:tc>
          <w:tcPr>
            <w:tcW w:w="1046" w:type="dxa"/>
            <w:shd w:val="clear" w:color="auto" w:fill="auto"/>
          </w:tcPr>
          <w:p w:rsidR="00A845EB" w:rsidRPr="00A845EB" w:rsidRDefault="005F4097" w:rsidP="005F4097">
            <w:pPr>
              <w:tabs>
                <w:tab w:val="left" w:pos="288"/>
                <w:tab w:val="left" w:pos="576"/>
                <w:tab w:val="left" w:pos="864"/>
                <w:tab w:val="left" w:pos="1152"/>
              </w:tabs>
              <w:spacing w:before="40" w:after="80" w:line="240" w:lineRule="exact"/>
              <w:ind w:left="72" w:right="72"/>
              <w:jc w:val="left"/>
              <w:rPr>
                <w:rFonts w:hint="cs"/>
                <w:sz w:val="16"/>
                <w:szCs w:val="24"/>
                <w:rtl/>
              </w:rPr>
            </w:pPr>
            <w:r>
              <w:rPr>
                <w:rFonts w:hint="cs"/>
                <w:sz w:val="16"/>
                <w:szCs w:val="24"/>
                <w:rtl/>
              </w:rPr>
              <w:t>104 301</w:t>
            </w:r>
          </w:p>
        </w:tc>
        <w:tc>
          <w:tcPr>
            <w:tcW w:w="1046" w:type="dxa"/>
            <w:shd w:val="clear" w:color="auto" w:fill="auto"/>
          </w:tcPr>
          <w:p w:rsidR="00A845EB" w:rsidRPr="00A845EB" w:rsidRDefault="005F4097" w:rsidP="005F4097">
            <w:pPr>
              <w:tabs>
                <w:tab w:val="left" w:pos="288"/>
                <w:tab w:val="left" w:pos="576"/>
                <w:tab w:val="left" w:pos="864"/>
                <w:tab w:val="left" w:pos="1152"/>
              </w:tabs>
              <w:spacing w:before="40" w:after="80" w:line="240" w:lineRule="exact"/>
              <w:ind w:left="72" w:right="72"/>
              <w:jc w:val="left"/>
              <w:rPr>
                <w:rFonts w:hint="cs"/>
                <w:sz w:val="16"/>
                <w:szCs w:val="24"/>
                <w:rtl/>
              </w:rPr>
            </w:pPr>
            <w:r>
              <w:rPr>
                <w:rFonts w:hint="cs"/>
                <w:sz w:val="16"/>
                <w:szCs w:val="24"/>
                <w:rtl/>
              </w:rPr>
              <w:t>617 296</w:t>
            </w:r>
          </w:p>
        </w:tc>
        <w:tc>
          <w:tcPr>
            <w:tcW w:w="1046" w:type="dxa"/>
            <w:shd w:val="clear" w:color="auto" w:fill="auto"/>
          </w:tcPr>
          <w:p w:rsidR="00A845EB" w:rsidRPr="00A845EB" w:rsidRDefault="005F4097" w:rsidP="005F4097">
            <w:pPr>
              <w:tabs>
                <w:tab w:val="left" w:pos="288"/>
                <w:tab w:val="left" w:pos="576"/>
                <w:tab w:val="left" w:pos="864"/>
                <w:tab w:val="left" w:pos="1152"/>
              </w:tabs>
              <w:spacing w:before="40" w:after="80" w:line="240" w:lineRule="exact"/>
              <w:ind w:left="72" w:right="72"/>
              <w:jc w:val="left"/>
              <w:rPr>
                <w:rFonts w:hint="cs"/>
                <w:sz w:val="16"/>
                <w:szCs w:val="24"/>
                <w:rtl/>
              </w:rPr>
            </w:pPr>
            <w:r>
              <w:rPr>
                <w:rFonts w:hint="cs"/>
                <w:sz w:val="16"/>
                <w:szCs w:val="24"/>
                <w:rtl/>
              </w:rPr>
              <w:t>487 4</w:t>
            </w:r>
            <w:r>
              <w:rPr>
                <w:sz w:val="16"/>
                <w:szCs w:val="24"/>
                <w:rtl/>
              </w:rPr>
              <w:br/>
            </w:r>
            <w:r>
              <w:rPr>
                <w:rFonts w:hint="cs"/>
                <w:sz w:val="16"/>
                <w:szCs w:val="24"/>
                <w:rtl/>
              </w:rPr>
              <w:t>(1.49</w:t>
            </w:r>
            <w:r w:rsidRPr="005F4097">
              <w:rPr>
                <w:rFonts w:cs="Akhbar MT" w:hint="cs"/>
                <w:sz w:val="16"/>
                <w:szCs w:val="24"/>
                <w:rtl/>
              </w:rPr>
              <w:t>%</w:t>
            </w:r>
            <w:r>
              <w:rPr>
                <w:rFonts w:hint="cs"/>
                <w:sz w:val="16"/>
                <w:szCs w:val="24"/>
                <w:rtl/>
              </w:rPr>
              <w:t>)</w:t>
            </w:r>
          </w:p>
        </w:tc>
      </w:tr>
      <w:tr w:rsidR="00A845EB" w:rsidRPr="00A845EB">
        <w:tblPrEx>
          <w:tblCellMar>
            <w:top w:w="0" w:type="dxa"/>
            <w:bottom w:w="0" w:type="dxa"/>
          </w:tblCellMar>
        </w:tblPrEx>
        <w:trPr>
          <w:cantSplit/>
          <w:jc w:val="center"/>
        </w:trPr>
        <w:tc>
          <w:tcPr>
            <w:tcW w:w="1046" w:type="dxa"/>
            <w:tcBorders>
              <w:bottom w:val="single" w:sz="12" w:space="0" w:color="auto"/>
            </w:tcBorders>
            <w:shd w:val="clear" w:color="auto" w:fill="auto"/>
            <w:vAlign w:val="bottom"/>
          </w:tcPr>
          <w:p w:rsidR="00A845EB" w:rsidRPr="00A845EB" w:rsidRDefault="005F4097" w:rsidP="00A845E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2000</w:t>
            </w:r>
          </w:p>
        </w:tc>
        <w:tc>
          <w:tcPr>
            <w:tcW w:w="1046" w:type="dxa"/>
            <w:tcBorders>
              <w:bottom w:val="single" w:sz="12" w:space="0" w:color="auto"/>
            </w:tcBorders>
            <w:shd w:val="clear" w:color="auto" w:fill="auto"/>
            <w:vAlign w:val="bottom"/>
          </w:tcPr>
          <w:p w:rsidR="00A845EB" w:rsidRPr="00A845EB" w:rsidRDefault="005F4097" w:rsidP="00A845E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c>
          <w:tcPr>
            <w:tcW w:w="1046" w:type="dxa"/>
            <w:tcBorders>
              <w:bottom w:val="single" w:sz="12" w:space="0" w:color="auto"/>
            </w:tcBorders>
            <w:shd w:val="clear" w:color="auto" w:fill="auto"/>
            <w:vAlign w:val="bottom"/>
          </w:tcPr>
          <w:p w:rsidR="00A845EB" w:rsidRPr="00A845EB" w:rsidRDefault="005F4097" w:rsidP="00A845E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c>
          <w:tcPr>
            <w:tcW w:w="1046" w:type="dxa"/>
            <w:tcBorders>
              <w:bottom w:val="single" w:sz="12" w:space="0" w:color="auto"/>
            </w:tcBorders>
            <w:shd w:val="clear" w:color="auto" w:fill="auto"/>
            <w:vAlign w:val="bottom"/>
          </w:tcPr>
          <w:p w:rsidR="00A845EB" w:rsidRPr="00A845EB" w:rsidRDefault="005F4097" w:rsidP="00A845E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c>
          <w:tcPr>
            <w:tcW w:w="1046" w:type="dxa"/>
            <w:tcBorders>
              <w:bottom w:val="single" w:sz="12" w:space="0" w:color="auto"/>
            </w:tcBorders>
            <w:shd w:val="clear" w:color="auto" w:fill="auto"/>
            <w:vAlign w:val="bottom"/>
          </w:tcPr>
          <w:p w:rsidR="00A845EB" w:rsidRPr="00A845EB" w:rsidRDefault="005F4097" w:rsidP="00A845E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c>
          <w:tcPr>
            <w:tcW w:w="1046" w:type="dxa"/>
            <w:tcBorders>
              <w:bottom w:val="single" w:sz="12" w:space="0" w:color="auto"/>
            </w:tcBorders>
            <w:shd w:val="clear" w:color="auto" w:fill="auto"/>
            <w:vAlign w:val="bottom"/>
          </w:tcPr>
          <w:p w:rsidR="00A845EB" w:rsidRPr="00A845EB" w:rsidRDefault="005F4097" w:rsidP="00A845E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c>
          <w:tcPr>
            <w:tcW w:w="1046" w:type="dxa"/>
            <w:tcBorders>
              <w:bottom w:val="single" w:sz="12" w:space="0" w:color="auto"/>
            </w:tcBorders>
            <w:shd w:val="clear" w:color="auto" w:fill="auto"/>
            <w:vAlign w:val="bottom"/>
          </w:tcPr>
          <w:p w:rsidR="00A845EB" w:rsidRPr="00A845EB" w:rsidRDefault="005F4097" w:rsidP="00A845EB">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r>
    </w:tbl>
    <w:p w:rsidR="00A1272C" w:rsidRPr="00A1272C" w:rsidRDefault="00A1272C" w:rsidP="00A1272C">
      <w:pPr>
        <w:pStyle w:val="SingleTxt"/>
        <w:spacing w:after="0" w:line="120" w:lineRule="exact"/>
        <w:rPr>
          <w:rFonts w:hint="cs"/>
          <w:sz w:val="10"/>
          <w:rtl/>
        </w:rPr>
      </w:pPr>
    </w:p>
    <w:p w:rsidR="00555612" w:rsidRDefault="00A1272C" w:rsidP="00A1272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A1272C">
        <w:rPr>
          <w:rFonts w:hint="cs"/>
          <w:i/>
          <w:iCs/>
          <w:rtl/>
        </w:rPr>
        <w:t>المصدر</w:t>
      </w:r>
      <w:r>
        <w:rPr>
          <w:rFonts w:hint="cs"/>
          <w:rtl/>
        </w:rPr>
        <w:t>: وزارة العمل والقوة العاملة والباكستانيين في الخارج.</w:t>
      </w:r>
    </w:p>
    <w:p w:rsidR="00A1272C" w:rsidRPr="00A1272C" w:rsidRDefault="00A1272C" w:rsidP="00A1272C">
      <w:pPr>
        <w:pStyle w:val="SingleTxt"/>
        <w:spacing w:after="0" w:line="120" w:lineRule="exact"/>
        <w:rPr>
          <w:rFonts w:hint="cs"/>
          <w:i/>
          <w:iCs/>
          <w:sz w:val="10"/>
          <w:rtl/>
        </w:rPr>
      </w:pPr>
    </w:p>
    <w:p w:rsidR="00A1272C" w:rsidRPr="00A1272C" w:rsidRDefault="00A1272C" w:rsidP="00A1272C">
      <w:pPr>
        <w:pStyle w:val="SingleTxt"/>
        <w:spacing w:after="0" w:line="120" w:lineRule="exact"/>
        <w:rPr>
          <w:rFonts w:hint="cs"/>
          <w:i/>
          <w:iCs/>
          <w:sz w:val="10"/>
          <w:rtl/>
        </w:rPr>
      </w:pPr>
    </w:p>
    <w:p w:rsidR="00A1272C" w:rsidRDefault="00351363" w:rsidP="003513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الخاصة المؤقتة التي تكفل التمثيل المتساوي للمرأة في جميع الميادين المشمولة بالمادتين 7 و 8</w:t>
      </w:r>
    </w:p>
    <w:p w:rsidR="00351363" w:rsidRDefault="00351363" w:rsidP="00351363">
      <w:pPr>
        <w:pStyle w:val="SingleTxt"/>
        <w:rPr>
          <w:rFonts w:hint="cs"/>
          <w:rtl/>
        </w:rPr>
      </w:pPr>
      <w:r>
        <w:rPr>
          <w:rFonts w:hint="cs"/>
          <w:rtl/>
        </w:rPr>
        <w:t>149-</w:t>
      </w:r>
      <w:r>
        <w:rPr>
          <w:rFonts w:hint="cs"/>
          <w:rtl/>
        </w:rPr>
        <w:tab/>
        <w:t>حدث أكبر تطور وحيد في ميدان حقوق الإنسان للمرأة في باكستان في مجال التمكين السياسي للمرأة. وحجزت نسبة 33 في المائة من المقاعد للمرأة في انتخابات الهيئات المحلية و 17 في المائة من مقاعد الجمعية الوطنية والمجالس الإقليمية ومجلس الشيوخ وتعد هذه الأرقام جيدة مقارنة بتدابير العمل الإيجابي التي اتخذتها أغلب البلدان الأخرى في العالم. ويتمثل التحدي في تحويل زيادة الوجود المادي إلى أداء تشريعي فعال، وخاصة فيما يتصل بحقوق المرأة.</w:t>
      </w:r>
    </w:p>
    <w:p w:rsidR="00351363" w:rsidRPr="00351363" w:rsidRDefault="00351363" w:rsidP="00351363">
      <w:pPr>
        <w:pStyle w:val="SingleTxt"/>
        <w:spacing w:after="0" w:line="120" w:lineRule="exact"/>
        <w:rPr>
          <w:rFonts w:hint="cs"/>
          <w:sz w:val="10"/>
          <w:rtl/>
        </w:rPr>
      </w:pPr>
    </w:p>
    <w:p w:rsidR="00351363" w:rsidRDefault="00351363" w:rsidP="003513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معلومات عن التحفظات على المادتين 7 و 8 التي تعكس مواقف تقليدية أو عرفية أو نمطية</w:t>
      </w:r>
    </w:p>
    <w:p w:rsidR="008F5055" w:rsidRDefault="008F5055" w:rsidP="008F5055">
      <w:pPr>
        <w:pStyle w:val="SingleTxt"/>
        <w:rPr>
          <w:rFonts w:hint="cs"/>
          <w:rtl/>
        </w:rPr>
      </w:pPr>
      <w:r>
        <w:rPr>
          <w:rFonts w:hint="cs"/>
          <w:rtl/>
        </w:rPr>
        <w:t>150-</w:t>
      </w:r>
      <w:r>
        <w:rPr>
          <w:rFonts w:hint="cs"/>
          <w:rtl/>
        </w:rPr>
        <w:tab/>
        <w:t>ليس لدى باكستان تحفظات على المادة 7 (أو المادة 8).</w:t>
      </w:r>
    </w:p>
    <w:p w:rsidR="008F5055" w:rsidRPr="008F5055" w:rsidRDefault="008F5055" w:rsidP="008F5055">
      <w:pPr>
        <w:pStyle w:val="SingleTxt"/>
        <w:spacing w:after="0" w:line="120" w:lineRule="exact"/>
        <w:rPr>
          <w:rFonts w:hint="cs"/>
          <w:sz w:val="10"/>
          <w:rtl/>
        </w:rPr>
      </w:pPr>
    </w:p>
    <w:p w:rsidR="008F5055" w:rsidRDefault="008F5055" w:rsidP="008F50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كفالة فهم المرأة لحقها في التصويت، وأهمية هذا الحق وكيفية ممارسته</w:t>
      </w:r>
    </w:p>
    <w:p w:rsidR="008F5055" w:rsidRDefault="008F5055" w:rsidP="008F5055">
      <w:pPr>
        <w:pStyle w:val="SingleTxt"/>
        <w:rPr>
          <w:rFonts w:hint="cs"/>
          <w:rtl/>
        </w:rPr>
      </w:pPr>
      <w:r>
        <w:rPr>
          <w:rFonts w:hint="cs"/>
          <w:rtl/>
        </w:rPr>
        <w:t>151-</w:t>
      </w:r>
      <w:r>
        <w:rPr>
          <w:rFonts w:hint="cs"/>
          <w:rtl/>
        </w:rPr>
        <w:tab/>
        <w:t xml:space="preserve">حبذت حكومة باكستان دعم منظمات المجتمع المدني ومنها مؤسسة </w:t>
      </w:r>
      <w:proofErr w:type="spellStart"/>
      <w:r>
        <w:rPr>
          <w:rFonts w:hint="cs"/>
          <w:rtl/>
        </w:rPr>
        <w:t>أورات</w:t>
      </w:r>
      <w:proofErr w:type="spellEnd"/>
      <w:r>
        <w:rPr>
          <w:rFonts w:hint="cs"/>
          <w:rtl/>
        </w:rPr>
        <w:t xml:space="preserve"> لتوعية وتعبئة الناخبات في المناطق المختلفة من باكستان، وقت إجراء الانتخابات العامة الأخيرة. وقام عدد كبير من المنظمات غير الحكومية، منها شراكة جنوب آسيا والمنظمة السياسية للسند وغيرها بحملات لزيادة وعي الناخبين، وخاصة بين النساء. ونظمت لجنة الانتخابات الباكستانية أيضا حملات ترويجية لتثقيف الناخبين وخاصة الناخبات، عن طريق المنظمات غير الحكومية، في إطار مشروع لبرنامج الأمم المتحدة الإنمائي من أجل دعم العملية الانتخابية في باكستان.</w:t>
      </w:r>
    </w:p>
    <w:p w:rsidR="008F5055" w:rsidRPr="008F5055" w:rsidRDefault="008F5055" w:rsidP="008F5055">
      <w:pPr>
        <w:pStyle w:val="SingleTxt"/>
        <w:spacing w:after="0" w:line="120" w:lineRule="exact"/>
        <w:rPr>
          <w:rFonts w:hint="cs"/>
          <w:sz w:val="10"/>
          <w:rtl/>
        </w:rPr>
      </w:pPr>
    </w:p>
    <w:p w:rsidR="008F5055" w:rsidRDefault="008F5055" w:rsidP="008F50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كفالة تذليل العقبات التي تقف في طريق المساواة، بما فيها العقبات الناشئة عن الأمية واللغة والفقر والعقبات التي تعيق حرية تحرك المرأة</w:t>
      </w:r>
    </w:p>
    <w:p w:rsidR="008F5055" w:rsidRDefault="008F5055" w:rsidP="008F50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مساعدة المرأة المحرومة من هذه الامتيازات في أن تمارس حقها في التصويت وأن تنتخب</w:t>
      </w:r>
    </w:p>
    <w:p w:rsidR="008F5055" w:rsidRDefault="008F5055" w:rsidP="008F5055">
      <w:pPr>
        <w:pStyle w:val="SingleTxt"/>
        <w:rPr>
          <w:rFonts w:hint="cs"/>
          <w:rtl/>
        </w:rPr>
      </w:pPr>
      <w:r>
        <w:rPr>
          <w:rFonts w:hint="cs"/>
          <w:rtl/>
        </w:rPr>
        <w:t>152-</w:t>
      </w:r>
      <w:r>
        <w:rPr>
          <w:rFonts w:hint="cs"/>
          <w:rtl/>
        </w:rPr>
        <w:tab/>
        <w:t>تعتبر الأمية عقبة مؤكدة بالنسبة لمواطني باكستان، بما فيهم النساء، في طريق إعمال حقوقهم. ولا تتوفر معلومات عما إذا كان قد ثبت أن اللغة تمثل عقبة في سبيل المشاركة السياسية. ويعمل الفقر على إضعاف إعمال جميع الحقوق، بصورة شاملة. ويرد موجز للتدابير التي اتخذتها الحكومة من أجل تخفيف حدة الفقر في الفصل الثالث عشر.</w:t>
      </w:r>
    </w:p>
    <w:p w:rsidR="008F5055" w:rsidRDefault="008F5055" w:rsidP="00B821AB">
      <w:pPr>
        <w:pStyle w:val="SingleTxt"/>
        <w:rPr>
          <w:rFonts w:hint="cs"/>
          <w:rtl/>
        </w:rPr>
      </w:pPr>
      <w:r>
        <w:rPr>
          <w:rFonts w:hint="cs"/>
          <w:rtl/>
        </w:rPr>
        <w:t>153-</w:t>
      </w:r>
      <w:r>
        <w:rPr>
          <w:rFonts w:hint="cs"/>
          <w:rtl/>
        </w:rPr>
        <w:tab/>
        <w:t xml:space="preserve">وثبت أن حرية تحرك المرأة مسألة هامة في بعض أنحاء البلد. ووردت بلاغات من جميع المقاطعات عن عدم تمكن المرأة من تقديم </w:t>
      </w:r>
      <w:proofErr w:type="spellStart"/>
      <w:r>
        <w:rPr>
          <w:rFonts w:hint="cs"/>
          <w:rtl/>
        </w:rPr>
        <w:t>ترشيحاته</w:t>
      </w:r>
      <w:r w:rsidR="00B821AB">
        <w:rPr>
          <w:rFonts w:hint="cs"/>
          <w:rtl/>
        </w:rPr>
        <w:t>ن</w:t>
      </w:r>
      <w:proofErr w:type="spellEnd"/>
      <w:r>
        <w:rPr>
          <w:rFonts w:hint="cs"/>
          <w:rtl/>
        </w:rPr>
        <w:t xml:space="preserve"> و/أو ممارسة حقهن في التصويت. ولذلك ظلت عدة مقاعد مخصصة للمرأة في مجالس هذه  المناطق شاغرة. وقد أثار أعضاء المجالس المنتخبة ومنظمات المجتمع المدني هذه المسألة بصورة متكررة. وبينما توجد قوانين تعاقب الذين يمنعون الناخبين من ممارسة حقهم في التصويت، يصعب تنفيذها أحيانا. ويسهل تطبيق القانون عند استعمال القوة في انتهاك هذا الحق. وفي حالة النساء اللاتي منعن من تقديم </w:t>
      </w:r>
      <w:proofErr w:type="spellStart"/>
      <w:r>
        <w:rPr>
          <w:rFonts w:hint="cs"/>
          <w:rtl/>
        </w:rPr>
        <w:t>ترشيحاتهن</w:t>
      </w:r>
      <w:proofErr w:type="spellEnd"/>
      <w:r>
        <w:rPr>
          <w:rFonts w:hint="cs"/>
          <w:rtl/>
        </w:rPr>
        <w:t xml:space="preserve">، لم يتم استعمال القوة أو التهديد باستعمالها بصورة ظاهرة، وقدمت النساء المحرومات من حق التصويت شكاوى قليلة أو لم تقدم شكوى قط. مما حال دون تطبيق القوانين ذات الصلة. وقد أبرز المجتمع المدني وعضوات المجالس أنفسهن هذه المسألة. وقدمت العريضة رقم 604/2001 </w:t>
      </w:r>
      <w:r>
        <w:rPr>
          <w:rFonts w:hint="eastAsia"/>
          <w:rtl/>
        </w:rPr>
        <w:t xml:space="preserve">”ست </w:t>
      </w:r>
      <w:proofErr w:type="spellStart"/>
      <w:r>
        <w:rPr>
          <w:rFonts w:hint="eastAsia"/>
          <w:rtl/>
        </w:rPr>
        <w:t>ياخات</w:t>
      </w:r>
      <w:proofErr w:type="spellEnd"/>
      <w:r>
        <w:rPr>
          <w:rFonts w:hint="eastAsia"/>
          <w:rtl/>
        </w:rPr>
        <w:t xml:space="preserve"> </w:t>
      </w:r>
      <w:proofErr w:type="spellStart"/>
      <w:r>
        <w:rPr>
          <w:rFonts w:hint="eastAsia"/>
          <w:rtl/>
        </w:rPr>
        <w:t>ز</w:t>
      </w:r>
      <w:r>
        <w:rPr>
          <w:rFonts w:hint="cs"/>
          <w:rtl/>
        </w:rPr>
        <w:t>ارينا</w:t>
      </w:r>
      <w:proofErr w:type="spellEnd"/>
      <w:r>
        <w:rPr>
          <w:rFonts w:hint="cs"/>
          <w:rtl/>
        </w:rPr>
        <w:t xml:space="preserve"> وأخرى ضد حكومة مقاطعة الحدود الشمالية الغربية وآخرين</w:t>
      </w:r>
      <w:r>
        <w:rPr>
          <w:rFonts w:hint="eastAsia"/>
          <w:rtl/>
        </w:rPr>
        <w:t xml:space="preserve">“ بشأن هذه المسألة. </w:t>
      </w:r>
      <w:r>
        <w:rPr>
          <w:rFonts w:hint="cs"/>
          <w:rtl/>
        </w:rPr>
        <w:t xml:space="preserve">وأصدرت محكمة </w:t>
      </w:r>
      <w:proofErr w:type="spellStart"/>
      <w:r>
        <w:rPr>
          <w:rFonts w:hint="cs"/>
          <w:rtl/>
        </w:rPr>
        <w:t>بشاور</w:t>
      </w:r>
      <w:proofErr w:type="spellEnd"/>
      <w:r>
        <w:rPr>
          <w:rFonts w:hint="cs"/>
          <w:rtl/>
        </w:rPr>
        <w:t xml:space="preserve"> العليا حكما بشأن هذه المسألة في آذار/مارس 2004، أعلنت فيه عدم قانونية جميع القيود التي تفرض على حق المرأة في التصويت. غير أن المحكمة لم تلغ الانتخابات التي منعت فيها المرأة من التصويت.</w:t>
      </w:r>
    </w:p>
    <w:p w:rsidR="008F5055" w:rsidRDefault="008F5055" w:rsidP="008F5055">
      <w:pPr>
        <w:pStyle w:val="SingleTxt"/>
        <w:rPr>
          <w:rFonts w:hint="cs"/>
          <w:rtl/>
        </w:rPr>
      </w:pPr>
      <w:r>
        <w:rPr>
          <w:rFonts w:hint="cs"/>
          <w:rtl/>
        </w:rPr>
        <w:t>154-</w:t>
      </w:r>
      <w:r>
        <w:rPr>
          <w:rFonts w:hint="cs"/>
          <w:rtl/>
        </w:rPr>
        <w:tab/>
        <w:t>وقد توجد حالات حيث لا تشجع الأسر المحافظة النساء على العمل في وظيفة في مجال السياسة أو الانضمام إلى منظمة غير حكومية. غير أن انتشار التعليم، وتيسير الوصول إلى تكنولوجيا المعلومات والضغوط الاقتصادية أدت إلى حدوث تغيير في هذا الصدد أيضا.</w:t>
      </w:r>
    </w:p>
    <w:p w:rsidR="008F5055" w:rsidRPr="008F5055" w:rsidRDefault="008F5055" w:rsidP="008F5055">
      <w:pPr>
        <w:pStyle w:val="SingleTxt"/>
        <w:spacing w:after="0" w:line="120" w:lineRule="exact"/>
        <w:rPr>
          <w:rFonts w:hint="cs"/>
          <w:sz w:val="10"/>
          <w:rtl/>
        </w:rPr>
      </w:pPr>
    </w:p>
    <w:p w:rsidR="008F5055" w:rsidRDefault="008F5055" w:rsidP="008F50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اتباع ممارسات توظيف موجهة نحو المرأة تكون مفتوحة وخاضعة للطعن</w:t>
      </w:r>
    </w:p>
    <w:p w:rsidR="008F5055" w:rsidRDefault="008F5055" w:rsidP="00B821AB">
      <w:pPr>
        <w:pStyle w:val="SingleTxt"/>
        <w:rPr>
          <w:rFonts w:hint="cs"/>
          <w:rtl/>
        </w:rPr>
      </w:pPr>
      <w:r>
        <w:rPr>
          <w:rFonts w:hint="cs"/>
          <w:rtl/>
        </w:rPr>
        <w:t>155-</w:t>
      </w:r>
      <w:r>
        <w:rPr>
          <w:rFonts w:hint="cs"/>
          <w:rtl/>
        </w:rPr>
        <w:tab/>
        <w:t>أهم امتحانات الدخول للوظائف العليا هو الامتحان المركزي للخدمات العليا. و</w:t>
      </w:r>
      <w:r w:rsidR="00B821AB">
        <w:rPr>
          <w:rFonts w:hint="cs"/>
          <w:rtl/>
        </w:rPr>
        <w:t>تعقد</w:t>
      </w:r>
      <w:r>
        <w:rPr>
          <w:rFonts w:hint="cs"/>
          <w:rtl/>
        </w:rPr>
        <w:t xml:space="preserve"> اللجنة الاتحادية للخدمات العامة هذا الامتحان كل سنة لتوظيف الموظفين في 12 من كوادر الخدمة: الحسابات؛ والتجارة؛ والجمارك؛ وإدارة المناطق؛ والشؤون الخارجية؛ وضريبة الدخل؛ والإعلام؛ والأراضي العسكرية والمعسكرات؛ وإدارة المكاتب؛ والشرطة؛ والبريد والسكك الحديدية.</w:t>
      </w:r>
    </w:p>
    <w:p w:rsidR="008F5055" w:rsidRDefault="008F5055" w:rsidP="008F5055">
      <w:pPr>
        <w:pStyle w:val="SingleTxt"/>
        <w:rPr>
          <w:rFonts w:hint="cs"/>
          <w:rtl/>
        </w:rPr>
      </w:pPr>
      <w:r>
        <w:rPr>
          <w:rFonts w:hint="cs"/>
          <w:rtl/>
        </w:rPr>
        <w:t>156-</w:t>
      </w:r>
      <w:r>
        <w:rPr>
          <w:rFonts w:hint="cs"/>
          <w:rtl/>
        </w:rPr>
        <w:tab/>
        <w:t xml:space="preserve">والامتحان مفتوح أمام جميع مواطني باكستان من حملة شهادة البكالوريوس على الأقل، الذين لا يزيد عمرهم عن 21 سنة. ولا توجد حواجز أمام المرأة للتقدم للامتحان. ولم تكن هناك حصة مخصصة للمرأة حتى سنة 2005. وتبين الإحصاءات أن عددا متزايدا من النساء يتقدمن للامتحان (في سنة 2001، كانت المرأة تمثل 15 في المائة من المتقدمين و 18 في المائة من الذين وقع عليهم الاختيار، في نهاية الأمر). وسوف تحجز 10 في المائة من المقاعد للمرأة في الدوائر المركزية العليا وذلك كجزء من خطة عمل الإصلاح </w:t>
      </w:r>
      <w:proofErr w:type="spellStart"/>
      <w:r>
        <w:rPr>
          <w:rFonts w:hint="cs"/>
          <w:rtl/>
        </w:rPr>
        <w:t>الجنساني</w:t>
      </w:r>
      <w:proofErr w:type="spellEnd"/>
      <w:r>
        <w:rPr>
          <w:rFonts w:hint="cs"/>
          <w:rtl/>
        </w:rPr>
        <w:t xml:space="preserve">. وسوف يتحول هذا إلى زيادة عدد الملتحقات </w:t>
      </w:r>
      <w:r w:rsidR="00A84055">
        <w:rPr>
          <w:rFonts w:hint="cs"/>
          <w:rtl/>
        </w:rPr>
        <w:t>بالبيروقراطية العليا.</w:t>
      </w:r>
    </w:p>
    <w:p w:rsidR="00A84055" w:rsidRDefault="00A84055" w:rsidP="008F5055">
      <w:pPr>
        <w:pStyle w:val="SingleTxt"/>
        <w:rPr>
          <w:rFonts w:hint="cs"/>
          <w:rtl/>
        </w:rPr>
      </w:pPr>
      <w:r>
        <w:rPr>
          <w:rFonts w:hint="cs"/>
          <w:rtl/>
        </w:rPr>
        <w:t>157-</w:t>
      </w:r>
      <w:r>
        <w:rPr>
          <w:rFonts w:hint="cs"/>
          <w:rtl/>
        </w:rPr>
        <w:tab/>
        <w:t>وتتسم عملية الاختيار في الدوائر العليا بالشفافية وتخضع للطعن. ويقوم المرشحون الذين يشعرون بالتمييز ضدهم لأي سبب من الأسباب، عادة بالطعن في القرارات التي اتخذتها اللجنة الاتحادية للخدمة العامة وقد ألغت المحاكم قرارات اللجنة التي بينت أنها تعسفية أو تمييزية، في مناسبات عديدة.</w:t>
      </w:r>
    </w:p>
    <w:p w:rsidR="00A84055" w:rsidRDefault="00A84055" w:rsidP="008F5055">
      <w:pPr>
        <w:pStyle w:val="SingleTxt"/>
        <w:rPr>
          <w:rFonts w:hint="cs"/>
          <w:rtl/>
        </w:rPr>
      </w:pPr>
      <w:r>
        <w:rPr>
          <w:rFonts w:hint="cs"/>
          <w:rtl/>
        </w:rPr>
        <w:t>158-</w:t>
      </w:r>
      <w:r>
        <w:rPr>
          <w:rFonts w:hint="cs"/>
          <w:rtl/>
        </w:rPr>
        <w:tab/>
        <w:t>واللجنة الاتحادية للخدمات العامة مخولة أيضا بسلطة تعيين أعضاء البيروقراطية العليا في الوظائف غير المشمولة بامتحان الدوائر المركزية العليا، وتسمى بالوظائف الخارجة عن الكادر وهنا أيضا لا توجد حواجز أمام تقدم المرأة لهذه الوظائف واختيارها لشغلها. وفي هذه الحالة أيضا، للمرشحين الحرية التامة في اللجوء إلى المحاكم للطعن في جميع قرارات اللجنة التي يشعر المرشحون أنها تعسفية أو تمييزية.</w:t>
      </w:r>
    </w:p>
    <w:p w:rsidR="00A84055" w:rsidRDefault="00A84055" w:rsidP="009E10E9">
      <w:pPr>
        <w:pStyle w:val="SingleTxt"/>
        <w:rPr>
          <w:rFonts w:hint="cs"/>
          <w:rtl/>
        </w:rPr>
      </w:pPr>
      <w:r>
        <w:rPr>
          <w:rFonts w:hint="cs"/>
          <w:rtl/>
        </w:rPr>
        <w:t>159-</w:t>
      </w:r>
      <w:r>
        <w:rPr>
          <w:rFonts w:hint="cs"/>
          <w:rtl/>
        </w:rPr>
        <w:tab/>
        <w:t xml:space="preserve">وتوجد في جميع المقاطعات جهات </w:t>
      </w:r>
      <w:proofErr w:type="spellStart"/>
      <w:r>
        <w:rPr>
          <w:rFonts w:hint="cs"/>
          <w:rtl/>
        </w:rPr>
        <w:t>تظيرة</w:t>
      </w:r>
      <w:proofErr w:type="spellEnd"/>
      <w:r>
        <w:rPr>
          <w:rFonts w:hint="cs"/>
          <w:rtl/>
        </w:rPr>
        <w:t xml:space="preserve"> للجنة الاتحادية للخدمة العامة تسمى باللجان الإقليمية للخدمة العامة ولديها سلطة تعيين الأشخاص في الخدمات الإقليمية المختلفة. وتتميز القوانين المتصلة بهذه اللجان بعدم التمييز أيضا. وي</w:t>
      </w:r>
      <w:r w:rsidR="009E10E9">
        <w:rPr>
          <w:rFonts w:hint="cs"/>
          <w:rtl/>
        </w:rPr>
        <w:t>توفر</w:t>
      </w:r>
      <w:r>
        <w:rPr>
          <w:rFonts w:hint="cs"/>
          <w:rtl/>
        </w:rPr>
        <w:t xml:space="preserve"> للمرشحين/لموظفي الحكومة الإمكانيات الكاملة للجوء إلى المحاكم ودور القضاء المختلفة سعيا إلى الإنصاف إذا شعروا بالتمييز ضدهم.</w:t>
      </w:r>
    </w:p>
    <w:p w:rsidR="00A84055" w:rsidRPr="00A84055" w:rsidRDefault="00A84055" w:rsidP="00A84055">
      <w:pPr>
        <w:pStyle w:val="SingleTxt"/>
        <w:spacing w:after="0" w:line="120" w:lineRule="exact"/>
        <w:rPr>
          <w:rFonts w:hint="cs"/>
          <w:sz w:val="10"/>
          <w:rtl/>
        </w:rPr>
      </w:pPr>
    </w:p>
    <w:p w:rsidR="00A84055" w:rsidRDefault="00A84055" w:rsidP="00A840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مشاركة المرأة في جميع المنظمات والجمعيات غير الحكومية التي تعنى بالحياة العامة والسياسية للبلد</w:t>
      </w:r>
    </w:p>
    <w:p w:rsidR="00A84055" w:rsidRDefault="00A84055" w:rsidP="00A840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كفالة سن تشريعات فعالة تحظر التمييز ضد المرأة</w:t>
      </w:r>
    </w:p>
    <w:p w:rsidR="00A84055" w:rsidRDefault="00A84055" w:rsidP="00A840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تشجيع المنظمات غير الحكومية والرابطات العامة والسياسية على اعتماد استراتيجيات تشجع تمثيل المرأة</w:t>
      </w:r>
    </w:p>
    <w:p w:rsidR="00A84055" w:rsidRDefault="00A84055" w:rsidP="009E10E9">
      <w:pPr>
        <w:pStyle w:val="SingleTxt"/>
        <w:rPr>
          <w:rFonts w:hint="cs"/>
          <w:rtl/>
        </w:rPr>
      </w:pPr>
      <w:r>
        <w:rPr>
          <w:rFonts w:hint="cs"/>
          <w:rtl/>
        </w:rPr>
        <w:t>160-</w:t>
      </w:r>
      <w:r>
        <w:rPr>
          <w:rFonts w:hint="cs"/>
          <w:rtl/>
        </w:rPr>
        <w:tab/>
        <w:t>سبق أن ذكرنا أنه ليست هناك قوانين تحظر التمييز ضد المرأة. ويحدد الدستور الاتجاه العام في المادتين 25 و 27. ولا تتوفر معلومات عما إذا كانت المنظمات غير الحكومية والمنظمات الأخرى المعنية بالحياة السياسية والعامة للبلد تميز ضد المرأة. غير أن ما ينتقل من أنباء يشير إلى عدم وجود تمييز ضد المرأة في المنظمات غير الحكومية، من حيث التعيين والتر</w:t>
      </w:r>
      <w:r w:rsidR="009E10E9">
        <w:rPr>
          <w:rFonts w:hint="cs"/>
          <w:rtl/>
        </w:rPr>
        <w:t>ق</w:t>
      </w:r>
      <w:r>
        <w:rPr>
          <w:rFonts w:hint="cs"/>
          <w:rtl/>
        </w:rPr>
        <w:t>ي</w:t>
      </w:r>
      <w:r w:rsidR="009E10E9">
        <w:rPr>
          <w:rFonts w:hint="cs"/>
          <w:rtl/>
        </w:rPr>
        <w:t>ة</w:t>
      </w:r>
      <w:r>
        <w:rPr>
          <w:rFonts w:hint="cs"/>
          <w:rtl/>
        </w:rPr>
        <w:t xml:space="preserve"> والاستحقاقات، وقد سبق إيضاح الحالة بالنسبة للأحزاب السياسية.</w:t>
      </w:r>
    </w:p>
    <w:p w:rsidR="00A84055" w:rsidRDefault="00A84055" w:rsidP="00A84055">
      <w:pPr>
        <w:pStyle w:val="SingleTxt"/>
        <w:rPr>
          <w:rFonts w:hint="cs"/>
          <w:rtl/>
        </w:rPr>
      </w:pPr>
      <w:r>
        <w:rPr>
          <w:rFonts w:hint="cs"/>
          <w:rtl/>
        </w:rPr>
        <w:t>161-</w:t>
      </w:r>
      <w:r>
        <w:rPr>
          <w:rFonts w:hint="cs"/>
          <w:rtl/>
        </w:rPr>
        <w:tab/>
        <w:t>وتعتبر المنظمات غير الحكومية، وخاصة التي تعمل منها في مجال التنمية والدعوة، أسرع القطاعات نموا ونشاطا في المجتمع الباكستاني، من جوانب كثيرة. وأهم سمات هذه المنظمات غير الحكومية، كثافة تمثيل المرأة والمناصب العليا التي تشغلها في عدد كبير منها. وحتى داخل مجتمع المنظمات غير الحكومية، نجد أعلى نسبة من العضوات والنساء في مجالس إدارة المنظمات الداعية لحقوق الإنسان.</w:t>
      </w:r>
    </w:p>
    <w:p w:rsidR="00A84055" w:rsidRPr="00A84055" w:rsidRDefault="00A84055" w:rsidP="00A84055">
      <w:pPr>
        <w:pStyle w:val="SingleTxt"/>
        <w:spacing w:after="0" w:line="120" w:lineRule="exact"/>
        <w:rPr>
          <w:rFonts w:hint="cs"/>
          <w:sz w:val="10"/>
          <w:rtl/>
        </w:rPr>
      </w:pPr>
    </w:p>
    <w:p w:rsidR="00A84055" w:rsidRDefault="00A84055" w:rsidP="00A840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وصف أ</w:t>
      </w:r>
      <w:r w:rsidR="009E10E9">
        <w:rPr>
          <w:rFonts w:hint="cs"/>
          <w:rtl/>
        </w:rPr>
        <w:t>ن</w:t>
      </w:r>
      <w:r>
        <w:rPr>
          <w:rFonts w:hint="cs"/>
          <w:rtl/>
        </w:rPr>
        <w:t>واع صياغة السياسات، بما في ذلك ما يرتبط منها ببرامج التنمية التي تشارك المرأة فيها ومستوى تلك المشاركة ومداها</w:t>
      </w:r>
    </w:p>
    <w:p w:rsidR="00A84055" w:rsidRDefault="00A84055" w:rsidP="00A84055">
      <w:pPr>
        <w:pStyle w:val="SingleTxt"/>
        <w:rPr>
          <w:rFonts w:hint="cs"/>
          <w:rtl/>
        </w:rPr>
      </w:pPr>
      <w:r>
        <w:rPr>
          <w:rFonts w:hint="cs"/>
          <w:rtl/>
        </w:rPr>
        <w:t>162-</w:t>
      </w:r>
      <w:r>
        <w:rPr>
          <w:rFonts w:hint="cs"/>
          <w:rtl/>
        </w:rPr>
        <w:tab/>
        <w:t>وردت معلومات تفصيلية عن المستويات المختلفة لصياغة السياسات في الفقرات 125-145. وترد أدناه معلومات عن صياغة برامج التنمية والسياسات المتصلة بها.</w:t>
      </w:r>
    </w:p>
    <w:p w:rsidR="00A84055" w:rsidRDefault="00A84055" w:rsidP="00A84055">
      <w:pPr>
        <w:pStyle w:val="SingleTxt"/>
        <w:rPr>
          <w:rFonts w:hint="cs"/>
          <w:rtl/>
        </w:rPr>
      </w:pPr>
      <w:r>
        <w:rPr>
          <w:rFonts w:hint="cs"/>
          <w:rtl/>
        </w:rPr>
        <w:t>163-</w:t>
      </w:r>
      <w:r>
        <w:rPr>
          <w:rFonts w:hint="cs"/>
          <w:rtl/>
        </w:rPr>
        <w:tab/>
        <w:t xml:space="preserve">ويعتبر التخطيط الإنمائي مهمة شعبة التخطيط بباكستان. وتسعى الحكومة إلى العناية بالشواغل الإنمائية لجميع مواطني باكستان وجميع قطاعات سكان باكستان، لم يتم بعد إنشاء جهاز مؤسسي محدد لإدماج شواغل المرأة أو أي قطاع آخر من المجتمع في صياغة السياسات. بيد أن شعبة التخطيط بباكستان أصدرت تعليمات إلى جميع الوزارات/الشعب بالتشديد بصورة خاصة على النهوض بالمرأة في جميع المشاريع. وبالإضافة إلى ذلك، أدرجت مقاطعة </w:t>
      </w:r>
      <w:proofErr w:type="spellStart"/>
      <w:r>
        <w:rPr>
          <w:rFonts w:hint="cs"/>
          <w:rtl/>
        </w:rPr>
        <w:t>بالوشستان</w:t>
      </w:r>
      <w:proofErr w:type="spellEnd"/>
      <w:r>
        <w:rPr>
          <w:rFonts w:hint="cs"/>
          <w:rtl/>
        </w:rPr>
        <w:t xml:space="preserve"> مرفقا عن تقييم الأثر </w:t>
      </w:r>
      <w:proofErr w:type="spellStart"/>
      <w:r>
        <w:rPr>
          <w:rFonts w:hint="cs"/>
          <w:rtl/>
        </w:rPr>
        <w:t>الجنساني</w:t>
      </w:r>
      <w:proofErr w:type="spellEnd"/>
      <w:r>
        <w:rPr>
          <w:rFonts w:hint="cs"/>
          <w:rtl/>
        </w:rPr>
        <w:t xml:space="preserve"> للنموذج الأول للجنة التخطيط وهو الوثيقة الرئيسية لصياغة المشاريع لحكومة باكستان. وتبذل الجهود لاعتماد هذا المرفق في المقاطعات الثلاث الأخرى وعلى الصعيد الاتحادي كذلك. وسوف يُسهم ذلك في جعل عملية صياغة السياسات الإنمائية أكثر وعيا بالجانب </w:t>
      </w:r>
      <w:proofErr w:type="spellStart"/>
      <w:r>
        <w:rPr>
          <w:rFonts w:hint="cs"/>
          <w:rtl/>
        </w:rPr>
        <w:t>الجنساني</w:t>
      </w:r>
      <w:proofErr w:type="spellEnd"/>
      <w:r>
        <w:rPr>
          <w:rFonts w:hint="cs"/>
          <w:rtl/>
        </w:rPr>
        <w:t>.</w:t>
      </w:r>
    </w:p>
    <w:p w:rsidR="00A84055" w:rsidRDefault="00A84055" w:rsidP="00A84055">
      <w:pPr>
        <w:pStyle w:val="SingleTxt"/>
        <w:rPr>
          <w:rFonts w:hint="cs"/>
          <w:rtl/>
        </w:rPr>
      </w:pPr>
      <w:r>
        <w:rPr>
          <w:rFonts w:hint="cs"/>
          <w:rtl/>
        </w:rPr>
        <w:t>164-</w:t>
      </w:r>
      <w:r>
        <w:rPr>
          <w:rFonts w:hint="cs"/>
          <w:rtl/>
        </w:rPr>
        <w:tab/>
        <w:t>وتمارس المنظمات غير الحكومية تأثيرا غير مباشر على أولويات التخطيط الحكومي من خلال منشوراتها. وتسعى وزارة تنمية المرأة من جانبها إلى كفالة أن تولي السياسات الحكومية المتصلة بالتنمية الاعتبار الواجب لشواغل المرأة في باكستان. وطلبت الوزارة، في هذا الصدد، إجراء تحليل جنساني تفصيلي لوثيقة السياسات الرئيسية لحكومة باكستان الخاصة بمكافحة الفقر وورقة استراتيجية الحد من الفقر.</w:t>
      </w:r>
    </w:p>
    <w:p w:rsidR="00A84055" w:rsidRDefault="00A84055" w:rsidP="00A84055">
      <w:pPr>
        <w:pStyle w:val="SingleTxt"/>
        <w:rPr>
          <w:rFonts w:hint="cs"/>
          <w:rtl/>
        </w:rPr>
      </w:pPr>
      <w:r>
        <w:rPr>
          <w:rFonts w:hint="cs"/>
          <w:rtl/>
        </w:rPr>
        <w:t>165-</w:t>
      </w:r>
      <w:r>
        <w:rPr>
          <w:rFonts w:hint="cs"/>
          <w:rtl/>
        </w:rPr>
        <w:tab/>
        <w:t xml:space="preserve">وكما سبق ذكره، تمارس حكومات المناطق سلطة وضع الميزانيات والاضطلاع بخطط التنمية في إطار خطة نقل السلطة، وتشترط القواعد المالية الصادرة </w:t>
      </w:r>
      <w:r w:rsidR="00BB487D">
        <w:rPr>
          <w:rFonts w:hint="cs"/>
          <w:rtl/>
        </w:rPr>
        <w:t xml:space="preserve">إلى الحكومات المحلية أن يقوم العمدة باستشارة المجموعات النسائية </w:t>
      </w:r>
      <w:r w:rsidR="009E10E9">
        <w:rPr>
          <w:rFonts w:hint="cs"/>
          <w:rtl/>
        </w:rPr>
        <w:t>و</w:t>
      </w:r>
      <w:r w:rsidR="00BB487D">
        <w:rPr>
          <w:rFonts w:hint="cs"/>
          <w:rtl/>
        </w:rPr>
        <w:t>المنظمات غير الحكومية وعضوات المجالس قبل صياغة الميزانية. ويجب أيضا نشر وثيقة الميزانية قبل الاعتماد بثلاثة شهور لإتاحة الفرصة للمناقشة والتعديل.</w:t>
      </w:r>
    </w:p>
    <w:p w:rsidR="00BB487D" w:rsidRPr="00BB487D" w:rsidRDefault="00BB487D" w:rsidP="00BB487D">
      <w:pPr>
        <w:pStyle w:val="SingleTxt"/>
        <w:spacing w:after="0" w:line="120" w:lineRule="exact"/>
        <w:rPr>
          <w:rFonts w:hint="cs"/>
          <w:sz w:val="10"/>
          <w:rtl/>
        </w:rPr>
      </w:pPr>
    </w:p>
    <w:p w:rsidR="00BB487D" w:rsidRDefault="00BB487D" w:rsidP="00BB48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تحليل مدى كفالة الدولة الطرف استشارة المنظمات غير الحكومية وأثر مشورتها على جميع مستويات صياغة وتنفيذ سياسة الحكومة</w:t>
      </w:r>
    </w:p>
    <w:p w:rsidR="00BB487D" w:rsidRDefault="00BB487D" w:rsidP="009E10E9">
      <w:pPr>
        <w:pStyle w:val="SingleTxt"/>
        <w:rPr>
          <w:rFonts w:hint="cs"/>
          <w:rtl/>
        </w:rPr>
      </w:pPr>
      <w:r>
        <w:rPr>
          <w:rFonts w:hint="cs"/>
          <w:rtl/>
        </w:rPr>
        <w:t>166-</w:t>
      </w:r>
      <w:r>
        <w:rPr>
          <w:rFonts w:hint="cs"/>
          <w:rtl/>
        </w:rPr>
        <w:tab/>
        <w:t>لا توجد أجهزة محددة للتشاور مع المنظمات غير الحكومية على مختلف مستويات صياغة السياسات وتنفيذها. و</w:t>
      </w:r>
      <w:r w:rsidR="009E10E9">
        <w:rPr>
          <w:rFonts w:hint="cs"/>
          <w:rtl/>
        </w:rPr>
        <w:t>ي</w:t>
      </w:r>
      <w:r>
        <w:rPr>
          <w:rFonts w:hint="cs"/>
          <w:rtl/>
        </w:rPr>
        <w:t xml:space="preserve">تزايد الدور الذي تقوم به المنظمات غير الحكومية من حيث صياغة السياسات. ولم يصبح هذا الدور نظاما ثابتا بعد. غير أن الدراسات التي تقوم بها المنظمات غير الحكومية عن جوانب الحكم المختلفة، تمثل </w:t>
      </w:r>
      <w:proofErr w:type="spellStart"/>
      <w:r>
        <w:rPr>
          <w:rFonts w:hint="cs"/>
          <w:rtl/>
        </w:rPr>
        <w:t>مُدخلات</w:t>
      </w:r>
      <w:proofErr w:type="spellEnd"/>
      <w:r>
        <w:rPr>
          <w:rFonts w:hint="cs"/>
          <w:rtl/>
        </w:rPr>
        <w:t xml:space="preserve"> في سياسات الحكومة وإجراءاتها، بصورة متزايدة. وعلى أي حال، تقرأ التقارير والدراسات التي تعدها المنظمات غير الحكومية على نطاق واسع في الدوائر الحكومية. ويلاحظ في هذا الصدد أن هناك بعض كيانات داخل الحكومة لها صلة طبيعية بالمنظمات غير الحكومية، ومنها، على سبيل المثال، وزارة تنمية المرأة ووزارة الصحة ووزارة التعليم.</w:t>
      </w:r>
    </w:p>
    <w:p w:rsidR="00BB487D" w:rsidRDefault="00BB487D" w:rsidP="00BB487D">
      <w:pPr>
        <w:pStyle w:val="SingleTxt"/>
        <w:rPr>
          <w:rFonts w:hint="cs"/>
          <w:rtl/>
        </w:rPr>
      </w:pPr>
      <w:r>
        <w:rPr>
          <w:rFonts w:hint="cs"/>
          <w:rtl/>
        </w:rPr>
        <w:t>167-</w:t>
      </w:r>
      <w:r>
        <w:rPr>
          <w:rFonts w:hint="cs"/>
          <w:rtl/>
        </w:rPr>
        <w:tab/>
        <w:t>وكانت خطة العمل الوطنية للمرأة والسياسة الوطنية للمرأة نتيجة عملية تشاور مستفيضة شارك فيها جميع أصحاب المصلحة بما في ذلك المنظمات غير الحكومية، التي شاركت بالمثل في الخطة الوطنية للصحة والخطة الوطنية للتعليم، سواء في مرحلة صياغة السياسات أو تنفيذها.</w:t>
      </w:r>
    </w:p>
    <w:p w:rsidR="00BB487D" w:rsidRDefault="00BB487D" w:rsidP="00BB487D">
      <w:pPr>
        <w:pStyle w:val="SingleTxt"/>
        <w:rPr>
          <w:rFonts w:hint="cs"/>
          <w:rtl/>
        </w:rPr>
      </w:pPr>
      <w:r>
        <w:rPr>
          <w:rFonts w:hint="cs"/>
          <w:rtl/>
        </w:rPr>
        <w:t>168-</w:t>
      </w:r>
      <w:r>
        <w:rPr>
          <w:rFonts w:hint="cs"/>
          <w:rtl/>
        </w:rPr>
        <w:tab/>
        <w:t>وهناك اتجاه متنامي من جانب الحكومة إلى إشراك المنظمات غير الحكومية في تنفيذ البرامج. وتستخدم عدة مشاريع في مجال تخفيف حدة الفقر وتنمية المهارات والصحة والتعليم المنظمات غير الحكومية كشركاء في التنفيذ وحتى كوكالات تنفيذية على وجه الحصر.</w:t>
      </w:r>
    </w:p>
    <w:p w:rsidR="00BB487D" w:rsidRDefault="00BB487D" w:rsidP="00BB487D">
      <w:pPr>
        <w:pStyle w:val="SingleTxt"/>
        <w:rPr>
          <w:rFonts w:hint="cs"/>
          <w:rtl/>
        </w:rPr>
      </w:pPr>
      <w:r>
        <w:rPr>
          <w:rFonts w:hint="cs"/>
          <w:rtl/>
        </w:rPr>
        <w:t>169-</w:t>
      </w:r>
      <w:r>
        <w:rPr>
          <w:rFonts w:hint="cs"/>
          <w:rtl/>
        </w:rPr>
        <w:tab/>
        <w:t>وتقوم وزارة تنمية المرأة بتمويل مقترحات المنظمات غير الحكومية الخاصة بمشاريع مختلفة تتصل بحقوق المرأة.</w:t>
      </w:r>
    </w:p>
    <w:p w:rsidR="00BB487D" w:rsidRPr="00BB487D" w:rsidRDefault="00BB487D" w:rsidP="00BB487D">
      <w:pPr>
        <w:pStyle w:val="SingleTxt"/>
        <w:spacing w:after="0" w:line="120" w:lineRule="exact"/>
        <w:rPr>
          <w:rFonts w:hint="cs"/>
          <w:sz w:val="10"/>
          <w:rtl/>
        </w:rPr>
      </w:pPr>
    </w:p>
    <w:p w:rsidR="00BB487D" w:rsidRDefault="00BB487D" w:rsidP="00BB48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مشاركة المرأة في السلطة القضائية</w:t>
      </w:r>
    </w:p>
    <w:p w:rsidR="00BB487D" w:rsidRDefault="00BB487D" w:rsidP="00BB487D">
      <w:pPr>
        <w:pStyle w:val="SingleTxt"/>
        <w:rPr>
          <w:rFonts w:hint="cs"/>
          <w:rtl/>
        </w:rPr>
      </w:pPr>
      <w:r>
        <w:rPr>
          <w:rFonts w:hint="cs"/>
          <w:rtl/>
        </w:rPr>
        <w:t>170-</w:t>
      </w:r>
      <w:r>
        <w:rPr>
          <w:rFonts w:hint="cs"/>
          <w:rtl/>
        </w:rPr>
        <w:tab/>
        <w:t>لا توجد حواجز في طريق انضمام المرأة إلى المحاماة أو القضاء. وتعي</w:t>
      </w:r>
      <w:r w:rsidR="009E10E9">
        <w:rPr>
          <w:rFonts w:hint="cs"/>
          <w:rtl/>
        </w:rPr>
        <w:t>َّ</w:t>
      </w:r>
      <w:r>
        <w:rPr>
          <w:rFonts w:hint="cs"/>
          <w:rtl/>
        </w:rPr>
        <w:t>ن المرأة كقاضية في محاكم القضاء الدنيا ولكن نسبة القاضيات أقل كثيرا من نسبة القضاة. وتتخذ الحكومة تدابير لتحقيق توازن بتعيين النساء في مناصب القضاة. وتم مؤخرا تعيين قاضيات في المحاكم العليا. ويعتبر هذا طفرة هامة للمرأة في المجال القانوني. وكانت رابطة المحاميات الباكستانيات من المنظمات غير الحكومية الهامة التي تبنت مسألة النهوض بدور المرأة في المجال القانوني ونشر المعارف القانونية في البلد.</w:t>
      </w:r>
    </w:p>
    <w:p w:rsidR="00BB487D" w:rsidRDefault="00BB487D" w:rsidP="00BB487D">
      <w:pPr>
        <w:pStyle w:val="SingleTxt"/>
        <w:rPr>
          <w:rFonts w:hint="cs"/>
          <w:rtl/>
        </w:rPr>
      </w:pPr>
      <w:r>
        <w:rPr>
          <w:rFonts w:hint="cs"/>
          <w:rtl/>
        </w:rPr>
        <w:t>171-</w:t>
      </w:r>
      <w:r>
        <w:rPr>
          <w:rFonts w:hint="cs"/>
          <w:rtl/>
        </w:rPr>
        <w:tab/>
        <w:t xml:space="preserve">وفي سنة 2002، انتخب أحد القضاة الباكستانيين في المحكمة العليا لشغل منصب في المحكمة الجنائية الدولية لرواندا. وعند استقالته، رشحت حكومة باكستان قاضية لدى المحكمة العليا في </w:t>
      </w:r>
      <w:proofErr w:type="spellStart"/>
      <w:r>
        <w:rPr>
          <w:rFonts w:hint="cs"/>
          <w:rtl/>
        </w:rPr>
        <w:t>بشاور</w:t>
      </w:r>
      <w:proofErr w:type="spellEnd"/>
      <w:r>
        <w:rPr>
          <w:rFonts w:hint="cs"/>
          <w:rtl/>
        </w:rPr>
        <w:t xml:space="preserve"> لتحل محله.</w:t>
      </w:r>
    </w:p>
    <w:p w:rsidR="00BB487D" w:rsidRDefault="00BB487D" w:rsidP="00BB487D">
      <w:pPr>
        <w:pStyle w:val="SingleTxt"/>
        <w:rPr>
          <w:rFonts w:hint="cs"/>
          <w:rtl/>
        </w:rPr>
      </w:pPr>
      <w:r>
        <w:rPr>
          <w:rFonts w:hint="cs"/>
          <w:rtl/>
        </w:rPr>
        <w:t>172-</w:t>
      </w:r>
      <w:r>
        <w:rPr>
          <w:rFonts w:hint="cs"/>
          <w:rtl/>
        </w:rPr>
        <w:tab/>
        <w:t>وفيما يلي معلومات عن القاضيات الأقدم في باكستان:</w:t>
      </w:r>
    </w:p>
    <w:p w:rsidR="00BB487D" w:rsidRPr="00BB487D" w:rsidRDefault="00BB487D" w:rsidP="00BB487D">
      <w:pPr>
        <w:pStyle w:val="SingleTxt"/>
        <w:spacing w:after="0" w:line="120" w:lineRule="exact"/>
        <w:rPr>
          <w:rFonts w:hint="cs"/>
          <w:sz w:val="10"/>
          <w:rtl/>
        </w:rPr>
      </w:pPr>
    </w:p>
    <w:p w:rsidR="00BB487D" w:rsidRDefault="00BB487D" w:rsidP="00BB487D">
      <w:pPr>
        <w:pStyle w:val="SingleTxt"/>
        <w:spacing w:after="0"/>
        <w:rPr>
          <w:rFonts w:hint="cs"/>
          <w:rtl/>
        </w:rPr>
      </w:pPr>
      <w:r>
        <w:rPr>
          <w:rFonts w:hint="cs"/>
          <w:rtl/>
        </w:rPr>
        <w:t>الجدول 7-11</w:t>
      </w:r>
    </w:p>
    <w:p w:rsidR="00BB487D" w:rsidRPr="00BB487D" w:rsidRDefault="00BB487D" w:rsidP="00BB487D">
      <w:pPr>
        <w:pStyle w:val="SingleTxt"/>
        <w:rPr>
          <w:rFonts w:hint="cs"/>
          <w:b/>
          <w:bCs/>
          <w:rtl/>
        </w:rPr>
      </w:pPr>
      <w:r w:rsidRPr="00BB487D">
        <w:rPr>
          <w:rFonts w:hint="cs"/>
          <w:b/>
          <w:bCs/>
          <w:rtl/>
        </w:rPr>
        <w:t>القاضيات في المحكمة العليا ومحاكم الاستئناف (بيانات سنة 1998)</w:t>
      </w:r>
    </w:p>
    <w:p w:rsidR="00BB487D" w:rsidRPr="00BB487D" w:rsidRDefault="00BB487D" w:rsidP="00BB487D">
      <w:pPr>
        <w:pStyle w:val="SingleTxt"/>
        <w:spacing w:after="0" w:line="120" w:lineRule="exact"/>
        <w:rPr>
          <w:rFonts w:hint="cs"/>
          <w:sz w:val="10"/>
          <w:rtl/>
        </w:rPr>
      </w:pPr>
    </w:p>
    <w:tbl>
      <w:tblPr>
        <w:bidiVisual/>
        <w:tblW w:w="7320" w:type="dxa"/>
        <w:jc w:val="center"/>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9A0DC5" w:rsidRPr="009A0DC5">
        <w:tblPrEx>
          <w:tblCellMar>
            <w:top w:w="0" w:type="dxa"/>
            <w:bottom w:w="0" w:type="dxa"/>
          </w:tblCellMar>
        </w:tblPrEx>
        <w:trPr>
          <w:cantSplit/>
          <w:tblHeader/>
          <w:jc w:val="center"/>
        </w:trPr>
        <w:tc>
          <w:tcPr>
            <w:tcW w:w="2440" w:type="dxa"/>
            <w:tcBorders>
              <w:top w:val="single" w:sz="4" w:space="0" w:color="auto"/>
              <w:bottom w:val="single" w:sz="12" w:space="0" w:color="auto"/>
            </w:tcBorders>
            <w:shd w:val="clear" w:color="auto" w:fill="auto"/>
            <w:vAlign w:val="bottom"/>
          </w:tcPr>
          <w:p w:rsidR="009A0DC5" w:rsidRPr="009A0DC5" w:rsidRDefault="009A0DC5" w:rsidP="009A0DC5">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المناطق</w:t>
            </w:r>
          </w:p>
        </w:tc>
        <w:tc>
          <w:tcPr>
            <w:tcW w:w="2440" w:type="dxa"/>
            <w:tcBorders>
              <w:top w:val="single" w:sz="4" w:space="0" w:color="auto"/>
              <w:bottom w:val="single" w:sz="12" w:space="0" w:color="auto"/>
            </w:tcBorders>
            <w:shd w:val="clear" w:color="auto" w:fill="auto"/>
            <w:vAlign w:val="bottom"/>
          </w:tcPr>
          <w:p w:rsidR="009A0DC5" w:rsidRPr="009A0DC5" w:rsidRDefault="009A0DC5" w:rsidP="009A0DC5">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قاضيات محاكم الاستئناف</w:t>
            </w:r>
          </w:p>
        </w:tc>
        <w:tc>
          <w:tcPr>
            <w:tcW w:w="2440" w:type="dxa"/>
            <w:tcBorders>
              <w:top w:val="single" w:sz="4" w:space="0" w:color="auto"/>
              <w:bottom w:val="single" w:sz="12" w:space="0" w:color="auto"/>
            </w:tcBorders>
            <w:shd w:val="clear" w:color="auto" w:fill="auto"/>
            <w:vAlign w:val="bottom"/>
          </w:tcPr>
          <w:p w:rsidR="009A0DC5" w:rsidRPr="009A0DC5" w:rsidRDefault="009A0DC5" w:rsidP="009A0DC5">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قاضيات المحكمة العليا</w:t>
            </w:r>
          </w:p>
        </w:tc>
      </w:tr>
      <w:tr w:rsidR="009A0DC5" w:rsidRPr="009A0DC5">
        <w:tblPrEx>
          <w:tblCellMar>
            <w:top w:w="0" w:type="dxa"/>
            <w:bottom w:w="0" w:type="dxa"/>
          </w:tblCellMar>
        </w:tblPrEx>
        <w:trPr>
          <w:cantSplit/>
          <w:trHeight w:hRule="exact" w:val="115"/>
          <w:tblHeader/>
          <w:jc w:val="center"/>
        </w:trPr>
        <w:tc>
          <w:tcPr>
            <w:tcW w:w="2440" w:type="dxa"/>
            <w:tcBorders>
              <w:top w:val="single" w:sz="12" w:space="0" w:color="auto"/>
            </w:tcBorders>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rPr>
                <w:rFonts w:hint="cs"/>
                <w:sz w:val="16"/>
                <w:szCs w:val="24"/>
                <w:rtl/>
              </w:rPr>
            </w:pPr>
          </w:p>
        </w:tc>
        <w:tc>
          <w:tcPr>
            <w:tcW w:w="2440" w:type="dxa"/>
            <w:tcBorders>
              <w:top w:val="single" w:sz="12" w:space="0" w:color="auto"/>
            </w:tcBorders>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jc w:val="center"/>
              <w:rPr>
                <w:rFonts w:hint="cs"/>
                <w:sz w:val="16"/>
                <w:szCs w:val="24"/>
                <w:rtl/>
              </w:rPr>
            </w:pPr>
          </w:p>
        </w:tc>
        <w:tc>
          <w:tcPr>
            <w:tcW w:w="2440" w:type="dxa"/>
            <w:tcBorders>
              <w:top w:val="single" w:sz="12" w:space="0" w:color="auto"/>
            </w:tcBorders>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jc w:val="center"/>
              <w:rPr>
                <w:rFonts w:hint="cs"/>
                <w:sz w:val="16"/>
                <w:szCs w:val="24"/>
                <w:rtl/>
              </w:rPr>
            </w:pPr>
          </w:p>
        </w:tc>
      </w:tr>
      <w:tr w:rsidR="009A0DC5" w:rsidRPr="009A0DC5">
        <w:tblPrEx>
          <w:tblCellMar>
            <w:top w:w="0" w:type="dxa"/>
            <w:bottom w:w="0" w:type="dxa"/>
          </w:tblCellMar>
        </w:tblPrEx>
        <w:trPr>
          <w:cantSplit/>
          <w:jc w:val="center"/>
        </w:trPr>
        <w:tc>
          <w:tcPr>
            <w:tcW w:w="2440" w:type="dxa"/>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باكستان</w:t>
            </w:r>
          </w:p>
        </w:tc>
        <w:tc>
          <w:tcPr>
            <w:tcW w:w="2440" w:type="dxa"/>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jc w:val="center"/>
              <w:rPr>
                <w:rFonts w:hint="cs"/>
                <w:sz w:val="16"/>
                <w:szCs w:val="24"/>
                <w:rtl/>
              </w:rPr>
            </w:pPr>
            <w:r>
              <w:rPr>
                <w:rFonts w:hint="cs"/>
                <w:sz w:val="16"/>
                <w:szCs w:val="24"/>
                <w:rtl/>
              </w:rPr>
              <w:t>3</w:t>
            </w:r>
          </w:p>
        </w:tc>
        <w:tc>
          <w:tcPr>
            <w:tcW w:w="2440" w:type="dxa"/>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jc w:val="center"/>
              <w:rPr>
                <w:rFonts w:hint="cs"/>
                <w:sz w:val="16"/>
                <w:szCs w:val="24"/>
                <w:rtl/>
              </w:rPr>
            </w:pPr>
            <w:r>
              <w:rPr>
                <w:rFonts w:hint="cs"/>
                <w:sz w:val="16"/>
                <w:szCs w:val="24"/>
                <w:rtl/>
              </w:rPr>
              <w:t>صفر</w:t>
            </w:r>
          </w:p>
        </w:tc>
      </w:tr>
      <w:tr w:rsidR="009A0DC5" w:rsidRPr="009A0DC5">
        <w:tblPrEx>
          <w:tblCellMar>
            <w:top w:w="0" w:type="dxa"/>
            <w:bottom w:w="0" w:type="dxa"/>
          </w:tblCellMar>
        </w:tblPrEx>
        <w:trPr>
          <w:cantSplit/>
          <w:jc w:val="center"/>
        </w:trPr>
        <w:tc>
          <w:tcPr>
            <w:tcW w:w="2440" w:type="dxa"/>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السند</w:t>
            </w:r>
          </w:p>
        </w:tc>
        <w:tc>
          <w:tcPr>
            <w:tcW w:w="2440" w:type="dxa"/>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jc w:val="center"/>
              <w:rPr>
                <w:rFonts w:hint="cs"/>
                <w:sz w:val="16"/>
                <w:szCs w:val="24"/>
                <w:rtl/>
              </w:rPr>
            </w:pPr>
            <w:r>
              <w:rPr>
                <w:rFonts w:hint="cs"/>
                <w:sz w:val="16"/>
                <w:szCs w:val="24"/>
                <w:rtl/>
              </w:rPr>
              <w:t>1</w:t>
            </w:r>
          </w:p>
        </w:tc>
        <w:tc>
          <w:tcPr>
            <w:tcW w:w="2440" w:type="dxa"/>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jc w:val="center"/>
              <w:rPr>
                <w:rFonts w:hint="cs"/>
                <w:sz w:val="16"/>
                <w:szCs w:val="24"/>
                <w:rtl/>
              </w:rPr>
            </w:pPr>
            <w:r>
              <w:rPr>
                <w:rFonts w:hint="cs"/>
                <w:sz w:val="16"/>
                <w:szCs w:val="24"/>
                <w:rtl/>
              </w:rPr>
              <w:t>صفر</w:t>
            </w:r>
          </w:p>
        </w:tc>
      </w:tr>
      <w:tr w:rsidR="009A0DC5" w:rsidRPr="009A0DC5">
        <w:tblPrEx>
          <w:tblCellMar>
            <w:top w:w="0" w:type="dxa"/>
            <w:bottom w:w="0" w:type="dxa"/>
          </w:tblCellMar>
        </w:tblPrEx>
        <w:trPr>
          <w:cantSplit/>
          <w:jc w:val="center"/>
        </w:trPr>
        <w:tc>
          <w:tcPr>
            <w:tcW w:w="2440" w:type="dxa"/>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بنجاب</w:t>
            </w:r>
          </w:p>
        </w:tc>
        <w:tc>
          <w:tcPr>
            <w:tcW w:w="2440" w:type="dxa"/>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jc w:val="center"/>
              <w:rPr>
                <w:rFonts w:hint="cs"/>
                <w:sz w:val="16"/>
                <w:szCs w:val="24"/>
                <w:rtl/>
              </w:rPr>
            </w:pPr>
            <w:r>
              <w:rPr>
                <w:rFonts w:hint="cs"/>
                <w:sz w:val="16"/>
                <w:szCs w:val="24"/>
                <w:rtl/>
              </w:rPr>
              <w:t>1</w:t>
            </w:r>
          </w:p>
        </w:tc>
        <w:tc>
          <w:tcPr>
            <w:tcW w:w="2440" w:type="dxa"/>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jc w:val="center"/>
              <w:rPr>
                <w:rFonts w:hint="cs"/>
                <w:sz w:val="16"/>
                <w:szCs w:val="24"/>
                <w:rtl/>
              </w:rPr>
            </w:pPr>
            <w:r>
              <w:rPr>
                <w:rFonts w:hint="cs"/>
                <w:sz w:val="16"/>
                <w:szCs w:val="24"/>
                <w:rtl/>
              </w:rPr>
              <w:t>صفر</w:t>
            </w:r>
          </w:p>
        </w:tc>
      </w:tr>
      <w:tr w:rsidR="009A0DC5" w:rsidRPr="009A0DC5">
        <w:tblPrEx>
          <w:tblCellMar>
            <w:top w:w="0" w:type="dxa"/>
            <w:bottom w:w="0" w:type="dxa"/>
          </w:tblCellMar>
        </w:tblPrEx>
        <w:trPr>
          <w:cantSplit/>
          <w:jc w:val="center"/>
        </w:trPr>
        <w:tc>
          <w:tcPr>
            <w:tcW w:w="2440" w:type="dxa"/>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مقاطعة الحدود الشمالية الغربية</w:t>
            </w:r>
          </w:p>
        </w:tc>
        <w:tc>
          <w:tcPr>
            <w:tcW w:w="2440" w:type="dxa"/>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jc w:val="center"/>
              <w:rPr>
                <w:rFonts w:hint="cs"/>
                <w:sz w:val="16"/>
                <w:szCs w:val="24"/>
                <w:rtl/>
              </w:rPr>
            </w:pPr>
            <w:r>
              <w:rPr>
                <w:rFonts w:hint="cs"/>
                <w:sz w:val="16"/>
                <w:szCs w:val="24"/>
                <w:rtl/>
              </w:rPr>
              <w:t>1</w:t>
            </w:r>
          </w:p>
        </w:tc>
        <w:tc>
          <w:tcPr>
            <w:tcW w:w="2440" w:type="dxa"/>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jc w:val="center"/>
              <w:rPr>
                <w:rFonts w:hint="cs"/>
                <w:sz w:val="16"/>
                <w:szCs w:val="24"/>
                <w:rtl/>
              </w:rPr>
            </w:pPr>
            <w:r>
              <w:rPr>
                <w:rFonts w:hint="cs"/>
                <w:sz w:val="16"/>
                <w:szCs w:val="24"/>
                <w:rtl/>
              </w:rPr>
              <w:t>صفر</w:t>
            </w:r>
          </w:p>
        </w:tc>
      </w:tr>
      <w:tr w:rsidR="009A0DC5" w:rsidRPr="009A0DC5">
        <w:tblPrEx>
          <w:tblCellMar>
            <w:top w:w="0" w:type="dxa"/>
            <w:bottom w:w="0" w:type="dxa"/>
          </w:tblCellMar>
        </w:tblPrEx>
        <w:trPr>
          <w:cantSplit/>
          <w:jc w:val="center"/>
        </w:trPr>
        <w:tc>
          <w:tcPr>
            <w:tcW w:w="2440" w:type="dxa"/>
            <w:tcBorders>
              <w:bottom w:val="single" w:sz="12" w:space="0" w:color="auto"/>
            </w:tcBorders>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rPr>
                <w:rFonts w:hint="cs"/>
                <w:sz w:val="16"/>
                <w:szCs w:val="24"/>
                <w:rtl/>
              </w:rPr>
            </w:pPr>
            <w:proofErr w:type="spellStart"/>
            <w:r>
              <w:rPr>
                <w:rFonts w:hint="cs"/>
                <w:sz w:val="16"/>
                <w:szCs w:val="24"/>
                <w:rtl/>
              </w:rPr>
              <w:t>بالوشستان</w:t>
            </w:r>
            <w:proofErr w:type="spellEnd"/>
          </w:p>
        </w:tc>
        <w:tc>
          <w:tcPr>
            <w:tcW w:w="2440" w:type="dxa"/>
            <w:tcBorders>
              <w:bottom w:val="single" w:sz="12" w:space="0" w:color="auto"/>
            </w:tcBorders>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jc w:val="center"/>
              <w:rPr>
                <w:rFonts w:hint="cs"/>
                <w:sz w:val="16"/>
                <w:szCs w:val="24"/>
                <w:rtl/>
              </w:rPr>
            </w:pPr>
            <w:r>
              <w:rPr>
                <w:rFonts w:hint="cs"/>
                <w:sz w:val="16"/>
                <w:szCs w:val="24"/>
                <w:rtl/>
              </w:rPr>
              <w:t>صفر</w:t>
            </w:r>
          </w:p>
        </w:tc>
        <w:tc>
          <w:tcPr>
            <w:tcW w:w="2440" w:type="dxa"/>
            <w:tcBorders>
              <w:bottom w:val="single" w:sz="12" w:space="0" w:color="auto"/>
            </w:tcBorders>
            <w:shd w:val="clear" w:color="auto" w:fill="auto"/>
            <w:vAlign w:val="bottom"/>
          </w:tcPr>
          <w:p w:rsidR="009A0DC5" w:rsidRPr="009A0DC5" w:rsidRDefault="009A0DC5" w:rsidP="009A0DC5">
            <w:pPr>
              <w:tabs>
                <w:tab w:val="left" w:pos="288"/>
                <w:tab w:val="left" w:pos="576"/>
                <w:tab w:val="left" w:pos="864"/>
                <w:tab w:val="left" w:pos="1152"/>
              </w:tabs>
              <w:spacing w:before="40" w:after="80" w:line="240" w:lineRule="exact"/>
              <w:ind w:left="72" w:right="72"/>
              <w:jc w:val="center"/>
              <w:rPr>
                <w:rFonts w:hint="cs"/>
                <w:sz w:val="16"/>
                <w:szCs w:val="24"/>
                <w:rtl/>
              </w:rPr>
            </w:pPr>
            <w:r>
              <w:rPr>
                <w:rFonts w:hint="cs"/>
                <w:sz w:val="16"/>
                <w:szCs w:val="24"/>
                <w:rtl/>
              </w:rPr>
              <w:t>صفر</w:t>
            </w:r>
          </w:p>
        </w:tc>
      </w:tr>
    </w:tbl>
    <w:p w:rsidR="009A0DC5" w:rsidRPr="009A0DC5" w:rsidRDefault="009A0DC5" w:rsidP="009A0DC5">
      <w:pPr>
        <w:pStyle w:val="SingleTxt"/>
        <w:spacing w:after="0" w:line="120" w:lineRule="exact"/>
        <w:rPr>
          <w:rFonts w:hint="cs"/>
          <w:sz w:val="10"/>
          <w:rtl/>
        </w:rPr>
      </w:pPr>
    </w:p>
    <w:p w:rsidR="00BB487D" w:rsidRDefault="009A0DC5" w:rsidP="00E174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2F098C">
        <w:rPr>
          <w:rFonts w:hint="cs"/>
          <w:i/>
          <w:iCs/>
          <w:rtl/>
        </w:rPr>
        <w:t>المصدر</w:t>
      </w:r>
      <w:r>
        <w:rPr>
          <w:rFonts w:hint="cs"/>
          <w:rtl/>
        </w:rPr>
        <w:t>: وزارة القانون والعدل وحقوق الإنسان، وحدة برنامج سُبل الوصول إلى العدالة.</w:t>
      </w:r>
    </w:p>
    <w:p w:rsidR="0019711A" w:rsidRDefault="00473D48" w:rsidP="00473D48">
      <w:pPr>
        <w:pStyle w:val="SingleTxt"/>
        <w:spacing w:after="0"/>
        <w:rPr>
          <w:rFonts w:hint="cs"/>
          <w:rtl/>
        </w:rPr>
      </w:pPr>
      <w:r>
        <w:rPr>
          <w:rFonts w:hint="cs"/>
          <w:rtl/>
        </w:rPr>
        <w:t>الجدول 7-12</w:t>
      </w:r>
    </w:p>
    <w:p w:rsidR="00473D48" w:rsidRPr="00473D48" w:rsidRDefault="00473D48" w:rsidP="0019711A">
      <w:pPr>
        <w:pStyle w:val="SingleTxt"/>
        <w:rPr>
          <w:rFonts w:hint="cs"/>
          <w:b/>
          <w:bCs/>
          <w:rtl/>
        </w:rPr>
      </w:pPr>
      <w:r w:rsidRPr="00473D48">
        <w:rPr>
          <w:rFonts w:hint="cs"/>
          <w:b/>
          <w:bCs/>
          <w:rtl/>
        </w:rPr>
        <w:t>نسبة المحاميات إلى المحامين في باكستان</w:t>
      </w:r>
    </w:p>
    <w:p w:rsidR="00473D48" w:rsidRPr="00473D48" w:rsidRDefault="00473D48" w:rsidP="00473D48">
      <w:pPr>
        <w:pStyle w:val="SingleTxt"/>
        <w:spacing w:after="0" w:line="120" w:lineRule="exact"/>
        <w:rPr>
          <w:rFonts w:hint="cs"/>
          <w:sz w:val="10"/>
          <w:rtl/>
        </w:rPr>
      </w:pPr>
    </w:p>
    <w:tbl>
      <w:tblPr>
        <w:bidiVisual/>
        <w:tblW w:w="7320" w:type="dxa"/>
        <w:jc w:val="center"/>
        <w:tblInd w:w="1267" w:type="dxa"/>
        <w:tblLayout w:type="fixed"/>
        <w:tblCellMar>
          <w:left w:w="0" w:type="dxa"/>
          <w:right w:w="0" w:type="dxa"/>
        </w:tblCellMar>
        <w:tblLook w:val="0000" w:firstRow="0" w:lastRow="0" w:firstColumn="0" w:lastColumn="0" w:noHBand="0" w:noVBand="0"/>
      </w:tblPr>
      <w:tblGrid>
        <w:gridCol w:w="3065"/>
        <w:gridCol w:w="1120"/>
        <w:gridCol w:w="1040"/>
        <w:gridCol w:w="1040"/>
        <w:gridCol w:w="1055"/>
      </w:tblGrid>
      <w:tr w:rsidR="00473D48" w:rsidRPr="00473D48">
        <w:tblPrEx>
          <w:tblCellMar>
            <w:top w:w="0" w:type="dxa"/>
            <w:bottom w:w="0" w:type="dxa"/>
          </w:tblCellMar>
        </w:tblPrEx>
        <w:trPr>
          <w:cantSplit/>
          <w:tblHeader/>
          <w:jc w:val="center"/>
        </w:trPr>
        <w:tc>
          <w:tcPr>
            <w:tcW w:w="3065" w:type="dxa"/>
            <w:tcBorders>
              <w:top w:val="single" w:sz="4"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before="80" w:after="80" w:line="240" w:lineRule="exact"/>
              <w:ind w:left="72" w:right="72"/>
              <w:rPr>
                <w:rFonts w:hint="cs"/>
                <w:i/>
                <w:iCs/>
                <w:sz w:val="16"/>
                <w:szCs w:val="24"/>
                <w:rtl/>
              </w:rPr>
            </w:pPr>
          </w:p>
        </w:tc>
        <w:tc>
          <w:tcPr>
            <w:tcW w:w="2160" w:type="dxa"/>
            <w:gridSpan w:val="2"/>
            <w:tcBorders>
              <w:top w:val="single" w:sz="4" w:space="0" w:color="auto"/>
              <w:bottom w:val="single" w:sz="4"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المحاميات</w:t>
            </w:r>
          </w:p>
        </w:tc>
        <w:tc>
          <w:tcPr>
            <w:tcW w:w="2095" w:type="dxa"/>
            <w:gridSpan w:val="2"/>
            <w:tcBorders>
              <w:top w:val="single" w:sz="4" w:space="0" w:color="auto"/>
              <w:bottom w:val="single" w:sz="4"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المحامون</w:t>
            </w:r>
          </w:p>
        </w:tc>
      </w:tr>
      <w:tr w:rsidR="00473D48" w:rsidRPr="00473D48">
        <w:tblPrEx>
          <w:tblCellMar>
            <w:top w:w="0" w:type="dxa"/>
            <w:bottom w:w="0" w:type="dxa"/>
          </w:tblCellMar>
        </w:tblPrEx>
        <w:trPr>
          <w:cantSplit/>
          <w:tblHeader/>
          <w:jc w:val="center"/>
        </w:trPr>
        <w:tc>
          <w:tcPr>
            <w:tcW w:w="3065" w:type="dxa"/>
            <w:tcBorders>
              <w:bottom w:val="single" w:sz="12"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المنطقة</w:t>
            </w:r>
          </w:p>
        </w:tc>
        <w:tc>
          <w:tcPr>
            <w:tcW w:w="1120" w:type="dxa"/>
            <w:tcBorders>
              <w:top w:val="single" w:sz="4" w:space="0" w:color="auto"/>
              <w:bottom w:val="single" w:sz="12"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العدد</w:t>
            </w:r>
          </w:p>
        </w:tc>
        <w:tc>
          <w:tcPr>
            <w:tcW w:w="1040" w:type="dxa"/>
            <w:tcBorders>
              <w:top w:val="single" w:sz="4" w:space="0" w:color="auto"/>
              <w:bottom w:val="single" w:sz="12"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النسبة المئوية</w:t>
            </w:r>
          </w:p>
        </w:tc>
        <w:tc>
          <w:tcPr>
            <w:tcW w:w="1040" w:type="dxa"/>
            <w:tcBorders>
              <w:top w:val="single" w:sz="4" w:space="0" w:color="auto"/>
              <w:bottom w:val="single" w:sz="12"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العدد</w:t>
            </w:r>
          </w:p>
        </w:tc>
        <w:tc>
          <w:tcPr>
            <w:tcW w:w="1055" w:type="dxa"/>
            <w:tcBorders>
              <w:top w:val="single" w:sz="4" w:space="0" w:color="auto"/>
              <w:bottom w:val="single" w:sz="12"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النسبة المئوية</w:t>
            </w:r>
          </w:p>
        </w:tc>
      </w:tr>
      <w:tr w:rsidR="00473D48" w:rsidRPr="00473D48">
        <w:tblPrEx>
          <w:tblCellMar>
            <w:top w:w="0" w:type="dxa"/>
            <w:bottom w:w="0" w:type="dxa"/>
          </w:tblCellMar>
        </w:tblPrEx>
        <w:trPr>
          <w:cantSplit/>
          <w:trHeight w:hRule="exact" w:val="115"/>
          <w:tblHeader/>
          <w:jc w:val="center"/>
        </w:trPr>
        <w:tc>
          <w:tcPr>
            <w:tcW w:w="3065" w:type="dxa"/>
            <w:tcBorders>
              <w:top w:val="single" w:sz="12"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rPr>
                <w:rFonts w:hint="cs"/>
                <w:sz w:val="16"/>
                <w:szCs w:val="24"/>
                <w:rtl/>
              </w:rPr>
            </w:pPr>
          </w:p>
        </w:tc>
        <w:tc>
          <w:tcPr>
            <w:tcW w:w="1120" w:type="dxa"/>
            <w:tcBorders>
              <w:top w:val="single" w:sz="12"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0" w:type="dxa"/>
            <w:tcBorders>
              <w:top w:val="single" w:sz="12"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0" w:type="dxa"/>
            <w:tcBorders>
              <w:top w:val="single" w:sz="12"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55" w:type="dxa"/>
            <w:tcBorders>
              <w:top w:val="single" w:sz="12"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473D48" w:rsidRPr="00473D48">
        <w:tblPrEx>
          <w:tblCellMar>
            <w:top w:w="0" w:type="dxa"/>
            <w:bottom w:w="0" w:type="dxa"/>
          </w:tblCellMar>
        </w:tblPrEx>
        <w:trPr>
          <w:cantSplit/>
          <w:jc w:val="center"/>
        </w:trPr>
        <w:tc>
          <w:tcPr>
            <w:tcW w:w="3065" w:type="dxa"/>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السند</w:t>
            </w:r>
          </w:p>
        </w:tc>
        <w:tc>
          <w:tcPr>
            <w:tcW w:w="1120" w:type="dxa"/>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550</w:t>
            </w:r>
          </w:p>
        </w:tc>
        <w:tc>
          <w:tcPr>
            <w:tcW w:w="1040" w:type="dxa"/>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5.3</w:t>
            </w:r>
          </w:p>
        </w:tc>
        <w:tc>
          <w:tcPr>
            <w:tcW w:w="1040" w:type="dxa"/>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756 9</w:t>
            </w:r>
          </w:p>
        </w:tc>
        <w:tc>
          <w:tcPr>
            <w:tcW w:w="1055" w:type="dxa"/>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94.6</w:t>
            </w:r>
          </w:p>
        </w:tc>
      </w:tr>
      <w:tr w:rsidR="00473D48" w:rsidRPr="00473D48">
        <w:tblPrEx>
          <w:tblCellMar>
            <w:top w:w="0" w:type="dxa"/>
            <w:bottom w:w="0" w:type="dxa"/>
          </w:tblCellMar>
        </w:tblPrEx>
        <w:trPr>
          <w:cantSplit/>
          <w:jc w:val="center"/>
        </w:trPr>
        <w:tc>
          <w:tcPr>
            <w:tcW w:w="3065" w:type="dxa"/>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بنجاب</w:t>
            </w:r>
          </w:p>
        </w:tc>
        <w:tc>
          <w:tcPr>
            <w:tcW w:w="1120" w:type="dxa"/>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161 1</w:t>
            </w:r>
          </w:p>
        </w:tc>
        <w:tc>
          <w:tcPr>
            <w:tcW w:w="1040" w:type="dxa"/>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4.9</w:t>
            </w:r>
          </w:p>
        </w:tc>
        <w:tc>
          <w:tcPr>
            <w:tcW w:w="1040" w:type="dxa"/>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095 22</w:t>
            </w:r>
          </w:p>
        </w:tc>
        <w:tc>
          <w:tcPr>
            <w:tcW w:w="1055" w:type="dxa"/>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95.0</w:t>
            </w:r>
          </w:p>
        </w:tc>
      </w:tr>
      <w:tr w:rsidR="00473D48" w:rsidRPr="00473D48">
        <w:tblPrEx>
          <w:tblCellMar>
            <w:top w:w="0" w:type="dxa"/>
            <w:bottom w:w="0" w:type="dxa"/>
          </w:tblCellMar>
        </w:tblPrEx>
        <w:trPr>
          <w:cantSplit/>
          <w:jc w:val="center"/>
        </w:trPr>
        <w:tc>
          <w:tcPr>
            <w:tcW w:w="3065" w:type="dxa"/>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مقاطعة الحدود الشمالية الغربية</w:t>
            </w:r>
          </w:p>
        </w:tc>
        <w:tc>
          <w:tcPr>
            <w:tcW w:w="1120" w:type="dxa"/>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225</w:t>
            </w:r>
          </w:p>
        </w:tc>
        <w:tc>
          <w:tcPr>
            <w:tcW w:w="1040" w:type="dxa"/>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1.7</w:t>
            </w:r>
          </w:p>
        </w:tc>
        <w:tc>
          <w:tcPr>
            <w:tcW w:w="1040" w:type="dxa"/>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595 12</w:t>
            </w:r>
          </w:p>
        </w:tc>
        <w:tc>
          <w:tcPr>
            <w:tcW w:w="1055" w:type="dxa"/>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98.2</w:t>
            </w:r>
          </w:p>
        </w:tc>
      </w:tr>
      <w:tr w:rsidR="00473D48" w:rsidRPr="00473D48">
        <w:tblPrEx>
          <w:tblCellMar>
            <w:top w:w="0" w:type="dxa"/>
            <w:bottom w:w="0" w:type="dxa"/>
          </w:tblCellMar>
        </w:tblPrEx>
        <w:trPr>
          <w:cantSplit/>
          <w:jc w:val="center"/>
        </w:trPr>
        <w:tc>
          <w:tcPr>
            <w:tcW w:w="3065" w:type="dxa"/>
            <w:tcBorders>
              <w:bottom w:val="single" w:sz="12"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rPr>
                <w:rFonts w:hint="cs"/>
                <w:sz w:val="16"/>
                <w:szCs w:val="24"/>
                <w:rtl/>
              </w:rPr>
            </w:pPr>
            <w:proofErr w:type="spellStart"/>
            <w:r>
              <w:rPr>
                <w:rFonts w:hint="cs"/>
                <w:sz w:val="16"/>
                <w:szCs w:val="24"/>
                <w:rtl/>
              </w:rPr>
              <w:t>بالوشستان</w:t>
            </w:r>
            <w:proofErr w:type="spellEnd"/>
          </w:p>
        </w:tc>
        <w:tc>
          <w:tcPr>
            <w:tcW w:w="1120" w:type="dxa"/>
            <w:tcBorders>
              <w:bottom w:val="single" w:sz="12"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48</w:t>
            </w:r>
          </w:p>
        </w:tc>
        <w:tc>
          <w:tcPr>
            <w:tcW w:w="1040" w:type="dxa"/>
            <w:tcBorders>
              <w:bottom w:val="single" w:sz="12"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3.9</w:t>
            </w:r>
          </w:p>
        </w:tc>
        <w:tc>
          <w:tcPr>
            <w:tcW w:w="1040" w:type="dxa"/>
            <w:tcBorders>
              <w:bottom w:val="single" w:sz="12"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159 1</w:t>
            </w:r>
          </w:p>
        </w:tc>
        <w:tc>
          <w:tcPr>
            <w:tcW w:w="1055" w:type="dxa"/>
            <w:tcBorders>
              <w:bottom w:val="single" w:sz="12" w:space="0" w:color="auto"/>
            </w:tcBorders>
            <w:shd w:val="clear" w:color="auto" w:fill="auto"/>
            <w:vAlign w:val="bottom"/>
          </w:tcPr>
          <w:p w:rsidR="00473D48" w:rsidRPr="00473D48" w:rsidRDefault="00473D48" w:rsidP="00473D4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96.0</w:t>
            </w:r>
          </w:p>
        </w:tc>
      </w:tr>
    </w:tbl>
    <w:p w:rsidR="00473D48" w:rsidRPr="00473D48" w:rsidRDefault="00473D48" w:rsidP="00473D48">
      <w:pPr>
        <w:pStyle w:val="SingleTxt"/>
        <w:spacing w:after="0" w:line="120" w:lineRule="exact"/>
        <w:rPr>
          <w:rFonts w:hint="cs"/>
          <w:sz w:val="10"/>
          <w:rtl/>
        </w:rPr>
      </w:pPr>
    </w:p>
    <w:p w:rsidR="00473D48" w:rsidRDefault="00473D48" w:rsidP="00473D4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Pr>
          <w:rFonts w:hint="cs"/>
          <w:i/>
          <w:iCs/>
          <w:rtl/>
        </w:rPr>
        <w:t>المصدر</w:t>
      </w:r>
      <w:r>
        <w:rPr>
          <w:rFonts w:hint="cs"/>
          <w:rtl/>
        </w:rPr>
        <w:t>: وحدة إدارة المشاريع، برنامج سُبل الوصول إلى العدالة، وزارة القانون والعدل وحقوق الإنسان.</w:t>
      </w:r>
    </w:p>
    <w:p w:rsidR="00473D48" w:rsidRPr="00473D48" w:rsidRDefault="00473D48" w:rsidP="00473D48">
      <w:pPr>
        <w:pStyle w:val="SingleTxt"/>
        <w:spacing w:after="0" w:line="120" w:lineRule="exact"/>
        <w:rPr>
          <w:rFonts w:hint="cs"/>
          <w:i/>
          <w:iCs/>
          <w:sz w:val="10"/>
          <w:rtl/>
        </w:rPr>
      </w:pPr>
    </w:p>
    <w:p w:rsidR="00473D48" w:rsidRDefault="00244A4C" w:rsidP="0019711A">
      <w:pPr>
        <w:pStyle w:val="SingleTxt"/>
        <w:rPr>
          <w:rFonts w:hint="cs"/>
          <w:rtl/>
        </w:rPr>
      </w:pPr>
      <w:r>
        <w:rPr>
          <w:rFonts w:hint="cs"/>
          <w:rtl/>
        </w:rPr>
        <w:t>173-</w:t>
      </w:r>
      <w:r>
        <w:rPr>
          <w:rFonts w:hint="cs"/>
          <w:rtl/>
        </w:rPr>
        <w:tab/>
        <w:t>وشرعت حكومة باكستان في برنامج هام، وهو برنامج سُبل الوصول إلى العدالة، بالتعاون مع مصرف التنمية الآسيوي. وهذا البرنامج يشدد، أساسا، على دخول المرأة في المجال القانوني والقضاء.</w:t>
      </w:r>
    </w:p>
    <w:p w:rsidR="00244A4C" w:rsidRPr="00244A4C" w:rsidRDefault="00244A4C" w:rsidP="00244A4C">
      <w:pPr>
        <w:pStyle w:val="SingleTxt"/>
        <w:spacing w:after="0" w:line="120" w:lineRule="exact"/>
        <w:rPr>
          <w:rFonts w:hint="cs"/>
          <w:sz w:val="10"/>
          <w:rtl/>
        </w:rPr>
      </w:pPr>
    </w:p>
    <w:p w:rsidR="00244A4C" w:rsidRDefault="00244A4C" w:rsidP="00244A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التحديات ومسار العمل في المستقبل</w:t>
      </w:r>
    </w:p>
    <w:p w:rsidR="00244A4C" w:rsidRDefault="00244A4C" w:rsidP="00244A4C">
      <w:pPr>
        <w:pStyle w:val="SingleTxt"/>
        <w:rPr>
          <w:rFonts w:hint="cs"/>
          <w:rtl/>
        </w:rPr>
      </w:pPr>
      <w:r>
        <w:rPr>
          <w:rFonts w:hint="cs"/>
          <w:rtl/>
        </w:rPr>
        <w:t>174-</w:t>
      </w:r>
      <w:r>
        <w:rPr>
          <w:rFonts w:hint="cs"/>
          <w:rtl/>
        </w:rPr>
        <w:tab/>
        <w:t>توفر الضمانات الدستورية والإطار التشريعي والإداري أساسا قويا يكفل إعمال الحقوق السياسية للمرأة. وقد أدى إنشاء و/أو زيادة المقاعد المحجوزة للمرأة في الأجهزة التشريعية والهيئات المحلية إلى منح المرأة تمثيل هام في هذه الهيئات. ومع ذلك نجد أن هذا الوجود لم يتحول بعد إلى وجود كيفي مماثل وإن كانت هناك دلائل على أن هذا بدأ حدوثه بالفعل. وقد ناقشت اللجنة الدائمة للبرلمان هذا التقرير، باستفاضة، قبل عرضه على اللجنة المعنية بالقضاء على التمييز ضد المرأة. وتشارك العضوات، بصورة نشطة، في جلسات اللجنة الأخرى وفي مداولات المجالس التي هن عضوات فيها.</w:t>
      </w:r>
    </w:p>
    <w:p w:rsidR="00244A4C" w:rsidRDefault="00244A4C" w:rsidP="00244A4C">
      <w:pPr>
        <w:pStyle w:val="SingleTxt"/>
        <w:rPr>
          <w:rFonts w:hint="cs"/>
          <w:rtl/>
        </w:rPr>
      </w:pPr>
      <w:r>
        <w:rPr>
          <w:rFonts w:hint="cs"/>
          <w:rtl/>
        </w:rPr>
        <w:t>175-</w:t>
      </w:r>
      <w:r>
        <w:rPr>
          <w:rFonts w:hint="cs"/>
          <w:rtl/>
        </w:rPr>
        <w:tab/>
        <w:t>وتظل هناك مشاكل ملحوظة في حالة الهيئات المحلية. فقد طالبت عضوات المجالس، منذ وقت طويل، بمساعدة مالية/بدلات يومية ومكان لهن خلال دورات مجالسهن المحلية. ومن المحتمل أن يؤثر الاتجاه إلى تخفيض إجمالي قوام المجالس المحلية على عضوات المجالس، بشكل غير متناسب، بحيث ينخفض إدراج المرأة في النظام السياسي ويدخل عدد أقل من النساء في عالم السياسة مع كل دورة.</w:t>
      </w:r>
    </w:p>
    <w:p w:rsidR="00244A4C" w:rsidRPr="00244A4C" w:rsidRDefault="00244A4C" w:rsidP="00244A4C">
      <w:pPr>
        <w:pStyle w:val="SingleTxt"/>
        <w:spacing w:after="0" w:line="120" w:lineRule="exact"/>
        <w:rPr>
          <w:rFonts w:hint="cs"/>
          <w:sz w:val="10"/>
          <w:rtl/>
        </w:rPr>
      </w:pPr>
    </w:p>
    <w:p w:rsidR="00244A4C" w:rsidRDefault="00244A4C" w:rsidP="00244A4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الفصل الثامن</w:t>
      </w:r>
    </w:p>
    <w:p w:rsidR="00244A4C" w:rsidRDefault="00244A4C" w:rsidP="00244A4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8</w:t>
      </w:r>
    </w:p>
    <w:p w:rsidR="00244A4C" w:rsidRDefault="00244A4C" w:rsidP="00244A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(التمثل في الخارج)</w:t>
      </w:r>
    </w:p>
    <w:p w:rsidR="00244A4C" w:rsidRDefault="00244A4C" w:rsidP="00244A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الأوضاع الدستورية والإدارية</w:t>
      </w:r>
    </w:p>
    <w:p w:rsidR="00244A4C" w:rsidRDefault="00244A4C" w:rsidP="00244A4C">
      <w:pPr>
        <w:pStyle w:val="SingleTxt"/>
        <w:rPr>
          <w:rFonts w:hint="cs"/>
          <w:rtl/>
        </w:rPr>
      </w:pPr>
      <w:r>
        <w:rPr>
          <w:rFonts w:hint="cs"/>
          <w:rtl/>
        </w:rPr>
        <w:t>176-</w:t>
      </w:r>
      <w:r>
        <w:rPr>
          <w:rFonts w:hint="cs"/>
          <w:rtl/>
        </w:rPr>
        <w:tab/>
        <w:t>يرفض الدستور، صراحة، التمييز على أساس نوع الجنس. وبذلك، فإن تكافؤ الفرص بين النساء والرجال بالنسبة لتمثيل باكستان على الصعيد الدولي، يعتبر من المقتضيات الدستورية لحكومة باكستان. ولذلك، تقوم المرأة، بصورة منتظمة، بتمثيل باكستان في المؤتمرات والاجتماعات الدولية.</w:t>
      </w:r>
    </w:p>
    <w:p w:rsidR="00244A4C" w:rsidRPr="00244A4C" w:rsidRDefault="00244A4C" w:rsidP="00244A4C">
      <w:pPr>
        <w:pStyle w:val="SingleTxt"/>
        <w:spacing w:after="0" w:line="120" w:lineRule="exact"/>
        <w:rPr>
          <w:rFonts w:hint="cs"/>
          <w:sz w:val="10"/>
          <w:rtl/>
        </w:rPr>
      </w:pPr>
    </w:p>
    <w:p w:rsidR="00244A4C" w:rsidRDefault="00244A4C" w:rsidP="00244A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تقديم إحصائيات، مصنفة حسب الجنس، تظهر النسبة المئوية للنساء العاملات في السلك الخارجي أو المشتغلات بصورة منتظمة في التمثيل الدولي أو العاملات بالنيابة عن الدولة، بما في ذلك، عضويتهن في الوفود الحكومية إلى المؤتمرات الدولية وترشي</w:t>
      </w:r>
      <w:r w:rsidR="009E10E9">
        <w:rPr>
          <w:rFonts w:hint="cs"/>
          <w:rtl/>
        </w:rPr>
        <w:t>ح</w:t>
      </w:r>
      <w:r>
        <w:rPr>
          <w:rFonts w:hint="cs"/>
          <w:rtl/>
        </w:rPr>
        <w:t>هن لمهام حفظ السلام أو تسوية النزاعات ومعلومات عن أقدميتهن في القطاع ذي الصلة.</w:t>
      </w:r>
    </w:p>
    <w:p w:rsidR="00244A4C" w:rsidRDefault="00244A4C" w:rsidP="00A71532">
      <w:pPr>
        <w:pStyle w:val="SingleTxt"/>
        <w:rPr>
          <w:rFonts w:hint="cs"/>
          <w:rtl/>
        </w:rPr>
      </w:pPr>
      <w:r>
        <w:rPr>
          <w:rFonts w:hint="cs"/>
          <w:rtl/>
        </w:rPr>
        <w:t>177-</w:t>
      </w:r>
      <w:r>
        <w:rPr>
          <w:rFonts w:hint="cs"/>
          <w:rtl/>
        </w:rPr>
        <w:tab/>
      </w:r>
      <w:r w:rsidR="00A71532">
        <w:rPr>
          <w:rFonts w:hint="cs"/>
          <w:rtl/>
        </w:rPr>
        <w:t xml:space="preserve">شغلت المرأة الباكستانية مناصب السفراء منذ أوائل الخمسينات. فقد كانت </w:t>
      </w:r>
      <w:proofErr w:type="spellStart"/>
      <w:r w:rsidR="00A71532">
        <w:rPr>
          <w:rFonts w:hint="cs"/>
          <w:rtl/>
        </w:rPr>
        <w:t>البيغوم</w:t>
      </w:r>
      <w:proofErr w:type="spellEnd"/>
      <w:r w:rsidR="00A71532">
        <w:rPr>
          <w:rFonts w:hint="cs"/>
          <w:rtl/>
        </w:rPr>
        <w:t xml:space="preserve"> </w:t>
      </w:r>
      <w:proofErr w:type="spellStart"/>
      <w:r w:rsidR="00A71532">
        <w:rPr>
          <w:rFonts w:hint="cs"/>
          <w:rtl/>
        </w:rPr>
        <w:t>رانا</w:t>
      </w:r>
      <w:proofErr w:type="spellEnd"/>
      <w:r w:rsidR="00A71532">
        <w:rPr>
          <w:rFonts w:hint="cs"/>
          <w:rtl/>
        </w:rPr>
        <w:t xml:space="preserve"> </w:t>
      </w:r>
      <w:proofErr w:type="spellStart"/>
      <w:r w:rsidR="00A71532">
        <w:rPr>
          <w:rFonts w:hint="cs"/>
          <w:rtl/>
        </w:rPr>
        <w:t>لياقت</w:t>
      </w:r>
      <w:proofErr w:type="spellEnd"/>
      <w:r w:rsidR="00A71532">
        <w:rPr>
          <w:rFonts w:hint="cs"/>
          <w:rtl/>
        </w:rPr>
        <w:t xml:space="preserve"> علي خان سفيرة لباكستان لدى هولندا في سنة 1952، وكانت </w:t>
      </w:r>
      <w:proofErr w:type="spellStart"/>
      <w:r w:rsidR="00A71532">
        <w:rPr>
          <w:rFonts w:hint="cs"/>
          <w:rtl/>
        </w:rPr>
        <w:t>البيغوم</w:t>
      </w:r>
      <w:proofErr w:type="spellEnd"/>
      <w:r w:rsidR="00A71532">
        <w:rPr>
          <w:rFonts w:hint="cs"/>
          <w:rtl/>
        </w:rPr>
        <w:t xml:space="preserve"> </w:t>
      </w:r>
      <w:proofErr w:type="spellStart"/>
      <w:r w:rsidR="00A71532">
        <w:rPr>
          <w:rFonts w:hint="cs"/>
          <w:rtl/>
        </w:rPr>
        <w:t>شايسنا</w:t>
      </w:r>
      <w:proofErr w:type="spellEnd"/>
      <w:r w:rsidR="00A71532">
        <w:rPr>
          <w:rFonts w:hint="cs"/>
          <w:rtl/>
        </w:rPr>
        <w:t xml:space="preserve"> إكرام الله سفيرة لباكستان لدى الأردن.</w:t>
      </w:r>
    </w:p>
    <w:p w:rsidR="00A71532" w:rsidRDefault="00A71532" w:rsidP="00A71532">
      <w:pPr>
        <w:pStyle w:val="SingleTxt"/>
        <w:rPr>
          <w:rFonts w:hint="cs"/>
          <w:rtl/>
        </w:rPr>
      </w:pPr>
      <w:r>
        <w:rPr>
          <w:rFonts w:hint="cs"/>
          <w:rtl/>
        </w:rPr>
        <w:t>178-</w:t>
      </w:r>
      <w:r>
        <w:rPr>
          <w:rFonts w:hint="cs"/>
          <w:rtl/>
        </w:rPr>
        <w:tab/>
        <w:t xml:space="preserve">وعملية التعيين والترقية والإيفاد عملية غير تمييزية في وزارة الخارجية. ولا يعتبر نوع الجنس من عناصر تحديد الترقيات وعمليات الإيفاد إلا في الحالة التي يعمل فيها الزوج والزوجة في الخدمة الخارجية. وفي هذه الحالة يوفد الاثنان إلى نفس الموقع. وتوجد في الخدمة الخارجية نسبة مئوية من النساء بين الموظفين تفوق أغلب الخدمات الأخرى التي يتم فيها التعيين في إطار امتحان الدوائر المركزية العليا (المشار إليه في الفصل السابق). ويبلغ مجموع قوام الخدمة الخارجية نحو 400 موظف منهم 38 امرأة. وتمثل باكستان نساء في مناصب السفراء والقناصل العامين (في 2003) في (1) الجزائر (2) </w:t>
      </w:r>
      <w:proofErr w:type="spellStart"/>
      <w:r>
        <w:rPr>
          <w:rFonts w:hint="cs"/>
          <w:rtl/>
        </w:rPr>
        <w:t>ألماتي</w:t>
      </w:r>
      <w:proofErr w:type="spellEnd"/>
      <w:r>
        <w:rPr>
          <w:rFonts w:hint="cs"/>
          <w:rtl/>
        </w:rPr>
        <w:t xml:space="preserve"> (3) </w:t>
      </w:r>
      <w:proofErr w:type="spellStart"/>
      <w:r>
        <w:rPr>
          <w:rFonts w:hint="cs"/>
          <w:rtl/>
        </w:rPr>
        <w:t>أشغبات</w:t>
      </w:r>
      <w:proofErr w:type="spellEnd"/>
      <w:r>
        <w:rPr>
          <w:rFonts w:hint="cs"/>
          <w:rtl/>
        </w:rPr>
        <w:t xml:space="preserve"> (4) بيروت (5) بون (6) بوخارست (7) دبلن (8) لندن (9) لشبونة (10) الرباط (11) وارسو (2003/2004).</w:t>
      </w:r>
    </w:p>
    <w:p w:rsidR="00A71532" w:rsidRDefault="00A71532" w:rsidP="00A71532">
      <w:pPr>
        <w:pStyle w:val="SingleTxt"/>
        <w:rPr>
          <w:rFonts w:hint="cs"/>
          <w:rtl/>
        </w:rPr>
      </w:pPr>
      <w:r>
        <w:rPr>
          <w:rFonts w:hint="cs"/>
          <w:rtl/>
        </w:rPr>
        <w:t>179-</w:t>
      </w:r>
      <w:r>
        <w:rPr>
          <w:rFonts w:hint="cs"/>
          <w:rtl/>
        </w:rPr>
        <w:tab/>
        <w:t xml:space="preserve">ويبلغ مجموع عدد القنصليات العامة والسفارات في الخدمة نحو 78. وبالإضافة إلى شغل المرأة لمنصب السفير أو القنصل العام، عملت المرأة في منصب المدير العام لمكتب وزير الخارجية خلال الفترة 2000-2002. وأُعيرت امرأة من ثاني أعلى رتبة في البيروقراطية إلى كلية الدفاع الوطني </w:t>
      </w:r>
      <w:proofErr w:type="spellStart"/>
      <w:r>
        <w:rPr>
          <w:rFonts w:hint="cs"/>
          <w:rtl/>
        </w:rPr>
        <w:t>كعضوة</w:t>
      </w:r>
      <w:proofErr w:type="spellEnd"/>
      <w:r>
        <w:rPr>
          <w:rFonts w:hint="cs"/>
          <w:rtl/>
        </w:rPr>
        <w:t xml:space="preserve"> في مجلس إدارة الكلية. ويعمل عدد من النساء أيضا كممثلات تجاريات أو إعلاميات في البعثات الخارجية لباكستان. وليس هناك تمييز بين الموظفين والموظفات من حيث المرتبات أو الإجازات أو الاستحقاقات.</w:t>
      </w:r>
    </w:p>
    <w:p w:rsidR="00A71532" w:rsidRPr="00A71532" w:rsidRDefault="00A71532" w:rsidP="00A71532">
      <w:pPr>
        <w:pStyle w:val="SingleTxt"/>
        <w:spacing w:after="0" w:line="120" w:lineRule="exact"/>
        <w:rPr>
          <w:rFonts w:hint="cs"/>
          <w:sz w:val="10"/>
          <w:rtl/>
        </w:rPr>
      </w:pPr>
    </w:p>
    <w:p w:rsidR="00A71532" w:rsidRDefault="00A71532" w:rsidP="00A715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بيان الجهود الرامية إلى وضع معايير وعمليات موضوعية لتعيين وترقية المرأة في المناصب والوفود الرسمية ذات الصلة</w:t>
      </w:r>
    </w:p>
    <w:p w:rsidR="00A71532" w:rsidRDefault="00A71532" w:rsidP="00A71532">
      <w:pPr>
        <w:pStyle w:val="SingleTxt"/>
        <w:rPr>
          <w:rFonts w:hint="cs"/>
          <w:rtl/>
        </w:rPr>
      </w:pPr>
      <w:r>
        <w:rPr>
          <w:rFonts w:hint="cs"/>
          <w:rtl/>
        </w:rPr>
        <w:t>180-</w:t>
      </w:r>
      <w:r>
        <w:rPr>
          <w:rFonts w:hint="cs"/>
          <w:rtl/>
        </w:rPr>
        <w:tab/>
        <w:t>تدمج المرأة، بصورة روتينية، في الوفود المبعوثة من وزارة الخارجية والوزارات والإدارات الأخرى إلى الاجتماعات والمؤتمرات الدولية. بيد أنه لا توجد سياسة مدروسة لضمان إشراك المرأة في كل وفد مرسل إلى الخارج. والمبدأ التوجيهي هو كفاءة الموظف وصلته بالاجتماع أو المؤتمر الدولي. فإذا كانت المرأة هي الموظف المعني بقضية محددة، تدمج في الوفد.</w:t>
      </w:r>
    </w:p>
    <w:p w:rsidR="00A71532" w:rsidRDefault="00A71532" w:rsidP="00A71532">
      <w:pPr>
        <w:pStyle w:val="SingleTxt"/>
        <w:rPr>
          <w:rFonts w:hint="cs"/>
          <w:rtl/>
        </w:rPr>
      </w:pPr>
      <w:r>
        <w:rPr>
          <w:rFonts w:hint="cs"/>
          <w:rtl/>
        </w:rPr>
        <w:t>181-</w:t>
      </w:r>
      <w:r>
        <w:rPr>
          <w:rFonts w:hint="cs"/>
          <w:rtl/>
        </w:rPr>
        <w:tab/>
        <w:t>وتمثل الوزيرات في حكومة باكستان، على الصعيد الاتحادي أو الإقليمي، البلد في الاجتماع</w:t>
      </w:r>
      <w:r w:rsidR="009E10E9">
        <w:rPr>
          <w:rFonts w:hint="cs"/>
          <w:rtl/>
        </w:rPr>
        <w:t>ات</w:t>
      </w:r>
      <w:r>
        <w:rPr>
          <w:rFonts w:hint="cs"/>
          <w:rtl/>
        </w:rPr>
        <w:t xml:space="preserve"> الدولية المختلفة. ويرد تكوين وفد باكستان إلى لجنة حقوق الإنسان التابعة للأمم المتحدة في الفترة 2000-2002 كمثال:</w:t>
      </w:r>
    </w:p>
    <w:p w:rsidR="00A71532" w:rsidRPr="00A71532" w:rsidRDefault="00A71532" w:rsidP="00A71532">
      <w:pPr>
        <w:pStyle w:val="SingleTxt"/>
        <w:spacing w:after="0" w:line="120" w:lineRule="exact"/>
        <w:rPr>
          <w:rFonts w:hint="cs"/>
          <w:sz w:val="10"/>
          <w:rtl/>
        </w:rPr>
      </w:pPr>
    </w:p>
    <w:p w:rsidR="00A71532" w:rsidRDefault="00A71532" w:rsidP="00A71532">
      <w:pPr>
        <w:pStyle w:val="SingleTxt"/>
        <w:spacing w:after="0"/>
        <w:rPr>
          <w:rFonts w:hint="cs"/>
          <w:rtl/>
        </w:rPr>
      </w:pPr>
      <w:r>
        <w:rPr>
          <w:rFonts w:hint="cs"/>
          <w:rtl/>
        </w:rPr>
        <w:t>الجدول 8-1</w:t>
      </w:r>
    </w:p>
    <w:p w:rsidR="00A71532" w:rsidRPr="00A71532" w:rsidRDefault="00A71532" w:rsidP="00A71532">
      <w:pPr>
        <w:pStyle w:val="SingleTxt"/>
        <w:rPr>
          <w:rFonts w:hint="cs"/>
          <w:b/>
          <w:bCs/>
          <w:rtl/>
        </w:rPr>
      </w:pPr>
      <w:r w:rsidRPr="00A71532">
        <w:rPr>
          <w:rFonts w:hint="cs"/>
          <w:b/>
          <w:bCs/>
          <w:rtl/>
        </w:rPr>
        <w:t>وفد باكستان لدى الدورات السنوية للجنة حقوق الإنسان التابعة للأمم المتحدة</w:t>
      </w:r>
    </w:p>
    <w:p w:rsidR="00A71532" w:rsidRPr="00A71532" w:rsidRDefault="00A71532" w:rsidP="00A71532">
      <w:pPr>
        <w:pStyle w:val="SingleTxt"/>
        <w:spacing w:after="0" w:line="120" w:lineRule="exact"/>
        <w:rPr>
          <w:rFonts w:hint="cs"/>
          <w:sz w:val="10"/>
          <w:rtl/>
        </w:rPr>
      </w:pPr>
    </w:p>
    <w:tbl>
      <w:tblPr>
        <w:bidiVisual/>
        <w:tblW w:w="0" w:type="auto"/>
        <w:jc w:val="center"/>
        <w:tblInd w:w="1267" w:type="dxa"/>
        <w:tblLayout w:type="fixed"/>
        <w:tblCellMar>
          <w:left w:w="0" w:type="dxa"/>
          <w:right w:w="0" w:type="dxa"/>
        </w:tblCellMar>
        <w:tblLook w:val="0000" w:firstRow="0" w:lastRow="0" w:firstColumn="0" w:lastColumn="0" w:noHBand="0" w:noVBand="0"/>
      </w:tblPr>
      <w:tblGrid>
        <w:gridCol w:w="2505"/>
        <w:gridCol w:w="800"/>
        <w:gridCol w:w="800"/>
        <w:gridCol w:w="3600"/>
      </w:tblGrid>
      <w:tr w:rsidR="00594A6B" w:rsidRPr="00594A6B">
        <w:tblPrEx>
          <w:tblCellMar>
            <w:top w:w="0" w:type="dxa"/>
            <w:bottom w:w="0" w:type="dxa"/>
          </w:tblCellMar>
        </w:tblPrEx>
        <w:trPr>
          <w:cantSplit/>
          <w:tblHeader/>
          <w:jc w:val="center"/>
        </w:trPr>
        <w:tc>
          <w:tcPr>
            <w:tcW w:w="2505" w:type="dxa"/>
            <w:tcBorders>
              <w:top w:val="single" w:sz="4" w:space="0" w:color="auto"/>
              <w:bottom w:val="single" w:sz="12" w:space="0" w:color="auto"/>
            </w:tcBorders>
            <w:shd w:val="clear" w:color="auto" w:fill="auto"/>
            <w:vAlign w:val="bottom"/>
          </w:tcPr>
          <w:p w:rsidR="00594A6B" w:rsidRPr="00594A6B" w:rsidRDefault="00594A6B" w:rsidP="00594A6B">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رقم الدورة والسنة</w:t>
            </w:r>
          </w:p>
        </w:tc>
        <w:tc>
          <w:tcPr>
            <w:tcW w:w="800" w:type="dxa"/>
            <w:tcBorders>
              <w:top w:val="single" w:sz="4" w:space="0" w:color="auto"/>
              <w:bottom w:val="single" w:sz="12" w:space="0" w:color="auto"/>
            </w:tcBorders>
            <w:shd w:val="clear" w:color="auto" w:fill="auto"/>
            <w:vAlign w:val="bottom"/>
          </w:tcPr>
          <w:p w:rsidR="00594A6B" w:rsidRPr="00594A6B" w:rsidRDefault="00594A6B" w:rsidP="00594A6B">
            <w:pPr>
              <w:tabs>
                <w:tab w:val="left" w:pos="288"/>
                <w:tab w:val="left" w:pos="576"/>
                <w:tab w:val="left" w:pos="864"/>
                <w:tab w:val="left" w:pos="1152"/>
              </w:tabs>
              <w:spacing w:before="80" w:after="80" w:line="240" w:lineRule="exact"/>
              <w:ind w:left="72" w:right="144"/>
              <w:jc w:val="lowKashida"/>
              <w:rPr>
                <w:rFonts w:hint="cs"/>
                <w:i/>
                <w:iCs/>
                <w:sz w:val="16"/>
                <w:szCs w:val="24"/>
                <w:rtl/>
              </w:rPr>
            </w:pPr>
            <w:r>
              <w:rPr>
                <w:rFonts w:hint="cs"/>
                <w:i/>
                <w:iCs/>
                <w:sz w:val="16"/>
                <w:szCs w:val="24"/>
                <w:rtl/>
              </w:rPr>
              <w:t>الوزراء في الوفد</w:t>
            </w:r>
          </w:p>
        </w:tc>
        <w:tc>
          <w:tcPr>
            <w:tcW w:w="800" w:type="dxa"/>
            <w:tcBorders>
              <w:top w:val="single" w:sz="4" w:space="0" w:color="auto"/>
              <w:bottom w:val="single" w:sz="12" w:space="0" w:color="auto"/>
            </w:tcBorders>
            <w:shd w:val="clear" w:color="auto" w:fill="auto"/>
            <w:vAlign w:val="bottom"/>
          </w:tcPr>
          <w:p w:rsidR="00594A6B" w:rsidRPr="00594A6B" w:rsidRDefault="00594A6B" w:rsidP="00594A6B">
            <w:pPr>
              <w:tabs>
                <w:tab w:val="left" w:pos="288"/>
                <w:tab w:val="left" w:pos="576"/>
                <w:tab w:val="left" w:pos="864"/>
                <w:tab w:val="left" w:pos="1152"/>
              </w:tabs>
              <w:spacing w:before="80" w:after="80" w:line="240" w:lineRule="exact"/>
              <w:ind w:left="72" w:right="144"/>
              <w:jc w:val="lowKashida"/>
              <w:rPr>
                <w:rFonts w:hint="cs"/>
                <w:i/>
                <w:iCs/>
                <w:sz w:val="16"/>
                <w:szCs w:val="24"/>
                <w:rtl/>
              </w:rPr>
            </w:pPr>
            <w:r>
              <w:rPr>
                <w:rFonts w:hint="cs"/>
                <w:i/>
                <w:iCs/>
                <w:sz w:val="16"/>
                <w:szCs w:val="24"/>
                <w:rtl/>
              </w:rPr>
              <w:t>عدد الوزيرات</w:t>
            </w:r>
          </w:p>
        </w:tc>
        <w:tc>
          <w:tcPr>
            <w:tcW w:w="3600" w:type="dxa"/>
            <w:tcBorders>
              <w:top w:val="single" w:sz="4" w:space="0" w:color="auto"/>
              <w:bottom w:val="single" w:sz="12" w:space="0" w:color="auto"/>
            </w:tcBorders>
            <w:shd w:val="clear" w:color="auto" w:fill="auto"/>
            <w:vAlign w:val="bottom"/>
          </w:tcPr>
          <w:p w:rsidR="00594A6B" w:rsidRPr="00594A6B" w:rsidRDefault="00594A6B" w:rsidP="00594A6B">
            <w:pPr>
              <w:tabs>
                <w:tab w:val="left" w:pos="288"/>
                <w:tab w:val="left" w:pos="576"/>
                <w:tab w:val="left" w:pos="864"/>
                <w:tab w:val="left" w:pos="1152"/>
              </w:tabs>
              <w:spacing w:before="80" w:after="80" w:line="240" w:lineRule="exact"/>
              <w:ind w:left="72" w:right="144"/>
              <w:jc w:val="lowKashida"/>
              <w:rPr>
                <w:rFonts w:hint="cs"/>
                <w:i/>
                <w:iCs/>
                <w:sz w:val="16"/>
                <w:szCs w:val="24"/>
                <w:rtl/>
              </w:rPr>
            </w:pPr>
            <w:r>
              <w:rPr>
                <w:rFonts w:hint="cs"/>
                <w:i/>
                <w:iCs/>
                <w:sz w:val="16"/>
                <w:szCs w:val="24"/>
                <w:rtl/>
              </w:rPr>
              <w:t>رئيس الوفد</w:t>
            </w:r>
          </w:p>
        </w:tc>
      </w:tr>
      <w:tr w:rsidR="00594A6B" w:rsidRPr="00594A6B">
        <w:tblPrEx>
          <w:tblCellMar>
            <w:top w:w="0" w:type="dxa"/>
            <w:bottom w:w="0" w:type="dxa"/>
          </w:tblCellMar>
        </w:tblPrEx>
        <w:trPr>
          <w:cantSplit/>
          <w:trHeight w:hRule="exact" w:val="115"/>
          <w:tblHeader/>
          <w:jc w:val="center"/>
        </w:trPr>
        <w:tc>
          <w:tcPr>
            <w:tcW w:w="2505" w:type="dxa"/>
            <w:tcBorders>
              <w:top w:val="single" w:sz="12" w:space="0" w:color="auto"/>
            </w:tcBorders>
            <w:shd w:val="clear" w:color="auto" w:fill="auto"/>
            <w:vAlign w:val="bottom"/>
          </w:tcPr>
          <w:p w:rsidR="00594A6B" w:rsidRPr="00594A6B" w:rsidRDefault="00594A6B" w:rsidP="00594A6B">
            <w:pPr>
              <w:tabs>
                <w:tab w:val="left" w:pos="288"/>
                <w:tab w:val="left" w:pos="576"/>
                <w:tab w:val="left" w:pos="864"/>
                <w:tab w:val="left" w:pos="1152"/>
              </w:tabs>
              <w:spacing w:before="40" w:after="80" w:line="240" w:lineRule="exact"/>
              <w:ind w:left="72" w:right="72"/>
              <w:rPr>
                <w:rFonts w:hint="cs"/>
                <w:sz w:val="16"/>
                <w:szCs w:val="24"/>
                <w:rtl/>
              </w:rPr>
            </w:pPr>
          </w:p>
        </w:tc>
        <w:tc>
          <w:tcPr>
            <w:tcW w:w="800" w:type="dxa"/>
            <w:tcBorders>
              <w:top w:val="single" w:sz="12" w:space="0" w:color="auto"/>
            </w:tcBorders>
            <w:shd w:val="clear" w:color="auto" w:fill="auto"/>
            <w:vAlign w:val="bottom"/>
          </w:tcPr>
          <w:p w:rsidR="00594A6B" w:rsidRPr="00594A6B" w:rsidRDefault="00594A6B" w:rsidP="00594A6B">
            <w:pPr>
              <w:tabs>
                <w:tab w:val="left" w:pos="288"/>
                <w:tab w:val="left" w:pos="576"/>
                <w:tab w:val="left" w:pos="864"/>
                <w:tab w:val="left" w:pos="1152"/>
              </w:tabs>
              <w:spacing w:before="40" w:after="80" w:line="240" w:lineRule="exact"/>
              <w:ind w:left="72" w:right="144"/>
              <w:jc w:val="lowKashida"/>
              <w:rPr>
                <w:rFonts w:hint="cs"/>
                <w:sz w:val="16"/>
                <w:szCs w:val="24"/>
                <w:rtl/>
              </w:rPr>
            </w:pPr>
          </w:p>
        </w:tc>
        <w:tc>
          <w:tcPr>
            <w:tcW w:w="800" w:type="dxa"/>
            <w:tcBorders>
              <w:top w:val="single" w:sz="12" w:space="0" w:color="auto"/>
            </w:tcBorders>
            <w:shd w:val="clear" w:color="auto" w:fill="auto"/>
            <w:vAlign w:val="bottom"/>
          </w:tcPr>
          <w:p w:rsidR="00594A6B" w:rsidRPr="00594A6B" w:rsidRDefault="00594A6B" w:rsidP="00594A6B">
            <w:pPr>
              <w:tabs>
                <w:tab w:val="left" w:pos="288"/>
                <w:tab w:val="left" w:pos="576"/>
                <w:tab w:val="left" w:pos="864"/>
                <w:tab w:val="left" w:pos="1152"/>
              </w:tabs>
              <w:spacing w:before="40" w:after="80" w:line="240" w:lineRule="exact"/>
              <w:ind w:left="72" w:right="144"/>
              <w:jc w:val="lowKashida"/>
              <w:rPr>
                <w:rFonts w:hint="cs"/>
                <w:sz w:val="16"/>
                <w:szCs w:val="24"/>
                <w:rtl/>
              </w:rPr>
            </w:pPr>
          </w:p>
        </w:tc>
        <w:tc>
          <w:tcPr>
            <w:tcW w:w="3600" w:type="dxa"/>
            <w:tcBorders>
              <w:top w:val="single" w:sz="12" w:space="0" w:color="auto"/>
            </w:tcBorders>
            <w:shd w:val="clear" w:color="auto" w:fill="auto"/>
            <w:vAlign w:val="bottom"/>
          </w:tcPr>
          <w:p w:rsidR="00594A6B" w:rsidRPr="00594A6B" w:rsidRDefault="00594A6B" w:rsidP="00594A6B">
            <w:pPr>
              <w:tabs>
                <w:tab w:val="left" w:pos="288"/>
                <w:tab w:val="left" w:pos="576"/>
                <w:tab w:val="left" w:pos="864"/>
                <w:tab w:val="left" w:pos="1152"/>
              </w:tabs>
              <w:spacing w:before="40" w:after="80" w:line="240" w:lineRule="exact"/>
              <w:ind w:left="72" w:right="144"/>
              <w:jc w:val="lowKashida"/>
              <w:rPr>
                <w:rFonts w:hint="cs"/>
                <w:sz w:val="16"/>
                <w:szCs w:val="24"/>
                <w:rtl/>
              </w:rPr>
            </w:pPr>
          </w:p>
        </w:tc>
      </w:tr>
      <w:tr w:rsidR="00594A6B" w:rsidRPr="00594A6B">
        <w:tblPrEx>
          <w:tblCellMar>
            <w:top w:w="0" w:type="dxa"/>
            <w:bottom w:w="0" w:type="dxa"/>
          </w:tblCellMar>
        </w:tblPrEx>
        <w:trPr>
          <w:cantSplit/>
          <w:jc w:val="center"/>
        </w:trPr>
        <w:tc>
          <w:tcPr>
            <w:tcW w:w="2505" w:type="dxa"/>
            <w:shd w:val="clear" w:color="auto" w:fill="auto"/>
            <w:vAlign w:val="bottom"/>
          </w:tcPr>
          <w:p w:rsidR="00594A6B" w:rsidRPr="00594A6B" w:rsidRDefault="00594A6B" w:rsidP="00594A6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الدورة السادسة والخمسون، 2000</w:t>
            </w:r>
          </w:p>
        </w:tc>
        <w:tc>
          <w:tcPr>
            <w:tcW w:w="800" w:type="dxa"/>
            <w:shd w:val="clear" w:color="auto" w:fill="auto"/>
            <w:vAlign w:val="bottom"/>
          </w:tcPr>
          <w:p w:rsidR="00594A6B" w:rsidRPr="00594A6B" w:rsidRDefault="00594A6B" w:rsidP="00594A6B">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4</w:t>
            </w:r>
          </w:p>
        </w:tc>
        <w:tc>
          <w:tcPr>
            <w:tcW w:w="800" w:type="dxa"/>
            <w:shd w:val="clear" w:color="auto" w:fill="auto"/>
            <w:vAlign w:val="bottom"/>
          </w:tcPr>
          <w:p w:rsidR="00594A6B" w:rsidRPr="00594A6B" w:rsidRDefault="00594A6B" w:rsidP="00594A6B">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2</w:t>
            </w:r>
          </w:p>
        </w:tc>
        <w:tc>
          <w:tcPr>
            <w:tcW w:w="3600" w:type="dxa"/>
            <w:shd w:val="clear" w:color="auto" w:fill="auto"/>
            <w:vAlign w:val="bottom"/>
          </w:tcPr>
          <w:p w:rsidR="00594A6B" w:rsidRPr="00594A6B" w:rsidRDefault="00594A6B" w:rsidP="00594A6B">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وزيرة القانون والعدل وحقوق الإنسان</w:t>
            </w:r>
          </w:p>
        </w:tc>
      </w:tr>
      <w:tr w:rsidR="00594A6B" w:rsidRPr="00594A6B">
        <w:tblPrEx>
          <w:tblCellMar>
            <w:top w:w="0" w:type="dxa"/>
            <w:bottom w:w="0" w:type="dxa"/>
          </w:tblCellMar>
        </w:tblPrEx>
        <w:trPr>
          <w:cantSplit/>
          <w:jc w:val="center"/>
        </w:trPr>
        <w:tc>
          <w:tcPr>
            <w:tcW w:w="2505" w:type="dxa"/>
            <w:shd w:val="clear" w:color="auto" w:fill="auto"/>
            <w:vAlign w:val="bottom"/>
          </w:tcPr>
          <w:p w:rsidR="00594A6B" w:rsidRPr="00594A6B" w:rsidRDefault="00594A6B" w:rsidP="00594A6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الدورة السابعة والخمسون، 2001</w:t>
            </w:r>
          </w:p>
        </w:tc>
        <w:tc>
          <w:tcPr>
            <w:tcW w:w="800" w:type="dxa"/>
            <w:shd w:val="clear" w:color="auto" w:fill="auto"/>
            <w:vAlign w:val="bottom"/>
          </w:tcPr>
          <w:p w:rsidR="00594A6B" w:rsidRPr="00594A6B" w:rsidRDefault="00594A6B" w:rsidP="00594A6B">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4</w:t>
            </w:r>
          </w:p>
        </w:tc>
        <w:tc>
          <w:tcPr>
            <w:tcW w:w="800" w:type="dxa"/>
            <w:shd w:val="clear" w:color="auto" w:fill="auto"/>
            <w:vAlign w:val="bottom"/>
          </w:tcPr>
          <w:p w:rsidR="00594A6B" w:rsidRPr="00594A6B" w:rsidRDefault="00594A6B" w:rsidP="00594A6B">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2</w:t>
            </w:r>
          </w:p>
        </w:tc>
        <w:tc>
          <w:tcPr>
            <w:tcW w:w="3600" w:type="dxa"/>
            <w:shd w:val="clear" w:color="auto" w:fill="auto"/>
            <w:vAlign w:val="bottom"/>
          </w:tcPr>
          <w:p w:rsidR="00594A6B" w:rsidRPr="00594A6B" w:rsidRDefault="00594A6B" w:rsidP="00594A6B">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وزيرة تنمية المرأة والرعاية الاجتماعية والتعليم الخاص</w:t>
            </w:r>
          </w:p>
        </w:tc>
      </w:tr>
      <w:tr w:rsidR="00594A6B" w:rsidRPr="00594A6B">
        <w:tblPrEx>
          <w:tblCellMar>
            <w:top w:w="0" w:type="dxa"/>
            <w:bottom w:w="0" w:type="dxa"/>
          </w:tblCellMar>
        </w:tblPrEx>
        <w:trPr>
          <w:cantSplit/>
          <w:jc w:val="center"/>
        </w:trPr>
        <w:tc>
          <w:tcPr>
            <w:tcW w:w="2505" w:type="dxa"/>
            <w:tcBorders>
              <w:bottom w:val="single" w:sz="12" w:space="0" w:color="auto"/>
            </w:tcBorders>
            <w:shd w:val="clear" w:color="auto" w:fill="auto"/>
            <w:vAlign w:val="bottom"/>
          </w:tcPr>
          <w:p w:rsidR="00594A6B" w:rsidRPr="00594A6B" w:rsidRDefault="00594A6B" w:rsidP="00594A6B">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الدورة الثامنة والخمسون، 2002</w:t>
            </w:r>
          </w:p>
        </w:tc>
        <w:tc>
          <w:tcPr>
            <w:tcW w:w="800" w:type="dxa"/>
            <w:tcBorders>
              <w:bottom w:val="single" w:sz="12" w:space="0" w:color="auto"/>
            </w:tcBorders>
            <w:shd w:val="clear" w:color="auto" w:fill="auto"/>
            <w:vAlign w:val="bottom"/>
          </w:tcPr>
          <w:p w:rsidR="00594A6B" w:rsidRPr="00594A6B" w:rsidRDefault="00594A6B" w:rsidP="00594A6B">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4</w:t>
            </w:r>
          </w:p>
        </w:tc>
        <w:tc>
          <w:tcPr>
            <w:tcW w:w="800" w:type="dxa"/>
            <w:tcBorders>
              <w:bottom w:val="single" w:sz="12" w:space="0" w:color="auto"/>
            </w:tcBorders>
            <w:shd w:val="clear" w:color="auto" w:fill="auto"/>
            <w:vAlign w:val="bottom"/>
          </w:tcPr>
          <w:p w:rsidR="00594A6B" w:rsidRPr="00594A6B" w:rsidRDefault="00594A6B" w:rsidP="00594A6B">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2</w:t>
            </w:r>
          </w:p>
        </w:tc>
        <w:tc>
          <w:tcPr>
            <w:tcW w:w="3600" w:type="dxa"/>
            <w:tcBorders>
              <w:bottom w:val="single" w:sz="12" w:space="0" w:color="auto"/>
            </w:tcBorders>
            <w:shd w:val="clear" w:color="auto" w:fill="auto"/>
            <w:vAlign w:val="bottom"/>
          </w:tcPr>
          <w:p w:rsidR="00594A6B" w:rsidRPr="00594A6B" w:rsidRDefault="00594A6B" w:rsidP="00594A6B">
            <w:pPr>
              <w:tabs>
                <w:tab w:val="left" w:pos="288"/>
                <w:tab w:val="left" w:pos="576"/>
                <w:tab w:val="left" w:pos="864"/>
                <w:tab w:val="left" w:pos="1152"/>
              </w:tabs>
              <w:spacing w:before="40" w:after="80" w:line="240" w:lineRule="exact"/>
              <w:ind w:left="72" w:right="144"/>
              <w:jc w:val="lowKashida"/>
              <w:rPr>
                <w:rFonts w:hint="cs"/>
                <w:sz w:val="16"/>
                <w:szCs w:val="24"/>
                <w:rtl/>
              </w:rPr>
            </w:pPr>
            <w:r>
              <w:rPr>
                <w:rFonts w:hint="cs"/>
                <w:sz w:val="16"/>
                <w:szCs w:val="24"/>
                <w:rtl/>
              </w:rPr>
              <w:t>وزير الخارجية</w:t>
            </w:r>
          </w:p>
        </w:tc>
      </w:tr>
    </w:tbl>
    <w:p w:rsidR="00594A6B" w:rsidRPr="00594A6B" w:rsidRDefault="00594A6B" w:rsidP="00594A6B">
      <w:pPr>
        <w:pStyle w:val="SingleTxt"/>
        <w:spacing w:after="0" w:line="120" w:lineRule="exact"/>
        <w:rPr>
          <w:rFonts w:hint="cs"/>
          <w:sz w:val="10"/>
          <w:rtl/>
        </w:rPr>
      </w:pPr>
    </w:p>
    <w:p w:rsidR="00A71532" w:rsidRDefault="00854CFC" w:rsidP="00854C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بيان الخطوات المتخذة لنشر، على نطاق واسع، المعلومات المتعلقة بالالتزامات الدولية للحكومة، والتي تمس المرأة، ونشر الوثائق الرسمية التي تصدرها المحافل المتعددة الأطراف، ولا سيما إلى الهيئات الحكومية وغير الحكومية </w:t>
      </w:r>
      <w:proofErr w:type="spellStart"/>
      <w:r>
        <w:rPr>
          <w:rFonts w:hint="cs"/>
          <w:rtl/>
        </w:rPr>
        <w:t>المسؤولة</w:t>
      </w:r>
      <w:proofErr w:type="spellEnd"/>
      <w:r>
        <w:rPr>
          <w:rFonts w:hint="cs"/>
          <w:rtl/>
        </w:rPr>
        <w:t xml:space="preserve"> عن النهوض بالمرأة</w:t>
      </w:r>
    </w:p>
    <w:p w:rsidR="00854CFC" w:rsidRDefault="00854CFC" w:rsidP="00854CFC">
      <w:pPr>
        <w:pStyle w:val="SingleTxt"/>
        <w:rPr>
          <w:rFonts w:hint="cs"/>
          <w:rtl/>
        </w:rPr>
      </w:pPr>
      <w:r>
        <w:rPr>
          <w:rFonts w:hint="cs"/>
          <w:rtl/>
        </w:rPr>
        <w:t>182-</w:t>
      </w:r>
      <w:r>
        <w:rPr>
          <w:rFonts w:hint="cs"/>
          <w:rtl/>
        </w:rPr>
        <w:tab/>
        <w:t>سبق أن أوردنا المعلومات الخاصة بنشر اتفاقية القضاء على جميع أشكال التمييز ضد المرأة، فقد ترجمت الاتفاقية إلى الأوردو، ونشر النص على نطاق واسع - في المدارس، والكليات، والجامعات، والإدارات الحكومية، والمكتبات وما إلى ذلك. وتم، بالمثل، نشر اتفاقية حقوق الطفل، على نطاق واسع. وترجمت إلى أهم اللغات الإقليمية. ويوجد لدى المنظمات غير الحكومية، بصورة عامة، نص لأهم معاهدات حقوق الإنسان. وقد يسر الإنترنت الحصول على نص المعاهدات المختلفة.</w:t>
      </w:r>
    </w:p>
    <w:p w:rsidR="00854CFC" w:rsidRDefault="00854CFC" w:rsidP="00854CFC">
      <w:pPr>
        <w:pStyle w:val="SingleTxt"/>
        <w:rPr>
          <w:rFonts w:hint="cs"/>
          <w:rtl/>
        </w:rPr>
      </w:pPr>
      <w:r>
        <w:rPr>
          <w:rFonts w:hint="cs"/>
          <w:rtl/>
        </w:rPr>
        <w:t>183-</w:t>
      </w:r>
      <w:r>
        <w:rPr>
          <w:rFonts w:hint="cs"/>
          <w:rtl/>
        </w:rPr>
        <w:tab/>
        <w:t>تقديم معلومات عن التمييز ضد المرأة بسبب أنشطتها السياسية، سواء كانت بصفتها الفردية أو بوصفها عضوا في منظمة نسائية أو غيرها.</w:t>
      </w:r>
    </w:p>
    <w:p w:rsidR="00854CFC" w:rsidRDefault="00854CFC" w:rsidP="009E10E9">
      <w:pPr>
        <w:pStyle w:val="SingleTxt"/>
        <w:rPr>
          <w:rFonts w:hint="cs"/>
          <w:rtl/>
        </w:rPr>
      </w:pPr>
      <w:r>
        <w:rPr>
          <w:rFonts w:hint="cs"/>
          <w:rtl/>
        </w:rPr>
        <w:t>184-</w:t>
      </w:r>
      <w:r>
        <w:rPr>
          <w:rFonts w:hint="cs"/>
          <w:rtl/>
        </w:rPr>
        <w:tab/>
        <w:t>لا يستطيع موظفو الحكومة المشاركة في الأنشطة السياسية، بصورة فعالة. وبينما لا</w:t>
      </w:r>
      <w:r>
        <w:rPr>
          <w:rFonts w:hint="eastAsia"/>
          <w:rtl/>
        </w:rPr>
        <w:t> </w:t>
      </w:r>
      <w:r>
        <w:rPr>
          <w:rFonts w:hint="cs"/>
          <w:rtl/>
        </w:rPr>
        <w:t>توجد حوا</w:t>
      </w:r>
      <w:r w:rsidR="009E10E9">
        <w:rPr>
          <w:rFonts w:hint="cs"/>
          <w:rtl/>
        </w:rPr>
        <w:t>ج</w:t>
      </w:r>
      <w:r>
        <w:rPr>
          <w:rFonts w:hint="cs"/>
          <w:rtl/>
        </w:rPr>
        <w:t>ز تحول دون ممارستهم لحق التصويت، فإنهم لا يستطيعون الانضمام إلى الأحزاب السياسية. ولا توجد حواجز أمام مشاركة أي مواطن باكستاني في الأنشطة السياسية، خلافا لذلك. وليس هناك تمييز، على ما يبدو، ضد أي شخص، سواء كان ذكرا أو أنثى، على أساس رأيه السياسي أو أنشطته السياسية ما دامت في حدود القانون.</w:t>
      </w:r>
    </w:p>
    <w:p w:rsidR="00854CFC" w:rsidRPr="00854CFC" w:rsidRDefault="00854CFC" w:rsidP="00854CFC">
      <w:pPr>
        <w:pStyle w:val="SingleTxt"/>
        <w:spacing w:after="0" w:line="120" w:lineRule="exact"/>
        <w:rPr>
          <w:rFonts w:hint="cs"/>
          <w:sz w:val="10"/>
          <w:rtl/>
        </w:rPr>
      </w:pPr>
    </w:p>
    <w:p w:rsidR="00854CFC" w:rsidRDefault="00854CFC" w:rsidP="00854CF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التاسع</w:t>
      </w:r>
    </w:p>
    <w:p w:rsidR="00854CFC" w:rsidRDefault="00854CFC" w:rsidP="00854CF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9</w:t>
      </w:r>
    </w:p>
    <w:p w:rsidR="00854CFC" w:rsidRDefault="00854CFC" w:rsidP="00854C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(الجنسية)</w:t>
      </w:r>
    </w:p>
    <w:p w:rsidR="00854CFC" w:rsidRDefault="00854CFC" w:rsidP="00854C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الأحكام الدستورية والقانونية</w:t>
      </w:r>
    </w:p>
    <w:p w:rsidR="00854CFC" w:rsidRDefault="00854CFC" w:rsidP="00854CFC">
      <w:pPr>
        <w:pStyle w:val="SingleTxt"/>
        <w:rPr>
          <w:rFonts w:hint="cs"/>
          <w:rtl/>
        </w:rPr>
      </w:pPr>
      <w:r>
        <w:rPr>
          <w:rFonts w:hint="cs"/>
          <w:rtl/>
        </w:rPr>
        <w:t>185-</w:t>
      </w:r>
      <w:r>
        <w:rPr>
          <w:rFonts w:hint="cs"/>
          <w:rtl/>
        </w:rPr>
        <w:tab/>
        <w:t>صدر قانون الجنسية الباكستان</w:t>
      </w:r>
      <w:r w:rsidR="009E10E9">
        <w:rPr>
          <w:rFonts w:hint="cs"/>
          <w:rtl/>
        </w:rPr>
        <w:t>ي</w:t>
      </w:r>
      <w:r>
        <w:rPr>
          <w:rFonts w:hint="cs"/>
          <w:rtl/>
        </w:rPr>
        <w:t xml:space="preserve"> (القانون رقم 2 لسنة 1951) في 13 نيسان/أبريل 1951 ليحل محل قانون حكومة الهند، لسنة 1935. وبموجب هذا القانون، تتمتع المرأة حاليا بحقوق مساوية لحقوق الرجل في اكتساب الجنسية أو تغييرها أو الاحتفاظ بها. وتحدد الجنسية عن طريق المولد والنسب والزواج وتجميع لكل هذه العوامل.</w:t>
      </w:r>
    </w:p>
    <w:p w:rsidR="00854CFC" w:rsidRDefault="00854CFC" w:rsidP="00854CFC">
      <w:pPr>
        <w:pStyle w:val="SingleTxt"/>
        <w:rPr>
          <w:rFonts w:hint="cs"/>
          <w:rtl/>
        </w:rPr>
      </w:pPr>
      <w:r>
        <w:rPr>
          <w:rFonts w:hint="cs"/>
          <w:rtl/>
        </w:rPr>
        <w:t>186-</w:t>
      </w:r>
      <w:r>
        <w:rPr>
          <w:rFonts w:hint="cs"/>
          <w:rtl/>
        </w:rPr>
        <w:tab/>
        <w:t>ووفقا لقانون الجنسية لسنة 1951:</w:t>
      </w:r>
    </w:p>
    <w:p w:rsidR="00854CFC" w:rsidRDefault="00854CFC" w:rsidP="00854CFC">
      <w:pPr>
        <w:pStyle w:val="SingleTxt"/>
        <w:rPr>
          <w:rFonts w:hint="cs"/>
          <w:rtl/>
        </w:rPr>
      </w:pPr>
      <w:r>
        <w:rPr>
          <w:rFonts w:hint="cs"/>
          <w:rtl/>
        </w:rPr>
        <w:tab/>
        <w:t>(أ)</w:t>
      </w:r>
      <w:r>
        <w:rPr>
          <w:rFonts w:hint="cs"/>
          <w:rtl/>
        </w:rPr>
        <w:tab/>
        <w:t>أي شخص يكون أبواه أو أي منهما أو أجداده أو أي منهما مولودا في الإقليم المشمول حاليا في باكستان ولم يقم إقامة دائمة في أي بلد خارج باكستان اعتبارا من 14 آب/أغسطس 1947 يعتبر مواطنا باكستانيا؛ أو</w:t>
      </w:r>
    </w:p>
    <w:p w:rsidR="00854CFC" w:rsidRDefault="00854CFC" w:rsidP="00854CFC">
      <w:pPr>
        <w:pStyle w:val="SingleTxt"/>
        <w:rPr>
          <w:rFonts w:hint="cs"/>
          <w:rtl/>
        </w:rPr>
      </w:pPr>
      <w:r>
        <w:rPr>
          <w:rFonts w:hint="cs"/>
          <w:rtl/>
        </w:rPr>
        <w:tab/>
        <w:t>(ب)</w:t>
      </w:r>
      <w:r>
        <w:rPr>
          <w:rFonts w:hint="cs"/>
          <w:rtl/>
        </w:rPr>
        <w:tab/>
        <w:t>أي شخص ولد أبواه أو أي منهما أو أجداده أو أي منهم في الأقاليم المشمولة في الهند في 31 آذار/مارس 1937؛</w:t>
      </w:r>
    </w:p>
    <w:p w:rsidR="00854CFC" w:rsidRDefault="00854CFC" w:rsidP="00854CFC">
      <w:pPr>
        <w:pStyle w:val="SingleTxt"/>
        <w:rPr>
          <w:rFonts w:hint="cs"/>
          <w:rtl/>
        </w:rPr>
      </w:pPr>
      <w:r>
        <w:rPr>
          <w:rFonts w:hint="cs"/>
          <w:rtl/>
        </w:rPr>
        <w:tab/>
        <w:t>(ج)</w:t>
      </w:r>
      <w:r>
        <w:rPr>
          <w:rFonts w:hint="cs"/>
          <w:rtl/>
        </w:rPr>
        <w:tab/>
        <w:t>أي شخص أصبح مواطنا بريطانيا في باكستان وتخلى عن جنسيته الأخرى، إن وجدت، قبل بدء نفاذ هذا القانون؛</w:t>
      </w:r>
    </w:p>
    <w:p w:rsidR="00854CFC" w:rsidRDefault="00854CFC" w:rsidP="00854CFC">
      <w:pPr>
        <w:pStyle w:val="SingleTxt"/>
        <w:rPr>
          <w:rFonts w:hint="cs"/>
          <w:rtl/>
        </w:rPr>
      </w:pPr>
      <w:r>
        <w:rPr>
          <w:rFonts w:hint="cs"/>
          <w:rtl/>
        </w:rPr>
        <w:tab/>
        <w:t>(د)</w:t>
      </w:r>
      <w:r>
        <w:rPr>
          <w:rFonts w:hint="cs"/>
          <w:rtl/>
        </w:rPr>
        <w:tab/>
        <w:t>أي شخص هاجر إلى الأقاليم المشمولة حاليا في باكستان قبل بدء نفاذ هذا القانون.</w:t>
      </w:r>
    </w:p>
    <w:p w:rsidR="00854CFC" w:rsidRPr="00854CFC" w:rsidRDefault="00854CFC" w:rsidP="00854CFC">
      <w:pPr>
        <w:pStyle w:val="SingleTxt"/>
        <w:spacing w:after="0" w:line="120" w:lineRule="exact"/>
        <w:rPr>
          <w:rFonts w:hint="cs"/>
          <w:sz w:val="10"/>
          <w:rtl/>
        </w:rPr>
      </w:pPr>
    </w:p>
    <w:p w:rsidR="00854CFC" w:rsidRDefault="00854CFC" w:rsidP="00854C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الجنسية بالمولد</w:t>
      </w:r>
    </w:p>
    <w:p w:rsidR="00854CFC" w:rsidRDefault="00854CFC" w:rsidP="00854CFC">
      <w:pPr>
        <w:pStyle w:val="SingleTxt"/>
        <w:rPr>
          <w:rFonts w:hint="cs"/>
          <w:rtl/>
        </w:rPr>
      </w:pPr>
      <w:r>
        <w:rPr>
          <w:rFonts w:hint="cs"/>
          <w:rtl/>
        </w:rPr>
        <w:t>187-</w:t>
      </w:r>
      <w:r>
        <w:rPr>
          <w:rFonts w:hint="cs"/>
          <w:rtl/>
        </w:rPr>
        <w:tab/>
        <w:t>ينص قانون الجنسية الباكستاني على أن:</w:t>
      </w:r>
    </w:p>
    <w:p w:rsidR="00854CFC" w:rsidRDefault="00854CFC" w:rsidP="00854CFC">
      <w:pPr>
        <w:pStyle w:val="SingleTxt"/>
        <w:rPr>
          <w:rFonts w:hint="cs"/>
          <w:rtl/>
        </w:rPr>
      </w:pPr>
      <w:r>
        <w:rPr>
          <w:rFonts w:hint="cs"/>
          <w:rtl/>
        </w:rPr>
        <w:tab/>
        <w:t>(أ)</w:t>
      </w:r>
      <w:r>
        <w:rPr>
          <w:rFonts w:hint="cs"/>
          <w:rtl/>
        </w:rPr>
        <w:tab/>
      </w:r>
      <w:r w:rsidR="00CC484D">
        <w:rPr>
          <w:rFonts w:hint="cs"/>
          <w:rtl/>
        </w:rPr>
        <w:t>كل شخص مولود في باكستان بعد بدء نفاذ هذا القانون يعتبر مواطنا باكستانيا بالمولد؛</w:t>
      </w:r>
    </w:p>
    <w:p w:rsidR="00CC484D" w:rsidRDefault="00CC484D" w:rsidP="00854CFC">
      <w:pPr>
        <w:pStyle w:val="SingleTxt"/>
        <w:rPr>
          <w:rFonts w:hint="cs"/>
          <w:rtl/>
        </w:rPr>
      </w:pPr>
      <w:r>
        <w:rPr>
          <w:rFonts w:hint="cs"/>
          <w:rtl/>
        </w:rPr>
        <w:tab/>
        <w:t>(ب)</w:t>
      </w:r>
      <w:r>
        <w:rPr>
          <w:rFonts w:hint="cs"/>
          <w:rtl/>
        </w:rPr>
        <w:tab/>
        <w:t>لا فرق بين الذكر والأنثى، ولا يعتمد هذا النوع من الجنسية على كون والد الشخص أو أمه أو أي من أسلافه من المواطنين (المادة 4).</w:t>
      </w:r>
    </w:p>
    <w:p w:rsidR="00CC484D" w:rsidRDefault="00CC484D" w:rsidP="00854CFC">
      <w:pPr>
        <w:pStyle w:val="SingleTxt"/>
        <w:rPr>
          <w:rFonts w:hint="cs"/>
          <w:rtl/>
        </w:rPr>
      </w:pPr>
      <w:r>
        <w:rPr>
          <w:rFonts w:hint="cs"/>
          <w:rtl/>
        </w:rPr>
        <w:tab/>
        <w:t>(ج)</w:t>
      </w:r>
      <w:r>
        <w:rPr>
          <w:rFonts w:hint="cs"/>
          <w:rtl/>
        </w:rPr>
        <w:tab/>
        <w:t>يستطيع أي شخص يكون مقيما خارج باكستان وقت بدء نفاذ هذا القانون أن يُسجل نفسه كمواطن باكستاني إذا كان هو/هي أو أبواه/أبوها أو جده لأبوه/ أو جدها لأبوها مولودا في الأقاليم المشمولة في باكستان (المادة 8).</w:t>
      </w:r>
    </w:p>
    <w:p w:rsidR="00CC484D" w:rsidRPr="00CC484D" w:rsidRDefault="00CC484D" w:rsidP="00CC484D">
      <w:pPr>
        <w:pStyle w:val="SingleTxt"/>
        <w:spacing w:after="0" w:line="120" w:lineRule="exact"/>
        <w:rPr>
          <w:rFonts w:hint="cs"/>
          <w:sz w:val="10"/>
          <w:rtl/>
        </w:rPr>
      </w:pPr>
    </w:p>
    <w:p w:rsidR="00CC484D" w:rsidRDefault="00CC484D" w:rsidP="009E10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الجنسية ع</w:t>
      </w:r>
      <w:r w:rsidR="009E10E9">
        <w:rPr>
          <w:rFonts w:hint="cs"/>
          <w:rtl/>
        </w:rPr>
        <w:t>ن</w:t>
      </w:r>
      <w:r>
        <w:rPr>
          <w:rFonts w:hint="cs"/>
          <w:rtl/>
        </w:rPr>
        <w:t xml:space="preserve"> طريق الهجرة</w:t>
      </w:r>
    </w:p>
    <w:p w:rsidR="00CC484D" w:rsidRDefault="00CC484D" w:rsidP="009E10E9">
      <w:pPr>
        <w:pStyle w:val="SingleTxt"/>
        <w:rPr>
          <w:rFonts w:hint="cs"/>
          <w:rtl/>
        </w:rPr>
      </w:pPr>
      <w:r>
        <w:rPr>
          <w:rFonts w:hint="cs"/>
          <w:rtl/>
        </w:rPr>
        <w:t>188-</w:t>
      </w:r>
      <w:r>
        <w:rPr>
          <w:rFonts w:hint="cs"/>
          <w:rtl/>
        </w:rPr>
        <w:tab/>
        <w:t>تشمل المادة 6 من قانون الجنسية، اكتساب الجنسية عن طريق الهجرة. و</w:t>
      </w:r>
      <w:r w:rsidR="009E10E9">
        <w:rPr>
          <w:rFonts w:hint="cs"/>
          <w:rtl/>
        </w:rPr>
        <w:t>ت</w:t>
      </w:r>
      <w:r>
        <w:rPr>
          <w:rFonts w:hint="cs"/>
          <w:rtl/>
        </w:rPr>
        <w:t>نص على أنه يمكن تسجيل الشخص كمواطن لباكستان إذا كان قد هاجر إلى الأقاليم المشمولة في باكستان بنية الإقامة الدائمة. وتصبح زوجته، إن وجدت وأي من أبنائه القصر ومن يعولهم سواء كان ذلك جزئيا أو بصورة كاملة، مواطنين باكستانيين أيضا.</w:t>
      </w:r>
    </w:p>
    <w:p w:rsidR="00CC484D" w:rsidRDefault="00CC484D" w:rsidP="00CC484D">
      <w:pPr>
        <w:pStyle w:val="SingleTxt"/>
        <w:rPr>
          <w:rFonts w:hint="cs"/>
          <w:rtl/>
        </w:rPr>
      </w:pPr>
      <w:r>
        <w:rPr>
          <w:rFonts w:hint="cs"/>
          <w:rtl/>
        </w:rPr>
        <w:t>189-</w:t>
      </w:r>
      <w:r>
        <w:rPr>
          <w:rFonts w:hint="cs"/>
          <w:rtl/>
        </w:rPr>
        <w:tab/>
        <w:t>وتنص المادة 10 (2) على منح الجنسية للزوجة الأجنبية للمواطن الباكستاني. ومع مراعاة المادة الفرعية (1) والمادة الفرعية (4)، يحق للمرأة التي تزوجت من مواطن باكستاني بموجب المواد 3 و 4 و 5 أن تسجل كمواطنة باكستانية تزوجت من مواطن باكستاني عند التقدم بطلب إلى الحكومة الاتحادية بالأسلوب المحدد، والحصول على شهادة إقامة وبعد أن تقسم قسم الولاء بالشكل الوارد في الجدول المرفق بهذا القانون، إذا كانت أجنبية.</w:t>
      </w:r>
    </w:p>
    <w:p w:rsidR="00CC484D" w:rsidRDefault="00CC484D" w:rsidP="00CC484D">
      <w:pPr>
        <w:pStyle w:val="SingleTxt"/>
        <w:rPr>
          <w:rFonts w:hint="cs"/>
          <w:rtl/>
        </w:rPr>
      </w:pPr>
      <w:r>
        <w:rPr>
          <w:rFonts w:hint="cs"/>
          <w:rtl/>
        </w:rPr>
        <w:t>190-</w:t>
      </w:r>
      <w:r>
        <w:rPr>
          <w:rFonts w:hint="cs"/>
          <w:rtl/>
        </w:rPr>
        <w:tab/>
        <w:t>ولا يقتضي القانون أن تفقد المرأة الباكستانية جنسيتها إذا تزوجت بشخص غير باكستاني.</w:t>
      </w:r>
    </w:p>
    <w:p w:rsidR="00CC484D" w:rsidRDefault="00CC484D" w:rsidP="00CC484D">
      <w:pPr>
        <w:pStyle w:val="SingleTxt"/>
        <w:rPr>
          <w:rFonts w:hint="cs"/>
          <w:rtl/>
        </w:rPr>
      </w:pPr>
      <w:r>
        <w:rPr>
          <w:rFonts w:hint="cs"/>
          <w:rtl/>
        </w:rPr>
        <w:t>191-</w:t>
      </w:r>
      <w:r>
        <w:rPr>
          <w:rFonts w:hint="cs"/>
          <w:rtl/>
        </w:rPr>
        <w:tab/>
        <w:t>وفي سنة 2000، تم تعديل قانون الجنسية لسنة 1951، لتمكين المرأة الباكستانية الأصل من المطالبة بالجنسية الباكستانية لأولادها المولودين من أزواج أجانب. وقبل ذلك، كان القانون يسمح بمنح الجنسية الباكستانية للطفل إذا كان أبوه مواطنا باكستانيا استنادا إلى مبدأ حق الجنسية بالميراث من جانب الأب فقط. وكان هذا الحكم يخل بمصالح النساء الباكستانيات المتزوجات بأجانب والمقيمات خارج باكستان. وقد تغير ذلك الآن. ويحتاج القانون إلى تعديل آخر وهو منح الحق في الجنسية الباكستانية إلى زوج المرأة الباكستانية المتزوجة من أجنبي. وقد أوصت اللجنة الوطنية لوضع المرأة بتعديل القانون على النحو الملائم. وقد شرعت وزارة تنمية المرأة في هذه العملية.</w:t>
      </w:r>
    </w:p>
    <w:p w:rsidR="00CC484D" w:rsidRDefault="00CC484D" w:rsidP="009E10E9">
      <w:pPr>
        <w:pStyle w:val="SingleTxt"/>
        <w:rPr>
          <w:rFonts w:hint="cs"/>
          <w:rtl/>
        </w:rPr>
      </w:pPr>
      <w:r>
        <w:rPr>
          <w:rFonts w:hint="cs"/>
          <w:rtl/>
        </w:rPr>
        <w:t>192-</w:t>
      </w:r>
      <w:r>
        <w:rPr>
          <w:rFonts w:hint="cs"/>
          <w:rtl/>
        </w:rPr>
        <w:tab/>
        <w:t>وتمنح المادة 14 - ألف سلطة متساوية للرجل والمرأة في التنازل عن الجنسية. ولكن للأب وحده الحق في التنازل بالنسبة للأبناء القصَّر. ويستطيع أي مواطن (</w:t>
      </w:r>
      <w:r w:rsidR="009E10E9">
        <w:rPr>
          <w:rFonts w:hint="cs"/>
          <w:rtl/>
        </w:rPr>
        <w:t>ر</w:t>
      </w:r>
      <w:r>
        <w:rPr>
          <w:rFonts w:hint="cs"/>
          <w:rtl/>
        </w:rPr>
        <w:t>جلا كان أو امرأة) غير قاصر يضمن له الحصول على جنسية بلد آخر عند التنازل عن جنسيته الباكستانية أن يفعل ذلك.</w:t>
      </w:r>
    </w:p>
    <w:p w:rsidR="00CC484D" w:rsidRPr="00CC484D" w:rsidRDefault="00CC484D" w:rsidP="00CC484D">
      <w:pPr>
        <w:pStyle w:val="SingleTxt"/>
        <w:spacing w:after="0" w:line="120" w:lineRule="exact"/>
        <w:rPr>
          <w:rFonts w:hint="cs"/>
          <w:sz w:val="10"/>
          <w:rtl/>
        </w:rPr>
      </w:pPr>
    </w:p>
    <w:p w:rsidR="00CC484D" w:rsidRDefault="00CC484D" w:rsidP="00CC48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الحق في حمل جواز السفر</w:t>
      </w:r>
    </w:p>
    <w:p w:rsidR="00CC484D" w:rsidRDefault="00CC484D" w:rsidP="00CC484D">
      <w:pPr>
        <w:pStyle w:val="SingleTxt"/>
        <w:rPr>
          <w:rFonts w:hint="cs"/>
          <w:rtl/>
        </w:rPr>
      </w:pPr>
      <w:r>
        <w:rPr>
          <w:rFonts w:hint="cs"/>
          <w:rtl/>
        </w:rPr>
        <w:t>193-</w:t>
      </w:r>
      <w:r>
        <w:rPr>
          <w:rFonts w:hint="cs"/>
          <w:rtl/>
        </w:rPr>
        <w:tab/>
        <w:t>تستطيع المرأة الحصول على جواز سفر بنفس الطريقة التي يحصل بها الرجل عليه. ويمكن إدراج أبناء المرأة القصَّر في جواز سفرها. ولا تصدر جوازات سفر منفصلة للأبناء القصَّر. ولا يشترط الحصول على موافقة الأب لإدراج أسماء الأبناء القصَّر في جواز سفر الأم. وللمرأة حرية السفر بجواز سفرها الخاص ولم تطبق أي قيود على سفرها داخل باكستان، في أي وقت من الأوقات.</w:t>
      </w:r>
    </w:p>
    <w:p w:rsidR="00CC484D" w:rsidRPr="00CC484D" w:rsidRDefault="00CC484D" w:rsidP="00CC484D">
      <w:pPr>
        <w:pStyle w:val="SingleTxt"/>
        <w:spacing w:after="0" w:line="120" w:lineRule="exact"/>
        <w:rPr>
          <w:rFonts w:hint="cs"/>
          <w:sz w:val="10"/>
          <w:rtl/>
        </w:rPr>
      </w:pPr>
    </w:p>
    <w:p w:rsidR="00CC484D" w:rsidRDefault="00CC484D" w:rsidP="00CC484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العاشر</w:t>
      </w:r>
    </w:p>
    <w:p w:rsidR="00CC484D" w:rsidRDefault="00CC484D" w:rsidP="00CC484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10</w:t>
      </w:r>
    </w:p>
    <w:p w:rsidR="00CC484D" w:rsidRDefault="00CC484D" w:rsidP="00CC48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w:t>
      </w:r>
    </w:p>
    <w:p w:rsidR="00CC484D" w:rsidRDefault="00CC484D" w:rsidP="00CC48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الأحكام الدستورية</w:t>
      </w:r>
    </w:p>
    <w:p w:rsidR="00CC484D" w:rsidRDefault="00CC484D" w:rsidP="00CC484D">
      <w:pPr>
        <w:pStyle w:val="SingleTxt"/>
        <w:rPr>
          <w:rFonts w:hint="cs"/>
          <w:rtl/>
        </w:rPr>
      </w:pPr>
      <w:r>
        <w:rPr>
          <w:rFonts w:hint="cs"/>
          <w:rtl/>
        </w:rPr>
        <w:t>194-</w:t>
      </w:r>
      <w:r>
        <w:rPr>
          <w:rFonts w:hint="cs"/>
          <w:rtl/>
        </w:rPr>
        <w:tab/>
        <w:t xml:space="preserve">تنص الفقرتان (ب) و (ج) من المادة 37 على أن </w:t>
      </w:r>
      <w:r>
        <w:rPr>
          <w:rFonts w:hint="eastAsia"/>
          <w:rtl/>
        </w:rPr>
        <w:t>”تقوم الدولة (ب) بإزالة الأمية وتوفير التعليم المجاني الإلزامي الثانوي في أقل مدة ممكنة (ج) إتاحة الحصول على التعليم التقني والمهني، بصورة عامة، والتعليم الثانوي للجميع على أساس الكفاءة</w:t>
      </w:r>
      <w:r>
        <w:rPr>
          <w:rFonts w:hint="cs"/>
          <w:rtl/>
        </w:rPr>
        <w:t xml:space="preserve">“. وهذه الأحكام غير تمييزية. ويضاف هذا إلى المادة 34 ونصها </w:t>
      </w:r>
      <w:r>
        <w:rPr>
          <w:rFonts w:hint="eastAsia"/>
          <w:rtl/>
        </w:rPr>
        <w:t>”تتخذ تدابير لضمان مشاركة المرأة الكاملة في جميع مجالات الحياة الوطنية</w:t>
      </w:r>
      <w:r>
        <w:rPr>
          <w:rFonts w:hint="cs"/>
          <w:rtl/>
        </w:rPr>
        <w:t>“ ويمكن تفسير هذه الأحكام على أنها لصالح الفتيات والنساء.</w:t>
      </w:r>
    </w:p>
    <w:p w:rsidR="00CC484D" w:rsidRPr="00CC484D" w:rsidRDefault="00CC484D" w:rsidP="00CC484D">
      <w:pPr>
        <w:pStyle w:val="SingleTxt"/>
        <w:spacing w:after="0" w:line="120" w:lineRule="exact"/>
        <w:rPr>
          <w:rFonts w:hint="cs"/>
          <w:sz w:val="10"/>
          <w:rtl/>
        </w:rPr>
      </w:pPr>
    </w:p>
    <w:p w:rsidR="00CC484D" w:rsidRDefault="00CC484D" w:rsidP="00CC48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التشريعي</w:t>
      </w:r>
    </w:p>
    <w:p w:rsidR="00CC484D" w:rsidRDefault="00CC484D" w:rsidP="004E2B1C">
      <w:pPr>
        <w:pStyle w:val="SingleTxt"/>
        <w:rPr>
          <w:rFonts w:hint="cs"/>
          <w:rtl/>
        </w:rPr>
      </w:pPr>
      <w:r>
        <w:rPr>
          <w:rFonts w:hint="cs"/>
          <w:rtl/>
        </w:rPr>
        <w:t>195-</w:t>
      </w:r>
      <w:r>
        <w:rPr>
          <w:rFonts w:hint="cs"/>
          <w:rtl/>
        </w:rPr>
        <w:tab/>
      </w:r>
      <w:r w:rsidR="004E2B1C">
        <w:rPr>
          <w:rFonts w:hint="cs"/>
          <w:rtl/>
        </w:rPr>
        <w:t xml:space="preserve">يعتبر التعليم مسألة إقليمية بموجب الدستور ولكل مقاطعة قوانينها الخاصة بالنسبة للتعليم. وقامت ثلاث من المقاطعات الأربع في باكستان وهي بنجاب ومقاطعة الحدود الشمالية الغربية والسند بإصدار قانون التعليم الابتدائي الإجباري للبنين والبنات من المجموعة العمرية 5-9 سنوات ومن المنتظر أن تطبق </w:t>
      </w:r>
      <w:proofErr w:type="spellStart"/>
      <w:r w:rsidR="004E2B1C">
        <w:rPr>
          <w:rFonts w:hint="cs"/>
          <w:rtl/>
        </w:rPr>
        <w:t>بالوشستان</w:t>
      </w:r>
      <w:proofErr w:type="spellEnd"/>
      <w:r w:rsidR="004E2B1C">
        <w:rPr>
          <w:rFonts w:hint="cs"/>
          <w:rtl/>
        </w:rPr>
        <w:t xml:space="preserve"> ترتيبات مماثلة. وهناك أيضا قانون الإشراف الاتحادي على المناهج والكتب المدرسية والمحافظة على معايير التعليم لسنة 1976.</w:t>
      </w:r>
    </w:p>
    <w:p w:rsidR="004E2B1C" w:rsidRPr="004E2B1C" w:rsidRDefault="004E2B1C" w:rsidP="004E2B1C">
      <w:pPr>
        <w:pStyle w:val="SingleTxt"/>
        <w:spacing w:after="0" w:line="120" w:lineRule="exact"/>
        <w:rPr>
          <w:rFonts w:hint="cs"/>
          <w:sz w:val="10"/>
          <w:rtl/>
        </w:rPr>
      </w:pPr>
    </w:p>
    <w:p w:rsidR="004E2B1C" w:rsidRDefault="004E2B1C" w:rsidP="004E2B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الإداري</w:t>
      </w:r>
    </w:p>
    <w:p w:rsidR="004E2B1C" w:rsidRDefault="004E2B1C" w:rsidP="004E2B1C">
      <w:pPr>
        <w:pStyle w:val="SingleTxt"/>
        <w:rPr>
          <w:rFonts w:hint="cs"/>
          <w:rtl/>
        </w:rPr>
      </w:pPr>
      <w:r>
        <w:rPr>
          <w:rFonts w:hint="cs"/>
          <w:rtl/>
        </w:rPr>
        <w:t>196-</w:t>
      </w:r>
      <w:r>
        <w:rPr>
          <w:rFonts w:hint="cs"/>
          <w:rtl/>
        </w:rPr>
        <w:tab/>
        <w:t xml:space="preserve">يتألف الإطار الإداري من وزارة التعليم على المستوى الاتحادي والإدارات التعليمية في المقاطعات. ويرأس وزارة التعليم الاتحادية وزير. وشغلت امرأة منصب الوزير حتى أواخر سنة 2004. ووزارة التعليم </w:t>
      </w:r>
      <w:proofErr w:type="spellStart"/>
      <w:r>
        <w:rPr>
          <w:rFonts w:hint="cs"/>
          <w:rtl/>
        </w:rPr>
        <w:t>مسؤولة</w:t>
      </w:r>
      <w:proofErr w:type="spellEnd"/>
      <w:r>
        <w:rPr>
          <w:rFonts w:hint="cs"/>
          <w:rtl/>
        </w:rPr>
        <w:t xml:space="preserve"> عن وضع السياسات العريضة للمسائل التعليمية في البلد. وهي أيضا </w:t>
      </w:r>
      <w:proofErr w:type="spellStart"/>
      <w:r>
        <w:rPr>
          <w:rFonts w:hint="cs"/>
          <w:rtl/>
        </w:rPr>
        <w:t>مسؤولة</w:t>
      </w:r>
      <w:proofErr w:type="spellEnd"/>
      <w:r>
        <w:rPr>
          <w:rFonts w:hint="cs"/>
          <w:rtl/>
        </w:rPr>
        <w:t xml:space="preserve"> عن المؤسسات التعليمية للقطاع العام في إقليم العاصمة إسلام أباد.</w:t>
      </w:r>
    </w:p>
    <w:p w:rsidR="004E2B1C" w:rsidRDefault="004E2B1C" w:rsidP="004E2B1C">
      <w:pPr>
        <w:pStyle w:val="SingleTxt"/>
        <w:rPr>
          <w:rFonts w:hint="cs"/>
          <w:rtl/>
        </w:rPr>
      </w:pPr>
      <w:r>
        <w:rPr>
          <w:rFonts w:hint="cs"/>
          <w:rtl/>
        </w:rPr>
        <w:t>197-</w:t>
      </w:r>
      <w:r>
        <w:rPr>
          <w:rFonts w:hint="cs"/>
          <w:rtl/>
        </w:rPr>
        <w:tab/>
        <w:t xml:space="preserve">وتعتبر الإدارات التعليمية الإقليمية </w:t>
      </w:r>
      <w:proofErr w:type="spellStart"/>
      <w:r>
        <w:rPr>
          <w:rFonts w:hint="cs"/>
          <w:rtl/>
        </w:rPr>
        <w:t>مسؤولة</w:t>
      </w:r>
      <w:proofErr w:type="spellEnd"/>
      <w:r>
        <w:rPr>
          <w:rFonts w:hint="cs"/>
          <w:rtl/>
        </w:rPr>
        <w:t xml:space="preserve"> عن المدارس الابتدائية والثانوية والعليا في المقاطعات، كل على حدة. ولكل عاصمة مقاطعة جامعة تتضمن الكليات المنتمية إليها. ورئيس الجامعة هو محافظ المقاطعة. وهناك مدن أخرى عديدة لديها جامعات. كما منحت بعض مؤسسات التعليم المهني مركز الجامعات.</w:t>
      </w:r>
    </w:p>
    <w:p w:rsidR="004E2B1C" w:rsidRDefault="004E2B1C" w:rsidP="004E2B1C">
      <w:pPr>
        <w:pStyle w:val="SingleTxt"/>
        <w:rPr>
          <w:rFonts w:hint="cs"/>
          <w:rtl/>
        </w:rPr>
      </w:pPr>
      <w:r>
        <w:rPr>
          <w:rFonts w:hint="cs"/>
          <w:rtl/>
        </w:rPr>
        <w:t>198-</w:t>
      </w:r>
      <w:r>
        <w:rPr>
          <w:rFonts w:hint="cs"/>
          <w:rtl/>
        </w:rPr>
        <w:tab/>
        <w:t xml:space="preserve">وتوجد عدة مؤسسات للتعليم العالي مخصصة حصرا للمرأة. وتشمل كلية طب فاطمة جناح في لاهور وجامعة فاطمة جناح النسائية </w:t>
      </w:r>
      <w:proofErr w:type="spellStart"/>
      <w:r>
        <w:rPr>
          <w:rFonts w:hint="cs"/>
          <w:rtl/>
        </w:rPr>
        <w:t>براوالبندي</w:t>
      </w:r>
      <w:proofErr w:type="spellEnd"/>
      <w:r>
        <w:rPr>
          <w:rFonts w:hint="cs"/>
          <w:rtl/>
        </w:rPr>
        <w:t>.</w:t>
      </w:r>
    </w:p>
    <w:p w:rsidR="004E2B1C" w:rsidRDefault="004E2B1C" w:rsidP="004E2B1C">
      <w:pPr>
        <w:pStyle w:val="SingleTxt"/>
        <w:rPr>
          <w:rFonts w:hint="cs"/>
          <w:rtl/>
        </w:rPr>
      </w:pPr>
      <w:r>
        <w:rPr>
          <w:rFonts w:hint="cs"/>
          <w:rtl/>
        </w:rPr>
        <w:t>199-</w:t>
      </w:r>
      <w:r>
        <w:rPr>
          <w:rFonts w:hint="cs"/>
          <w:rtl/>
        </w:rPr>
        <w:tab/>
        <w:t>وتضم الإدارات التعليمية الإقليمية عدة مجالس إقليمية لإجراء الامتحانات للفصول حتى المستوى المتوسط (12 سنة من التعليم). وأنشئت مجالس للكتب المدرسية لوضع المناهج الدراسية.</w:t>
      </w:r>
    </w:p>
    <w:p w:rsidR="004E2B1C" w:rsidRDefault="004E2B1C" w:rsidP="004E2B1C">
      <w:pPr>
        <w:pStyle w:val="SingleTxt"/>
        <w:rPr>
          <w:rFonts w:hint="cs"/>
          <w:rtl/>
        </w:rPr>
      </w:pPr>
      <w:r>
        <w:rPr>
          <w:rFonts w:hint="cs"/>
          <w:rtl/>
        </w:rPr>
        <w:t>200-</w:t>
      </w:r>
      <w:r>
        <w:rPr>
          <w:rFonts w:hint="cs"/>
          <w:rtl/>
        </w:rPr>
        <w:tab/>
        <w:t>وبصورة عامة، يسمح بالتعليم المشترك حتى المستوى الابتدائي (الصف الخامس) لكنه لا يمارس في جميع المدارس. ولا يسمح به بعد هذا المستوى إلا إذا توفرت المرافق والخدمات اللازمة للطالبات أو تيسر الوصول إليها. وفي هذا الحالات يسمح للطالبات بالالتحاق بالمؤسسات التعليمية الخاصة بالطلاب الذكور. ولا يوجد ترتيب لالتحاق الطلاب بالمؤسسات الخاصة بالطالبات، بصورة عامة. ومع ذلك يطلق على المدارس الابتدائية الجديدة اسم مدارس البنات حتى مع قبول البنين فيها أيضا. ويرجع هذا إلى التشديد على تعليم البنات.</w:t>
      </w:r>
    </w:p>
    <w:p w:rsidR="004E2B1C" w:rsidRDefault="004E2B1C" w:rsidP="004E2B1C">
      <w:pPr>
        <w:pStyle w:val="SingleTxt"/>
        <w:rPr>
          <w:rFonts w:hint="cs"/>
          <w:rtl/>
        </w:rPr>
      </w:pPr>
      <w:r>
        <w:rPr>
          <w:rFonts w:hint="cs"/>
          <w:rtl/>
        </w:rPr>
        <w:t>201-</w:t>
      </w:r>
      <w:r>
        <w:rPr>
          <w:rFonts w:hint="cs"/>
          <w:rtl/>
        </w:rPr>
        <w:tab/>
        <w:t xml:space="preserve">والتعليم مشترك في أغلب الكليات المهنية وعدد كبير من الكليات التي تمنح درجات علمية. </w:t>
      </w:r>
      <w:r w:rsidR="009E10E9">
        <w:rPr>
          <w:rFonts w:hint="cs"/>
          <w:rtl/>
        </w:rPr>
        <w:t>و</w:t>
      </w:r>
      <w:r>
        <w:rPr>
          <w:rFonts w:hint="cs"/>
          <w:rtl/>
        </w:rPr>
        <w:t>معيار القبول هو مجموع الدرجات التي يتم الحصول عليها في امتحان الدخول الذي تجريه المؤسسة التعليمية و/أو الدرجات المحققة في المستوى التعليمي السابق. وتتسم هذه العملية، عامة، بعدم التمييز والشفافية. ويلجأ الطلاب الذين يشعرون بالتمييز ضدهم إلى المحاكم. ويمارس عدد كبير هذا الخيار، وتنظر المحاكم في هذه الحالات وتحكم فيها على أساس الجدارة.</w:t>
      </w:r>
    </w:p>
    <w:p w:rsidR="004E2B1C" w:rsidRDefault="004E2B1C" w:rsidP="004E2B1C">
      <w:pPr>
        <w:pStyle w:val="SingleTxt"/>
        <w:rPr>
          <w:rFonts w:hint="cs"/>
          <w:rtl/>
        </w:rPr>
      </w:pPr>
      <w:r>
        <w:rPr>
          <w:rFonts w:hint="cs"/>
          <w:rtl/>
        </w:rPr>
        <w:t>202-</w:t>
      </w:r>
      <w:r>
        <w:rPr>
          <w:rFonts w:hint="cs"/>
          <w:rtl/>
        </w:rPr>
        <w:tab/>
        <w:t>وهناك نظام واسع ومتنامي للتعليم الخاص. ويقدر أن نحو 33 في المائة من طلاب المستويين الابتدائي والثانوي ملتحقين بهذه المدارس. ويخدم هذا النظام، عادة، أبناء القطاعات المتيسرة من المجتمع، وتعتبر المدارس الخاصة أفضل من المدارس التي تديرها الحكومة، بصورة عامة. ومن السمات المميزة لهذا النظام أن ملاك أغلبية المدارس الابتدائية والثانوية والمتوسطة ومديريها ومدرسيها من النساء. ويعتبر أداء البنات أفضل من أداء البنين في هذه المدارس، بصورة عامة، بالنسبة لامتحانات المستوى العادي والمستوى الرفيع.</w:t>
      </w:r>
    </w:p>
    <w:p w:rsidR="004E2B1C" w:rsidRPr="004E2B1C" w:rsidRDefault="004E2B1C" w:rsidP="004E2B1C">
      <w:pPr>
        <w:pStyle w:val="SingleTxt"/>
        <w:spacing w:after="0" w:line="120" w:lineRule="exact"/>
        <w:rPr>
          <w:rFonts w:hint="cs"/>
          <w:sz w:val="10"/>
          <w:rtl/>
        </w:rPr>
      </w:pPr>
    </w:p>
    <w:p w:rsidR="004E2B1C" w:rsidRDefault="004E2B1C" w:rsidP="004E2B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سياسات الحكومة</w:t>
      </w:r>
    </w:p>
    <w:p w:rsidR="004E2B1C" w:rsidRDefault="004E2B1C" w:rsidP="004E2B1C">
      <w:pPr>
        <w:pStyle w:val="SingleTxt"/>
        <w:rPr>
          <w:rFonts w:hint="cs"/>
          <w:rtl/>
        </w:rPr>
      </w:pPr>
      <w:r>
        <w:rPr>
          <w:rFonts w:hint="cs"/>
          <w:rtl/>
        </w:rPr>
        <w:t>203-</w:t>
      </w:r>
      <w:r>
        <w:rPr>
          <w:rFonts w:hint="cs"/>
          <w:rtl/>
        </w:rPr>
        <w:tab/>
        <w:t xml:space="preserve">إن وثائق السياسات الحكومية المتصلة بالتعليم هي سياسات التعليم الوطنية </w:t>
      </w:r>
      <w:r w:rsidR="00A71236">
        <w:rPr>
          <w:rFonts w:hint="cs"/>
          <w:rtl/>
        </w:rPr>
        <w:t>للفترة 1998-2010، ومنظور الخطة التعليمية للسنوات العشر، وجوانب إصلاح قطاع التعليم (ترد معلومات عن هذه الوثائق في المرفقات). وتشديد هذه الوثائق، بصورة خاصة، على تحقيق التزامات باكستان بموجب مبادرة توفير التعليم للجميع، والأهداف الإنمائية للألفية. ويجري التشديد بصورة خاصة على تعليم النساء والفتيات.</w:t>
      </w:r>
    </w:p>
    <w:p w:rsidR="00A71236" w:rsidRDefault="00A71236" w:rsidP="004E2B1C">
      <w:pPr>
        <w:pStyle w:val="SingleTxt"/>
        <w:rPr>
          <w:rFonts w:hint="cs"/>
          <w:rtl/>
        </w:rPr>
      </w:pPr>
      <w:r>
        <w:rPr>
          <w:rFonts w:hint="cs"/>
          <w:rtl/>
        </w:rPr>
        <w:t>204-</w:t>
      </w:r>
      <w:r>
        <w:rPr>
          <w:rFonts w:hint="cs"/>
          <w:rtl/>
        </w:rPr>
        <w:tab/>
        <w:t>وفيما يلي بعض السمات الرئيسية للوثائق المذكورة آنفا والمتصلة بالنساء والفتيات بصورة خاصة:</w:t>
      </w:r>
    </w:p>
    <w:p w:rsidR="00A71236" w:rsidRDefault="00A71236" w:rsidP="004E2B1C">
      <w:pPr>
        <w:pStyle w:val="SingleTxt"/>
        <w:rPr>
          <w:rFonts w:hint="cs"/>
          <w:rtl/>
        </w:rPr>
      </w:pPr>
      <w:r>
        <w:rPr>
          <w:rFonts w:hint="cs"/>
          <w:rtl/>
        </w:rPr>
        <w:tab/>
        <w:t>(أ)</w:t>
      </w:r>
      <w:r>
        <w:rPr>
          <w:rFonts w:hint="cs"/>
          <w:rtl/>
        </w:rPr>
        <w:tab/>
        <w:t xml:space="preserve">توفير التعليم غير الرسمي المتكامل للمجموعات العمرية المختلفة، في حالة عدم توفره: الوعي بالنهج </w:t>
      </w:r>
      <w:proofErr w:type="spellStart"/>
      <w:r>
        <w:rPr>
          <w:rFonts w:hint="cs"/>
          <w:rtl/>
        </w:rPr>
        <w:t>الجنساني</w:t>
      </w:r>
      <w:proofErr w:type="spellEnd"/>
      <w:r>
        <w:rPr>
          <w:rFonts w:hint="cs"/>
          <w:rtl/>
        </w:rPr>
        <w:t xml:space="preserve"> والإنمائي بالنسبة للمحرومين من البنين والبنات والنساء والرجال (بما في ذلك عمل الأطفال).</w:t>
      </w:r>
    </w:p>
    <w:p w:rsidR="00A71236" w:rsidRDefault="00A71236" w:rsidP="004E2B1C">
      <w:pPr>
        <w:pStyle w:val="SingleTxt"/>
        <w:rPr>
          <w:rFonts w:hint="cs"/>
          <w:rtl/>
        </w:rPr>
      </w:pPr>
      <w:r>
        <w:rPr>
          <w:rFonts w:hint="cs"/>
          <w:rtl/>
        </w:rPr>
        <w:tab/>
        <w:t>(ب)</w:t>
      </w:r>
      <w:r>
        <w:rPr>
          <w:rFonts w:hint="cs"/>
          <w:rtl/>
        </w:rPr>
        <w:tab/>
        <w:t>البرامج غير الرسمية التي تستهدف المجتمعات البدوية والنهرية والنساء والأطفال في السجون ودور الأمان (دور الإيواء).</w:t>
      </w:r>
    </w:p>
    <w:p w:rsidR="00A71236" w:rsidRDefault="00A71236" w:rsidP="004E2B1C">
      <w:pPr>
        <w:pStyle w:val="SingleTxt"/>
        <w:rPr>
          <w:rFonts w:hint="cs"/>
          <w:rtl/>
        </w:rPr>
      </w:pPr>
      <w:r>
        <w:rPr>
          <w:rFonts w:hint="cs"/>
          <w:rtl/>
        </w:rPr>
        <w:tab/>
        <w:t>(ج)</w:t>
      </w:r>
      <w:r>
        <w:rPr>
          <w:rFonts w:hint="cs"/>
          <w:rtl/>
        </w:rPr>
        <w:tab/>
        <w:t xml:space="preserve">ترتيبات الطفولة المبكرة في مدارس محددة لتحسين برامج </w:t>
      </w:r>
      <w:r>
        <w:rPr>
          <w:rFonts w:hint="eastAsia"/>
          <w:rtl/>
        </w:rPr>
        <w:t>”</w:t>
      </w:r>
      <w:proofErr w:type="spellStart"/>
      <w:r>
        <w:rPr>
          <w:rFonts w:hint="eastAsia"/>
          <w:rtl/>
        </w:rPr>
        <w:t>كاتشي</w:t>
      </w:r>
      <w:proofErr w:type="spellEnd"/>
      <w:r>
        <w:rPr>
          <w:rFonts w:hint="cs"/>
          <w:rtl/>
        </w:rPr>
        <w:t>“</w:t>
      </w:r>
      <w:r w:rsidRPr="00A71236">
        <w:rPr>
          <w:vertAlign w:val="superscript"/>
          <w:rtl/>
        </w:rPr>
        <w:t>(</w:t>
      </w:r>
      <w:r>
        <w:rPr>
          <w:rStyle w:val="FootnoteReference"/>
          <w:rtl/>
        </w:rPr>
        <w:footnoteReference w:id="11"/>
      </w:r>
      <w:r w:rsidRPr="00A71236">
        <w:rPr>
          <w:vertAlign w:val="superscript"/>
          <w:rtl/>
        </w:rPr>
        <w:t>)</w:t>
      </w:r>
      <w:r>
        <w:rPr>
          <w:rFonts w:hint="cs"/>
          <w:rtl/>
        </w:rPr>
        <w:t>.</w:t>
      </w:r>
    </w:p>
    <w:p w:rsidR="00A71236" w:rsidRDefault="00A71236" w:rsidP="004E2B1C">
      <w:pPr>
        <w:pStyle w:val="SingleTxt"/>
        <w:rPr>
          <w:rFonts w:hint="cs"/>
          <w:rtl/>
        </w:rPr>
      </w:pPr>
      <w:r>
        <w:rPr>
          <w:rFonts w:hint="cs"/>
          <w:rtl/>
        </w:rPr>
        <w:tab/>
        <w:t>(د)</w:t>
      </w:r>
      <w:r>
        <w:rPr>
          <w:rFonts w:hint="cs"/>
          <w:rtl/>
        </w:rPr>
        <w:tab/>
        <w:t>زيادة المباني على المستوى الابتدائي في المدارس التي بلا مأوى.</w:t>
      </w:r>
    </w:p>
    <w:p w:rsidR="00A71236" w:rsidRDefault="00A71236" w:rsidP="004E2B1C">
      <w:pPr>
        <w:pStyle w:val="SingleTxt"/>
        <w:rPr>
          <w:rFonts w:hint="cs"/>
          <w:rtl/>
        </w:rPr>
      </w:pPr>
      <w:r>
        <w:rPr>
          <w:rFonts w:hint="cs"/>
          <w:rtl/>
        </w:rPr>
        <w:tab/>
        <w:t>(هـ)</w:t>
      </w:r>
      <w:r>
        <w:rPr>
          <w:rFonts w:hint="cs"/>
          <w:rtl/>
        </w:rPr>
        <w:tab/>
        <w:t>رفع مستوى المدارس الأولية إلى المستوى الابتدائي، وخاصة من أجل الفتيات في المناطق النائية والمتخلفة.</w:t>
      </w:r>
    </w:p>
    <w:p w:rsidR="00A71236" w:rsidRDefault="00A71236" w:rsidP="004E2B1C">
      <w:pPr>
        <w:pStyle w:val="SingleTxt"/>
        <w:rPr>
          <w:rFonts w:hint="cs"/>
          <w:rtl/>
        </w:rPr>
      </w:pPr>
      <w:r>
        <w:rPr>
          <w:rFonts w:hint="cs"/>
          <w:rtl/>
        </w:rPr>
        <w:tab/>
        <w:t>(و)</w:t>
      </w:r>
      <w:r>
        <w:rPr>
          <w:rFonts w:hint="cs"/>
          <w:rtl/>
        </w:rPr>
        <w:tab/>
        <w:t>توفير الحوافز، من قبيل الكتب المدرسية، والأغذية المدرسية والمنح الدراسية والسلفيات للطلاب في المؤسسات الحكومية والمنظمات غير الحكومية على السواء.</w:t>
      </w:r>
    </w:p>
    <w:p w:rsidR="00A71236" w:rsidRDefault="00A71236" w:rsidP="004E2B1C">
      <w:pPr>
        <w:pStyle w:val="SingleTxt"/>
        <w:rPr>
          <w:rFonts w:hint="cs"/>
          <w:rtl/>
        </w:rPr>
      </w:pPr>
      <w:r>
        <w:rPr>
          <w:rFonts w:hint="cs"/>
          <w:rtl/>
        </w:rPr>
        <w:tab/>
        <w:t>(ز)</w:t>
      </w:r>
      <w:r>
        <w:rPr>
          <w:rFonts w:hint="cs"/>
          <w:rtl/>
        </w:rPr>
        <w:tab/>
        <w:t>منح ترخيص للجامعات الخاصة بإدراج اعتماد للمنح الدراسية من أجل الطلاب المؤهلين المحتاجين، بما في ذلك، النساء والأطفال.</w:t>
      </w:r>
    </w:p>
    <w:p w:rsidR="00A71236" w:rsidRDefault="00A71236" w:rsidP="004E2B1C">
      <w:pPr>
        <w:pStyle w:val="SingleTxt"/>
        <w:rPr>
          <w:rFonts w:hint="cs"/>
          <w:rtl/>
        </w:rPr>
      </w:pPr>
      <w:r>
        <w:rPr>
          <w:rFonts w:hint="cs"/>
          <w:rtl/>
        </w:rPr>
        <w:tab/>
        <w:t>(ح)</w:t>
      </w:r>
      <w:r>
        <w:rPr>
          <w:rFonts w:hint="cs"/>
          <w:rtl/>
        </w:rPr>
        <w:tab/>
        <w:t>جعل المؤسسات العامة للتعليم العالي أكثر إنصافا في جداول رسومها.</w:t>
      </w:r>
    </w:p>
    <w:p w:rsidR="00A71236" w:rsidRDefault="00A71236" w:rsidP="00A71236">
      <w:pPr>
        <w:pStyle w:val="SingleTxt"/>
        <w:rPr>
          <w:rFonts w:hint="cs"/>
          <w:rtl/>
        </w:rPr>
      </w:pPr>
      <w:r>
        <w:rPr>
          <w:rFonts w:hint="cs"/>
          <w:rtl/>
        </w:rPr>
        <w:tab/>
        <w:t>(ط)</w:t>
      </w:r>
      <w:r>
        <w:rPr>
          <w:rFonts w:hint="cs"/>
          <w:rtl/>
        </w:rPr>
        <w:tab/>
        <w:t xml:space="preserve">توفير الوجبات والتغذية المجانية للفتيات بموجب برنامج </w:t>
      </w:r>
      <w:proofErr w:type="spellStart"/>
      <w:r>
        <w:rPr>
          <w:rFonts w:hint="cs"/>
          <w:rtl/>
        </w:rPr>
        <w:t>تاوانا</w:t>
      </w:r>
      <w:proofErr w:type="spellEnd"/>
      <w:r>
        <w:rPr>
          <w:rFonts w:hint="cs"/>
          <w:rtl/>
        </w:rPr>
        <w:t xml:space="preserve"> باكستان (انظر الفقرة 239 أدناه).</w:t>
      </w:r>
    </w:p>
    <w:p w:rsidR="00A71236" w:rsidRPr="00A71236" w:rsidRDefault="00A71236" w:rsidP="00A71236">
      <w:pPr>
        <w:pStyle w:val="SingleTxt"/>
        <w:spacing w:after="0" w:line="120" w:lineRule="exact"/>
        <w:rPr>
          <w:rFonts w:hint="cs"/>
          <w:sz w:val="10"/>
          <w:rtl/>
        </w:rPr>
      </w:pPr>
    </w:p>
    <w:p w:rsidR="00A71236" w:rsidRDefault="00A71236" w:rsidP="00A71236">
      <w:pPr>
        <w:pStyle w:val="SingleTxt"/>
        <w:spacing w:after="0"/>
        <w:rPr>
          <w:rFonts w:hint="cs"/>
          <w:rtl/>
        </w:rPr>
      </w:pPr>
      <w:r>
        <w:rPr>
          <w:rFonts w:hint="cs"/>
          <w:rtl/>
        </w:rPr>
        <w:t>الجدول 10-1</w:t>
      </w:r>
    </w:p>
    <w:p w:rsidR="00A71236" w:rsidRPr="00A71236" w:rsidRDefault="00A71236" w:rsidP="00A71236">
      <w:pPr>
        <w:pStyle w:val="SingleTxt"/>
        <w:rPr>
          <w:rFonts w:hint="cs"/>
          <w:b/>
          <w:bCs/>
          <w:rtl/>
        </w:rPr>
      </w:pPr>
      <w:r w:rsidRPr="00A71236">
        <w:rPr>
          <w:rFonts w:hint="cs"/>
          <w:b/>
          <w:bCs/>
          <w:rtl/>
        </w:rPr>
        <w:t>ميزانية التعليم الوطني للفترة من 1995/1996 إلى 2002/2003</w:t>
      </w:r>
    </w:p>
    <w:p w:rsidR="00A71236" w:rsidRPr="00A71236" w:rsidRDefault="00A71236" w:rsidP="00A71236">
      <w:pPr>
        <w:pStyle w:val="SingleTxt"/>
        <w:rPr>
          <w:rFonts w:hint="cs"/>
          <w:i/>
          <w:iCs/>
          <w:rtl/>
        </w:rPr>
      </w:pPr>
      <w:r w:rsidRPr="00A71236">
        <w:rPr>
          <w:rFonts w:hint="cs"/>
          <w:i/>
          <w:iCs/>
          <w:sz w:val="16"/>
          <w:szCs w:val="26"/>
          <w:rtl/>
        </w:rPr>
        <w:t>(بملايين الروبيات)</w:t>
      </w:r>
    </w:p>
    <w:p w:rsidR="00A71236" w:rsidRPr="00A71236" w:rsidRDefault="00A71236" w:rsidP="00A71236">
      <w:pPr>
        <w:pStyle w:val="SingleTxt"/>
        <w:spacing w:after="0" w:line="120" w:lineRule="exact"/>
        <w:rPr>
          <w:rFonts w:hint="cs"/>
          <w:sz w:val="10"/>
          <w:rtl/>
        </w:rPr>
      </w:pPr>
    </w:p>
    <w:tbl>
      <w:tblPr>
        <w:bidiVisual/>
        <w:tblW w:w="6955" w:type="dxa"/>
        <w:jc w:val="center"/>
        <w:tblLayout w:type="fixed"/>
        <w:tblCellMar>
          <w:left w:w="0" w:type="dxa"/>
          <w:right w:w="0" w:type="dxa"/>
        </w:tblCellMar>
        <w:tblLook w:val="0000" w:firstRow="0" w:lastRow="0" w:firstColumn="0" w:lastColumn="0" w:noHBand="0" w:noVBand="0"/>
      </w:tblPr>
      <w:tblGrid>
        <w:gridCol w:w="1305"/>
        <w:gridCol w:w="1200"/>
        <w:gridCol w:w="1140"/>
        <w:gridCol w:w="1666"/>
        <w:gridCol w:w="1644"/>
      </w:tblGrid>
      <w:tr w:rsidR="001E4D4B" w:rsidRPr="0064600F">
        <w:tblPrEx>
          <w:tblCellMar>
            <w:top w:w="0" w:type="dxa"/>
            <w:bottom w:w="0" w:type="dxa"/>
          </w:tblCellMar>
        </w:tblPrEx>
        <w:trPr>
          <w:cantSplit/>
          <w:tblHeader/>
          <w:jc w:val="center"/>
        </w:trPr>
        <w:tc>
          <w:tcPr>
            <w:tcW w:w="1305" w:type="dxa"/>
            <w:tcBorders>
              <w:top w:val="single" w:sz="4" w:space="0" w:color="auto"/>
              <w:bottom w:val="single" w:sz="12" w:space="0" w:color="auto"/>
            </w:tcBorders>
            <w:shd w:val="clear" w:color="auto" w:fill="auto"/>
            <w:vAlign w:val="bottom"/>
          </w:tcPr>
          <w:p w:rsidR="0064600F" w:rsidRPr="0064600F" w:rsidRDefault="0064600F" w:rsidP="0064600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السنة</w:t>
            </w:r>
          </w:p>
        </w:tc>
        <w:tc>
          <w:tcPr>
            <w:tcW w:w="1200" w:type="dxa"/>
            <w:tcBorders>
              <w:top w:val="single" w:sz="4" w:space="0" w:color="auto"/>
              <w:bottom w:val="single" w:sz="12" w:space="0" w:color="auto"/>
            </w:tcBorders>
            <w:shd w:val="clear" w:color="auto" w:fill="auto"/>
            <w:vAlign w:val="bottom"/>
          </w:tcPr>
          <w:p w:rsidR="0064600F" w:rsidRPr="0064600F" w:rsidRDefault="0064600F" w:rsidP="0064600F">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الميزانية الم</w:t>
            </w:r>
            <w:r w:rsidR="009E10E9">
              <w:rPr>
                <w:rFonts w:hint="cs"/>
                <w:i/>
                <w:iCs/>
                <w:sz w:val="16"/>
                <w:szCs w:val="24"/>
                <w:rtl/>
              </w:rPr>
              <w:t>ت</w:t>
            </w:r>
            <w:r>
              <w:rPr>
                <w:rFonts w:hint="cs"/>
                <w:i/>
                <w:iCs/>
                <w:sz w:val="16"/>
                <w:szCs w:val="24"/>
                <w:rtl/>
              </w:rPr>
              <w:t>كررة</w:t>
            </w:r>
          </w:p>
        </w:tc>
        <w:tc>
          <w:tcPr>
            <w:tcW w:w="1140" w:type="dxa"/>
            <w:tcBorders>
              <w:top w:val="single" w:sz="4" w:space="0" w:color="auto"/>
              <w:bottom w:val="single" w:sz="12" w:space="0" w:color="auto"/>
            </w:tcBorders>
            <w:shd w:val="clear" w:color="auto" w:fill="auto"/>
            <w:vAlign w:val="bottom"/>
          </w:tcPr>
          <w:p w:rsidR="0064600F" w:rsidRPr="0064600F" w:rsidRDefault="0064600F" w:rsidP="0064600F">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ميزانية التنمية</w:t>
            </w:r>
          </w:p>
        </w:tc>
        <w:tc>
          <w:tcPr>
            <w:tcW w:w="1666" w:type="dxa"/>
            <w:tcBorders>
              <w:top w:val="single" w:sz="4" w:space="0" w:color="auto"/>
              <w:bottom w:val="single" w:sz="12" w:space="0" w:color="auto"/>
            </w:tcBorders>
            <w:shd w:val="clear" w:color="auto" w:fill="auto"/>
            <w:vAlign w:val="bottom"/>
          </w:tcPr>
          <w:p w:rsidR="0064600F" w:rsidRPr="0064600F" w:rsidRDefault="0064600F" w:rsidP="0064600F">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مجموعة ميزانية التعليم</w:t>
            </w:r>
          </w:p>
        </w:tc>
        <w:tc>
          <w:tcPr>
            <w:tcW w:w="1644" w:type="dxa"/>
            <w:tcBorders>
              <w:top w:val="single" w:sz="4" w:space="0" w:color="auto"/>
              <w:bottom w:val="single" w:sz="12" w:space="0" w:color="auto"/>
            </w:tcBorders>
            <w:shd w:val="clear" w:color="auto" w:fill="auto"/>
            <w:vAlign w:val="bottom"/>
          </w:tcPr>
          <w:p w:rsidR="0064600F" w:rsidRPr="0064600F" w:rsidRDefault="0064600F" w:rsidP="0064600F">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النسبة المئوية من الدخل المحلي الإجمالي</w:t>
            </w:r>
          </w:p>
        </w:tc>
      </w:tr>
      <w:tr w:rsidR="0064600F" w:rsidRPr="0064600F">
        <w:tblPrEx>
          <w:tblCellMar>
            <w:top w:w="0" w:type="dxa"/>
            <w:bottom w:w="0" w:type="dxa"/>
          </w:tblCellMar>
        </w:tblPrEx>
        <w:trPr>
          <w:cantSplit/>
          <w:trHeight w:hRule="exact" w:val="115"/>
          <w:tblHeader/>
          <w:jc w:val="center"/>
        </w:trPr>
        <w:tc>
          <w:tcPr>
            <w:tcW w:w="1305" w:type="dxa"/>
            <w:tcBorders>
              <w:top w:val="single" w:sz="12" w:space="0" w:color="auto"/>
            </w:tcBorders>
            <w:shd w:val="clear" w:color="auto" w:fill="auto"/>
            <w:vAlign w:val="bottom"/>
          </w:tcPr>
          <w:p w:rsidR="0064600F" w:rsidRPr="0064600F" w:rsidRDefault="0064600F" w:rsidP="0064600F">
            <w:pPr>
              <w:tabs>
                <w:tab w:val="left" w:pos="288"/>
                <w:tab w:val="left" w:pos="576"/>
                <w:tab w:val="left" w:pos="864"/>
                <w:tab w:val="left" w:pos="1152"/>
              </w:tabs>
              <w:spacing w:before="40" w:after="80" w:line="240" w:lineRule="exact"/>
              <w:ind w:left="72" w:right="72"/>
              <w:rPr>
                <w:rFonts w:hint="cs"/>
                <w:sz w:val="16"/>
                <w:szCs w:val="24"/>
                <w:rtl/>
              </w:rPr>
            </w:pPr>
          </w:p>
        </w:tc>
        <w:tc>
          <w:tcPr>
            <w:tcW w:w="1200" w:type="dxa"/>
            <w:tcBorders>
              <w:top w:val="single" w:sz="12" w:space="0" w:color="auto"/>
            </w:tcBorders>
            <w:shd w:val="clear" w:color="auto" w:fill="auto"/>
            <w:vAlign w:val="bottom"/>
          </w:tcPr>
          <w:p w:rsidR="0064600F" w:rsidRPr="0064600F" w:rsidRDefault="0064600F" w:rsidP="0064600F">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140" w:type="dxa"/>
            <w:tcBorders>
              <w:top w:val="single" w:sz="12" w:space="0" w:color="auto"/>
            </w:tcBorders>
            <w:shd w:val="clear" w:color="auto" w:fill="auto"/>
            <w:vAlign w:val="bottom"/>
          </w:tcPr>
          <w:p w:rsidR="0064600F" w:rsidRPr="0064600F" w:rsidRDefault="0064600F" w:rsidP="0064600F">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666" w:type="dxa"/>
            <w:tcBorders>
              <w:top w:val="single" w:sz="12" w:space="0" w:color="auto"/>
            </w:tcBorders>
            <w:shd w:val="clear" w:color="auto" w:fill="auto"/>
            <w:vAlign w:val="bottom"/>
          </w:tcPr>
          <w:p w:rsidR="0064600F" w:rsidRPr="0064600F" w:rsidRDefault="0064600F" w:rsidP="0064600F">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644" w:type="dxa"/>
            <w:tcBorders>
              <w:top w:val="single" w:sz="12" w:space="0" w:color="auto"/>
            </w:tcBorders>
            <w:shd w:val="clear" w:color="auto" w:fill="auto"/>
            <w:vAlign w:val="bottom"/>
          </w:tcPr>
          <w:p w:rsidR="0064600F" w:rsidRPr="0064600F" w:rsidRDefault="0064600F" w:rsidP="0064600F">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1E4D4B" w:rsidRPr="0064600F">
        <w:tblPrEx>
          <w:tblCellMar>
            <w:top w:w="0" w:type="dxa"/>
            <w:bottom w:w="0" w:type="dxa"/>
          </w:tblCellMar>
        </w:tblPrEx>
        <w:trPr>
          <w:cantSplit/>
          <w:jc w:val="center"/>
        </w:trPr>
        <w:tc>
          <w:tcPr>
            <w:tcW w:w="1305" w:type="dxa"/>
            <w:shd w:val="clear" w:color="auto" w:fill="auto"/>
            <w:vAlign w:val="bottom"/>
          </w:tcPr>
          <w:p w:rsidR="0064600F" w:rsidRPr="0064600F" w:rsidRDefault="0064600F" w:rsidP="0064600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1995-1996</w:t>
            </w:r>
          </w:p>
        </w:tc>
        <w:tc>
          <w:tcPr>
            <w:tcW w:w="1200" w:type="dxa"/>
            <w:shd w:val="clear" w:color="auto" w:fill="auto"/>
            <w:vAlign w:val="bottom"/>
          </w:tcPr>
          <w:p w:rsidR="0064600F" w:rsidRPr="0064600F" w:rsidRDefault="0064600F" w:rsidP="0064600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39.61</w:t>
            </w:r>
          </w:p>
        </w:tc>
        <w:tc>
          <w:tcPr>
            <w:tcW w:w="1140" w:type="dxa"/>
            <w:shd w:val="clear" w:color="auto" w:fill="auto"/>
            <w:vAlign w:val="bottom"/>
          </w:tcPr>
          <w:p w:rsidR="0064600F" w:rsidRPr="0064600F" w:rsidRDefault="001E4D4B" w:rsidP="0064600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2.585</w:t>
            </w:r>
          </w:p>
        </w:tc>
        <w:tc>
          <w:tcPr>
            <w:tcW w:w="1666" w:type="dxa"/>
            <w:shd w:val="clear" w:color="auto" w:fill="auto"/>
            <w:vAlign w:val="bottom"/>
          </w:tcPr>
          <w:p w:rsidR="0064600F" w:rsidRPr="0064600F" w:rsidRDefault="001E4D4B" w:rsidP="0064600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42.195</w:t>
            </w:r>
          </w:p>
        </w:tc>
        <w:tc>
          <w:tcPr>
            <w:tcW w:w="1644" w:type="dxa"/>
            <w:shd w:val="clear" w:color="auto" w:fill="auto"/>
            <w:vAlign w:val="bottom"/>
          </w:tcPr>
          <w:p w:rsidR="0064600F" w:rsidRPr="0064600F" w:rsidRDefault="001E4D4B" w:rsidP="0064600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w:t>
            </w:r>
          </w:p>
        </w:tc>
      </w:tr>
      <w:tr w:rsidR="001E4D4B" w:rsidRPr="0064600F">
        <w:tblPrEx>
          <w:tblCellMar>
            <w:top w:w="0" w:type="dxa"/>
            <w:bottom w:w="0" w:type="dxa"/>
          </w:tblCellMar>
        </w:tblPrEx>
        <w:trPr>
          <w:cantSplit/>
          <w:jc w:val="center"/>
        </w:trPr>
        <w:tc>
          <w:tcPr>
            <w:tcW w:w="1305" w:type="dxa"/>
            <w:shd w:val="clear" w:color="auto" w:fill="auto"/>
            <w:vAlign w:val="bottom"/>
          </w:tcPr>
          <w:p w:rsidR="0064600F" w:rsidRPr="0064600F" w:rsidRDefault="0064600F" w:rsidP="0064600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2000-2001</w:t>
            </w:r>
          </w:p>
        </w:tc>
        <w:tc>
          <w:tcPr>
            <w:tcW w:w="1200" w:type="dxa"/>
            <w:shd w:val="clear" w:color="auto" w:fill="auto"/>
            <w:vAlign w:val="bottom"/>
          </w:tcPr>
          <w:p w:rsidR="0064600F" w:rsidRPr="0064600F" w:rsidRDefault="0064600F" w:rsidP="0064600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54.</w:t>
            </w:r>
            <w:r w:rsidR="001E4D4B">
              <w:rPr>
                <w:rFonts w:hint="cs"/>
                <w:sz w:val="16"/>
                <w:szCs w:val="24"/>
                <w:rtl/>
              </w:rPr>
              <w:t>396</w:t>
            </w:r>
          </w:p>
        </w:tc>
        <w:tc>
          <w:tcPr>
            <w:tcW w:w="1140" w:type="dxa"/>
            <w:shd w:val="clear" w:color="auto" w:fill="auto"/>
            <w:vAlign w:val="bottom"/>
          </w:tcPr>
          <w:p w:rsidR="0064600F" w:rsidRPr="0064600F" w:rsidRDefault="001E4D4B" w:rsidP="0064600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1.966</w:t>
            </w:r>
          </w:p>
        </w:tc>
        <w:tc>
          <w:tcPr>
            <w:tcW w:w="1666" w:type="dxa"/>
            <w:shd w:val="clear" w:color="auto" w:fill="auto"/>
            <w:vAlign w:val="bottom"/>
          </w:tcPr>
          <w:p w:rsidR="0064600F" w:rsidRPr="0064600F" w:rsidRDefault="001E4D4B" w:rsidP="0064600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56.362</w:t>
            </w:r>
          </w:p>
        </w:tc>
        <w:tc>
          <w:tcPr>
            <w:tcW w:w="1644" w:type="dxa"/>
            <w:shd w:val="clear" w:color="auto" w:fill="auto"/>
            <w:vAlign w:val="bottom"/>
          </w:tcPr>
          <w:p w:rsidR="0064600F" w:rsidRPr="0064600F" w:rsidRDefault="001E4D4B" w:rsidP="0064600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1.6</w:t>
            </w:r>
          </w:p>
        </w:tc>
      </w:tr>
      <w:tr w:rsidR="001E4D4B" w:rsidRPr="0064600F">
        <w:tblPrEx>
          <w:tblCellMar>
            <w:top w:w="0" w:type="dxa"/>
            <w:bottom w:w="0" w:type="dxa"/>
          </w:tblCellMar>
        </w:tblPrEx>
        <w:trPr>
          <w:cantSplit/>
          <w:jc w:val="center"/>
        </w:trPr>
        <w:tc>
          <w:tcPr>
            <w:tcW w:w="1305" w:type="dxa"/>
            <w:shd w:val="clear" w:color="auto" w:fill="auto"/>
            <w:vAlign w:val="bottom"/>
          </w:tcPr>
          <w:p w:rsidR="0064600F" w:rsidRPr="0064600F" w:rsidRDefault="0064600F" w:rsidP="0064600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2001-2002</w:t>
            </w:r>
          </w:p>
        </w:tc>
        <w:tc>
          <w:tcPr>
            <w:tcW w:w="1200" w:type="dxa"/>
            <w:shd w:val="clear" w:color="auto" w:fill="auto"/>
            <w:vAlign w:val="bottom"/>
          </w:tcPr>
          <w:p w:rsidR="0064600F" w:rsidRPr="0064600F" w:rsidRDefault="001E4D4B" w:rsidP="0064600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64.975</w:t>
            </w:r>
          </w:p>
        </w:tc>
        <w:tc>
          <w:tcPr>
            <w:tcW w:w="1140" w:type="dxa"/>
            <w:shd w:val="clear" w:color="auto" w:fill="auto"/>
            <w:vAlign w:val="bottom"/>
          </w:tcPr>
          <w:p w:rsidR="0064600F" w:rsidRPr="0064600F" w:rsidRDefault="001E4D4B" w:rsidP="0064600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2.5</w:t>
            </w:r>
          </w:p>
        </w:tc>
        <w:tc>
          <w:tcPr>
            <w:tcW w:w="1666" w:type="dxa"/>
            <w:shd w:val="clear" w:color="auto" w:fill="auto"/>
            <w:vAlign w:val="bottom"/>
          </w:tcPr>
          <w:p w:rsidR="0064600F" w:rsidRPr="0064600F" w:rsidRDefault="001E4D4B" w:rsidP="0064600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67.475</w:t>
            </w:r>
          </w:p>
        </w:tc>
        <w:tc>
          <w:tcPr>
            <w:tcW w:w="1644" w:type="dxa"/>
            <w:shd w:val="clear" w:color="auto" w:fill="auto"/>
            <w:vAlign w:val="bottom"/>
          </w:tcPr>
          <w:p w:rsidR="0064600F" w:rsidRPr="0064600F" w:rsidRDefault="001E4D4B" w:rsidP="0064600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w:t>
            </w:r>
          </w:p>
        </w:tc>
      </w:tr>
      <w:tr w:rsidR="001E4D4B" w:rsidRPr="0064600F">
        <w:tblPrEx>
          <w:tblCellMar>
            <w:top w:w="0" w:type="dxa"/>
            <w:bottom w:w="0" w:type="dxa"/>
          </w:tblCellMar>
        </w:tblPrEx>
        <w:trPr>
          <w:cantSplit/>
          <w:jc w:val="center"/>
        </w:trPr>
        <w:tc>
          <w:tcPr>
            <w:tcW w:w="1305" w:type="dxa"/>
            <w:tcBorders>
              <w:bottom w:val="single" w:sz="12" w:space="0" w:color="auto"/>
            </w:tcBorders>
            <w:shd w:val="clear" w:color="auto" w:fill="auto"/>
            <w:vAlign w:val="bottom"/>
          </w:tcPr>
          <w:p w:rsidR="0064600F" w:rsidRPr="0064600F" w:rsidRDefault="0064600F" w:rsidP="0064600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2002-2003</w:t>
            </w:r>
          </w:p>
        </w:tc>
        <w:tc>
          <w:tcPr>
            <w:tcW w:w="1200" w:type="dxa"/>
            <w:tcBorders>
              <w:bottom w:val="single" w:sz="12" w:space="0" w:color="auto"/>
            </w:tcBorders>
            <w:shd w:val="clear" w:color="auto" w:fill="auto"/>
            <w:vAlign w:val="bottom"/>
          </w:tcPr>
          <w:p w:rsidR="0064600F" w:rsidRPr="0064600F" w:rsidRDefault="001E4D4B" w:rsidP="0064600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67.270</w:t>
            </w:r>
          </w:p>
        </w:tc>
        <w:tc>
          <w:tcPr>
            <w:tcW w:w="1140" w:type="dxa"/>
            <w:tcBorders>
              <w:bottom w:val="single" w:sz="12" w:space="0" w:color="auto"/>
            </w:tcBorders>
            <w:shd w:val="clear" w:color="auto" w:fill="auto"/>
            <w:vAlign w:val="bottom"/>
          </w:tcPr>
          <w:p w:rsidR="0064600F" w:rsidRPr="0064600F" w:rsidRDefault="001E4D4B" w:rsidP="0064600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2.604</w:t>
            </w:r>
          </w:p>
        </w:tc>
        <w:tc>
          <w:tcPr>
            <w:tcW w:w="1666" w:type="dxa"/>
            <w:tcBorders>
              <w:bottom w:val="single" w:sz="12" w:space="0" w:color="auto"/>
            </w:tcBorders>
            <w:shd w:val="clear" w:color="auto" w:fill="auto"/>
            <w:vAlign w:val="bottom"/>
          </w:tcPr>
          <w:p w:rsidR="0064600F" w:rsidRPr="0064600F" w:rsidRDefault="001E4D4B" w:rsidP="0064600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69.874</w:t>
            </w:r>
          </w:p>
        </w:tc>
        <w:tc>
          <w:tcPr>
            <w:tcW w:w="1644" w:type="dxa"/>
            <w:tcBorders>
              <w:bottom w:val="single" w:sz="12" w:space="0" w:color="auto"/>
            </w:tcBorders>
            <w:shd w:val="clear" w:color="auto" w:fill="auto"/>
            <w:vAlign w:val="bottom"/>
          </w:tcPr>
          <w:p w:rsidR="0064600F" w:rsidRPr="0064600F" w:rsidRDefault="001E4D4B" w:rsidP="0064600F">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1.7</w:t>
            </w:r>
          </w:p>
        </w:tc>
      </w:tr>
    </w:tbl>
    <w:p w:rsidR="001E4D4B" w:rsidRPr="001E4D4B" w:rsidRDefault="001E4D4B" w:rsidP="001E4D4B">
      <w:pPr>
        <w:pStyle w:val="SingleTxt"/>
        <w:spacing w:after="0" w:line="120" w:lineRule="exact"/>
        <w:rPr>
          <w:rFonts w:hint="cs"/>
          <w:sz w:val="10"/>
          <w:rtl/>
        </w:rPr>
      </w:pPr>
    </w:p>
    <w:p w:rsidR="00A71236" w:rsidRDefault="001E4D4B" w:rsidP="001E4D4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Pr>
          <w:rFonts w:hint="cs"/>
          <w:i/>
          <w:iCs/>
          <w:rtl/>
        </w:rPr>
        <w:t>المصدر</w:t>
      </w:r>
      <w:r>
        <w:rPr>
          <w:rFonts w:hint="cs"/>
          <w:rtl/>
        </w:rPr>
        <w:t>: الدراسة الاستقصائية لاقتصاد باكستان، 2002-2003.</w:t>
      </w:r>
    </w:p>
    <w:p w:rsidR="001E4D4B" w:rsidRPr="001E4D4B" w:rsidRDefault="001E4D4B" w:rsidP="001E4D4B">
      <w:pPr>
        <w:pStyle w:val="SingleTxt"/>
        <w:spacing w:after="0" w:line="120" w:lineRule="exact"/>
        <w:rPr>
          <w:rFonts w:hint="cs"/>
          <w:sz w:val="10"/>
          <w:rtl/>
        </w:rPr>
      </w:pPr>
    </w:p>
    <w:p w:rsidR="001E4D4B" w:rsidRDefault="001E4D4B" w:rsidP="001E4D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الحالة على أرض الواقع</w:t>
      </w:r>
    </w:p>
    <w:p w:rsidR="001E4D4B" w:rsidRDefault="001E4D4B" w:rsidP="001E4D4B">
      <w:pPr>
        <w:pStyle w:val="SingleTxt"/>
        <w:rPr>
          <w:rFonts w:hint="cs"/>
          <w:rtl/>
        </w:rPr>
      </w:pPr>
      <w:r>
        <w:rPr>
          <w:rFonts w:hint="cs"/>
          <w:rtl/>
        </w:rPr>
        <w:t>205-</w:t>
      </w:r>
      <w:r>
        <w:rPr>
          <w:rFonts w:hint="cs"/>
          <w:rtl/>
        </w:rPr>
        <w:tab/>
        <w:t>هناك، حاليا، 5.7 مليون طفل لا يتلقون التعليم في مرحلة الطفولة المبكرة. ومن بين هؤلاء المتخلفين 2.7 مليون من الذكور و 3 مليون من الإناث. والأرقام الخاصة بالتعليم الابتدائي 6.3 مليون من المتخلفين منهم 1.9 مليون من البنين و 4.5 مليون من البنات. وتمثل مدارس البنين 67 في المائة من مجموع المدارس الابتدائية، ومدارس البنات 33 في المائة منها.</w:t>
      </w:r>
    </w:p>
    <w:p w:rsidR="001E4D4B" w:rsidRDefault="001E4D4B" w:rsidP="009E10E9">
      <w:pPr>
        <w:pStyle w:val="SingleTxt"/>
        <w:rPr>
          <w:rFonts w:hint="cs"/>
          <w:rtl/>
        </w:rPr>
      </w:pPr>
      <w:r>
        <w:rPr>
          <w:rFonts w:hint="cs"/>
          <w:rtl/>
        </w:rPr>
        <w:t>206-</w:t>
      </w:r>
      <w:r>
        <w:rPr>
          <w:rFonts w:hint="cs"/>
          <w:rtl/>
        </w:rPr>
        <w:tab/>
        <w:t xml:space="preserve">وبذلك، يوجد لدى وزارة التعليم إطارا سياسيا للتقدم في المساواة بين الجنسين في مجال التعليم. ويجري فصل كل هدف حسب الجنسين في برامج إصلاحات قطاع التعليم وتوفير التعليم للجميع. ووضعت استراتيجيات وبرامج متنوعة، تتراوح بين البرامج التعويضية مثل المرتبات، في المرحلتين المتوسطة والثانوية، وتوفير الكتب المدرسية المجانية ودعم التغذية المدرسية لمدارس البنات. وقد أدت مبادرات في شراكات المدارس الخاصة، ومنها برنامج رفع مستوى المدارس في فترات بعد الظهر إلى زيادة التغطية للبنات على المستويات المتوسطة والثانوية </w:t>
      </w:r>
      <w:proofErr w:type="spellStart"/>
      <w:r>
        <w:rPr>
          <w:rFonts w:hint="cs"/>
          <w:rtl/>
        </w:rPr>
        <w:t>والثانوية</w:t>
      </w:r>
      <w:proofErr w:type="spellEnd"/>
      <w:r>
        <w:rPr>
          <w:rFonts w:hint="cs"/>
          <w:rtl/>
        </w:rPr>
        <w:t xml:space="preserve"> العليا. ومن بين 240 6 مدرسة في بنجاب ومقاطعة الحدو</w:t>
      </w:r>
      <w:r w:rsidR="009E10E9">
        <w:rPr>
          <w:rFonts w:hint="cs"/>
          <w:rtl/>
        </w:rPr>
        <w:t>د</w:t>
      </w:r>
      <w:r>
        <w:rPr>
          <w:rFonts w:hint="cs"/>
          <w:rtl/>
        </w:rPr>
        <w:t xml:space="preserve"> الشمالية الغربية في السنة الدراسية 2002-2003</w:t>
      </w:r>
      <w:r w:rsidRPr="001E4D4B">
        <w:rPr>
          <w:vertAlign w:val="superscript"/>
          <w:rtl/>
        </w:rPr>
        <w:t>(</w:t>
      </w:r>
      <w:r>
        <w:rPr>
          <w:rStyle w:val="FootnoteReference"/>
          <w:rtl/>
        </w:rPr>
        <w:footnoteReference w:id="12"/>
      </w:r>
      <w:r w:rsidRPr="001E4D4B">
        <w:rPr>
          <w:vertAlign w:val="superscript"/>
          <w:rtl/>
        </w:rPr>
        <w:t>)</w:t>
      </w:r>
      <w:r>
        <w:rPr>
          <w:rFonts w:hint="cs"/>
          <w:rtl/>
        </w:rPr>
        <w:t xml:space="preserve"> هناك 60.70 في المائة من مدارس البنات و 18 في المائة من المدارس المختلطة. وبالإضافة إلى ذلك يتم توفير 50 في المائة على الأقل من مجموع </w:t>
      </w:r>
      <w:proofErr w:type="spellStart"/>
      <w:r>
        <w:rPr>
          <w:rFonts w:hint="cs"/>
          <w:rtl/>
        </w:rPr>
        <w:t>اعتمادات</w:t>
      </w:r>
      <w:proofErr w:type="spellEnd"/>
      <w:r>
        <w:rPr>
          <w:rFonts w:hint="cs"/>
          <w:rtl/>
        </w:rPr>
        <w:t xml:space="preserve"> التنمية لمدارس البنات، في الوقت الحالي.</w:t>
      </w:r>
    </w:p>
    <w:p w:rsidR="001E4D4B" w:rsidRDefault="001E4D4B" w:rsidP="001E4D4B">
      <w:pPr>
        <w:pStyle w:val="SingleTxt"/>
        <w:rPr>
          <w:rFonts w:hint="cs"/>
          <w:rtl/>
        </w:rPr>
      </w:pPr>
      <w:r>
        <w:rPr>
          <w:rFonts w:hint="cs"/>
          <w:rtl/>
        </w:rPr>
        <w:t>207-</w:t>
      </w:r>
      <w:r>
        <w:rPr>
          <w:rFonts w:hint="cs"/>
          <w:rtl/>
        </w:rPr>
        <w:tab/>
        <w:t xml:space="preserve">ولدى وزارة التعليم قسم خاص </w:t>
      </w:r>
      <w:proofErr w:type="spellStart"/>
      <w:r>
        <w:rPr>
          <w:rFonts w:hint="cs"/>
          <w:rtl/>
        </w:rPr>
        <w:t>بالجنسانية</w:t>
      </w:r>
      <w:proofErr w:type="spellEnd"/>
      <w:r>
        <w:rPr>
          <w:rFonts w:hint="cs"/>
          <w:rtl/>
        </w:rPr>
        <w:t xml:space="preserve"> في شعبة توفير التعليم للجميع من أجل تيسير: (أ) التوعية الجنسانية والتدريب </w:t>
      </w:r>
      <w:proofErr w:type="spellStart"/>
      <w:r>
        <w:rPr>
          <w:rFonts w:hint="cs"/>
          <w:rtl/>
        </w:rPr>
        <w:t>الجنساني</w:t>
      </w:r>
      <w:proofErr w:type="spellEnd"/>
      <w:r>
        <w:rPr>
          <w:rFonts w:hint="cs"/>
          <w:rtl/>
        </w:rPr>
        <w:t xml:space="preserve"> (ب) إجراء البحوث والدراسات الاستقصائية وتطوير أدوات/نظم البيانات لتحليل القضايا الجنسانية وضمان تطبيق البيانات المفصلة حسب نوع الجنس ذات الصلة بالموضوع (ج) الاستجابة للشواغل الجنسانية في مجال التخطيط (د) الاتصالات وتقاسم المعلومات وأساليب حل المشاكل المتعلقة بالقضايا الجنسانية والتعليمية.</w:t>
      </w:r>
    </w:p>
    <w:p w:rsidR="001E4D4B" w:rsidRDefault="001E4D4B" w:rsidP="001E4D4B">
      <w:pPr>
        <w:pStyle w:val="SingleTxt"/>
        <w:rPr>
          <w:rFonts w:hint="cs"/>
          <w:rtl/>
        </w:rPr>
      </w:pPr>
      <w:r>
        <w:rPr>
          <w:rFonts w:hint="cs"/>
          <w:rtl/>
        </w:rPr>
        <w:t>208-</w:t>
      </w:r>
      <w:r>
        <w:rPr>
          <w:rFonts w:hint="cs"/>
          <w:rtl/>
        </w:rPr>
        <w:tab/>
        <w:t xml:space="preserve">ويلاحظ أن معدل الإلمام بالقراءة والكتابة آخذ في التحسن، على نحو شامل، وبشكل بطيء. وفي سنة 1951، كان معدل الإلمام بالقراءة والكتابة في باكستان 16.41 في المائة - بالنسبة للذين يستطيعون القراءة فقط. وبلغ المعدل التقديري الراهن لسنة 2001، 49.51 في المائة رغم أن تعريف القراءة أكثر شدة الآن وهو </w:t>
      </w:r>
      <w:r>
        <w:rPr>
          <w:rFonts w:hint="eastAsia"/>
          <w:rtl/>
        </w:rPr>
        <w:t>”الأشخاص القادرون على القراءة بفهم وعلى كت</w:t>
      </w:r>
      <w:r w:rsidR="00164E2F">
        <w:rPr>
          <w:rFonts w:hint="eastAsia"/>
          <w:rtl/>
        </w:rPr>
        <w:t>ابة بيان قصير</w:t>
      </w:r>
      <w:r w:rsidR="00164E2F">
        <w:rPr>
          <w:rFonts w:hint="cs"/>
          <w:rtl/>
        </w:rPr>
        <w:t>“. وبصورة عامة، يتزايد معدل الإلمام بالقراءة والكتابة في باكستان بنسبة 3.2329 في المائة، سنويا، في المتوسط. ومن جهة أخرى، زاد مجموع عدد الأميين في باكستان بمعدل الضعف تقريبا، بالأرقام المطلقة. ففي سنة 1951، كان هناك نحو 22.54 مليون شخص أمي في باكستان. وتبين نتائج تعداد سنة 1998، أن عدد السكان الأميين يبلغ 48.84 مليون (بيانات مستقاة من اتجاهات وإحصاءات الإلمام بالقراءة والكتابة في باكستان، مكتب اليونسكو، إسلام أباد، 2002).</w:t>
      </w:r>
    </w:p>
    <w:p w:rsidR="00164E2F" w:rsidRDefault="00164E2F" w:rsidP="001E4D4B">
      <w:pPr>
        <w:pStyle w:val="SingleTxt"/>
        <w:rPr>
          <w:rFonts w:hint="cs"/>
          <w:rtl/>
        </w:rPr>
      </w:pPr>
      <w:r>
        <w:rPr>
          <w:rFonts w:hint="cs"/>
          <w:rtl/>
        </w:rPr>
        <w:t>209-</w:t>
      </w:r>
      <w:r>
        <w:rPr>
          <w:rFonts w:hint="cs"/>
          <w:rtl/>
        </w:rPr>
        <w:tab/>
        <w:t>ويمكن قياس الحالة في باكستان، فيما يتعلق بالتعليم، بشكل أكبر، من البيانات الواردة في الجداول أدناه. وتبين الجداول وجود اتجاه إيجابي في أغلبه، ومما يبدو أن المرأة تقترب من الرجل. غير أنه تلزم زيادة سرعة هذا التغيير بدرجة كبيرة من أجل تحقيق الأهداف الإنمائية للألفية وتلبية ما يلزم لتوفير التعليم للجميع.</w:t>
      </w:r>
    </w:p>
    <w:p w:rsidR="00164E2F" w:rsidRDefault="00164E2F" w:rsidP="001E4D4B">
      <w:pPr>
        <w:pStyle w:val="SingleTxt"/>
        <w:rPr>
          <w:rFonts w:hint="cs"/>
          <w:rtl/>
        </w:rPr>
      </w:pPr>
      <w:r>
        <w:rPr>
          <w:rFonts w:hint="cs"/>
          <w:rtl/>
        </w:rPr>
        <w:t>210-</w:t>
      </w:r>
      <w:r>
        <w:rPr>
          <w:rFonts w:hint="cs"/>
          <w:rtl/>
        </w:rPr>
        <w:tab/>
        <w:t>ويبين الجدول 10-3، أن مدارس البنين سجلت زيادة نسبتها 4.1 في المائة في الفترة من 2001-2002 إلى 2003-2004، على المستوى الابتدائي، بينما بلغت هذه النسبة 8.2 في المائة بالنسبة للمدارس الابتدائية للبنات و 9.4 في المائة بالنسبة للمدارس المشتركة. ويتضح هذا الاتجاه أيضا في المستوى المتوسط. وعلى مستوى المدارس الثانوية، كانت نسبة الزيادة 4.4 في المائة لمدارس البنين مقابل 4.1 في المائة لمدارس البنات. غير أن نسبة ال</w:t>
      </w:r>
      <w:r w:rsidR="009E10E9">
        <w:rPr>
          <w:rFonts w:hint="cs"/>
          <w:rtl/>
        </w:rPr>
        <w:t>ز</w:t>
      </w:r>
      <w:r>
        <w:rPr>
          <w:rFonts w:hint="cs"/>
          <w:rtl/>
        </w:rPr>
        <w:t>يادة بلغت 15.6 في المائة في المدارس المشتركة.</w:t>
      </w:r>
    </w:p>
    <w:p w:rsidR="00164E2F" w:rsidRDefault="00164E2F" w:rsidP="00164E2F">
      <w:pPr>
        <w:pStyle w:val="SingleTxt"/>
        <w:rPr>
          <w:rFonts w:hint="cs"/>
          <w:rtl/>
        </w:rPr>
      </w:pPr>
      <w:r>
        <w:rPr>
          <w:rFonts w:hint="cs"/>
          <w:rtl/>
        </w:rPr>
        <w:t>211-</w:t>
      </w:r>
      <w:r>
        <w:rPr>
          <w:rFonts w:hint="cs"/>
          <w:rtl/>
        </w:rPr>
        <w:tab/>
        <w:t>وعلى مستوى التعليم لعالي، سجلت زيادة نسبتها 49.3 في المائة للرجل و 87.69 في المائة للمرأة في كليات الآداب والعلوم، خلال الفترة من 1989-1990 إلى 2000-2001. وكانت الأرقام المسجلة في الكليات المهنية، خلال الفترة نفسها، 289 في المائة و 233.3 في المائة. وخلال نفس الفترة، سجلت زيادة نسبتها 12 في المائة في الجامعات الخاصة بالرجال مع عدم زيادة الجامعات الخاصة بالمرأة. غير أنه جدير بالملاحظة أن المرأة تستطيع الدخول إلى جميع الجامعات بينما لا يمكن قبول الرجل في الجامعات الخاصة بالمرأة.</w:t>
      </w:r>
    </w:p>
    <w:p w:rsidR="00164E2F" w:rsidRDefault="00164E2F" w:rsidP="00164E2F">
      <w:pPr>
        <w:pStyle w:val="SingleTxt"/>
        <w:rPr>
          <w:rFonts w:hint="cs"/>
          <w:rtl/>
        </w:rPr>
      </w:pPr>
      <w:r>
        <w:rPr>
          <w:rFonts w:hint="cs"/>
          <w:rtl/>
        </w:rPr>
        <w:t>212-</w:t>
      </w:r>
      <w:r>
        <w:rPr>
          <w:rFonts w:hint="cs"/>
          <w:rtl/>
        </w:rPr>
        <w:tab/>
        <w:t>وخلال الفترة الواقعة بين 2000-2001 و 2003-2004، زاد التحاق البنين بالمدارس الابتدائية والمتوسطة والثانوية بنسبة 3.6 في المائة و 18.9 في المائة و 10 في المائة على التوالي. وخلال الفترة نفسها زاد التحاق البنات بنسبة 6.4 في المائة عند المستوى الابتدائي. غير أنه انخفض بنسبة 6.5 في المائة عند المستوى المتوسط. وزاد بنسبة 0.6 في المائة عند المستوى الثانوي.</w:t>
      </w:r>
    </w:p>
    <w:p w:rsidR="00164E2F" w:rsidRDefault="00164E2F" w:rsidP="00164E2F">
      <w:pPr>
        <w:pStyle w:val="SingleTxt"/>
        <w:rPr>
          <w:rFonts w:hint="cs"/>
          <w:rtl/>
        </w:rPr>
      </w:pPr>
      <w:r>
        <w:rPr>
          <w:rFonts w:hint="cs"/>
          <w:rtl/>
        </w:rPr>
        <w:t>213-</w:t>
      </w:r>
      <w:r>
        <w:rPr>
          <w:rFonts w:hint="cs"/>
          <w:rtl/>
        </w:rPr>
        <w:tab/>
        <w:t>وزاد معدل الالتحاق بالكليات الجامعية بنسبة 25.3 في المائة للرجل و 124.2 في المائة للمرأة خلال الفترة من 1989-1990 إلى 2000-2001. وكانت النسب الخاصة بالكليات المهنية للفترة نفسها 113.3 في المائة للرجال و 117.1 في المائة للنساء. وكانت هذه المعدلات 38.7 في المائة و 247.5 في المائة، على التوالي.</w:t>
      </w:r>
    </w:p>
    <w:p w:rsidR="00164E2F" w:rsidRPr="00164E2F" w:rsidRDefault="00164E2F" w:rsidP="00164E2F">
      <w:pPr>
        <w:pStyle w:val="SingleTxt"/>
        <w:spacing w:after="0" w:line="120" w:lineRule="exact"/>
        <w:rPr>
          <w:rFonts w:hint="cs"/>
          <w:sz w:val="10"/>
          <w:rtl/>
        </w:rPr>
      </w:pPr>
    </w:p>
    <w:p w:rsidR="00164E2F" w:rsidRDefault="00164E2F" w:rsidP="00164E2F">
      <w:pPr>
        <w:pStyle w:val="SingleTxt"/>
        <w:spacing w:after="0"/>
        <w:rPr>
          <w:rFonts w:hint="cs"/>
          <w:rtl/>
        </w:rPr>
      </w:pPr>
      <w:r>
        <w:rPr>
          <w:rFonts w:hint="cs"/>
          <w:rtl/>
        </w:rPr>
        <w:t>الجدول 10-2</w:t>
      </w:r>
    </w:p>
    <w:p w:rsidR="00164E2F" w:rsidRPr="00164E2F" w:rsidRDefault="00164E2F" w:rsidP="00164E2F">
      <w:pPr>
        <w:pStyle w:val="SingleTxt"/>
        <w:rPr>
          <w:rFonts w:hint="cs"/>
          <w:b/>
          <w:bCs/>
          <w:rtl/>
        </w:rPr>
      </w:pPr>
      <w:r w:rsidRPr="00164E2F">
        <w:rPr>
          <w:rFonts w:hint="cs"/>
          <w:b/>
          <w:bCs/>
          <w:rtl/>
        </w:rPr>
        <w:t>المستوى التعليمي لسكان باكستان</w:t>
      </w:r>
    </w:p>
    <w:p w:rsidR="00164E2F" w:rsidRPr="00164E2F" w:rsidRDefault="00164E2F" w:rsidP="00164E2F">
      <w:pPr>
        <w:pStyle w:val="SingleTxt"/>
        <w:spacing w:after="0" w:line="120" w:lineRule="exact"/>
        <w:rPr>
          <w:rFonts w:hint="cs"/>
          <w:sz w:val="10"/>
          <w:rtl/>
        </w:rPr>
      </w:pPr>
    </w:p>
    <w:tbl>
      <w:tblPr>
        <w:bidiVisual/>
        <w:tblW w:w="7320" w:type="dxa"/>
        <w:jc w:val="center"/>
        <w:tblInd w:w="1267" w:type="dxa"/>
        <w:tblLayout w:type="fixed"/>
        <w:tblCellMar>
          <w:left w:w="0" w:type="dxa"/>
          <w:right w:w="0" w:type="dxa"/>
        </w:tblCellMar>
        <w:tblLook w:val="0000" w:firstRow="0" w:lastRow="0" w:firstColumn="0" w:lastColumn="0" w:noHBand="0" w:noVBand="0"/>
      </w:tblPr>
      <w:tblGrid>
        <w:gridCol w:w="1464"/>
        <w:gridCol w:w="1464"/>
        <w:gridCol w:w="1464"/>
        <w:gridCol w:w="1393"/>
        <w:gridCol w:w="1535"/>
      </w:tblGrid>
      <w:tr w:rsidR="00984ECA" w:rsidRPr="00984ECA">
        <w:tblPrEx>
          <w:tblCellMar>
            <w:top w:w="0" w:type="dxa"/>
            <w:bottom w:w="0" w:type="dxa"/>
          </w:tblCellMar>
        </w:tblPrEx>
        <w:trPr>
          <w:cantSplit/>
          <w:tblHeader/>
          <w:jc w:val="center"/>
        </w:trPr>
        <w:tc>
          <w:tcPr>
            <w:tcW w:w="1464" w:type="dxa"/>
            <w:tcBorders>
              <w:top w:val="single" w:sz="4" w:space="0" w:color="auto"/>
              <w:bottom w:val="single" w:sz="12" w:space="0" w:color="auto"/>
            </w:tcBorders>
            <w:shd w:val="clear" w:color="auto" w:fill="auto"/>
            <w:vAlign w:val="bottom"/>
          </w:tcPr>
          <w:p w:rsidR="00984ECA" w:rsidRPr="00984ECA" w:rsidRDefault="00984ECA" w:rsidP="00984ECA">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المستوى التعليمي</w:t>
            </w:r>
          </w:p>
        </w:tc>
        <w:tc>
          <w:tcPr>
            <w:tcW w:w="1464" w:type="dxa"/>
            <w:tcBorders>
              <w:top w:val="single" w:sz="4" w:space="0" w:color="auto"/>
              <w:bottom w:val="single" w:sz="12" w:space="0" w:color="auto"/>
            </w:tcBorders>
            <w:shd w:val="clear" w:color="auto" w:fill="auto"/>
            <w:vAlign w:val="bottom"/>
          </w:tcPr>
          <w:p w:rsidR="00984ECA" w:rsidRPr="00984ECA" w:rsidRDefault="00984ECA" w:rsidP="00984ECA">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الجنسان (2000)</w:t>
            </w:r>
          </w:p>
        </w:tc>
        <w:tc>
          <w:tcPr>
            <w:tcW w:w="1464" w:type="dxa"/>
            <w:tcBorders>
              <w:top w:val="single" w:sz="4" w:space="0" w:color="auto"/>
              <w:bottom w:val="single" w:sz="12" w:space="0" w:color="auto"/>
            </w:tcBorders>
            <w:shd w:val="clear" w:color="auto" w:fill="auto"/>
            <w:vAlign w:val="bottom"/>
          </w:tcPr>
          <w:p w:rsidR="00984ECA" w:rsidRPr="00984ECA" w:rsidRDefault="00984ECA" w:rsidP="00984ECA">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الذكور (2000)</w:t>
            </w:r>
          </w:p>
        </w:tc>
        <w:tc>
          <w:tcPr>
            <w:tcW w:w="1393" w:type="dxa"/>
            <w:tcBorders>
              <w:top w:val="single" w:sz="4" w:space="0" w:color="auto"/>
              <w:bottom w:val="single" w:sz="12" w:space="0" w:color="auto"/>
            </w:tcBorders>
            <w:shd w:val="clear" w:color="auto" w:fill="auto"/>
            <w:vAlign w:val="bottom"/>
          </w:tcPr>
          <w:p w:rsidR="00984ECA" w:rsidRPr="00984ECA" w:rsidRDefault="00984ECA" w:rsidP="00984ECA">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الإناث (2000)</w:t>
            </w:r>
          </w:p>
        </w:tc>
        <w:tc>
          <w:tcPr>
            <w:tcW w:w="1535" w:type="dxa"/>
            <w:tcBorders>
              <w:top w:val="single" w:sz="4" w:space="0" w:color="auto"/>
              <w:bottom w:val="single" w:sz="12" w:space="0" w:color="auto"/>
            </w:tcBorders>
            <w:shd w:val="clear" w:color="auto" w:fill="auto"/>
            <w:vAlign w:val="bottom"/>
          </w:tcPr>
          <w:p w:rsidR="00984ECA" w:rsidRPr="00984ECA" w:rsidRDefault="00984ECA" w:rsidP="00984ECA">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النسبة المئوية (الإناث)</w:t>
            </w:r>
          </w:p>
        </w:tc>
      </w:tr>
      <w:tr w:rsidR="00984ECA" w:rsidRPr="00984ECA">
        <w:tblPrEx>
          <w:tblCellMar>
            <w:top w:w="0" w:type="dxa"/>
            <w:bottom w:w="0" w:type="dxa"/>
          </w:tblCellMar>
        </w:tblPrEx>
        <w:trPr>
          <w:cantSplit/>
          <w:trHeight w:hRule="exact" w:val="115"/>
          <w:tblHeader/>
          <w:jc w:val="center"/>
        </w:trPr>
        <w:tc>
          <w:tcPr>
            <w:tcW w:w="1464" w:type="dxa"/>
            <w:tcBorders>
              <w:top w:val="single" w:sz="12" w:space="0" w:color="auto"/>
            </w:tcBorders>
            <w:shd w:val="clear" w:color="auto" w:fill="auto"/>
            <w:vAlign w:val="bottom"/>
          </w:tcPr>
          <w:p w:rsidR="00984ECA" w:rsidRPr="00984ECA" w:rsidRDefault="00984ECA" w:rsidP="00984ECA">
            <w:pPr>
              <w:tabs>
                <w:tab w:val="left" w:pos="288"/>
                <w:tab w:val="left" w:pos="576"/>
                <w:tab w:val="left" w:pos="864"/>
                <w:tab w:val="left" w:pos="1152"/>
              </w:tabs>
              <w:spacing w:before="40" w:after="80" w:line="240" w:lineRule="exact"/>
              <w:ind w:left="72" w:right="72"/>
              <w:rPr>
                <w:rFonts w:hint="cs"/>
                <w:sz w:val="16"/>
                <w:szCs w:val="24"/>
                <w:rtl/>
              </w:rPr>
            </w:pPr>
          </w:p>
        </w:tc>
        <w:tc>
          <w:tcPr>
            <w:tcW w:w="1464" w:type="dxa"/>
            <w:tcBorders>
              <w:top w:val="single" w:sz="12" w:space="0" w:color="auto"/>
            </w:tcBorders>
            <w:shd w:val="clear" w:color="auto" w:fill="auto"/>
            <w:vAlign w:val="bottom"/>
          </w:tcPr>
          <w:p w:rsidR="00984ECA" w:rsidRPr="00984ECA" w:rsidRDefault="00984ECA" w:rsidP="00984ECA">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464" w:type="dxa"/>
            <w:tcBorders>
              <w:top w:val="single" w:sz="12" w:space="0" w:color="auto"/>
            </w:tcBorders>
            <w:shd w:val="clear" w:color="auto" w:fill="auto"/>
            <w:vAlign w:val="bottom"/>
          </w:tcPr>
          <w:p w:rsidR="00984ECA" w:rsidRPr="00984ECA" w:rsidRDefault="00984ECA" w:rsidP="00984ECA">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393" w:type="dxa"/>
            <w:tcBorders>
              <w:top w:val="single" w:sz="12" w:space="0" w:color="auto"/>
            </w:tcBorders>
            <w:shd w:val="clear" w:color="auto" w:fill="auto"/>
            <w:vAlign w:val="bottom"/>
          </w:tcPr>
          <w:p w:rsidR="00984ECA" w:rsidRPr="00984ECA" w:rsidRDefault="00984ECA" w:rsidP="00984ECA">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535" w:type="dxa"/>
            <w:tcBorders>
              <w:top w:val="single" w:sz="12" w:space="0" w:color="auto"/>
            </w:tcBorders>
            <w:shd w:val="clear" w:color="auto" w:fill="auto"/>
            <w:vAlign w:val="bottom"/>
          </w:tcPr>
          <w:p w:rsidR="00984ECA" w:rsidRPr="00984ECA" w:rsidRDefault="00984ECA" w:rsidP="00984ECA">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984ECA" w:rsidRPr="00984ECA">
        <w:tblPrEx>
          <w:tblCellMar>
            <w:top w:w="0" w:type="dxa"/>
            <w:bottom w:w="0" w:type="dxa"/>
          </w:tblCellMar>
        </w:tblPrEx>
        <w:trPr>
          <w:cantSplit/>
          <w:jc w:val="center"/>
        </w:trPr>
        <w:tc>
          <w:tcPr>
            <w:tcW w:w="1464" w:type="dxa"/>
            <w:shd w:val="clear" w:color="auto" w:fill="auto"/>
            <w:vAlign w:val="bottom"/>
          </w:tcPr>
          <w:p w:rsidR="00984ECA" w:rsidRPr="00984ECA" w:rsidRDefault="00984ECA" w:rsidP="00984ECA">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أقل من الابتدائي</w:t>
            </w:r>
          </w:p>
        </w:tc>
        <w:tc>
          <w:tcPr>
            <w:tcW w:w="1464"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151 7</w:t>
            </w:r>
          </w:p>
        </w:tc>
        <w:tc>
          <w:tcPr>
            <w:tcW w:w="1464"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429 4</w:t>
            </w:r>
          </w:p>
        </w:tc>
        <w:tc>
          <w:tcPr>
            <w:tcW w:w="1393"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722 2</w:t>
            </w:r>
          </w:p>
        </w:tc>
        <w:tc>
          <w:tcPr>
            <w:tcW w:w="1535"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38.06</w:t>
            </w:r>
          </w:p>
        </w:tc>
      </w:tr>
      <w:tr w:rsidR="00984ECA" w:rsidRPr="00984ECA">
        <w:tblPrEx>
          <w:tblCellMar>
            <w:top w:w="0" w:type="dxa"/>
            <w:bottom w:w="0" w:type="dxa"/>
          </w:tblCellMar>
        </w:tblPrEx>
        <w:trPr>
          <w:cantSplit/>
          <w:jc w:val="center"/>
        </w:trPr>
        <w:tc>
          <w:tcPr>
            <w:tcW w:w="1464" w:type="dxa"/>
            <w:shd w:val="clear" w:color="auto" w:fill="auto"/>
            <w:vAlign w:val="bottom"/>
          </w:tcPr>
          <w:p w:rsidR="00984ECA" w:rsidRPr="00984ECA" w:rsidRDefault="00984ECA" w:rsidP="00984ECA">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الابتدائي</w:t>
            </w:r>
          </w:p>
        </w:tc>
        <w:tc>
          <w:tcPr>
            <w:tcW w:w="1464"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781 11</w:t>
            </w:r>
          </w:p>
        </w:tc>
        <w:tc>
          <w:tcPr>
            <w:tcW w:w="1464"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304 7</w:t>
            </w:r>
          </w:p>
        </w:tc>
        <w:tc>
          <w:tcPr>
            <w:tcW w:w="1393"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477 4</w:t>
            </w:r>
          </w:p>
        </w:tc>
        <w:tc>
          <w:tcPr>
            <w:tcW w:w="1535"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38.00</w:t>
            </w:r>
          </w:p>
        </w:tc>
      </w:tr>
      <w:tr w:rsidR="00984ECA" w:rsidRPr="00984ECA">
        <w:tblPrEx>
          <w:tblCellMar>
            <w:top w:w="0" w:type="dxa"/>
            <w:bottom w:w="0" w:type="dxa"/>
          </w:tblCellMar>
        </w:tblPrEx>
        <w:trPr>
          <w:cantSplit/>
          <w:jc w:val="center"/>
        </w:trPr>
        <w:tc>
          <w:tcPr>
            <w:tcW w:w="1464" w:type="dxa"/>
            <w:shd w:val="clear" w:color="auto" w:fill="auto"/>
            <w:vAlign w:val="bottom"/>
          </w:tcPr>
          <w:p w:rsidR="00984ECA" w:rsidRPr="00984ECA" w:rsidRDefault="00984ECA" w:rsidP="00984ECA">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المتوسط</w:t>
            </w:r>
          </w:p>
        </w:tc>
        <w:tc>
          <w:tcPr>
            <w:tcW w:w="1464"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168 8</w:t>
            </w:r>
          </w:p>
        </w:tc>
        <w:tc>
          <w:tcPr>
            <w:tcW w:w="1464"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627 5</w:t>
            </w:r>
          </w:p>
        </w:tc>
        <w:tc>
          <w:tcPr>
            <w:tcW w:w="1393"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451 2</w:t>
            </w:r>
          </w:p>
        </w:tc>
        <w:tc>
          <w:tcPr>
            <w:tcW w:w="1535"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31.1</w:t>
            </w:r>
          </w:p>
        </w:tc>
      </w:tr>
      <w:tr w:rsidR="00984ECA" w:rsidRPr="00984ECA">
        <w:tblPrEx>
          <w:tblCellMar>
            <w:top w:w="0" w:type="dxa"/>
            <w:bottom w:w="0" w:type="dxa"/>
          </w:tblCellMar>
        </w:tblPrEx>
        <w:trPr>
          <w:cantSplit/>
          <w:jc w:val="center"/>
        </w:trPr>
        <w:tc>
          <w:tcPr>
            <w:tcW w:w="1464" w:type="dxa"/>
            <w:shd w:val="clear" w:color="auto" w:fill="auto"/>
            <w:vAlign w:val="bottom"/>
          </w:tcPr>
          <w:p w:rsidR="00984ECA" w:rsidRPr="00984ECA" w:rsidRDefault="00984ECA" w:rsidP="00984ECA">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الثانوي</w:t>
            </w:r>
          </w:p>
        </w:tc>
        <w:tc>
          <w:tcPr>
            <w:tcW w:w="1464"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759 6</w:t>
            </w:r>
          </w:p>
        </w:tc>
        <w:tc>
          <w:tcPr>
            <w:tcW w:w="1464"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654 4</w:t>
            </w:r>
          </w:p>
        </w:tc>
        <w:tc>
          <w:tcPr>
            <w:tcW w:w="1393"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114 2</w:t>
            </w:r>
          </w:p>
        </w:tc>
        <w:tc>
          <w:tcPr>
            <w:tcW w:w="1535"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31.27</w:t>
            </w:r>
          </w:p>
        </w:tc>
      </w:tr>
      <w:tr w:rsidR="00984ECA" w:rsidRPr="00984ECA">
        <w:tblPrEx>
          <w:tblCellMar>
            <w:top w:w="0" w:type="dxa"/>
            <w:bottom w:w="0" w:type="dxa"/>
          </w:tblCellMar>
        </w:tblPrEx>
        <w:trPr>
          <w:cantSplit/>
          <w:jc w:val="center"/>
        </w:trPr>
        <w:tc>
          <w:tcPr>
            <w:tcW w:w="1464" w:type="dxa"/>
            <w:shd w:val="clear" w:color="auto" w:fill="auto"/>
            <w:vAlign w:val="bottom"/>
          </w:tcPr>
          <w:p w:rsidR="00984ECA" w:rsidRPr="00984ECA" w:rsidRDefault="00984ECA" w:rsidP="00984ECA">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الكليات المتوسطة</w:t>
            </w:r>
          </w:p>
        </w:tc>
        <w:tc>
          <w:tcPr>
            <w:tcW w:w="1464"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565 2</w:t>
            </w:r>
          </w:p>
        </w:tc>
        <w:tc>
          <w:tcPr>
            <w:tcW w:w="1464"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671 1</w:t>
            </w:r>
          </w:p>
        </w:tc>
        <w:tc>
          <w:tcPr>
            <w:tcW w:w="1393"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894</w:t>
            </w:r>
          </w:p>
        </w:tc>
        <w:tc>
          <w:tcPr>
            <w:tcW w:w="1535"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34.85</w:t>
            </w:r>
          </w:p>
        </w:tc>
      </w:tr>
      <w:tr w:rsidR="00984ECA" w:rsidRPr="00984ECA">
        <w:tblPrEx>
          <w:tblCellMar>
            <w:top w:w="0" w:type="dxa"/>
            <w:bottom w:w="0" w:type="dxa"/>
          </w:tblCellMar>
        </w:tblPrEx>
        <w:trPr>
          <w:cantSplit/>
          <w:jc w:val="center"/>
        </w:trPr>
        <w:tc>
          <w:tcPr>
            <w:tcW w:w="1464" w:type="dxa"/>
            <w:shd w:val="clear" w:color="auto" w:fill="auto"/>
            <w:vAlign w:val="bottom"/>
          </w:tcPr>
          <w:p w:rsidR="00984ECA" w:rsidRPr="00984ECA" w:rsidRDefault="00984ECA" w:rsidP="00984ECA">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درجة البكالوريوس وما يعادلها</w:t>
            </w:r>
          </w:p>
        </w:tc>
        <w:tc>
          <w:tcPr>
            <w:tcW w:w="1464" w:type="dxa"/>
            <w:shd w:val="clear" w:color="auto" w:fill="auto"/>
            <w:vAlign w:val="bottom"/>
          </w:tcPr>
          <w:p w:rsidR="00984ECA" w:rsidRPr="00984ECA" w:rsidRDefault="009E10E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712 1</w:t>
            </w:r>
          </w:p>
        </w:tc>
        <w:tc>
          <w:tcPr>
            <w:tcW w:w="1464"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148 1</w:t>
            </w:r>
          </w:p>
        </w:tc>
        <w:tc>
          <w:tcPr>
            <w:tcW w:w="1393"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564</w:t>
            </w:r>
          </w:p>
        </w:tc>
        <w:tc>
          <w:tcPr>
            <w:tcW w:w="1535"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32.94</w:t>
            </w:r>
          </w:p>
        </w:tc>
      </w:tr>
      <w:tr w:rsidR="00984ECA" w:rsidRPr="00984ECA">
        <w:tblPrEx>
          <w:tblCellMar>
            <w:top w:w="0" w:type="dxa"/>
            <w:bottom w:w="0" w:type="dxa"/>
          </w:tblCellMar>
        </w:tblPrEx>
        <w:trPr>
          <w:cantSplit/>
          <w:jc w:val="center"/>
        </w:trPr>
        <w:tc>
          <w:tcPr>
            <w:tcW w:w="1464" w:type="dxa"/>
            <w:shd w:val="clear" w:color="auto" w:fill="auto"/>
            <w:vAlign w:val="bottom"/>
          </w:tcPr>
          <w:p w:rsidR="00984ECA" w:rsidRPr="00984ECA" w:rsidRDefault="00984ECA" w:rsidP="00984ECA">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درجة الماجستير وما يعادلها أو ما فوقها</w:t>
            </w:r>
          </w:p>
        </w:tc>
        <w:tc>
          <w:tcPr>
            <w:tcW w:w="1464"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619</w:t>
            </w:r>
          </w:p>
        </w:tc>
        <w:tc>
          <w:tcPr>
            <w:tcW w:w="1464"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456</w:t>
            </w:r>
          </w:p>
        </w:tc>
        <w:tc>
          <w:tcPr>
            <w:tcW w:w="1393"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163</w:t>
            </w:r>
          </w:p>
        </w:tc>
        <w:tc>
          <w:tcPr>
            <w:tcW w:w="1535" w:type="dxa"/>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26.33</w:t>
            </w:r>
          </w:p>
        </w:tc>
      </w:tr>
      <w:tr w:rsidR="00984ECA" w:rsidRPr="00984ECA">
        <w:tblPrEx>
          <w:tblCellMar>
            <w:top w:w="0" w:type="dxa"/>
            <w:bottom w:w="0" w:type="dxa"/>
          </w:tblCellMar>
        </w:tblPrEx>
        <w:trPr>
          <w:cantSplit/>
          <w:jc w:val="center"/>
        </w:trPr>
        <w:tc>
          <w:tcPr>
            <w:tcW w:w="1464" w:type="dxa"/>
            <w:tcBorders>
              <w:bottom w:val="single" w:sz="12" w:space="0" w:color="auto"/>
            </w:tcBorders>
            <w:shd w:val="clear" w:color="auto" w:fill="auto"/>
            <w:vAlign w:val="bottom"/>
          </w:tcPr>
          <w:p w:rsidR="00984ECA" w:rsidRPr="00984ECA" w:rsidRDefault="00984ECA" w:rsidP="00984ECA">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w:t>
            </w:r>
            <w:r w:rsidR="00BD02B4">
              <w:rPr>
                <w:rFonts w:hint="cs"/>
                <w:sz w:val="16"/>
                <w:szCs w:val="24"/>
                <w:rtl/>
              </w:rPr>
              <w:t>دبلوم/الشهادة</w:t>
            </w:r>
          </w:p>
        </w:tc>
        <w:tc>
          <w:tcPr>
            <w:tcW w:w="1464" w:type="dxa"/>
            <w:tcBorders>
              <w:bottom w:val="single" w:sz="12" w:space="0" w:color="auto"/>
            </w:tcBorders>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160</w:t>
            </w:r>
          </w:p>
        </w:tc>
        <w:tc>
          <w:tcPr>
            <w:tcW w:w="1464" w:type="dxa"/>
            <w:tcBorders>
              <w:bottom w:val="single" w:sz="12" w:space="0" w:color="auto"/>
            </w:tcBorders>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134</w:t>
            </w:r>
          </w:p>
        </w:tc>
        <w:tc>
          <w:tcPr>
            <w:tcW w:w="1393" w:type="dxa"/>
            <w:tcBorders>
              <w:bottom w:val="single" w:sz="12" w:space="0" w:color="auto"/>
            </w:tcBorders>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26</w:t>
            </w:r>
          </w:p>
        </w:tc>
        <w:tc>
          <w:tcPr>
            <w:tcW w:w="1535" w:type="dxa"/>
            <w:tcBorders>
              <w:bottom w:val="single" w:sz="12" w:space="0" w:color="auto"/>
            </w:tcBorders>
            <w:shd w:val="clear" w:color="auto" w:fill="auto"/>
            <w:vAlign w:val="bottom"/>
          </w:tcPr>
          <w:p w:rsidR="00984ECA" w:rsidRPr="00984ECA" w:rsidRDefault="00DF5149" w:rsidP="00984ECA">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16.25</w:t>
            </w:r>
          </w:p>
        </w:tc>
      </w:tr>
    </w:tbl>
    <w:p w:rsidR="00BD02B4" w:rsidRPr="00BD02B4" w:rsidRDefault="00BD02B4" w:rsidP="00BD02B4">
      <w:pPr>
        <w:pStyle w:val="SingleTxt"/>
        <w:spacing w:after="0" w:line="120" w:lineRule="exact"/>
        <w:rPr>
          <w:rFonts w:hint="cs"/>
          <w:sz w:val="10"/>
          <w:rtl/>
        </w:rPr>
      </w:pPr>
    </w:p>
    <w:p w:rsidR="00164E2F" w:rsidRPr="00BD02B4" w:rsidRDefault="00BD02B4" w:rsidP="00BD02B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Pr>
          <w:rFonts w:hint="cs"/>
          <w:i/>
          <w:iCs/>
          <w:rtl/>
        </w:rPr>
        <w:t>المصدر</w:t>
      </w:r>
      <w:r>
        <w:rPr>
          <w:rFonts w:hint="cs"/>
          <w:rtl/>
        </w:rPr>
        <w:t>: كتاب الجيب الإحصائي لباكستان، 2003. مكتب الإحصاءات الاتحادي، أضيف العمود الخامس (النسبة المئوية) استنادا إلى البيانات الواردة في الأعمدة 2-4.</w:t>
      </w:r>
    </w:p>
    <w:p w:rsidR="00BD02B4" w:rsidRPr="00BD02B4" w:rsidRDefault="00BD02B4" w:rsidP="00BD02B4">
      <w:pPr>
        <w:pStyle w:val="SingleTxt"/>
        <w:spacing w:after="0" w:line="120" w:lineRule="exact"/>
        <w:rPr>
          <w:rFonts w:hint="cs"/>
          <w:sz w:val="10"/>
          <w:rtl/>
        </w:rPr>
      </w:pPr>
    </w:p>
    <w:p w:rsidR="00BD02B4" w:rsidRDefault="00DF5149" w:rsidP="00DF5149">
      <w:pPr>
        <w:pStyle w:val="SingleTxt"/>
        <w:spacing w:after="0"/>
        <w:rPr>
          <w:rFonts w:hint="cs"/>
          <w:rtl/>
        </w:rPr>
      </w:pPr>
      <w:r>
        <w:rPr>
          <w:rFonts w:hint="cs"/>
          <w:rtl/>
        </w:rPr>
        <w:t>الجدول 10-3</w:t>
      </w:r>
    </w:p>
    <w:p w:rsidR="00DF5149" w:rsidRPr="00DF5149" w:rsidRDefault="00DF5149" w:rsidP="00164E2F">
      <w:pPr>
        <w:pStyle w:val="SingleTxt"/>
        <w:rPr>
          <w:rFonts w:hint="cs"/>
          <w:b/>
          <w:bCs/>
          <w:rtl/>
        </w:rPr>
      </w:pPr>
      <w:r w:rsidRPr="00DF5149">
        <w:rPr>
          <w:rFonts w:hint="cs"/>
          <w:b/>
          <w:bCs/>
          <w:rtl/>
        </w:rPr>
        <w:t>مجموع المؤسسات العامة والخاصة (الابتدائية، المتوسطة، الثانوية)</w:t>
      </w:r>
    </w:p>
    <w:p w:rsidR="00793C12" w:rsidRPr="00793C12" w:rsidRDefault="00793C12" w:rsidP="00793C12">
      <w:pPr>
        <w:pStyle w:val="SingleTxt"/>
        <w:spacing w:after="0" w:line="120" w:lineRule="exact"/>
        <w:rPr>
          <w:rFonts w:hint="cs"/>
          <w:sz w:val="10"/>
          <w:rtl/>
        </w:rPr>
      </w:pPr>
    </w:p>
    <w:tbl>
      <w:tblPr>
        <w:bidiVisual/>
        <w:tblW w:w="9841" w:type="dxa"/>
        <w:jc w:val="center"/>
        <w:tblLayout w:type="fixed"/>
        <w:tblCellMar>
          <w:left w:w="0" w:type="dxa"/>
          <w:right w:w="0" w:type="dxa"/>
        </w:tblCellMar>
        <w:tblLook w:val="0000" w:firstRow="0" w:lastRow="0" w:firstColumn="0" w:lastColumn="0" w:noHBand="0" w:noVBand="0"/>
      </w:tblPr>
      <w:tblGrid>
        <w:gridCol w:w="1766"/>
        <w:gridCol w:w="800"/>
        <w:gridCol w:w="800"/>
        <w:gridCol w:w="800"/>
        <w:gridCol w:w="880"/>
        <w:gridCol w:w="640"/>
        <w:gridCol w:w="640"/>
        <w:gridCol w:w="800"/>
        <w:gridCol w:w="800"/>
        <w:gridCol w:w="640"/>
        <w:gridCol w:w="640"/>
        <w:gridCol w:w="635"/>
      </w:tblGrid>
      <w:tr w:rsidR="00A56AAD" w:rsidRPr="001C794E">
        <w:tblPrEx>
          <w:tblCellMar>
            <w:top w:w="0" w:type="dxa"/>
            <w:bottom w:w="0" w:type="dxa"/>
          </w:tblCellMar>
        </w:tblPrEx>
        <w:trPr>
          <w:cantSplit/>
          <w:tblHeader/>
          <w:jc w:val="center"/>
        </w:trPr>
        <w:tc>
          <w:tcPr>
            <w:tcW w:w="1766" w:type="dxa"/>
            <w:tcBorders>
              <w:top w:val="single" w:sz="4" w:space="0" w:color="auto"/>
            </w:tcBorders>
            <w:shd w:val="clear" w:color="auto" w:fill="auto"/>
            <w:tcMar>
              <w:left w:w="0" w:type="dxa"/>
              <w:right w:w="0" w:type="dxa"/>
            </w:tcMar>
            <w:vAlign w:val="bottom"/>
          </w:tcPr>
          <w:p w:rsidR="00A56AAD" w:rsidRPr="001C794E" w:rsidRDefault="00A56AAD" w:rsidP="00793C12">
            <w:pPr>
              <w:spacing w:before="80" w:after="80" w:line="240" w:lineRule="exact"/>
              <w:ind w:left="72" w:right="72"/>
              <w:rPr>
                <w:rFonts w:hint="cs"/>
                <w:i/>
                <w:iCs/>
                <w:sz w:val="22"/>
                <w:szCs w:val="22"/>
                <w:rtl/>
              </w:rPr>
            </w:pPr>
          </w:p>
        </w:tc>
        <w:tc>
          <w:tcPr>
            <w:tcW w:w="3280" w:type="dxa"/>
            <w:gridSpan w:val="4"/>
            <w:tcBorders>
              <w:top w:val="single" w:sz="4" w:space="0" w:color="auto"/>
              <w:bottom w:val="single" w:sz="4" w:space="0" w:color="auto"/>
            </w:tcBorders>
            <w:shd w:val="clear" w:color="auto" w:fill="auto"/>
            <w:vAlign w:val="bottom"/>
          </w:tcPr>
          <w:p w:rsidR="00A56AAD" w:rsidRPr="001C794E" w:rsidRDefault="00A56AAD" w:rsidP="00A56AAD">
            <w:pPr>
              <w:spacing w:before="80" w:after="80" w:line="240" w:lineRule="exact"/>
              <w:ind w:left="72" w:right="72"/>
              <w:jc w:val="center"/>
              <w:rPr>
                <w:rFonts w:hint="cs"/>
                <w:i/>
                <w:iCs/>
                <w:sz w:val="22"/>
                <w:szCs w:val="22"/>
                <w:rtl/>
              </w:rPr>
            </w:pPr>
            <w:r w:rsidRPr="001C794E">
              <w:rPr>
                <w:rFonts w:hint="cs"/>
                <w:i/>
                <w:iCs/>
                <w:sz w:val="22"/>
                <w:szCs w:val="22"/>
                <w:rtl/>
              </w:rPr>
              <w:t>الابتدائية</w:t>
            </w:r>
          </w:p>
        </w:tc>
        <w:tc>
          <w:tcPr>
            <w:tcW w:w="2880" w:type="dxa"/>
            <w:gridSpan w:val="4"/>
            <w:tcBorders>
              <w:top w:val="single" w:sz="4" w:space="0" w:color="auto"/>
              <w:bottom w:val="single" w:sz="4" w:space="0" w:color="auto"/>
            </w:tcBorders>
            <w:shd w:val="clear" w:color="auto" w:fill="auto"/>
            <w:vAlign w:val="bottom"/>
          </w:tcPr>
          <w:p w:rsidR="00A56AAD" w:rsidRPr="001C794E" w:rsidRDefault="00A56AAD" w:rsidP="00A56AAD">
            <w:pPr>
              <w:spacing w:before="80" w:after="80" w:line="240" w:lineRule="exact"/>
              <w:ind w:left="72" w:right="72"/>
              <w:jc w:val="center"/>
              <w:rPr>
                <w:rFonts w:hint="cs"/>
                <w:i/>
                <w:iCs/>
                <w:sz w:val="22"/>
                <w:szCs w:val="22"/>
                <w:rtl/>
              </w:rPr>
            </w:pPr>
            <w:r w:rsidRPr="001C794E">
              <w:rPr>
                <w:rFonts w:hint="cs"/>
                <w:i/>
                <w:iCs/>
                <w:sz w:val="22"/>
                <w:szCs w:val="22"/>
                <w:rtl/>
              </w:rPr>
              <w:t>المتوسطة</w:t>
            </w:r>
          </w:p>
        </w:tc>
        <w:tc>
          <w:tcPr>
            <w:tcW w:w="1915" w:type="dxa"/>
            <w:gridSpan w:val="3"/>
            <w:tcBorders>
              <w:top w:val="single" w:sz="4" w:space="0" w:color="auto"/>
              <w:bottom w:val="single" w:sz="4" w:space="0" w:color="auto"/>
            </w:tcBorders>
            <w:shd w:val="clear" w:color="auto" w:fill="auto"/>
            <w:vAlign w:val="bottom"/>
          </w:tcPr>
          <w:p w:rsidR="00A56AAD" w:rsidRPr="001C794E" w:rsidRDefault="00A56AAD" w:rsidP="00A56AAD">
            <w:pPr>
              <w:spacing w:before="80" w:after="80" w:line="240" w:lineRule="exact"/>
              <w:ind w:left="72" w:right="72"/>
              <w:jc w:val="center"/>
              <w:rPr>
                <w:rFonts w:hint="cs"/>
                <w:i/>
                <w:iCs/>
                <w:sz w:val="22"/>
                <w:szCs w:val="22"/>
                <w:rtl/>
              </w:rPr>
            </w:pPr>
            <w:r w:rsidRPr="001C794E">
              <w:rPr>
                <w:rFonts w:hint="cs"/>
                <w:i/>
                <w:iCs/>
                <w:sz w:val="22"/>
                <w:szCs w:val="22"/>
                <w:rtl/>
              </w:rPr>
              <w:t>الثانوية</w:t>
            </w:r>
          </w:p>
        </w:tc>
      </w:tr>
      <w:tr w:rsidR="003F77BA" w:rsidRPr="001C794E">
        <w:tblPrEx>
          <w:tblCellMar>
            <w:top w:w="0" w:type="dxa"/>
            <w:bottom w:w="0" w:type="dxa"/>
          </w:tblCellMar>
        </w:tblPrEx>
        <w:trPr>
          <w:cantSplit/>
          <w:tblHeader/>
          <w:jc w:val="center"/>
        </w:trPr>
        <w:tc>
          <w:tcPr>
            <w:tcW w:w="1766" w:type="dxa"/>
            <w:tcBorders>
              <w:bottom w:val="single" w:sz="12" w:space="0" w:color="auto"/>
            </w:tcBorders>
            <w:shd w:val="clear" w:color="auto" w:fill="auto"/>
            <w:vAlign w:val="bottom"/>
          </w:tcPr>
          <w:p w:rsidR="00793C12" w:rsidRPr="001C794E" w:rsidRDefault="00A56AAD" w:rsidP="00793C12">
            <w:pPr>
              <w:spacing w:after="80" w:line="240" w:lineRule="exact"/>
              <w:ind w:left="72" w:right="72"/>
              <w:rPr>
                <w:rFonts w:hint="cs"/>
                <w:i/>
                <w:iCs/>
                <w:sz w:val="22"/>
                <w:szCs w:val="22"/>
                <w:rtl/>
              </w:rPr>
            </w:pPr>
            <w:r w:rsidRPr="001C794E">
              <w:rPr>
                <w:rFonts w:hint="cs"/>
                <w:i/>
                <w:iCs/>
                <w:sz w:val="22"/>
                <w:szCs w:val="22"/>
                <w:rtl/>
              </w:rPr>
              <w:t>السنوات/المستوى</w:t>
            </w:r>
          </w:p>
        </w:tc>
        <w:tc>
          <w:tcPr>
            <w:tcW w:w="800" w:type="dxa"/>
            <w:tcBorders>
              <w:top w:val="single" w:sz="4" w:space="0" w:color="auto"/>
              <w:bottom w:val="single" w:sz="12" w:space="0" w:color="auto"/>
            </w:tcBorders>
            <w:shd w:val="clear" w:color="auto" w:fill="auto"/>
            <w:vAlign w:val="bottom"/>
          </w:tcPr>
          <w:p w:rsidR="00793C12" w:rsidRPr="001C794E" w:rsidRDefault="00A56AAD" w:rsidP="00793C12">
            <w:pPr>
              <w:spacing w:after="80" w:line="240" w:lineRule="exact"/>
              <w:ind w:left="72" w:right="72"/>
              <w:jc w:val="lowKashida"/>
              <w:rPr>
                <w:rFonts w:hint="cs"/>
                <w:i/>
                <w:iCs/>
                <w:sz w:val="22"/>
                <w:szCs w:val="22"/>
                <w:rtl/>
              </w:rPr>
            </w:pPr>
            <w:r w:rsidRPr="001C794E">
              <w:rPr>
                <w:rFonts w:hint="cs"/>
                <w:i/>
                <w:iCs/>
                <w:sz w:val="22"/>
                <w:szCs w:val="22"/>
                <w:rtl/>
              </w:rPr>
              <w:t>بنون</w:t>
            </w:r>
          </w:p>
        </w:tc>
        <w:tc>
          <w:tcPr>
            <w:tcW w:w="800" w:type="dxa"/>
            <w:tcBorders>
              <w:top w:val="single" w:sz="4" w:space="0" w:color="auto"/>
              <w:bottom w:val="single" w:sz="12" w:space="0" w:color="auto"/>
            </w:tcBorders>
            <w:shd w:val="clear" w:color="auto" w:fill="auto"/>
            <w:vAlign w:val="bottom"/>
          </w:tcPr>
          <w:p w:rsidR="00793C12" w:rsidRPr="001C794E" w:rsidRDefault="00A56AAD" w:rsidP="00793C12">
            <w:pPr>
              <w:spacing w:after="80" w:line="240" w:lineRule="exact"/>
              <w:ind w:left="72" w:right="72"/>
              <w:jc w:val="lowKashida"/>
              <w:rPr>
                <w:rFonts w:hint="cs"/>
                <w:i/>
                <w:iCs/>
                <w:sz w:val="22"/>
                <w:szCs w:val="22"/>
                <w:rtl/>
              </w:rPr>
            </w:pPr>
            <w:r w:rsidRPr="001C794E">
              <w:rPr>
                <w:rFonts w:hint="cs"/>
                <w:i/>
                <w:iCs/>
                <w:sz w:val="22"/>
                <w:szCs w:val="22"/>
                <w:rtl/>
              </w:rPr>
              <w:t>بنات</w:t>
            </w:r>
          </w:p>
        </w:tc>
        <w:tc>
          <w:tcPr>
            <w:tcW w:w="800" w:type="dxa"/>
            <w:tcBorders>
              <w:top w:val="single" w:sz="4" w:space="0" w:color="auto"/>
              <w:bottom w:val="single" w:sz="12" w:space="0" w:color="auto"/>
            </w:tcBorders>
            <w:shd w:val="clear" w:color="auto" w:fill="auto"/>
            <w:vAlign w:val="bottom"/>
          </w:tcPr>
          <w:p w:rsidR="00793C12" w:rsidRPr="001C794E" w:rsidRDefault="00A56AAD" w:rsidP="00793C12">
            <w:pPr>
              <w:spacing w:after="80" w:line="240" w:lineRule="exact"/>
              <w:ind w:left="72" w:right="72"/>
              <w:jc w:val="lowKashida"/>
              <w:rPr>
                <w:rFonts w:hint="cs"/>
                <w:i/>
                <w:iCs/>
                <w:sz w:val="22"/>
                <w:szCs w:val="22"/>
                <w:rtl/>
              </w:rPr>
            </w:pPr>
            <w:r w:rsidRPr="001C794E">
              <w:rPr>
                <w:rFonts w:hint="cs"/>
                <w:i/>
                <w:iCs/>
                <w:sz w:val="22"/>
                <w:szCs w:val="22"/>
                <w:rtl/>
              </w:rPr>
              <w:t>مشتركة</w:t>
            </w:r>
          </w:p>
        </w:tc>
        <w:tc>
          <w:tcPr>
            <w:tcW w:w="880" w:type="dxa"/>
            <w:tcBorders>
              <w:top w:val="single" w:sz="4" w:space="0" w:color="auto"/>
              <w:bottom w:val="single" w:sz="12" w:space="0" w:color="auto"/>
            </w:tcBorders>
            <w:shd w:val="clear" w:color="auto" w:fill="auto"/>
            <w:vAlign w:val="bottom"/>
          </w:tcPr>
          <w:p w:rsidR="00793C12" w:rsidRPr="001C794E" w:rsidRDefault="00A56AAD" w:rsidP="00793C12">
            <w:pPr>
              <w:spacing w:after="80" w:line="240" w:lineRule="exact"/>
              <w:ind w:left="72" w:right="72"/>
              <w:jc w:val="lowKashida"/>
              <w:rPr>
                <w:rFonts w:hint="cs"/>
                <w:i/>
                <w:iCs/>
                <w:sz w:val="22"/>
                <w:szCs w:val="22"/>
                <w:rtl/>
              </w:rPr>
            </w:pPr>
            <w:r w:rsidRPr="001C794E">
              <w:rPr>
                <w:rFonts w:hint="cs"/>
                <w:i/>
                <w:iCs/>
                <w:sz w:val="22"/>
                <w:szCs w:val="22"/>
                <w:rtl/>
              </w:rPr>
              <w:t>المجموع</w:t>
            </w:r>
          </w:p>
        </w:tc>
        <w:tc>
          <w:tcPr>
            <w:tcW w:w="640" w:type="dxa"/>
            <w:tcBorders>
              <w:top w:val="single" w:sz="4" w:space="0" w:color="auto"/>
              <w:bottom w:val="single" w:sz="12" w:space="0" w:color="auto"/>
            </w:tcBorders>
            <w:shd w:val="clear" w:color="auto" w:fill="auto"/>
            <w:vAlign w:val="bottom"/>
          </w:tcPr>
          <w:p w:rsidR="00793C12" w:rsidRPr="001C794E" w:rsidRDefault="00A56AAD" w:rsidP="00793C12">
            <w:pPr>
              <w:spacing w:after="80" w:line="240" w:lineRule="exact"/>
              <w:ind w:left="72" w:right="72"/>
              <w:jc w:val="lowKashida"/>
              <w:rPr>
                <w:rFonts w:hint="cs"/>
                <w:i/>
                <w:iCs/>
                <w:sz w:val="22"/>
                <w:szCs w:val="22"/>
                <w:rtl/>
              </w:rPr>
            </w:pPr>
            <w:r w:rsidRPr="001C794E">
              <w:rPr>
                <w:rFonts w:hint="cs"/>
                <w:i/>
                <w:iCs/>
                <w:sz w:val="22"/>
                <w:szCs w:val="22"/>
                <w:rtl/>
              </w:rPr>
              <w:t>بنون</w:t>
            </w:r>
          </w:p>
        </w:tc>
        <w:tc>
          <w:tcPr>
            <w:tcW w:w="640" w:type="dxa"/>
            <w:tcBorders>
              <w:top w:val="single" w:sz="4" w:space="0" w:color="auto"/>
              <w:bottom w:val="single" w:sz="12" w:space="0" w:color="auto"/>
            </w:tcBorders>
            <w:shd w:val="clear" w:color="auto" w:fill="auto"/>
            <w:vAlign w:val="bottom"/>
          </w:tcPr>
          <w:p w:rsidR="00793C12" w:rsidRPr="001C794E" w:rsidRDefault="00A56AAD" w:rsidP="00793C12">
            <w:pPr>
              <w:spacing w:after="80" w:line="240" w:lineRule="exact"/>
              <w:ind w:left="72" w:right="72"/>
              <w:jc w:val="lowKashida"/>
              <w:rPr>
                <w:rFonts w:hint="cs"/>
                <w:i/>
                <w:iCs/>
                <w:sz w:val="22"/>
                <w:szCs w:val="22"/>
                <w:rtl/>
              </w:rPr>
            </w:pPr>
            <w:r w:rsidRPr="001C794E">
              <w:rPr>
                <w:rFonts w:hint="cs"/>
                <w:i/>
                <w:iCs/>
                <w:sz w:val="22"/>
                <w:szCs w:val="22"/>
                <w:rtl/>
              </w:rPr>
              <w:t>بنات</w:t>
            </w:r>
          </w:p>
        </w:tc>
        <w:tc>
          <w:tcPr>
            <w:tcW w:w="800" w:type="dxa"/>
            <w:tcBorders>
              <w:top w:val="single" w:sz="4" w:space="0" w:color="auto"/>
              <w:bottom w:val="single" w:sz="12" w:space="0" w:color="auto"/>
            </w:tcBorders>
            <w:shd w:val="clear" w:color="auto" w:fill="auto"/>
            <w:vAlign w:val="bottom"/>
          </w:tcPr>
          <w:p w:rsidR="00793C12" w:rsidRPr="001C794E" w:rsidRDefault="00A56AAD" w:rsidP="00793C12">
            <w:pPr>
              <w:spacing w:after="80" w:line="240" w:lineRule="exact"/>
              <w:ind w:left="72" w:right="72"/>
              <w:jc w:val="lowKashida"/>
              <w:rPr>
                <w:rFonts w:hint="cs"/>
                <w:i/>
                <w:iCs/>
                <w:sz w:val="22"/>
                <w:szCs w:val="22"/>
                <w:rtl/>
              </w:rPr>
            </w:pPr>
            <w:r w:rsidRPr="001C794E">
              <w:rPr>
                <w:rFonts w:hint="cs"/>
                <w:i/>
                <w:iCs/>
                <w:sz w:val="22"/>
                <w:szCs w:val="22"/>
                <w:rtl/>
              </w:rPr>
              <w:t>مشتركة</w:t>
            </w:r>
          </w:p>
        </w:tc>
        <w:tc>
          <w:tcPr>
            <w:tcW w:w="800" w:type="dxa"/>
            <w:tcBorders>
              <w:top w:val="single" w:sz="4" w:space="0" w:color="auto"/>
              <w:bottom w:val="single" w:sz="12" w:space="0" w:color="auto"/>
            </w:tcBorders>
            <w:shd w:val="clear" w:color="auto" w:fill="auto"/>
            <w:vAlign w:val="bottom"/>
          </w:tcPr>
          <w:p w:rsidR="00793C12" w:rsidRPr="001C794E" w:rsidRDefault="00A56AAD" w:rsidP="00793C12">
            <w:pPr>
              <w:spacing w:after="80" w:line="240" w:lineRule="exact"/>
              <w:ind w:left="72" w:right="72"/>
              <w:jc w:val="lowKashida"/>
              <w:rPr>
                <w:rFonts w:hint="cs"/>
                <w:i/>
                <w:iCs/>
                <w:sz w:val="22"/>
                <w:szCs w:val="22"/>
                <w:rtl/>
              </w:rPr>
            </w:pPr>
            <w:r w:rsidRPr="001C794E">
              <w:rPr>
                <w:rFonts w:hint="cs"/>
                <w:i/>
                <w:iCs/>
                <w:sz w:val="22"/>
                <w:szCs w:val="22"/>
                <w:rtl/>
              </w:rPr>
              <w:t>المجموع</w:t>
            </w:r>
          </w:p>
        </w:tc>
        <w:tc>
          <w:tcPr>
            <w:tcW w:w="640" w:type="dxa"/>
            <w:tcBorders>
              <w:top w:val="single" w:sz="4" w:space="0" w:color="auto"/>
              <w:bottom w:val="single" w:sz="12" w:space="0" w:color="auto"/>
            </w:tcBorders>
            <w:shd w:val="clear" w:color="auto" w:fill="auto"/>
            <w:vAlign w:val="bottom"/>
          </w:tcPr>
          <w:p w:rsidR="00793C12" w:rsidRPr="001C794E" w:rsidRDefault="00A56AAD" w:rsidP="00793C12">
            <w:pPr>
              <w:spacing w:after="80" w:line="240" w:lineRule="exact"/>
              <w:ind w:left="72" w:right="72"/>
              <w:jc w:val="lowKashida"/>
              <w:rPr>
                <w:rFonts w:hint="cs"/>
                <w:i/>
                <w:iCs/>
                <w:sz w:val="22"/>
                <w:szCs w:val="22"/>
                <w:rtl/>
              </w:rPr>
            </w:pPr>
            <w:r w:rsidRPr="001C794E">
              <w:rPr>
                <w:rFonts w:hint="cs"/>
                <w:i/>
                <w:iCs/>
                <w:sz w:val="22"/>
                <w:szCs w:val="22"/>
                <w:rtl/>
              </w:rPr>
              <w:t>بنون</w:t>
            </w:r>
          </w:p>
        </w:tc>
        <w:tc>
          <w:tcPr>
            <w:tcW w:w="640" w:type="dxa"/>
            <w:tcBorders>
              <w:top w:val="single" w:sz="4" w:space="0" w:color="auto"/>
              <w:bottom w:val="single" w:sz="12" w:space="0" w:color="auto"/>
            </w:tcBorders>
            <w:shd w:val="clear" w:color="auto" w:fill="auto"/>
            <w:vAlign w:val="bottom"/>
          </w:tcPr>
          <w:p w:rsidR="00793C12" w:rsidRPr="001C794E" w:rsidRDefault="00A56AAD" w:rsidP="00793C12">
            <w:pPr>
              <w:spacing w:after="80" w:line="240" w:lineRule="exact"/>
              <w:ind w:left="72" w:right="72"/>
              <w:jc w:val="lowKashida"/>
              <w:rPr>
                <w:rFonts w:hint="cs"/>
                <w:i/>
                <w:iCs/>
                <w:sz w:val="22"/>
                <w:szCs w:val="22"/>
                <w:rtl/>
              </w:rPr>
            </w:pPr>
            <w:r w:rsidRPr="001C794E">
              <w:rPr>
                <w:rFonts w:hint="cs"/>
                <w:i/>
                <w:iCs/>
                <w:sz w:val="22"/>
                <w:szCs w:val="22"/>
                <w:rtl/>
              </w:rPr>
              <w:t>بنات</w:t>
            </w:r>
          </w:p>
        </w:tc>
        <w:tc>
          <w:tcPr>
            <w:tcW w:w="635" w:type="dxa"/>
            <w:tcBorders>
              <w:top w:val="single" w:sz="4" w:space="0" w:color="auto"/>
              <w:bottom w:val="single" w:sz="12" w:space="0" w:color="auto"/>
            </w:tcBorders>
            <w:shd w:val="clear" w:color="auto" w:fill="auto"/>
            <w:vAlign w:val="bottom"/>
          </w:tcPr>
          <w:p w:rsidR="00793C12" w:rsidRPr="001C794E" w:rsidRDefault="00A56AAD" w:rsidP="00793C12">
            <w:pPr>
              <w:spacing w:after="80" w:line="240" w:lineRule="exact"/>
              <w:ind w:left="72" w:right="72"/>
              <w:jc w:val="lowKashida"/>
              <w:rPr>
                <w:rFonts w:hint="cs"/>
                <w:i/>
                <w:iCs/>
                <w:sz w:val="22"/>
                <w:szCs w:val="22"/>
                <w:rtl/>
              </w:rPr>
            </w:pPr>
            <w:r w:rsidRPr="001C794E">
              <w:rPr>
                <w:rFonts w:hint="cs"/>
                <w:i/>
                <w:iCs/>
                <w:sz w:val="22"/>
                <w:szCs w:val="22"/>
                <w:rtl/>
              </w:rPr>
              <w:t>مشتركة</w:t>
            </w:r>
          </w:p>
        </w:tc>
      </w:tr>
      <w:tr w:rsidR="003F77BA" w:rsidRPr="001C794E">
        <w:tblPrEx>
          <w:tblCellMar>
            <w:top w:w="0" w:type="dxa"/>
            <w:bottom w:w="0" w:type="dxa"/>
          </w:tblCellMar>
        </w:tblPrEx>
        <w:trPr>
          <w:cantSplit/>
          <w:trHeight w:hRule="exact" w:val="115"/>
          <w:tblHeader/>
          <w:jc w:val="center"/>
        </w:trPr>
        <w:tc>
          <w:tcPr>
            <w:tcW w:w="1766" w:type="dxa"/>
            <w:tcBorders>
              <w:top w:val="single" w:sz="12" w:space="0" w:color="auto"/>
            </w:tcBorders>
            <w:shd w:val="clear" w:color="auto" w:fill="auto"/>
            <w:vAlign w:val="bottom"/>
          </w:tcPr>
          <w:p w:rsidR="00793C12" w:rsidRPr="001C794E" w:rsidRDefault="00793C12" w:rsidP="00793C12">
            <w:pPr>
              <w:spacing w:before="40" w:after="80" w:line="240" w:lineRule="exact"/>
              <w:ind w:left="72" w:right="72"/>
              <w:rPr>
                <w:rFonts w:hint="cs"/>
                <w:sz w:val="22"/>
                <w:szCs w:val="22"/>
                <w:rtl/>
              </w:rPr>
            </w:pPr>
          </w:p>
        </w:tc>
        <w:tc>
          <w:tcPr>
            <w:tcW w:w="800" w:type="dxa"/>
            <w:tcBorders>
              <w:top w:val="single" w:sz="12" w:space="0" w:color="auto"/>
            </w:tcBorders>
            <w:shd w:val="clear" w:color="auto" w:fill="auto"/>
            <w:vAlign w:val="bottom"/>
          </w:tcPr>
          <w:p w:rsidR="00793C12" w:rsidRPr="001C794E" w:rsidRDefault="00793C12" w:rsidP="00793C12">
            <w:pPr>
              <w:spacing w:before="40" w:after="80" w:line="240" w:lineRule="exact"/>
              <w:ind w:left="72" w:right="72"/>
              <w:jc w:val="lowKashida"/>
              <w:rPr>
                <w:rFonts w:hint="cs"/>
                <w:sz w:val="22"/>
                <w:szCs w:val="22"/>
                <w:rtl/>
              </w:rPr>
            </w:pPr>
          </w:p>
        </w:tc>
        <w:tc>
          <w:tcPr>
            <w:tcW w:w="800" w:type="dxa"/>
            <w:tcBorders>
              <w:top w:val="single" w:sz="12" w:space="0" w:color="auto"/>
            </w:tcBorders>
            <w:shd w:val="clear" w:color="auto" w:fill="auto"/>
            <w:vAlign w:val="bottom"/>
          </w:tcPr>
          <w:p w:rsidR="00793C12" w:rsidRPr="001C794E" w:rsidRDefault="00793C12" w:rsidP="00793C12">
            <w:pPr>
              <w:spacing w:before="40" w:after="80" w:line="240" w:lineRule="exact"/>
              <w:ind w:left="72" w:right="72"/>
              <w:jc w:val="lowKashida"/>
              <w:rPr>
                <w:rFonts w:hint="cs"/>
                <w:sz w:val="22"/>
                <w:szCs w:val="22"/>
                <w:rtl/>
              </w:rPr>
            </w:pPr>
          </w:p>
        </w:tc>
        <w:tc>
          <w:tcPr>
            <w:tcW w:w="800" w:type="dxa"/>
            <w:tcBorders>
              <w:top w:val="single" w:sz="12" w:space="0" w:color="auto"/>
            </w:tcBorders>
            <w:shd w:val="clear" w:color="auto" w:fill="auto"/>
            <w:vAlign w:val="bottom"/>
          </w:tcPr>
          <w:p w:rsidR="00793C12" w:rsidRPr="001C794E" w:rsidRDefault="00793C12" w:rsidP="00793C12">
            <w:pPr>
              <w:spacing w:before="40" w:after="80" w:line="240" w:lineRule="exact"/>
              <w:ind w:left="72" w:right="72"/>
              <w:jc w:val="lowKashida"/>
              <w:rPr>
                <w:rFonts w:hint="cs"/>
                <w:sz w:val="22"/>
                <w:szCs w:val="22"/>
                <w:rtl/>
              </w:rPr>
            </w:pPr>
          </w:p>
        </w:tc>
        <w:tc>
          <w:tcPr>
            <w:tcW w:w="880" w:type="dxa"/>
            <w:tcBorders>
              <w:top w:val="single" w:sz="12" w:space="0" w:color="auto"/>
            </w:tcBorders>
            <w:shd w:val="clear" w:color="auto" w:fill="auto"/>
            <w:vAlign w:val="bottom"/>
          </w:tcPr>
          <w:p w:rsidR="00793C12" w:rsidRPr="001C794E" w:rsidRDefault="00793C12" w:rsidP="00793C12">
            <w:pPr>
              <w:spacing w:before="40" w:after="80" w:line="240" w:lineRule="exact"/>
              <w:ind w:left="72" w:right="72"/>
              <w:jc w:val="lowKashida"/>
              <w:rPr>
                <w:rFonts w:hint="cs"/>
                <w:sz w:val="22"/>
                <w:szCs w:val="22"/>
                <w:rtl/>
              </w:rPr>
            </w:pPr>
          </w:p>
        </w:tc>
        <w:tc>
          <w:tcPr>
            <w:tcW w:w="640" w:type="dxa"/>
            <w:tcBorders>
              <w:top w:val="single" w:sz="12" w:space="0" w:color="auto"/>
            </w:tcBorders>
            <w:shd w:val="clear" w:color="auto" w:fill="auto"/>
            <w:vAlign w:val="bottom"/>
          </w:tcPr>
          <w:p w:rsidR="00793C12" w:rsidRPr="001C794E" w:rsidRDefault="00793C12" w:rsidP="00793C12">
            <w:pPr>
              <w:spacing w:before="40" w:after="80" w:line="240" w:lineRule="exact"/>
              <w:ind w:left="72" w:right="72"/>
              <w:jc w:val="lowKashida"/>
              <w:rPr>
                <w:rFonts w:hint="cs"/>
                <w:sz w:val="22"/>
                <w:szCs w:val="22"/>
                <w:rtl/>
              </w:rPr>
            </w:pPr>
          </w:p>
        </w:tc>
        <w:tc>
          <w:tcPr>
            <w:tcW w:w="640" w:type="dxa"/>
            <w:tcBorders>
              <w:top w:val="single" w:sz="12" w:space="0" w:color="auto"/>
            </w:tcBorders>
            <w:shd w:val="clear" w:color="auto" w:fill="auto"/>
            <w:vAlign w:val="bottom"/>
          </w:tcPr>
          <w:p w:rsidR="00793C12" w:rsidRPr="001C794E" w:rsidRDefault="00793C12" w:rsidP="00793C12">
            <w:pPr>
              <w:spacing w:before="40" w:after="80" w:line="240" w:lineRule="exact"/>
              <w:ind w:left="72" w:right="72"/>
              <w:jc w:val="lowKashida"/>
              <w:rPr>
                <w:rFonts w:hint="cs"/>
                <w:sz w:val="22"/>
                <w:szCs w:val="22"/>
                <w:rtl/>
              </w:rPr>
            </w:pPr>
          </w:p>
        </w:tc>
        <w:tc>
          <w:tcPr>
            <w:tcW w:w="800" w:type="dxa"/>
            <w:tcBorders>
              <w:top w:val="single" w:sz="12" w:space="0" w:color="auto"/>
            </w:tcBorders>
            <w:shd w:val="clear" w:color="auto" w:fill="auto"/>
            <w:vAlign w:val="bottom"/>
          </w:tcPr>
          <w:p w:rsidR="00793C12" w:rsidRPr="001C794E" w:rsidRDefault="00793C12" w:rsidP="00793C12">
            <w:pPr>
              <w:spacing w:before="40" w:after="80" w:line="240" w:lineRule="exact"/>
              <w:ind w:left="72" w:right="72"/>
              <w:jc w:val="lowKashida"/>
              <w:rPr>
                <w:rFonts w:hint="cs"/>
                <w:sz w:val="22"/>
                <w:szCs w:val="22"/>
                <w:rtl/>
              </w:rPr>
            </w:pPr>
          </w:p>
        </w:tc>
        <w:tc>
          <w:tcPr>
            <w:tcW w:w="800" w:type="dxa"/>
            <w:tcBorders>
              <w:top w:val="single" w:sz="12" w:space="0" w:color="auto"/>
            </w:tcBorders>
            <w:shd w:val="clear" w:color="auto" w:fill="auto"/>
            <w:vAlign w:val="bottom"/>
          </w:tcPr>
          <w:p w:rsidR="00793C12" w:rsidRPr="001C794E" w:rsidRDefault="00793C12" w:rsidP="00793C12">
            <w:pPr>
              <w:spacing w:before="40" w:after="80" w:line="240" w:lineRule="exact"/>
              <w:ind w:left="72" w:right="72"/>
              <w:jc w:val="lowKashida"/>
              <w:rPr>
                <w:rFonts w:hint="cs"/>
                <w:sz w:val="22"/>
                <w:szCs w:val="22"/>
                <w:rtl/>
              </w:rPr>
            </w:pPr>
          </w:p>
        </w:tc>
        <w:tc>
          <w:tcPr>
            <w:tcW w:w="640" w:type="dxa"/>
            <w:tcBorders>
              <w:top w:val="single" w:sz="12" w:space="0" w:color="auto"/>
            </w:tcBorders>
            <w:shd w:val="clear" w:color="auto" w:fill="auto"/>
            <w:vAlign w:val="bottom"/>
          </w:tcPr>
          <w:p w:rsidR="00793C12" w:rsidRPr="001C794E" w:rsidRDefault="00793C12" w:rsidP="00793C12">
            <w:pPr>
              <w:spacing w:before="40" w:after="80" w:line="240" w:lineRule="exact"/>
              <w:ind w:left="72" w:right="72"/>
              <w:jc w:val="lowKashida"/>
              <w:rPr>
                <w:rFonts w:hint="cs"/>
                <w:sz w:val="22"/>
                <w:szCs w:val="22"/>
                <w:rtl/>
              </w:rPr>
            </w:pPr>
          </w:p>
        </w:tc>
        <w:tc>
          <w:tcPr>
            <w:tcW w:w="640" w:type="dxa"/>
            <w:tcBorders>
              <w:top w:val="single" w:sz="12" w:space="0" w:color="auto"/>
            </w:tcBorders>
            <w:shd w:val="clear" w:color="auto" w:fill="auto"/>
            <w:vAlign w:val="bottom"/>
          </w:tcPr>
          <w:p w:rsidR="00793C12" w:rsidRPr="001C794E" w:rsidRDefault="00793C12" w:rsidP="00793C12">
            <w:pPr>
              <w:spacing w:before="40" w:after="80" w:line="240" w:lineRule="exact"/>
              <w:ind w:left="72" w:right="72"/>
              <w:jc w:val="lowKashida"/>
              <w:rPr>
                <w:rFonts w:hint="cs"/>
                <w:sz w:val="22"/>
                <w:szCs w:val="22"/>
                <w:rtl/>
              </w:rPr>
            </w:pPr>
          </w:p>
        </w:tc>
        <w:tc>
          <w:tcPr>
            <w:tcW w:w="635" w:type="dxa"/>
            <w:tcBorders>
              <w:top w:val="single" w:sz="12" w:space="0" w:color="auto"/>
            </w:tcBorders>
            <w:shd w:val="clear" w:color="auto" w:fill="auto"/>
            <w:vAlign w:val="bottom"/>
          </w:tcPr>
          <w:p w:rsidR="00793C12" w:rsidRPr="001C794E" w:rsidRDefault="00793C12" w:rsidP="00793C12">
            <w:pPr>
              <w:spacing w:before="40" w:after="80" w:line="240" w:lineRule="exact"/>
              <w:ind w:left="72" w:right="72"/>
              <w:jc w:val="lowKashida"/>
              <w:rPr>
                <w:rFonts w:hint="cs"/>
                <w:sz w:val="22"/>
                <w:szCs w:val="22"/>
                <w:rtl/>
              </w:rPr>
            </w:pPr>
          </w:p>
        </w:tc>
      </w:tr>
      <w:tr w:rsidR="003F77BA" w:rsidRPr="001C794E">
        <w:tblPrEx>
          <w:tblCellMar>
            <w:top w:w="0" w:type="dxa"/>
            <w:bottom w:w="0" w:type="dxa"/>
          </w:tblCellMar>
        </w:tblPrEx>
        <w:trPr>
          <w:cantSplit/>
          <w:jc w:val="center"/>
        </w:trPr>
        <w:tc>
          <w:tcPr>
            <w:tcW w:w="1766" w:type="dxa"/>
            <w:shd w:val="clear" w:color="auto" w:fill="auto"/>
            <w:vAlign w:val="bottom"/>
          </w:tcPr>
          <w:p w:rsidR="00793C12" w:rsidRPr="001C794E" w:rsidRDefault="00A56AAD" w:rsidP="00793C12">
            <w:pPr>
              <w:spacing w:before="40" w:after="80" w:line="240" w:lineRule="exact"/>
              <w:ind w:left="72" w:right="72"/>
              <w:rPr>
                <w:rFonts w:hint="cs"/>
                <w:sz w:val="22"/>
                <w:szCs w:val="22"/>
                <w:rtl/>
              </w:rPr>
            </w:pPr>
            <w:r w:rsidRPr="001C794E">
              <w:rPr>
                <w:rFonts w:hint="cs"/>
                <w:sz w:val="22"/>
                <w:szCs w:val="22"/>
                <w:rtl/>
              </w:rPr>
              <w:t>2000-2001</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796 73</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870 42</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070 31</w:t>
            </w:r>
          </w:p>
        </w:tc>
        <w:tc>
          <w:tcPr>
            <w:tcW w:w="88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736 147</w:t>
            </w:r>
          </w:p>
        </w:tc>
        <w:tc>
          <w:tcPr>
            <w:tcW w:w="64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551 6</w:t>
            </w:r>
          </w:p>
        </w:tc>
        <w:tc>
          <w:tcPr>
            <w:tcW w:w="64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875 5</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046 13</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472 25</w:t>
            </w:r>
          </w:p>
        </w:tc>
        <w:tc>
          <w:tcPr>
            <w:tcW w:w="64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201 6</w:t>
            </w:r>
          </w:p>
        </w:tc>
        <w:tc>
          <w:tcPr>
            <w:tcW w:w="640" w:type="dxa"/>
            <w:shd w:val="clear" w:color="auto" w:fill="auto"/>
            <w:vAlign w:val="bottom"/>
          </w:tcPr>
          <w:p w:rsidR="00793C12" w:rsidRPr="001C794E" w:rsidRDefault="009E10E9" w:rsidP="00793C12">
            <w:pPr>
              <w:spacing w:before="40" w:after="80" w:line="240" w:lineRule="exact"/>
              <w:ind w:left="72" w:right="72"/>
              <w:jc w:val="lowKashida"/>
              <w:rPr>
                <w:rFonts w:hint="cs"/>
                <w:sz w:val="22"/>
                <w:szCs w:val="22"/>
                <w:rtl/>
              </w:rPr>
            </w:pPr>
            <w:r>
              <w:rPr>
                <w:rFonts w:hint="cs"/>
                <w:sz w:val="22"/>
                <w:szCs w:val="22"/>
                <w:rtl/>
              </w:rPr>
              <w:t>773 2</w:t>
            </w:r>
          </w:p>
        </w:tc>
        <w:tc>
          <w:tcPr>
            <w:tcW w:w="635"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812 5</w:t>
            </w:r>
          </w:p>
        </w:tc>
      </w:tr>
      <w:tr w:rsidR="003F77BA" w:rsidRPr="001C794E">
        <w:tblPrEx>
          <w:tblCellMar>
            <w:top w:w="0" w:type="dxa"/>
            <w:bottom w:w="0" w:type="dxa"/>
          </w:tblCellMar>
        </w:tblPrEx>
        <w:trPr>
          <w:cantSplit/>
          <w:jc w:val="center"/>
        </w:trPr>
        <w:tc>
          <w:tcPr>
            <w:tcW w:w="1766" w:type="dxa"/>
            <w:shd w:val="clear" w:color="auto" w:fill="auto"/>
            <w:vAlign w:val="bottom"/>
          </w:tcPr>
          <w:p w:rsidR="00793C12" w:rsidRPr="001C794E" w:rsidRDefault="00A56AAD" w:rsidP="00793C12">
            <w:pPr>
              <w:spacing w:before="40" w:after="80" w:line="240" w:lineRule="exact"/>
              <w:ind w:left="72" w:right="72"/>
              <w:rPr>
                <w:rFonts w:hint="cs"/>
                <w:sz w:val="22"/>
                <w:szCs w:val="22"/>
                <w:rtl/>
              </w:rPr>
            </w:pPr>
            <w:r w:rsidRPr="001C794E">
              <w:rPr>
                <w:rFonts w:hint="cs"/>
                <w:sz w:val="22"/>
                <w:szCs w:val="22"/>
                <w:rtl/>
              </w:rPr>
              <w:t>2001-2002</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788 73</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525 43</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773 31</w:t>
            </w:r>
          </w:p>
        </w:tc>
        <w:tc>
          <w:tcPr>
            <w:tcW w:w="88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085 149</w:t>
            </w:r>
          </w:p>
        </w:tc>
        <w:tc>
          <w:tcPr>
            <w:tcW w:w="64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834 6</w:t>
            </w:r>
          </w:p>
        </w:tc>
        <w:tc>
          <w:tcPr>
            <w:tcW w:w="64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257 6</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699 13</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790 26</w:t>
            </w:r>
          </w:p>
        </w:tc>
        <w:tc>
          <w:tcPr>
            <w:tcW w:w="64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198 6</w:t>
            </w:r>
          </w:p>
        </w:tc>
        <w:tc>
          <w:tcPr>
            <w:tcW w:w="64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762 2</w:t>
            </w:r>
          </w:p>
        </w:tc>
        <w:tc>
          <w:tcPr>
            <w:tcW w:w="635"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091 6</w:t>
            </w:r>
          </w:p>
        </w:tc>
      </w:tr>
      <w:tr w:rsidR="003F77BA" w:rsidRPr="001C794E">
        <w:tblPrEx>
          <w:tblCellMar>
            <w:top w:w="0" w:type="dxa"/>
            <w:bottom w:w="0" w:type="dxa"/>
          </w:tblCellMar>
        </w:tblPrEx>
        <w:trPr>
          <w:cantSplit/>
          <w:jc w:val="center"/>
        </w:trPr>
        <w:tc>
          <w:tcPr>
            <w:tcW w:w="1766" w:type="dxa"/>
            <w:shd w:val="clear" w:color="auto" w:fill="auto"/>
            <w:vAlign w:val="bottom"/>
          </w:tcPr>
          <w:p w:rsidR="00793C12" w:rsidRPr="001C794E" w:rsidRDefault="00A56AAD" w:rsidP="00793C12">
            <w:pPr>
              <w:spacing w:before="40" w:after="80" w:line="240" w:lineRule="exact"/>
              <w:ind w:left="72" w:right="72"/>
              <w:rPr>
                <w:rFonts w:hint="cs"/>
                <w:sz w:val="22"/>
                <w:szCs w:val="22"/>
                <w:rtl/>
              </w:rPr>
            </w:pPr>
            <w:r w:rsidRPr="001C794E">
              <w:rPr>
                <w:rFonts w:hint="cs"/>
                <w:sz w:val="22"/>
                <w:szCs w:val="22"/>
                <w:rtl/>
              </w:rPr>
              <w:t>2002-2003</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572 75</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411 44</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864 32</w:t>
            </w:r>
          </w:p>
        </w:tc>
        <w:tc>
          <w:tcPr>
            <w:tcW w:w="88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546 152</w:t>
            </w:r>
          </w:p>
        </w:tc>
        <w:tc>
          <w:tcPr>
            <w:tcW w:w="64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978 6</w:t>
            </w:r>
          </w:p>
        </w:tc>
        <w:tc>
          <w:tcPr>
            <w:tcW w:w="64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385 6</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370 14</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734 27</w:t>
            </w:r>
          </w:p>
        </w:tc>
        <w:tc>
          <w:tcPr>
            <w:tcW w:w="64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333 6</w:t>
            </w:r>
          </w:p>
        </w:tc>
        <w:tc>
          <w:tcPr>
            <w:tcW w:w="64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823 2</w:t>
            </w:r>
          </w:p>
        </w:tc>
        <w:tc>
          <w:tcPr>
            <w:tcW w:w="635"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388 6</w:t>
            </w:r>
          </w:p>
        </w:tc>
      </w:tr>
      <w:tr w:rsidR="003F77BA" w:rsidRPr="001C794E">
        <w:tblPrEx>
          <w:tblCellMar>
            <w:top w:w="0" w:type="dxa"/>
            <w:bottom w:w="0" w:type="dxa"/>
          </w:tblCellMar>
        </w:tblPrEx>
        <w:trPr>
          <w:cantSplit/>
          <w:jc w:val="center"/>
        </w:trPr>
        <w:tc>
          <w:tcPr>
            <w:tcW w:w="1766" w:type="dxa"/>
            <w:shd w:val="clear" w:color="auto" w:fill="auto"/>
            <w:vAlign w:val="bottom"/>
          </w:tcPr>
          <w:p w:rsidR="00793C12" w:rsidRPr="001C794E" w:rsidRDefault="00A56AAD" w:rsidP="00793C12">
            <w:pPr>
              <w:spacing w:before="40" w:after="80" w:line="240" w:lineRule="exact"/>
              <w:ind w:left="72" w:right="72"/>
              <w:rPr>
                <w:rFonts w:hint="cs"/>
                <w:sz w:val="22"/>
                <w:szCs w:val="22"/>
                <w:rtl/>
              </w:rPr>
            </w:pPr>
            <w:r w:rsidRPr="001C794E">
              <w:rPr>
                <w:rFonts w:hint="cs"/>
                <w:sz w:val="22"/>
                <w:szCs w:val="22"/>
                <w:rtl/>
              </w:rPr>
              <w:t>2003-2004</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785 76</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315 46</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000 34</w:t>
            </w:r>
          </w:p>
        </w:tc>
        <w:tc>
          <w:tcPr>
            <w:tcW w:w="88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100 156</w:t>
            </w:r>
          </w:p>
        </w:tc>
        <w:tc>
          <w:tcPr>
            <w:tcW w:w="64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125 7</w:t>
            </w:r>
          </w:p>
        </w:tc>
        <w:tc>
          <w:tcPr>
            <w:tcW w:w="64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516 6</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075 15</w:t>
            </w:r>
          </w:p>
        </w:tc>
        <w:tc>
          <w:tcPr>
            <w:tcW w:w="80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716 28</w:t>
            </w:r>
          </w:p>
        </w:tc>
        <w:tc>
          <w:tcPr>
            <w:tcW w:w="64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472 6</w:t>
            </w:r>
          </w:p>
        </w:tc>
        <w:tc>
          <w:tcPr>
            <w:tcW w:w="640"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886 2</w:t>
            </w:r>
          </w:p>
        </w:tc>
        <w:tc>
          <w:tcPr>
            <w:tcW w:w="635" w:type="dxa"/>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700 6</w:t>
            </w:r>
          </w:p>
        </w:tc>
      </w:tr>
      <w:tr w:rsidR="003F77BA" w:rsidRPr="001C794E">
        <w:tblPrEx>
          <w:tblCellMar>
            <w:top w:w="0" w:type="dxa"/>
            <w:bottom w:w="0" w:type="dxa"/>
          </w:tblCellMar>
        </w:tblPrEx>
        <w:trPr>
          <w:cantSplit/>
          <w:jc w:val="center"/>
        </w:trPr>
        <w:tc>
          <w:tcPr>
            <w:tcW w:w="1766" w:type="dxa"/>
            <w:tcBorders>
              <w:bottom w:val="single" w:sz="12" w:space="0" w:color="auto"/>
            </w:tcBorders>
            <w:shd w:val="clear" w:color="auto" w:fill="auto"/>
            <w:vAlign w:val="bottom"/>
          </w:tcPr>
          <w:p w:rsidR="00793C12" w:rsidRPr="001C794E" w:rsidRDefault="00A56AAD" w:rsidP="00793C12">
            <w:pPr>
              <w:spacing w:before="40" w:after="80" w:line="240" w:lineRule="exact"/>
              <w:ind w:left="72" w:right="72"/>
              <w:rPr>
                <w:rFonts w:hint="cs"/>
                <w:sz w:val="22"/>
                <w:szCs w:val="22"/>
                <w:rtl/>
              </w:rPr>
            </w:pPr>
            <w:r w:rsidRPr="001C794E">
              <w:rPr>
                <w:rFonts w:hint="cs"/>
                <w:sz w:val="22"/>
                <w:szCs w:val="22"/>
                <w:rtl/>
              </w:rPr>
              <w:t>النسبة المئوية للزيادة مقارنة بالفترة 2000-2001</w:t>
            </w:r>
          </w:p>
        </w:tc>
        <w:tc>
          <w:tcPr>
            <w:tcW w:w="800" w:type="dxa"/>
            <w:tcBorders>
              <w:bottom w:val="single" w:sz="12" w:space="0" w:color="auto"/>
            </w:tcBorders>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4.1</w:t>
            </w:r>
          </w:p>
        </w:tc>
        <w:tc>
          <w:tcPr>
            <w:tcW w:w="800" w:type="dxa"/>
            <w:tcBorders>
              <w:bottom w:val="single" w:sz="12" w:space="0" w:color="auto"/>
            </w:tcBorders>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8.2</w:t>
            </w:r>
          </w:p>
        </w:tc>
        <w:tc>
          <w:tcPr>
            <w:tcW w:w="800" w:type="dxa"/>
            <w:tcBorders>
              <w:bottom w:val="single" w:sz="12" w:space="0" w:color="auto"/>
            </w:tcBorders>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9.4</w:t>
            </w:r>
          </w:p>
        </w:tc>
        <w:tc>
          <w:tcPr>
            <w:tcW w:w="880" w:type="dxa"/>
            <w:tcBorders>
              <w:bottom w:val="single" w:sz="12" w:space="0" w:color="auto"/>
            </w:tcBorders>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5.7</w:t>
            </w:r>
          </w:p>
        </w:tc>
        <w:tc>
          <w:tcPr>
            <w:tcW w:w="640" w:type="dxa"/>
            <w:tcBorders>
              <w:bottom w:val="single" w:sz="12" w:space="0" w:color="auto"/>
            </w:tcBorders>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8.8</w:t>
            </w:r>
          </w:p>
        </w:tc>
        <w:tc>
          <w:tcPr>
            <w:tcW w:w="640" w:type="dxa"/>
            <w:tcBorders>
              <w:bottom w:val="single" w:sz="12" w:space="0" w:color="auto"/>
            </w:tcBorders>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10.9</w:t>
            </w:r>
          </w:p>
        </w:tc>
        <w:tc>
          <w:tcPr>
            <w:tcW w:w="800" w:type="dxa"/>
            <w:tcBorders>
              <w:bottom w:val="single" w:sz="12" w:space="0" w:color="auto"/>
            </w:tcBorders>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15.6</w:t>
            </w:r>
          </w:p>
        </w:tc>
        <w:tc>
          <w:tcPr>
            <w:tcW w:w="800" w:type="dxa"/>
            <w:tcBorders>
              <w:bottom w:val="single" w:sz="12" w:space="0" w:color="auto"/>
            </w:tcBorders>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12.7</w:t>
            </w:r>
          </w:p>
        </w:tc>
        <w:tc>
          <w:tcPr>
            <w:tcW w:w="640" w:type="dxa"/>
            <w:tcBorders>
              <w:bottom w:val="single" w:sz="12" w:space="0" w:color="auto"/>
            </w:tcBorders>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4.4</w:t>
            </w:r>
          </w:p>
        </w:tc>
        <w:tc>
          <w:tcPr>
            <w:tcW w:w="640" w:type="dxa"/>
            <w:tcBorders>
              <w:bottom w:val="single" w:sz="12" w:space="0" w:color="auto"/>
            </w:tcBorders>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4.1</w:t>
            </w:r>
          </w:p>
        </w:tc>
        <w:tc>
          <w:tcPr>
            <w:tcW w:w="635" w:type="dxa"/>
            <w:tcBorders>
              <w:bottom w:val="single" w:sz="12" w:space="0" w:color="auto"/>
            </w:tcBorders>
            <w:shd w:val="clear" w:color="auto" w:fill="auto"/>
            <w:vAlign w:val="bottom"/>
          </w:tcPr>
          <w:p w:rsidR="00793C12" w:rsidRPr="001C794E" w:rsidRDefault="00A56AAD" w:rsidP="00793C12">
            <w:pPr>
              <w:spacing w:before="40" w:after="80" w:line="240" w:lineRule="exact"/>
              <w:ind w:left="72" w:right="72"/>
              <w:jc w:val="lowKashida"/>
              <w:rPr>
                <w:rFonts w:hint="cs"/>
                <w:sz w:val="22"/>
                <w:szCs w:val="22"/>
                <w:rtl/>
              </w:rPr>
            </w:pPr>
            <w:r w:rsidRPr="001C794E">
              <w:rPr>
                <w:rFonts w:hint="cs"/>
                <w:sz w:val="22"/>
                <w:szCs w:val="22"/>
                <w:rtl/>
              </w:rPr>
              <w:t>15.3</w:t>
            </w:r>
          </w:p>
        </w:tc>
      </w:tr>
    </w:tbl>
    <w:p w:rsidR="00793C12" w:rsidRPr="00793C12" w:rsidRDefault="00793C12" w:rsidP="00793C12">
      <w:pPr>
        <w:pStyle w:val="SingleTxt"/>
        <w:spacing w:after="0" w:line="120" w:lineRule="exact"/>
        <w:rPr>
          <w:rFonts w:hint="cs"/>
          <w:sz w:val="10"/>
          <w:rtl/>
        </w:rPr>
      </w:pPr>
    </w:p>
    <w:p w:rsidR="00DF5149" w:rsidRPr="00E97A46" w:rsidRDefault="00793C12" w:rsidP="00E97A46">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r>
      <w:r w:rsidR="00E97A46">
        <w:rPr>
          <w:rFonts w:hint="cs"/>
          <w:i/>
          <w:iCs/>
          <w:rtl/>
        </w:rPr>
        <w:t>المصدر:</w:t>
      </w:r>
      <w:r w:rsidR="00E97A46">
        <w:rPr>
          <w:rFonts w:hint="cs"/>
          <w:rtl/>
        </w:rPr>
        <w:t xml:space="preserve"> وزارة التعليم، الدراسة الاستقصائية لاقتصاد باكستان، 2003-2004، الجدول 11-1، أضيف العمود الأخير استنادا إلى البيانات الخاصة بالفترة 2000-2001 والفترة 2003-2004.</w:t>
      </w:r>
    </w:p>
    <w:p w:rsidR="00793C12" w:rsidRPr="00793C12" w:rsidRDefault="00793C12" w:rsidP="00793C12">
      <w:pPr>
        <w:pStyle w:val="SingleTxt"/>
        <w:spacing w:after="0" w:line="120" w:lineRule="exact"/>
        <w:rPr>
          <w:rFonts w:hint="cs"/>
          <w:sz w:val="10"/>
          <w:rtl/>
        </w:rPr>
      </w:pPr>
    </w:p>
    <w:p w:rsidR="00793C12" w:rsidRDefault="00120E7A" w:rsidP="00120E7A">
      <w:pPr>
        <w:pStyle w:val="SingleTxt"/>
        <w:spacing w:after="0"/>
        <w:rPr>
          <w:rFonts w:hint="cs"/>
          <w:rtl/>
        </w:rPr>
      </w:pPr>
      <w:r>
        <w:rPr>
          <w:rFonts w:hint="cs"/>
          <w:rtl/>
        </w:rPr>
        <w:t>الجدول 10-4</w:t>
      </w:r>
    </w:p>
    <w:p w:rsidR="00120E7A" w:rsidRPr="00120E7A" w:rsidRDefault="00120E7A" w:rsidP="00793C12">
      <w:pPr>
        <w:pStyle w:val="SingleTxt"/>
        <w:rPr>
          <w:rFonts w:hint="cs"/>
          <w:b/>
          <w:bCs/>
          <w:rtl/>
        </w:rPr>
      </w:pPr>
      <w:r w:rsidRPr="00120E7A">
        <w:rPr>
          <w:rFonts w:hint="cs"/>
          <w:b/>
          <w:bCs/>
          <w:rtl/>
        </w:rPr>
        <w:t>عدد المؤسسات التعليمية حسب نوعها (الكليات فما فوق) ونوع الجنس</w:t>
      </w:r>
    </w:p>
    <w:p w:rsidR="00120E7A" w:rsidRPr="00120E7A" w:rsidRDefault="00120E7A" w:rsidP="00120E7A">
      <w:pPr>
        <w:pStyle w:val="SingleTxt"/>
        <w:spacing w:after="0" w:line="120" w:lineRule="exact"/>
        <w:rPr>
          <w:rFonts w:hint="cs"/>
          <w:sz w:val="10"/>
          <w:rtl/>
        </w:rPr>
      </w:pPr>
    </w:p>
    <w:tbl>
      <w:tblPr>
        <w:bidiVisual/>
        <w:tblW w:w="7221" w:type="dxa"/>
        <w:jc w:val="center"/>
        <w:tblInd w:w="800" w:type="dxa"/>
        <w:tblLayout w:type="fixed"/>
        <w:tblCellMar>
          <w:left w:w="0" w:type="dxa"/>
          <w:right w:w="0" w:type="dxa"/>
        </w:tblCellMar>
        <w:tblLook w:val="0000" w:firstRow="0" w:lastRow="0" w:firstColumn="0" w:lastColumn="0" w:noHBand="0" w:noVBand="0"/>
      </w:tblPr>
      <w:tblGrid>
        <w:gridCol w:w="2172"/>
        <w:gridCol w:w="735"/>
        <w:gridCol w:w="785"/>
        <w:gridCol w:w="720"/>
        <w:gridCol w:w="1200"/>
        <w:gridCol w:w="1609"/>
      </w:tblGrid>
      <w:tr w:rsidR="00266F42" w:rsidRPr="00E97A46">
        <w:tblPrEx>
          <w:tblCellMar>
            <w:top w:w="0" w:type="dxa"/>
            <w:bottom w:w="0" w:type="dxa"/>
          </w:tblCellMar>
        </w:tblPrEx>
        <w:trPr>
          <w:cantSplit/>
          <w:tblHeader/>
          <w:jc w:val="center"/>
        </w:trPr>
        <w:tc>
          <w:tcPr>
            <w:tcW w:w="2172" w:type="dxa"/>
            <w:tcBorders>
              <w:top w:val="single" w:sz="4" w:space="0" w:color="auto"/>
              <w:bottom w:val="single" w:sz="12" w:space="0" w:color="auto"/>
            </w:tcBorders>
            <w:shd w:val="clear" w:color="auto" w:fill="auto"/>
            <w:vAlign w:val="bottom"/>
          </w:tcPr>
          <w:p w:rsidR="00E97A46" w:rsidRPr="00E97A46" w:rsidRDefault="00E97A46" w:rsidP="00E97A46">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التفاصيل</w:t>
            </w:r>
          </w:p>
        </w:tc>
        <w:tc>
          <w:tcPr>
            <w:tcW w:w="735" w:type="dxa"/>
            <w:tcBorders>
              <w:top w:val="single" w:sz="4" w:space="0" w:color="auto"/>
              <w:bottom w:val="single" w:sz="12" w:space="0" w:color="auto"/>
            </w:tcBorders>
            <w:shd w:val="clear" w:color="auto" w:fill="auto"/>
            <w:vAlign w:val="bottom"/>
          </w:tcPr>
          <w:p w:rsidR="00E97A46" w:rsidRPr="00E97A46" w:rsidRDefault="00E97A46" w:rsidP="00E97A46">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1989-1990</w:t>
            </w:r>
          </w:p>
        </w:tc>
        <w:tc>
          <w:tcPr>
            <w:tcW w:w="785" w:type="dxa"/>
            <w:tcBorders>
              <w:top w:val="single" w:sz="4" w:space="0" w:color="auto"/>
              <w:bottom w:val="single" w:sz="12" w:space="0" w:color="auto"/>
            </w:tcBorders>
            <w:shd w:val="clear" w:color="auto" w:fill="auto"/>
            <w:vAlign w:val="bottom"/>
          </w:tcPr>
          <w:p w:rsidR="00E97A46" w:rsidRPr="00E97A46" w:rsidRDefault="00E97A46" w:rsidP="00E97A46">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1999-2000</w:t>
            </w:r>
          </w:p>
        </w:tc>
        <w:tc>
          <w:tcPr>
            <w:tcW w:w="720" w:type="dxa"/>
            <w:tcBorders>
              <w:top w:val="single" w:sz="4" w:space="0" w:color="auto"/>
              <w:bottom w:val="single" w:sz="12" w:space="0" w:color="auto"/>
            </w:tcBorders>
            <w:shd w:val="clear" w:color="auto" w:fill="auto"/>
            <w:vAlign w:val="bottom"/>
          </w:tcPr>
          <w:p w:rsidR="00E97A46" w:rsidRPr="00E97A46" w:rsidRDefault="00E97A46" w:rsidP="00E97A46">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2000-2001</w:t>
            </w:r>
          </w:p>
        </w:tc>
        <w:tc>
          <w:tcPr>
            <w:tcW w:w="1200" w:type="dxa"/>
            <w:tcBorders>
              <w:top w:val="single" w:sz="4" w:space="0" w:color="auto"/>
              <w:bottom w:val="single" w:sz="12" w:space="0" w:color="auto"/>
            </w:tcBorders>
            <w:shd w:val="clear" w:color="auto" w:fill="auto"/>
            <w:vAlign w:val="bottom"/>
          </w:tcPr>
          <w:p w:rsidR="00E97A46" w:rsidRPr="00E97A46" w:rsidRDefault="00E97A46" w:rsidP="00E97A46">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2001-2002</w:t>
            </w:r>
            <w:r w:rsidR="00266F42">
              <w:rPr>
                <w:i/>
                <w:iCs/>
                <w:sz w:val="16"/>
                <w:szCs w:val="24"/>
                <w:rtl/>
              </w:rPr>
              <w:br/>
            </w:r>
            <w:r>
              <w:rPr>
                <w:rFonts w:hint="cs"/>
                <w:i/>
                <w:iCs/>
                <w:sz w:val="16"/>
                <w:szCs w:val="24"/>
                <w:rtl/>
              </w:rPr>
              <w:t>(عين)</w:t>
            </w:r>
          </w:p>
        </w:tc>
        <w:tc>
          <w:tcPr>
            <w:tcW w:w="1609" w:type="dxa"/>
            <w:tcBorders>
              <w:top w:val="single" w:sz="4" w:space="0" w:color="auto"/>
              <w:bottom w:val="single" w:sz="12" w:space="0" w:color="auto"/>
            </w:tcBorders>
            <w:shd w:val="clear" w:color="auto" w:fill="auto"/>
            <w:vAlign w:val="bottom"/>
          </w:tcPr>
          <w:p w:rsidR="00E97A46" w:rsidRPr="00E97A46" w:rsidRDefault="00E97A46" w:rsidP="00E97A46">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نسبة الزيادة من الفترة 1998-1990 إلى الفترة 2001-2002</w:t>
            </w:r>
          </w:p>
        </w:tc>
      </w:tr>
      <w:tr w:rsidR="00E97A46" w:rsidRPr="00E97A46">
        <w:tblPrEx>
          <w:tblCellMar>
            <w:top w:w="0" w:type="dxa"/>
            <w:bottom w:w="0" w:type="dxa"/>
          </w:tblCellMar>
        </w:tblPrEx>
        <w:trPr>
          <w:cantSplit/>
          <w:trHeight w:hRule="exact" w:val="115"/>
          <w:tblHeader/>
          <w:jc w:val="center"/>
        </w:trPr>
        <w:tc>
          <w:tcPr>
            <w:tcW w:w="2172" w:type="dxa"/>
            <w:tcBorders>
              <w:top w:val="single" w:sz="12" w:space="0" w:color="auto"/>
            </w:tcBorders>
            <w:shd w:val="clear" w:color="auto" w:fill="auto"/>
            <w:vAlign w:val="bottom"/>
          </w:tcPr>
          <w:p w:rsidR="00E97A46" w:rsidRPr="00E97A46" w:rsidRDefault="00E97A46" w:rsidP="00E97A46">
            <w:pPr>
              <w:tabs>
                <w:tab w:val="left" w:pos="288"/>
                <w:tab w:val="left" w:pos="576"/>
                <w:tab w:val="left" w:pos="864"/>
                <w:tab w:val="left" w:pos="1152"/>
              </w:tabs>
              <w:spacing w:before="40" w:after="80" w:line="240" w:lineRule="exact"/>
              <w:ind w:left="72" w:right="72"/>
              <w:rPr>
                <w:rFonts w:hint="cs"/>
                <w:sz w:val="16"/>
                <w:szCs w:val="24"/>
                <w:rtl/>
              </w:rPr>
            </w:pPr>
          </w:p>
        </w:tc>
        <w:tc>
          <w:tcPr>
            <w:tcW w:w="735" w:type="dxa"/>
            <w:tcBorders>
              <w:top w:val="single" w:sz="12" w:space="0" w:color="auto"/>
            </w:tcBorders>
            <w:shd w:val="clear" w:color="auto" w:fill="auto"/>
            <w:vAlign w:val="bottom"/>
          </w:tcPr>
          <w:p w:rsidR="00E97A46" w:rsidRPr="00E97A46" w:rsidRDefault="00E97A46" w:rsidP="00E97A46">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785" w:type="dxa"/>
            <w:tcBorders>
              <w:top w:val="single" w:sz="12" w:space="0" w:color="auto"/>
            </w:tcBorders>
            <w:shd w:val="clear" w:color="auto" w:fill="auto"/>
            <w:vAlign w:val="bottom"/>
          </w:tcPr>
          <w:p w:rsidR="00E97A46" w:rsidRPr="00E97A46" w:rsidRDefault="00E97A46" w:rsidP="00E97A46">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720" w:type="dxa"/>
            <w:tcBorders>
              <w:top w:val="single" w:sz="12" w:space="0" w:color="auto"/>
            </w:tcBorders>
            <w:shd w:val="clear" w:color="auto" w:fill="auto"/>
            <w:vAlign w:val="bottom"/>
          </w:tcPr>
          <w:p w:rsidR="00E97A46" w:rsidRPr="00E97A46" w:rsidRDefault="00E97A46" w:rsidP="00E97A46">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00" w:type="dxa"/>
            <w:tcBorders>
              <w:top w:val="single" w:sz="12" w:space="0" w:color="auto"/>
            </w:tcBorders>
            <w:shd w:val="clear" w:color="auto" w:fill="auto"/>
            <w:vAlign w:val="bottom"/>
          </w:tcPr>
          <w:p w:rsidR="00E97A46" w:rsidRPr="00E97A46" w:rsidRDefault="00E97A46" w:rsidP="00E97A46">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609" w:type="dxa"/>
            <w:tcBorders>
              <w:top w:val="single" w:sz="12" w:space="0" w:color="auto"/>
            </w:tcBorders>
            <w:shd w:val="clear" w:color="auto" w:fill="auto"/>
            <w:vAlign w:val="bottom"/>
          </w:tcPr>
          <w:p w:rsidR="00E97A46" w:rsidRPr="00E97A46" w:rsidRDefault="00E97A46" w:rsidP="00E97A46">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266F42" w:rsidRPr="00E97A46">
        <w:tblPrEx>
          <w:tblCellMar>
            <w:top w:w="0" w:type="dxa"/>
            <w:bottom w:w="0" w:type="dxa"/>
          </w:tblCellMar>
        </w:tblPrEx>
        <w:trPr>
          <w:cantSplit/>
          <w:jc w:val="center"/>
        </w:trPr>
        <w:tc>
          <w:tcPr>
            <w:tcW w:w="2172" w:type="dxa"/>
            <w:tcBorders>
              <w:bottom w:val="single" w:sz="4" w:space="0" w:color="auto"/>
            </w:tcBorders>
            <w:shd w:val="clear" w:color="auto" w:fill="auto"/>
            <w:vAlign w:val="bottom"/>
          </w:tcPr>
          <w:p w:rsidR="00E97A46" w:rsidRPr="001357A2" w:rsidRDefault="00E97A46" w:rsidP="001357A2">
            <w:pPr>
              <w:tabs>
                <w:tab w:val="left" w:pos="288"/>
                <w:tab w:val="left" w:pos="576"/>
                <w:tab w:val="left" w:pos="864"/>
                <w:tab w:val="left" w:pos="1152"/>
              </w:tabs>
              <w:spacing w:before="40" w:after="80" w:line="240" w:lineRule="exact"/>
              <w:ind w:left="72" w:right="72"/>
              <w:rPr>
                <w:rFonts w:hint="cs"/>
                <w:i/>
                <w:iCs/>
                <w:sz w:val="16"/>
                <w:szCs w:val="24"/>
                <w:rtl/>
              </w:rPr>
            </w:pPr>
            <w:r w:rsidRPr="001357A2">
              <w:rPr>
                <w:rFonts w:hint="cs"/>
                <w:i/>
                <w:iCs/>
                <w:sz w:val="16"/>
                <w:szCs w:val="24"/>
                <w:rtl/>
              </w:rPr>
              <w:t>كليات الآداب والعلوم</w:t>
            </w:r>
          </w:p>
        </w:tc>
        <w:tc>
          <w:tcPr>
            <w:tcW w:w="735" w:type="dxa"/>
            <w:tcBorders>
              <w:bottom w:val="single" w:sz="4" w:space="0" w:color="auto"/>
            </w:tcBorders>
            <w:shd w:val="clear" w:color="auto" w:fill="auto"/>
            <w:vAlign w:val="bottom"/>
          </w:tcPr>
          <w:p w:rsidR="00E97A46" w:rsidRPr="00E97A46" w:rsidRDefault="00E97A46" w:rsidP="001357A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785" w:type="dxa"/>
            <w:tcBorders>
              <w:bottom w:val="single" w:sz="4" w:space="0" w:color="auto"/>
            </w:tcBorders>
            <w:shd w:val="clear" w:color="auto" w:fill="auto"/>
            <w:vAlign w:val="bottom"/>
          </w:tcPr>
          <w:p w:rsidR="00E97A46" w:rsidRPr="00E97A46" w:rsidRDefault="00E97A46" w:rsidP="001357A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720" w:type="dxa"/>
            <w:tcBorders>
              <w:bottom w:val="single" w:sz="4" w:space="0" w:color="auto"/>
            </w:tcBorders>
            <w:shd w:val="clear" w:color="auto" w:fill="auto"/>
            <w:vAlign w:val="bottom"/>
          </w:tcPr>
          <w:p w:rsidR="00E97A46" w:rsidRPr="00E97A46" w:rsidRDefault="00E97A46" w:rsidP="001357A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00" w:type="dxa"/>
            <w:tcBorders>
              <w:bottom w:val="single" w:sz="4" w:space="0" w:color="auto"/>
            </w:tcBorders>
            <w:shd w:val="clear" w:color="auto" w:fill="auto"/>
            <w:vAlign w:val="bottom"/>
          </w:tcPr>
          <w:p w:rsidR="00E97A46" w:rsidRPr="00E97A46" w:rsidRDefault="00E97A46" w:rsidP="001357A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609" w:type="dxa"/>
            <w:tcBorders>
              <w:bottom w:val="single" w:sz="4" w:space="0" w:color="auto"/>
            </w:tcBorders>
            <w:shd w:val="clear" w:color="auto" w:fill="auto"/>
            <w:vAlign w:val="bottom"/>
          </w:tcPr>
          <w:p w:rsidR="00E97A46" w:rsidRPr="00E97A46" w:rsidRDefault="00E97A46" w:rsidP="001357A2">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266F42" w:rsidRPr="001357A2">
        <w:tblPrEx>
          <w:tblCellMar>
            <w:top w:w="0" w:type="dxa"/>
            <w:bottom w:w="0" w:type="dxa"/>
          </w:tblCellMar>
        </w:tblPrEx>
        <w:trPr>
          <w:cantSplit/>
          <w:jc w:val="center"/>
        </w:trPr>
        <w:tc>
          <w:tcPr>
            <w:tcW w:w="2172"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rPr>
                <w:rFonts w:hint="cs"/>
                <w:bCs/>
                <w:sz w:val="16"/>
                <w:szCs w:val="24"/>
                <w:rtl/>
              </w:rPr>
            </w:pPr>
            <w:r w:rsidRPr="001357A2">
              <w:rPr>
                <w:rFonts w:hint="cs"/>
                <w:bCs/>
                <w:sz w:val="16"/>
                <w:szCs w:val="24"/>
                <w:rtl/>
              </w:rPr>
              <w:t>المجموع</w:t>
            </w:r>
          </w:p>
        </w:tc>
        <w:tc>
          <w:tcPr>
            <w:tcW w:w="735"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jc w:val="lowKashida"/>
              <w:rPr>
                <w:rFonts w:hint="cs"/>
                <w:bCs/>
                <w:sz w:val="16"/>
                <w:szCs w:val="24"/>
                <w:rtl/>
              </w:rPr>
            </w:pPr>
            <w:r w:rsidRPr="001357A2">
              <w:rPr>
                <w:rFonts w:hint="cs"/>
                <w:bCs/>
                <w:sz w:val="16"/>
                <w:szCs w:val="24"/>
                <w:rtl/>
              </w:rPr>
              <w:t>575</w:t>
            </w:r>
          </w:p>
        </w:tc>
        <w:tc>
          <w:tcPr>
            <w:tcW w:w="785"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jc w:val="lowKashida"/>
              <w:rPr>
                <w:rFonts w:hint="cs"/>
                <w:bCs/>
                <w:sz w:val="16"/>
                <w:szCs w:val="24"/>
                <w:rtl/>
              </w:rPr>
            </w:pPr>
            <w:r w:rsidRPr="001357A2">
              <w:rPr>
                <w:rFonts w:hint="cs"/>
                <w:bCs/>
                <w:sz w:val="16"/>
                <w:szCs w:val="24"/>
                <w:rtl/>
              </w:rPr>
              <w:t>889</w:t>
            </w:r>
          </w:p>
        </w:tc>
        <w:tc>
          <w:tcPr>
            <w:tcW w:w="720"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jc w:val="lowKashida"/>
              <w:rPr>
                <w:rFonts w:hint="cs"/>
                <w:bCs/>
                <w:sz w:val="16"/>
                <w:szCs w:val="24"/>
                <w:rtl/>
              </w:rPr>
            </w:pPr>
            <w:r w:rsidRPr="001357A2">
              <w:rPr>
                <w:rFonts w:hint="cs"/>
                <w:bCs/>
                <w:sz w:val="16"/>
                <w:szCs w:val="24"/>
                <w:rtl/>
              </w:rPr>
              <w:t>916</w:t>
            </w:r>
          </w:p>
        </w:tc>
        <w:tc>
          <w:tcPr>
            <w:tcW w:w="1200"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jc w:val="lowKashida"/>
              <w:rPr>
                <w:rFonts w:hint="cs"/>
                <w:bCs/>
                <w:sz w:val="16"/>
                <w:szCs w:val="24"/>
                <w:rtl/>
              </w:rPr>
            </w:pPr>
            <w:r w:rsidRPr="001357A2">
              <w:rPr>
                <w:rFonts w:hint="cs"/>
                <w:bCs/>
                <w:sz w:val="16"/>
                <w:szCs w:val="24"/>
                <w:rtl/>
              </w:rPr>
              <w:t>939 (ألف)</w:t>
            </w:r>
          </w:p>
        </w:tc>
        <w:tc>
          <w:tcPr>
            <w:tcW w:w="1609"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jc w:val="lowKashida"/>
              <w:rPr>
                <w:rFonts w:hint="cs"/>
                <w:bCs/>
                <w:sz w:val="16"/>
                <w:szCs w:val="24"/>
                <w:rtl/>
              </w:rPr>
            </w:pPr>
            <w:r w:rsidRPr="001357A2">
              <w:rPr>
                <w:rFonts w:hint="cs"/>
                <w:bCs/>
                <w:sz w:val="16"/>
                <w:szCs w:val="24"/>
                <w:rtl/>
              </w:rPr>
              <w:t>63.3</w:t>
            </w:r>
          </w:p>
        </w:tc>
      </w:tr>
      <w:tr w:rsidR="00266F42" w:rsidRPr="00E97A46">
        <w:tblPrEx>
          <w:tblCellMar>
            <w:top w:w="0" w:type="dxa"/>
            <w:bottom w:w="0" w:type="dxa"/>
          </w:tblCellMar>
        </w:tblPrEx>
        <w:trPr>
          <w:cantSplit/>
          <w:jc w:val="center"/>
        </w:trPr>
        <w:tc>
          <w:tcPr>
            <w:tcW w:w="2172"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rPr>
                <w:rFonts w:hint="cs"/>
                <w:sz w:val="16"/>
                <w:szCs w:val="24"/>
                <w:rtl/>
              </w:rPr>
            </w:pPr>
            <w:r>
              <w:rPr>
                <w:rFonts w:hint="cs"/>
                <w:sz w:val="16"/>
                <w:szCs w:val="24"/>
                <w:rtl/>
              </w:rPr>
              <w:t>الذكور</w:t>
            </w:r>
          </w:p>
        </w:tc>
        <w:tc>
          <w:tcPr>
            <w:tcW w:w="735"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365</w:t>
            </w:r>
          </w:p>
        </w:tc>
        <w:tc>
          <w:tcPr>
            <w:tcW w:w="785"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531</w:t>
            </w:r>
          </w:p>
        </w:tc>
        <w:tc>
          <w:tcPr>
            <w:tcW w:w="720"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536</w:t>
            </w:r>
          </w:p>
        </w:tc>
        <w:tc>
          <w:tcPr>
            <w:tcW w:w="1200"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545</w:t>
            </w:r>
          </w:p>
        </w:tc>
        <w:tc>
          <w:tcPr>
            <w:tcW w:w="1609"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49.3</w:t>
            </w:r>
          </w:p>
        </w:tc>
      </w:tr>
      <w:tr w:rsidR="00266F42" w:rsidRPr="00E97A46">
        <w:tblPrEx>
          <w:tblCellMar>
            <w:top w:w="0" w:type="dxa"/>
            <w:bottom w:w="0" w:type="dxa"/>
          </w:tblCellMar>
        </w:tblPrEx>
        <w:trPr>
          <w:cantSplit/>
          <w:jc w:val="center"/>
        </w:trPr>
        <w:tc>
          <w:tcPr>
            <w:tcW w:w="2172" w:type="dxa"/>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الإناث</w:t>
            </w:r>
          </w:p>
        </w:tc>
        <w:tc>
          <w:tcPr>
            <w:tcW w:w="735" w:type="dxa"/>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210</w:t>
            </w:r>
          </w:p>
        </w:tc>
        <w:tc>
          <w:tcPr>
            <w:tcW w:w="785" w:type="dxa"/>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358</w:t>
            </w:r>
          </w:p>
        </w:tc>
        <w:tc>
          <w:tcPr>
            <w:tcW w:w="720" w:type="dxa"/>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380</w:t>
            </w:r>
          </w:p>
        </w:tc>
        <w:tc>
          <w:tcPr>
            <w:tcW w:w="1200" w:type="dxa"/>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394</w:t>
            </w:r>
          </w:p>
        </w:tc>
        <w:tc>
          <w:tcPr>
            <w:tcW w:w="1609" w:type="dxa"/>
            <w:shd w:val="clear" w:color="auto" w:fill="auto"/>
            <w:vAlign w:val="bottom"/>
          </w:tcPr>
          <w:p w:rsidR="00266F42" w:rsidRPr="00E97A46" w:rsidRDefault="00266F42" w:rsidP="008E3024">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87.62</w:t>
            </w:r>
          </w:p>
        </w:tc>
      </w:tr>
      <w:tr w:rsidR="00266F42" w:rsidRPr="00E97A46">
        <w:tblPrEx>
          <w:tblCellMar>
            <w:top w:w="0" w:type="dxa"/>
            <w:bottom w:w="0" w:type="dxa"/>
          </w:tblCellMar>
        </w:tblPrEx>
        <w:trPr>
          <w:cantSplit/>
          <w:jc w:val="center"/>
        </w:trPr>
        <w:tc>
          <w:tcPr>
            <w:tcW w:w="2172" w:type="dxa"/>
            <w:tcBorders>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40" w:after="80" w:line="240" w:lineRule="exact"/>
              <w:ind w:left="72" w:right="72"/>
              <w:rPr>
                <w:rFonts w:hint="cs"/>
                <w:i/>
                <w:iCs/>
                <w:sz w:val="16"/>
                <w:szCs w:val="24"/>
                <w:rtl/>
              </w:rPr>
            </w:pPr>
            <w:r w:rsidRPr="001357A2">
              <w:rPr>
                <w:rFonts w:hint="cs"/>
                <w:i/>
                <w:iCs/>
                <w:sz w:val="16"/>
                <w:szCs w:val="24"/>
                <w:rtl/>
              </w:rPr>
              <w:t>الكليات المهنية</w:t>
            </w:r>
          </w:p>
        </w:tc>
        <w:tc>
          <w:tcPr>
            <w:tcW w:w="735" w:type="dxa"/>
            <w:tcBorders>
              <w:bottom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785" w:type="dxa"/>
            <w:tcBorders>
              <w:bottom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720" w:type="dxa"/>
            <w:tcBorders>
              <w:bottom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00" w:type="dxa"/>
            <w:tcBorders>
              <w:bottom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609" w:type="dxa"/>
            <w:tcBorders>
              <w:bottom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266F42" w:rsidRPr="001357A2">
        <w:tblPrEx>
          <w:tblCellMar>
            <w:top w:w="0" w:type="dxa"/>
            <w:bottom w:w="0" w:type="dxa"/>
          </w:tblCellMar>
        </w:tblPrEx>
        <w:trPr>
          <w:cantSplit/>
          <w:jc w:val="center"/>
        </w:trPr>
        <w:tc>
          <w:tcPr>
            <w:tcW w:w="2172"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rPr>
                <w:rFonts w:hint="cs"/>
                <w:bCs/>
                <w:sz w:val="16"/>
                <w:szCs w:val="24"/>
                <w:rtl/>
              </w:rPr>
            </w:pPr>
            <w:r w:rsidRPr="001357A2">
              <w:rPr>
                <w:rFonts w:hint="cs"/>
                <w:bCs/>
                <w:sz w:val="16"/>
                <w:szCs w:val="24"/>
                <w:rtl/>
              </w:rPr>
              <w:t>المجموع</w:t>
            </w:r>
          </w:p>
        </w:tc>
        <w:tc>
          <w:tcPr>
            <w:tcW w:w="735"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jc w:val="lowKashida"/>
              <w:rPr>
                <w:rFonts w:hint="cs"/>
                <w:bCs/>
                <w:sz w:val="16"/>
                <w:szCs w:val="24"/>
                <w:rtl/>
              </w:rPr>
            </w:pPr>
            <w:r w:rsidRPr="001357A2">
              <w:rPr>
                <w:rFonts w:hint="cs"/>
                <w:bCs/>
                <w:sz w:val="16"/>
                <w:szCs w:val="24"/>
                <w:rtl/>
              </w:rPr>
              <w:t>99</w:t>
            </w:r>
          </w:p>
        </w:tc>
        <w:tc>
          <w:tcPr>
            <w:tcW w:w="785"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jc w:val="lowKashida"/>
              <w:rPr>
                <w:rFonts w:hint="cs"/>
                <w:bCs/>
                <w:sz w:val="16"/>
                <w:szCs w:val="24"/>
                <w:rtl/>
              </w:rPr>
            </w:pPr>
            <w:r w:rsidRPr="001357A2">
              <w:rPr>
                <w:rFonts w:hint="cs"/>
                <w:bCs/>
                <w:sz w:val="16"/>
                <w:szCs w:val="24"/>
                <w:rtl/>
              </w:rPr>
              <w:t>324</w:t>
            </w:r>
          </w:p>
        </w:tc>
        <w:tc>
          <w:tcPr>
            <w:tcW w:w="720"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jc w:val="lowKashida"/>
              <w:rPr>
                <w:rFonts w:hint="cs"/>
                <w:bCs/>
                <w:sz w:val="16"/>
                <w:szCs w:val="24"/>
                <w:rtl/>
              </w:rPr>
            </w:pPr>
            <w:r w:rsidRPr="001357A2">
              <w:rPr>
                <w:rFonts w:hint="cs"/>
                <w:bCs/>
                <w:sz w:val="16"/>
                <w:szCs w:val="24"/>
                <w:rtl/>
              </w:rPr>
              <w:t>352</w:t>
            </w:r>
          </w:p>
        </w:tc>
        <w:tc>
          <w:tcPr>
            <w:tcW w:w="1200"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jc w:val="lowKashida"/>
              <w:rPr>
                <w:rFonts w:hint="cs"/>
                <w:bCs/>
                <w:sz w:val="16"/>
                <w:szCs w:val="24"/>
                <w:rtl/>
              </w:rPr>
            </w:pPr>
            <w:r w:rsidRPr="001357A2">
              <w:rPr>
                <w:rFonts w:hint="cs"/>
                <w:bCs/>
                <w:sz w:val="16"/>
                <w:szCs w:val="24"/>
                <w:rtl/>
              </w:rPr>
              <w:t>374 (ألف)</w:t>
            </w:r>
          </w:p>
        </w:tc>
        <w:tc>
          <w:tcPr>
            <w:tcW w:w="1609"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jc w:val="lowKashida"/>
              <w:rPr>
                <w:rFonts w:hint="cs"/>
                <w:bCs/>
                <w:sz w:val="16"/>
                <w:szCs w:val="24"/>
                <w:rtl/>
              </w:rPr>
            </w:pPr>
            <w:r w:rsidRPr="001357A2">
              <w:rPr>
                <w:rFonts w:hint="cs"/>
                <w:bCs/>
                <w:sz w:val="16"/>
                <w:szCs w:val="24"/>
                <w:rtl/>
              </w:rPr>
              <w:t>277.8</w:t>
            </w:r>
          </w:p>
        </w:tc>
      </w:tr>
      <w:tr w:rsidR="00266F42" w:rsidRPr="00E97A46">
        <w:tblPrEx>
          <w:tblCellMar>
            <w:top w:w="0" w:type="dxa"/>
            <w:bottom w:w="0" w:type="dxa"/>
          </w:tblCellMar>
        </w:tblPrEx>
        <w:trPr>
          <w:cantSplit/>
          <w:jc w:val="center"/>
        </w:trPr>
        <w:tc>
          <w:tcPr>
            <w:tcW w:w="2172"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rPr>
                <w:rFonts w:hint="cs"/>
                <w:sz w:val="16"/>
                <w:szCs w:val="24"/>
                <w:rtl/>
              </w:rPr>
            </w:pPr>
            <w:r>
              <w:rPr>
                <w:rFonts w:hint="cs"/>
                <w:sz w:val="16"/>
                <w:szCs w:val="24"/>
                <w:rtl/>
              </w:rPr>
              <w:t>الذكور (مشترك)</w:t>
            </w:r>
          </w:p>
        </w:tc>
        <w:tc>
          <w:tcPr>
            <w:tcW w:w="735"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91</w:t>
            </w:r>
          </w:p>
        </w:tc>
        <w:tc>
          <w:tcPr>
            <w:tcW w:w="785"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309</w:t>
            </w:r>
          </w:p>
        </w:tc>
        <w:tc>
          <w:tcPr>
            <w:tcW w:w="720"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334</w:t>
            </w:r>
          </w:p>
        </w:tc>
        <w:tc>
          <w:tcPr>
            <w:tcW w:w="1200"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354</w:t>
            </w:r>
          </w:p>
        </w:tc>
        <w:tc>
          <w:tcPr>
            <w:tcW w:w="1609"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289.0</w:t>
            </w:r>
          </w:p>
        </w:tc>
      </w:tr>
      <w:tr w:rsidR="00266F42" w:rsidRPr="00E97A46">
        <w:tblPrEx>
          <w:tblCellMar>
            <w:top w:w="0" w:type="dxa"/>
            <w:bottom w:w="0" w:type="dxa"/>
          </w:tblCellMar>
        </w:tblPrEx>
        <w:trPr>
          <w:cantSplit/>
          <w:jc w:val="center"/>
        </w:trPr>
        <w:tc>
          <w:tcPr>
            <w:tcW w:w="2172" w:type="dxa"/>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الإناث</w:t>
            </w:r>
          </w:p>
        </w:tc>
        <w:tc>
          <w:tcPr>
            <w:tcW w:w="735" w:type="dxa"/>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w:t>
            </w:r>
          </w:p>
        </w:tc>
        <w:tc>
          <w:tcPr>
            <w:tcW w:w="785" w:type="dxa"/>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15</w:t>
            </w:r>
          </w:p>
        </w:tc>
        <w:tc>
          <w:tcPr>
            <w:tcW w:w="720" w:type="dxa"/>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18</w:t>
            </w:r>
          </w:p>
        </w:tc>
        <w:tc>
          <w:tcPr>
            <w:tcW w:w="1200" w:type="dxa"/>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w:t>
            </w:r>
          </w:p>
        </w:tc>
        <w:tc>
          <w:tcPr>
            <w:tcW w:w="1609" w:type="dxa"/>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233.3</w:t>
            </w:r>
          </w:p>
        </w:tc>
      </w:tr>
      <w:tr w:rsidR="00266F42" w:rsidRPr="00E97A46">
        <w:tblPrEx>
          <w:tblCellMar>
            <w:top w:w="0" w:type="dxa"/>
            <w:bottom w:w="0" w:type="dxa"/>
          </w:tblCellMar>
        </w:tblPrEx>
        <w:trPr>
          <w:cantSplit/>
          <w:jc w:val="center"/>
        </w:trPr>
        <w:tc>
          <w:tcPr>
            <w:tcW w:w="2172" w:type="dxa"/>
            <w:tcBorders>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40" w:after="80" w:line="240" w:lineRule="exact"/>
              <w:ind w:left="72" w:right="72"/>
              <w:rPr>
                <w:rFonts w:hint="cs"/>
                <w:i/>
                <w:iCs/>
                <w:sz w:val="16"/>
                <w:szCs w:val="24"/>
                <w:rtl/>
              </w:rPr>
            </w:pPr>
            <w:r w:rsidRPr="001357A2">
              <w:rPr>
                <w:rFonts w:hint="cs"/>
                <w:i/>
                <w:iCs/>
                <w:sz w:val="16"/>
                <w:szCs w:val="24"/>
                <w:rtl/>
              </w:rPr>
              <w:t>الجامعات</w:t>
            </w:r>
          </w:p>
        </w:tc>
        <w:tc>
          <w:tcPr>
            <w:tcW w:w="735" w:type="dxa"/>
            <w:tcBorders>
              <w:bottom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785" w:type="dxa"/>
            <w:tcBorders>
              <w:bottom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720" w:type="dxa"/>
            <w:tcBorders>
              <w:bottom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00" w:type="dxa"/>
            <w:tcBorders>
              <w:bottom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609" w:type="dxa"/>
            <w:tcBorders>
              <w:bottom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266F42" w:rsidRPr="001357A2">
        <w:tblPrEx>
          <w:tblCellMar>
            <w:top w:w="0" w:type="dxa"/>
            <w:bottom w:w="0" w:type="dxa"/>
          </w:tblCellMar>
        </w:tblPrEx>
        <w:trPr>
          <w:cantSplit/>
          <w:jc w:val="center"/>
        </w:trPr>
        <w:tc>
          <w:tcPr>
            <w:tcW w:w="2172"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rPr>
                <w:rFonts w:hint="cs"/>
                <w:bCs/>
                <w:sz w:val="16"/>
                <w:szCs w:val="24"/>
                <w:rtl/>
              </w:rPr>
            </w:pPr>
            <w:r w:rsidRPr="001357A2">
              <w:rPr>
                <w:rFonts w:hint="cs"/>
                <w:bCs/>
                <w:sz w:val="16"/>
                <w:szCs w:val="24"/>
                <w:rtl/>
              </w:rPr>
              <w:t>المجموع</w:t>
            </w:r>
          </w:p>
        </w:tc>
        <w:tc>
          <w:tcPr>
            <w:tcW w:w="735"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jc w:val="lowKashida"/>
              <w:rPr>
                <w:rFonts w:hint="cs"/>
                <w:bCs/>
                <w:sz w:val="16"/>
                <w:szCs w:val="24"/>
                <w:rtl/>
              </w:rPr>
            </w:pPr>
            <w:r w:rsidRPr="001357A2">
              <w:rPr>
                <w:rFonts w:hint="cs"/>
                <w:bCs/>
                <w:sz w:val="16"/>
                <w:szCs w:val="24"/>
                <w:rtl/>
              </w:rPr>
              <w:t>26</w:t>
            </w:r>
          </w:p>
        </w:tc>
        <w:tc>
          <w:tcPr>
            <w:tcW w:w="785"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jc w:val="lowKashida"/>
              <w:rPr>
                <w:rFonts w:hint="cs"/>
                <w:bCs/>
                <w:sz w:val="16"/>
                <w:szCs w:val="24"/>
                <w:rtl/>
              </w:rPr>
            </w:pPr>
            <w:r w:rsidRPr="001357A2">
              <w:rPr>
                <w:rFonts w:hint="cs"/>
                <w:bCs/>
                <w:sz w:val="16"/>
                <w:szCs w:val="24"/>
                <w:rtl/>
              </w:rPr>
              <w:t>26</w:t>
            </w:r>
          </w:p>
        </w:tc>
        <w:tc>
          <w:tcPr>
            <w:tcW w:w="720"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jc w:val="lowKashida"/>
              <w:rPr>
                <w:rFonts w:hint="cs"/>
                <w:bCs/>
                <w:sz w:val="16"/>
                <w:szCs w:val="24"/>
                <w:rtl/>
              </w:rPr>
            </w:pPr>
            <w:r w:rsidRPr="001357A2">
              <w:rPr>
                <w:rFonts w:hint="cs"/>
                <w:bCs/>
                <w:sz w:val="16"/>
                <w:szCs w:val="24"/>
                <w:rtl/>
              </w:rPr>
              <w:t>26</w:t>
            </w:r>
          </w:p>
        </w:tc>
        <w:tc>
          <w:tcPr>
            <w:tcW w:w="1200"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jc w:val="lowKashida"/>
              <w:rPr>
                <w:rFonts w:hint="cs"/>
                <w:bCs/>
                <w:sz w:val="16"/>
                <w:szCs w:val="24"/>
                <w:rtl/>
              </w:rPr>
            </w:pPr>
            <w:r w:rsidRPr="001357A2">
              <w:rPr>
                <w:rFonts w:hint="cs"/>
                <w:bCs/>
                <w:sz w:val="16"/>
                <w:szCs w:val="24"/>
                <w:rtl/>
              </w:rPr>
              <w:t>29 (ألف)</w:t>
            </w:r>
          </w:p>
        </w:tc>
        <w:tc>
          <w:tcPr>
            <w:tcW w:w="1609" w:type="dxa"/>
            <w:tcBorders>
              <w:top w:val="single" w:sz="4" w:space="0" w:color="auto"/>
              <w:bottom w:val="single" w:sz="4" w:space="0" w:color="auto"/>
            </w:tcBorders>
            <w:shd w:val="clear" w:color="auto" w:fill="auto"/>
            <w:vAlign w:val="bottom"/>
          </w:tcPr>
          <w:p w:rsidR="00266F42" w:rsidRPr="001357A2" w:rsidRDefault="00266F42" w:rsidP="001357A2">
            <w:pPr>
              <w:tabs>
                <w:tab w:val="left" w:pos="288"/>
                <w:tab w:val="left" w:pos="576"/>
                <w:tab w:val="left" w:pos="864"/>
                <w:tab w:val="left" w:pos="1152"/>
              </w:tabs>
              <w:spacing w:before="60" w:after="60" w:line="240" w:lineRule="exact"/>
              <w:ind w:left="72" w:right="72"/>
              <w:jc w:val="lowKashida"/>
              <w:rPr>
                <w:rFonts w:hint="cs"/>
                <w:bCs/>
                <w:sz w:val="16"/>
                <w:szCs w:val="24"/>
                <w:rtl/>
              </w:rPr>
            </w:pPr>
            <w:r w:rsidRPr="001357A2">
              <w:rPr>
                <w:rFonts w:hint="cs"/>
                <w:bCs/>
                <w:sz w:val="16"/>
                <w:szCs w:val="24"/>
                <w:rtl/>
              </w:rPr>
              <w:t>11.5</w:t>
            </w:r>
          </w:p>
        </w:tc>
      </w:tr>
      <w:tr w:rsidR="00266F42" w:rsidRPr="00E97A46">
        <w:tblPrEx>
          <w:tblCellMar>
            <w:top w:w="0" w:type="dxa"/>
            <w:bottom w:w="0" w:type="dxa"/>
          </w:tblCellMar>
        </w:tblPrEx>
        <w:trPr>
          <w:cantSplit/>
          <w:jc w:val="center"/>
        </w:trPr>
        <w:tc>
          <w:tcPr>
            <w:tcW w:w="2172"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rPr>
                <w:rFonts w:hint="cs"/>
                <w:sz w:val="16"/>
                <w:szCs w:val="24"/>
                <w:rtl/>
              </w:rPr>
            </w:pPr>
            <w:r>
              <w:rPr>
                <w:rFonts w:hint="cs"/>
                <w:sz w:val="16"/>
                <w:szCs w:val="24"/>
                <w:rtl/>
              </w:rPr>
              <w:t>الذكور (مشترك)</w:t>
            </w:r>
          </w:p>
        </w:tc>
        <w:tc>
          <w:tcPr>
            <w:tcW w:w="735"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25</w:t>
            </w:r>
          </w:p>
        </w:tc>
        <w:tc>
          <w:tcPr>
            <w:tcW w:w="785"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25</w:t>
            </w:r>
          </w:p>
        </w:tc>
        <w:tc>
          <w:tcPr>
            <w:tcW w:w="720"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25</w:t>
            </w:r>
          </w:p>
        </w:tc>
        <w:tc>
          <w:tcPr>
            <w:tcW w:w="1200"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28</w:t>
            </w:r>
          </w:p>
        </w:tc>
        <w:tc>
          <w:tcPr>
            <w:tcW w:w="1609" w:type="dxa"/>
            <w:tcBorders>
              <w:top w:val="single" w:sz="4" w:space="0" w:color="auto"/>
            </w:tcBorders>
            <w:shd w:val="clear" w:color="auto" w:fill="auto"/>
            <w:vAlign w:val="bottom"/>
          </w:tcPr>
          <w:p w:rsidR="00266F42" w:rsidRPr="00E97A46" w:rsidRDefault="00266F42" w:rsidP="001357A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12</w:t>
            </w:r>
          </w:p>
        </w:tc>
      </w:tr>
      <w:tr w:rsidR="00266F42" w:rsidRPr="00E97A46">
        <w:tblPrEx>
          <w:tblCellMar>
            <w:top w:w="0" w:type="dxa"/>
            <w:bottom w:w="0" w:type="dxa"/>
          </w:tblCellMar>
        </w:tblPrEx>
        <w:trPr>
          <w:cantSplit/>
          <w:jc w:val="center"/>
        </w:trPr>
        <w:tc>
          <w:tcPr>
            <w:tcW w:w="2172" w:type="dxa"/>
            <w:tcBorders>
              <w:bottom w:val="single" w:sz="12" w:space="0" w:color="auto"/>
            </w:tcBorders>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الإناث</w:t>
            </w:r>
          </w:p>
        </w:tc>
        <w:tc>
          <w:tcPr>
            <w:tcW w:w="735" w:type="dxa"/>
            <w:tcBorders>
              <w:bottom w:val="single" w:sz="12" w:space="0" w:color="auto"/>
            </w:tcBorders>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w:t>
            </w:r>
          </w:p>
        </w:tc>
        <w:tc>
          <w:tcPr>
            <w:tcW w:w="785" w:type="dxa"/>
            <w:tcBorders>
              <w:bottom w:val="single" w:sz="12" w:space="0" w:color="auto"/>
            </w:tcBorders>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w:t>
            </w:r>
          </w:p>
        </w:tc>
        <w:tc>
          <w:tcPr>
            <w:tcW w:w="720" w:type="dxa"/>
            <w:tcBorders>
              <w:bottom w:val="single" w:sz="12" w:space="0" w:color="auto"/>
            </w:tcBorders>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w:t>
            </w:r>
          </w:p>
        </w:tc>
        <w:tc>
          <w:tcPr>
            <w:tcW w:w="1200" w:type="dxa"/>
            <w:tcBorders>
              <w:bottom w:val="single" w:sz="12" w:space="0" w:color="auto"/>
            </w:tcBorders>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w:t>
            </w:r>
          </w:p>
        </w:tc>
        <w:tc>
          <w:tcPr>
            <w:tcW w:w="1609" w:type="dxa"/>
            <w:tcBorders>
              <w:bottom w:val="single" w:sz="12" w:space="0" w:color="auto"/>
            </w:tcBorders>
            <w:shd w:val="clear" w:color="auto" w:fill="auto"/>
            <w:vAlign w:val="bottom"/>
          </w:tcPr>
          <w:p w:rsidR="00266F42" w:rsidRPr="00E97A46" w:rsidRDefault="00266F42" w:rsidP="00E97A4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صفر</w:t>
            </w:r>
          </w:p>
        </w:tc>
      </w:tr>
    </w:tbl>
    <w:p w:rsidR="00E97A46" w:rsidRPr="00E97A46" w:rsidRDefault="00E97A46" w:rsidP="00E97A46">
      <w:pPr>
        <w:pStyle w:val="SingleTxt"/>
        <w:spacing w:after="0" w:line="120" w:lineRule="exact"/>
        <w:rPr>
          <w:rFonts w:hint="cs"/>
          <w:sz w:val="10"/>
          <w:rtl/>
        </w:rPr>
      </w:pPr>
    </w:p>
    <w:p w:rsidR="00120E7A" w:rsidRDefault="00E97A46" w:rsidP="009E10E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Pr>
          <w:rFonts w:hint="cs"/>
          <w:i/>
          <w:iCs/>
          <w:rtl/>
        </w:rPr>
        <w:t>المصدر</w:t>
      </w:r>
      <w:r>
        <w:rPr>
          <w:rFonts w:hint="cs"/>
          <w:rtl/>
        </w:rPr>
        <w:t>: نشرة الإحصاءات الشهرية، كانون الأول/ديسمبر 2003، مكتب الإحصاءات الاتحادي. الجدول 4-1 (معدل) (ألف) فعلي، (</w:t>
      </w:r>
      <w:r w:rsidR="009E10E9">
        <w:rPr>
          <w:rFonts w:hint="cs"/>
          <w:rtl/>
        </w:rPr>
        <w:t>ع</w:t>
      </w:r>
      <w:r>
        <w:rPr>
          <w:rFonts w:hint="cs"/>
          <w:rtl/>
        </w:rPr>
        <w:t>ين) مؤقت. أضيف العمود الأخير.</w:t>
      </w:r>
    </w:p>
    <w:p w:rsidR="00266F42" w:rsidRPr="00266F42" w:rsidRDefault="00266F42" w:rsidP="00266F42">
      <w:pPr>
        <w:pStyle w:val="SingleTxt"/>
        <w:spacing w:after="0" w:line="120" w:lineRule="exact"/>
        <w:rPr>
          <w:rFonts w:hint="cs"/>
          <w:sz w:val="10"/>
          <w:rtl/>
        </w:rPr>
      </w:pPr>
    </w:p>
    <w:p w:rsidR="00E97A46" w:rsidRDefault="00360CD9" w:rsidP="00360CD9">
      <w:pPr>
        <w:pStyle w:val="SingleTxt"/>
        <w:spacing w:after="0"/>
        <w:rPr>
          <w:rFonts w:hint="cs"/>
          <w:rtl/>
        </w:rPr>
      </w:pPr>
      <w:r>
        <w:rPr>
          <w:rFonts w:hint="cs"/>
          <w:rtl/>
        </w:rPr>
        <w:t>الجدول 10-5</w:t>
      </w:r>
    </w:p>
    <w:p w:rsidR="00360CD9" w:rsidRPr="00360CD9" w:rsidRDefault="00360CD9" w:rsidP="00793C12">
      <w:pPr>
        <w:pStyle w:val="SingleTxt"/>
        <w:rPr>
          <w:rFonts w:hint="cs"/>
          <w:b/>
          <w:bCs/>
          <w:rtl/>
        </w:rPr>
      </w:pPr>
      <w:r w:rsidRPr="00360CD9">
        <w:rPr>
          <w:rFonts w:hint="cs"/>
          <w:b/>
          <w:bCs/>
          <w:rtl/>
        </w:rPr>
        <w:t>مجموع المسجلين بالمدارس العامة والخاصة حسب نوع الجنس</w:t>
      </w:r>
    </w:p>
    <w:p w:rsidR="00360CD9" w:rsidRPr="00360CD9" w:rsidRDefault="00360CD9" w:rsidP="00360CD9">
      <w:pPr>
        <w:pStyle w:val="SingleTxt"/>
        <w:spacing w:after="0" w:line="120" w:lineRule="exact"/>
        <w:rPr>
          <w:rFonts w:hint="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890"/>
        <w:gridCol w:w="1080"/>
        <w:gridCol w:w="985"/>
        <w:gridCol w:w="985"/>
        <w:gridCol w:w="985"/>
        <w:gridCol w:w="985"/>
        <w:gridCol w:w="985"/>
        <w:gridCol w:w="985"/>
        <w:gridCol w:w="985"/>
        <w:gridCol w:w="985"/>
      </w:tblGrid>
      <w:tr w:rsidR="00360CD9" w:rsidRPr="004A1C1D">
        <w:tblPrEx>
          <w:tblCellMar>
            <w:top w:w="0" w:type="dxa"/>
            <w:bottom w:w="0" w:type="dxa"/>
          </w:tblCellMar>
        </w:tblPrEx>
        <w:trPr>
          <w:cantSplit/>
          <w:tblHeader/>
          <w:jc w:val="center"/>
        </w:trPr>
        <w:tc>
          <w:tcPr>
            <w:tcW w:w="890" w:type="dxa"/>
            <w:vMerge w:val="restart"/>
            <w:tcBorders>
              <w:top w:val="single" w:sz="4" w:space="0" w:color="auto"/>
            </w:tcBorders>
            <w:shd w:val="clear" w:color="auto" w:fill="auto"/>
            <w:tcMar>
              <w:left w:w="0" w:type="dxa"/>
              <w:right w:w="0" w:type="dxa"/>
            </w:tcMar>
            <w:vAlign w:val="bottom"/>
          </w:tcPr>
          <w:p w:rsidR="004A1C1D" w:rsidRDefault="00360CD9" w:rsidP="004A1C1D">
            <w:pPr>
              <w:spacing w:after="80" w:line="240" w:lineRule="exact"/>
              <w:ind w:left="29" w:right="72"/>
              <w:rPr>
                <w:rFonts w:hint="cs"/>
                <w:i/>
                <w:iCs/>
                <w:szCs w:val="20"/>
                <w:rtl/>
              </w:rPr>
            </w:pPr>
            <w:r w:rsidRPr="004A1C1D">
              <w:rPr>
                <w:rFonts w:hint="cs"/>
                <w:i/>
                <w:iCs/>
                <w:szCs w:val="20"/>
                <w:rtl/>
              </w:rPr>
              <w:t>السنوات/</w:t>
            </w:r>
          </w:p>
          <w:p w:rsidR="00360CD9" w:rsidRPr="004A1C1D" w:rsidRDefault="00360CD9" w:rsidP="004A1C1D">
            <w:pPr>
              <w:spacing w:after="80" w:line="240" w:lineRule="exact"/>
              <w:ind w:left="29" w:right="72"/>
              <w:rPr>
                <w:rFonts w:hint="cs"/>
                <w:i/>
                <w:iCs/>
                <w:szCs w:val="20"/>
                <w:rtl/>
              </w:rPr>
            </w:pPr>
            <w:r w:rsidRPr="004A1C1D">
              <w:rPr>
                <w:rFonts w:hint="cs"/>
                <w:i/>
                <w:iCs/>
                <w:szCs w:val="20"/>
                <w:rtl/>
              </w:rPr>
              <w:t>المراحل</w:t>
            </w:r>
          </w:p>
        </w:tc>
        <w:tc>
          <w:tcPr>
            <w:tcW w:w="3050" w:type="dxa"/>
            <w:gridSpan w:val="3"/>
            <w:tcBorders>
              <w:top w:val="single" w:sz="4" w:space="0" w:color="auto"/>
              <w:bottom w:val="single" w:sz="4" w:space="0" w:color="auto"/>
            </w:tcBorders>
            <w:shd w:val="clear" w:color="auto" w:fill="auto"/>
            <w:vAlign w:val="bottom"/>
          </w:tcPr>
          <w:p w:rsidR="00360CD9" w:rsidRPr="004A1C1D" w:rsidRDefault="00360CD9" w:rsidP="004A1C1D">
            <w:pPr>
              <w:spacing w:before="80" w:after="80" w:line="240" w:lineRule="exact"/>
              <w:ind w:left="29" w:right="72"/>
              <w:jc w:val="center"/>
              <w:rPr>
                <w:rFonts w:hint="cs"/>
                <w:i/>
                <w:iCs/>
                <w:szCs w:val="20"/>
                <w:rtl/>
              </w:rPr>
            </w:pPr>
            <w:r w:rsidRPr="004A1C1D">
              <w:rPr>
                <w:rFonts w:hint="cs"/>
                <w:i/>
                <w:iCs/>
                <w:szCs w:val="20"/>
                <w:rtl/>
              </w:rPr>
              <w:t>الابتدائية</w:t>
            </w:r>
          </w:p>
        </w:tc>
        <w:tc>
          <w:tcPr>
            <w:tcW w:w="2955" w:type="dxa"/>
            <w:gridSpan w:val="3"/>
            <w:tcBorders>
              <w:top w:val="single" w:sz="4" w:space="0" w:color="auto"/>
              <w:bottom w:val="single" w:sz="4" w:space="0" w:color="auto"/>
            </w:tcBorders>
            <w:shd w:val="clear" w:color="auto" w:fill="auto"/>
            <w:vAlign w:val="bottom"/>
          </w:tcPr>
          <w:p w:rsidR="00360CD9" w:rsidRPr="004A1C1D" w:rsidRDefault="00360CD9" w:rsidP="004A1C1D">
            <w:pPr>
              <w:spacing w:before="80" w:after="80" w:line="240" w:lineRule="exact"/>
              <w:ind w:left="29" w:right="72"/>
              <w:jc w:val="center"/>
              <w:rPr>
                <w:rFonts w:hint="cs"/>
                <w:i/>
                <w:iCs/>
                <w:szCs w:val="20"/>
                <w:rtl/>
              </w:rPr>
            </w:pPr>
            <w:r w:rsidRPr="004A1C1D">
              <w:rPr>
                <w:rFonts w:hint="cs"/>
                <w:i/>
                <w:iCs/>
                <w:szCs w:val="20"/>
                <w:rtl/>
              </w:rPr>
              <w:t>المتوسطة</w:t>
            </w:r>
          </w:p>
        </w:tc>
        <w:tc>
          <w:tcPr>
            <w:tcW w:w="2955" w:type="dxa"/>
            <w:gridSpan w:val="3"/>
            <w:tcBorders>
              <w:top w:val="single" w:sz="4" w:space="0" w:color="auto"/>
              <w:bottom w:val="single" w:sz="4" w:space="0" w:color="auto"/>
            </w:tcBorders>
            <w:shd w:val="clear" w:color="auto" w:fill="auto"/>
            <w:vAlign w:val="bottom"/>
          </w:tcPr>
          <w:p w:rsidR="00360CD9" w:rsidRPr="004A1C1D" w:rsidRDefault="00360CD9" w:rsidP="004A1C1D">
            <w:pPr>
              <w:spacing w:before="80" w:after="80" w:line="240" w:lineRule="exact"/>
              <w:ind w:left="29" w:right="72"/>
              <w:jc w:val="center"/>
              <w:rPr>
                <w:rFonts w:hint="cs"/>
                <w:i/>
                <w:iCs/>
                <w:szCs w:val="20"/>
                <w:rtl/>
              </w:rPr>
            </w:pPr>
            <w:r w:rsidRPr="004A1C1D">
              <w:rPr>
                <w:rFonts w:hint="cs"/>
                <w:i/>
                <w:iCs/>
                <w:szCs w:val="20"/>
                <w:rtl/>
              </w:rPr>
              <w:t>الثانوية</w:t>
            </w:r>
          </w:p>
        </w:tc>
      </w:tr>
      <w:tr w:rsidR="00360CD9" w:rsidRPr="004A1C1D">
        <w:tblPrEx>
          <w:tblCellMar>
            <w:top w:w="0" w:type="dxa"/>
            <w:bottom w:w="0" w:type="dxa"/>
          </w:tblCellMar>
        </w:tblPrEx>
        <w:trPr>
          <w:cantSplit/>
          <w:tblHeader/>
          <w:jc w:val="center"/>
        </w:trPr>
        <w:tc>
          <w:tcPr>
            <w:tcW w:w="890" w:type="dxa"/>
            <w:vMerge/>
            <w:tcBorders>
              <w:bottom w:val="single" w:sz="12" w:space="0" w:color="auto"/>
            </w:tcBorders>
            <w:shd w:val="clear" w:color="auto" w:fill="auto"/>
            <w:vAlign w:val="bottom"/>
          </w:tcPr>
          <w:p w:rsidR="00360CD9" w:rsidRPr="004A1C1D" w:rsidRDefault="00360CD9" w:rsidP="004A1C1D">
            <w:pPr>
              <w:spacing w:after="80" w:line="240" w:lineRule="exact"/>
              <w:ind w:left="29" w:right="72"/>
              <w:rPr>
                <w:rFonts w:hint="cs"/>
                <w:i/>
                <w:iCs/>
                <w:szCs w:val="20"/>
                <w:rtl/>
              </w:rPr>
            </w:pPr>
          </w:p>
        </w:tc>
        <w:tc>
          <w:tcPr>
            <w:tcW w:w="1080" w:type="dxa"/>
            <w:tcBorders>
              <w:top w:val="single" w:sz="4" w:space="0" w:color="auto"/>
              <w:bottom w:val="single" w:sz="12" w:space="0" w:color="auto"/>
            </w:tcBorders>
            <w:shd w:val="clear" w:color="auto" w:fill="auto"/>
            <w:vAlign w:val="bottom"/>
          </w:tcPr>
          <w:p w:rsidR="00360CD9" w:rsidRPr="004A1C1D" w:rsidRDefault="00360CD9" w:rsidP="004A1C1D">
            <w:pPr>
              <w:spacing w:after="80" w:line="240" w:lineRule="exact"/>
              <w:ind w:left="29" w:right="72"/>
              <w:jc w:val="lowKashida"/>
              <w:rPr>
                <w:rFonts w:hint="cs"/>
                <w:i/>
                <w:iCs/>
                <w:szCs w:val="20"/>
                <w:rtl/>
              </w:rPr>
            </w:pPr>
            <w:r w:rsidRPr="004A1C1D">
              <w:rPr>
                <w:rFonts w:hint="cs"/>
                <w:i/>
                <w:iCs/>
                <w:szCs w:val="20"/>
                <w:rtl/>
              </w:rPr>
              <w:t>بنون</w:t>
            </w:r>
          </w:p>
        </w:tc>
        <w:tc>
          <w:tcPr>
            <w:tcW w:w="985" w:type="dxa"/>
            <w:tcBorders>
              <w:top w:val="single" w:sz="4" w:space="0" w:color="auto"/>
              <w:bottom w:val="single" w:sz="12" w:space="0" w:color="auto"/>
            </w:tcBorders>
            <w:shd w:val="clear" w:color="auto" w:fill="auto"/>
            <w:vAlign w:val="bottom"/>
          </w:tcPr>
          <w:p w:rsidR="00360CD9" w:rsidRPr="004A1C1D" w:rsidRDefault="00360CD9" w:rsidP="004A1C1D">
            <w:pPr>
              <w:spacing w:after="80" w:line="240" w:lineRule="exact"/>
              <w:ind w:left="29" w:right="72"/>
              <w:jc w:val="lowKashida"/>
              <w:rPr>
                <w:rFonts w:hint="cs"/>
                <w:i/>
                <w:iCs/>
                <w:szCs w:val="20"/>
                <w:rtl/>
              </w:rPr>
            </w:pPr>
            <w:r w:rsidRPr="004A1C1D">
              <w:rPr>
                <w:rFonts w:hint="cs"/>
                <w:i/>
                <w:iCs/>
                <w:szCs w:val="20"/>
                <w:rtl/>
              </w:rPr>
              <w:t>بنات</w:t>
            </w:r>
          </w:p>
        </w:tc>
        <w:tc>
          <w:tcPr>
            <w:tcW w:w="985" w:type="dxa"/>
            <w:tcBorders>
              <w:top w:val="single" w:sz="4" w:space="0" w:color="auto"/>
              <w:bottom w:val="single" w:sz="12" w:space="0" w:color="auto"/>
            </w:tcBorders>
            <w:shd w:val="clear" w:color="auto" w:fill="auto"/>
            <w:vAlign w:val="bottom"/>
          </w:tcPr>
          <w:p w:rsidR="00360CD9" w:rsidRPr="004A1C1D" w:rsidRDefault="00360CD9" w:rsidP="004A1C1D">
            <w:pPr>
              <w:spacing w:after="80" w:line="240" w:lineRule="exact"/>
              <w:ind w:left="29" w:right="72"/>
              <w:jc w:val="lowKashida"/>
              <w:rPr>
                <w:rFonts w:hint="cs"/>
                <w:i/>
                <w:iCs/>
                <w:szCs w:val="20"/>
                <w:rtl/>
              </w:rPr>
            </w:pPr>
            <w:r w:rsidRPr="004A1C1D">
              <w:rPr>
                <w:rFonts w:hint="cs"/>
                <w:i/>
                <w:iCs/>
                <w:szCs w:val="20"/>
                <w:rtl/>
              </w:rPr>
              <w:t>المجموع</w:t>
            </w:r>
          </w:p>
        </w:tc>
        <w:tc>
          <w:tcPr>
            <w:tcW w:w="985" w:type="dxa"/>
            <w:tcBorders>
              <w:top w:val="single" w:sz="4" w:space="0" w:color="auto"/>
              <w:bottom w:val="single" w:sz="12" w:space="0" w:color="auto"/>
            </w:tcBorders>
            <w:shd w:val="clear" w:color="auto" w:fill="auto"/>
            <w:vAlign w:val="bottom"/>
          </w:tcPr>
          <w:p w:rsidR="00360CD9" w:rsidRPr="004A1C1D" w:rsidRDefault="00360CD9" w:rsidP="004A1C1D">
            <w:pPr>
              <w:spacing w:after="80" w:line="240" w:lineRule="exact"/>
              <w:ind w:left="29" w:right="72"/>
              <w:jc w:val="lowKashida"/>
              <w:rPr>
                <w:rFonts w:hint="cs"/>
                <w:i/>
                <w:iCs/>
                <w:szCs w:val="20"/>
                <w:rtl/>
              </w:rPr>
            </w:pPr>
            <w:r w:rsidRPr="004A1C1D">
              <w:rPr>
                <w:rFonts w:hint="cs"/>
                <w:i/>
                <w:iCs/>
                <w:szCs w:val="20"/>
                <w:rtl/>
              </w:rPr>
              <w:t>بنون</w:t>
            </w:r>
          </w:p>
        </w:tc>
        <w:tc>
          <w:tcPr>
            <w:tcW w:w="985" w:type="dxa"/>
            <w:tcBorders>
              <w:top w:val="single" w:sz="4" w:space="0" w:color="auto"/>
              <w:bottom w:val="single" w:sz="12" w:space="0" w:color="auto"/>
            </w:tcBorders>
            <w:shd w:val="clear" w:color="auto" w:fill="auto"/>
            <w:vAlign w:val="bottom"/>
          </w:tcPr>
          <w:p w:rsidR="00360CD9" w:rsidRPr="004A1C1D" w:rsidRDefault="00360CD9" w:rsidP="004A1C1D">
            <w:pPr>
              <w:spacing w:after="80" w:line="240" w:lineRule="exact"/>
              <w:ind w:left="29" w:right="72"/>
              <w:jc w:val="lowKashida"/>
              <w:rPr>
                <w:rFonts w:hint="cs"/>
                <w:i/>
                <w:iCs/>
                <w:szCs w:val="20"/>
                <w:rtl/>
              </w:rPr>
            </w:pPr>
            <w:r w:rsidRPr="004A1C1D">
              <w:rPr>
                <w:rFonts w:hint="cs"/>
                <w:i/>
                <w:iCs/>
                <w:szCs w:val="20"/>
                <w:rtl/>
              </w:rPr>
              <w:t>بنات</w:t>
            </w:r>
          </w:p>
        </w:tc>
        <w:tc>
          <w:tcPr>
            <w:tcW w:w="985" w:type="dxa"/>
            <w:tcBorders>
              <w:top w:val="single" w:sz="4" w:space="0" w:color="auto"/>
              <w:bottom w:val="single" w:sz="12" w:space="0" w:color="auto"/>
            </w:tcBorders>
            <w:shd w:val="clear" w:color="auto" w:fill="auto"/>
            <w:vAlign w:val="bottom"/>
          </w:tcPr>
          <w:p w:rsidR="00360CD9" w:rsidRPr="004A1C1D" w:rsidRDefault="00360CD9" w:rsidP="004A1C1D">
            <w:pPr>
              <w:spacing w:after="80" w:line="240" w:lineRule="exact"/>
              <w:ind w:left="29" w:right="72"/>
              <w:jc w:val="lowKashida"/>
              <w:rPr>
                <w:rFonts w:hint="cs"/>
                <w:i/>
                <w:iCs/>
                <w:szCs w:val="20"/>
                <w:rtl/>
              </w:rPr>
            </w:pPr>
            <w:r w:rsidRPr="004A1C1D">
              <w:rPr>
                <w:rFonts w:hint="cs"/>
                <w:i/>
                <w:iCs/>
                <w:szCs w:val="20"/>
                <w:rtl/>
              </w:rPr>
              <w:t>المجموع</w:t>
            </w:r>
          </w:p>
        </w:tc>
        <w:tc>
          <w:tcPr>
            <w:tcW w:w="985" w:type="dxa"/>
            <w:tcBorders>
              <w:top w:val="single" w:sz="4" w:space="0" w:color="auto"/>
              <w:bottom w:val="single" w:sz="12" w:space="0" w:color="auto"/>
            </w:tcBorders>
            <w:shd w:val="clear" w:color="auto" w:fill="auto"/>
            <w:vAlign w:val="bottom"/>
          </w:tcPr>
          <w:p w:rsidR="00360CD9" w:rsidRPr="004A1C1D" w:rsidRDefault="00360CD9" w:rsidP="004A1C1D">
            <w:pPr>
              <w:spacing w:after="80" w:line="240" w:lineRule="exact"/>
              <w:ind w:left="29" w:right="72"/>
              <w:jc w:val="lowKashida"/>
              <w:rPr>
                <w:rFonts w:hint="cs"/>
                <w:i/>
                <w:iCs/>
                <w:szCs w:val="20"/>
                <w:rtl/>
              </w:rPr>
            </w:pPr>
            <w:r w:rsidRPr="004A1C1D">
              <w:rPr>
                <w:rFonts w:hint="cs"/>
                <w:i/>
                <w:iCs/>
                <w:szCs w:val="20"/>
                <w:rtl/>
              </w:rPr>
              <w:t>بنون</w:t>
            </w:r>
          </w:p>
        </w:tc>
        <w:tc>
          <w:tcPr>
            <w:tcW w:w="985" w:type="dxa"/>
            <w:tcBorders>
              <w:top w:val="single" w:sz="4" w:space="0" w:color="auto"/>
              <w:bottom w:val="single" w:sz="12" w:space="0" w:color="auto"/>
            </w:tcBorders>
            <w:shd w:val="clear" w:color="auto" w:fill="auto"/>
            <w:vAlign w:val="bottom"/>
          </w:tcPr>
          <w:p w:rsidR="00360CD9" w:rsidRPr="004A1C1D" w:rsidRDefault="00360CD9" w:rsidP="004A1C1D">
            <w:pPr>
              <w:spacing w:after="80" w:line="240" w:lineRule="exact"/>
              <w:ind w:left="29" w:right="72"/>
              <w:jc w:val="lowKashida"/>
              <w:rPr>
                <w:rFonts w:hint="cs"/>
                <w:i/>
                <w:iCs/>
                <w:szCs w:val="20"/>
                <w:rtl/>
              </w:rPr>
            </w:pPr>
            <w:r w:rsidRPr="004A1C1D">
              <w:rPr>
                <w:rFonts w:hint="cs"/>
                <w:i/>
                <w:iCs/>
                <w:szCs w:val="20"/>
                <w:rtl/>
              </w:rPr>
              <w:t>بنات</w:t>
            </w:r>
          </w:p>
        </w:tc>
        <w:tc>
          <w:tcPr>
            <w:tcW w:w="985" w:type="dxa"/>
            <w:tcBorders>
              <w:top w:val="single" w:sz="4" w:space="0" w:color="auto"/>
              <w:bottom w:val="single" w:sz="12" w:space="0" w:color="auto"/>
            </w:tcBorders>
            <w:shd w:val="clear" w:color="auto" w:fill="auto"/>
            <w:vAlign w:val="bottom"/>
          </w:tcPr>
          <w:p w:rsidR="00360CD9" w:rsidRPr="004A1C1D" w:rsidRDefault="00360CD9" w:rsidP="004A1C1D">
            <w:pPr>
              <w:spacing w:after="80" w:line="240" w:lineRule="exact"/>
              <w:ind w:left="29" w:right="72"/>
              <w:jc w:val="lowKashida"/>
              <w:rPr>
                <w:rFonts w:hint="cs"/>
                <w:i/>
                <w:iCs/>
                <w:szCs w:val="20"/>
                <w:rtl/>
              </w:rPr>
            </w:pPr>
            <w:r w:rsidRPr="004A1C1D">
              <w:rPr>
                <w:rFonts w:hint="cs"/>
                <w:i/>
                <w:iCs/>
                <w:szCs w:val="20"/>
                <w:rtl/>
              </w:rPr>
              <w:t>المجموع</w:t>
            </w:r>
          </w:p>
        </w:tc>
      </w:tr>
      <w:tr w:rsidR="00360CD9" w:rsidRPr="004A1C1D">
        <w:tblPrEx>
          <w:tblCellMar>
            <w:top w:w="0" w:type="dxa"/>
            <w:bottom w:w="0" w:type="dxa"/>
          </w:tblCellMar>
        </w:tblPrEx>
        <w:trPr>
          <w:cantSplit/>
          <w:trHeight w:hRule="exact" w:val="115"/>
          <w:tblHeader/>
          <w:jc w:val="center"/>
        </w:trPr>
        <w:tc>
          <w:tcPr>
            <w:tcW w:w="890" w:type="dxa"/>
            <w:tcBorders>
              <w:top w:val="single" w:sz="12" w:space="0" w:color="auto"/>
            </w:tcBorders>
            <w:shd w:val="clear" w:color="auto" w:fill="auto"/>
            <w:vAlign w:val="bottom"/>
          </w:tcPr>
          <w:p w:rsidR="00360CD9" w:rsidRPr="004A1C1D" w:rsidRDefault="00360CD9" w:rsidP="004A1C1D">
            <w:pPr>
              <w:spacing w:before="40" w:after="80" w:line="240" w:lineRule="exact"/>
              <w:ind w:left="29" w:right="72"/>
              <w:rPr>
                <w:rFonts w:hint="cs"/>
                <w:szCs w:val="20"/>
                <w:rtl/>
              </w:rPr>
            </w:pPr>
          </w:p>
        </w:tc>
        <w:tc>
          <w:tcPr>
            <w:tcW w:w="1080" w:type="dxa"/>
            <w:tcBorders>
              <w:top w:val="single" w:sz="12" w:space="0" w:color="auto"/>
            </w:tcBorders>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p>
        </w:tc>
        <w:tc>
          <w:tcPr>
            <w:tcW w:w="985" w:type="dxa"/>
            <w:tcBorders>
              <w:top w:val="single" w:sz="12" w:space="0" w:color="auto"/>
            </w:tcBorders>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p>
        </w:tc>
        <w:tc>
          <w:tcPr>
            <w:tcW w:w="985" w:type="dxa"/>
            <w:tcBorders>
              <w:top w:val="single" w:sz="12" w:space="0" w:color="auto"/>
            </w:tcBorders>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p>
        </w:tc>
        <w:tc>
          <w:tcPr>
            <w:tcW w:w="985" w:type="dxa"/>
            <w:tcBorders>
              <w:top w:val="single" w:sz="12" w:space="0" w:color="auto"/>
            </w:tcBorders>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p>
        </w:tc>
        <w:tc>
          <w:tcPr>
            <w:tcW w:w="985" w:type="dxa"/>
            <w:tcBorders>
              <w:top w:val="single" w:sz="12" w:space="0" w:color="auto"/>
            </w:tcBorders>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p>
        </w:tc>
        <w:tc>
          <w:tcPr>
            <w:tcW w:w="985" w:type="dxa"/>
            <w:tcBorders>
              <w:top w:val="single" w:sz="12" w:space="0" w:color="auto"/>
            </w:tcBorders>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p>
        </w:tc>
        <w:tc>
          <w:tcPr>
            <w:tcW w:w="985" w:type="dxa"/>
            <w:tcBorders>
              <w:top w:val="single" w:sz="12" w:space="0" w:color="auto"/>
            </w:tcBorders>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p>
        </w:tc>
        <w:tc>
          <w:tcPr>
            <w:tcW w:w="985" w:type="dxa"/>
            <w:tcBorders>
              <w:top w:val="single" w:sz="12" w:space="0" w:color="auto"/>
            </w:tcBorders>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p>
        </w:tc>
        <w:tc>
          <w:tcPr>
            <w:tcW w:w="985" w:type="dxa"/>
            <w:tcBorders>
              <w:top w:val="single" w:sz="12" w:space="0" w:color="auto"/>
            </w:tcBorders>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p>
        </w:tc>
      </w:tr>
      <w:tr w:rsidR="00360CD9" w:rsidRPr="004A1C1D">
        <w:tblPrEx>
          <w:tblCellMar>
            <w:top w:w="0" w:type="dxa"/>
            <w:bottom w:w="0" w:type="dxa"/>
          </w:tblCellMar>
        </w:tblPrEx>
        <w:trPr>
          <w:cantSplit/>
          <w:jc w:val="center"/>
        </w:trPr>
        <w:tc>
          <w:tcPr>
            <w:tcW w:w="890" w:type="dxa"/>
            <w:shd w:val="clear" w:color="auto" w:fill="auto"/>
            <w:vAlign w:val="bottom"/>
          </w:tcPr>
          <w:p w:rsidR="00360CD9" w:rsidRPr="004A1C1D" w:rsidRDefault="00360CD9" w:rsidP="004A1C1D">
            <w:pPr>
              <w:spacing w:before="40" w:after="80" w:line="240" w:lineRule="exact"/>
              <w:ind w:left="29" w:right="72"/>
              <w:rPr>
                <w:rFonts w:hint="cs"/>
                <w:szCs w:val="20"/>
                <w:rtl/>
              </w:rPr>
            </w:pPr>
            <w:r w:rsidRPr="004A1C1D">
              <w:rPr>
                <w:rFonts w:hint="cs"/>
                <w:szCs w:val="20"/>
                <w:rtl/>
              </w:rPr>
              <w:t>2000-2001</w:t>
            </w:r>
          </w:p>
        </w:tc>
        <w:tc>
          <w:tcPr>
            <w:tcW w:w="1080"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223 898 9</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775 735 6</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007 634 16</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767 053 2</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558 705 1</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325 759 3</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459 899</w:t>
            </w:r>
          </w:p>
        </w:tc>
        <w:tc>
          <w:tcPr>
            <w:tcW w:w="985" w:type="dxa"/>
            <w:shd w:val="clear" w:color="auto" w:fill="auto"/>
            <w:vAlign w:val="bottom"/>
          </w:tcPr>
          <w:p w:rsidR="00360CD9" w:rsidRPr="004A1C1D" w:rsidRDefault="004A1C1D" w:rsidP="004A1C1D">
            <w:pPr>
              <w:spacing w:before="40" w:after="80" w:line="240" w:lineRule="exact"/>
              <w:ind w:left="29" w:right="72"/>
              <w:jc w:val="lowKashida"/>
              <w:rPr>
                <w:rFonts w:hint="cs"/>
                <w:szCs w:val="20"/>
                <w:rtl/>
              </w:rPr>
            </w:pPr>
            <w:r w:rsidRPr="004A1C1D">
              <w:rPr>
                <w:rFonts w:hint="cs"/>
                <w:szCs w:val="20"/>
                <w:rtl/>
              </w:rPr>
              <w:t>466 675</w:t>
            </w:r>
          </w:p>
        </w:tc>
        <w:tc>
          <w:tcPr>
            <w:tcW w:w="985" w:type="dxa"/>
            <w:shd w:val="clear" w:color="auto" w:fill="auto"/>
            <w:vAlign w:val="bottom"/>
          </w:tcPr>
          <w:p w:rsidR="00360CD9" w:rsidRPr="004A1C1D" w:rsidRDefault="004A1C1D" w:rsidP="004A1C1D">
            <w:pPr>
              <w:spacing w:before="40" w:after="80" w:line="240" w:lineRule="exact"/>
              <w:ind w:left="29" w:right="72"/>
              <w:jc w:val="lowKashida"/>
              <w:rPr>
                <w:rFonts w:hint="cs"/>
                <w:szCs w:val="20"/>
                <w:rtl/>
              </w:rPr>
            </w:pPr>
            <w:r w:rsidRPr="004A1C1D">
              <w:rPr>
                <w:rFonts w:hint="cs"/>
                <w:szCs w:val="20"/>
                <w:rtl/>
              </w:rPr>
              <w:t>925 564 1</w:t>
            </w:r>
          </w:p>
        </w:tc>
      </w:tr>
      <w:tr w:rsidR="00360CD9" w:rsidRPr="004A1C1D">
        <w:tblPrEx>
          <w:tblCellMar>
            <w:top w:w="0" w:type="dxa"/>
            <w:bottom w:w="0" w:type="dxa"/>
          </w:tblCellMar>
        </w:tblPrEx>
        <w:trPr>
          <w:cantSplit/>
          <w:jc w:val="center"/>
        </w:trPr>
        <w:tc>
          <w:tcPr>
            <w:tcW w:w="890" w:type="dxa"/>
            <w:shd w:val="clear" w:color="auto" w:fill="auto"/>
            <w:vAlign w:val="bottom"/>
          </w:tcPr>
          <w:p w:rsidR="00360CD9" w:rsidRPr="004A1C1D" w:rsidRDefault="00360CD9" w:rsidP="004A1C1D">
            <w:pPr>
              <w:spacing w:before="40" w:after="80" w:line="240" w:lineRule="exact"/>
              <w:ind w:left="29" w:right="72"/>
              <w:rPr>
                <w:rFonts w:hint="cs"/>
                <w:szCs w:val="20"/>
                <w:rtl/>
              </w:rPr>
            </w:pPr>
            <w:r w:rsidRPr="004A1C1D">
              <w:rPr>
                <w:rFonts w:hint="cs"/>
                <w:szCs w:val="20"/>
                <w:rtl/>
              </w:rPr>
              <w:t>2001-2002</w:t>
            </w:r>
          </w:p>
        </w:tc>
        <w:tc>
          <w:tcPr>
            <w:tcW w:w="1080"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751 962 9</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109 968 6</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860 930 16</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127 315 2</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088 506 1</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215 821 3</w:t>
            </w:r>
          </w:p>
        </w:tc>
        <w:tc>
          <w:tcPr>
            <w:tcW w:w="985" w:type="dxa"/>
            <w:shd w:val="clear" w:color="auto" w:fill="auto"/>
            <w:vAlign w:val="bottom"/>
          </w:tcPr>
          <w:p w:rsidR="00360CD9" w:rsidRPr="004A1C1D" w:rsidRDefault="004A1C1D" w:rsidP="004A1C1D">
            <w:pPr>
              <w:spacing w:before="40" w:after="80" w:line="240" w:lineRule="exact"/>
              <w:ind w:left="29" w:right="72"/>
              <w:jc w:val="lowKashida"/>
              <w:rPr>
                <w:rFonts w:hint="cs"/>
                <w:szCs w:val="20"/>
                <w:rtl/>
              </w:rPr>
            </w:pPr>
            <w:r w:rsidRPr="004A1C1D">
              <w:rPr>
                <w:rFonts w:hint="cs"/>
                <w:szCs w:val="20"/>
                <w:rtl/>
              </w:rPr>
              <w:t>821 92</w:t>
            </w:r>
          </w:p>
        </w:tc>
        <w:tc>
          <w:tcPr>
            <w:tcW w:w="985" w:type="dxa"/>
            <w:shd w:val="clear" w:color="auto" w:fill="auto"/>
            <w:vAlign w:val="bottom"/>
          </w:tcPr>
          <w:p w:rsidR="00360CD9" w:rsidRPr="004A1C1D" w:rsidRDefault="004A1C1D" w:rsidP="004A1C1D">
            <w:pPr>
              <w:spacing w:before="40" w:after="80" w:line="240" w:lineRule="exact"/>
              <w:ind w:left="29" w:right="72"/>
              <w:jc w:val="lowKashida"/>
              <w:rPr>
                <w:rFonts w:hint="cs"/>
                <w:szCs w:val="20"/>
                <w:rtl/>
              </w:rPr>
            </w:pPr>
            <w:r w:rsidRPr="004A1C1D">
              <w:rPr>
                <w:rFonts w:hint="cs"/>
                <w:szCs w:val="20"/>
                <w:rtl/>
              </w:rPr>
              <w:t>343 644</w:t>
            </w:r>
          </w:p>
        </w:tc>
        <w:tc>
          <w:tcPr>
            <w:tcW w:w="985" w:type="dxa"/>
            <w:shd w:val="clear" w:color="auto" w:fill="auto"/>
            <w:vAlign w:val="bottom"/>
          </w:tcPr>
          <w:p w:rsidR="00360CD9" w:rsidRPr="004A1C1D" w:rsidRDefault="004A1C1D" w:rsidP="004A1C1D">
            <w:pPr>
              <w:spacing w:before="40" w:after="80" w:line="240" w:lineRule="exact"/>
              <w:ind w:left="29" w:right="72"/>
              <w:jc w:val="lowKashida"/>
              <w:rPr>
                <w:rFonts w:hint="cs"/>
                <w:szCs w:val="20"/>
                <w:rtl/>
              </w:rPr>
            </w:pPr>
            <w:r w:rsidRPr="004A1C1D">
              <w:rPr>
                <w:rFonts w:hint="cs"/>
                <w:szCs w:val="20"/>
                <w:rtl/>
              </w:rPr>
              <w:t>164 157</w:t>
            </w:r>
          </w:p>
        </w:tc>
      </w:tr>
      <w:tr w:rsidR="00360CD9" w:rsidRPr="004A1C1D">
        <w:tblPrEx>
          <w:tblCellMar>
            <w:top w:w="0" w:type="dxa"/>
            <w:bottom w:w="0" w:type="dxa"/>
          </w:tblCellMar>
        </w:tblPrEx>
        <w:trPr>
          <w:cantSplit/>
          <w:jc w:val="center"/>
        </w:trPr>
        <w:tc>
          <w:tcPr>
            <w:tcW w:w="890" w:type="dxa"/>
            <w:shd w:val="clear" w:color="auto" w:fill="auto"/>
            <w:vAlign w:val="bottom"/>
          </w:tcPr>
          <w:p w:rsidR="00360CD9" w:rsidRPr="004A1C1D" w:rsidRDefault="00360CD9" w:rsidP="004A1C1D">
            <w:pPr>
              <w:spacing w:before="40" w:after="80" w:line="240" w:lineRule="exact"/>
              <w:ind w:left="29" w:right="72"/>
              <w:rPr>
                <w:rFonts w:hint="cs"/>
                <w:szCs w:val="20"/>
                <w:rtl/>
              </w:rPr>
            </w:pPr>
            <w:r w:rsidRPr="004A1C1D">
              <w:rPr>
                <w:rFonts w:hint="cs"/>
                <w:szCs w:val="20"/>
                <w:rtl/>
              </w:rPr>
              <w:t>2002-2003</w:t>
            </w:r>
          </w:p>
        </w:tc>
        <w:tc>
          <w:tcPr>
            <w:tcW w:w="1080"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266 105 10</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387 065 7</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652 170 71</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011 377 2</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347 549 1</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359 926 3</w:t>
            </w:r>
          </w:p>
        </w:tc>
        <w:tc>
          <w:tcPr>
            <w:tcW w:w="985" w:type="dxa"/>
            <w:shd w:val="clear" w:color="auto" w:fill="auto"/>
            <w:vAlign w:val="bottom"/>
          </w:tcPr>
          <w:p w:rsidR="00360CD9" w:rsidRPr="004A1C1D" w:rsidRDefault="004A1C1D" w:rsidP="004A1C1D">
            <w:pPr>
              <w:spacing w:before="40" w:after="80" w:line="240" w:lineRule="exact"/>
              <w:ind w:left="29" w:right="72"/>
              <w:jc w:val="lowKashida"/>
              <w:rPr>
                <w:rFonts w:hint="cs"/>
                <w:szCs w:val="20"/>
                <w:rtl/>
              </w:rPr>
            </w:pPr>
            <w:r w:rsidRPr="004A1C1D">
              <w:rPr>
                <w:rFonts w:hint="cs"/>
                <w:szCs w:val="20"/>
                <w:rtl/>
              </w:rPr>
              <w:t>789 953</w:t>
            </w:r>
          </w:p>
        </w:tc>
        <w:tc>
          <w:tcPr>
            <w:tcW w:w="985" w:type="dxa"/>
            <w:shd w:val="clear" w:color="auto" w:fill="auto"/>
            <w:vAlign w:val="bottom"/>
          </w:tcPr>
          <w:p w:rsidR="00360CD9" w:rsidRPr="004A1C1D" w:rsidRDefault="004A1C1D" w:rsidP="004A1C1D">
            <w:pPr>
              <w:spacing w:before="40" w:after="80" w:line="240" w:lineRule="exact"/>
              <w:ind w:left="29" w:right="72"/>
              <w:jc w:val="lowKashida"/>
              <w:rPr>
                <w:rFonts w:hint="cs"/>
                <w:szCs w:val="20"/>
                <w:rtl/>
              </w:rPr>
            </w:pPr>
            <w:r w:rsidRPr="004A1C1D">
              <w:rPr>
                <w:rFonts w:hint="cs"/>
                <w:szCs w:val="20"/>
                <w:rtl/>
              </w:rPr>
              <w:t>781 661</w:t>
            </w:r>
          </w:p>
        </w:tc>
        <w:tc>
          <w:tcPr>
            <w:tcW w:w="985" w:type="dxa"/>
            <w:shd w:val="clear" w:color="auto" w:fill="auto"/>
            <w:vAlign w:val="bottom"/>
          </w:tcPr>
          <w:p w:rsidR="00360CD9" w:rsidRPr="004A1C1D" w:rsidRDefault="004A1C1D" w:rsidP="004A1C1D">
            <w:pPr>
              <w:spacing w:before="40" w:after="80" w:line="240" w:lineRule="exact"/>
              <w:ind w:left="29" w:right="72"/>
              <w:jc w:val="lowKashida"/>
              <w:rPr>
                <w:rFonts w:hint="cs"/>
                <w:szCs w:val="20"/>
                <w:rtl/>
              </w:rPr>
            </w:pPr>
            <w:r w:rsidRPr="004A1C1D">
              <w:rPr>
                <w:rFonts w:hint="cs"/>
                <w:szCs w:val="20"/>
                <w:rtl/>
              </w:rPr>
              <w:t>569 615 1</w:t>
            </w:r>
          </w:p>
        </w:tc>
      </w:tr>
      <w:tr w:rsidR="00360CD9" w:rsidRPr="004A1C1D">
        <w:tblPrEx>
          <w:tblCellMar>
            <w:top w:w="0" w:type="dxa"/>
            <w:bottom w:w="0" w:type="dxa"/>
          </w:tblCellMar>
        </w:tblPrEx>
        <w:trPr>
          <w:cantSplit/>
          <w:jc w:val="center"/>
        </w:trPr>
        <w:tc>
          <w:tcPr>
            <w:tcW w:w="890" w:type="dxa"/>
            <w:shd w:val="clear" w:color="auto" w:fill="auto"/>
            <w:vAlign w:val="bottom"/>
          </w:tcPr>
          <w:p w:rsidR="00360CD9" w:rsidRPr="004A1C1D" w:rsidRDefault="00360CD9" w:rsidP="004A1C1D">
            <w:pPr>
              <w:spacing w:before="40" w:after="80" w:line="240" w:lineRule="exact"/>
              <w:ind w:left="29" w:right="72"/>
              <w:rPr>
                <w:rFonts w:hint="cs"/>
                <w:szCs w:val="20"/>
                <w:rtl/>
              </w:rPr>
            </w:pPr>
            <w:r w:rsidRPr="004A1C1D">
              <w:rPr>
                <w:rFonts w:hint="cs"/>
                <w:szCs w:val="20"/>
                <w:rtl/>
              </w:rPr>
              <w:t>2003-2004</w:t>
            </w:r>
          </w:p>
        </w:tc>
        <w:tc>
          <w:tcPr>
            <w:tcW w:w="1080"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631 250 10</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609 164 7</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240 415 17</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912 440 2</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129 594 1</w:t>
            </w:r>
          </w:p>
        </w:tc>
        <w:tc>
          <w:tcPr>
            <w:tcW w:w="985" w:type="dxa"/>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040 035 4</w:t>
            </w:r>
          </w:p>
        </w:tc>
        <w:tc>
          <w:tcPr>
            <w:tcW w:w="985" w:type="dxa"/>
            <w:shd w:val="clear" w:color="auto" w:fill="auto"/>
            <w:vAlign w:val="bottom"/>
          </w:tcPr>
          <w:p w:rsidR="00360CD9" w:rsidRPr="004A1C1D" w:rsidRDefault="004A1C1D" w:rsidP="004A1C1D">
            <w:pPr>
              <w:spacing w:before="40" w:after="80" w:line="240" w:lineRule="exact"/>
              <w:ind w:left="29" w:right="72"/>
              <w:jc w:val="lowKashida"/>
              <w:rPr>
                <w:rFonts w:hint="cs"/>
                <w:szCs w:val="20"/>
                <w:rtl/>
              </w:rPr>
            </w:pPr>
            <w:r w:rsidRPr="004A1C1D">
              <w:rPr>
                <w:rFonts w:hint="cs"/>
                <w:szCs w:val="20"/>
                <w:rtl/>
              </w:rPr>
              <w:t>505 978</w:t>
            </w:r>
          </w:p>
        </w:tc>
        <w:tc>
          <w:tcPr>
            <w:tcW w:w="985" w:type="dxa"/>
            <w:shd w:val="clear" w:color="auto" w:fill="auto"/>
            <w:vAlign w:val="bottom"/>
          </w:tcPr>
          <w:p w:rsidR="00360CD9" w:rsidRPr="004A1C1D" w:rsidRDefault="004A1C1D" w:rsidP="004A1C1D">
            <w:pPr>
              <w:spacing w:before="40" w:after="80" w:line="240" w:lineRule="exact"/>
              <w:ind w:left="29" w:right="72"/>
              <w:jc w:val="lowKashida"/>
              <w:rPr>
                <w:rFonts w:hint="cs"/>
                <w:szCs w:val="20"/>
                <w:rtl/>
              </w:rPr>
            </w:pPr>
            <w:r w:rsidRPr="004A1C1D">
              <w:rPr>
                <w:rFonts w:hint="cs"/>
                <w:szCs w:val="20"/>
                <w:rtl/>
              </w:rPr>
              <w:t>794 679</w:t>
            </w:r>
          </w:p>
        </w:tc>
        <w:tc>
          <w:tcPr>
            <w:tcW w:w="985" w:type="dxa"/>
            <w:shd w:val="clear" w:color="auto" w:fill="auto"/>
            <w:vAlign w:val="bottom"/>
          </w:tcPr>
          <w:p w:rsidR="00360CD9" w:rsidRPr="004A1C1D" w:rsidRDefault="004A1C1D" w:rsidP="004A1C1D">
            <w:pPr>
              <w:spacing w:before="40" w:after="80" w:line="240" w:lineRule="exact"/>
              <w:ind w:left="29" w:right="72"/>
              <w:jc w:val="lowKashida"/>
              <w:rPr>
                <w:rFonts w:hint="cs"/>
                <w:szCs w:val="20"/>
                <w:rtl/>
              </w:rPr>
            </w:pPr>
            <w:r w:rsidRPr="004A1C1D">
              <w:rPr>
                <w:rFonts w:hint="cs"/>
                <w:szCs w:val="20"/>
                <w:rtl/>
              </w:rPr>
              <w:t>299 658 1</w:t>
            </w:r>
          </w:p>
        </w:tc>
      </w:tr>
      <w:tr w:rsidR="00360CD9" w:rsidRPr="004A1C1D">
        <w:tblPrEx>
          <w:tblCellMar>
            <w:top w:w="0" w:type="dxa"/>
            <w:bottom w:w="0" w:type="dxa"/>
          </w:tblCellMar>
        </w:tblPrEx>
        <w:trPr>
          <w:cantSplit/>
          <w:jc w:val="center"/>
        </w:trPr>
        <w:tc>
          <w:tcPr>
            <w:tcW w:w="890" w:type="dxa"/>
            <w:tcBorders>
              <w:bottom w:val="single" w:sz="12" w:space="0" w:color="auto"/>
            </w:tcBorders>
            <w:shd w:val="clear" w:color="auto" w:fill="auto"/>
            <w:vAlign w:val="bottom"/>
          </w:tcPr>
          <w:p w:rsidR="00360CD9" w:rsidRPr="004A1C1D" w:rsidRDefault="00360CD9" w:rsidP="004A1C1D">
            <w:pPr>
              <w:spacing w:before="40" w:after="80" w:line="240" w:lineRule="exact"/>
              <w:ind w:left="29" w:right="72"/>
              <w:rPr>
                <w:rFonts w:hint="cs"/>
                <w:szCs w:val="20"/>
                <w:rtl/>
              </w:rPr>
            </w:pPr>
            <w:r w:rsidRPr="004A1C1D">
              <w:rPr>
                <w:rFonts w:hint="cs"/>
                <w:szCs w:val="20"/>
                <w:rtl/>
              </w:rPr>
              <w:t>النسبة المئوية للزيادة مقارنة بالفترة 2000-2001</w:t>
            </w:r>
          </w:p>
        </w:tc>
        <w:tc>
          <w:tcPr>
            <w:tcW w:w="1080" w:type="dxa"/>
            <w:tcBorders>
              <w:bottom w:val="single" w:sz="12" w:space="0" w:color="auto"/>
            </w:tcBorders>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3.6</w:t>
            </w:r>
          </w:p>
        </w:tc>
        <w:tc>
          <w:tcPr>
            <w:tcW w:w="985" w:type="dxa"/>
            <w:tcBorders>
              <w:bottom w:val="single" w:sz="12" w:space="0" w:color="auto"/>
            </w:tcBorders>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6.4</w:t>
            </w:r>
          </w:p>
        </w:tc>
        <w:tc>
          <w:tcPr>
            <w:tcW w:w="985" w:type="dxa"/>
            <w:tcBorders>
              <w:bottom w:val="single" w:sz="12" w:space="0" w:color="auto"/>
            </w:tcBorders>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4.7</w:t>
            </w:r>
          </w:p>
        </w:tc>
        <w:tc>
          <w:tcPr>
            <w:tcW w:w="985" w:type="dxa"/>
            <w:tcBorders>
              <w:bottom w:val="single" w:sz="12" w:space="0" w:color="auto"/>
            </w:tcBorders>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18.9</w:t>
            </w:r>
          </w:p>
        </w:tc>
        <w:tc>
          <w:tcPr>
            <w:tcW w:w="985" w:type="dxa"/>
            <w:tcBorders>
              <w:bottom w:val="single" w:sz="12" w:space="0" w:color="auto"/>
            </w:tcBorders>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-6.5</w:t>
            </w:r>
          </w:p>
        </w:tc>
        <w:tc>
          <w:tcPr>
            <w:tcW w:w="985" w:type="dxa"/>
            <w:tcBorders>
              <w:bottom w:val="single" w:sz="12" w:space="0" w:color="auto"/>
            </w:tcBorders>
            <w:shd w:val="clear" w:color="auto" w:fill="auto"/>
            <w:vAlign w:val="bottom"/>
          </w:tcPr>
          <w:p w:rsidR="00360CD9" w:rsidRPr="004A1C1D" w:rsidRDefault="00360CD9" w:rsidP="004A1C1D">
            <w:pPr>
              <w:spacing w:before="40" w:after="80" w:line="240" w:lineRule="exact"/>
              <w:ind w:left="29" w:right="72"/>
              <w:jc w:val="lowKashida"/>
              <w:rPr>
                <w:rFonts w:hint="cs"/>
                <w:szCs w:val="20"/>
                <w:rtl/>
              </w:rPr>
            </w:pPr>
            <w:r w:rsidRPr="004A1C1D">
              <w:rPr>
                <w:rFonts w:hint="cs"/>
                <w:szCs w:val="20"/>
                <w:rtl/>
              </w:rPr>
              <w:t>7.3</w:t>
            </w:r>
          </w:p>
        </w:tc>
        <w:tc>
          <w:tcPr>
            <w:tcW w:w="985" w:type="dxa"/>
            <w:tcBorders>
              <w:bottom w:val="single" w:sz="12" w:space="0" w:color="auto"/>
            </w:tcBorders>
            <w:shd w:val="clear" w:color="auto" w:fill="auto"/>
            <w:vAlign w:val="bottom"/>
          </w:tcPr>
          <w:p w:rsidR="00360CD9" w:rsidRPr="004A1C1D" w:rsidRDefault="004A1C1D" w:rsidP="004A1C1D">
            <w:pPr>
              <w:spacing w:before="40" w:after="80" w:line="240" w:lineRule="exact"/>
              <w:ind w:left="29" w:right="72"/>
              <w:jc w:val="lowKashida"/>
              <w:rPr>
                <w:rFonts w:hint="cs"/>
                <w:szCs w:val="20"/>
                <w:rtl/>
              </w:rPr>
            </w:pPr>
            <w:r w:rsidRPr="004A1C1D">
              <w:rPr>
                <w:rFonts w:hint="cs"/>
                <w:szCs w:val="20"/>
                <w:rtl/>
              </w:rPr>
              <w:t>10.0</w:t>
            </w:r>
          </w:p>
        </w:tc>
        <w:tc>
          <w:tcPr>
            <w:tcW w:w="985" w:type="dxa"/>
            <w:tcBorders>
              <w:bottom w:val="single" w:sz="12" w:space="0" w:color="auto"/>
            </w:tcBorders>
            <w:shd w:val="clear" w:color="auto" w:fill="auto"/>
            <w:vAlign w:val="bottom"/>
          </w:tcPr>
          <w:p w:rsidR="00360CD9" w:rsidRPr="004A1C1D" w:rsidRDefault="004A1C1D" w:rsidP="004A1C1D">
            <w:pPr>
              <w:spacing w:before="40" w:after="80" w:line="240" w:lineRule="exact"/>
              <w:ind w:left="29" w:right="72"/>
              <w:jc w:val="lowKashida"/>
              <w:rPr>
                <w:rFonts w:hint="cs"/>
                <w:szCs w:val="20"/>
                <w:rtl/>
              </w:rPr>
            </w:pPr>
            <w:r w:rsidRPr="004A1C1D">
              <w:rPr>
                <w:rFonts w:hint="cs"/>
                <w:szCs w:val="20"/>
                <w:rtl/>
              </w:rPr>
              <w:t>0.6</w:t>
            </w:r>
          </w:p>
        </w:tc>
        <w:tc>
          <w:tcPr>
            <w:tcW w:w="985" w:type="dxa"/>
            <w:tcBorders>
              <w:bottom w:val="single" w:sz="12" w:space="0" w:color="auto"/>
            </w:tcBorders>
            <w:shd w:val="clear" w:color="auto" w:fill="auto"/>
            <w:vAlign w:val="bottom"/>
          </w:tcPr>
          <w:p w:rsidR="00360CD9" w:rsidRPr="004A1C1D" w:rsidRDefault="004A1C1D" w:rsidP="004A1C1D">
            <w:pPr>
              <w:spacing w:before="40" w:after="80" w:line="240" w:lineRule="exact"/>
              <w:ind w:left="29" w:right="72"/>
              <w:jc w:val="lowKashida"/>
              <w:rPr>
                <w:rFonts w:hint="cs"/>
                <w:szCs w:val="20"/>
                <w:rtl/>
              </w:rPr>
            </w:pPr>
            <w:r w:rsidRPr="004A1C1D">
              <w:rPr>
                <w:rFonts w:hint="cs"/>
                <w:szCs w:val="20"/>
                <w:rtl/>
              </w:rPr>
              <w:t>5.9</w:t>
            </w:r>
          </w:p>
        </w:tc>
      </w:tr>
    </w:tbl>
    <w:p w:rsidR="007E1625" w:rsidRPr="007E1625" w:rsidRDefault="007E1625" w:rsidP="007E1625">
      <w:pPr>
        <w:pStyle w:val="SingleTxt"/>
        <w:spacing w:after="0" w:line="120" w:lineRule="exact"/>
        <w:rPr>
          <w:rFonts w:hint="cs"/>
          <w:sz w:val="10"/>
          <w:rtl/>
        </w:rPr>
      </w:pPr>
    </w:p>
    <w:p w:rsidR="00360CD9" w:rsidRDefault="007E1625" w:rsidP="007E1625">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r>
      <w:r>
        <w:rPr>
          <w:rFonts w:hint="cs"/>
          <w:i/>
          <w:iCs/>
          <w:rtl/>
        </w:rPr>
        <w:t>المصدر:</w:t>
      </w:r>
      <w:r>
        <w:rPr>
          <w:rFonts w:hint="cs"/>
          <w:rtl/>
        </w:rPr>
        <w:t xml:space="preserve"> وزارة التعليم، الدراسة الاستقصائية لاقتصاد باكستان 2003-2004، الجدول 11-2. حسب العمود الأخير استنادا إلى بيانات الفترة 2000-2001 والفترة 2003-2004.</w:t>
      </w:r>
    </w:p>
    <w:p w:rsidR="007E1625" w:rsidRPr="007E1625" w:rsidRDefault="007E1625" w:rsidP="007E1625">
      <w:pPr>
        <w:pStyle w:val="SingleTxt"/>
        <w:spacing w:after="0" w:line="120" w:lineRule="exact"/>
        <w:rPr>
          <w:rFonts w:hint="cs"/>
          <w:sz w:val="10"/>
          <w:rtl/>
        </w:rPr>
      </w:pPr>
    </w:p>
    <w:p w:rsidR="007E1625" w:rsidRDefault="007E1625" w:rsidP="007E1625">
      <w:pPr>
        <w:pStyle w:val="SingleTxt"/>
        <w:spacing w:after="0"/>
        <w:rPr>
          <w:rFonts w:hint="cs"/>
          <w:rtl/>
        </w:rPr>
      </w:pPr>
      <w:r>
        <w:rPr>
          <w:rtl/>
        </w:rPr>
        <w:br w:type="page"/>
      </w:r>
      <w:r>
        <w:rPr>
          <w:rFonts w:hint="cs"/>
          <w:rtl/>
        </w:rPr>
        <w:t>الجدول 10-6</w:t>
      </w:r>
    </w:p>
    <w:p w:rsidR="007E1625" w:rsidRPr="007E1625" w:rsidRDefault="007E1625" w:rsidP="007E1625">
      <w:pPr>
        <w:pStyle w:val="SingleTxt"/>
        <w:rPr>
          <w:rFonts w:hint="cs"/>
          <w:b/>
          <w:bCs/>
          <w:rtl/>
        </w:rPr>
      </w:pPr>
      <w:r w:rsidRPr="007E1625">
        <w:rPr>
          <w:rFonts w:hint="cs"/>
          <w:b/>
          <w:bCs/>
          <w:rtl/>
        </w:rPr>
        <w:t>عدد المسجلين في المؤسسات التعليمية حسب النوع والمستوى (الكليات فما فوق) ونوع الجنس</w:t>
      </w:r>
    </w:p>
    <w:p w:rsidR="007E1625" w:rsidRPr="007E1625" w:rsidRDefault="007E1625" w:rsidP="007E1625">
      <w:pPr>
        <w:pStyle w:val="SingleTxt"/>
        <w:spacing w:after="0" w:line="120" w:lineRule="exact"/>
        <w:rPr>
          <w:rFonts w:hint="cs"/>
          <w:sz w:val="10"/>
          <w:rtl/>
        </w:rPr>
      </w:pPr>
    </w:p>
    <w:tbl>
      <w:tblPr>
        <w:bidiVisual/>
        <w:tblW w:w="7644" w:type="dxa"/>
        <w:jc w:val="center"/>
        <w:tblInd w:w="1161" w:type="dxa"/>
        <w:tblLayout w:type="fixed"/>
        <w:tblCellMar>
          <w:left w:w="0" w:type="dxa"/>
          <w:right w:w="0" w:type="dxa"/>
        </w:tblCellMar>
        <w:tblLook w:val="0000" w:firstRow="0" w:lastRow="0" w:firstColumn="0" w:lastColumn="0" w:noHBand="0" w:noVBand="0"/>
      </w:tblPr>
      <w:tblGrid>
        <w:gridCol w:w="1651"/>
        <w:gridCol w:w="895"/>
        <w:gridCol w:w="1025"/>
        <w:gridCol w:w="1040"/>
        <w:gridCol w:w="1595"/>
        <w:gridCol w:w="1438"/>
      </w:tblGrid>
      <w:tr w:rsidR="00C6241B" w:rsidRPr="00E16904">
        <w:tblPrEx>
          <w:tblCellMar>
            <w:top w:w="0" w:type="dxa"/>
            <w:bottom w:w="0" w:type="dxa"/>
          </w:tblCellMar>
        </w:tblPrEx>
        <w:trPr>
          <w:cantSplit/>
          <w:tblHeader/>
          <w:jc w:val="center"/>
        </w:trPr>
        <w:tc>
          <w:tcPr>
            <w:tcW w:w="1651" w:type="dxa"/>
            <w:tcBorders>
              <w:top w:val="single" w:sz="4" w:space="0" w:color="auto"/>
              <w:bottom w:val="single" w:sz="12" w:space="0" w:color="auto"/>
            </w:tcBorders>
            <w:shd w:val="clear" w:color="auto" w:fill="auto"/>
            <w:vAlign w:val="bottom"/>
          </w:tcPr>
          <w:p w:rsidR="00E16904" w:rsidRPr="00E16904" w:rsidRDefault="00E16904" w:rsidP="00E16904">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التفاصيل</w:t>
            </w:r>
          </w:p>
        </w:tc>
        <w:tc>
          <w:tcPr>
            <w:tcW w:w="895" w:type="dxa"/>
            <w:tcBorders>
              <w:top w:val="single" w:sz="4" w:space="0" w:color="auto"/>
              <w:bottom w:val="single" w:sz="12" w:space="0" w:color="auto"/>
            </w:tcBorders>
            <w:shd w:val="clear" w:color="auto" w:fill="auto"/>
            <w:vAlign w:val="bottom"/>
          </w:tcPr>
          <w:p w:rsidR="00E16904" w:rsidRPr="00E16904" w:rsidRDefault="00E16904" w:rsidP="00E16904">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1989-1990</w:t>
            </w:r>
          </w:p>
        </w:tc>
        <w:tc>
          <w:tcPr>
            <w:tcW w:w="1025" w:type="dxa"/>
            <w:tcBorders>
              <w:top w:val="single" w:sz="4" w:space="0" w:color="auto"/>
              <w:bottom w:val="single" w:sz="12" w:space="0" w:color="auto"/>
            </w:tcBorders>
            <w:shd w:val="clear" w:color="auto" w:fill="auto"/>
            <w:vAlign w:val="bottom"/>
          </w:tcPr>
          <w:p w:rsidR="00E16904" w:rsidRPr="00E16904" w:rsidRDefault="00E16904" w:rsidP="00E16904">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1999-2001</w:t>
            </w:r>
          </w:p>
        </w:tc>
        <w:tc>
          <w:tcPr>
            <w:tcW w:w="1040" w:type="dxa"/>
            <w:tcBorders>
              <w:top w:val="single" w:sz="4" w:space="0" w:color="auto"/>
              <w:bottom w:val="single" w:sz="12" w:space="0" w:color="auto"/>
            </w:tcBorders>
            <w:shd w:val="clear" w:color="auto" w:fill="auto"/>
            <w:vAlign w:val="bottom"/>
          </w:tcPr>
          <w:p w:rsidR="00E16904" w:rsidRPr="00E16904" w:rsidRDefault="00E16904" w:rsidP="00E16904">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2000-2001</w:t>
            </w:r>
          </w:p>
        </w:tc>
        <w:tc>
          <w:tcPr>
            <w:tcW w:w="1595" w:type="dxa"/>
            <w:tcBorders>
              <w:top w:val="single" w:sz="4" w:space="0" w:color="auto"/>
              <w:bottom w:val="single" w:sz="12" w:space="0" w:color="auto"/>
            </w:tcBorders>
            <w:shd w:val="clear" w:color="auto" w:fill="auto"/>
            <w:vAlign w:val="bottom"/>
          </w:tcPr>
          <w:p w:rsidR="00E16904" w:rsidRPr="00E16904" w:rsidRDefault="00E16904" w:rsidP="00E16904">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2001-2002</w:t>
            </w:r>
            <w:r>
              <w:rPr>
                <w:rFonts w:hint="cs"/>
                <w:i/>
                <w:iCs/>
                <w:sz w:val="16"/>
                <w:szCs w:val="24"/>
                <w:rtl/>
              </w:rPr>
              <w:br/>
              <w:t>(سين</w:t>
            </w:r>
            <w:r w:rsidR="00C6241B">
              <w:rPr>
                <w:rFonts w:hint="cs"/>
                <w:i/>
                <w:iCs/>
                <w:sz w:val="16"/>
                <w:szCs w:val="24"/>
                <w:rtl/>
              </w:rPr>
              <w:t>)</w:t>
            </w:r>
          </w:p>
        </w:tc>
        <w:tc>
          <w:tcPr>
            <w:tcW w:w="1438" w:type="dxa"/>
            <w:tcBorders>
              <w:top w:val="single" w:sz="4" w:space="0" w:color="auto"/>
              <w:bottom w:val="single" w:sz="12" w:space="0" w:color="auto"/>
            </w:tcBorders>
            <w:shd w:val="clear" w:color="auto" w:fill="auto"/>
            <w:vAlign w:val="bottom"/>
          </w:tcPr>
          <w:p w:rsidR="00E16904" w:rsidRPr="00E16904" w:rsidRDefault="00E16904" w:rsidP="00E16904">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النسبة المئوية للزيادة مقارنة بالفترة 1989-1990</w:t>
            </w:r>
          </w:p>
        </w:tc>
      </w:tr>
      <w:tr w:rsidR="00E16904" w:rsidRPr="00E16904">
        <w:tblPrEx>
          <w:tblCellMar>
            <w:top w:w="0" w:type="dxa"/>
            <w:bottom w:w="0" w:type="dxa"/>
          </w:tblCellMar>
        </w:tblPrEx>
        <w:trPr>
          <w:cantSplit/>
          <w:trHeight w:hRule="exact" w:val="115"/>
          <w:tblHeader/>
          <w:jc w:val="center"/>
        </w:trPr>
        <w:tc>
          <w:tcPr>
            <w:tcW w:w="1651" w:type="dxa"/>
            <w:tcBorders>
              <w:top w:val="single" w:sz="12" w:space="0" w:color="auto"/>
            </w:tcBorders>
            <w:shd w:val="clear" w:color="auto" w:fill="auto"/>
            <w:vAlign w:val="bottom"/>
          </w:tcPr>
          <w:p w:rsidR="00E16904" w:rsidRPr="00E16904" w:rsidRDefault="00E16904" w:rsidP="00E16904">
            <w:pPr>
              <w:tabs>
                <w:tab w:val="left" w:pos="288"/>
                <w:tab w:val="left" w:pos="576"/>
                <w:tab w:val="left" w:pos="864"/>
                <w:tab w:val="left" w:pos="1152"/>
              </w:tabs>
              <w:spacing w:before="40" w:after="80" w:line="240" w:lineRule="exact"/>
              <w:ind w:left="72" w:right="72"/>
              <w:rPr>
                <w:rFonts w:hint="cs"/>
                <w:sz w:val="16"/>
                <w:szCs w:val="24"/>
                <w:rtl/>
              </w:rPr>
            </w:pPr>
          </w:p>
        </w:tc>
        <w:tc>
          <w:tcPr>
            <w:tcW w:w="895" w:type="dxa"/>
            <w:tcBorders>
              <w:top w:val="single" w:sz="12" w:space="0" w:color="auto"/>
            </w:tcBorders>
            <w:shd w:val="clear" w:color="auto" w:fill="auto"/>
            <w:vAlign w:val="bottom"/>
          </w:tcPr>
          <w:p w:rsidR="00E16904" w:rsidRPr="00E16904" w:rsidRDefault="00E16904" w:rsidP="00E16904">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25" w:type="dxa"/>
            <w:tcBorders>
              <w:top w:val="single" w:sz="12" w:space="0" w:color="auto"/>
            </w:tcBorders>
            <w:shd w:val="clear" w:color="auto" w:fill="auto"/>
            <w:vAlign w:val="bottom"/>
          </w:tcPr>
          <w:p w:rsidR="00E16904" w:rsidRPr="00E16904" w:rsidRDefault="00E16904" w:rsidP="00E16904">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0" w:type="dxa"/>
            <w:tcBorders>
              <w:top w:val="single" w:sz="12" w:space="0" w:color="auto"/>
            </w:tcBorders>
            <w:shd w:val="clear" w:color="auto" w:fill="auto"/>
            <w:vAlign w:val="bottom"/>
          </w:tcPr>
          <w:p w:rsidR="00E16904" w:rsidRPr="00E16904" w:rsidRDefault="00E16904" w:rsidP="00E16904">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595" w:type="dxa"/>
            <w:tcBorders>
              <w:top w:val="single" w:sz="12" w:space="0" w:color="auto"/>
            </w:tcBorders>
            <w:shd w:val="clear" w:color="auto" w:fill="auto"/>
            <w:vAlign w:val="bottom"/>
          </w:tcPr>
          <w:p w:rsidR="00E16904" w:rsidRPr="00E16904" w:rsidRDefault="00E16904" w:rsidP="00E16904">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438" w:type="dxa"/>
            <w:tcBorders>
              <w:top w:val="single" w:sz="12" w:space="0" w:color="auto"/>
            </w:tcBorders>
            <w:shd w:val="clear" w:color="auto" w:fill="auto"/>
            <w:vAlign w:val="bottom"/>
          </w:tcPr>
          <w:p w:rsidR="00E16904" w:rsidRPr="00E16904" w:rsidRDefault="00E16904" w:rsidP="00E16904">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C6241B" w:rsidRPr="00E16904">
        <w:tblPrEx>
          <w:tblCellMar>
            <w:top w:w="0" w:type="dxa"/>
            <w:bottom w:w="0" w:type="dxa"/>
          </w:tblCellMar>
        </w:tblPrEx>
        <w:trPr>
          <w:cantSplit/>
          <w:jc w:val="center"/>
        </w:trPr>
        <w:tc>
          <w:tcPr>
            <w:tcW w:w="1651" w:type="dxa"/>
            <w:tcBorders>
              <w:bottom w:val="single" w:sz="4" w:space="0" w:color="auto"/>
            </w:tcBorders>
            <w:shd w:val="clear" w:color="auto" w:fill="auto"/>
            <w:vAlign w:val="bottom"/>
          </w:tcPr>
          <w:p w:rsidR="00E16904" w:rsidRPr="00C82422" w:rsidRDefault="00E16904" w:rsidP="00C82422">
            <w:pPr>
              <w:tabs>
                <w:tab w:val="left" w:pos="288"/>
                <w:tab w:val="left" w:pos="576"/>
                <w:tab w:val="left" w:pos="864"/>
                <w:tab w:val="left" w:pos="1152"/>
              </w:tabs>
              <w:spacing w:before="40" w:after="80" w:line="240" w:lineRule="exact"/>
              <w:ind w:left="72" w:right="72"/>
              <w:rPr>
                <w:rFonts w:hint="cs"/>
                <w:i/>
                <w:iCs/>
                <w:sz w:val="16"/>
                <w:szCs w:val="24"/>
                <w:rtl/>
              </w:rPr>
            </w:pPr>
            <w:r w:rsidRPr="00C82422">
              <w:rPr>
                <w:rFonts w:hint="cs"/>
                <w:i/>
                <w:iCs/>
                <w:sz w:val="16"/>
                <w:szCs w:val="24"/>
                <w:rtl/>
              </w:rPr>
              <w:t>كليات الآداب والعلوم</w:t>
            </w:r>
          </w:p>
        </w:tc>
        <w:tc>
          <w:tcPr>
            <w:tcW w:w="895" w:type="dxa"/>
            <w:tcBorders>
              <w:bottom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25" w:type="dxa"/>
            <w:tcBorders>
              <w:bottom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0" w:type="dxa"/>
            <w:tcBorders>
              <w:bottom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595" w:type="dxa"/>
            <w:tcBorders>
              <w:bottom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438" w:type="dxa"/>
            <w:tcBorders>
              <w:bottom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C6241B" w:rsidRPr="00C82422">
        <w:tblPrEx>
          <w:tblCellMar>
            <w:top w:w="0" w:type="dxa"/>
            <w:bottom w:w="0" w:type="dxa"/>
          </w:tblCellMar>
        </w:tblPrEx>
        <w:trPr>
          <w:cantSplit/>
          <w:jc w:val="center"/>
        </w:trPr>
        <w:tc>
          <w:tcPr>
            <w:tcW w:w="1651" w:type="dxa"/>
            <w:tcBorders>
              <w:top w:val="single" w:sz="4" w:space="0" w:color="auto"/>
              <w:bottom w:val="single" w:sz="4" w:space="0" w:color="auto"/>
            </w:tcBorders>
            <w:shd w:val="clear" w:color="auto" w:fill="auto"/>
            <w:vAlign w:val="bottom"/>
          </w:tcPr>
          <w:p w:rsidR="00E16904" w:rsidRPr="00C82422" w:rsidRDefault="00E16904" w:rsidP="00C82422">
            <w:pPr>
              <w:tabs>
                <w:tab w:val="left" w:pos="288"/>
                <w:tab w:val="left" w:pos="576"/>
                <w:tab w:val="left" w:pos="864"/>
                <w:tab w:val="left" w:pos="1152"/>
              </w:tabs>
              <w:spacing w:before="60" w:after="60" w:line="240" w:lineRule="exact"/>
              <w:ind w:left="72" w:right="72"/>
              <w:rPr>
                <w:rFonts w:hint="cs"/>
                <w:bCs/>
                <w:sz w:val="16"/>
                <w:szCs w:val="24"/>
                <w:rtl/>
              </w:rPr>
            </w:pPr>
            <w:r w:rsidRPr="00C82422">
              <w:rPr>
                <w:rFonts w:hint="cs"/>
                <w:bCs/>
                <w:sz w:val="16"/>
                <w:szCs w:val="24"/>
                <w:rtl/>
              </w:rPr>
              <w:t>المجموع (آلاف)</w:t>
            </w:r>
          </w:p>
        </w:tc>
        <w:tc>
          <w:tcPr>
            <w:tcW w:w="895" w:type="dxa"/>
            <w:tcBorders>
              <w:top w:val="single" w:sz="4" w:space="0" w:color="auto"/>
              <w:bottom w:val="single" w:sz="4" w:space="0" w:color="auto"/>
            </w:tcBorders>
            <w:shd w:val="clear" w:color="auto" w:fill="auto"/>
            <w:vAlign w:val="bottom"/>
          </w:tcPr>
          <w:p w:rsidR="00E16904" w:rsidRPr="00C82422" w:rsidRDefault="00C6241B" w:rsidP="00C82422">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469</w:t>
            </w:r>
          </w:p>
        </w:tc>
        <w:tc>
          <w:tcPr>
            <w:tcW w:w="1025" w:type="dxa"/>
            <w:tcBorders>
              <w:top w:val="single" w:sz="4" w:space="0" w:color="auto"/>
              <w:bottom w:val="single" w:sz="4" w:space="0" w:color="auto"/>
            </w:tcBorders>
            <w:shd w:val="clear" w:color="auto" w:fill="auto"/>
            <w:vAlign w:val="bottom"/>
          </w:tcPr>
          <w:p w:rsidR="00E16904" w:rsidRPr="00C82422" w:rsidRDefault="00C6241B" w:rsidP="00C82422">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792</w:t>
            </w:r>
          </w:p>
        </w:tc>
        <w:tc>
          <w:tcPr>
            <w:tcW w:w="1040" w:type="dxa"/>
            <w:tcBorders>
              <w:top w:val="single" w:sz="4" w:space="0" w:color="auto"/>
              <w:bottom w:val="single" w:sz="4" w:space="0" w:color="auto"/>
            </w:tcBorders>
            <w:shd w:val="clear" w:color="auto" w:fill="auto"/>
            <w:vAlign w:val="bottom"/>
          </w:tcPr>
          <w:p w:rsidR="00E16904" w:rsidRPr="00C82422" w:rsidRDefault="00C6241B" w:rsidP="00C82422">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763</w:t>
            </w:r>
          </w:p>
        </w:tc>
        <w:tc>
          <w:tcPr>
            <w:tcW w:w="1595" w:type="dxa"/>
            <w:tcBorders>
              <w:top w:val="single" w:sz="4" w:space="0" w:color="auto"/>
              <w:bottom w:val="single" w:sz="4" w:space="0" w:color="auto"/>
            </w:tcBorders>
            <w:shd w:val="clear" w:color="auto" w:fill="auto"/>
            <w:vAlign w:val="bottom"/>
          </w:tcPr>
          <w:p w:rsidR="00E16904" w:rsidRPr="00C82422" w:rsidRDefault="00C6241B" w:rsidP="00C82422">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751 (ألف)</w:t>
            </w:r>
          </w:p>
        </w:tc>
        <w:tc>
          <w:tcPr>
            <w:tcW w:w="1438" w:type="dxa"/>
            <w:tcBorders>
              <w:top w:val="single" w:sz="4" w:space="0" w:color="auto"/>
              <w:bottom w:val="single" w:sz="4" w:space="0" w:color="auto"/>
            </w:tcBorders>
            <w:shd w:val="clear" w:color="auto" w:fill="auto"/>
            <w:vAlign w:val="bottom"/>
          </w:tcPr>
          <w:p w:rsidR="00E16904" w:rsidRPr="00C82422" w:rsidRDefault="00C6241B" w:rsidP="00C82422">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60.1</w:t>
            </w:r>
          </w:p>
        </w:tc>
      </w:tr>
      <w:tr w:rsidR="00C6241B" w:rsidRPr="00E16904">
        <w:tblPrEx>
          <w:tblCellMar>
            <w:top w:w="0" w:type="dxa"/>
            <w:bottom w:w="0" w:type="dxa"/>
          </w:tblCellMar>
        </w:tblPrEx>
        <w:trPr>
          <w:cantSplit/>
          <w:jc w:val="center"/>
        </w:trPr>
        <w:tc>
          <w:tcPr>
            <w:tcW w:w="1651" w:type="dxa"/>
            <w:tcBorders>
              <w:top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60" w:after="80" w:line="240" w:lineRule="exact"/>
              <w:ind w:left="72" w:right="72"/>
              <w:rPr>
                <w:rFonts w:hint="cs"/>
                <w:sz w:val="16"/>
                <w:szCs w:val="24"/>
                <w:rtl/>
              </w:rPr>
            </w:pPr>
            <w:r>
              <w:rPr>
                <w:rFonts w:hint="cs"/>
                <w:sz w:val="16"/>
                <w:szCs w:val="24"/>
                <w:rtl/>
              </w:rPr>
              <w:t>الذكور</w:t>
            </w:r>
          </w:p>
        </w:tc>
        <w:tc>
          <w:tcPr>
            <w:tcW w:w="895" w:type="dxa"/>
            <w:tcBorders>
              <w:top w:val="single" w:sz="4" w:space="0" w:color="auto"/>
            </w:tcBorders>
            <w:shd w:val="clear" w:color="auto" w:fill="auto"/>
            <w:vAlign w:val="bottom"/>
          </w:tcPr>
          <w:p w:rsidR="00E16904" w:rsidRPr="00E16904" w:rsidRDefault="00C6241B" w:rsidP="00C8242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304</w:t>
            </w:r>
          </w:p>
        </w:tc>
        <w:tc>
          <w:tcPr>
            <w:tcW w:w="1025" w:type="dxa"/>
            <w:tcBorders>
              <w:top w:val="single" w:sz="4" w:space="0" w:color="auto"/>
            </w:tcBorders>
            <w:shd w:val="clear" w:color="auto" w:fill="auto"/>
            <w:vAlign w:val="bottom"/>
          </w:tcPr>
          <w:p w:rsidR="00E16904" w:rsidRPr="00E16904" w:rsidRDefault="00C6241B" w:rsidP="00C8242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420</w:t>
            </w:r>
          </w:p>
        </w:tc>
        <w:tc>
          <w:tcPr>
            <w:tcW w:w="1040" w:type="dxa"/>
            <w:tcBorders>
              <w:top w:val="single" w:sz="4" w:space="0" w:color="auto"/>
            </w:tcBorders>
            <w:shd w:val="clear" w:color="auto" w:fill="auto"/>
            <w:vAlign w:val="bottom"/>
          </w:tcPr>
          <w:p w:rsidR="00E16904" w:rsidRPr="00E16904" w:rsidRDefault="00C6241B" w:rsidP="00C8242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389</w:t>
            </w:r>
          </w:p>
        </w:tc>
        <w:tc>
          <w:tcPr>
            <w:tcW w:w="1595" w:type="dxa"/>
            <w:tcBorders>
              <w:top w:val="single" w:sz="4" w:space="0" w:color="auto"/>
            </w:tcBorders>
            <w:shd w:val="clear" w:color="auto" w:fill="auto"/>
            <w:vAlign w:val="bottom"/>
          </w:tcPr>
          <w:p w:rsidR="00E16904" w:rsidRPr="00E16904" w:rsidRDefault="00C6241B" w:rsidP="00C8242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381</w:t>
            </w:r>
          </w:p>
        </w:tc>
        <w:tc>
          <w:tcPr>
            <w:tcW w:w="1438" w:type="dxa"/>
            <w:tcBorders>
              <w:top w:val="single" w:sz="4" w:space="0" w:color="auto"/>
            </w:tcBorders>
            <w:shd w:val="clear" w:color="auto" w:fill="auto"/>
            <w:vAlign w:val="bottom"/>
          </w:tcPr>
          <w:p w:rsidR="00E16904" w:rsidRPr="00E16904" w:rsidRDefault="00C6241B" w:rsidP="00C8242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25.3</w:t>
            </w:r>
          </w:p>
        </w:tc>
      </w:tr>
      <w:tr w:rsidR="00C6241B" w:rsidRPr="00E16904">
        <w:tblPrEx>
          <w:tblCellMar>
            <w:top w:w="0" w:type="dxa"/>
            <w:bottom w:w="0" w:type="dxa"/>
          </w:tblCellMar>
        </w:tblPrEx>
        <w:trPr>
          <w:cantSplit/>
          <w:jc w:val="center"/>
        </w:trPr>
        <w:tc>
          <w:tcPr>
            <w:tcW w:w="1651" w:type="dxa"/>
            <w:shd w:val="clear" w:color="auto" w:fill="auto"/>
            <w:vAlign w:val="bottom"/>
          </w:tcPr>
          <w:p w:rsidR="00E16904" w:rsidRPr="00E16904" w:rsidRDefault="00E16904" w:rsidP="00E16904">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الإناث</w:t>
            </w:r>
          </w:p>
        </w:tc>
        <w:tc>
          <w:tcPr>
            <w:tcW w:w="895" w:type="dxa"/>
            <w:shd w:val="clear" w:color="auto" w:fill="auto"/>
            <w:vAlign w:val="bottom"/>
          </w:tcPr>
          <w:p w:rsidR="00E16904" w:rsidRPr="00E16904" w:rsidRDefault="00C6241B" w:rsidP="00E16904">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165</w:t>
            </w:r>
          </w:p>
        </w:tc>
        <w:tc>
          <w:tcPr>
            <w:tcW w:w="1025" w:type="dxa"/>
            <w:shd w:val="clear" w:color="auto" w:fill="auto"/>
            <w:vAlign w:val="bottom"/>
          </w:tcPr>
          <w:p w:rsidR="00E16904" w:rsidRPr="00E16904" w:rsidRDefault="00C6241B" w:rsidP="00E16904">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372</w:t>
            </w:r>
          </w:p>
        </w:tc>
        <w:tc>
          <w:tcPr>
            <w:tcW w:w="1040" w:type="dxa"/>
            <w:shd w:val="clear" w:color="auto" w:fill="auto"/>
            <w:vAlign w:val="bottom"/>
          </w:tcPr>
          <w:p w:rsidR="00E16904" w:rsidRPr="00E16904" w:rsidRDefault="00C6241B" w:rsidP="00E16904">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374</w:t>
            </w:r>
          </w:p>
        </w:tc>
        <w:tc>
          <w:tcPr>
            <w:tcW w:w="1595" w:type="dxa"/>
            <w:shd w:val="clear" w:color="auto" w:fill="auto"/>
            <w:vAlign w:val="bottom"/>
          </w:tcPr>
          <w:p w:rsidR="00E16904" w:rsidRPr="00E16904" w:rsidRDefault="00C6241B" w:rsidP="00E16904">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370</w:t>
            </w:r>
          </w:p>
        </w:tc>
        <w:tc>
          <w:tcPr>
            <w:tcW w:w="1438" w:type="dxa"/>
            <w:shd w:val="clear" w:color="auto" w:fill="auto"/>
            <w:vAlign w:val="bottom"/>
          </w:tcPr>
          <w:p w:rsidR="00E16904" w:rsidRPr="00E16904" w:rsidRDefault="00C6241B" w:rsidP="00E16904">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124.2</w:t>
            </w:r>
          </w:p>
        </w:tc>
      </w:tr>
      <w:tr w:rsidR="00C6241B" w:rsidRPr="00E16904">
        <w:tblPrEx>
          <w:tblCellMar>
            <w:top w:w="0" w:type="dxa"/>
            <w:bottom w:w="0" w:type="dxa"/>
          </w:tblCellMar>
        </w:tblPrEx>
        <w:trPr>
          <w:cantSplit/>
          <w:jc w:val="center"/>
        </w:trPr>
        <w:tc>
          <w:tcPr>
            <w:tcW w:w="1651" w:type="dxa"/>
            <w:tcBorders>
              <w:bottom w:val="single" w:sz="4" w:space="0" w:color="auto"/>
            </w:tcBorders>
            <w:shd w:val="clear" w:color="auto" w:fill="auto"/>
            <w:vAlign w:val="bottom"/>
          </w:tcPr>
          <w:p w:rsidR="00E16904" w:rsidRPr="00C82422" w:rsidRDefault="00E16904" w:rsidP="00C82422">
            <w:pPr>
              <w:tabs>
                <w:tab w:val="left" w:pos="288"/>
                <w:tab w:val="left" w:pos="576"/>
                <w:tab w:val="left" w:pos="864"/>
                <w:tab w:val="left" w:pos="1152"/>
              </w:tabs>
              <w:spacing w:before="40" w:after="80" w:line="240" w:lineRule="exact"/>
              <w:ind w:left="72" w:right="72"/>
              <w:rPr>
                <w:rFonts w:hint="cs"/>
                <w:i/>
                <w:iCs/>
                <w:sz w:val="16"/>
                <w:szCs w:val="24"/>
                <w:rtl/>
              </w:rPr>
            </w:pPr>
            <w:r w:rsidRPr="00C82422">
              <w:rPr>
                <w:rFonts w:hint="cs"/>
                <w:i/>
                <w:iCs/>
                <w:sz w:val="16"/>
                <w:szCs w:val="24"/>
                <w:rtl/>
              </w:rPr>
              <w:t>الكليات المهنية</w:t>
            </w:r>
          </w:p>
        </w:tc>
        <w:tc>
          <w:tcPr>
            <w:tcW w:w="895" w:type="dxa"/>
            <w:tcBorders>
              <w:bottom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25" w:type="dxa"/>
            <w:tcBorders>
              <w:bottom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0" w:type="dxa"/>
            <w:tcBorders>
              <w:bottom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595" w:type="dxa"/>
            <w:tcBorders>
              <w:bottom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438" w:type="dxa"/>
            <w:tcBorders>
              <w:bottom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C6241B" w:rsidRPr="00C82422">
        <w:tblPrEx>
          <w:tblCellMar>
            <w:top w:w="0" w:type="dxa"/>
            <w:bottom w:w="0" w:type="dxa"/>
          </w:tblCellMar>
        </w:tblPrEx>
        <w:trPr>
          <w:cantSplit/>
          <w:jc w:val="center"/>
        </w:trPr>
        <w:tc>
          <w:tcPr>
            <w:tcW w:w="1651" w:type="dxa"/>
            <w:tcBorders>
              <w:top w:val="single" w:sz="4" w:space="0" w:color="auto"/>
              <w:bottom w:val="single" w:sz="4" w:space="0" w:color="auto"/>
            </w:tcBorders>
            <w:shd w:val="clear" w:color="auto" w:fill="auto"/>
            <w:vAlign w:val="bottom"/>
          </w:tcPr>
          <w:p w:rsidR="00E16904" w:rsidRPr="00C82422" w:rsidRDefault="00E16904" w:rsidP="00C82422">
            <w:pPr>
              <w:tabs>
                <w:tab w:val="left" w:pos="288"/>
                <w:tab w:val="left" w:pos="576"/>
                <w:tab w:val="left" w:pos="864"/>
                <w:tab w:val="left" w:pos="1152"/>
              </w:tabs>
              <w:spacing w:before="60" w:after="60" w:line="240" w:lineRule="exact"/>
              <w:ind w:left="72" w:right="72"/>
              <w:rPr>
                <w:rFonts w:hint="cs"/>
                <w:bCs/>
                <w:sz w:val="16"/>
                <w:szCs w:val="24"/>
                <w:rtl/>
              </w:rPr>
            </w:pPr>
            <w:r w:rsidRPr="00C82422">
              <w:rPr>
                <w:rFonts w:hint="cs"/>
                <w:bCs/>
                <w:sz w:val="16"/>
                <w:szCs w:val="24"/>
                <w:rtl/>
              </w:rPr>
              <w:t>المجموع (العدد)</w:t>
            </w:r>
          </w:p>
        </w:tc>
        <w:tc>
          <w:tcPr>
            <w:tcW w:w="895" w:type="dxa"/>
            <w:tcBorders>
              <w:top w:val="single" w:sz="4" w:space="0" w:color="auto"/>
              <w:bottom w:val="single" w:sz="4" w:space="0" w:color="auto"/>
            </w:tcBorders>
            <w:shd w:val="clear" w:color="auto" w:fill="auto"/>
            <w:vAlign w:val="bottom"/>
          </w:tcPr>
          <w:p w:rsidR="00E16904" w:rsidRPr="00C82422" w:rsidRDefault="00C6241B" w:rsidP="00C82422">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310 75</w:t>
            </w:r>
          </w:p>
        </w:tc>
        <w:tc>
          <w:tcPr>
            <w:tcW w:w="1025" w:type="dxa"/>
            <w:tcBorders>
              <w:top w:val="single" w:sz="4" w:space="0" w:color="auto"/>
              <w:bottom w:val="single" w:sz="4" w:space="0" w:color="auto"/>
            </w:tcBorders>
            <w:shd w:val="clear" w:color="auto" w:fill="auto"/>
            <w:vAlign w:val="bottom"/>
          </w:tcPr>
          <w:p w:rsidR="00E16904" w:rsidRPr="00C82422" w:rsidRDefault="00C6241B" w:rsidP="00C82422">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985 160</w:t>
            </w:r>
          </w:p>
        </w:tc>
        <w:tc>
          <w:tcPr>
            <w:tcW w:w="1040" w:type="dxa"/>
            <w:tcBorders>
              <w:top w:val="single" w:sz="4" w:space="0" w:color="auto"/>
              <w:bottom w:val="single" w:sz="4" w:space="0" w:color="auto"/>
            </w:tcBorders>
            <w:shd w:val="clear" w:color="auto" w:fill="auto"/>
            <w:vAlign w:val="bottom"/>
          </w:tcPr>
          <w:p w:rsidR="00E16904" w:rsidRPr="00C82422" w:rsidRDefault="00C6241B" w:rsidP="00C82422">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828 158</w:t>
            </w:r>
          </w:p>
        </w:tc>
        <w:tc>
          <w:tcPr>
            <w:tcW w:w="1595" w:type="dxa"/>
            <w:tcBorders>
              <w:top w:val="single" w:sz="4" w:space="0" w:color="auto"/>
              <w:bottom w:val="single" w:sz="4" w:space="0" w:color="auto"/>
            </w:tcBorders>
            <w:shd w:val="clear" w:color="auto" w:fill="auto"/>
            <w:vAlign w:val="bottom"/>
          </w:tcPr>
          <w:p w:rsidR="00E16904" w:rsidRPr="00C82422" w:rsidRDefault="00C6241B" w:rsidP="00C82422">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349 161 (ألف)</w:t>
            </w:r>
          </w:p>
        </w:tc>
        <w:tc>
          <w:tcPr>
            <w:tcW w:w="1438" w:type="dxa"/>
            <w:tcBorders>
              <w:top w:val="single" w:sz="4" w:space="0" w:color="auto"/>
              <w:bottom w:val="single" w:sz="4" w:space="0" w:color="auto"/>
            </w:tcBorders>
            <w:shd w:val="clear" w:color="auto" w:fill="auto"/>
            <w:vAlign w:val="bottom"/>
          </w:tcPr>
          <w:p w:rsidR="00E16904" w:rsidRPr="00C82422" w:rsidRDefault="00C6241B" w:rsidP="00C82422">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114.2</w:t>
            </w:r>
          </w:p>
        </w:tc>
      </w:tr>
      <w:tr w:rsidR="00C6241B" w:rsidRPr="00E16904">
        <w:tblPrEx>
          <w:tblCellMar>
            <w:top w:w="0" w:type="dxa"/>
            <w:bottom w:w="0" w:type="dxa"/>
          </w:tblCellMar>
        </w:tblPrEx>
        <w:trPr>
          <w:cantSplit/>
          <w:jc w:val="center"/>
        </w:trPr>
        <w:tc>
          <w:tcPr>
            <w:tcW w:w="1651" w:type="dxa"/>
            <w:tcBorders>
              <w:top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60" w:after="80" w:line="240" w:lineRule="exact"/>
              <w:ind w:left="72" w:right="72"/>
              <w:rPr>
                <w:rFonts w:hint="cs"/>
                <w:sz w:val="16"/>
                <w:szCs w:val="24"/>
                <w:rtl/>
              </w:rPr>
            </w:pPr>
            <w:r>
              <w:rPr>
                <w:rFonts w:hint="cs"/>
                <w:sz w:val="16"/>
                <w:szCs w:val="24"/>
                <w:rtl/>
              </w:rPr>
              <w:t>الذكور</w:t>
            </w:r>
          </w:p>
        </w:tc>
        <w:tc>
          <w:tcPr>
            <w:tcW w:w="895" w:type="dxa"/>
            <w:tcBorders>
              <w:top w:val="single" w:sz="4" w:space="0" w:color="auto"/>
            </w:tcBorders>
            <w:shd w:val="clear" w:color="auto" w:fill="auto"/>
            <w:vAlign w:val="bottom"/>
          </w:tcPr>
          <w:p w:rsidR="00E16904" w:rsidRPr="00E16904" w:rsidRDefault="00C6241B" w:rsidP="00C8242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636 56</w:t>
            </w:r>
          </w:p>
        </w:tc>
        <w:tc>
          <w:tcPr>
            <w:tcW w:w="1025" w:type="dxa"/>
            <w:tcBorders>
              <w:top w:val="single" w:sz="4" w:space="0" w:color="auto"/>
            </w:tcBorders>
            <w:shd w:val="clear" w:color="auto" w:fill="auto"/>
            <w:vAlign w:val="bottom"/>
          </w:tcPr>
          <w:p w:rsidR="00E16904" w:rsidRPr="00E16904" w:rsidRDefault="00C6241B" w:rsidP="00C8242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949 119</w:t>
            </w:r>
          </w:p>
        </w:tc>
        <w:tc>
          <w:tcPr>
            <w:tcW w:w="1040" w:type="dxa"/>
            <w:tcBorders>
              <w:top w:val="single" w:sz="4" w:space="0" w:color="auto"/>
            </w:tcBorders>
            <w:shd w:val="clear" w:color="auto" w:fill="auto"/>
            <w:vAlign w:val="bottom"/>
          </w:tcPr>
          <w:p w:rsidR="00E16904" w:rsidRPr="00E16904" w:rsidRDefault="00C6241B" w:rsidP="00C8242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248 119</w:t>
            </w:r>
          </w:p>
        </w:tc>
        <w:tc>
          <w:tcPr>
            <w:tcW w:w="1595" w:type="dxa"/>
            <w:tcBorders>
              <w:top w:val="single" w:sz="4" w:space="0" w:color="auto"/>
            </w:tcBorders>
            <w:shd w:val="clear" w:color="auto" w:fill="auto"/>
            <w:vAlign w:val="bottom"/>
          </w:tcPr>
          <w:p w:rsidR="00E16904" w:rsidRPr="00E16904" w:rsidRDefault="00C6241B" w:rsidP="00C8242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809 120</w:t>
            </w:r>
          </w:p>
        </w:tc>
        <w:tc>
          <w:tcPr>
            <w:tcW w:w="1438" w:type="dxa"/>
            <w:tcBorders>
              <w:top w:val="single" w:sz="4" w:space="0" w:color="auto"/>
            </w:tcBorders>
            <w:shd w:val="clear" w:color="auto" w:fill="auto"/>
            <w:vAlign w:val="bottom"/>
          </w:tcPr>
          <w:p w:rsidR="00E16904" w:rsidRPr="00E16904" w:rsidRDefault="00C6241B" w:rsidP="00C8242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113.3</w:t>
            </w:r>
          </w:p>
        </w:tc>
      </w:tr>
      <w:tr w:rsidR="00C6241B" w:rsidRPr="00E16904">
        <w:tblPrEx>
          <w:tblCellMar>
            <w:top w:w="0" w:type="dxa"/>
            <w:bottom w:w="0" w:type="dxa"/>
          </w:tblCellMar>
        </w:tblPrEx>
        <w:trPr>
          <w:cantSplit/>
          <w:jc w:val="center"/>
        </w:trPr>
        <w:tc>
          <w:tcPr>
            <w:tcW w:w="1651" w:type="dxa"/>
            <w:shd w:val="clear" w:color="auto" w:fill="auto"/>
            <w:vAlign w:val="bottom"/>
          </w:tcPr>
          <w:p w:rsidR="00E16904" w:rsidRPr="00E16904" w:rsidRDefault="00E16904" w:rsidP="00E16904">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الإناث</w:t>
            </w:r>
          </w:p>
        </w:tc>
        <w:tc>
          <w:tcPr>
            <w:tcW w:w="895" w:type="dxa"/>
            <w:shd w:val="clear" w:color="auto" w:fill="auto"/>
            <w:vAlign w:val="bottom"/>
          </w:tcPr>
          <w:p w:rsidR="00E16904" w:rsidRPr="00E16904" w:rsidRDefault="00C6241B" w:rsidP="00E16904">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674 18</w:t>
            </w:r>
          </w:p>
        </w:tc>
        <w:tc>
          <w:tcPr>
            <w:tcW w:w="1025" w:type="dxa"/>
            <w:shd w:val="clear" w:color="auto" w:fill="auto"/>
            <w:vAlign w:val="bottom"/>
          </w:tcPr>
          <w:p w:rsidR="00E16904" w:rsidRPr="00E16904" w:rsidRDefault="00C6241B" w:rsidP="00E16904">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036 41</w:t>
            </w:r>
          </w:p>
        </w:tc>
        <w:tc>
          <w:tcPr>
            <w:tcW w:w="1040" w:type="dxa"/>
            <w:shd w:val="clear" w:color="auto" w:fill="auto"/>
            <w:vAlign w:val="bottom"/>
          </w:tcPr>
          <w:p w:rsidR="00E16904" w:rsidRPr="00E16904" w:rsidRDefault="00C6241B" w:rsidP="00E16904">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580 39</w:t>
            </w:r>
          </w:p>
        </w:tc>
        <w:tc>
          <w:tcPr>
            <w:tcW w:w="1595" w:type="dxa"/>
            <w:shd w:val="clear" w:color="auto" w:fill="auto"/>
            <w:vAlign w:val="bottom"/>
          </w:tcPr>
          <w:p w:rsidR="00E16904" w:rsidRPr="00E16904" w:rsidRDefault="00C6241B" w:rsidP="00E16904">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540 40</w:t>
            </w:r>
          </w:p>
        </w:tc>
        <w:tc>
          <w:tcPr>
            <w:tcW w:w="1438" w:type="dxa"/>
            <w:shd w:val="clear" w:color="auto" w:fill="auto"/>
            <w:vAlign w:val="bottom"/>
          </w:tcPr>
          <w:p w:rsidR="00E16904" w:rsidRPr="00E16904" w:rsidRDefault="00C6241B" w:rsidP="00E16904">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117.1</w:t>
            </w:r>
          </w:p>
        </w:tc>
      </w:tr>
      <w:tr w:rsidR="00C6241B" w:rsidRPr="00E16904">
        <w:tblPrEx>
          <w:tblCellMar>
            <w:top w:w="0" w:type="dxa"/>
            <w:bottom w:w="0" w:type="dxa"/>
          </w:tblCellMar>
        </w:tblPrEx>
        <w:trPr>
          <w:cantSplit/>
          <w:jc w:val="center"/>
        </w:trPr>
        <w:tc>
          <w:tcPr>
            <w:tcW w:w="1651" w:type="dxa"/>
            <w:tcBorders>
              <w:bottom w:val="single" w:sz="4" w:space="0" w:color="auto"/>
            </w:tcBorders>
            <w:shd w:val="clear" w:color="auto" w:fill="auto"/>
            <w:vAlign w:val="bottom"/>
          </w:tcPr>
          <w:p w:rsidR="00E16904" w:rsidRPr="00C82422" w:rsidRDefault="00E16904" w:rsidP="00C82422">
            <w:pPr>
              <w:tabs>
                <w:tab w:val="left" w:pos="288"/>
                <w:tab w:val="left" w:pos="576"/>
                <w:tab w:val="left" w:pos="864"/>
                <w:tab w:val="left" w:pos="1152"/>
              </w:tabs>
              <w:spacing w:before="40" w:after="80" w:line="240" w:lineRule="exact"/>
              <w:ind w:left="72" w:right="72"/>
              <w:rPr>
                <w:rFonts w:hint="cs"/>
                <w:i/>
                <w:iCs/>
                <w:sz w:val="16"/>
                <w:szCs w:val="24"/>
                <w:rtl/>
              </w:rPr>
            </w:pPr>
            <w:r w:rsidRPr="00C82422">
              <w:rPr>
                <w:rFonts w:hint="cs"/>
                <w:i/>
                <w:iCs/>
                <w:sz w:val="16"/>
                <w:szCs w:val="24"/>
                <w:rtl/>
              </w:rPr>
              <w:t>الجامعات</w:t>
            </w:r>
          </w:p>
        </w:tc>
        <w:tc>
          <w:tcPr>
            <w:tcW w:w="895" w:type="dxa"/>
            <w:tcBorders>
              <w:bottom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25" w:type="dxa"/>
            <w:tcBorders>
              <w:bottom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0" w:type="dxa"/>
            <w:tcBorders>
              <w:bottom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595" w:type="dxa"/>
            <w:tcBorders>
              <w:bottom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438" w:type="dxa"/>
            <w:tcBorders>
              <w:bottom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C6241B" w:rsidRPr="00C82422">
        <w:tblPrEx>
          <w:tblCellMar>
            <w:top w:w="0" w:type="dxa"/>
            <w:bottom w:w="0" w:type="dxa"/>
          </w:tblCellMar>
        </w:tblPrEx>
        <w:trPr>
          <w:cantSplit/>
          <w:jc w:val="center"/>
        </w:trPr>
        <w:tc>
          <w:tcPr>
            <w:tcW w:w="1651" w:type="dxa"/>
            <w:tcBorders>
              <w:top w:val="single" w:sz="4" w:space="0" w:color="auto"/>
              <w:bottom w:val="single" w:sz="4" w:space="0" w:color="auto"/>
            </w:tcBorders>
            <w:shd w:val="clear" w:color="auto" w:fill="auto"/>
            <w:vAlign w:val="bottom"/>
          </w:tcPr>
          <w:p w:rsidR="00E16904" w:rsidRPr="00C82422" w:rsidRDefault="00E16904" w:rsidP="00C82422">
            <w:pPr>
              <w:tabs>
                <w:tab w:val="left" w:pos="288"/>
                <w:tab w:val="left" w:pos="576"/>
                <w:tab w:val="left" w:pos="864"/>
                <w:tab w:val="left" w:pos="1152"/>
              </w:tabs>
              <w:spacing w:before="60" w:after="60" w:line="240" w:lineRule="exact"/>
              <w:ind w:left="72" w:right="72"/>
              <w:rPr>
                <w:rFonts w:hint="cs"/>
                <w:bCs/>
                <w:sz w:val="16"/>
                <w:szCs w:val="24"/>
                <w:rtl/>
              </w:rPr>
            </w:pPr>
            <w:r w:rsidRPr="00C82422">
              <w:rPr>
                <w:rFonts w:hint="cs"/>
                <w:bCs/>
                <w:sz w:val="16"/>
                <w:szCs w:val="24"/>
                <w:rtl/>
              </w:rPr>
              <w:t>المجموع</w:t>
            </w:r>
          </w:p>
        </w:tc>
        <w:tc>
          <w:tcPr>
            <w:tcW w:w="895" w:type="dxa"/>
            <w:tcBorders>
              <w:top w:val="single" w:sz="4" w:space="0" w:color="auto"/>
              <w:bottom w:val="single" w:sz="4" w:space="0" w:color="auto"/>
            </w:tcBorders>
            <w:shd w:val="clear" w:color="auto" w:fill="auto"/>
            <w:vAlign w:val="bottom"/>
          </w:tcPr>
          <w:p w:rsidR="00E16904" w:rsidRPr="00C82422" w:rsidRDefault="00C6241B" w:rsidP="00C82422">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803 67</w:t>
            </w:r>
          </w:p>
        </w:tc>
        <w:tc>
          <w:tcPr>
            <w:tcW w:w="1025" w:type="dxa"/>
            <w:tcBorders>
              <w:top w:val="single" w:sz="4" w:space="0" w:color="auto"/>
              <w:bottom w:val="single" w:sz="4" w:space="0" w:color="auto"/>
            </w:tcBorders>
            <w:shd w:val="clear" w:color="auto" w:fill="auto"/>
            <w:vAlign w:val="bottom"/>
          </w:tcPr>
          <w:p w:rsidR="00E16904" w:rsidRPr="00C82422" w:rsidRDefault="00C6241B" w:rsidP="00C82422">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010 114</w:t>
            </w:r>
          </w:p>
        </w:tc>
        <w:tc>
          <w:tcPr>
            <w:tcW w:w="1040" w:type="dxa"/>
            <w:tcBorders>
              <w:top w:val="single" w:sz="4" w:space="0" w:color="auto"/>
              <w:bottom w:val="single" w:sz="4" w:space="0" w:color="auto"/>
            </w:tcBorders>
            <w:shd w:val="clear" w:color="auto" w:fill="auto"/>
            <w:vAlign w:val="bottom"/>
          </w:tcPr>
          <w:p w:rsidR="00E16904" w:rsidRPr="00C82422" w:rsidRDefault="00C6241B" w:rsidP="00C82422">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944 124</w:t>
            </w:r>
          </w:p>
        </w:tc>
        <w:tc>
          <w:tcPr>
            <w:tcW w:w="1595" w:type="dxa"/>
            <w:tcBorders>
              <w:top w:val="single" w:sz="4" w:space="0" w:color="auto"/>
              <w:bottom w:val="single" w:sz="4" w:space="0" w:color="auto"/>
            </w:tcBorders>
            <w:shd w:val="clear" w:color="auto" w:fill="auto"/>
            <w:vAlign w:val="bottom"/>
          </w:tcPr>
          <w:p w:rsidR="00E16904" w:rsidRPr="00C82422" w:rsidRDefault="00C6241B" w:rsidP="00C82422">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863 117 (ألف)</w:t>
            </w:r>
          </w:p>
        </w:tc>
        <w:tc>
          <w:tcPr>
            <w:tcW w:w="1438" w:type="dxa"/>
            <w:tcBorders>
              <w:top w:val="single" w:sz="4" w:space="0" w:color="auto"/>
              <w:bottom w:val="single" w:sz="4" w:space="0" w:color="auto"/>
            </w:tcBorders>
            <w:shd w:val="clear" w:color="auto" w:fill="auto"/>
            <w:vAlign w:val="bottom"/>
          </w:tcPr>
          <w:p w:rsidR="00E16904" w:rsidRPr="00C82422" w:rsidRDefault="00C6241B" w:rsidP="00C82422">
            <w:pPr>
              <w:tabs>
                <w:tab w:val="left" w:pos="288"/>
                <w:tab w:val="left" w:pos="576"/>
                <w:tab w:val="left" w:pos="864"/>
                <w:tab w:val="left" w:pos="1152"/>
              </w:tabs>
              <w:spacing w:before="60" w:after="60" w:line="240" w:lineRule="exact"/>
              <w:ind w:left="72" w:right="72"/>
              <w:jc w:val="lowKashida"/>
              <w:rPr>
                <w:rFonts w:hint="cs"/>
                <w:bCs/>
                <w:sz w:val="16"/>
                <w:szCs w:val="24"/>
                <w:rtl/>
              </w:rPr>
            </w:pPr>
            <w:r>
              <w:rPr>
                <w:rFonts w:hint="cs"/>
                <w:bCs/>
                <w:sz w:val="16"/>
                <w:szCs w:val="24"/>
                <w:rtl/>
              </w:rPr>
              <w:t>73.8</w:t>
            </w:r>
          </w:p>
        </w:tc>
      </w:tr>
      <w:tr w:rsidR="00C6241B" w:rsidRPr="00E16904">
        <w:tblPrEx>
          <w:tblCellMar>
            <w:top w:w="0" w:type="dxa"/>
            <w:bottom w:w="0" w:type="dxa"/>
          </w:tblCellMar>
        </w:tblPrEx>
        <w:trPr>
          <w:cantSplit/>
          <w:jc w:val="center"/>
        </w:trPr>
        <w:tc>
          <w:tcPr>
            <w:tcW w:w="1651" w:type="dxa"/>
            <w:tcBorders>
              <w:top w:val="single" w:sz="4" w:space="0" w:color="auto"/>
            </w:tcBorders>
            <w:shd w:val="clear" w:color="auto" w:fill="auto"/>
            <w:vAlign w:val="bottom"/>
          </w:tcPr>
          <w:p w:rsidR="00E16904" w:rsidRPr="00E16904" w:rsidRDefault="00E16904" w:rsidP="00C82422">
            <w:pPr>
              <w:tabs>
                <w:tab w:val="left" w:pos="288"/>
                <w:tab w:val="left" w:pos="576"/>
                <w:tab w:val="left" w:pos="864"/>
                <w:tab w:val="left" w:pos="1152"/>
              </w:tabs>
              <w:spacing w:before="60" w:after="80" w:line="240" w:lineRule="exact"/>
              <w:ind w:left="72" w:right="72"/>
              <w:rPr>
                <w:rFonts w:hint="cs"/>
                <w:sz w:val="16"/>
                <w:szCs w:val="24"/>
                <w:rtl/>
              </w:rPr>
            </w:pPr>
            <w:r>
              <w:rPr>
                <w:rFonts w:hint="cs"/>
                <w:sz w:val="16"/>
                <w:szCs w:val="24"/>
                <w:rtl/>
              </w:rPr>
              <w:t>الذكور</w:t>
            </w:r>
          </w:p>
        </w:tc>
        <w:tc>
          <w:tcPr>
            <w:tcW w:w="895" w:type="dxa"/>
            <w:tcBorders>
              <w:top w:val="single" w:sz="4" w:space="0" w:color="auto"/>
            </w:tcBorders>
            <w:shd w:val="clear" w:color="auto" w:fill="auto"/>
            <w:vAlign w:val="bottom"/>
          </w:tcPr>
          <w:p w:rsidR="00E16904" w:rsidRPr="00E16904" w:rsidRDefault="00C6241B" w:rsidP="00C8242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383 56</w:t>
            </w:r>
          </w:p>
        </w:tc>
        <w:tc>
          <w:tcPr>
            <w:tcW w:w="1025" w:type="dxa"/>
            <w:tcBorders>
              <w:top w:val="single" w:sz="4" w:space="0" w:color="auto"/>
            </w:tcBorders>
            <w:shd w:val="clear" w:color="auto" w:fill="auto"/>
            <w:vAlign w:val="bottom"/>
          </w:tcPr>
          <w:p w:rsidR="00E16904" w:rsidRPr="00E16904" w:rsidRDefault="00C6241B" w:rsidP="00C8242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641 86</w:t>
            </w:r>
          </w:p>
        </w:tc>
        <w:tc>
          <w:tcPr>
            <w:tcW w:w="1040" w:type="dxa"/>
            <w:tcBorders>
              <w:top w:val="single" w:sz="4" w:space="0" w:color="auto"/>
            </w:tcBorders>
            <w:shd w:val="clear" w:color="auto" w:fill="auto"/>
            <w:vAlign w:val="bottom"/>
          </w:tcPr>
          <w:p w:rsidR="00E16904" w:rsidRPr="00E16904" w:rsidRDefault="00C6241B" w:rsidP="00C8242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245 88</w:t>
            </w:r>
          </w:p>
        </w:tc>
        <w:tc>
          <w:tcPr>
            <w:tcW w:w="1595" w:type="dxa"/>
            <w:tcBorders>
              <w:top w:val="single" w:sz="4" w:space="0" w:color="auto"/>
            </w:tcBorders>
            <w:shd w:val="clear" w:color="auto" w:fill="auto"/>
            <w:vAlign w:val="bottom"/>
          </w:tcPr>
          <w:p w:rsidR="00E16904" w:rsidRPr="00E16904" w:rsidRDefault="00C6241B" w:rsidP="00C8242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181 78</w:t>
            </w:r>
          </w:p>
        </w:tc>
        <w:tc>
          <w:tcPr>
            <w:tcW w:w="1438" w:type="dxa"/>
            <w:tcBorders>
              <w:top w:val="single" w:sz="4" w:space="0" w:color="auto"/>
            </w:tcBorders>
            <w:shd w:val="clear" w:color="auto" w:fill="auto"/>
            <w:vAlign w:val="bottom"/>
          </w:tcPr>
          <w:p w:rsidR="00E16904" w:rsidRPr="00E16904" w:rsidRDefault="00C6241B" w:rsidP="00C82422">
            <w:pPr>
              <w:tabs>
                <w:tab w:val="left" w:pos="288"/>
                <w:tab w:val="left" w:pos="576"/>
                <w:tab w:val="left" w:pos="864"/>
                <w:tab w:val="left" w:pos="1152"/>
              </w:tabs>
              <w:spacing w:before="60" w:after="80" w:line="240" w:lineRule="exact"/>
              <w:ind w:left="72" w:right="72"/>
              <w:jc w:val="lowKashida"/>
              <w:rPr>
                <w:rFonts w:hint="cs"/>
                <w:sz w:val="16"/>
                <w:szCs w:val="24"/>
                <w:rtl/>
              </w:rPr>
            </w:pPr>
            <w:r>
              <w:rPr>
                <w:rFonts w:hint="cs"/>
                <w:sz w:val="16"/>
                <w:szCs w:val="24"/>
                <w:rtl/>
              </w:rPr>
              <w:t>38.7</w:t>
            </w:r>
          </w:p>
        </w:tc>
      </w:tr>
      <w:tr w:rsidR="00C6241B" w:rsidRPr="00E16904">
        <w:tblPrEx>
          <w:tblCellMar>
            <w:top w:w="0" w:type="dxa"/>
            <w:bottom w:w="0" w:type="dxa"/>
          </w:tblCellMar>
        </w:tblPrEx>
        <w:trPr>
          <w:cantSplit/>
          <w:jc w:val="center"/>
        </w:trPr>
        <w:tc>
          <w:tcPr>
            <w:tcW w:w="1651" w:type="dxa"/>
            <w:tcBorders>
              <w:bottom w:val="single" w:sz="12" w:space="0" w:color="auto"/>
            </w:tcBorders>
            <w:shd w:val="clear" w:color="auto" w:fill="auto"/>
            <w:vAlign w:val="bottom"/>
          </w:tcPr>
          <w:p w:rsidR="00E16904" w:rsidRPr="00E16904" w:rsidRDefault="00E16904" w:rsidP="00E16904">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الإناث</w:t>
            </w:r>
          </w:p>
        </w:tc>
        <w:tc>
          <w:tcPr>
            <w:tcW w:w="895" w:type="dxa"/>
            <w:tcBorders>
              <w:bottom w:val="single" w:sz="12" w:space="0" w:color="auto"/>
            </w:tcBorders>
            <w:shd w:val="clear" w:color="auto" w:fill="auto"/>
            <w:vAlign w:val="bottom"/>
          </w:tcPr>
          <w:p w:rsidR="00E16904" w:rsidRPr="00E16904" w:rsidRDefault="00C6241B" w:rsidP="00E16904">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420 11</w:t>
            </w:r>
          </w:p>
        </w:tc>
        <w:tc>
          <w:tcPr>
            <w:tcW w:w="1025" w:type="dxa"/>
            <w:tcBorders>
              <w:bottom w:val="single" w:sz="12" w:space="0" w:color="auto"/>
            </w:tcBorders>
            <w:shd w:val="clear" w:color="auto" w:fill="auto"/>
            <w:vAlign w:val="bottom"/>
          </w:tcPr>
          <w:p w:rsidR="00E16904" w:rsidRPr="00E16904" w:rsidRDefault="00C6241B" w:rsidP="00E16904">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369 27</w:t>
            </w:r>
          </w:p>
        </w:tc>
        <w:tc>
          <w:tcPr>
            <w:tcW w:w="1040" w:type="dxa"/>
            <w:tcBorders>
              <w:bottom w:val="single" w:sz="12" w:space="0" w:color="auto"/>
            </w:tcBorders>
            <w:shd w:val="clear" w:color="auto" w:fill="auto"/>
            <w:vAlign w:val="bottom"/>
          </w:tcPr>
          <w:p w:rsidR="00E16904" w:rsidRPr="00E16904" w:rsidRDefault="00C6241B" w:rsidP="00E16904">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699 36</w:t>
            </w:r>
          </w:p>
        </w:tc>
        <w:tc>
          <w:tcPr>
            <w:tcW w:w="1595" w:type="dxa"/>
            <w:tcBorders>
              <w:bottom w:val="single" w:sz="12" w:space="0" w:color="auto"/>
            </w:tcBorders>
            <w:shd w:val="clear" w:color="auto" w:fill="auto"/>
            <w:vAlign w:val="bottom"/>
          </w:tcPr>
          <w:p w:rsidR="00E16904" w:rsidRPr="00E16904" w:rsidRDefault="00C6241B" w:rsidP="00E16904">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682 39</w:t>
            </w:r>
          </w:p>
        </w:tc>
        <w:tc>
          <w:tcPr>
            <w:tcW w:w="1438" w:type="dxa"/>
            <w:tcBorders>
              <w:bottom w:val="single" w:sz="12" w:space="0" w:color="auto"/>
            </w:tcBorders>
            <w:shd w:val="clear" w:color="auto" w:fill="auto"/>
            <w:vAlign w:val="bottom"/>
          </w:tcPr>
          <w:p w:rsidR="00E16904" w:rsidRPr="00E16904" w:rsidRDefault="00C6241B" w:rsidP="00E16904">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247.5</w:t>
            </w:r>
          </w:p>
        </w:tc>
      </w:tr>
    </w:tbl>
    <w:p w:rsidR="00E16904" w:rsidRPr="00E16904" w:rsidRDefault="00E16904" w:rsidP="00E16904">
      <w:pPr>
        <w:pStyle w:val="SingleTxt"/>
        <w:spacing w:after="0" w:line="120" w:lineRule="exact"/>
        <w:rPr>
          <w:rFonts w:hint="cs"/>
          <w:sz w:val="10"/>
          <w:rtl/>
        </w:rPr>
      </w:pPr>
    </w:p>
    <w:p w:rsidR="007E1625" w:rsidRPr="00E16904" w:rsidRDefault="00E16904" w:rsidP="00E1690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Pr>
          <w:rFonts w:hint="cs"/>
          <w:i/>
          <w:iCs/>
          <w:rtl/>
        </w:rPr>
        <w:t>المصدر</w:t>
      </w:r>
      <w:r>
        <w:rPr>
          <w:rFonts w:hint="cs"/>
          <w:rtl/>
        </w:rPr>
        <w:t>: نشرة الإحصاءات الشهرية 2 كانون الأول/ديسمبر 2003. مكتب الإحصاءات الاتحادي، الجدول 4-2 (معدل)، ألف = فعلي، سين = مؤقت.</w:t>
      </w:r>
    </w:p>
    <w:p w:rsidR="00E16904" w:rsidRPr="00E16904" w:rsidRDefault="00E16904" w:rsidP="00E16904">
      <w:pPr>
        <w:pStyle w:val="SingleTxt"/>
        <w:spacing w:after="0" w:line="120" w:lineRule="exact"/>
        <w:rPr>
          <w:rFonts w:hint="cs"/>
          <w:sz w:val="10"/>
          <w:rtl/>
        </w:rPr>
      </w:pPr>
    </w:p>
    <w:p w:rsidR="00E16904" w:rsidRDefault="00A83656" w:rsidP="00A83656">
      <w:pPr>
        <w:pStyle w:val="SingleTxt"/>
        <w:spacing w:after="0"/>
        <w:rPr>
          <w:rFonts w:hint="cs"/>
          <w:rtl/>
        </w:rPr>
      </w:pPr>
      <w:r>
        <w:rPr>
          <w:rFonts w:hint="cs"/>
          <w:rtl/>
        </w:rPr>
        <w:t>الجدول 10-7</w:t>
      </w:r>
    </w:p>
    <w:p w:rsidR="00A83656" w:rsidRPr="00A83656" w:rsidRDefault="00A83656" w:rsidP="007E1625">
      <w:pPr>
        <w:pStyle w:val="SingleTxt"/>
        <w:rPr>
          <w:rFonts w:hint="cs"/>
          <w:b/>
          <w:bCs/>
          <w:rtl/>
        </w:rPr>
      </w:pPr>
      <w:r w:rsidRPr="00A83656">
        <w:rPr>
          <w:rFonts w:hint="cs"/>
          <w:b/>
          <w:bCs/>
          <w:rtl/>
        </w:rPr>
        <w:t>عدد المسجلين في الكليات المهنية حسب نوعها ونوع الجنس</w:t>
      </w:r>
    </w:p>
    <w:p w:rsidR="00A83656" w:rsidRPr="00A83656" w:rsidRDefault="00A83656" w:rsidP="00A83656">
      <w:pPr>
        <w:pStyle w:val="SingleTxt"/>
        <w:spacing w:after="0" w:line="120" w:lineRule="exact"/>
        <w:rPr>
          <w:rFonts w:hint="cs"/>
          <w:sz w:val="10"/>
          <w:rtl/>
        </w:rPr>
      </w:pPr>
    </w:p>
    <w:tbl>
      <w:tblPr>
        <w:bidiVisual/>
        <w:tblW w:w="8355" w:type="dxa"/>
        <w:jc w:val="center"/>
        <w:tblInd w:w="1495" w:type="dxa"/>
        <w:tblLayout w:type="fixed"/>
        <w:tblCellMar>
          <w:left w:w="0" w:type="dxa"/>
          <w:right w:w="0" w:type="dxa"/>
        </w:tblCellMar>
        <w:tblLook w:val="0000" w:firstRow="0" w:lastRow="0" w:firstColumn="0" w:lastColumn="0" w:noHBand="0" w:noVBand="0"/>
      </w:tblPr>
      <w:tblGrid>
        <w:gridCol w:w="1315"/>
        <w:gridCol w:w="1040"/>
        <w:gridCol w:w="960"/>
        <w:gridCol w:w="800"/>
        <w:gridCol w:w="720"/>
        <w:gridCol w:w="960"/>
        <w:gridCol w:w="720"/>
        <w:gridCol w:w="880"/>
        <w:gridCol w:w="960"/>
      </w:tblGrid>
      <w:tr w:rsidR="005B1801" w:rsidRPr="005B1801">
        <w:tblPrEx>
          <w:tblCellMar>
            <w:top w:w="0" w:type="dxa"/>
            <w:bottom w:w="0" w:type="dxa"/>
          </w:tblCellMar>
        </w:tblPrEx>
        <w:trPr>
          <w:cantSplit/>
          <w:tblHeader/>
          <w:jc w:val="center"/>
        </w:trPr>
        <w:tc>
          <w:tcPr>
            <w:tcW w:w="1315" w:type="dxa"/>
            <w:tcBorders>
              <w:top w:val="single" w:sz="4" w:space="0" w:color="auto"/>
            </w:tcBorders>
            <w:shd w:val="clear" w:color="auto" w:fill="auto"/>
            <w:tcMar>
              <w:left w:w="0" w:type="dxa"/>
              <w:right w:w="0" w:type="dxa"/>
            </w:tcMar>
            <w:vAlign w:val="bottom"/>
          </w:tcPr>
          <w:p w:rsidR="005B1801" w:rsidRPr="005B1801" w:rsidRDefault="005B1801" w:rsidP="005B1801">
            <w:pPr>
              <w:spacing w:before="80" w:after="80" w:line="240" w:lineRule="exact"/>
              <w:ind w:left="72" w:right="72"/>
              <w:rPr>
                <w:rFonts w:hint="cs"/>
                <w:i/>
                <w:iCs/>
                <w:sz w:val="16"/>
                <w:szCs w:val="24"/>
                <w:rtl/>
              </w:rPr>
            </w:pPr>
          </w:p>
        </w:tc>
        <w:tc>
          <w:tcPr>
            <w:tcW w:w="2000" w:type="dxa"/>
            <w:gridSpan w:val="2"/>
            <w:tcBorders>
              <w:top w:val="single" w:sz="4" w:space="0" w:color="auto"/>
              <w:bottom w:val="single" w:sz="4" w:space="0" w:color="auto"/>
            </w:tcBorders>
            <w:shd w:val="clear" w:color="auto" w:fill="auto"/>
            <w:vAlign w:val="bottom"/>
          </w:tcPr>
          <w:p w:rsidR="005B1801" w:rsidRPr="005B1801" w:rsidRDefault="00733765" w:rsidP="005B1801">
            <w:pPr>
              <w:spacing w:before="80" w:after="80" w:line="240" w:lineRule="exact"/>
              <w:ind w:left="72" w:right="144"/>
              <w:jc w:val="center"/>
              <w:rPr>
                <w:rFonts w:hint="cs"/>
                <w:i/>
                <w:iCs/>
                <w:sz w:val="16"/>
                <w:szCs w:val="24"/>
                <w:rtl/>
              </w:rPr>
            </w:pPr>
            <w:r>
              <w:rPr>
                <w:rFonts w:hint="cs"/>
                <w:i/>
                <w:iCs/>
                <w:sz w:val="16"/>
                <w:szCs w:val="24"/>
                <w:rtl/>
              </w:rPr>
              <w:t>جميع الكليات</w:t>
            </w:r>
          </w:p>
        </w:tc>
        <w:tc>
          <w:tcPr>
            <w:tcW w:w="1520" w:type="dxa"/>
            <w:gridSpan w:val="2"/>
            <w:tcBorders>
              <w:top w:val="single" w:sz="4" w:space="0" w:color="auto"/>
              <w:bottom w:val="single" w:sz="4" w:space="0" w:color="auto"/>
            </w:tcBorders>
            <w:shd w:val="clear" w:color="auto" w:fill="auto"/>
            <w:vAlign w:val="bottom"/>
          </w:tcPr>
          <w:p w:rsidR="005B1801" w:rsidRPr="005B1801" w:rsidRDefault="00733765" w:rsidP="005B1801">
            <w:pPr>
              <w:spacing w:before="80" w:after="80" w:line="240" w:lineRule="exact"/>
              <w:ind w:left="72" w:right="144"/>
              <w:jc w:val="center"/>
              <w:rPr>
                <w:rFonts w:hint="cs"/>
                <w:i/>
                <w:iCs/>
                <w:sz w:val="16"/>
                <w:szCs w:val="24"/>
                <w:rtl/>
              </w:rPr>
            </w:pPr>
            <w:r>
              <w:rPr>
                <w:rFonts w:hint="cs"/>
                <w:i/>
                <w:iCs/>
                <w:sz w:val="16"/>
                <w:szCs w:val="24"/>
                <w:rtl/>
              </w:rPr>
              <w:t>الزراعة</w:t>
            </w:r>
          </w:p>
        </w:tc>
        <w:tc>
          <w:tcPr>
            <w:tcW w:w="1680" w:type="dxa"/>
            <w:gridSpan w:val="2"/>
            <w:tcBorders>
              <w:top w:val="single" w:sz="4" w:space="0" w:color="auto"/>
              <w:bottom w:val="single" w:sz="4" w:space="0" w:color="auto"/>
            </w:tcBorders>
            <w:shd w:val="clear" w:color="auto" w:fill="auto"/>
            <w:vAlign w:val="bottom"/>
          </w:tcPr>
          <w:p w:rsidR="005B1801" w:rsidRPr="005B1801" w:rsidRDefault="00733765" w:rsidP="005B1801">
            <w:pPr>
              <w:spacing w:before="80" w:after="80" w:line="240" w:lineRule="exact"/>
              <w:ind w:left="72" w:right="144"/>
              <w:jc w:val="center"/>
              <w:rPr>
                <w:rFonts w:hint="cs"/>
                <w:i/>
                <w:iCs/>
                <w:sz w:val="16"/>
                <w:szCs w:val="24"/>
                <w:rtl/>
              </w:rPr>
            </w:pPr>
            <w:r>
              <w:rPr>
                <w:rFonts w:hint="cs"/>
                <w:i/>
                <w:iCs/>
                <w:sz w:val="16"/>
                <w:szCs w:val="24"/>
                <w:rtl/>
              </w:rPr>
              <w:t>الهندسة</w:t>
            </w:r>
          </w:p>
        </w:tc>
        <w:tc>
          <w:tcPr>
            <w:tcW w:w="1840" w:type="dxa"/>
            <w:gridSpan w:val="2"/>
            <w:tcBorders>
              <w:top w:val="single" w:sz="4" w:space="0" w:color="auto"/>
              <w:bottom w:val="single" w:sz="4" w:space="0" w:color="auto"/>
            </w:tcBorders>
            <w:shd w:val="clear" w:color="auto" w:fill="auto"/>
            <w:vAlign w:val="bottom"/>
          </w:tcPr>
          <w:p w:rsidR="005B1801" w:rsidRPr="005B1801" w:rsidRDefault="00733765" w:rsidP="005B1801">
            <w:pPr>
              <w:spacing w:before="80" w:after="80" w:line="240" w:lineRule="exact"/>
              <w:ind w:left="72" w:right="144"/>
              <w:jc w:val="center"/>
              <w:rPr>
                <w:rFonts w:hint="cs"/>
                <w:i/>
                <w:iCs/>
                <w:sz w:val="16"/>
                <w:szCs w:val="24"/>
                <w:rtl/>
              </w:rPr>
            </w:pPr>
            <w:r>
              <w:rPr>
                <w:rFonts w:hint="cs"/>
                <w:i/>
                <w:iCs/>
                <w:sz w:val="16"/>
                <w:szCs w:val="24"/>
                <w:rtl/>
              </w:rPr>
              <w:t>الطب</w:t>
            </w:r>
          </w:p>
        </w:tc>
      </w:tr>
      <w:tr w:rsidR="00E674FF" w:rsidRPr="005B1801">
        <w:tblPrEx>
          <w:tblCellMar>
            <w:top w:w="0" w:type="dxa"/>
            <w:bottom w:w="0" w:type="dxa"/>
          </w:tblCellMar>
        </w:tblPrEx>
        <w:trPr>
          <w:cantSplit/>
          <w:tblHeader/>
          <w:jc w:val="center"/>
        </w:trPr>
        <w:tc>
          <w:tcPr>
            <w:tcW w:w="1315" w:type="dxa"/>
            <w:tcBorders>
              <w:bottom w:val="single" w:sz="12" w:space="0" w:color="auto"/>
            </w:tcBorders>
            <w:shd w:val="clear" w:color="auto" w:fill="auto"/>
            <w:vAlign w:val="bottom"/>
          </w:tcPr>
          <w:p w:rsidR="005B1801" w:rsidRPr="005B1801" w:rsidRDefault="005B1801" w:rsidP="005B1801">
            <w:pPr>
              <w:spacing w:after="80" w:line="240" w:lineRule="exact"/>
              <w:ind w:left="72" w:right="72"/>
              <w:rPr>
                <w:rFonts w:hint="cs"/>
                <w:i/>
                <w:iCs/>
                <w:sz w:val="16"/>
                <w:szCs w:val="24"/>
                <w:rtl/>
              </w:rPr>
            </w:pPr>
            <w:r>
              <w:rPr>
                <w:rFonts w:hint="cs"/>
                <w:i/>
                <w:iCs/>
                <w:sz w:val="16"/>
                <w:szCs w:val="24"/>
                <w:rtl/>
              </w:rPr>
              <w:t>السنة</w:t>
            </w:r>
          </w:p>
        </w:tc>
        <w:tc>
          <w:tcPr>
            <w:tcW w:w="1040" w:type="dxa"/>
            <w:tcBorders>
              <w:top w:val="single" w:sz="4" w:space="0" w:color="auto"/>
              <w:bottom w:val="single" w:sz="12" w:space="0" w:color="auto"/>
            </w:tcBorders>
            <w:shd w:val="clear" w:color="auto" w:fill="auto"/>
            <w:vAlign w:val="bottom"/>
          </w:tcPr>
          <w:p w:rsidR="005B1801" w:rsidRPr="005B1801" w:rsidRDefault="005B1801" w:rsidP="005B1801">
            <w:pPr>
              <w:spacing w:after="80" w:line="240" w:lineRule="exact"/>
              <w:ind w:left="72" w:right="144"/>
              <w:jc w:val="lowKashida"/>
              <w:rPr>
                <w:rFonts w:hint="cs"/>
                <w:i/>
                <w:iCs/>
                <w:sz w:val="16"/>
                <w:szCs w:val="24"/>
                <w:rtl/>
              </w:rPr>
            </w:pPr>
            <w:r>
              <w:rPr>
                <w:rFonts w:hint="cs"/>
                <w:i/>
                <w:iCs/>
                <w:sz w:val="16"/>
                <w:szCs w:val="24"/>
                <w:rtl/>
              </w:rPr>
              <w:t>المجموع</w:t>
            </w:r>
          </w:p>
        </w:tc>
        <w:tc>
          <w:tcPr>
            <w:tcW w:w="960" w:type="dxa"/>
            <w:tcBorders>
              <w:top w:val="single" w:sz="4" w:space="0" w:color="auto"/>
              <w:bottom w:val="single" w:sz="12" w:space="0" w:color="auto"/>
            </w:tcBorders>
            <w:shd w:val="clear" w:color="auto" w:fill="auto"/>
            <w:vAlign w:val="bottom"/>
          </w:tcPr>
          <w:p w:rsidR="005B1801" w:rsidRPr="005B1801" w:rsidRDefault="005B1801" w:rsidP="005B1801">
            <w:pPr>
              <w:spacing w:after="80" w:line="240" w:lineRule="exact"/>
              <w:ind w:left="72" w:right="144"/>
              <w:jc w:val="lowKashida"/>
              <w:rPr>
                <w:rFonts w:hint="cs"/>
                <w:i/>
                <w:iCs/>
                <w:sz w:val="16"/>
                <w:szCs w:val="24"/>
                <w:rtl/>
              </w:rPr>
            </w:pPr>
            <w:r>
              <w:rPr>
                <w:rFonts w:hint="cs"/>
                <w:i/>
                <w:iCs/>
                <w:sz w:val="16"/>
                <w:szCs w:val="24"/>
                <w:rtl/>
              </w:rPr>
              <w:t>إناث</w:t>
            </w:r>
          </w:p>
        </w:tc>
        <w:tc>
          <w:tcPr>
            <w:tcW w:w="800" w:type="dxa"/>
            <w:tcBorders>
              <w:top w:val="single" w:sz="4" w:space="0" w:color="auto"/>
              <w:bottom w:val="single" w:sz="12" w:space="0" w:color="auto"/>
            </w:tcBorders>
            <w:shd w:val="clear" w:color="auto" w:fill="auto"/>
            <w:vAlign w:val="bottom"/>
          </w:tcPr>
          <w:p w:rsidR="005B1801" w:rsidRPr="005B1801" w:rsidRDefault="005B1801" w:rsidP="005B1801">
            <w:pPr>
              <w:spacing w:after="80" w:line="240" w:lineRule="exact"/>
              <w:ind w:left="72" w:right="144"/>
              <w:jc w:val="lowKashida"/>
              <w:rPr>
                <w:rFonts w:hint="cs"/>
                <w:i/>
                <w:iCs/>
                <w:sz w:val="16"/>
                <w:szCs w:val="24"/>
                <w:rtl/>
              </w:rPr>
            </w:pPr>
            <w:r>
              <w:rPr>
                <w:rFonts w:hint="cs"/>
                <w:i/>
                <w:iCs/>
                <w:sz w:val="16"/>
                <w:szCs w:val="24"/>
                <w:rtl/>
              </w:rPr>
              <w:t>المجموع</w:t>
            </w:r>
          </w:p>
        </w:tc>
        <w:tc>
          <w:tcPr>
            <w:tcW w:w="720" w:type="dxa"/>
            <w:tcBorders>
              <w:top w:val="single" w:sz="4" w:space="0" w:color="auto"/>
              <w:bottom w:val="single" w:sz="12" w:space="0" w:color="auto"/>
            </w:tcBorders>
            <w:shd w:val="clear" w:color="auto" w:fill="auto"/>
            <w:vAlign w:val="bottom"/>
          </w:tcPr>
          <w:p w:rsidR="005B1801" w:rsidRPr="005B1801" w:rsidRDefault="005B1801" w:rsidP="005B1801">
            <w:pPr>
              <w:spacing w:after="80" w:line="240" w:lineRule="exact"/>
              <w:ind w:left="72" w:right="144"/>
              <w:jc w:val="lowKashida"/>
              <w:rPr>
                <w:rFonts w:hint="cs"/>
                <w:i/>
                <w:iCs/>
                <w:sz w:val="16"/>
                <w:szCs w:val="24"/>
                <w:rtl/>
              </w:rPr>
            </w:pPr>
            <w:r>
              <w:rPr>
                <w:rFonts w:hint="cs"/>
                <w:i/>
                <w:iCs/>
                <w:sz w:val="16"/>
                <w:szCs w:val="24"/>
                <w:rtl/>
              </w:rPr>
              <w:t>إناث</w:t>
            </w:r>
          </w:p>
        </w:tc>
        <w:tc>
          <w:tcPr>
            <w:tcW w:w="960" w:type="dxa"/>
            <w:tcBorders>
              <w:top w:val="single" w:sz="4" w:space="0" w:color="auto"/>
              <w:bottom w:val="single" w:sz="12" w:space="0" w:color="auto"/>
            </w:tcBorders>
            <w:shd w:val="clear" w:color="auto" w:fill="auto"/>
            <w:vAlign w:val="bottom"/>
          </w:tcPr>
          <w:p w:rsidR="005B1801" w:rsidRPr="005B1801" w:rsidRDefault="005B1801" w:rsidP="005B1801">
            <w:pPr>
              <w:spacing w:after="80" w:line="240" w:lineRule="exact"/>
              <w:ind w:left="72" w:right="144"/>
              <w:jc w:val="lowKashida"/>
              <w:rPr>
                <w:rFonts w:hint="cs"/>
                <w:i/>
                <w:iCs/>
                <w:sz w:val="16"/>
                <w:szCs w:val="24"/>
                <w:rtl/>
              </w:rPr>
            </w:pPr>
            <w:r>
              <w:rPr>
                <w:rFonts w:hint="cs"/>
                <w:i/>
                <w:iCs/>
                <w:sz w:val="16"/>
                <w:szCs w:val="24"/>
                <w:rtl/>
              </w:rPr>
              <w:t>المجموع</w:t>
            </w:r>
          </w:p>
        </w:tc>
        <w:tc>
          <w:tcPr>
            <w:tcW w:w="720" w:type="dxa"/>
            <w:tcBorders>
              <w:top w:val="single" w:sz="4" w:space="0" w:color="auto"/>
              <w:bottom w:val="single" w:sz="12" w:space="0" w:color="auto"/>
            </w:tcBorders>
            <w:shd w:val="clear" w:color="auto" w:fill="auto"/>
            <w:vAlign w:val="bottom"/>
          </w:tcPr>
          <w:p w:rsidR="005B1801" w:rsidRPr="005B1801" w:rsidRDefault="005B1801" w:rsidP="005B1801">
            <w:pPr>
              <w:spacing w:after="80" w:line="240" w:lineRule="exact"/>
              <w:ind w:left="72" w:right="144"/>
              <w:jc w:val="lowKashida"/>
              <w:rPr>
                <w:rFonts w:hint="cs"/>
                <w:i/>
                <w:iCs/>
                <w:sz w:val="16"/>
                <w:szCs w:val="24"/>
                <w:rtl/>
              </w:rPr>
            </w:pPr>
            <w:r>
              <w:rPr>
                <w:rFonts w:hint="cs"/>
                <w:i/>
                <w:iCs/>
                <w:sz w:val="16"/>
                <w:szCs w:val="24"/>
                <w:rtl/>
              </w:rPr>
              <w:t>إناث</w:t>
            </w:r>
          </w:p>
        </w:tc>
        <w:tc>
          <w:tcPr>
            <w:tcW w:w="880" w:type="dxa"/>
            <w:tcBorders>
              <w:top w:val="single" w:sz="4" w:space="0" w:color="auto"/>
              <w:bottom w:val="single" w:sz="12" w:space="0" w:color="auto"/>
            </w:tcBorders>
            <w:shd w:val="clear" w:color="auto" w:fill="auto"/>
            <w:vAlign w:val="bottom"/>
          </w:tcPr>
          <w:p w:rsidR="005B1801" w:rsidRPr="005B1801" w:rsidRDefault="005B1801" w:rsidP="005B1801">
            <w:pPr>
              <w:spacing w:after="80" w:line="240" w:lineRule="exact"/>
              <w:ind w:left="72" w:right="144"/>
              <w:jc w:val="lowKashida"/>
              <w:rPr>
                <w:rFonts w:hint="cs"/>
                <w:i/>
                <w:iCs/>
                <w:sz w:val="16"/>
                <w:szCs w:val="24"/>
                <w:rtl/>
              </w:rPr>
            </w:pPr>
            <w:r>
              <w:rPr>
                <w:rFonts w:hint="cs"/>
                <w:i/>
                <w:iCs/>
                <w:sz w:val="16"/>
                <w:szCs w:val="24"/>
                <w:rtl/>
              </w:rPr>
              <w:t>المجموع</w:t>
            </w:r>
          </w:p>
        </w:tc>
        <w:tc>
          <w:tcPr>
            <w:tcW w:w="960" w:type="dxa"/>
            <w:tcBorders>
              <w:top w:val="single" w:sz="4" w:space="0" w:color="auto"/>
              <w:bottom w:val="single" w:sz="12" w:space="0" w:color="auto"/>
            </w:tcBorders>
            <w:shd w:val="clear" w:color="auto" w:fill="auto"/>
            <w:vAlign w:val="bottom"/>
          </w:tcPr>
          <w:p w:rsidR="005B1801" w:rsidRPr="005B1801" w:rsidRDefault="005B1801" w:rsidP="005B1801">
            <w:pPr>
              <w:spacing w:after="80" w:line="240" w:lineRule="exact"/>
              <w:ind w:left="72" w:right="144"/>
              <w:jc w:val="lowKashida"/>
              <w:rPr>
                <w:rFonts w:hint="cs"/>
                <w:i/>
                <w:iCs/>
                <w:sz w:val="16"/>
                <w:szCs w:val="24"/>
                <w:rtl/>
              </w:rPr>
            </w:pPr>
            <w:r>
              <w:rPr>
                <w:rFonts w:hint="cs"/>
                <w:i/>
                <w:iCs/>
                <w:sz w:val="16"/>
                <w:szCs w:val="24"/>
                <w:rtl/>
              </w:rPr>
              <w:t>إناث</w:t>
            </w:r>
          </w:p>
        </w:tc>
      </w:tr>
      <w:tr w:rsidR="00E674FF" w:rsidRPr="005B1801">
        <w:tblPrEx>
          <w:tblCellMar>
            <w:top w:w="0" w:type="dxa"/>
            <w:bottom w:w="0" w:type="dxa"/>
          </w:tblCellMar>
        </w:tblPrEx>
        <w:trPr>
          <w:cantSplit/>
          <w:trHeight w:hRule="exact" w:val="115"/>
          <w:tblHeader/>
          <w:jc w:val="center"/>
        </w:trPr>
        <w:tc>
          <w:tcPr>
            <w:tcW w:w="1315" w:type="dxa"/>
            <w:tcBorders>
              <w:top w:val="single" w:sz="12" w:space="0" w:color="auto"/>
            </w:tcBorders>
            <w:shd w:val="clear" w:color="auto" w:fill="auto"/>
            <w:vAlign w:val="bottom"/>
          </w:tcPr>
          <w:p w:rsidR="005B1801" w:rsidRPr="005B1801" w:rsidRDefault="005B1801" w:rsidP="005B1801">
            <w:pPr>
              <w:spacing w:before="40" w:after="80" w:line="240" w:lineRule="exact"/>
              <w:ind w:left="72" w:right="72"/>
              <w:rPr>
                <w:rFonts w:hint="cs"/>
                <w:sz w:val="16"/>
                <w:szCs w:val="24"/>
                <w:rtl/>
              </w:rPr>
            </w:pPr>
          </w:p>
        </w:tc>
        <w:tc>
          <w:tcPr>
            <w:tcW w:w="1040" w:type="dxa"/>
            <w:tcBorders>
              <w:top w:val="single" w:sz="12" w:space="0" w:color="auto"/>
            </w:tcBorders>
            <w:shd w:val="clear" w:color="auto" w:fill="auto"/>
            <w:vAlign w:val="bottom"/>
          </w:tcPr>
          <w:p w:rsidR="005B1801" w:rsidRPr="005B1801" w:rsidRDefault="005B1801" w:rsidP="005B1801">
            <w:pPr>
              <w:spacing w:before="40" w:after="80" w:line="240" w:lineRule="exact"/>
              <w:ind w:left="72" w:right="144"/>
              <w:jc w:val="lowKashida"/>
              <w:rPr>
                <w:rFonts w:hint="cs"/>
                <w:sz w:val="16"/>
                <w:szCs w:val="24"/>
                <w:rtl/>
              </w:rPr>
            </w:pPr>
          </w:p>
        </w:tc>
        <w:tc>
          <w:tcPr>
            <w:tcW w:w="960" w:type="dxa"/>
            <w:tcBorders>
              <w:top w:val="single" w:sz="12" w:space="0" w:color="auto"/>
            </w:tcBorders>
            <w:shd w:val="clear" w:color="auto" w:fill="auto"/>
            <w:vAlign w:val="bottom"/>
          </w:tcPr>
          <w:p w:rsidR="005B1801" w:rsidRPr="005B1801" w:rsidRDefault="005B1801" w:rsidP="005B1801">
            <w:pPr>
              <w:spacing w:before="40" w:after="80" w:line="240" w:lineRule="exact"/>
              <w:ind w:left="72" w:right="144"/>
              <w:jc w:val="lowKashida"/>
              <w:rPr>
                <w:rFonts w:hint="cs"/>
                <w:sz w:val="16"/>
                <w:szCs w:val="24"/>
                <w:rtl/>
              </w:rPr>
            </w:pPr>
          </w:p>
        </w:tc>
        <w:tc>
          <w:tcPr>
            <w:tcW w:w="800" w:type="dxa"/>
            <w:tcBorders>
              <w:top w:val="single" w:sz="12" w:space="0" w:color="auto"/>
            </w:tcBorders>
            <w:shd w:val="clear" w:color="auto" w:fill="auto"/>
            <w:vAlign w:val="bottom"/>
          </w:tcPr>
          <w:p w:rsidR="005B1801" w:rsidRPr="005B1801" w:rsidRDefault="005B1801" w:rsidP="005B1801">
            <w:pPr>
              <w:spacing w:before="40" w:after="80" w:line="240" w:lineRule="exact"/>
              <w:ind w:left="72" w:right="144"/>
              <w:jc w:val="lowKashida"/>
              <w:rPr>
                <w:rFonts w:hint="cs"/>
                <w:sz w:val="16"/>
                <w:szCs w:val="24"/>
                <w:rtl/>
              </w:rPr>
            </w:pPr>
          </w:p>
        </w:tc>
        <w:tc>
          <w:tcPr>
            <w:tcW w:w="720" w:type="dxa"/>
            <w:tcBorders>
              <w:top w:val="single" w:sz="12" w:space="0" w:color="auto"/>
            </w:tcBorders>
            <w:shd w:val="clear" w:color="auto" w:fill="auto"/>
            <w:vAlign w:val="bottom"/>
          </w:tcPr>
          <w:p w:rsidR="005B1801" w:rsidRPr="005B1801" w:rsidRDefault="005B1801" w:rsidP="005B1801">
            <w:pPr>
              <w:spacing w:before="40" w:after="80" w:line="240" w:lineRule="exact"/>
              <w:ind w:left="72" w:right="144"/>
              <w:jc w:val="lowKashida"/>
              <w:rPr>
                <w:rFonts w:hint="cs"/>
                <w:sz w:val="16"/>
                <w:szCs w:val="24"/>
                <w:rtl/>
              </w:rPr>
            </w:pPr>
          </w:p>
        </w:tc>
        <w:tc>
          <w:tcPr>
            <w:tcW w:w="960" w:type="dxa"/>
            <w:tcBorders>
              <w:top w:val="single" w:sz="12" w:space="0" w:color="auto"/>
            </w:tcBorders>
            <w:shd w:val="clear" w:color="auto" w:fill="auto"/>
            <w:vAlign w:val="bottom"/>
          </w:tcPr>
          <w:p w:rsidR="005B1801" w:rsidRPr="005B1801" w:rsidRDefault="005B1801" w:rsidP="005B1801">
            <w:pPr>
              <w:spacing w:before="40" w:after="80" w:line="240" w:lineRule="exact"/>
              <w:ind w:left="72" w:right="144"/>
              <w:jc w:val="lowKashida"/>
              <w:rPr>
                <w:rFonts w:hint="cs"/>
                <w:sz w:val="16"/>
                <w:szCs w:val="24"/>
                <w:rtl/>
              </w:rPr>
            </w:pPr>
          </w:p>
        </w:tc>
        <w:tc>
          <w:tcPr>
            <w:tcW w:w="720" w:type="dxa"/>
            <w:tcBorders>
              <w:top w:val="single" w:sz="12" w:space="0" w:color="auto"/>
            </w:tcBorders>
            <w:shd w:val="clear" w:color="auto" w:fill="auto"/>
            <w:vAlign w:val="bottom"/>
          </w:tcPr>
          <w:p w:rsidR="005B1801" w:rsidRPr="005B1801" w:rsidRDefault="005B1801" w:rsidP="005B1801">
            <w:pPr>
              <w:spacing w:before="40" w:after="80" w:line="240" w:lineRule="exact"/>
              <w:ind w:left="72" w:right="144"/>
              <w:jc w:val="lowKashida"/>
              <w:rPr>
                <w:rFonts w:hint="cs"/>
                <w:sz w:val="16"/>
                <w:szCs w:val="24"/>
                <w:rtl/>
              </w:rPr>
            </w:pPr>
          </w:p>
        </w:tc>
        <w:tc>
          <w:tcPr>
            <w:tcW w:w="880" w:type="dxa"/>
            <w:tcBorders>
              <w:top w:val="single" w:sz="12" w:space="0" w:color="auto"/>
            </w:tcBorders>
            <w:shd w:val="clear" w:color="auto" w:fill="auto"/>
            <w:vAlign w:val="bottom"/>
          </w:tcPr>
          <w:p w:rsidR="005B1801" w:rsidRPr="005B1801" w:rsidRDefault="005B1801" w:rsidP="005B1801">
            <w:pPr>
              <w:spacing w:before="40" w:after="80" w:line="240" w:lineRule="exact"/>
              <w:ind w:left="72" w:right="144"/>
              <w:jc w:val="lowKashida"/>
              <w:rPr>
                <w:rFonts w:hint="cs"/>
                <w:sz w:val="16"/>
                <w:szCs w:val="24"/>
                <w:rtl/>
              </w:rPr>
            </w:pPr>
          </w:p>
        </w:tc>
        <w:tc>
          <w:tcPr>
            <w:tcW w:w="960" w:type="dxa"/>
            <w:tcBorders>
              <w:top w:val="single" w:sz="12" w:space="0" w:color="auto"/>
            </w:tcBorders>
            <w:shd w:val="clear" w:color="auto" w:fill="auto"/>
            <w:vAlign w:val="bottom"/>
          </w:tcPr>
          <w:p w:rsidR="005B1801" w:rsidRPr="005B1801" w:rsidRDefault="005B1801" w:rsidP="005B1801">
            <w:pPr>
              <w:spacing w:before="40" w:after="80" w:line="240" w:lineRule="exact"/>
              <w:ind w:left="72" w:right="144"/>
              <w:jc w:val="lowKashida"/>
              <w:rPr>
                <w:rFonts w:hint="cs"/>
                <w:sz w:val="16"/>
                <w:szCs w:val="24"/>
                <w:rtl/>
              </w:rPr>
            </w:pPr>
          </w:p>
        </w:tc>
      </w:tr>
      <w:tr w:rsidR="00E674FF" w:rsidRPr="005B1801">
        <w:tblPrEx>
          <w:tblCellMar>
            <w:top w:w="0" w:type="dxa"/>
            <w:bottom w:w="0" w:type="dxa"/>
          </w:tblCellMar>
        </w:tblPrEx>
        <w:trPr>
          <w:cantSplit/>
          <w:jc w:val="center"/>
        </w:trPr>
        <w:tc>
          <w:tcPr>
            <w:tcW w:w="1315" w:type="dxa"/>
            <w:shd w:val="clear" w:color="auto" w:fill="auto"/>
            <w:vAlign w:val="bottom"/>
          </w:tcPr>
          <w:p w:rsidR="005B1801" w:rsidRPr="005B1801" w:rsidRDefault="00733765" w:rsidP="005B1801">
            <w:pPr>
              <w:spacing w:before="40" w:after="80" w:line="240" w:lineRule="exact"/>
              <w:ind w:left="72" w:right="72"/>
              <w:rPr>
                <w:rFonts w:hint="cs"/>
                <w:sz w:val="16"/>
                <w:szCs w:val="24"/>
                <w:rtl/>
              </w:rPr>
            </w:pPr>
            <w:r>
              <w:rPr>
                <w:rFonts w:hint="cs"/>
                <w:sz w:val="16"/>
                <w:szCs w:val="24"/>
                <w:rtl/>
              </w:rPr>
              <w:t>1997-1998</w:t>
            </w:r>
          </w:p>
        </w:tc>
        <w:tc>
          <w:tcPr>
            <w:tcW w:w="1040" w:type="dxa"/>
            <w:shd w:val="clear" w:color="auto" w:fill="auto"/>
            <w:vAlign w:val="bottom"/>
          </w:tcPr>
          <w:p w:rsidR="005B1801" w:rsidRPr="005B1801" w:rsidRDefault="00E674FF" w:rsidP="005B1801">
            <w:pPr>
              <w:spacing w:before="40" w:after="80" w:line="240" w:lineRule="exact"/>
              <w:ind w:left="72" w:right="144"/>
              <w:jc w:val="lowKashida"/>
              <w:rPr>
                <w:rFonts w:hint="cs"/>
                <w:sz w:val="16"/>
                <w:szCs w:val="24"/>
                <w:rtl/>
              </w:rPr>
            </w:pPr>
            <w:r>
              <w:rPr>
                <w:rFonts w:hint="cs"/>
                <w:sz w:val="16"/>
                <w:szCs w:val="24"/>
                <w:rtl/>
              </w:rPr>
              <w:t>239 162</w:t>
            </w:r>
          </w:p>
        </w:tc>
        <w:tc>
          <w:tcPr>
            <w:tcW w:w="960" w:type="dxa"/>
            <w:shd w:val="clear" w:color="auto" w:fill="auto"/>
            <w:vAlign w:val="bottom"/>
          </w:tcPr>
          <w:p w:rsidR="005B1801" w:rsidRPr="00E674FF" w:rsidRDefault="00E674FF" w:rsidP="005B1801">
            <w:pPr>
              <w:spacing w:before="40" w:after="80" w:line="240" w:lineRule="exact"/>
              <w:ind w:left="72" w:right="144"/>
              <w:jc w:val="lowKashida"/>
              <w:rPr>
                <w:rFonts w:hint="cs"/>
                <w:b/>
                <w:bCs/>
                <w:sz w:val="16"/>
                <w:szCs w:val="24"/>
                <w:rtl/>
              </w:rPr>
            </w:pPr>
            <w:r w:rsidRPr="00E674FF">
              <w:rPr>
                <w:rFonts w:hint="cs"/>
                <w:b/>
                <w:bCs/>
                <w:sz w:val="16"/>
                <w:szCs w:val="24"/>
                <w:rtl/>
              </w:rPr>
              <w:t>659 40</w:t>
            </w:r>
          </w:p>
        </w:tc>
        <w:tc>
          <w:tcPr>
            <w:tcW w:w="800" w:type="dxa"/>
            <w:shd w:val="clear" w:color="auto" w:fill="auto"/>
            <w:vAlign w:val="bottom"/>
          </w:tcPr>
          <w:p w:rsidR="005B1801" w:rsidRPr="005B1801" w:rsidRDefault="00E674FF" w:rsidP="005B1801">
            <w:pPr>
              <w:spacing w:before="40" w:after="80" w:line="240" w:lineRule="exact"/>
              <w:ind w:left="72" w:right="144"/>
              <w:jc w:val="lowKashida"/>
              <w:rPr>
                <w:rFonts w:hint="cs"/>
                <w:sz w:val="16"/>
                <w:szCs w:val="24"/>
                <w:rtl/>
              </w:rPr>
            </w:pPr>
            <w:r>
              <w:rPr>
                <w:rFonts w:hint="cs"/>
                <w:sz w:val="16"/>
                <w:szCs w:val="24"/>
                <w:rtl/>
              </w:rPr>
              <w:t>317 1</w:t>
            </w:r>
          </w:p>
        </w:tc>
        <w:tc>
          <w:tcPr>
            <w:tcW w:w="720" w:type="dxa"/>
            <w:shd w:val="clear" w:color="auto" w:fill="auto"/>
            <w:vAlign w:val="bottom"/>
          </w:tcPr>
          <w:p w:rsidR="005B1801" w:rsidRPr="00E674FF" w:rsidRDefault="00E674FF" w:rsidP="005B1801">
            <w:pPr>
              <w:spacing w:before="40" w:after="80" w:line="240" w:lineRule="exact"/>
              <w:ind w:left="72" w:right="144"/>
              <w:jc w:val="lowKashida"/>
              <w:rPr>
                <w:rFonts w:hint="cs"/>
                <w:b/>
                <w:bCs/>
                <w:sz w:val="16"/>
                <w:szCs w:val="24"/>
                <w:rtl/>
              </w:rPr>
            </w:pPr>
            <w:r>
              <w:rPr>
                <w:rFonts w:hint="cs"/>
                <w:b/>
                <w:bCs/>
                <w:sz w:val="16"/>
                <w:szCs w:val="24"/>
                <w:rtl/>
              </w:rPr>
              <w:t>104</w:t>
            </w:r>
          </w:p>
        </w:tc>
        <w:tc>
          <w:tcPr>
            <w:tcW w:w="960" w:type="dxa"/>
            <w:shd w:val="clear" w:color="auto" w:fill="auto"/>
            <w:vAlign w:val="bottom"/>
          </w:tcPr>
          <w:p w:rsidR="005B1801" w:rsidRPr="005B1801" w:rsidRDefault="00E674FF" w:rsidP="005B1801">
            <w:pPr>
              <w:spacing w:before="40" w:after="80" w:line="240" w:lineRule="exact"/>
              <w:ind w:left="72" w:right="144"/>
              <w:jc w:val="lowKashida"/>
              <w:rPr>
                <w:rFonts w:hint="cs"/>
                <w:sz w:val="16"/>
                <w:szCs w:val="24"/>
                <w:rtl/>
              </w:rPr>
            </w:pPr>
            <w:r>
              <w:rPr>
                <w:rFonts w:hint="cs"/>
                <w:sz w:val="16"/>
                <w:szCs w:val="24"/>
                <w:rtl/>
              </w:rPr>
              <w:t>441 12</w:t>
            </w:r>
          </w:p>
        </w:tc>
        <w:tc>
          <w:tcPr>
            <w:tcW w:w="720" w:type="dxa"/>
            <w:shd w:val="clear" w:color="auto" w:fill="auto"/>
            <w:vAlign w:val="bottom"/>
          </w:tcPr>
          <w:p w:rsidR="005B1801" w:rsidRPr="00E674FF" w:rsidRDefault="00E674FF" w:rsidP="005B1801">
            <w:pPr>
              <w:spacing w:before="40" w:after="80" w:line="240" w:lineRule="exact"/>
              <w:ind w:left="72" w:right="144"/>
              <w:jc w:val="lowKashida"/>
              <w:rPr>
                <w:rFonts w:hint="cs"/>
                <w:b/>
                <w:bCs/>
                <w:sz w:val="16"/>
                <w:szCs w:val="24"/>
                <w:rtl/>
              </w:rPr>
            </w:pPr>
            <w:r>
              <w:rPr>
                <w:rFonts w:hint="cs"/>
                <w:b/>
                <w:bCs/>
                <w:sz w:val="16"/>
                <w:szCs w:val="24"/>
                <w:rtl/>
              </w:rPr>
              <w:t>180</w:t>
            </w:r>
          </w:p>
        </w:tc>
        <w:tc>
          <w:tcPr>
            <w:tcW w:w="880" w:type="dxa"/>
            <w:shd w:val="clear" w:color="auto" w:fill="auto"/>
            <w:vAlign w:val="bottom"/>
          </w:tcPr>
          <w:p w:rsidR="005B1801" w:rsidRPr="005B1801" w:rsidRDefault="00E674FF" w:rsidP="005B1801">
            <w:pPr>
              <w:spacing w:before="40" w:after="80" w:line="240" w:lineRule="exact"/>
              <w:ind w:left="72" w:right="144"/>
              <w:jc w:val="lowKashida"/>
              <w:rPr>
                <w:rFonts w:hint="cs"/>
                <w:sz w:val="16"/>
                <w:szCs w:val="24"/>
                <w:rtl/>
              </w:rPr>
            </w:pPr>
            <w:r>
              <w:rPr>
                <w:rFonts w:hint="cs"/>
                <w:sz w:val="16"/>
                <w:szCs w:val="24"/>
                <w:rtl/>
              </w:rPr>
              <w:t>795 25</w:t>
            </w:r>
          </w:p>
        </w:tc>
        <w:tc>
          <w:tcPr>
            <w:tcW w:w="960" w:type="dxa"/>
            <w:shd w:val="clear" w:color="auto" w:fill="auto"/>
            <w:vAlign w:val="bottom"/>
          </w:tcPr>
          <w:p w:rsidR="005B1801" w:rsidRPr="00E674FF" w:rsidRDefault="00E674FF" w:rsidP="005B1801">
            <w:pPr>
              <w:spacing w:before="40" w:after="80" w:line="240" w:lineRule="exact"/>
              <w:ind w:left="72" w:right="144"/>
              <w:jc w:val="lowKashida"/>
              <w:rPr>
                <w:rFonts w:hint="cs"/>
                <w:b/>
                <w:bCs/>
                <w:sz w:val="16"/>
                <w:szCs w:val="24"/>
                <w:rtl/>
              </w:rPr>
            </w:pPr>
            <w:r>
              <w:rPr>
                <w:rFonts w:hint="cs"/>
                <w:b/>
                <w:bCs/>
                <w:sz w:val="16"/>
                <w:szCs w:val="24"/>
                <w:rtl/>
              </w:rPr>
              <w:t>675 12</w:t>
            </w:r>
          </w:p>
        </w:tc>
      </w:tr>
      <w:tr w:rsidR="00E674FF" w:rsidRPr="005B1801">
        <w:tblPrEx>
          <w:tblCellMar>
            <w:top w:w="0" w:type="dxa"/>
            <w:bottom w:w="0" w:type="dxa"/>
          </w:tblCellMar>
        </w:tblPrEx>
        <w:trPr>
          <w:cantSplit/>
          <w:jc w:val="center"/>
        </w:trPr>
        <w:tc>
          <w:tcPr>
            <w:tcW w:w="1315" w:type="dxa"/>
            <w:shd w:val="clear" w:color="auto" w:fill="auto"/>
            <w:vAlign w:val="bottom"/>
          </w:tcPr>
          <w:p w:rsidR="005B1801" w:rsidRPr="005B1801" w:rsidRDefault="00733765" w:rsidP="005B1801">
            <w:pPr>
              <w:spacing w:before="40" w:after="80" w:line="240" w:lineRule="exact"/>
              <w:ind w:left="72" w:right="72"/>
              <w:rPr>
                <w:rFonts w:hint="cs"/>
                <w:sz w:val="16"/>
                <w:szCs w:val="24"/>
                <w:rtl/>
              </w:rPr>
            </w:pPr>
            <w:r>
              <w:rPr>
                <w:rFonts w:hint="cs"/>
                <w:sz w:val="16"/>
                <w:szCs w:val="24"/>
                <w:rtl/>
              </w:rPr>
              <w:t>1999-2000</w:t>
            </w:r>
          </w:p>
        </w:tc>
        <w:tc>
          <w:tcPr>
            <w:tcW w:w="1040" w:type="dxa"/>
            <w:shd w:val="clear" w:color="auto" w:fill="auto"/>
            <w:vAlign w:val="bottom"/>
          </w:tcPr>
          <w:p w:rsidR="005B1801" w:rsidRPr="005B1801" w:rsidRDefault="00E674FF" w:rsidP="005B1801">
            <w:pPr>
              <w:spacing w:before="40" w:after="80" w:line="240" w:lineRule="exact"/>
              <w:ind w:left="72" w:right="144"/>
              <w:jc w:val="lowKashida"/>
              <w:rPr>
                <w:rFonts w:hint="cs"/>
                <w:sz w:val="16"/>
                <w:szCs w:val="24"/>
                <w:rtl/>
              </w:rPr>
            </w:pPr>
            <w:r>
              <w:rPr>
                <w:rFonts w:hint="cs"/>
                <w:sz w:val="16"/>
                <w:szCs w:val="24"/>
                <w:rtl/>
              </w:rPr>
              <w:t>985 160</w:t>
            </w:r>
          </w:p>
        </w:tc>
        <w:tc>
          <w:tcPr>
            <w:tcW w:w="960" w:type="dxa"/>
            <w:shd w:val="clear" w:color="auto" w:fill="auto"/>
            <w:vAlign w:val="bottom"/>
          </w:tcPr>
          <w:p w:rsidR="005B1801" w:rsidRPr="00E674FF" w:rsidRDefault="00E674FF" w:rsidP="005B1801">
            <w:pPr>
              <w:spacing w:before="40" w:after="80" w:line="240" w:lineRule="exact"/>
              <w:ind w:left="72" w:right="144"/>
              <w:jc w:val="lowKashida"/>
              <w:rPr>
                <w:rFonts w:hint="cs"/>
                <w:b/>
                <w:bCs/>
                <w:sz w:val="16"/>
                <w:szCs w:val="24"/>
                <w:rtl/>
              </w:rPr>
            </w:pPr>
            <w:r w:rsidRPr="00E674FF">
              <w:rPr>
                <w:rFonts w:hint="cs"/>
                <w:b/>
                <w:bCs/>
                <w:sz w:val="16"/>
                <w:szCs w:val="24"/>
                <w:rtl/>
              </w:rPr>
              <w:t>036 41</w:t>
            </w:r>
          </w:p>
        </w:tc>
        <w:tc>
          <w:tcPr>
            <w:tcW w:w="800" w:type="dxa"/>
            <w:shd w:val="clear" w:color="auto" w:fill="auto"/>
            <w:vAlign w:val="bottom"/>
          </w:tcPr>
          <w:p w:rsidR="005B1801" w:rsidRPr="005B1801" w:rsidRDefault="00E674FF" w:rsidP="005B1801">
            <w:pPr>
              <w:spacing w:before="40" w:after="80" w:line="240" w:lineRule="exact"/>
              <w:ind w:left="72" w:right="144"/>
              <w:jc w:val="lowKashida"/>
              <w:rPr>
                <w:rFonts w:hint="cs"/>
                <w:sz w:val="16"/>
                <w:szCs w:val="24"/>
                <w:rtl/>
              </w:rPr>
            </w:pPr>
            <w:r>
              <w:rPr>
                <w:rFonts w:hint="cs"/>
                <w:sz w:val="16"/>
                <w:szCs w:val="24"/>
                <w:rtl/>
              </w:rPr>
              <w:t>550 1</w:t>
            </w:r>
          </w:p>
        </w:tc>
        <w:tc>
          <w:tcPr>
            <w:tcW w:w="720" w:type="dxa"/>
            <w:shd w:val="clear" w:color="auto" w:fill="auto"/>
            <w:vAlign w:val="bottom"/>
          </w:tcPr>
          <w:p w:rsidR="005B1801" w:rsidRPr="00E674FF" w:rsidRDefault="00E674FF" w:rsidP="005B1801">
            <w:pPr>
              <w:spacing w:before="40" w:after="80" w:line="240" w:lineRule="exact"/>
              <w:ind w:left="72" w:right="144"/>
              <w:jc w:val="lowKashida"/>
              <w:rPr>
                <w:rFonts w:hint="cs"/>
                <w:b/>
                <w:bCs/>
                <w:sz w:val="16"/>
                <w:szCs w:val="24"/>
                <w:rtl/>
              </w:rPr>
            </w:pPr>
            <w:r>
              <w:rPr>
                <w:rFonts w:hint="cs"/>
                <w:b/>
                <w:bCs/>
                <w:sz w:val="16"/>
                <w:szCs w:val="24"/>
                <w:rtl/>
              </w:rPr>
              <w:t>118</w:t>
            </w:r>
          </w:p>
        </w:tc>
        <w:tc>
          <w:tcPr>
            <w:tcW w:w="960" w:type="dxa"/>
            <w:shd w:val="clear" w:color="auto" w:fill="auto"/>
            <w:vAlign w:val="bottom"/>
          </w:tcPr>
          <w:p w:rsidR="005B1801" w:rsidRPr="005B1801" w:rsidRDefault="00E674FF" w:rsidP="005B1801">
            <w:pPr>
              <w:spacing w:before="40" w:after="80" w:line="240" w:lineRule="exact"/>
              <w:ind w:left="72" w:right="144"/>
              <w:jc w:val="lowKashida"/>
              <w:rPr>
                <w:rFonts w:hint="cs"/>
                <w:sz w:val="16"/>
                <w:szCs w:val="24"/>
                <w:rtl/>
              </w:rPr>
            </w:pPr>
            <w:r>
              <w:rPr>
                <w:rFonts w:hint="cs"/>
                <w:sz w:val="16"/>
                <w:szCs w:val="24"/>
                <w:rtl/>
              </w:rPr>
              <w:t>455 10</w:t>
            </w:r>
          </w:p>
        </w:tc>
        <w:tc>
          <w:tcPr>
            <w:tcW w:w="720" w:type="dxa"/>
            <w:shd w:val="clear" w:color="auto" w:fill="auto"/>
            <w:vAlign w:val="bottom"/>
          </w:tcPr>
          <w:p w:rsidR="005B1801" w:rsidRPr="00E674FF" w:rsidRDefault="00E674FF" w:rsidP="005B1801">
            <w:pPr>
              <w:spacing w:before="40" w:after="80" w:line="240" w:lineRule="exact"/>
              <w:ind w:left="72" w:right="144"/>
              <w:jc w:val="lowKashida"/>
              <w:rPr>
                <w:rFonts w:hint="cs"/>
                <w:b/>
                <w:bCs/>
                <w:sz w:val="16"/>
                <w:szCs w:val="24"/>
                <w:rtl/>
              </w:rPr>
            </w:pPr>
            <w:r>
              <w:rPr>
                <w:rFonts w:hint="cs"/>
                <w:b/>
                <w:bCs/>
                <w:sz w:val="16"/>
                <w:szCs w:val="24"/>
                <w:rtl/>
              </w:rPr>
              <w:t>124</w:t>
            </w:r>
          </w:p>
        </w:tc>
        <w:tc>
          <w:tcPr>
            <w:tcW w:w="880" w:type="dxa"/>
            <w:shd w:val="clear" w:color="auto" w:fill="auto"/>
            <w:vAlign w:val="bottom"/>
          </w:tcPr>
          <w:p w:rsidR="005B1801" w:rsidRPr="005B1801" w:rsidRDefault="00E674FF" w:rsidP="005B1801">
            <w:pPr>
              <w:spacing w:before="40" w:after="80" w:line="240" w:lineRule="exact"/>
              <w:ind w:left="72" w:right="144"/>
              <w:jc w:val="lowKashida"/>
              <w:rPr>
                <w:rFonts w:hint="cs"/>
                <w:sz w:val="16"/>
                <w:szCs w:val="24"/>
                <w:rtl/>
              </w:rPr>
            </w:pPr>
            <w:r>
              <w:rPr>
                <w:rFonts w:hint="cs"/>
                <w:sz w:val="16"/>
                <w:szCs w:val="24"/>
                <w:rtl/>
              </w:rPr>
              <w:t>905 22</w:t>
            </w:r>
          </w:p>
        </w:tc>
        <w:tc>
          <w:tcPr>
            <w:tcW w:w="960" w:type="dxa"/>
            <w:shd w:val="clear" w:color="auto" w:fill="auto"/>
            <w:vAlign w:val="bottom"/>
          </w:tcPr>
          <w:p w:rsidR="005B1801" w:rsidRPr="00E674FF" w:rsidRDefault="00E674FF" w:rsidP="005B1801">
            <w:pPr>
              <w:spacing w:before="40" w:after="80" w:line="240" w:lineRule="exact"/>
              <w:ind w:left="72" w:right="144"/>
              <w:jc w:val="lowKashida"/>
              <w:rPr>
                <w:rFonts w:hint="cs"/>
                <w:b/>
                <w:bCs/>
                <w:sz w:val="16"/>
                <w:szCs w:val="24"/>
                <w:rtl/>
              </w:rPr>
            </w:pPr>
            <w:r>
              <w:rPr>
                <w:rFonts w:hint="cs"/>
                <w:b/>
                <w:bCs/>
                <w:sz w:val="16"/>
                <w:szCs w:val="24"/>
                <w:rtl/>
              </w:rPr>
              <w:t>947 11</w:t>
            </w:r>
          </w:p>
        </w:tc>
      </w:tr>
      <w:tr w:rsidR="00E674FF" w:rsidRPr="005B1801">
        <w:tblPrEx>
          <w:tblCellMar>
            <w:top w:w="0" w:type="dxa"/>
            <w:bottom w:w="0" w:type="dxa"/>
          </w:tblCellMar>
        </w:tblPrEx>
        <w:trPr>
          <w:cantSplit/>
          <w:jc w:val="center"/>
        </w:trPr>
        <w:tc>
          <w:tcPr>
            <w:tcW w:w="1315" w:type="dxa"/>
            <w:shd w:val="clear" w:color="auto" w:fill="auto"/>
            <w:vAlign w:val="bottom"/>
          </w:tcPr>
          <w:p w:rsidR="005B1801" w:rsidRPr="005B1801" w:rsidRDefault="00733765" w:rsidP="005B1801">
            <w:pPr>
              <w:spacing w:before="40" w:after="80" w:line="240" w:lineRule="exact"/>
              <w:ind w:left="72" w:right="72"/>
              <w:rPr>
                <w:rFonts w:hint="cs"/>
                <w:sz w:val="16"/>
                <w:szCs w:val="24"/>
                <w:rtl/>
              </w:rPr>
            </w:pPr>
            <w:r>
              <w:rPr>
                <w:rFonts w:hint="cs"/>
                <w:sz w:val="16"/>
                <w:szCs w:val="24"/>
                <w:rtl/>
              </w:rPr>
              <w:t>2001-2002</w:t>
            </w:r>
          </w:p>
        </w:tc>
        <w:tc>
          <w:tcPr>
            <w:tcW w:w="1040" w:type="dxa"/>
            <w:shd w:val="clear" w:color="auto" w:fill="auto"/>
            <w:vAlign w:val="bottom"/>
          </w:tcPr>
          <w:p w:rsidR="005B1801" w:rsidRPr="005B1801" w:rsidRDefault="00E674FF" w:rsidP="005B1801">
            <w:pPr>
              <w:spacing w:before="40" w:after="80" w:line="240" w:lineRule="exact"/>
              <w:ind w:left="72" w:right="144"/>
              <w:jc w:val="lowKashida"/>
              <w:rPr>
                <w:rFonts w:hint="cs"/>
                <w:sz w:val="16"/>
                <w:szCs w:val="24"/>
                <w:rtl/>
              </w:rPr>
            </w:pPr>
            <w:r>
              <w:rPr>
                <w:rFonts w:hint="cs"/>
                <w:sz w:val="16"/>
                <w:szCs w:val="24"/>
                <w:rtl/>
              </w:rPr>
              <w:t>349 161</w:t>
            </w:r>
          </w:p>
        </w:tc>
        <w:tc>
          <w:tcPr>
            <w:tcW w:w="960" w:type="dxa"/>
            <w:shd w:val="clear" w:color="auto" w:fill="auto"/>
            <w:vAlign w:val="bottom"/>
          </w:tcPr>
          <w:p w:rsidR="005B1801" w:rsidRPr="00E674FF" w:rsidRDefault="00E674FF" w:rsidP="005B1801">
            <w:pPr>
              <w:spacing w:before="40" w:after="80" w:line="240" w:lineRule="exact"/>
              <w:ind w:left="72" w:right="144"/>
              <w:jc w:val="lowKashida"/>
              <w:rPr>
                <w:rFonts w:hint="cs"/>
                <w:b/>
                <w:bCs/>
                <w:sz w:val="16"/>
                <w:szCs w:val="24"/>
                <w:rtl/>
              </w:rPr>
            </w:pPr>
            <w:r w:rsidRPr="00E674FF">
              <w:rPr>
                <w:rFonts w:hint="cs"/>
                <w:b/>
                <w:bCs/>
                <w:sz w:val="16"/>
                <w:szCs w:val="24"/>
                <w:rtl/>
              </w:rPr>
              <w:t>540 40</w:t>
            </w:r>
          </w:p>
        </w:tc>
        <w:tc>
          <w:tcPr>
            <w:tcW w:w="800" w:type="dxa"/>
            <w:shd w:val="clear" w:color="auto" w:fill="auto"/>
            <w:vAlign w:val="bottom"/>
          </w:tcPr>
          <w:p w:rsidR="005B1801" w:rsidRPr="005B1801" w:rsidRDefault="00E674FF" w:rsidP="005B1801">
            <w:pPr>
              <w:spacing w:before="40" w:after="80" w:line="240" w:lineRule="exact"/>
              <w:ind w:left="72" w:right="144"/>
              <w:jc w:val="lowKashida"/>
              <w:rPr>
                <w:rFonts w:hint="cs"/>
                <w:sz w:val="16"/>
                <w:szCs w:val="24"/>
                <w:rtl/>
              </w:rPr>
            </w:pPr>
            <w:r>
              <w:rPr>
                <w:rFonts w:hint="cs"/>
                <w:sz w:val="16"/>
                <w:szCs w:val="24"/>
                <w:rtl/>
              </w:rPr>
              <w:t>272 1</w:t>
            </w:r>
          </w:p>
        </w:tc>
        <w:tc>
          <w:tcPr>
            <w:tcW w:w="720" w:type="dxa"/>
            <w:shd w:val="clear" w:color="auto" w:fill="auto"/>
            <w:vAlign w:val="bottom"/>
          </w:tcPr>
          <w:p w:rsidR="005B1801" w:rsidRPr="00E674FF" w:rsidRDefault="00E674FF" w:rsidP="005B1801">
            <w:pPr>
              <w:spacing w:before="40" w:after="80" w:line="240" w:lineRule="exact"/>
              <w:ind w:left="72" w:right="144"/>
              <w:jc w:val="lowKashida"/>
              <w:rPr>
                <w:rFonts w:hint="cs"/>
                <w:b/>
                <w:bCs/>
                <w:sz w:val="16"/>
                <w:szCs w:val="24"/>
                <w:rtl/>
              </w:rPr>
            </w:pPr>
            <w:r>
              <w:rPr>
                <w:rFonts w:hint="cs"/>
                <w:b/>
                <w:bCs/>
                <w:sz w:val="16"/>
                <w:szCs w:val="24"/>
                <w:rtl/>
              </w:rPr>
              <w:t>133</w:t>
            </w:r>
          </w:p>
        </w:tc>
        <w:tc>
          <w:tcPr>
            <w:tcW w:w="960" w:type="dxa"/>
            <w:shd w:val="clear" w:color="auto" w:fill="auto"/>
            <w:vAlign w:val="bottom"/>
          </w:tcPr>
          <w:p w:rsidR="005B1801" w:rsidRPr="005B1801" w:rsidRDefault="00E674FF" w:rsidP="005B1801">
            <w:pPr>
              <w:spacing w:before="40" w:after="80" w:line="240" w:lineRule="exact"/>
              <w:ind w:left="72" w:right="144"/>
              <w:jc w:val="lowKashida"/>
              <w:rPr>
                <w:rFonts w:hint="cs"/>
                <w:sz w:val="16"/>
                <w:szCs w:val="24"/>
                <w:rtl/>
              </w:rPr>
            </w:pPr>
            <w:r>
              <w:rPr>
                <w:rFonts w:hint="cs"/>
                <w:sz w:val="16"/>
                <w:szCs w:val="24"/>
                <w:rtl/>
              </w:rPr>
              <w:t>177 9</w:t>
            </w:r>
          </w:p>
        </w:tc>
        <w:tc>
          <w:tcPr>
            <w:tcW w:w="720" w:type="dxa"/>
            <w:shd w:val="clear" w:color="auto" w:fill="auto"/>
            <w:vAlign w:val="bottom"/>
          </w:tcPr>
          <w:p w:rsidR="005B1801" w:rsidRPr="00E674FF" w:rsidRDefault="00E674FF" w:rsidP="005B1801">
            <w:pPr>
              <w:spacing w:before="40" w:after="80" w:line="240" w:lineRule="exact"/>
              <w:ind w:left="72" w:right="144"/>
              <w:jc w:val="lowKashida"/>
              <w:rPr>
                <w:rFonts w:hint="cs"/>
                <w:b/>
                <w:bCs/>
                <w:sz w:val="16"/>
                <w:szCs w:val="24"/>
                <w:rtl/>
              </w:rPr>
            </w:pPr>
            <w:r>
              <w:rPr>
                <w:rFonts w:hint="cs"/>
                <w:b/>
                <w:bCs/>
                <w:sz w:val="16"/>
                <w:szCs w:val="24"/>
                <w:rtl/>
              </w:rPr>
              <w:t>133</w:t>
            </w:r>
          </w:p>
        </w:tc>
        <w:tc>
          <w:tcPr>
            <w:tcW w:w="880" w:type="dxa"/>
            <w:shd w:val="clear" w:color="auto" w:fill="auto"/>
            <w:vAlign w:val="bottom"/>
          </w:tcPr>
          <w:p w:rsidR="005B1801" w:rsidRPr="005B1801" w:rsidRDefault="00E674FF" w:rsidP="005B1801">
            <w:pPr>
              <w:spacing w:before="40" w:after="80" w:line="240" w:lineRule="exact"/>
              <w:ind w:left="72" w:right="144"/>
              <w:jc w:val="lowKashida"/>
              <w:rPr>
                <w:rFonts w:hint="cs"/>
                <w:sz w:val="16"/>
                <w:szCs w:val="24"/>
                <w:rtl/>
              </w:rPr>
            </w:pPr>
            <w:r>
              <w:rPr>
                <w:rFonts w:hint="cs"/>
                <w:sz w:val="16"/>
                <w:szCs w:val="24"/>
                <w:rtl/>
              </w:rPr>
              <w:t>880 18</w:t>
            </w:r>
          </w:p>
        </w:tc>
        <w:tc>
          <w:tcPr>
            <w:tcW w:w="960" w:type="dxa"/>
            <w:shd w:val="clear" w:color="auto" w:fill="auto"/>
            <w:vAlign w:val="bottom"/>
          </w:tcPr>
          <w:p w:rsidR="005B1801" w:rsidRPr="00E674FF" w:rsidRDefault="00E674FF" w:rsidP="005B1801">
            <w:pPr>
              <w:spacing w:before="40" w:after="80" w:line="240" w:lineRule="exact"/>
              <w:ind w:left="72" w:right="144"/>
              <w:jc w:val="lowKashida"/>
              <w:rPr>
                <w:rFonts w:hint="cs"/>
                <w:b/>
                <w:bCs/>
                <w:sz w:val="16"/>
                <w:szCs w:val="24"/>
                <w:rtl/>
              </w:rPr>
            </w:pPr>
            <w:r>
              <w:rPr>
                <w:rFonts w:hint="cs"/>
                <w:b/>
                <w:bCs/>
                <w:sz w:val="16"/>
                <w:szCs w:val="24"/>
                <w:rtl/>
              </w:rPr>
              <w:t>547 10</w:t>
            </w:r>
          </w:p>
        </w:tc>
      </w:tr>
    </w:tbl>
    <w:p w:rsidR="00733765" w:rsidRPr="005B1801" w:rsidRDefault="00733765" w:rsidP="005B1801">
      <w:pPr>
        <w:tabs>
          <w:tab w:val="left" w:pos="1094"/>
          <w:tab w:val="left" w:pos="2188"/>
          <w:tab w:val="left" w:pos="3282"/>
          <w:tab w:val="left" w:pos="4376"/>
          <w:tab w:val="left" w:pos="5470"/>
          <w:tab w:val="left" w:pos="6564"/>
          <w:tab w:val="left" w:pos="7658"/>
          <w:tab w:val="left" w:pos="8752"/>
        </w:tabs>
        <w:spacing w:before="40" w:after="80" w:line="240" w:lineRule="exact"/>
        <w:ind w:right="144"/>
        <w:jc w:val="left"/>
        <w:rPr>
          <w:sz w:val="16"/>
          <w:szCs w:val="24"/>
          <w:rtl/>
        </w:rPr>
      </w:pPr>
    </w:p>
    <w:p w:rsidR="00733765" w:rsidRPr="00733765" w:rsidRDefault="00733765" w:rsidP="00733765">
      <w:pPr>
        <w:spacing w:line="120" w:lineRule="exact"/>
        <w:rPr>
          <w:sz w:val="10"/>
        </w:rPr>
      </w:pPr>
      <w:r>
        <w:br w:type="page"/>
      </w:r>
    </w:p>
    <w:tbl>
      <w:tblPr>
        <w:bidiVisual/>
        <w:tblW w:w="9440" w:type="dxa"/>
        <w:jc w:val="center"/>
        <w:tblInd w:w="410" w:type="dxa"/>
        <w:tblLayout w:type="fixed"/>
        <w:tblCellMar>
          <w:left w:w="0" w:type="dxa"/>
          <w:right w:w="0" w:type="dxa"/>
        </w:tblCellMar>
        <w:tblLook w:val="0000" w:firstRow="0" w:lastRow="0" w:firstColumn="0" w:lastColumn="0" w:noHBand="0" w:noVBand="0"/>
      </w:tblPr>
      <w:tblGrid>
        <w:gridCol w:w="1280"/>
        <w:gridCol w:w="880"/>
        <w:gridCol w:w="800"/>
        <w:gridCol w:w="880"/>
        <w:gridCol w:w="800"/>
        <w:gridCol w:w="880"/>
        <w:gridCol w:w="880"/>
        <w:gridCol w:w="880"/>
        <w:gridCol w:w="960"/>
        <w:gridCol w:w="1200"/>
      </w:tblGrid>
      <w:tr w:rsidR="007111FF" w:rsidRPr="00046FE8">
        <w:tblPrEx>
          <w:tblCellMar>
            <w:top w:w="0" w:type="dxa"/>
            <w:bottom w:w="0" w:type="dxa"/>
          </w:tblCellMar>
        </w:tblPrEx>
        <w:trPr>
          <w:cantSplit/>
          <w:tblHeader/>
          <w:jc w:val="center"/>
        </w:trPr>
        <w:tc>
          <w:tcPr>
            <w:tcW w:w="1280" w:type="dxa"/>
            <w:tcBorders>
              <w:top w:val="single" w:sz="4" w:space="0" w:color="auto"/>
            </w:tcBorders>
            <w:shd w:val="clear" w:color="auto" w:fill="auto"/>
            <w:vAlign w:val="bottom"/>
          </w:tcPr>
          <w:p w:rsidR="00733765" w:rsidRPr="00046FE8" w:rsidRDefault="00733765" w:rsidP="00046FE8">
            <w:pPr>
              <w:spacing w:before="80" w:after="80" w:line="240" w:lineRule="exact"/>
              <w:ind w:left="72" w:right="72"/>
              <w:rPr>
                <w:rFonts w:hint="cs"/>
                <w:i/>
                <w:iCs/>
                <w:sz w:val="16"/>
                <w:szCs w:val="24"/>
                <w:rtl/>
              </w:rPr>
            </w:pPr>
          </w:p>
        </w:tc>
        <w:tc>
          <w:tcPr>
            <w:tcW w:w="1680" w:type="dxa"/>
            <w:gridSpan w:val="2"/>
            <w:tcBorders>
              <w:top w:val="single" w:sz="4" w:space="0" w:color="auto"/>
              <w:bottom w:val="single" w:sz="4" w:space="0" w:color="auto"/>
            </w:tcBorders>
            <w:shd w:val="clear" w:color="auto" w:fill="auto"/>
            <w:vAlign w:val="bottom"/>
          </w:tcPr>
          <w:p w:rsidR="00733765" w:rsidRPr="00046FE8" w:rsidRDefault="00046FE8" w:rsidP="00046FE8">
            <w:pPr>
              <w:spacing w:before="80" w:after="80" w:line="240" w:lineRule="exact"/>
              <w:ind w:left="72" w:right="144"/>
              <w:jc w:val="center"/>
              <w:rPr>
                <w:rFonts w:hint="cs"/>
                <w:i/>
                <w:iCs/>
                <w:sz w:val="16"/>
                <w:szCs w:val="24"/>
                <w:rtl/>
              </w:rPr>
            </w:pPr>
            <w:r w:rsidRPr="00046FE8">
              <w:rPr>
                <w:rFonts w:hint="cs"/>
                <w:i/>
                <w:iCs/>
                <w:sz w:val="16"/>
                <w:szCs w:val="24"/>
                <w:rtl/>
              </w:rPr>
              <w:t>التجارة</w:t>
            </w:r>
          </w:p>
        </w:tc>
        <w:tc>
          <w:tcPr>
            <w:tcW w:w="1680" w:type="dxa"/>
            <w:gridSpan w:val="2"/>
            <w:tcBorders>
              <w:top w:val="single" w:sz="4" w:space="0" w:color="auto"/>
              <w:bottom w:val="single" w:sz="4" w:space="0" w:color="auto"/>
            </w:tcBorders>
            <w:shd w:val="clear" w:color="auto" w:fill="auto"/>
            <w:vAlign w:val="bottom"/>
          </w:tcPr>
          <w:p w:rsidR="00733765" w:rsidRPr="00046FE8" w:rsidRDefault="00046FE8" w:rsidP="00046FE8">
            <w:pPr>
              <w:spacing w:before="80" w:after="80" w:line="240" w:lineRule="exact"/>
              <w:ind w:left="72" w:right="144"/>
              <w:jc w:val="center"/>
              <w:rPr>
                <w:rFonts w:hint="cs"/>
                <w:i/>
                <w:iCs/>
                <w:sz w:val="16"/>
                <w:szCs w:val="24"/>
                <w:rtl/>
              </w:rPr>
            </w:pPr>
            <w:r w:rsidRPr="00046FE8">
              <w:rPr>
                <w:rFonts w:hint="cs"/>
                <w:i/>
                <w:iCs/>
                <w:sz w:val="16"/>
                <w:szCs w:val="24"/>
                <w:rtl/>
              </w:rPr>
              <w:t>الحقوق</w:t>
            </w:r>
          </w:p>
        </w:tc>
        <w:tc>
          <w:tcPr>
            <w:tcW w:w="1760" w:type="dxa"/>
            <w:gridSpan w:val="2"/>
            <w:tcBorders>
              <w:top w:val="single" w:sz="4" w:space="0" w:color="auto"/>
              <w:bottom w:val="single" w:sz="4" w:space="0" w:color="auto"/>
            </w:tcBorders>
            <w:shd w:val="clear" w:color="auto" w:fill="auto"/>
            <w:vAlign w:val="bottom"/>
          </w:tcPr>
          <w:p w:rsidR="00733765" w:rsidRPr="00046FE8" w:rsidRDefault="00046FE8" w:rsidP="00046FE8">
            <w:pPr>
              <w:spacing w:before="80" w:after="80" w:line="240" w:lineRule="exact"/>
              <w:ind w:left="72" w:right="144"/>
              <w:jc w:val="center"/>
              <w:rPr>
                <w:rFonts w:hint="cs"/>
                <w:i/>
                <w:iCs/>
                <w:sz w:val="16"/>
                <w:szCs w:val="24"/>
                <w:rtl/>
              </w:rPr>
            </w:pPr>
            <w:r w:rsidRPr="00046FE8">
              <w:rPr>
                <w:rFonts w:hint="cs"/>
                <w:i/>
                <w:iCs/>
                <w:sz w:val="16"/>
                <w:szCs w:val="24"/>
                <w:rtl/>
              </w:rPr>
              <w:t>التعليم</w:t>
            </w:r>
          </w:p>
        </w:tc>
        <w:tc>
          <w:tcPr>
            <w:tcW w:w="1840" w:type="dxa"/>
            <w:gridSpan w:val="2"/>
            <w:tcBorders>
              <w:top w:val="single" w:sz="4" w:space="0" w:color="auto"/>
              <w:bottom w:val="single" w:sz="4" w:space="0" w:color="auto"/>
            </w:tcBorders>
            <w:shd w:val="clear" w:color="auto" w:fill="auto"/>
            <w:vAlign w:val="bottom"/>
          </w:tcPr>
          <w:p w:rsidR="00733765" w:rsidRPr="00046FE8" w:rsidRDefault="00046FE8" w:rsidP="00046FE8">
            <w:pPr>
              <w:spacing w:before="80" w:after="80" w:line="240" w:lineRule="exact"/>
              <w:ind w:left="72" w:right="144"/>
              <w:jc w:val="center"/>
              <w:rPr>
                <w:rFonts w:hint="cs"/>
                <w:i/>
                <w:iCs/>
                <w:sz w:val="16"/>
                <w:szCs w:val="24"/>
                <w:rtl/>
              </w:rPr>
            </w:pPr>
            <w:r w:rsidRPr="00046FE8">
              <w:rPr>
                <w:rFonts w:hint="cs"/>
                <w:i/>
                <w:iCs/>
                <w:sz w:val="16"/>
                <w:szCs w:val="24"/>
                <w:rtl/>
              </w:rPr>
              <w:t>باقي الكليات</w:t>
            </w:r>
          </w:p>
        </w:tc>
        <w:tc>
          <w:tcPr>
            <w:tcW w:w="1200" w:type="dxa"/>
            <w:tcBorders>
              <w:top w:val="single" w:sz="4" w:space="0" w:color="auto"/>
              <w:bottom w:val="single" w:sz="4" w:space="0" w:color="auto"/>
            </w:tcBorders>
            <w:shd w:val="clear" w:color="auto" w:fill="auto"/>
            <w:vAlign w:val="bottom"/>
          </w:tcPr>
          <w:p w:rsidR="00733765" w:rsidRPr="00046FE8" w:rsidRDefault="00733765" w:rsidP="00046FE8">
            <w:pPr>
              <w:spacing w:before="80" w:after="80" w:line="240" w:lineRule="exact"/>
              <w:ind w:left="72" w:right="144"/>
              <w:jc w:val="lowKashida"/>
              <w:rPr>
                <w:rFonts w:hint="cs"/>
                <w:i/>
                <w:iCs/>
                <w:sz w:val="16"/>
                <w:szCs w:val="24"/>
                <w:rtl/>
              </w:rPr>
            </w:pPr>
            <w:r w:rsidRPr="00046FE8">
              <w:rPr>
                <w:rFonts w:hint="cs"/>
                <w:i/>
                <w:iCs/>
                <w:sz w:val="16"/>
                <w:szCs w:val="24"/>
                <w:rtl/>
              </w:rPr>
              <w:t>الاقتصاد المنزلي</w:t>
            </w:r>
          </w:p>
        </w:tc>
      </w:tr>
      <w:tr w:rsidR="00E674FF" w:rsidRPr="00046FE8">
        <w:tblPrEx>
          <w:tblCellMar>
            <w:top w:w="0" w:type="dxa"/>
            <w:bottom w:w="0" w:type="dxa"/>
          </w:tblCellMar>
        </w:tblPrEx>
        <w:trPr>
          <w:cantSplit/>
          <w:tblHeader/>
          <w:jc w:val="center"/>
        </w:trPr>
        <w:tc>
          <w:tcPr>
            <w:tcW w:w="1280" w:type="dxa"/>
            <w:tcBorders>
              <w:bottom w:val="single" w:sz="12" w:space="0" w:color="auto"/>
            </w:tcBorders>
            <w:shd w:val="clear" w:color="auto" w:fill="auto"/>
            <w:vAlign w:val="bottom"/>
          </w:tcPr>
          <w:p w:rsidR="00733765" w:rsidRPr="00046FE8" w:rsidRDefault="00733765" w:rsidP="00046FE8">
            <w:pPr>
              <w:spacing w:before="40" w:after="80" w:line="240" w:lineRule="exact"/>
              <w:ind w:left="72" w:right="72"/>
              <w:rPr>
                <w:rFonts w:hint="cs"/>
                <w:i/>
                <w:iCs/>
                <w:sz w:val="16"/>
                <w:szCs w:val="24"/>
                <w:rtl/>
              </w:rPr>
            </w:pPr>
            <w:r w:rsidRPr="00046FE8">
              <w:rPr>
                <w:rFonts w:hint="cs"/>
                <w:i/>
                <w:iCs/>
                <w:sz w:val="16"/>
                <w:szCs w:val="24"/>
                <w:rtl/>
              </w:rPr>
              <w:t>السنة</w:t>
            </w:r>
          </w:p>
        </w:tc>
        <w:tc>
          <w:tcPr>
            <w:tcW w:w="880" w:type="dxa"/>
            <w:tcBorders>
              <w:top w:val="single" w:sz="4" w:space="0" w:color="auto"/>
              <w:bottom w:val="single" w:sz="12" w:space="0" w:color="auto"/>
            </w:tcBorders>
            <w:shd w:val="clear" w:color="auto" w:fill="auto"/>
            <w:vAlign w:val="bottom"/>
          </w:tcPr>
          <w:p w:rsidR="00733765" w:rsidRPr="00046FE8" w:rsidRDefault="00733765" w:rsidP="00046FE8">
            <w:pPr>
              <w:spacing w:before="40" w:after="80" w:line="240" w:lineRule="exact"/>
              <w:ind w:left="72" w:right="144"/>
              <w:jc w:val="lowKashida"/>
              <w:rPr>
                <w:rFonts w:hint="cs"/>
                <w:i/>
                <w:iCs/>
                <w:sz w:val="16"/>
                <w:szCs w:val="24"/>
                <w:rtl/>
              </w:rPr>
            </w:pPr>
            <w:r w:rsidRPr="00046FE8">
              <w:rPr>
                <w:rFonts w:hint="cs"/>
                <w:i/>
                <w:iCs/>
                <w:sz w:val="16"/>
                <w:szCs w:val="24"/>
                <w:rtl/>
              </w:rPr>
              <w:t>المجموع</w:t>
            </w:r>
          </w:p>
        </w:tc>
        <w:tc>
          <w:tcPr>
            <w:tcW w:w="800" w:type="dxa"/>
            <w:tcBorders>
              <w:top w:val="single" w:sz="4" w:space="0" w:color="auto"/>
              <w:bottom w:val="single" w:sz="12" w:space="0" w:color="auto"/>
            </w:tcBorders>
            <w:shd w:val="clear" w:color="auto" w:fill="auto"/>
            <w:vAlign w:val="bottom"/>
          </w:tcPr>
          <w:p w:rsidR="00733765" w:rsidRPr="00046FE8" w:rsidRDefault="00733765" w:rsidP="00046FE8">
            <w:pPr>
              <w:spacing w:before="40" w:after="80" w:line="240" w:lineRule="exact"/>
              <w:ind w:left="72" w:right="144"/>
              <w:jc w:val="lowKashida"/>
              <w:rPr>
                <w:rFonts w:hint="cs"/>
                <w:i/>
                <w:iCs/>
                <w:sz w:val="16"/>
                <w:szCs w:val="24"/>
                <w:rtl/>
              </w:rPr>
            </w:pPr>
            <w:r w:rsidRPr="00046FE8">
              <w:rPr>
                <w:rFonts w:hint="cs"/>
                <w:i/>
                <w:iCs/>
                <w:sz w:val="16"/>
                <w:szCs w:val="24"/>
                <w:rtl/>
              </w:rPr>
              <w:t>إناث</w:t>
            </w:r>
          </w:p>
        </w:tc>
        <w:tc>
          <w:tcPr>
            <w:tcW w:w="880" w:type="dxa"/>
            <w:tcBorders>
              <w:top w:val="single" w:sz="4" w:space="0" w:color="auto"/>
              <w:bottom w:val="single" w:sz="12" w:space="0" w:color="auto"/>
            </w:tcBorders>
            <w:shd w:val="clear" w:color="auto" w:fill="auto"/>
            <w:vAlign w:val="bottom"/>
          </w:tcPr>
          <w:p w:rsidR="00733765" w:rsidRPr="00046FE8" w:rsidRDefault="00733765" w:rsidP="00046FE8">
            <w:pPr>
              <w:spacing w:before="40" w:after="80" w:line="240" w:lineRule="exact"/>
              <w:ind w:left="72" w:right="144"/>
              <w:jc w:val="lowKashida"/>
              <w:rPr>
                <w:rFonts w:hint="cs"/>
                <w:i/>
                <w:iCs/>
                <w:sz w:val="16"/>
                <w:szCs w:val="24"/>
                <w:rtl/>
              </w:rPr>
            </w:pPr>
            <w:r w:rsidRPr="00046FE8">
              <w:rPr>
                <w:rFonts w:hint="cs"/>
                <w:i/>
                <w:iCs/>
                <w:sz w:val="16"/>
                <w:szCs w:val="24"/>
                <w:rtl/>
              </w:rPr>
              <w:t>المجموع</w:t>
            </w:r>
          </w:p>
        </w:tc>
        <w:tc>
          <w:tcPr>
            <w:tcW w:w="800" w:type="dxa"/>
            <w:tcBorders>
              <w:top w:val="single" w:sz="4" w:space="0" w:color="auto"/>
              <w:bottom w:val="single" w:sz="12" w:space="0" w:color="auto"/>
            </w:tcBorders>
            <w:shd w:val="clear" w:color="auto" w:fill="auto"/>
            <w:vAlign w:val="bottom"/>
          </w:tcPr>
          <w:p w:rsidR="00733765" w:rsidRPr="00046FE8" w:rsidRDefault="00733765" w:rsidP="00046FE8">
            <w:pPr>
              <w:spacing w:before="40" w:after="80" w:line="240" w:lineRule="exact"/>
              <w:ind w:left="72" w:right="144"/>
              <w:jc w:val="lowKashida"/>
              <w:rPr>
                <w:rFonts w:hint="cs"/>
                <w:i/>
                <w:iCs/>
                <w:sz w:val="16"/>
                <w:szCs w:val="24"/>
                <w:rtl/>
              </w:rPr>
            </w:pPr>
            <w:r w:rsidRPr="00046FE8">
              <w:rPr>
                <w:rFonts w:hint="cs"/>
                <w:i/>
                <w:iCs/>
                <w:sz w:val="16"/>
                <w:szCs w:val="24"/>
                <w:rtl/>
              </w:rPr>
              <w:t>إناث</w:t>
            </w:r>
          </w:p>
        </w:tc>
        <w:tc>
          <w:tcPr>
            <w:tcW w:w="880" w:type="dxa"/>
            <w:tcBorders>
              <w:top w:val="single" w:sz="4" w:space="0" w:color="auto"/>
              <w:bottom w:val="single" w:sz="12" w:space="0" w:color="auto"/>
            </w:tcBorders>
            <w:shd w:val="clear" w:color="auto" w:fill="auto"/>
            <w:vAlign w:val="bottom"/>
          </w:tcPr>
          <w:p w:rsidR="00733765" w:rsidRPr="00046FE8" w:rsidRDefault="00733765" w:rsidP="00046FE8">
            <w:pPr>
              <w:spacing w:before="40" w:after="80" w:line="240" w:lineRule="exact"/>
              <w:ind w:left="72" w:right="144"/>
              <w:jc w:val="lowKashida"/>
              <w:rPr>
                <w:rFonts w:hint="cs"/>
                <w:i/>
                <w:iCs/>
                <w:sz w:val="16"/>
                <w:szCs w:val="24"/>
                <w:rtl/>
              </w:rPr>
            </w:pPr>
            <w:r w:rsidRPr="00046FE8">
              <w:rPr>
                <w:rFonts w:hint="cs"/>
                <w:i/>
                <w:iCs/>
                <w:sz w:val="16"/>
                <w:szCs w:val="24"/>
                <w:rtl/>
              </w:rPr>
              <w:t>المجموع</w:t>
            </w:r>
          </w:p>
        </w:tc>
        <w:tc>
          <w:tcPr>
            <w:tcW w:w="880" w:type="dxa"/>
            <w:tcBorders>
              <w:top w:val="single" w:sz="4" w:space="0" w:color="auto"/>
              <w:bottom w:val="single" w:sz="12" w:space="0" w:color="auto"/>
            </w:tcBorders>
            <w:shd w:val="clear" w:color="auto" w:fill="auto"/>
            <w:vAlign w:val="bottom"/>
          </w:tcPr>
          <w:p w:rsidR="00733765" w:rsidRPr="00046FE8" w:rsidRDefault="00733765" w:rsidP="00046FE8">
            <w:pPr>
              <w:spacing w:before="40" w:after="80" w:line="240" w:lineRule="exact"/>
              <w:ind w:left="72" w:right="144"/>
              <w:jc w:val="lowKashida"/>
              <w:rPr>
                <w:rFonts w:hint="cs"/>
                <w:i/>
                <w:iCs/>
                <w:sz w:val="16"/>
                <w:szCs w:val="24"/>
                <w:rtl/>
              </w:rPr>
            </w:pPr>
            <w:r w:rsidRPr="00046FE8">
              <w:rPr>
                <w:rFonts w:hint="cs"/>
                <w:i/>
                <w:iCs/>
                <w:sz w:val="16"/>
                <w:szCs w:val="24"/>
                <w:rtl/>
              </w:rPr>
              <w:t>إناث</w:t>
            </w:r>
          </w:p>
        </w:tc>
        <w:tc>
          <w:tcPr>
            <w:tcW w:w="880" w:type="dxa"/>
            <w:tcBorders>
              <w:top w:val="single" w:sz="4" w:space="0" w:color="auto"/>
              <w:bottom w:val="single" w:sz="12" w:space="0" w:color="auto"/>
            </w:tcBorders>
            <w:shd w:val="clear" w:color="auto" w:fill="auto"/>
            <w:vAlign w:val="bottom"/>
          </w:tcPr>
          <w:p w:rsidR="00733765" w:rsidRPr="00046FE8" w:rsidRDefault="00733765" w:rsidP="00046FE8">
            <w:pPr>
              <w:spacing w:before="40" w:after="80" w:line="240" w:lineRule="exact"/>
              <w:ind w:left="72" w:right="144"/>
              <w:jc w:val="lowKashida"/>
              <w:rPr>
                <w:rFonts w:hint="cs"/>
                <w:i/>
                <w:iCs/>
                <w:sz w:val="16"/>
                <w:szCs w:val="24"/>
                <w:rtl/>
              </w:rPr>
            </w:pPr>
            <w:r w:rsidRPr="00046FE8">
              <w:rPr>
                <w:rFonts w:hint="cs"/>
                <w:i/>
                <w:iCs/>
                <w:sz w:val="16"/>
                <w:szCs w:val="24"/>
                <w:rtl/>
              </w:rPr>
              <w:t>المجموع</w:t>
            </w:r>
          </w:p>
        </w:tc>
        <w:tc>
          <w:tcPr>
            <w:tcW w:w="960" w:type="dxa"/>
            <w:tcBorders>
              <w:top w:val="single" w:sz="4" w:space="0" w:color="auto"/>
              <w:bottom w:val="single" w:sz="12" w:space="0" w:color="auto"/>
            </w:tcBorders>
            <w:shd w:val="clear" w:color="auto" w:fill="auto"/>
            <w:vAlign w:val="bottom"/>
          </w:tcPr>
          <w:p w:rsidR="00733765" w:rsidRPr="00046FE8" w:rsidRDefault="00733765" w:rsidP="00046FE8">
            <w:pPr>
              <w:spacing w:before="40" w:after="80" w:line="240" w:lineRule="exact"/>
              <w:ind w:left="72" w:right="144"/>
              <w:jc w:val="lowKashida"/>
              <w:rPr>
                <w:rFonts w:hint="cs"/>
                <w:i/>
                <w:iCs/>
                <w:sz w:val="16"/>
                <w:szCs w:val="24"/>
                <w:rtl/>
              </w:rPr>
            </w:pPr>
            <w:r w:rsidRPr="00046FE8">
              <w:rPr>
                <w:rFonts w:hint="cs"/>
                <w:i/>
                <w:iCs/>
                <w:sz w:val="16"/>
                <w:szCs w:val="24"/>
                <w:rtl/>
              </w:rPr>
              <w:t>إناث</w:t>
            </w:r>
          </w:p>
        </w:tc>
        <w:tc>
          <w:tcPr>
            <w:tcW w:w="1200" w:type="dxa"/>
            <w:tcBorders>
              <w:top w:val="single" w:sz="4" w:space="0" w:color="auto"/>
              <w:bottom w:val="single" w:sz="12" w:space="0" w:color="auto"/>
            </w:tcBorders>
            <w:shd w:val="clear" w:color="auto" w:fill="auto"/>
            <w:vAlign w:val="bottom"/>
          </w:tcPr>
          <w:p w:rsidR="00733765" w:rsidRPr="00046FE8" w:rsidRDefault="00733765" w:rsidP="00046FE8">
            <w:pPr>
              <w:spacing w:before="40" w:after="80" w:line="240" w:lineRule="exact"/>
              <w:ind w:left="72" w:right="144"/>
              <w:jc w:val="lowKashida"/>
              <w:rPr>
                <w:rFonts w:hint="cs"/>
                <w:i/>
                <w:iCs/>
                <w:sz w:val="16"/>
                <w:szCs w:val="24"/>
                <w:rtl/>
              </w:rPr>
            </w:pPr>
            <w:r w:rsidRPr="00046FE8">
              <w:rPr>
                <w:rFonts w:hint="cs"/>
                <w:i/>
                <w:iCs/>
                <w:sz w:val="16"/>
                <w:szCs w:val="24"/>
                <w:rtl/>
              </w:rPr>
              <w:t>المجموع</w:t>
            </w:r>
          </w:p>
        </w:tc>
      </w:tr>
      <w:tr w:rsidR="00E674FF" w:rsidRPr="00046FE8">
        <w:tblPrEx>
          <w:tblCellMar>
            <w:top w:w="0" w:type="dxa"/>
            <w:bottom w:w="0" w:type="dxa"/>
          </w:tblCellMar>
        </w:tblPrEx>
        <w:trPr>
          <w:cantSplit/>
          <w:trHeight w:hRule="exact" w:val="115"/>
          <w:tblHeader/>
          <w:jc w:val="center"/>
        </w:trPr>
        <w:tc>
          <w:tcPr>
            <w:tcW w:w="1280" w:type="dxa"/>
            <w:tcBorders>
              <w:top w:val="single" w:sz="12" w:space="0" w:color="auto"/>
            </w:tcBorders>
            <w:shd w:val="clear" w:color="auto" w:fill="auto"/>
            <w:vAlign w:val="bottom"/>
          </w:tcPr>
          <w:p w:rsidR="00046FE8" w:rsidRPr="00046FE8" w:rsidRDefault="00046FE8" w:rsidP="00046FE8">
            <w:pPr>
              <w:spacing w:before="40" w:after="80" w:line="240" w:lineRule="exact"/>
              <w:ind w:left="72" w:right="72"/>
              <w:rPr>
                <w:rFonts w:hint="cs"/>
                <w:sz w:val="16"/>
                <w:szCs w:val="24"/>
                <w:rtl/>
              </w:rPr>
            </w:pPr>
          </w:p>
        </w:tc>
        <w:tc>
          <w:tcPr>
            <w:tcW w:w="880" w:type="dxa"/>
            <w:tcBorders>
              <w:top w:val="single" w:sz="12" w:space="0" w:color="auto"/>
            </w:tcBorders>
            <w:shd w:val="clear" w:color="auto" w:fill="auto"/>
            <w:vAlign w:val="bottom"/>
          </w:tcPr>
          <w:p w:rsidR="00046FE8" w:rsidRPr="00046FE8" w:rsidRDefault="00046FE8" w:rsidP="00046FE8">
            <w:pPr>
              <w:spacing w:before="40" w:after="80" w:line="240" w:lineRule="exact"/>
              <w:ind w:left="72" w:right="144"/>
              <w:jc w:val="lowKashida"/>
              <w:rPr>
                <w:rFonts w:hint="cs"/>
                <w:sz w:val="16"/>
                <w:szCs w:val="24"/>
                <w:rtl/>
              </w:rPr>
            </w:pPr>
          </w:p>
        </w:tc>
        <w:tc>
          <w:tcPr>
            <w:tcW w:w="800" w:type="dxa"/>
            <w:tcBorders>
              <w:top w:val="single" w:sz="12" w:space="0" w:color="auto"/>
            </w:tcBorders>
            <w:shd w:val="clear" w:color="auto" w:fill="auto"/>
            <w:vAlign w:val="bottom"/>
          </w:tcPr>
          <w:p w:rsidR="00046FE8" w:rsidRPr="00046FE8" w:rsidRDefault="00046FE8" w:rsidP="00046FE8">
            <w:pPr>
              <w:spacing w:before="40" w:after="80" w:line="240" w:lineRule="exact"/>
              <w:ind w:left="72" w:right="144"/>
              <w:jc w:val="lowKashida"/>
              <w:rPr>
                <w:rFonts w:hint="cs"/>
                <w:sz w:val="16"/>
                <w:szCs w:val="24"/>
                <w:rtl/>
              </w:rPr>
            </w:pPr>
          </w:p>
        </w:tc>
        <w:tc>
          <w:tcPr>
            <w:tcW w:w="880" w:type="dxa"/>
            <w:tcBorders>
              <w:top w:val="single" w:sz="12" w:space="0" w:color="auto"/>
            </w:tcBorders>
            <w:shd w:val="clear" w:color="auto" w:fill="auto"/>
            <w:vAlign w:val="bottom"/>
          </w:tcPr>
          <w:p w:rsidR="00046FE8" w:rsidRPr="00046FE8" w:rsidRDefault="00046FE8" w:rsidP="00046FE8">
            <w:pPr>
              <w:spacing w:before="40" w:after="80" w:line="240" w:lineRule="exact"/>
              <w:ind w:left="72" w:right="144"/>
              <w:jc w:val="lowKashida"/>
              <w:rPr>
                <w:rFonts w:hint="cs"/>
                <w:sz w:val="16"/>
                <w:szCs w:val="24"/>
                <w:rtl/>
              </w:rPr>
            </w:pPr>
          </w:p>
        </w:tc>
        <w:tc>
          <w:tcPr>
            <w:tcW w:w="800" w:type="dxa"/>
            <w:tcBorders>
              <w:top w:val="single" w:sz="12" w:space="0" w:color="auto"/>
            </w:tcBorders>
            <w:shd w:val="clear" w:color="auto" w:fill="auto"/>
            <w:vAlign w:val="bottom"/>
          </w:tcPr>
          <w:p w:rsidR="00046FE8" w:rsidRPr="00046FE8" w:rsidRDefault="00046FE8" w:rsidP="00046FE8">
            <w:pPr>
              <w:spacing w:before="40" w:after="80" w:line="240" w:lineRule="exact"/>
              <w:ind w:left="72" w:right="144"/>
              <w:jc w:val="lowKashida"/>
              <w:rPr>
                <w:rFonts w:hint="cs"/>
                <w:sz w:val="16"/>
                <w:szCs w:val="24"/>
                <w:rtl/>
              </w:rPr>
            </w:pPr>
          </w:p>
        </w:tc>
        <w:tc>
          <w:tcPr>
            <w:tcW w:w="880" w:type="dxa"/>
            <w:tcBorders>
              <w:top w:val="single" w:sz="12" w:space="0" w:color="auto"/>
            </w:tcBorders>
            <w:shd w:val="clear" w:color="auto" w:fill="auto"/>
            <w:vAlign w:val="bottom"/>
          </w:tcPr>
          <w:p w:rsidR="00046FE8" w:rsidRPr="00046FE8" w:rsidRDefault="00046FE8" w:rsidP="00046FE8">
            <w:pPr>
              <w:spacing w:before="40" w:after="80" w:line="240" w:lineRule="exact"/>
              <w:ind w:left="72" w:right="144"/>
              <w:jc w:val="lowKashida"/>
              <w:rPr>
                <w:rFonts w:hint="cs"/>
                <w:sz w:val="16"/>
                <w:szCs w:val="24"/>
                <w:rtl/>
              </w:rPr>
            </w:pPr>
          </w:p>
        </w:tc>
        <w:tc>
          <w:tcPr>
            <w:tcW w:w="880" w:type="dxa"/>
            <w:tcBorders>
              <w:top w:val="single" w:sz="12" w:space="0" w:color="auto"/>
            </w:tcBorders>
            <w:shd w:val="clear" w:color="auto" w:fill="auto"/>
            <w:vAlign w:val="bottom"/>
          </w:tcPr>
          <w:p w:rsidR="00046FE8" w:rsidRPr="00046FE8" w:rsidRDefault="00046FE8" w:rsidP="00046FE8">
            <w:pPr>
              <w:spacing w:before="40" w:after="80" w:line="240" w:lineRule="exact"/>
              <w:ind w:left="72" w:right="144"/>
              <w:jc w:val="lowKashida"/>
              <w:rPr>
                <w:rFonts w:hint="cs"/>
                <w:sz w:val="16"/>
                <w:szCs w:val="24"/>
                <w:rtl/>
              </w:rPr>
            </w:pPr>
          </w:p>
        </w:tc>
        <w:tc>
          <w:tcPr>
            <w:tcW w:w="880" w:type="dxa"/>
            <w:tcBorders>
              <w:top w:val="single" w:sz="12" w:space="0" w:color="auto"/>
            </w:tcBorders>
            <w:shd w:val="clear" w:color="auto" w:fill="auto"/>
            <w:vAlign w:val="bottom"/>
          </w:tcPr>
          <w:p w:rsidR="00046FE8" w:rsidRPr="00046FE8" w:rsidRDefault="00046FE8" w:rsidP="00046FE8">
            <w:pPr>
              <w:spacing w:before="40" w:after="80" w:line="240" w:lineRule="exact"/>
              <w:ind w:left="72" w:right="144"/>
              <w:jc w:val="lowKashida"/>
              <w:rPr>
                <w:rFonts w:hint="cs"/>
                <w:sz w:val="16"/>
                <w:szCs w:val="24"/>
                <w:rtl/>
              </w:rPr>
            </w:pPr>
          </w:p>
        </w:tc>
        <w:tc>
          <w:tcPr>
            <w:tcW w:w="960" w:type="dxa"/>
            <w:tcBorders>
              <w:top w:val="single" w:sz="12" w:space="0" w:color="auto"/>
            </w:tcBorders>
            <w:shd w:val="clear" w:color="auto" w:fill="auto"/>
            <w:vAlign w:val="bottom"/>
          </w:tcPr>
          <w:p w:rsidR="00046FE8" w:rsidRPr="00046FE8" w:rsidRDefault="00046FE8" w:rsidP="00046FE8">
            <w:pPr>
              <w:spacing w:before="40" w:after="80" w:line="240" w:lineRule="exact"/>
              <w:ind w:left="72" w:right="144"/>
              <w:jc w:val="lowKashida"/>
              <w:rPr>
                <w:rFonts w:hint="cs"/>
                <w:sz w:val="16"/>
                <w:szCs w:val="24"/>
                <w:rtl/>
              </w:rPr>
            </w:pPr>
          </w:p>
        </w:tc>
        <w:tc>
          <w:tcPr>
            <w:tcW w:w="1200" w:type="dxa"/>
            <w:tcBorders>
              <w:top w:val="single" w:sz="12" w:space="0" w:color="auto"/>
            </w:tcBorders>
            <w:shd w:val="clear" w:color="auto" w:fill="auto"/>
            <w:vAlign w:val="bottom"/>
          </w:tcPr>
          <w:p w:rsidR="00046FE8" w:rsidRPr="00046FE8" w:rsidRDefault="00046FE8" w:rsidP="00046FE8">
            <w:pPr>
              <w:spacing w:before="40" w:after="80" w:line="240" w:lineRule="exact"/>
              <w:ind w:left="72" w:right="144"/>
              <w:jc w:val="lowKashida"/>
              <w:rPr>
                <w:rFonts w:hint="cs"/>
                <w:sz w:val="16"/>
                <w:szCs w:val="24"/>
                <w:rtl/>
              </w:rPr>
            </w:pPr>
          </w:p>
        </w:tc>
      </w:tr>
      <w:tr w:rsidR="00E674FF" w:rsidRPr="00046FE8">
        <w:tblPrEx>
          <w:tblCellMar>
            <w:top w:w="0" w:type="dxa"/>
            <w:bottom w:w="0" w:type="dxa"/>
          </w:tblCellMar>
        </w:tblPrEx>
        <w:trPr>
          <w:cantSplit/>
          <w:jc w:val="center"/>
        </w:trPr>
        <w:tc>
          <w:tcPr>
            <w:tcW w:w="1280" w:type="dxa"/>
            <w:shd w:val="clear" w:color="auto" w:fill="auto"/>
            <w:vAlign w:val="bottom"/>
          </w:tcPr>
          <w:p w:rsidR="00733765" w:rsidRPr="00046FE8" w:rsidRDefault="00733765" w:rsidP="00046FE8">
            <w:pPr>
              <w:spacing w:before="40" w:after="80" w:line="240" w:lineRule="exact"/>
              <w:ind w:left="72" w:right="72"/>
              <w:rPr>
                <w:rFonts w:hint="cs"/>
                <w:sz w:val="16"/>
                <w:szCs w:val="24"/>
                <w:rtl/>
              </w:rPr>
            </w:pPr>
            <w:r w:rsidRPr="00046FE8">
              <w:rPr>
                <w:rFonts w:hint="cs"/>
                <w:sz w:val="16"/>
                <w:szCs w:val="24"/>
                <w:rtl/>
              </w:rPr>
              <w:t>1997-1998</w:t>
            </w:r>
          </w:p>
        </w:tc>
        <w:tc>
          <w:tcPr>
            <w:tcW w:w="880" w:type="dxa"/>
            <w:shd w:val="clear" w:color="auto" w:fill="auto"/>
            <w:vAlign w:val="bottom"/>
          </w:tcPr>
          <w:p w:rsidR="00733765" w:rsidRPr="00046FE8" w:rsidRDefault="00E674FF" w:rsidP="00046FE8">
            <w:pPr>
              <w:spacing w:before="40" w:after="80" w:line="240" w:lineRule="exact"/>
              <w:ind w:left="72" w:right="144"/>
              <w:jc w:val="lowKashida"/>
              <w:rPr>
                <w:rFonts w:hint="cs"/>
                <w:sz w:val="16"/>
                <w:szCs w:val="24"/>
                <w:rtl/>
              </w:rPr>
            </w:pPr>
            <w:r>
              <w:rPr>
                <w:rFonts w:hint="cs"/>
                <w:sz w:val="16"/>
                <w:szCs w:val="24"/>
                <w:rtl/>
              </w:rPr>
              <w:t>612 52</w:t>
            </w:r>
          </w:p>
        </w:tc>
        <w:tc>
          <w:tcPr>
            <w:tcW w:w="800" w:type="dxa"/>
            <w:shd w:val="clear" w:color="auto" w:fill="auto"/>
            <w:vAlign w:val="bottom"/>
          </w:tcPr>
          <w:p w:rsidR="00733765" w:rsidRPr="00E674FF" w:rsidRDefault="00E674FF" w:rsidP="00046FE8">
            <w:pPr>
              <w:spacing w:before="40" w:after="80" w:line="240" w:lineRule="exact"/>
              <w:ind w:left="72" w:right="144"/>
              <w:jc w:val="lowKashida"/>
              <w:rPr>
                <w:rFonts w:hint="cs"/>
                <w:b/>
                <w:bCs/>
                <w:sz w:val="16"/>
                <w:szCs w:val="24"/>
                <w:rtl/>
              </w:rPr>
            </w:pPr>
            <w:r>
              <w:rPr>
                <w:rFonts w:hint="cs"/>
                <w:b/>
                <w:bCs/>
                <w:sz w:val="16"/>
                <w:szCs w:val="24"/>
                <w:rtl/>
              </w:rPr>
              <w:t>620 6</w:t>
            </w:r>
          </w:p>
        </w:tc>
        <w:tc>
          <w:tcPr>
            <w:tcW w:w="880" w:type="dxa"/>
            <w:shd w:val="clear" w:color="auto" w:fill="auto"/>
            <w:vAlign w:val="bottom"/>
          </w:tcPr>
          <w:p w:rsidR="00733765" w:rsidRPr="00046FE8" w:rsidRDefault="00E674FF" w:rsidP="00046FE8">
            <w:pPr>
              <w:spacing w:before="40" w:after="80" w:line="240" w:lineRule="exact"/>
              <w:ind w:left="72" w:right="144"/>
              <w:jc w:val="lowKashida"/>
              <w:rPr>
                <w:rFonts w:hint="cs"/>
                <w:sz w:val="16"/>
                <w:szCs w:val="24"/>
                <w:rtl/>
              </w:rPr>
            </w:pPr>
            <w:r>
              <w:rPr>
                <w:rFonts w:hint="cs"/>
                <w:sz w:val="16"/>
                <w:szCs w:val="24"/>
                <w:rtl/>
              </w:rPr>
              <w:t>133 18</w:t>
            </w:r>
          </w:p>
        </w:tc>
        <w:tc>
          <w:tcPr>
            <w:tcW w:w="800" w:type="dxa"/>
            <w:shd w:val="clear" w:color="auto" w:fill="auto"/>
            <w:vAlign w:val="bottom"/>
          </w:tcPr>
          <w:p w:rsidR="00733765" w:rsidRPr="00E674FF" w:rsidRDefault="00E674FF" w:rsidP="00046FE8">
            <w:pPr>
              <w:spacing w:before="40" w:after="80" w:line="240" w:lineRule="exact"/>
              <w:ind w:left="72" w:right="144"/>
              <w:jc w:val="lowKashida"/>
              <w:rPr>
                <w:rFonts w:hint="cs"/>
                <w:b/>
                <w:bCs/>
                <w:sz w:val="16"/>
                <w:szCs w:val="24"/>
                <w:rtl/>
              </w:rPr>
            </w:pPr>
            <w:r>
              <w:rPr>
                <w:rFonts w:hint="cs"/>
                <w:b/>
                <w:bCs/>
                <w:sz w:val="16"/>
                <w:szCs w:val="24"/>
                <w:rtl/>
              </w:rPr>
              <w:t>331 2</w:t>
            </w:r>
          </w:p>
        </w:tc>
        <w:tc>
          <w:tcPr>
            <w:tcW w:w="880" w:type="dxa"/>
            <w:shd w:val="clear" w:color="auto" w:fill="auto"/>
            <w:vAlign w:val="bottom"/>
          </w:tcPr>
          <w:p w:rsidR="00733765" w:rsidRPr="00046FE8" w:rsidRDefault="00E674FF" w:rsidP="00046FE8">
            <w:pPr>
              <w:spacing w:before="40" w:after="80" w:line="240" w:lineRule="exact"/>
              <w:ind w:left="72" w:right="144"/>
              <w:jc w:val="lowKashida"/>
              <w:rPr>
                <w:rFonts w:hint="cs"/>
                <w:sz w:val="16"/>
                <w:szCs w:val="24"/>
                <w:rtl/>
              </w:rPr>
            </w:pPr>
            <w:r>
              <w:rPr>
                <w:rFonts w:hint="cs"/>
                <w:sz w:val="16"/>
                <w:szCs w:val="24"/>
                <w:rtl/>
              </w:rPr>
              <w:t>889 10</w:t>
            </w:r>
          </w:p>
        </w:tc>
        <w:tc>
          <w:tcPr>
            <w:tcW w:w="880" w:type="dxa"/>
            <w:shd w:val="clear" w:color="auto" w:fill="auto"/>
            <w:vAlign w:val="bottom"/>
          </w:tcPr>
          <w:p w:rsidR="00733765" w:rsidRPr="00E674FF" w:rsidRDefault="00E674FF" w:rsidP="00046FE8">
            <w:pPr>
              <w:spacing w:before="40" w:after="80" w:line="240" w:lineRule="exact"/>
              <w:ind w:left="72" w:right="144"/>
              <w:jc w:val="lowKashida"/>
              <w:rPr>
                <w:rFonts w:hint="cs"/>
                <w:b/>
                <w:bCs/>
                <w:sz w:val="16"/>
                <w:szCs w:val="24"/>
                <w:rtl/>
              </w:rPr>
            </w:pPr>
            <w:r>
              <w:rPr>
                <w:rFonts w:hint="cs"/>
                <w:b/>
                <w:bCs/>
                <w:sz w:val="16"/>
                <w:szCs w:val="24"/>
                <w:rtl/>
              </w:rPr>
              <w:t>837 5</w:t>
            </w:r>
          </w:p>
        </w:tc>
        <w:tc>
          <w:tcPr>
            <w:tcW w:w="880" w:type="dxa"/>
            <w:shd w:val="clear" w:color="auto" w:fill="auto"/>
            <w:vAlign w:val="bottom"/>
          </w:tcPr>
          <w:p w:rsidR="00733765" w:rsidRPr="00046FE8" w:rsidRDefault="00E674FF" w:rsidP="00046FE8">
            <w:pPr>
              <w:spacing w:before="40" w:after="80" w:line="240" w:lineRule="exact"/>
              <w:ind w:left="72" w:right="144"/>
              <w:jc w:val="lowKashida"/>
              <w:rPr>
                <w:rFonts w:hint="cs"/>
                <w:sz w:val="16"/>
                <w:szCs w:val="24"/>
                <w:rtl/>
              </w:rPr>
            </w:pPr>
            <w:r>
              <w:rPr>
                <w:rFonts w:hint="cs"/>
                <w:sz w:val="16"/>
                <w:szCs w:val="24"/>
                <w:rtl/>
              </w:rPr>
              <w:t>794 36</w:t>
            </w:r>
          </w:p>
        </w:tc>
        <w:tc>
          <w:tcPr>
            <w:tcW w:w="960" w:type="dxa"/>
            <w:shd w:val="clear" w:color="auto" w:fill="auto"/>
            <w:vAlign w:val="bottom"/>
          </w:tcPr>
          <w:p w:rsidR="00733765" w:rsidRPr="00E674FF" w:rsidRDefault="00E674FF" w:rsidP="00046FE8">
            <w:pPr>
              <w:spacing w:before="40" w:after="80" w:line="240" w:lineRule="exact"/>
              <w:ind w:left="72" w:right="144"/>
              <w:jc w:val="lowKashida"/>
              <w:rPr>
                <w:rFonts w:hint="cs"/>
                <w:b/>
                <w:bCs/>
                <w:sz w:val="16"/>
                <w:szCs w:val="24"/>
                <w:rtl/>
              </w:rPr>
            </w:pPr>
            <w:r>
              <w:rPr>
                <w:rFonts w:hint="cs"/>
                <w:b/>
                <w:bCs/>
                <w:sz w:val="16"/>
                <w:szCs w:val="24"/>
                <w:rtl/>
              </w:rPr>
              <w:t>654 8</w:t>
            </w:r>
          </w:p>
        </w:tc>
        <w:tc>
          <w:tcPr>
            <w:tcW w:w="1200" w:type="dxa"/>
            <w:shd w:val="clear" w:color="auto" w:fill="auto"/>
            <w:vAlign w:val="bottom"/>
          </w:tcPr>
          <w:p w:rsidR="00733765" w:rsidRPr="00046FE8" w:rsidRDefault="00E674FF" w:rsidP="00046FE8">
            <w:pPr>
              <w:spacing w:before="40" w:after="80" w:line="240" w:lineRule="exact"/>
              <w:ind w:left="72" w:right="144"/>
              <w:jc w:val="lowKashida"/>
              <w:rPr>
                <w:rFonts w:hint="cs"/>
                <w:sz w:val="16"/>
                <w:szCs w:val="24"/>
                <w:rtl/>
              </w:rPr>
            </w:pPr>
            <w:r>
              <w:rPr>
                <w:rFonts w:hint="cs"/>
                <w:sz w:val="16"/>
                <w:szCs w:val="24"/>
                <w:rtl/>
              </w:rPr>
              <w:t>258 4</w:t>
            </w:r>
          </w:p>
        </w:tc>
      </w:tr>
      <w:tr w:rsidR="00E674FF" w:rsidRPr="00046FE8">
        <w:tblPrEx>
          <w:tblCellMar>
            <w:top w:w="0" w:type="dxa"/>
            <w:bottom w:w="0" w:type="dxa"/>
          </w:tblCellMar>
        </w:tblPrEx>
        <w:trPr>
          <w:cantSplit/>
          <w:jc w:val="center"/>
        </w:trPr>
        <w:tc>
          <w:tcPr>
            <w:tcW w:w="1280" w:type="dxa"/>
            <w:shd w:val="clear" w:color="auto" w:fill="auto"/>
            <w:vAlign w:val="bottom"/>
          </w:tcPr>
          <w:p w:rsidR="00733765" w:rsidRPr="00046FE8" w:rsidRDefault="00733765" w:rsidP="00046FE8">
            <w:pPr>
              <w:spacing w:before="40" w:after="80" w:line="240" w:lineRule="exact"/>
              <w:ind w:left="72" w:right="72"/>
              <w:rPr>
                <w:rFonts w:hint="cs"/>
                <w:sz w:val="16"/>
                <w:szCs w:val="24"/>
                <w:rtl/>
              </w:rPr>
            </w:pPr>
            <w:r w:rsidRPr="00046FE8">
              <w:rPr>
                <w:rFonts w:hint="cs"/>
                <w:sz w:val="16"/>
                <w:szCs w:val="24"/>
                <w:rtl/>
              </w:rPr>
              <w:t>1999-2000</w:t>
            </w:r>
          </w:p>
        </w:tc>
        <w:tc>
          <w:tcPr>
            <w:tcW w:w="880" w:type="dxa"/>
            <w:shd w:val="clear" w:color="auto" w:fill="auto"/>
            <w:vAlign w:val="bottom"/>
          </w:tcPr>
          <w:p w:rsidR="00733765" w:rsidRPr="00046FE8" w:rsidRDefault="00E674FF" w:rsidP="00046FE8">
            <w:pPr>
              <w:spacing w:before="40" w:after="80" w:line="240" w:lineRule="exact"/>
              <w:ind w:left="72" w:right="144"/>
              <w:jc w:val="lowKashida"/>
              <w:rPr>
                <w:rFonts w:hint="cs"/>
                <w:sz w:val="16"/>
                <w:szCs w:val="24"/>
                <w:rtl/>
              </w:rPr>
            </w:pPr>
            <w:r>
              <w:rPr>
                <w:rFonts w:hint="cs"/>
                <w:sz w:val="16"/>
                <w:szCs w:val="24"/>
                <w:rtl/>
              </w:rPr>
              <w:t>233 55</w:t>
            </w:r>
          </w:p>
        </w:tc>
        <w:tc>
          <w:tcPr>
            <w:tcW w:w="800" w:type="dxa"/>
            <w:shd w:val="clear" w:color="auto" w:fill="auto"/>
            <w:vAlign w:val="bottom"/>
          </w:tcPr>
          <w:p w:rsidR="00733765" w:rsidRPr="00E674FF" w:rsidRDefault="00E674FF" w:rsidP="00046FE8">
            <w:pPr>
              <w:spacing w:before="40" w:after="80" w:line="240" w:lineRule="exact"/>
              <w:ind w:left="72" w:right="144"/>
              <w:jc w:val="lowKashida"/>
              <w:rPr>
                <w:rFonts w:hint="cs"/>
                <w:b/>
                <w:bCs/>
                <w:sz w:val="16"/>
                <w:szCs w:val="24"/>
                <w:rtl/>
              </w:rPr>
            </w:pPr>
            <w:r>
              <w:rPr>
                <w:rFonts w:hint="cs"/>
                <w:b/>
                <w:bCs/>
                <w:sz w:val="16"/>
                <w:szCs w:val="24"/>
                <w:rtl/>
              </w:rPr>
              <w:t>853 7</w:t>
            </w:r>
          </w:p>
        </w:tc>
        <w:tc>
          <w:tcPr>
            <w:tcW w:w="880" w:type="dxa"/>
            <w:shd w:val="clear" w:color="auto" w:fill="auto"/>
            <w:vAlign w:val="bottom"/>
          </w:tcPr>
          <w:p w:rsidR="00733765" w:rsidRPr="00046FE8" w:rsidRDefault="00E674FF" w:rsidP="00046FE8">
            <w:pPr>
              <w:spacing w:before="40" w:after="80" w:line="240" w:lineRule="exact"/>
              <w:ind w:left="72" w:right="144"/>
              <w:jc w:val="lowKashida"/>
              <w:rPr>
                <w:rFonts w:hint="cs"/>
                <w:sz w:val="16"/>
                <w:szCs w:val="24"/>
                <w:rtl/>
              </w:rPr>
            </w:pPr>
            <w:r>
              <w:rPr>
                <w:rFonts w:hint="cs"/>
                <w:sz w:val="16"/>
                <w:szCs w:val="24"/>
                <w:rtl/>
              </w:rPr>
              <w:t>914 17</w:t>
            </w:r>
          </w:p>
        </w:tc>
        <w:tc>
          <w:tcPr>
            <w:tcW w:w="800" w:type="dxa"/>
            <w:shd w:val="clear" w:color="auto" w:fill="auto"/>
            <w:vAlign w:val="bottom"/>
          </w:tcPr>
          <w:p w:rsidR="00733765" w:rsidRPr="00E674FF" w:rsidRDefault="00E674FF" w:rsidP="00046FE8">
            <w:pPr>
              <w:spacing w:before="40" w:after="80" w:line="240" w:lineRule="exact"/>
              <w:ind w:left="72" w:right="144"/>
              <w:jc w:val="lowKashida"/>
              <w:rPr>
                <w:rFonts w:hint="cs"/>
                <w:b/>
                <w:bCs/>
                <w:sz w:val="16"/>
                <w:szCs w:val="24"/>
                <w:rtl/>
              </w:rPr>
            </w:pPr>
            <w:r>
              <w:rPr>
                <w:rFonts w:hint="cs"/>
                <w:b/>
                <w:bCs/>
                <w:sz w:val="16"/>
                <w:szCs w:val="24"/>
                <w:rtl/>
              </w:rPr>
              <w:t>660 2</w:t>
            </w:r>
          </w:p>
        </w:tc>
        <w:tc>
          <w:tcPr>
            <w:tcW w:w="880" w:type="dxa"/>
            <w:shd w:val="clear" w:color="auto" w:fill="auto"/>
            <w:vAlign w:val="bottom"/>
          </w:tcPr>
          <w:p w:rsidR="00733765" w:rsidRPr="00046FE8" w:rsidRDefault="00E674FF" w:rsidP="00046FE8">
            <w:pPr>
              <w:spacing w:before="40" w:after="80" w:line="240" w:lineRule="exact"/>
              <w:ind w:left="72" w:right="144"/>
              <w:jc w:val="lowKashida"/>
              <w:rPr>
                <w:rFonts w:hint="cs"/>
                <w:sz w:val="16"/>
                <w:szCs w:val="24"/>
                <w:rtl/>
              </w:rPr>
            </w:pPr>
            <w:r>
              <w:rPr>
                <w:rFonts w:hint="cs"/>
                <w:sz w:val="16"/>
                <w:szCs w:val="24"/>
                <w:rtl/>
              </w:rPr>
              <w:t>742 8</w:t>
            </w:r>
          </w:p>
        </w:tc>
        <w:tc>
          <w:tcPr>
            <w:tcW w:w="880" w:type="dxa"/>
            <w:shd w:val="clear" w:color="auto" w:fill="auto"/>
            <w:vAlign w:val="bottom"/>
          </w:tcPr>
          <w:p w:rsidR="00733765" w:rsidRPr="00E674FF" w:rsidRDefault="00E674FF" w:rsidP="00046FE8">
            <w:pPr>
              <w:spacing w:before="40" w:after="80" w:line="240" w:lineRule="exact"/>
              <w:ind w:left="72" w:right="144"/>
              <w:jc w:val="lowKashida"/>
              <w:rPr>
                <w:rFonts w:hint="cs"/>
                <w:b/>
                <w:bCs/>
                <w:sz w:val="16"/>
                <w:szCs w:val="24"/>
                <w:rtl/>
              </w:rPr>
            </w:pPr>
            <w:r>
              <w:rPr>
                <w:rFonts w:hint="cs"/>
                <w:b/>
                <w:bCs/>
                <w:sz w:val="16"/>
                <w:szCs w:val="24"/>
                <w:rtl/>
              </w:rPr>
              <w:t>979 4</w:t>
            </w:r>
          </w:p>
        </w:tc>
        <w:tc>
          <w:tcPr>
            <w:tcW w:w="880" w:type="dxa"/>
            <w:shd w:val="clear" w:color="auto" w:fill="auto"/>
            <w:vAlign w:val="bottom"/>
          </w:tcPr>
          <w:p w:rsidR="00733765" w:rsidRPr="00046FE8" w:rsidRDefault="00E674FF" w:rsidP="00046FE8">
            <w:pPr>
              <w:spacing w:before="40" w:after="80" w:line="240" w:lineRule="exact"/>
              <w:ind w:left="72" w:right="144"/>
              <w:jc w:val="lowKashida"/>
              <w:rPr>
                <w:rFonts w:hint="cs"/>
                <w:sz w:val="16"/>
                <w:szCs w:val="24"/>
                <w:rtl/>
              </w:rPr>
            </w:pPr>
            <w:r>
              <w:rPr>
                <w:rFonts w:hint="cs"/>
                <w:sz w:val="16"/>
                <w:szCs w:val="24"/>
                <w:rtl/>
              </w:rPr>
              <w:t>767 39</w:t>
            </w:r>
          </w:p>
        </w:tc>
        <w:tc>
          <w:tcPr>
            <w:tcW w:w="960" w:type="dxa"/>
            <w:shd w:val="clear" w:color="auto" w:fill="auto"/>
            <w:vAlign w:val="bottom"/>
          </w:tcPr>
          <w:p w:rsidR="00733765" w:rsidRPr="00E674FF" w:rsidRDefault="00E674FF" w:rsidP="00046FE8">
            <w:pPr>
              <w:spacing w:before="40" w:after="80" w:line="240" w:lineRule="exact"/>
              <w:ind w:left="72" w:right="144"/>
              <w:jc w:val="lowKashida"/>
              <w:rPr>
                <w:rFonts w:hint="cs"/>
                <w:b/>
                <w:bCs/>
                <w:sz w:val="16"/>
                <w:szCs w:val="24"/>
                <w:rtl/>
              </w:rPr>
            </w:pPr>
            <w:r>
              <w:rPr>
                <w:rFonts w:hint="cs"/>
                <w:b/>
                <w:bCs/>
                <w:sz w:val="16"/>
                <w:szCs w:val="24"/>
                <w:rtl/>
              </w:rPr>
              <w:t>936 8</w:t>
            </w:r>
          </w:p>
        </w:tc>
        <w:tc>
          <w:tcPr>
            <w:tcW w:w="1200" w:type="dxa"/>
            <w:shd w:val="clear" w:color="auto" w:fill="auto"/>
            <w:vAlign w:val="bottom"/>
          </w:tcPr>
          <w:p w:rsidR="00733765" w:rsidRPr="00046FE8" w:rsidRDefault="00E674FF" w:rsidP="00046FE8">
            <w:pPr>
              <w:spacing w:before="40" w:after="80" w:line="240" w:lineRule="exact"/>
              <w:ind w:left="72" w:right="144"/>
              <w:jc w:val="lowKashida"/>
              <w:rPr>
                <w:rFonts w:hint="cs"/>
                <w:sz w:val="16"/>
                <w:szCs w:val="24"/>
                <w:rtl/>
              </w:rPr>
            </w:pPr>
            <w:r>
              <w:rPr>
                <w:rFonts w:hint="cs"/>
                <w:sz w:val="16"/>
                <w:szCs w:val="24"/>
                <w:rtl/>
              </w:rPr>
              <w:t>419 4</w:t>
            </w:r>
          </w:p>
        </w:tc>
      </w:tr>
      <w:tr w:rsidR="00E674FF" w:rsidRPr="00046FE8">
        <w:tblPrEx>
          <w:tblCellMar>
            <w:top w:w="0" w:type="dxa"/>
            <w:bottom w:w="0" w:type="dxa"/>
          </w:tblCellMar>
        </w:tblPrEx>
        <w:trPr>
          <w:cantSplit/>
          <w:jc w:val="center"/>
        </w:trPr>
        <w:tc>
          <w:tcPr>
            <w:tcW w:w="1280" w:type="dxa"/>
            <w:tcBorders>
              <w:bottom w:val="single" w:sz="12" w:space="0" w:color="auto"/>
            </w:tcBorders>
            <w:shd w:val="clear" w:color="auto" w:fill="auto"/>
            <w:vAlign w:val="bottom"/>
          </w:tcPr>
          <w:p w:rsidR="00733765" w:rsidRPr="00046FE8" w:rsidRDefault="00733765" w:rsidP="00046FE8">
            <w:pPr>
              <w:spacing w:before="40" w:after="80" w:line="240" w:lineRule="exact"/>
              <w:ind w:left="72" w:right="72"/>
              <w:rPr>
                <w:rFonts w:hint="cs"/>
                <w:sz w:val="16"/>
                <w:szCs w:val="24"/>
                <w:rtl/>
              </w:rPr>
            </w:pPr>
            <w:r w:rsidRPr="00046FE8">
              <w:rPr>
                <w:rFonts w:hint="cs"/>
                <w:sz w:val="16"/>
                <w:szCs w:val="24"/>
                <w:rtl/>
              </w:rPr>
              <w:t>2001-2002</w:t>
            </w:r>
          </w:p>
        </w:tc>
        <w:tc>
          <w:tcPr>
            <w:tcW w:w="880" w:type="dxa"/>
            <w:tcBorders>
              <w:bottom w:val="single" w:sz="12" w:space="0" w:color="auto"/>
            </w:tcBorders>
            <w:shd w:val="clear" w:color="auto" w:fill="auto"/>
            <w:vAlign w:val="bottom"/>
          </w:tcPr>
          <w:p w:rsidR="00733765" w:rsidRPr="00046FE8" w:rsidRDefault="00E674FF" w:rsidP="00046FE8">
            <w:pPr>
              <w:spacing w:before="40" w:after="80" w:line="240" w:lineRule="exact"/>
              <w:ind w:left="72" w:right="144"/>
              <w:jc w:val="lowKashida"/>
              <w:rPr>
                <w:rFonts w:hint="cs"/>
                <w:sz w:val="16"/>
                <w:szCs w:val="24"/>
                <w:rtl/>
              </w:rPr>
            </w:pPr>
            <w:r>
              <w:rPr>
                <w:rFonts w:hint="cs"/>
                <w:sz w:val="16"/>
                <w:szCs w:val="24"/>
                <w:rtl/>
              </w:rPr>
              <w:t>255 57</w:t>
            </w:r>
          </w:p>
        </w:tc>
        <w:tc>
          <w:tcPr>
            <w:tcW w:w="800" w:type="dxa"/>
            <w:tcBorders>
              <w:bottom w:val="single" w:sz="12" w:space="0" w:color="auto"/>
            </w:tcBorders>
            <w:shd w:val="clear" w:color="auto" w:fill="auto"/>
            <w:vAlign w:val="bottom"/>
          </w:tcPr>
          <w:p w:rsidR="00733765" w:rsidRPr="00E674FF" w:rsidRDefault="00E674FF" w:rsidP="00046FE8">
            <w:pPr>
              <w:spacing w:before="40" w:after="80" w:line="240" w:lineRule="exact"/>
              <w:ind w:left="72" w:right="144"/>
              <w:jc w:val="lowKashida"/>
              <w:rPr>
                <w:rFonts w:hint="cs"/>
                <w:b/>
                <w:bCs/>
                <w:sz w:val="16"/>
                <w:szCs w:val="24"/>
                <w:rtl/>
              </w:rPr>
            </w:pPr>
            <w:r>
              <w:rPr>
                <w:rFonts w:hint="cs"/>
                <w:b/>
                <w:bCs/>
                <w:sz w:val="16"/>
                <w:szCs w:val="24"/>
                <w:rtl/>
              </w:rPr>
              <w:t>302 7</w:t>
            </w:r>
          </w:p>
        </w:tc>
        <w:tc>
          <w:tcPr>
            <w:tcW w:w="880" w:type="dxa"/>
            <w:tcBorders>
              <w:bottom w:val="single" w:sz="12" w:space="0" w:color="auto"/>
            </w:tcBorders>
            <w:shd w:val="clear" w:color="auto" w:fill="auto"/>
            <w:vAlign w:val="bottom"/>
          </w:tcPr>
          <w:p w:rsidR="00733765" w:rsidRPr="00046FE8" w:rsidRDefault="00E674FF" w:rsidP="00046FE8">
            <w:pPr>
              <w:spacing w:before="40" w:after="80" w:line="240" w:lineRule="exact"/>
              <w:ind w:left="72" w:right="144"/>
              <w:jc w:val="lowKashida"/>
              <w:rPr>
                <w:rFonts w:hint="cs"/>
                <w:sz w:val="16"/>
                <w:szCs w:val="24"/>
                <w:rtl/>
              </w:rPr>
            </w:pPr>
            <w:r>
              <w:rPr>
                <w:rFonts w:hint="cs"/>
                <w:sz w:val="16"/>
                <w:szCs w:val="24"/>
                <w:rtl/>
              </w:rPr>
              <w:t>117 20</w:t>
            </w:r>
          </w:p>
        </w:tc>
        <w:tc>
          <w:tcPr>
            <w:tcW w:w="800" w:type="dxa"/>
            <w:tcBorders>
              <w:bottom w:val="single" w:sz="12" w:space="0" w:color="auto"/>
            </w:tcBorders>
            <w:shd w:val="clear" w:color="auto" w:fill="auto"/>
            <w:vAlign w:val="bottom"/>
          </w:tcPr>
          <w:p w:rsidR="00733765" w:rsidRPr="00E674FF" w:rsidRDefault="00E674FF" w:rsidP="00046FE8">
            <w:pPr>
              <w:spacing w:before="40" w:after="80" w:line="240" w:lineRule="exact"/>
              <w:ind w:left="72" w:right="144"/>
              <w:jc w:val="lowKashida"/>
              <w:rPr>
                <w:rFonts w:hint="cs"/>
                <w:b/>
                <w:bCs/>
                <w:sz w:val="16"/>
                <w:szCs w:val="24"/>
                <w:rtl/>
              </w:rPr>
            </w:pPr>
            <w:r>
              <w:rPr>
                <w:rFonts w:hint="cs"/>
                <w:b/>
                <w:bCs/>
                <w:sz w:val="16"/>
                <w:szCs w:val="24"/>
                <w:rtl/>
              </w:rPr>
              <w:t>887 2</w:t>
            </w:r>
          </w:p>
        </w:tc>
        <w:tc>
          <w:tcPr>
            <w:tcW w:w="880" w:type="dxa"/>
            <w:tcBorders>
              <w:bottom w:val="single" w:sz="12" w:space="0" w:color="auto"/>
            </w:tcBorders>
            <w:shd w:val="clear" w:color="auto" w:fill="auto"/>
            <w:vAlign w:val="bottom"/>
          </w:tcPr>
          <w:p w:rsidR="00733765" w:rsidRPr="00046FE8" w:rsidRDefault="00E674FF" w:rsidP="00046FE8">
            <w:pPr>
              <w:spacing w:before="40" w:after="80" w:line="240" w:lineRule="exact"/>
              <w:ind w:left="72" w:right="144"/>
              <w:jc w:val="lowKashida"/>
              <w:rPr>
                <w:rFonts w:hint="cs"/>
                <w:sz w:val="16"/>
                <w:szCs w:val="24"/>
                <w:rtl/>
              </w:rPr>
            </w:pPr>
            <w:r>
              <w:rPr>
                <w:rFonts w:hint="cs"/>
                <w:sz w:val="16"/>
                <w:szCs w:val="24"/>
                <w:rtl/>
              </w:rPr>
              <w:t>774 7</w:t>
            </w:r>
          </w:p>
        </w:tc>
        <w:tc>
          <w:tcPr>
            <w:tcW w:w="880" w:type="dxa"/>
            <w:tcBorders>
              <w:bottom w:val="single" w:sz="12" w:space="0" w:color="auto"/>
            </w:tcBorders>
            <w:shd w:val="clear" w:color="auto" w:fill="auto"/>
            <w:vAlign w:val="bottom"/>
          </w:tcPr>
          <w:p w:rsidR="00733765" w:rsidRPr="00E674FF" w:rsidRDefault="00E674FF" w:rsidP="00046FE8">
            <w:pPr>
              <w:spacing w:before="40" w:after="80" w:line="240" w:lineRule="exact"/>
              <w:ind w:left="72" w:right="144"/>
              <w:jc w:val="lowKashida"/>
              <w:rPr>
                <w:rFonts w:hint="cs"/>
                <w:b/>
                <w:bCs/>
                <w:sz w:val="16"/>
                <w:szCs w:val="24"/>
                <w:rtl/>
              </w:rPr>
            </w:pPr>
            <w:r>
              <w:rPr>
                <w:rFonts w:hint="cs"/>
                <w:b/>
                <w:bCs/>
                <w:sz w:val="16"/>
                <w:szCs w:val="24"/>
                <w:rtl/>
              </w:rPr>
              <w:t>150 5</w:t>
            </w:r>
          </w:p>
        </w:tc>
        <w:tc>
          <w:tcPr>
            <w:tcW w:w="880" w:type="dxa"/>
            <w:tcBorders>
              <w:bottom w:val="single" w:sz="12" w:space="0" w:color="auto"/>
            </w:tcBorders>
            <w:shd w:val="clear" w:color="auto" w:fill="auto"/>
            <w:vAlign w:val="bottom"/>
          </w:tcPr>
          <w:p w:rsidR="00733765" w:rsidRPr="00046FE8" w:rsidRDefault="00E674FF" w:rsidP="00046FE8">
            <w:pPr>
              <w:spacing w:before="40" w:after="80" w:line="240" w:lineRule="exact"/>
              <w:ind w:left="72" w:right="144"/>
              <w:jc w:val="lowKashida"/>
              <w:rPr>
                <w:rFonts w:hint="cs"/>
                <w:sz w:val="16"/>
                <w:szCs w:val="24"/>
                <w:rtl/>
              </w:rPr>
            </w:pPr>
            <w:r>
              <w:rPr>
                <w:rFonts w:hint="cs"/>
                <w:sz w:val="16"/>
                <w:szCs w:val="24"/>
                <w:rtl/>
              </w:rPr>
              <w:t>715 42</w:t>
            </w:r>
          </w:p>
        </w:tc>
        <w:tc>
          <w:tcPr>
            <w:tcW w:w="960" w:type="dxa"/>
            <w:tcBorders>
              <w:bottom w:val="single" w:sz="12" w:space="0" w:color="auto"/>
            </w:tcBorders>
            <w:shd w:val="clear" w:color="auto" w:fill="auto"/>
            <w:vAlign w:val="bottom"/>
          </w:tcPr>
          <w:p w:rsidR="00733765" w:rsidRPr="00E674FF" w:rsidRDefault="00E674FF" w:rsidP="00046FE8">
            <w:pPr>
              <w:spacing w:before="40" w:after="80" w:line="240" w:lineRule="exact"/>
              <w:ind w:left="72" w:right="144"/>
              <w:jc w:val="lowKashida"/>
              <w:rPr>
                <w:rFonts w:hint="cs"/>
                <w:b/>
                <w:bCs/>
                <w:sz w:val="16"/>
                <w:szCs w:val="24"/>
                <w:rtl/>
              </w:rPr>
            </w:pPr>
            <w:r>
              <w:rPr>
                <w:rFonts w:hint="cs"/>
                <w:b/>
                <w:bCs/>
                <w:sz w:val="16"/>
                <w:szCs w:val="24"/>
                <w:rtl/>
              </w:rPr>
              <w:t>249 10</w:t>
            </w:r>
          </w:p>
        </w:tc>
        <w:tc>
          <w:tcPr>
            <w:tcW w:w="1200" w:type="dxa"/>
            <w:tcBorders>
              <w:bottom w:val="single" w:sz="12" w:space="0" w:color="auto"/>
            </w:tcBorders>
            <w:shd w:val="clear" w:color="auto" w:fill="auto"/>
            <w:vAlign w:val="bottom"/>
          </w:tcPr>
          <w:p w:rsidR="00733765" w:rsidRPr="00046FE8" w:rsidRDefault="00E674FF" w:rsidP="00046FE8">
            <w:pPr>
              <w:spacing w:before="40" w:after="80" w:line="240" w:lineRule="exact"/>
              <w:ind w:left="72" w:right="144"/>
              <w:jc w:val="lowKashida"/>
              <w:rPr>
                <w:rFonts w:hint="cs"/>
                <w:sz w:val="16"/>
                <w:szCs w:val="24"/>
                <w:rtl/>
              </w:rPr>
            </w:pPr>
            <w:r>
              <w:rPr>
                <w:rFonts w:hint="cs"/>
                <w:sz w:val="16"/>
                <w:szCs w:val="24"/>
                <w:rtl/>
              </w:rPr>
              <w:t>159 4</w:t>
            </w:r>
          </w:p>
        </w:tc>
      </w:tr>
    </w:tbl>
    <w:p w:rsidR="00733765" w:rsidRPr="00733765" w:rsidRDefault="00733765" w:rsidP="00733765">
      <w:pPr>
        <w:pStyle w:val="SingleTxt"/>
        <w:spacing w:after="0" w:line="120" w:lineRule="exact"/>
        <w:rPr>
          <w:rFonts w:hint="cs"/>
          <w:sz w:val="10"/>
          <w:rtl/>
        </w:rPr>
      </w:pPr>
    </w:p>
    <w:p w:rsidR="00A83656" w:rsidRPr="00733765" w:rsidRDefault="00733765" w:rsidP="00733765">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r>
      <w:r>
        <w:rPr>
          <w:rFonts w:hint="cs"/>
          <w:i/>
          <w:iCs/>
          <w:rtl/>
        </w:rPr>
        <w:t>المصدر</w:t>
      </w:r>
      <w:r>
        <w:rPr>
          <w:rFonts w:hint="cs"/>
          <w:rtl/>
        </w:rPr>
        <w:t>: نشرة الإحصاءات الشهرية، كانون الأول/ديسمبر 2003، مكتب الإحصاءات الاتحادي، الجدول 4-8 (معدل).</w:t>
      </w:r>
    </w:p>
    <w:p w:rsidR="00733765" w:rsidRPr="00733765" w:rsidRDefault="00733765" w:rsidP="00733765">
      <w:pPr>
        <w:pStyle w:val="SingleTxt"/>
        <w:spacing w:after="0" w:line="120" w:lineRule="exact"/>
        <w:rPr>
          <w:rFonts w:hint="cs"/>
          <w:sz w:val="10"/>
          <w:rtl/>
        </w:rPr>
      </w:pPr>
    </w:p>
    <w:p w:rsidR="00733765" w:rsidRDefault="00733765" w:rsidP="007E1625">
      <w:pPr>
        <w:pStyle w:val="SingleTxt"/>
        <w:rPr>
          <w:rFonts w:hint="cs"/>
          <w:rtl/>
        </w:rPr>
      </w:pPr>
      <w:r>
        <w:rPr>
          <w:rFonts w:hint="cs"/>
          <w:rtl/>
        </w:rPr>
        <w:t>214-</w:t>
      </w:r>
      <w:r>
        <w:rPr>
          <w:rFonts w:hint="cs"/>
          <w:rtl/>
        </w:rPr>
        <w:tab/>
      </w:r>
      <w:r w:rsidR="009D15FD">
        <w:rPr>
          <w:rFonts w:hint="cs"/>
          <w:rtl/>
        </w:rPr>
        <w:t>ويمكن قبول الفتيات/النساء في أغلب الكليات بالإضافة إلى الكليات المخصصة لهن. ولكن لا يجوز قبول الفتيان/الرجال في كليات البنات.</w:t>
      </w:r>
    </w:p>
    <w:p w:rsidR="009D15FD" w:rsidRPr="009D15FD" w:rsidRDefault="009D15FD" w:rsidP="009D15FD">
      <w:pPr>
        <w:pStyle w:val="SingleTxt"/>
        <w:spacing w:after="0" w:line="120" w:lineRule="exact"/>
        <w:rPr>
          <w:rFonts w:hint="cs"/>
          <w:sz w:val="10"/>
          <w:rtl/>
        </w:rPr>
      </w:pPr>
    </w:p>
    <w:p w:rsidR="009D15FD" w:rsidRDefault="009D15FD" w:rsidP="009D15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يكفل للمرأة والرجل نفس الظروف للتوجيه الوظيفي والمهني، وللوصول إلى الدراسات والحصول على الدرجات العلمية في المؤسسات التعليمية من جميع الفئات، في </w:t>
      </w:r>
      <w:proofErr w:type="spellStart"/>
      <w:r>
        <w:rPr>
          <w:rFonts w:hint="cs"/>
          <w:rtl/>
        </w:rPr>
        <w:t>الماطق</w:t>
      </w:r>
      <w:proofErr w:type="spellEnd"/>
      <w:r>
        <w:rPr>
          <w:rFonts w:hint="cs"/>
          <w:rtl/>
        </w:rPr>
        <w:t xml:space="preserve">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9D15FD" w:rsidRDefault="009D15FD" w:rsidP="009D15FD">
      <w:pPr>
        <w:pStyle w:val="SingleTxt"/>
        <w:rPr>
          <w:rFonts w:hint="cs"/>
          <w:rtl/>
        </w:rPr>
      </w:pPr>
      <w:r>
        <w:rPr>
          <w:rFonts w:hint="cs"/>
          <w:rtl/>
        </w:rPr>
        <w:t>215-</w:t>
      </w:r>
      <w:r>
        <w:rPr>
          <w:rFonts w:hint="cs"/>
          <w:rtl/>
        </w:rPr>
        <w:tab/>
        <w:t>يكفل الدستور فرصا متساوية في جميع مجالات الحياة، بما في ذلك، التعليم. ولم تحقق الفتيات/النساء المساواة في هذا الميدان بعد. ومع ذلك، هناك حالات منفصلة سبقت فيها المرأة الرجل، من حيث الواقع، كما يتبين من الجداول الواردة أعلاه، ومنها الدخول في كليات الطب.</w:t>
      </w:r>
    </w:p>
    <w:p w:rsidR="009D15FD" w:rsidRDefault="00B22DC4" w:rsidP="009D15FD">
      <w:pPr>
        <w:pStyle w:val="SingleTxt"/>
        <w:rPr>
          <w:rFonts w:hint="cs"/>
          <w:rtl/>
        </w:rPr>
      </w:pPr>
      <w:r>
        <w:rPr>
          <w:rFonts w:hint="cs"/>
          <w:rtl/>
        </w:rPr>
        <w:t>216-</w:t>
      </w:r>
      <w:r>
        <w:rPr>
          <w:rFonts w:hint="cs"/>
          <w:rtl/>
        </w:rPr>
        <w:tab/>
        <w:t>ولم يبلغ نظام التدريب المهني في باكستان مرحلة النضوج بعد وإن كان هناك تقدير متزايد لأهميته. وتقوم المرأة الباكستانية باختيار العمل في قطاعي التعليم والصحة، بصورة عامة من خلال مجموعة من العوامل.</w:t>
      </w:r>
    </w:p>
    <w:p w:rsidR="00B22DC4" w:rsidRDefault="00B22DC4" w:rsidP="009D15FD">
      <w:pPr>
        <w:pStyle w:val="SingleTxt"/>
        <w:rPr>
          <w:rFonts w:hint="cs"/>
          <w:rtl/>
        </w:rPr>
      </w:pPr>
      <w:r>
        <w:rPr>
          <w:rFonts w:hint="cs"/>
          <w:rtl/>
        </w:rPr>
        <w:t>217-</w:t>
      </w:r>
      <w:r>
        <w:rPr>
          <w:rFonts w:hint="cs"/>
          <w:rtl/>
        </w:rPr>
        <w:tab/>
        <w:t>وتوجد معاهد لتدريب المعلمين ومدارس للتمريض، تشارك فيها المرأة بالأغلبية. وينطبق هذا، بصورة خاصة على مدارس التمريض حيث يكون جميع الطلاب تقريبا من النساء. وتتبين الحالة بالنسبة للتدريب في ميادين أخرى، بالنسبة للمرأة، من الجدول 10-6. ويمكن أن يُعزى التفاوت في عدد الطلاب بين الذكور والإناث في معاهد التدريب المهني إلى عدة أسباب. فمعاهد التدريب المهني تركز الاهتمام على فروع لا تعتبرها المرأة خيارات صالحة للعمل. وأحيانا، يصبح توفر الإسكان المناسب والمسافة من الاعتبارات الهامة أيضا. ويعارض كثير من الآباء إبعاد بناتهن عن المنزل وله</w:t>
      </w:r>
      <w:r w:rsidR="009E10E9">
        <w:rPr>
          <w:rFonts w:hint="cs"/>
          <w:rtl/>
        </w:rPr>
        <w:t>م رأي هام في اختيار الوظيفة ال</w:t>
      </w:r>
      <w:r>
        <w:rPr>
          <w:rFonts w:hint="cs"/>
          <w:rtl/>
        </w:rPr>
        <w:t>تي يقمن بها.</w:t>
      </w:r>
    </w:p>
    <w:p w:rsidR="00B22DC4" w:rsidRDefault="00B22DC4" w:rsidP="009D15FD">
      <w:pPr>
        <w:pStyle w:val="SingleTxt"/>
        <w:rPr>
          <w:rFonts w:hint="cs"/>
          <w:rtl/>
        </w:rPr>
      </w:pPr>
      <w:r>
        <w:rPr>
          <w:rFonts w:hint="cs"/>
          <w:rtl/>
        </w:rPr>
        <w:t>218-</w:t>
      </w:r>
      <w:r>
        <w:rPr>
          <w:rFonts w:hint="cs"/>
          <w:rtl/>
        </w:rPr>
        <w:tab/>
        <w:t>وشروط القبول في معاهد التدريب المهني غير تمييزية، بصورة عامة. غير أن بعض الفروع العلمية قد لا تكون متاحة لأحد الجنسين، فمثلا لا يقبل الرجال في مدارس التمريض، بصورة عامة.</w:t>
      </w:r>
    </w:p>
    <w:p w:rsidR="00B22DC4" w:rsidRDefault="00B22DC4" w:rsidP="009D15FD">
      <w:pPr>
        <w:pStyle w:val="SingleTxt"/>
        <w:rPr>
          <w:rFonts w:hint="cs"/>
          <w:rtl/>
        </w:rPr>
      </w:pPr>
      <w:r>
        <w:rPr>
          <w:rFonts w:hint="cs"/>
          <w:rtl/>
        </w:rPr>
        <w:t>219-</w:t>
      </w:r>
      <w:r>
        <w:rPr>
          <w:rFonts w:hint="cs"/>
          <w:rtl/>
        </w:rPr>
        <w:tab/>
        <w:t>ولا يعتبر التوجيه الوظيفي والمهني بعد من السمات العادية لنظام التعليم في باكستان، بالنسبة للبنين والبنات على السواء. غير أن السياسة التعليمية الجديدة تشدد بصورة خاصة على التدريب المهني. وسوف يتم إدراج مهنة أو وظيفة محددة على مستوى التعليم الثانوي.</w:t>
      </w:r>
    </w:p>
    <w:p w:rsidR="00B22DC4" w:rsidRPr="00B22DC4" w:rsidRDefault="00B22DC4" w:rsidP="00B22DC4">
      <w:pPr>
        <w:pStyle w:val="SingleTxt"/>
        <w:spacing w:after="0" w:line="120" w:lineRule="exact"/>
        <w:rPr>
          <w:rFonts w:hint="cs"/>
          <w:sz w:val="10"/>
          <w:rtl/>
        </w:rPr>
      </w:pPr>
    </w:p>
    <w:p w:rsidR="00B22DC4" w:rsidRDefault="00B22DC4" w:rsidP="00B22DC4">
      <w:pPr>
        <w:pStyle w:val="SingleTxt"/>
        <w:spacing w:after="0"/>
        <w:rPr>
          <w:rFonts w:hint="cs"/>
          <w:rtl/>
        </w:rPr>
      </w:pPr>
      <w:r>
        <w:rPr>
          <w:rFonts w:hint="cs"/>
          <w:rtl/>
        </w:rPr>
        <w:t>الجدول 10-8</w:t>
      </w:r>
    </w:p>
    <w:p w:rsidR="00B22DC4" w:rsidRPr="00B22DC4" w:rsidRDefault="00B22DC4" w:rsidP="009D15FD">
      <w:pPr>
        <w:pStyle w:val="SingleTxt"/>
        <w:rPr>
          <w:rFonts w:hint="cs"/>
          <w:b/>
          <w:bCs/>
          <w:rtl/>
        </w:rPr>
      </w:pPr>
      <w:r w:rsidRPr="00B22DC4">
        <w:rPr>
          <w:rFonts w:hint="cs"/>
          <w:b/>
          <w:bCs/>
          <w:rtl/>
        </w:rPr>
        <w:t>عدد المسجلين في مؤسسات التدريب المهني حسب نوعها ونوع الجنس</w:t>
      </w:r>
    </w:p>
    <w:p w:rsidR="00B22DC4" w:rsidRPr="00B22DC4" w:rsidRDefault="00B22DC4" w:rsidP="00B22DC4">
      <w:pPr>
        <w:pStyle w:val="SingleTxt"/>
        <w:spacing w:after="0" w:line="120" w:lineRule="exact"/>
        <w:rPr>
          <w:rFonts w:hint="cs"/>
          <w:sz w:val="10"/>
          <w:rtl/>
        </w:rPr>
      </w:pPr>
    </w:p>
    <w:tbl>
      <w:tblPr>
        <w:bidiVisual/>
        <w:tblW w:w="7535" w:type="dxa"/>
        <w:jc w:val="center"/>
        <w:tblInd w:w="1052" w:type="dxa"/>
        <w:tblLayout w:type="fixed"/>
        <w:tblCellMar>
          <w:left w:w="0" w:type="dxa"/>
          <w:right w:w="0" w:type="dxa"/>
        </w:tblCellMar>
        <w:tblLook w:val="0000" w:firstRow="0" w:lastRow="0" w:firstColumn="0" w:lastColumn="0" w:noHBand="0" w:noVBand="0"/>
      </w:tblPr>
      <w:tblGrid>
        <w:gridCol w:w="2960"/>
        <w:gridCol w:w="960"/>
        <w:gridCol w:w="1200"/>
        <w:gridCol w:w="1200"/>
        <w:gridCol w:w="1215"/>
      </w:tblGrid>
      <w:tr w:rsidR="006C49CA" w:rsidRPr="00700E06">
        <w:tblPrEx>
          <w:tblCellMar>
            <w:top w:w="0" w:type="dxa"/>
            <w:bottom w:w="0" w:type="dxa"/>
          </w:tblCellMar>
        </w:tblPrEx>
        <w:trPr>
          <w:cantSplit/>
          <w:tblHeader/>
          <w:jc w:val="center"/>
        </w:trPr>
        <w:tc>
          <w:tcPr>
            <w:tcW w:w="2960" w:type="dxa"/>
            <w:tcBorders>
              <w:top w:val="single" w:sz="4" w:space="0" w:color="auto"/>
              <w:bottom w:val="single" w:sz="12" w:space="0" w:color="auto"/>
            </w:tcBorders>
            <w:shd w:val="clear" w:color="auto" w:fill="auto"/>
            <w:vAlign w:val="bottom"/>
          </w:tcPr>
          <w:p w:rsidR="00700E06" w:rsidRPr="00700E06" w:rsidRDefault="00700E06" w:rsidP="00700E06">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نوع المؤسسة</w:t>
            </w:r>
          </w:p>
        </w:tc>
        <w:tc>
          <w:tcPr>
            <w:tcW w:w="960" w:type="dxa"/>
            <w:tcBorders>
              <w:top w:val="single" w:sz="4" w:space="0" w:color="auto"/>
              <w:bottom w:val="single" w:sz="12" w:space="0" w:color="auto"/>
            </w:tcBorders>
            <w:shd w:val="clear" w:color="auto" w:fill="auto"/>
            <w:vAlign w:val="bottom"/>
          </w:tcPr>
          <w:p w:rsidR="00700E06" w:rsidRPr="00700E06" w:rsidRDefault="00700E06" w:rsidP="00700E06">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نوع الجنس</w:t>
            </w:r>
          </w:p>
        </w:tc>
        <w:tc>
          <w:tcPr>
            <w:tcW w:w="1200" w:type="dxa"/>
            <w:tcBorders>
              <w:top w:val="single" w:sz="4" w:space="0" w:color="auto"/>
              <w:bottom w:val="single" w:sz="12" w:space="0" w:color="auto"/>
            </w:tcBorders>
            <w:shd w:val="clear" w:color="auto" w:fill="auto"/>
            <w:vAlign w:val="bottom"/>
          </w:tcPr>
          <w:p w:rsidR="00700E06" w:rsidRPr="00700E06" w:rsidRDefault="00700E06" w:rsidP="00700E06">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1999-2000</w:t>
            </w:r>
          </w:p>
        </w:tc>
        <w:tc>
          <w:tcPr>
            <w:tcW w:w="1200" w:type="dxa"/>
            <w:tcBorders>
              <w:top w:val="single" w:sz="4" w:space="0" w:color="auto"/>
              <w:bottom w:val="single" w:sz="12" w:space="0" w:color="auto"/>
            </w:tcBorders>
            <w:shd w:val="clear" w:color="auto" w:fill="auto"/>
            <w:vAlign w:val="bottom"/>
          </w:tcPr>
          <w:p w:rsidR="00700E06" w:rsidRPr="00700E06" w:rsidRDefault="00700E06" w:rsidP="00700E06">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2000-2001</w:t>
            </w:r>
          </w:p>
        </w:tc>
        <w:tc>
          <w:tcPr>
            <w:tcW w:w="1215" w:type="dxa"/>
            <w:tcBorders>
              <w:top w:val="single" w:sz="4" w:space="0" w:color="auto"/>
              <w:bottom w:val="single" w:sz="12" w:space="0" w:color="auto"/>
            </w:tcBorders>
            <w:shd w:val="clear" w:color="auto" w:fill="auto"/>
            <w:vAlign w:val="bottom"/>
          </w:tcPr>
          <w:p w:rsidR="00700E06" w:rsidRPr="00700E06" w:rsidRDefault="00700E06" w:rsidP="00700E06">
            <w:pPr>
              <w:tabs>
                <w:tab w:val="left" w:pos="288"/>
                <w:tab w:val="left" w:pos="576"/>
                <w:tab w:val="left" w:pos="864"/>
                <w:tab w:val="left" w:pos="1152"/>
              </w:tabs>
              <w:spacing w:before="80" w:after="80" w:line="240" w:lineRule="exact"/>
              <w:ind w:left="72" w:right="72"/>
              <w:jc w:val="lowKashida"/>
              <w:rPr>
                <w:rFonts w:hint="cs"/>
                <w:i/>
                <w:iCs/>
                <w:sz w:val="16"/>
                <w:szCs w:val="24"/>
                <w:rtl/>
              </w:rPr>
            </w:pPr>
            <w:r>
              <w:rPr>
                <w:rFonts w:hint="cs"/>
                <w:i/>
                <w:iCs/>
                <w:sz w:val="16"/>
                <w:szCs w:val="24"/>
                <w:rtl/>
              </w:rPr>
              <w:t>2001-2002</w:t>
            </w:r>
          </w:p>
        </w:tc>
      </w:tr>
      <w:tr w:rsidR="00700E06" w:rsidRPr="00700E06">
        <w:tblPrEx>
          <w:tblCellMar>
            <w:top w:w="0" w:type="dxa"/>
            <w:bottom w:w="0" w:type="dxa"/>
          </w:tblCellMar>
        </w:tblPrEx>
        <w:trPr>
          <w:cantSplit/>
          <w:trHeight w:hRule="exact" w:val="115"/>
          <w:tblHeader/>
          <w:jc w:val="center"/>
        </w:trPr>
        <w:tc>
          <w:tcPr>
            <w:tcW w:w="2960" w:type="dxa"/>
            <w:tcBorders>
              <w:top w:val="single" w:sz="12" w:space="0" w:color="auto"/>
            </w:tcBorders>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rPr>
                <w:rFonts w:hint="cs"/>
                <w:sz w:val="16"/>
                <w:szCs w:val="24"/>
                <w:rtl/>
              </w:rPr>
            </w:pPr>
          </w:p>
        </w:tc>
        <w:tc>
          <w:tcPr>
            <w:tcW w:w="960" w:type="dxa"/>
            <w:tcBorders>
              <w:top w:val="single" w:sz="12" w:space="0" w:color="auto"/>
            </w:tcBorders>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00" w:type="dxa"/>
            <w:tcBorders>
              <w:top w:val="single" w:sz="12" w:space="0" w:color="auto"/>
            </w:tcBorders>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00" w:type="dxa"/>
            <w:tcBorders>
              <w:top w:val="single" w:sz="12" w:space="0" w:color="auto"/>
            </w:tcBorders>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15" w:type="dxa"/>
            <w:tcBorders>
              <w:top w:val="single" w:sz="12" w:space="0" w:color="auto"/>
            </w:tcBorders>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6C49CA" w:rsidRPr="00700E06">
        <w:tblPrEx>
          <w:tblCellMar>
            <w:top w:w="0" w:type="dxa"/>
            <w:bottom w:w="0" w:type="dxa"/>
          </w:tblCellMar>
        </w:tblPrEx>
        <w:trPr>
          <w:cantSplit/>
          <w:jc w:val="center"/>
        </w:trPr>
        <w:tc>
          <w:tcPr>
            <w:tcW w:w="2960" w:type="dxa"/>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المؤسسات التجارية</w:t>
            </w:r>
          </w:p>
        </w:tc>
        <w:tc>
          <w:tcPr>
            <w:tcW w:w="960" w:type="dxa"/>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المجموع</w:t>
            </w:r>
          </w:p>
        </w:tc>
        <w:tc>
          <w:tcPr>
            <w:tcW w:w="1200"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947 22</w:t>
            </w:r>
          </w:p>
        </w:tc>
        <w:tc>
          <w:tcPr>
            <w:tcW w:w="1200"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305 22</w:t>
            </w:r>
          </w:p>
        </w:tc>
        <w:tc>
          <w:tcPr>
            <w:tcW w:w="1215"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750 24</w:t>
            </w:r>
          </w:p>
        </w:tc>
      </w:tr>
      <w:tr w:rsidR="006C49CA" w:rsidRPr="00700E06">
        <w:tblPrEx>
          <w:tblCellMar>
            <w:top w:w="0" w:type="dxa"/>
            <w:bottom w:w="0" w:type="dxa"/>
          </w:tblCellMar>
        </w:tblPrEx>
        <w:trPr>
          <w:cantSplit/>
          <w:jc w:val="center"/>
        </w:trPr>
        <w:tc>
          <w:tcPr>
            <w:tcW w:w="2960" w:type="dxa"/>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rPr>
                <w:rFonts w:hint="cs"/>
                <w:sz w:val="16"/>
                <w:szCs w:val="24"/>
                <w:rtl/>
              </w:rPr>
            </w:pPr>
          </w:p>
        </w:tc>
        <w:tc>
          <w:tcPr>
            <w:tcW w:w="960" w:type="dxa"/>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ذكور</w:t>
            </w:r>
          </w:p>
        </w:tc>
        <w:tc>
          <w:tcPr>
            <w:tcW w:w="1200"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283 22</w:t>
            </w:r>
          </w:p>
        </w:tc>
        <w:tc>
          <w:tcPr>
            <w:tcW w:w="1200"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612 21</w:t>
            </w:r>
          </w:p>
        </w:tc>
        <w:tc>
          <w:tcPr>
            <w:tcW w:w="1215"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175 24</w:t>
            </w:r>
          </w:p>
        </w:tc>
      </w:tr>
      <w:tr w:rsidR="006C49CA" w:rsidRPr="00700E06">
        <w:tblPrEx>
          <w:tblCellMar>
            <w:top w:w="0" w:type="dxa"/>
            <w:bottom w:w="0" w:type="dxa"/>
          </w:tblCellMar>
        </w:tblPrEx>
        <w:trPr>
          <w:cantSplit/>
          <w:jc w:val="center"/>
        </w:trPr>
        <w:tc>
          <w:tcPr>
            <w:tcW w:w="2960" w:type="dxa"/>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rPr>
                <w:rFonts w:hint="cs"/>
                <w:sz w:val="16"/>
                <w:szCs w:val="24"/>
                <w:rtl/>
              </w:rPr>
            </w:pPr>
          </w:p>
        </w:tc>
        <w:tc>
          <w:tcPr>
            <w:tcW w:w="960" w:type="dxa"/>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إناث</w:t>
            </w:r>
          </w:p>
        </w:tc>
        <w:tc>
          <w:tcPr>
            <w:tcW w:w="1200"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664</w:t>
            </w:r>
          </w:p>
        </w:tc>
        <w:tc>
          <w:tcPr>
            <w:tcW w:w="1200"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693</w:t>
            </w:r>
          </w:p>
        </w:tc>
        <w:tc>
          <w:tcPr>
            <w:tcW w:w="1215"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575</w:t>
            </w:r>
          </w:p>
        </w:tc>
      </w:tr>
      <w:tr w:rsidR="006C49CA" w:rsidRPr="00700E06">
        <w:tblPrEx>
          <w:tblCellMar>
            <w:top w:w="0" w:type="dxa"/>
            <w:bottom w:w="0" w:type="dxa"/>
          </w:tblCellMar>
        </w:tblPrEx>
        <w:trPr>
          <w:cantSplit/>
          <w:jc w:val="center"/>
        </w:trPr>
        <w:tc>
          <w:tcPr>
            <w:tcW w:w="2960" w:type="dxa"/>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المؤسسات الصناعية/المهنية</w:t>
            </w:r>
          </w:p>
        </w:tc>
        <w:tc>
          <w:tcPr>
            <w:tcW w:w="960" w:type="dxa"/>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المجموع</w:t>
            </w:r>
          </w:p>
        </w:tc>
        <w:tc>
          <w:tcPr>
            <w:tcW w:w="1200"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305 8</w:t>
            </w:r>
          </w:p>
        </w:tc>
        <w:tc>
          <w:tcPr>
            <w:tcW w:w="1200"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053 8</w:t>
            </w:r>
          </w:p>
        </w:tc>
        <w:tc>
          <w:tcPr>
            <w:tcW w:w="1215"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412 8</w:t>
            </w:r>
          </w:p>
        </w:tc>
      </w:tr>
      <w:tr w:rsidR="006C49CA" w:rsidRPr="00700E06">
        <w:tblPrEx>
          <w:tblCellMar>
            <w:top w:w="0" w:type="dxa"/>
            <w:bottom w:w="0" w:type="dxa"/>
          </w:tblCellMar>
        </w:tblPrEx>
        <w:trPr>
          <w:cantSplit/>
          <w:jc w:val="center"/>
        </w:trPr>
        <w:tc>
          <w:tcPr>
            <w:tcW w:w="2960" w:type="dxa"/>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rPr>
                <w:rFonts w:hint="cs"/>
                <w:sz w:val="16"/>
                <w:szCs w:val="24"/>
                <w:rtl/>
              </w:rPr>
            </w:pPr>
          </w:p>
        </w:tc>
        <w:tc>
          <w:tcPr>
            <w:tcW w:w="960" w:type="dxa"/>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ذكور</w:t>
            </w:r>
          </w:p>
        </w:tc>
        <w:tc>
          <w:tcPr>
            <w:tcW w:w="1200"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933 1</w:t>
            </w:r>
          </w:p>
        </w:tc>
        <w:tc>
          <w:tcPr>
            <w:tcW w:w="1200"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719 1</w:t>
            </w:r>
          </w:p>
        </w:tc>
        <w:tc>
          <w:tcPr>
            <w:tcW w:w="1215"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549 1</w:t>
            </w:r>
          </w:p>
        </w:tc>
      </w:tr>
      <w:tr w:rsidR="006C49CA" w:rsidRPr="00700E06">
        <w:tblPrEx>
          <w:tblCellMar>
            <w:top w:w="0" w:type="dxa"/>
            <w:bottom w:w="0" w:type="dxa"/>
          </w:tblCellMar>
        </w:tblPrEx>
        <w:trPr>
          <w:cantSplit/>
          <w:jc w:val="center"/>
        </w:trPr>
        <w:tc>
          <w:tcPr>
            <w:tcW w:w="2960" w:type="dxa"/>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rPr>
                <w:rFonts w:hint="cs"/>
                <w:sz w:val="16"/>
                <w:szCs w:val="24"/>
                <w:rtl/>
              </w:rPr>
            </w:pPr>
          </w:p>
        </w:tc>
        <w:tc>
          <w:tcPr>
            <w:tcW w:w="960" w:type="dxa"/>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إناث</w:t>
            </w:r>
          </w:p>
        </w:tc>
        <w:tc>
          <w:tcPr>
            <w:tcW w:w="1200"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372 6</w:t>
            </w:r>
          </w:p>
        </w:tc>
        <w:tc>
          <w:tcPr>
            <w:tcW w:w="1200"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334 6</w:t>
            </w:r>
          </w:p>
        </w:tc>
        <w:tc>
          <w:tcPr>
            <w:tcW w:w="1215"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863 6</w:t>
            </w:r>
          </w:p>
        </w:tc>
      </w:tr>
      <w:tr w:rsidR="006C49CA" w:rsidRPr="00700E06">
        <w:tblPrEx>
          <w:tblCellMar>
            <w:top w:w="0" w:type="dxa"/>
            <w:bottom w:w="0" w:type="dxa"/>
          </w:tblCellMar>
        </w:tblPrEx>
        <w:trPr>
          <w:cantSplit/>
          <w:jc w:val="center"/>
        </w:trPr>
        <w:tc>
          <w:tcPr>
            <w:tcW w:w="2960" w:type="dxa"/>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مؤسسات الفنون التطبيقية/المؤسسات التقنية</w:t>
            </w:r>
          </w:p>
        </w:tc>
        <w:tc>
          <w:tcPr>
            <w:tcW w:w="960" w:type="dxa"/>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المجموع</w:t>
            </w:r>
          </w:p>
        </w:tc>
        <w:tc>
          <w:tcPr>
            <w:tcW w:w="1200"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350 33</w:t>
            </w:r>
          </w:p>
        </w:tc>
        <w:tc>
          <w:tcPr>
            <w:tcW w:w="1200"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435 31</w:t>
            </w:r>
          </w:p>
        </w:tc>
        <w:tc>
          <w:tcPr>
            <w:tcW w:w="1215"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423 31</w:t>
            </w:r>
          </w:p>
        </w:tc>
      </w:tr>
      <w:tr w:rsidR="006C49CA" w:rsidRPr="00700E06">
        <w:tblPrEx>
          <w:tblCellMar>
            <w:top w:w="0" w:type="dxa"/>
            <w:bottom w:w="0" w:type="dxa"/>
          </w:tblCellMar>
        </w:tblPrEx>
        <w:trPr>
          <w:cantSplit/>
          <w:jc w:val="center"/>
        </w:trPr>
        <w:tc>
          <w:tcPr>
            <w:tcW w:w="2960" w:type="dxa"/>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rPr>
                <w:rFonts w:hint="cs"/>
                <w:sz w:val="16"/>
                <w:szCs w:val="24"/>
                <w:rtl/>
              </w:rPr>
            </w:pPr>
          </w:p>
        </w:tc>
        <w:tc>
          <w:tcPr>
            <w:tcW w:w="960" w:type="dxa"/>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ذكور</w:t>
            </w:r>
          </w:p>
        </w:tc>
        <w:tc>
          <w:tcPr>
            <w:tcW w:w="1200"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782 30</w:t>
            </w:r>
          </w:p>
        </w:tc>
        <w:tc>
          <w:tcPr>
            <w:tcW w:w="1200"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760 28</w:t>
            </w:r>
          </w:p>
        </w:tc>
        <w:tc>
          <w:tcPr>
            <w:tcW w:w="1215" w:type="dxa"/>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597 28</w:t>
            </w:r>
          </w:p>
        </w:tc>
      </w:tr>
      <w:tr w:rsidR="006C49CA" w:rsidRPr="00700E06">
        <w:tblPrEx>
          <w:tblCellMar>
            <w:top w:w="0" w:type="dxa"/>
            <w:bottom w:w="0" w:type="dxa"/>
          </w:tblCellMar>
        </w:tblPrEx>
        <w:trPr>
          <w:cantSplit/>
          <w:jc w:val="center"/>
        </w:trPr>
        <w:tc>
          <w:tcPr>
            <w:tcW w:w="2960" w:type="dxa"/>
            <w:tcBorders>
              <w:bottom w:val="single" w:sz="12" w:space="0" w:color="auto"/>
            </w:tcBorders>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rPr>
                <w:rFonts w:hint="cs"/>
                <w:sz w:val="16"/>
                <w:szCs w:val="24"/>
                <w:rtl/>
              </w:rPr>
            </w:pPr>
          </w:p>
        </w:tc>
        <w:tc>
          <w:tcPr>
            <w:tcW w:w="960" w:type="dxa"/>
            <w:tcBorders>
              <w:bottom w:val="single" w:sz="12" w:space="0" w:color="auto"/>
            </w:tcBorders>
            <w:shd w:val="clear" w:color="auto" w:fill="auto"/>
            <w:vAlign w:val="bottom"/>
          </w:tcPr>
          <w:p w:rsidR="00700E06" w:rsidRPr="00700E06" w:rsidRDefault="00700E06"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إناث</w:t>
            </w:r>
          </w:p>
        </w:tc>
        <w:tc>
          <w:tcPr>
            <w:tcW w:w="1200" w:type="dxa"/>
            <w:tcBorders>
              <w:bottom w:val="single" w:sz="12" w:space="0" w:color="auto"/>
            </w:tcBorders>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568 2</w:t>
            </w:r>
          </w:p>
        </w:tc>
        <w:tc>
          <w:tcPr>
            <w:tcW w:w="1200" w:type="dxa"/>
            <w:tcBorders>
              <w:bottom w:val="single" w:sz="12" w:space="0" w:color="auto"/>
            </w:tcBorders>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675 2</w:t>
            </w:r>
          </w:p>
        </w:tc>
        <w:tc>
          <w:tcPr>
            <w:tcW w:w="1215" w:type="dxa"/>
            <w:tcBorders>
              <w:bottom w:val="single" w:sz="12" w:space="0" w:color="auto"/>
            </w:tcBorders>
            <w:shd w:val="clear" w:color="auto" w:fill="auto"/>
            <w:vAlign w:val="bottom"/>
          </w:tcPr>
          <w:p w:rsidR="00700E06" w:rsidRPr="00700E06" w:rsidRDefault="006C49CA" w:rsidP="00700E06">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826 2</w:t>
            </w:r>
          </w:p>
        </w:tc>
      </w:tr>
    </w:tbl>
    <w:p w:rsidR="00700E06" w:rsidRPr="00700E06" w:rsidRDefault="00700E06" w:rsidP="00700E06">
      <w:pPr>
        <w:pStyle w:val="SingleTxt"/>
        <w:spacing w:after="0" w:line="120" w:lineRule="exact"/>
        <w:rPr>
          <w:rFonts w:hint="cs"/>
          <w:sz w:val="10"/>
          <w:rtl/>
        </w:rPr>
      </w:pPr>
    </w:p>
    <w:p w:rsidR="00B22DC4" w:rsidRPr="00700E06" w:rsidRDefault="00700E06" w:rsidP="00700E0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Pr>
          <w:rFonts w:hint="cs"/>
          <w:i/>
          <w:iCs/>
          <w:rtl/>
        </w:rPr>
        <w:t>المصدر</w:t>
      </w:r>
      <w:r>
        <w:rPr>
          <w:rFonts w:hint="cs"/>
          <w:rtl/>
        </w:rPr>
        <w:t>: نشرة الإحصاءات الشهرية، كانون الأول/ديسمبر 2003، مكتب الإحصاءات الاتحادي، الجدول 4-5 (معدل)</w:t>
      </w:r>
    </w:p>
    <w:p w:rsidR="00700E06" w:rsidRPr="00700E06" w:rsidRDefault="00700E06" w:rsidP="00700E06">
      <w:pPr>
        <w:pStyle w:val="SingleTxt"/>
        <w:spacing w:after="0" w:line="120" w:lineRule="exact"/>
        <w:rPr>
          <w:rFonts w:hint="cs"/>
          <w:sz w:val="10"/>
          <w:rtl/>
        </w:rPr>
      </w:pPr>
    </w:p>
    <w:p w:rsidR="00700E06" w:rsidRDefault="00700E06" w:rsidP="00700E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D5F2E">
        <w:rPr>
          <w:rFonts w:hint="cs"/>
          <w:rtl/>
        </w:rPr>
        <w:t>توفر نفس المناهج الدراسية، ونفس الامتحانات وهيئات تدريسية تتمتع بمؤهلات في نفس المستوى ومبان ومعدات مدرسية من نفس النوعية</w:t>
      </w:r>
    </w:p>
    <w:p w:rsidR="000D5F2E" w:rsidRDefault="000D5F2E" w:rsidP="000D5F2E">
      <w:pPr>
        <w:pStyle w:val="SingleTxt"/>
        <w:rPr>
          <w:rFonts w:hint="cs"/>
          <w:rtl/>
        </w:rPr>
      </w:pPr>
      <w:r>
        <w:rPr>
          <w:rFonts w:hint="cs"/>
          <w:rtl/>
        </w:rPr>
        <w:t>220-</w:t>
      </w:r>
      <w:r>
        <w:rPr>
          <w:rFonts w:hint="cs"/>
          <w:rtl/>
        </w:rPr>
        <w:tab/>
        <w:t>يوجد فرع للمناهج الدراسية في وزارة التعليم. وهو مكلف بالقيام بما يلي: (أ)</w:t>
      </w:r>
      <w:r>
        <w:rPr>
          <w:rFonts w:hint="eastAsia"/>
          <w:rtl/>
        </w:rPr>
        <w:t> </w:t>
      </w:r>
      <w:r>
        <w:rPr>
          <w:rFonts w:hint="cs"/>
          <w:rtl/>
        </w:rPr>
        <w:t>إعداد المخطط الدراسي (ب) تطوير المناهج الدراسية (ج) وضع أو إعداد الكتب المدرسية وكتب القراءة التكميلية (د) وضع استراتيجية لتنفيذ عمليات إصلاح المناهج الدراسية (هـ) استعراض الكتب المدرسية التي تنتجها وكالات أخرى مثل مجالس الكتب الدراسية واعتماد هذه الكتب (و) إعداد مواد من قبيل أدلة المعلمين، والخطط الدراسية، وبنود الامتحانات.</w:t>
      </w:r>
    </w:p>
    <w:p w:rsidR="000D5F2E" w:rsidRDefault="000D5F2E" w:rsidP="000D5F2E">
      <w:pPr>
        <w:pStyle w:val="SingleTxt"/>
        <w:rPr>
          <w:rFonts w:hint="cs"/>
          <w:rtl/>
        </w:rPr>
      </w:pPr>
      <w:r>
        <w:rPr>
          <w:rFonts w:hint="cs"/>
          <w:rtl/>
        </w:rPr>
        <w:t>221-</w:t>
      </w:r>
      <w:r>
        <w:rPr>
          <w:rFonts w:hint="cs"/>
          <w:rtl/>
        </w:rPr>
        <w:tab/>
      </w:r>
      <w:r w:rsidR="008E3024">
        <w:rPr>
          <w:rFonts w:hint="cs"/>
          <w:rtl/>
        </w:rPr>
        <w:t>ويجري، في الوقت الراهن، تنقيح المناهج الدراسية لإدراج مواد منها حقوق الإنسان، وفيروس نقص المناعة البشرية/متلازمة نقص المناعة المكتسب - الصحة، ورعاية السكان، وما إلى ذلك. وتم وضع منهج دراسي للتثقيف في مجال حقوق الإنسان للصفوف من الأول إلى العاشر واعتماده من وزارة التعليم. ويجري إدراج مفهوم حقوق الإنسان في الكتب المدرسية للصفوف من الرابع إلى العاشر. كما أدرج كذلك مفهوم التعليم الوقائي لمكافحة فيروس نقص المناعة البشرية/الإيدز، في المنهج الدراسي. وتم أيضا وضع كتيب لتدريب المعلمين على المستوى الابتدائي. وهناك قطاع من السكان غير مرتاح لهذا التطور.</w:t>
      </w:r>
    </w:p>
    <w:p w:rsidR="008E3024" w:rsidRDefault="008E3024" w:rsidP="000D5F2E">
      <w:pPr>
        <w:pStyle w:val="SingleTxt"/>
        <w:rPr>
          <w:rFonts w:hint="cs"/>
          <w:rtl/>
        </w:rPr>
      </w:pPr>
      <w:r>
        <w:rPr>
          <w:rFonts w:hint="cs"/>
          <w:rtl/>
        </w:rPr>
        <w:t>222-</w:t>
      </w:r>
      <w:r>
        <w:rPr>
          <w:rFonts w:hint="cs"/>
          <w:rtl/>
        </w:rPr>
        <w:tab/>
        <w:t>ونفس المنهج الدراسي متاح للبنات والبنين على السواء في باكستان. وتدرس المواد نفسها لجميع الطلاب سواء كانوا ذكورا أو إناثا، على المستوى الابتدائي (الصف الأول إلى الثامن). غير أن هناك بعض المواد الإضافية التي تقدم للطالبات في التعليم الثانوي والعالي، منها الاقتصاد المنزلي، نظرا للإقبال عليها. ولا توجد قيود أو تحفظات أو تمييز ضد المرأة في سعيها إلى التعليم، كمسألة سياسة عامة. وأغلب الطالبات على وعي بالخيارات المتاحة لهن ويمارسنها بصورة متزايدة.</w:t>
      </w:r>
    </w:p>
    <w:p w:rsidR="008E3024" w:rsidRDefault="008E3024" w:rsidP="000D5F2E">
      <w:pPr>
        <w:pStyle w:val="SingleTxt"/>
        <w:rPr>
          <w:rFonts w:hint="cs"/>
          <w:rtl/>
        </w:rPr>
      </w:pPr>
      <w:r>
        <w:rPr>
          <w:rFonts w:hint="cs"/>
          <w:rtl/>
        </w:rPr>
        <w:t>223-</w:t>
      </w:r>
      <w:r>
        <w:rPr>
          <w:rFonts w:hint="cs"/>
          <w:rtl/>
        </w:rPr>
        <w:tab/>
        <w:t>وليس هناك فرق بين أوراق الإجابة المعدة للطلاب أو الطالبات على جميع مستويات التعليم أو في أسلوب تقديرها. فالورقات تحدد بأرقام الجلوس ابتداء من الصف العاشر فما فوق، ولا يستطيع الممتحن أن يعرف إذا كانت الورقة موضع التقدير لطالب أو طالبة.</w:t>
      </w:r>
    </w:p>
    <w:p w:rsidR="008E3024" w:rsidRDefault="008E3024" w:rsidP="009E10E9">
      <w:pPr>
        <w:pStyle w:val="SingleTxt"/>
        <w:rPr>
          <w:rFonts w:hint="cs"/>
          <w:rtl/>
        </w:rPr>
      </w:pPr>
      <w:r>
        <w:rPr>
          <w:rFonts w:hint="cs"/>
          <w:rtl/>
        </w:rPr>
        <w:t>224-</w:t>
      </w:r>
      <w:r>
        <w:rPr>
          <w:rFonts w:hint="cs"/>
          <w:rtl/>
        </w:rPr>
        <w:tab/>
        <w:t>ولا يوجد فرق بين هيئة التدريس في مدارس البنين أو البنات. والمباني المدرسية متماثلة بشكل أو بآخر. غير أن هذا يؤدي إلى بعض الصعوبات بالنسبة للبنات. وتتسم المدارس الحكومية، عموما، بضعف الهياكل الأساسية، ومرافق الدعم، مثل دورات المياه. ويزداد ذلك في حالة المناطق الريفية. وغياب مرافق دورات المياه مُحبط للطالبات. وتتحسن الحالة على مستوى الجامعة وما بعدها حيث يوجد نظام للتعليم المشترك وتكون قاعات الدراسة والمكتبات والمختبرات، وما إلى ذلك، نفسها للرجال والنساء. وهناك أيضا شواغل هامة بالنسبة للطالبات فيما يتصل بالمسافات والمسائل الأمنية، على جميع مستويات التعليم.</w:t>
      </w:r>
    </w:p>
    <w:p w:rsidR="008E3024" w:rsidRDefault="008E3024" w:rsidP="009E10E9">
      <w:pPr>
        <w:pStyle w:val="SingleTxt"/>
        <w:rPr>
          <w:rFonts w:hint="cs"/>
          <w:rtl/>
        </w:rPr>
      </w:pPr>
      <w:r>
        <w:rPr>
          <w:rFonts w:hint="cs"/>
          <w:rtl/>
        </w:rPr>
        <w:t>225-</w:t>
      </w:r>
      <w:r>
        <w:rPr>
          <w:rFonts w:hint="cs"/>
          <w:rtl/>
        </w:rPr>
        <w:tab/>
        <w:t xml:space="preserve">وكان معدل الطالبات إلى المعلمين في المدارس الابتدائية والمتوسطة والثانوية 65-1، و </w:t>
      </w:r>
      <w:r w:rsidR="009E10E9">
        <w:rPr>
          <w:rFonts w:hint="cs"/>
          <w:rtl/>
        </w:rPr>
        <w:t>36:1</w:t>
      </w:r>
      <w:r>
        <w:rPr>
          <w:rFonts w:hint="cs"/>
          <w:rtl/>
        </w:rPr>
        <w:t xml:space="preserve">، و </w:t>
      </w:r>
      <w:r w:rsidR="009E10E9">
        <w:rPr>
          <w:rFonts w:hint="cs"/>
          <w:rtl/>
        </w:rPr>
        <w:t>11:1</w:t>
      </w:r>
      <w:r>
        <w:rPr>
          <w:rFonts w:hint="cs"/>
          <w:rtl/>
        </w:rPr>
        <w:t xml:space="preserve"> في الفترة 2001-2002. وكانت المعدلات الخاصة بالطلاب 53-1، </w:t>
      </w:r>
      <w:r w:rsidR="009E10E9">
        <w:rPr>
          <w:rFonts w:hint="cs"/>
          <w:rtl/>
        </w:rPr>
        <w:t>45:1</w:t>
      </w:r>
      <w:r>
        <w:rPr>
          <w:rFonts w:hint="cs"/>
          <w:rtl/>
        </w:rPr>
        <w:t xml:space="preserve">، و </w:t>
      </w:r>
      <w:r w:rsidR="009E10E9">
        <w:rPr>
          <w:rFonts w:hint="cs"/>
          <w:rtl/>
        </w:rPr>
        <w:t>9:1</w:t>
      </w:r>
      <w:r>
        <w:rPr>
          <w:rFonts w:hint="cs"/>
          <w:rtl/>
        </w:rPr>
        <w:t>. ما يبين أن معدل الطلاب إلى المعلمين في التعليم الابتدائي والثانوي كان أفضل بالنسبة للطلاب، بينما كان أفضل بالنسبة للطالبات في التعليم المتوسط.</w:t>
      </w:r>
    </w:p>
    <w:p w:rsidR="008E3024" w:rsidRDefault="008E3024" w:rsidP="008E3024">
      <w:pPr>
        <w:pStyle w:val="SingleTxt"/>
        <w:rPr>
          <w:rFonts w:hint="cs"/>
          <w:rtl/>
        </w:rPr>
      </w:pPr>
      <w:r>
        <w:rPr>
          <w:rFonts w:hint="cs"/>
          <w:rtl/>
        </w:rPr>
        <w:t>226-</w:t>
      </w:r>
      <w:r>
        <w:rPr>
          <w:rFonts w:hint="cs"/>
          <w:rtl/>
        </w:rPr>
        <w:tab/>
        <w:t>وجميع هيئة التدريس والرؤساء الإداريين (المديرون والمدرسون الأوائل) في المؤسسات التعليمية للبنات من النساء، على المستويات كافة. ومديرو نحو جميع المدارس النموذجية ومؤسسات التعليم المشترك على المستوى الابتدائي، والمدرسون الأوائل فيها، من النساء. وقد قامت الموظفات الإداريات بإدارة هذه المؤسسات حتى مستوى المنطقة، بل قامت بالإدارة والتنظيم أيضا.</w:t>
      </w:r>
    </w:p>
    <w:p w:rsidR="008E3024" w:rsidRPr="008E3024" w:rsidRDefault="008E3024" w:rsidP="008E3024">
      <w:pPr>
        <w:pStyle w:val="SingleTxt"/>
        <w:spacing w:after="0" w:line="120" w:lineRule="exact"/>
        <w:rPr>
          <w:rFonts w:hint="cs"/>
          <w:sz w:val="10"/>
          <w:rtl/>
        </w:rPr>
      </w:pPr>
    </w:p>
    <w:p w:rsidR="008E3024" w:rsidRDefault="008E3024" w:rsidP="008E30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القضاء على أي مفهوم نمطي عن دور الرجل ودور المرأة على جميع مستويات التعليم وفي جميع أشكاله عن طريق تشجيع التعليم المشترك وغيره من أنواع التعليم التي تساعد في تحقيق هذا ال</w:t>
      </w:r>
      <w:r w:rsidR="009E10E9">
        <w:rPr>
          <w:rFonts w:hint="cs"/>
          <w:rtl/>
        </w:rPr>
        <w:t>ه</w:t>
      </w:r>
      <w:r>
        <w:rPr>
          <w:rFonts w:hint="cs"/>
          <w:rtl/>
        </w:rPr>
        <w:t>دف ولا سيما عن طريق تنقيح كتب الدراسة والبرامج المدرسية وتكييف أساليب التعليم</w:t>
      </w:r>
    </w:p>
    <w:p w:rsidR="008E3024" w:rsidRDefault="008E3024" w:rsidP="009E10E9">
      <w:pPr>
        <w:pStyle w:val="SingleTxt"/>
        <w:rPr>
          <w:rFonts w:hint="cs"/>
          <w:rtl/>
        </w:rPr>
      </w:pPr>
      <w:r>
        <w:rPr>
          <w:rFonts w:hint="cs"/>
          <w:rtl/>
        </w:rPr>
        <w:t>227-</w:t>
      </w:r>
      <w:r>
        <w:rPr>
          <w:rFonts w:hint="cs"/>
          <w:rtl/>
        </w:rPr>
        <w:tab/>
        <w:t xml:space="preserve">توضع المناهج الدراسية في باكستان مع العناية المناسبة بضمان نشأة الطلاب كمواطنين مسؤولين لباكستان. وليس هناك جهد مقصود </w:t>
      </w:r>
      <w:r w:rsidR="00CB09A0">
        <w:rPr>
          <w:rFonts w:hint="cs"/>
          <w:rtl/>
        </w:rPr>
        <w:t>لنقل المفاهيم النمطية للجنسين في المناهج الدراسية، على ما يبدو.</w:t>
      </w:r>
    </w:p>
    <w:p w:rsidR="00CB09A0" w:rsidRDefault="00CB09A0" w:rsidP="008E3024">
      <w:pPr>
        <w:pStyle w:val="SingleTxt"/>
        <w:rPr>
          <w:rFonts w:hint="cs"/>
          <w:rtl/>
        </w:rPr>
      </w:pPr>
      <w:r>
        <w:rPr>
          <w:rFonts w:hint="cs"/>
          <w:rtl/>
        </w:rPr>
        <w:t>228-</w:t>
      </w:r>
      <w:r>
        <w:rPr>
          <w:rFonts w:hint="cs"/>
          <w:rtl/>
        </w:rPr>
        <w:tab/>
        <w:t xml:space="preserve">وبصورة عامة، يسمح بالتعليم المشترك حتى مستوى التعليم الابتدائي (حتى الصف الخامس). ويسمح به بعد ذلك في حالة وجود المرافق والخدمات اللازمة للطالبات وسهولة الوصول إليها. وفي هذه الحالات، يسمح للطالبات بالحضور في المؤسسات التعليمية المعدة للطلاب. غير أنه لا يوجد ترتيب من هذا النوع بالنسبة للطلاب. والتعليم المشترك موجود في الكليات المهنية وأغلب الكليات الجامعية، باستثناء مؤسسات التعليم العالي المخصصة للنساء، حصرا. والتعليم </w:t>
      </w:r>
      <w:r w:rsidR="009E10E9">
        <w:rPr>
          <w:rFonts w:hint="cs"/>
          <w:rtl/>
        </w:rPr>
        <w:t>ال</w:t>
      </w:r>
      <w:r>
        <w:rPr>
          <w:rFonts w:hint="cs"/>
          <w:rtl/>
        </w:rPr>
        <w:t>مشترك موجود في المدارس الخاصة، بصورة عامة.</w:t>
      </w:r>
    </w:p>
    <w:p w:rsidR="00CB09A0" w:rsidRDefault="00CB09A0" w:rsidP="008E3024">
      <w:pPr>
        <w:pStyle w:val="SingleTxt"/>
        <w:rPr>
          <w:rFonts w:hint="cs"/>
          <w:rtl/>
        </w:rPr>
      </w:pPr>
      <w:r>
        <w:rPr>
          <w:rFonts w:hint="cs"/>
          <w:rtl/>
        </w:rPr>
        <w:t>229-</w:t>
      </w:r>
      <w:r>
        <w:rPr>
          <w:rFonts w:hint="cs"/>
          <w:rtl/>
        </w:rPr>
        <w:tab/>
        <w:t>نفس الفرص للاستفادة من المنح التعليمية وغيرها من المنح الدراسية.</w:t>
      </w:r>
    </w:p>
    <w:p w:rsidR="00CB09A0" w:rsidRDefault="00CB09A0" w:rsidP="009E10E9">
      <w:pPr>
        <w:pStyle w:val="SingleTxt"/>
        <w:rPr>
          <w:rFonts w:hint="cs"/>
          <w:rtl/>
        </w:rPr>
      </w:pPr>
      <w:r>
        <w:rPr>
          <w:rFonts w:hint="cs"/>
          <w:rtl/>
        </w:rPr>
        <w:t>230-</w:t>
      </w:r>
      <w:r>
        <w:rPr>
          <w:rFonts w:hint="cs"/>
          <w:rtl/>
        </w:rPr>
        <w:tab/>
        <w:t xml:space="preserve">هناك عدة مشاريع وبرامج </w:t>
      </w:r>
      <w:r w:rsidR="009E10E9">
        <w:rPr>
          <w:rFonts w:hint="cs"/>
          <w:rtl/>
        </w:rPr>
        <w:t>ل</w:t>
      </w:r>
      <w:r>
        <w:rPr>
          <w:rFonts w:hint="cs"/>
          <w:rtl/>
        </w:rPr>
        <w:t xml:space="preserve">لهبات والمنح التعليمية متاحة للطلاب والطالبات في القطاعين الخاص والعام على السواء. وتشمل هذه المنح، توفير الكتب والأزياء الموحدة المجانية، وتسهيلات القروض الائتمانية </w:t>
      </w:r>
      <w:proofErr w:type="spellStart"/>
      <w:r>
        <w:rPr>
          <w:rFonts w:hint="cs"/>
          <w:rtl/>
        </w:rPr>
        <w:t>التساهلية</w:t>
      </w:r>
      <w:proofErr w:type="spellEnd"/>
      <w:r>
        <w:rPr>
          <w:rFonts w:hint="cs"/>
          <w:rtl/>
        </w:rPr>
        <w:t xml:space="preserve"> وإعفاءات من رسوم الدراسة. وتكون المنح الدراسية الخاصة بالأداء الأكاديمي، على أساس مفتوح للجدارة.</w:t>
      </w:r>
    </w:p>
    <w:p w:rsidR="00CB09A0" w:rsidRDefault="00CB09A0" w:rsidP="008E3024">
      <w:pPr>
        <w:pStyle w:val="SingleTxt"/>
        <w:rPr>
          <w:rFonts w:hint="cs"/>
          <w:rtl/>
        </w:rPr>
      </w:pPr>
      <w:r>
        <w:rPr>
          <w:rFonts w:hint="cs"/>
          <w:rtl/>
        </w:rPr>
        <w:t>231-</w:t>
      </w:r>
      <w:r>
        <w:rPr>
          <w:rFonts w:hint="cs"/>
          <w:rtl/>
        </w:rPr>
        <w:tab/>
        <w:t>ولا توجد تحفظات أو فروق أو تمييز ضد المرأة في سعيها إلى المنح الدراسية للجدارة والحصول عليها. والفتيات والنساء مؤهلات بنفس القدر للحصول على المنح الدراسية المقدمة للدراسات التي تتم داخل البلد أو في الخارج.</w:t>
      </w:r>
    </w:p>
    <w:p w:rsidR="00CB09A0" w:rsidRPr="00CB09A0" w:rsidRDefault="00CB09A0" w:rsidP="00CB09A0">
      <w:pPr>
        <w:pStyle w:val="SingleTxt"/>
        <w:spacing w:after="0" w:line="120" w:lineRule="exact"/>
        <w:rPr>
          <w:rFonts w:hint="cs"/>
          <w:sz w:val="10"/>
          <w:rtl/>
        </w:rPr>
      </w:pPr>
    </w:p>
    <w:p w:rsidR="00CB09A0" w:rsidRDefault="00CB09A0" w:rsidP="00CB09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نفس الفرص للوصول إلى 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p w:rsidR="00CB09A0" w:rsidRDefault="00CB09A0" w:rsidP="00CB09A0">
      <w:pPr>
        <w:pStyle w:val="SingleTxt"/>
        <w:rPr>
          <w:rFonts w:hint="cs"/>
          <w:rtl/>
        </w:rPr>
      </w:pPr>
      <w:r>
        <w:rPr>
          <w:rFonts w:hint="cs"/>
          <w:rtl/>
        </w:rPr>
        <w:t>232-</w:t>
      </w:r>
      <w:r>
        <w:rPr>
          <w:rFonts w:hint="cs"/>
          <w:rtl/>
        </w:rPr>
        <w:tab/>
        <w:t>تتاح للمرأة نفس الفرص المتاحة للرجل للحصول على التعليم المتواصل. بيد أن هناك صعوبات عملية. فبُعد المسافة من المنزل إلى المؤسسة التعليمية يظل من الاعتبارات الهامة من المستوى الابتدائي إلى أعلى مستويات التعليم. ومن المحتمل أن تضطر المرأة إلى ترك منزلها والإقامة في بيت للطالبات لمواصلة دراساتها، عند المستويات العليا للتعليم. وبعض الآباء غير مستعدين لإرسال بناتهم بعيدا عن المنزل. وبالمثل، فبعض النساء غير مستعدات للذهاب إلى أماكن جديدة إلا في حالة ضمان الأمان ووجود الترتيبات المعقولة.</w:t>
      </w:r>
    </w:p>
    <w:p w:rsidR="00CB09A0" w:rsidRDefault="00CB09A0" w:rsidP="00CB09A0">
      <w:pPr>
        <w:pStyle w:val="SingleTxt"/>
        <w:rPr>
          <w:rFonts w:hint="cs"/>
          <w:rtl/>
        </w:rPr>
      </w:pPr>
      <w:r>
        <w:rPr>
          <w:rFonts w:hint="cs"/>
          <w:rtl/>
        </w:rPr>
        <w:t>233-</w:t>
      </w:r>
      <w:r>
        <w:rPr>
          <w:rFonts w:hint="cs"/>
          <w:rtl/>
        </w:rPr>
        <w:tab/>
        <w:t>وتوجد مدارس لمحو أمية الكبار في المناطق الريفية والحضرية، للنساء والرجال على السواء، من أجل تشجيع محو الأمية الوظيفية. ويدير هذه الفصول المعلمون المحليون في المساء، عادة. وقد افتتحت هذه المدارس في إطار برنامج لتحسين مستويات الإلمام بالقراءة والكتابة في منتصف الثمانينات. وهناك حاليا 000 10 مركز لمحو أمية الكبار، يق</w:t>
      </w:r>
      <w:r w:rsidR="00814492">
        <w:rPr>
          <w:rFonts w:hint="cs"/>
          <w:rtl/>
        </w:rPr>
        <w:t>د</w:t>
      </w:r>
      <w:r>
        <w:rPr>
          <w:rFonts w:hint="cs"/>
          <w:rtl/>
        </w:rPr>
        <w:t>م نحو 90 في المائة منها هذه الخدمات للمرأة. ويتراوح متوسط التسجيل في هذه المدارس بين 30 و</w:t>
      </w:r>
      <w:r>
        <w:rPr>
          <w:rFonts w:hint="eastAsia"/>
          <w:rtl/>
        </w:rPr>
        <w:t> </w:t>
      </w:r>
      <w:r>
        <w:rPr>
          <w:rFonts w:hint="cs"/>
          <w:rtl/>
        </w:rPr>
        <w:t>40 من الطلاب.</w:t>
      </w:r>
    </w:p>
    <w:p w:rsidR="00CB09A0" w:rsidRDefault="00CB09A0" w:rsidP="00CB09A0">
      <w:pPr>
        <w:pStyle w:val="SingleTxt"/>
        <w:rPr>
          <w:rFonts w:hint="cs"/>
          <w:rtl/>
        </w:rPr>
      </w:pPr>
      <w:r>
        <w:rPr>
          <w:rFonts w:hint="cs"/>
          <w:rtl/>
        </w:rPr>
        <w:t>234-</w:t>
      </w:r>
      <w:r>
        <w:rPr>
          <w:rFonts w:hint="cs"/>
          <w:rtl/>
        </w:rPr>
        <w:tab/>
        <w:t>خفض معدلات ترك المدرسة، قبل الأوان، بين الطالبات وتنظيم برامج للفتيات والنساء اللائي يتركن المدرسة قبل الأوان.</w:t>
      </w:r>
    </w:p>
    <w:p w:rsidR="00CB09A0" w:rsidRDefault="00CB09A0" w:rsidP="00814492">
      <w:pPr>
        <w:pStyle w:val="SingleTxt"/>
        <w:rPr>
          <w:rFonts w:hint="cs"/>
          <w:rtl/>
        </w:rPr>
      </w:pPr>
      <w:r>
        <w:rPr>
          <w:rFonts w:hint="cs"/>
          <w:rtl/>
        </w:rPr>
        <w:t>235-</w:t>
      </w:r>
      <w:r>
        <w:rPr>
          <w:rFonts w:hint="cs"/>
          <w:rtl/>
        </w:rPr>
        <w:tab/>
        <w:t>من المؤسف أن معدل ترك البنين والبنات للمدرسة، قبل الأوان، مرتفع. ويرجع ذلك إلى أسباب اقتصادية، بدرجة كبيرة. وتبلغ معدلات ترك الإناث للمدرسة قبل الأوان، في المناطق الحضرية والريفية 8 و 20 على التوالي، بينما تصل إلى 13 و 16 على التوالي، بين الذكور (أرقام الفترة 2001-2002)، مما يوضح أن معدلات الانقطاع عن الدراسة في المناطق الحضرية أكثر ارتفاعا بين الذكور مع زيادة ارتفاعها بين الإناث في المناطق الريفية.</w:t>
      </w:r>
    </w:p>
    <w:p w:rsidR="00CB09A0" w:rsidRDefault="00CB09A0" w:rsidP="00CB09A0">
      <w:pPr>
        <w:pStyle w:val="SingleTxt"/>
        <w:rPr>
          <w:rFonts w:hint="cs"/>
          <w:rtl/>
        </w:rPr>
      </w:pPr>
      <w:r>
        <w:rPr>
          <w:rFonts w:hint="cs"/>
          <w:rtl/>
        </w:rPr>
        <w:t>236-</w:t>
      </w:r>
      <w:r>
        <w:rPr>
          <w:rFonts w:hint="cs"/>
          <w:rtl/>
        </w:rPr>
        <w:tab/>
        <w:t>وقد لقت هذه المسألة اهتماما كبيرا ومن المتوقع أن تبقى الطفلة في المدرسة حتى سن العاشرة (يقبل الأطفال في المدرسة، عادة، في سن الخامسة) مع تنفيذ سياسة التعليم الإلزامي (المستوى الابتدائي).</w:t>
      </w:r>
    </w:p>
    <w:p w:rsidR="00CB09A0" w:rsidRDefault="00CB09A0" w:rsidP="00CB09A0">
      <w:pPr>
        <w:pStyle w:val="SingleTxt"/>
        <w:rPr>
          <w:rFonts w:hint="cs"/>
          <w:rtl/>
        </w:rPr>
      </w:pPr>
      <w:r>
        <w:rPr>
          <w:rFonts w:hint="cs"/>
          <w:rtl/>
        </w:rPr>
        <w:t>237-</w:t>
      </w:r>
      <w:r>
        <w:rPr>
          <w:rFonts w:hint="cs"/>
          <w:rtl/>
        </w:rPr>
        <w:tab/>
        <w:t>وبدأت مقاطعة بنجاب (وهي أكبر المقاطعات في باكستان وتحتوي على 50 في المائة من سكان البلد) مشروعا يمنح الطالبات في الصف السادس إلى الصف الثامن راتبا وكتبا مدرسية مجانية كحافز للاحتفاظ بهن في المدارس. ويجري ذلك في إطار برامج عمليات إصلاح قطاع التعليم في بنجاب الذي يجري تنفيذه بتكلفة 21.7 بليون روبية (374 مليون من دولارات الولايات المتحدة) لمدة 3 سنوات من أجل توفير الكتب المدرسية المجانية، والرواتب للفتيات، وتدريب المعلمين وبناء القدرات وتنشيط المجالس المدرسية.</w:t>
      </w:r>
    </w:p>
    <w:p w:rsidR="00CB09A0" w:rsidRDefault="00CB09A0" w:rsidP="00CB09A0">
      <w:pPr>
        <w:pStyle w:val="SingleTxt"/>
        <w:rPr>
          <w:rFonts w:hint="cs"/>
          <w:rtl/>
        </w:rPr>
      </w:pPr>
      <w:r>
        <w:rPr>
          <w:rFonts w:hint="cs"/>
          <w:rtl/>
        </w:rPr>
        <w:t>238-</w:t>
      </w:r>
      <w:r>
        <w:rPr>
          <w:rFonts w:hint="cs"/>
          <w:rtl/>
        </w:rPr>
        <w:tab/>
        <w:t>وقامت الحكومة كذلك بإنشاء مدارس للتعليم الأساسي غير الرسمي. ويوجد حاليا 045 8 من هذه المدارس، منها 685 7 مدرسة للبنات في جميع المقاطعات. وتبلغ نسبة النساء بين معلمي تلك المدارس، 80 في المائة. ويبلغ عدد الطالبات المسجلات 345 310 طالبة (70.8 في المائة).</w:t>
      </w:r>
    </w:p>
    <w:p w:rsidR="00CB09A0" w:rsidRDefault="00CB09A0" w:rsidP="00CB09A0">
      <w:pPr>
        <w:pStyle w:val="SingleTxt"/>
        <w:rPr>
          <w:rFonts w:hint="cs"/>
          <w:rtl/>
        </w:rPr>
      </w:pPr>
      <w:r>
        <w:rPr>
          <w:rFonts w:hint="cs"/>
          <w:rtl/>
        </w:rPr>
        <w:t>239-</w:t>
      </w:r>
      <w:r>
        <w:rPr>
          <w:rFonts w:hint="cs"/>
          <w:rtl/>
        </w:rPr>
        <w:tab/>
        <w:t xml:space="preserve">وبالإضافة إلى ذلك، بدأت وزارة تنمية المرأة مشروع </w:t>
      </w:r>
      <w:proofErr w:type="spellStart"/>
      <w:r>
        <w:rPr>
          <w:rFonts w:hint="cs"/>
          <w:rtl/>
        </w:rPr>
        <w:t>تا</w:t>
      </w:r>
      <w:r w:rsidR="007F578A">
        <w:rPr>
          <w:rFonts w:hint="cs"/>
          <w:rtl/>
        </w:rPr>
        <w:t>وانا</w:t>
      </w:r>
      <w:proofErr w:type="spellEnd"/>
      <w:r w:rsidR="007F578A">
        <w:rPr>
          <w:rFonts w:hint="cs"/>
          <w:rtl/>
        </w:rPr>
        <w:t xml:space="preserve"> باكستان للتغذية المدرسية بتكلفة 3.6 بليون روبية، في حوالي 000 5 مدرسة موجودة في 29 من أفقر المناطق في باكستان. ويستفيد من هذا المشروع أكثر من نصف مليون فتاة في المجموعة العمرية 5-9 سنوات. وتحصل الفتيات على وجبة غذائية متوازنة في كل يوم من أيام الدراسة، وعلى المغذيات الدقيقة بالإضافة إلى دواء لإزالة الديدان، بصورة دورية (ومع تقسيم وزارة تنمية المرأة إلى شعبتين، تقوم وزارة الرعاية الاجتماعية والتعليم الخاص بإدارة برنامج </w:t>
      </w:r>
      <w:proofErr w:type="spellStart"/>
      <w:r w:rsidR="007F578A">
        <w:rPr>
          <w:rFonts w:hint="cs"/>
          <w:rtl/>
        </w:rPr>
        <w:t>تاوانا</w:t>
      </w:r>
      <w:proofErr w:type="spellEnd"/>
      <w:r w:rsidR="007F578A">
        <w:rPr>
          <w:rFonts w:hint="cs"/>
          <w:rtl/>
        </w:rPr>
        <w:t xml:space="preserve"> باكستان، في الوقت الحالي).</w:t>
      </w:r>
    </w:p>
    <w:p w:rsidR="007F578A" w:rsidRDefault="007F578A" w:rsidP="00CB09A0">
      <w:pPr>
        <w:pStyle w:val="SingleTxt"/>
        <w:rPr>
          <w:rFonts w:hint="cs"/>
          <w:rtl/>
        </w:rPr>
      </w:pPr>
      <w:r>
        <w:rPr>
          <w:rFonts w:hint="cs"/>
          <w:rtl/>
        </w:rPr>
        <w:t>240-</w:t>
      </w:r>
      <w:r>
        <w:rPr>
          <w:rFonts w:hint="cs"/>
          <w:rtl/>
        </w:rPr>
        <w:tab/>
        <w:t xml:space="preserve">وهناك أيضا نظام للتعليم غير الرسمي، على نطاق واسع، في صورة تعليم الفتيات في </w:t>
      </w:r>
      <w:proofErr w:type="spellStart"/>
      <w:r>
        <w:rPr>
          <w:rFonts w:hint="cs"/>
          <w:rtl/>
        </w:rPr>
        <w:t>المازل</w:t>
      </w:r>
      <w:proofErr w:type="spellEnd"/>
      <w:r>
        <w:rPr>
          <w:rFonts w:hint="cs"/>
          <w:rtl/>
        </w:rPr>
        <w:t xml:space="preserve"> من الكبار وفي المدارس والمعاهد الملحقة بالمساجد. ومع عدم توفر أرقام دقيقة، يقدر طلاب هذه المدارس بعشرات الآلاف إن لم يكن أكثر.</w:t>
      </w:r>
    </w:p>
    <w:p w:rsidR="007F578A" w:rsidRPr="007F578A" w:rsidRDefault="007F578A" w:rsidP="007F578A">
      <w:pPr>
        <w:pStyle w:val="SingleTxt"/>
        <w:spacing w:after="0" w:line="120" w:lineRule="exact"/>
        <w:rPr>
          <w:rFonts w:hint="cs"/>
          <w:sz w:val="10"/>
          <w:rtl/>
        </w:rPr>
      </w:pPr>
    </w:p>
    <w:p w:rsidR="007F578A" w:rsidRDefault="007F578A" w:rsidP="007F57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من بُعد</w:t>
      </w:r>
    </w:p>
    <w:p w:rsidR="007F578A" w:rsidRDefault="007F578A" w:rsidP="007F578A">
      <w:pPr>
        <w:pStyle w:val="SingleTxt"/>
        <w:rPr>
          <w:rFonts w:hint="cs"/>
          <w:rtl/>
        </w:rPr>
      </w:pPr>
      <w:r>
        <w:rPr>
          <w:rFonts w:hint="cs"/>
          <w:rtl/>
        </w:rPr>
        <w:t>241-</w:t>
      </w:r>
      <w:r>
        <w:rPr>
          <w:rFonts w:hint="cs"/>
          <w:rtl/>
        </w:rPr>
        <w:tab/>
        <w:t xml:space="preserve">هناك أشخاص عازمون على مواصلة الدراسة وليس لديهم من الوقت والموارد ما يسمح لهم بالحضور في مؤسسة تعليمية. وينطبق ذلك على المرأة بدرجة أكبر. ولذلك أنشئت جامعة العلامة إقبال المفتوحة في سنة 1974. وهدفها الأساسي هو </w:t>
      </w:r>
      <w:r>
        <w:rPr>
          <w:rFonts w:hint="eastAsia"/>
          <w:rtl/>
        </w:rPr>
        <w:t>”توفير التعليم والتدريب للأشخاص الذين لا يستطيعون ترك منازلهم وأعمالهم من أجل دراسات الوقت الكامل</w:t>
      </w:r>
      <w:r>
        <w:rPr>
          <w:rFonts w:hint="cs"/>
          <w:rtl/>
        </w:rPr>
        <w:t xml:space="preserve">“ وتوفير التعليم للجماهير من خلال التعليم من بُعد. وتعتبر جامعة العلامة إقبال المفتوحة أكبر جامعة في البلد مع الالتحاق في مليون دورة دراسية حتى نهاية الفترة 1999-2000. وتقدم الجامعة أكثر من 700 دورة دراسية. ولديها أيضا أكبر دار للنشر في باكستان حيث تقوم بطباعة 1.5 مليون كتاب سنويا. وتزيد نسبة الملتحقين بالجامعة العاملين بأجر عن 70 في المائة. وتبلغ نسبة تسجيل المرأة 50 في المائة. ونسبة توزيع الطلاب بين المناطق الريفية والحضرية، هي 58 في المائة و 42 في المائة، على التوالي. وقد قامت الجامعة بمشاريع </w:t>
      </w:r>
      <w:proofErr w:type="spellStart"/>
      <w:r>
        <w:rPr>
          <w:rFonts w:hint="cs"/>
          <w:rtl/>
        </w:rPr>
        <w:t>ابتكارية</w:t>
      </w:r>
      <w:proofErr w:type="spellEnd"/>
      <w:r>
        <w:rPr>
          <w:rFonts w:hint="cs"/>
          <w:rtl/>
        </w:rPr>
        <w:t xml:space="preserve"> تهدف إلى تطوير المواد الدراسية للكبار باللغات المحلية، في إطار إدارة محو أمية الكبار والتعليم المتواصل. وقد تم توفير المواد التدريبية مع منهجية كيفية استعمال هذه المواد للحكومات الإقليمية، من أجل إدماجها في برامجها لمحو الأمية التي تركز الاهتمام على النساء والفتيات.</w:t>
      </w:r>
    </w:p>
    <w:p w:rsidR="007F578A" w:rsidRDefault="007F578A" w:rsidP="007F578A">
      <w:pPr>
        <w:pStyle w:val="SingleTxt"/>
        <w:rPr>
          <w:rFonts w:hint="cs"/>
          <w:rtl/>
        </w:rPr>
      </w:pPr>
      <w:r>
        <w:rPr>
          <w:rFonts w:hint="cs"/>
          <w:rtl/>
        </w:rPr>
        <w:t>242-</w:t>
      </w:r>
      <w:r>
        <w:rPr>
          <w:rFonts w:hint="cs"/>
          <w:rtl/>
        </w:rPr>
        <w:tab/>
        <w:t>وتنظم الجامعة كذلك دورات تدريبية للمرأة في مجال إدارة المواشي والدواجن، والائتمانات الزراعية، وفقدان الأغذية بعد الحصاد، وتنمية الأراضي الزراعية المروية بالأمطار، واستخدام الكهرباء بكفاءة وما إلى ذلك.</w:t>
      </w:r>
    </w:p>
    <w:p w:rsidR="007F578A" w:rsidRPr="007F578A" w:rsidRDefault="007F578A" w:rsidP="007F578A">
      <w:pPr>
        <w:pStyle w:val="SingleTxt"/>
        <w:spacing w:after="0" w:line="120" w:lineRule="exact"/>
        <w:rPr>
          <w:rFonts w:hint="cs"/>
          <w:sz w:val="10"/>
          <w:rtl/>
        </w:rPr>
      </w:pPr>
    </w:p>
    <w:p w:rsidR="007F578A" w:rsidRDefault="007F578A" w:rsidP="007F57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المعلومات المطلوبة بموجب </w:t>
      </w:r>
      <w:proofErr w:type="spellStart"/>
      <w:r>
        <w:rPr>
          <w:rFonts w:hint="cs"/>
          <w:rtl/>
        </w:rPr>
        <w:t>التوصيتين</w:t>
      </w:r>
      <w:proofErr w:type="spellEnd"/>
      <w:r>
        <w:rPr>
          <w:rFonts w:hint="cs"/>
          <w:rtl/>
        </w:rPr>
        <w:t xml:space="preserve"> 21 و 24</w:t>
      </w:r>
    </w:p>
    <w:p w:rsidR="007F578A" w:rsidRDefault="007F578A" w:rsidP="007F57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إمكانية الوصول إلى معلومات تثقيفية محددة لمساعدة المرأة على ضمان رفاه الأسرة، بما فيها معلومات ومشورة بشأن تنظيم الأسرة</w:t>
      </w:r>
    </w:p>
    <w:p w:rsidR="007F578A" w:rsidRDefault="007F578A" w:rsidP="007F578A">
      <w:pPr>
        <w:pStyle w:val="SingleTxt"/>
        <w:rPr>
          <w:rFonts w:hint="cs"/>
          <w:rtl/>
        </w:rPr>
      </w:pPr>
      <w:r>
        <w:rPr>
          <w:rFonts w:hint="cs"/>
          <w:rtl/>
        </w:rPr>
        <w:t>243-</w:t>
      </w:r>
      <w:r>
        <w:rPr>
          <w:rFonts w:hint="cs"/>
          <w:rtl/>
        </w:rPr>
        <w:tab/>
        <w:t>تبذل الجهود لإدراج التثقيف في مجال رعاية السكان كمادة في المناهج التي تعدها الخبيرات. ويجري أيضا تنفيذ مشاريع خاصة لرعاية السكان وتثقيف السكان من جانب وزارة التعليم، بالتعاون مع وكالات الأمم المتحدة والمنظمات غير الحكومية. ويعمل صندوق الأمم المتحدة للسكان في مجال التوعية والدعوة من خلال نشر المعلومات والمساعدة التقنية في مجال ثقافة الحياة العائلية.</w:t>
      </w:r>
    </w:p>
    <w:p w:rsidR="007F578A" w:rsidRPr="007F578A" w:rsidRDefault="007F578A" w:rsidP="007F578A">
      <w:pPr>
        <w:pStyle w:val="SingleTxt"/>
        <w:spacing w:after="0" w:line="120" w:lineRule="exact"/>
        <w:rPr>
          <w:rFonts w:hint="cs"/>
          <w:sz w:val="10"/>
          <w:rtl/>
        </w:rPr>
      </w:pPr>
    </w:p>
    <w:p w:rsidR="007F578A" w:rsidRDefault="007F578A" w:rsidP="007F57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التحديات</w:t>
      </w:r>
    </w:p>
    <w:p w:rsidR="007F578A" w:rsidRDefault="007F578A" w:rsidP="007F578A">
      <w:pPr>
        <w:pStyle w:val="SingleTxt"/>
        <w:rPr>
          <w:rFonts w:hint="cs"/>
          <w:rtl/>
        </w:rPr>
      </w:pPr>
      <w:r>
        <w:rPr>
          <w:rFonts w:hint="cs"/>
          <w:rtl/>
        </w:rPr>
        <w:t>244-</w:t>
      </w:r>
      <w:r>
        <w:rPr>
          <w:rFonts w:hint="cs"/>
          <w:rtl/>
        </w:rPr>
        <w:tab/>
        <w:t>توضح الأرقام الواردة في الجداول المختلفة الواردة أعلاه أن أمام المرأة في باكستان طريق طويل حتى تصل إلى المساواة مع الرجل في جميع جوانب التعليم تقريبا. ويعتبر حجم هذه المهمة، من حيث تحقيق أهداف اتفاقية توفير التعليم للجميع أو الأهداف الإنمائية للألفية، كبيرا. وقد حققت باكستان، ظاهريا، تقدما هائلا في مجال توفير الهياكل الأساسية، كما يشهد بذلك وجود نحو 000 170 مدرسة. ولكن يعاني عدد كبير من هذه المدارس من غياب المرافق والمباني الأساسية للاضطلاع بمهامها بشكل مجد. وكثير منها لا توجد فيه حوائط مركبة ويفتقر إلى المياه الجارية ودورات المياه. وتؤثر هذه العوامل كلها، بصورة كبيرة على عدد المسجلين، خاصة من الفتيات. ويلزم تحسين تدريب المعلمين بدرجة كبيرة وزيادة الاعتمادات المخصصة للتعليم أيضا. ومن المؤسف أن هذه المسألة الأخيرة مرتبطة بالأداء الاقتصادي الشامل للبلد، والحالة الإقليمية. ومع ذلك تبشر السياسة التعليمية وإصلاحات قطاع التعليم بتحسين الحالة.</w:t>
      </w:r>
    </w:p>
    <w:p w:rsidR="007F578A" w:rsidRPr="007F578A" w:rsidRDefault="007F578A" w:rsidP="007F578A">
      <w:pPr>
        <w:pStyle w:val="SingleTxt"/>
        <w:spacing w:after="0" w:line="120" w:lineRule="exact"/>
        <w:rPr>
          <w:rFonts w:hint="cs"/>
          <w:sz w:val="10"/>
          <w:rtl/>
        </w:rPr>
      </w:pPr>
    </w:p>
    <w:p w:rsidR="007F578A" w:rsidRDefault="007F578A" w:rsidP="007F578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الحادي عشر</w:t>
      </w:r>
    </w:p>
    <w:p w:rsidR="007F578A" w:rsidRDefault="007F578A" w:rsidP="007F578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11</w:t>
      </w:r>
    </w:p>
    <w:p w:rsidR="007F578A" w:rsidRDefault="007F578A" w:rsidP="007F57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(التوظيف)</w:t>
      </w:r>
    </w:p>
    <w:p w:rsidR="007F578A" w:rsidRDefault="007F578A" w:rsidP="007F57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الأحكام الدستورية</w:t>
      </w:r>
    </w:p>
    <w:p w:rsidR="007F578A" w:rsidRDefault="007F578A" w:rsidP="007F578A">
      <w:pPr>
        <w:pStyle w:val="SingleTxt"/>
        <w:rPr>
          <w:rFonts w:hint="cs"/>
          <w:rtl/>
        </w:rPr>
      </w:pPr>
      <w:r>
        <w:rPr>
          <w:rFonts w:hint="cs"/>
          <w:rtl/>
        </w:rPr>
        <w:t>245-</w:t>
      </w:r>
      <w:r>
        <w:rPr>
          <w:rFonts w:hint="cs"/>
          <w:rtl/>
        </w:rPr>
        <w:tab/>
        <w:t>لا تميز قوانين العمل شخصا عن شخص آخر على أساس نوع الجنس. ولا يسمح للمرأة بالعمل في مجالات قليلة لأسباب تتعلق بالصحة والأمان. وهذا يتفق مع المادة 11 (و) من الاتفاقية.</w:t>
      </w:r>
    </w:p>
    <w:p w:rsidR="007F578A" w:rsidRDefault="007F578A" w:rsidP="007F578A">
      <w:pPr>
        <w:pStyle w:val="SingleTxt"/>
        <w:rPr>
          <w:rFonts w:hint="cs"/>
          <w:rtl/>
        </w:rPr>
      </w:pPr>
      <w:r>
        <w:rPr>
          <w:rFonts w:hint="cs"/>
          <w:rtl/>
        </w:rPr>
        <w:t>246-</w:t>
      </w:r>
      <w:r>
        <w:rPr>
          <w:rFonts w:hint="cs"/>
          <w:rtl/>
        </w:rPr>
        <w:tab/>
        <w:t xml:space="preserve">ويكفل الدستور حق العمل للرجال والنساء على السواء. وتنص المادة 18 على أن: </w:t>
      </w:r>
      <w:r w:rsidR="000606DA">
        <w:rPr>
          <w:rFonts w:hint="eastAsia"/>
          <w:rtl/>
        </w:rPr>
        <w:t>”لكل مواطن الحق في الالتحاق بأي مهنة أو وظيفة مشروعة والقيام بأي صناعة أو تجارة مشروعة، مع مراعاة الشروط المنصوص عليها في القانون، إن وجدت</w:t>
      </w:r>
      <w:r w:rsidR="000606DA">
        <w:rPr>
          <w:rFonts w:hint="cs"/>
          <w:rtl/>
        </w:rPr>
        <w:t>“.</w:t>
      </w:r>
    </w:p>
    <w:p w:rsidR="000606DA" w:rsidRDefault="000606DA" w:rsidP="007F578A">
      <w:pPr>
        <w:pStyle w:val="SingleTxt"/>
        <w:rPr>
          <w:rFonts w:hint="cs"/>
          <w:rtl/>
        </w:rPr>
      </w:pPr>
      <w:r>
        <w:rPr>
          <w:rFonts w:hint="cs"/>
          <w:rtl/>
        </w:rPr>
        <w:t>247-</w:t>
      </w:r>
      <w:r>
        <w:rPr>
          <w:rFonts w:hint="cs"/>
          <w:rtl/>
        </w:rPr>
        <w:tab/>
        <w:t>وتنص المادتان 25 و 27 على أحكام غير تمييزية وعلى تكافؤ فرص العمل لمواطني البلد. وتضيف المادة 34 بُعد العمل الإيجابي لصالح المرأة.</w:t>
      </w:r>
    </w:p>
    <w:p w:rsidR="000606DA" w:rsidRDefault="000606DA" w:rsidP="007F578A">
      <w:pPr>
        <w:pStyle w:val="SingleTxt"/>
        <w:rPr>
          <w:rFonts w:hint="cs"/>
          <w:rtl/>
        </w:rPr>
      </w:pPr>
      <w:r>
        <w:rPr>
          <w:rFonts w:hint="cs"/>
          <w:rtl/>
        </w:rPr>
        <w:t>248-</w:t>
      </w:r>
      <w:r>
        <w:rPr>
          <w:rFonts w:hint="cs"/>
          <w:rtl/>
        </w:rPr>
        <w:tab/>
        <w:t>وتحدد المادة 240 من دستور باكستان شروط الخدمة للأشخاص العاملين في خدمة باكستان.</w:t>
      </w:r>
    </w:p>
    <w:p w:rsidR="000606DA" w:rsidRDefault="000606DA" w:rsidP="000606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التشريعي</w:t>
      </w:r>
    </w:p>
    <w:p w:rsidR="000606DA" w:rsidRDefault="000606DA" w:rsidP="000606DA">
      <w:pPr>
        <w:pStyle w:val="SingleTxt"/>
        <w:rPr>
          <w:rFonts w:hint="cs"/>
          <w:rtl/>
        </w:rPr>
      </w:pPr>
      <w:r>
        <w:rPr>
          <w:rFonts w:hint="cs"/>
          <w:rtl/>
        </w:rPr>
        <w:t>249-</w:t>
      </w:r>
      <w:r>
        <w:rPr>
          <w:rFonts w:hint="cs"/>
          <w:rtl/>
        </w:rPr>
        <w:tab/>
        <w:t xml:space="preserve">وفقا للدستور، يعتبر العمل </w:t>
      </w:r>
      <w:r>
        <w:rPr>
          <w:rFonts w:hint="eastAsia"/>
          <w:rtl/>
        </w:rPr>
        <w:t>”مسألة متداخلة</w:t>
      </w:r>
      <w:r>
        <w:rPr>
          <w:rFonts w:hint="cs"/>
          <w:rtl/>
        </w:rPr>
        <w:t>“ أي أنه مسؤولية الحكومة الاتحادية والحكومات الإقليمية معا. وتصدر قوانين العمل عادة، على المستوى الاتحادي، ولكن مسؤولية تنفيذها تقع على عاتق المقاطعات. ويستند نظام العمل في باكستان إلى 42 قانونا تقريبا. ويتم الاعتراف بالنقابات المهنية على أساس كل مصنع أو مؤسسة على حدة وليس على أساس الصناعة بأكملها. وفيما يلي القوانين التي تحمي المرأة على وجه الخصوص في باكستان:</w:t>
      </w:r>
    </w:p>
    <w:p w:rsidR="000606DA" w:rsidRDefault="000606DA" w:rsidP="00814492">
      <w:pPr>
        <w:pStyle w:val="SingleTxt"/>
        <w:rPr>
          <w:rFonts w:hint="cs"/>
          <w:rtl/>
        </w:rPr>
      </w:pPr>
      <w:r>
        <w:rPr>
          <w:rFonts w:hint="cs"/>
          <w:rtl/>
        </w:rPr>
        <w:tab/>
        <w:t>(أ)</w:t>
      </w:r>
      <w:r>
        <w:rPr>
          <w:rFonts w:hint="cs"/>
          <w:rtl/>
        </w:rPr>
        <w:tab/>
        <w:t xml:space="preserve">تنص المادة 23 - جيم </w:t>
      </w:r>
      <w:proofErr w:type="spellStart"/>
      <w:r>
        <w:rPr>
          <w:rFonts w:hint="cs"/>
          <w:rtl/>
        </w:rPr>
        <w:t>جيم</w:t>
      </w:r>
      <w:proofErr w:type="spellEnd"/>
      <w:r>
        <w:rPr>
          <w:rFonts w:hint="cs"/>
          <w:rtl/>
        </w:rPr>
        <w:t xml:space="preserve"> من قانون المناجم لسنة 1923 على أنه: </w:t>
      </w:r>
      <w:r>
        <w:rPr>
          <w:rFonts w:hint="eastAsia"/>
          <w:rtl/>
        </w:rPr>
        <w:t>”لا</w:t>
      </w:r>
      <w:r>
        <w:rPr>
          <w:rFonts w:hint="cs"/>
          <w:rtl/>
        </w:rPr>
        <w:t> </w:t>
      </w:r>
      <w:r>
        <w:rPr>
          <w:rFonts w:hint="eastAsia"/>
          <w:rtl/>
        </w:rPr>
        <w:t xml:space="preserve">يجوز </w:t>
      </w:r>
      <w:r>
        <w:rPr>
          <w:rFonts w:hint="cs"/>
          <w:rtl/>
        </w:rPr>
        <w:t>توظيف المرأة في أي جزء من المنجم يقع تحت سطح الأرض. ولا يسمح للمرأة بالعمل في منجم، فوق سطح الأرض، بين الساعة 00/7 مساء والساعة 00/6 صباحا.</w:t>
      </w:r>
    </w:p>
    <w:p w:rsidR="000606DA" w:rsidRDefault="000606DA" w:rsidP="000606DA">
      <w:pPr>
        <w:pStyle w:val="SingleTxt"/>
        <w:rPr>
          <w:rFonts w:hint="cs"/>
          <w:rtl/>
        </w:rPr>
      </w:pPr>
      <w:r>
        <w:rPr>
          <w:rFonts w:hint="cs"/>
          <w:rtl/>
        </w:rPr>
        <w:tab/>
        <w:t>(ب)</w:t>
      </w:r>
      <w:r>
        <w:rPr>
          <w:rFonts w:hint="cs"/>
          <w:rtl/>
        </w:rPr>
        <w:tab/>
        <w:t xml:space="preserve">تنص المادة 45 من قانون المصانع لسنة 1934 على أنه </w:t>
      </w:r>
      <w:r>
        <w:rPr>
          <w:rFonts w:hint="eastAsia"/>
          <w:rtl/>
        </w:rPr>
        <w:t xml:space="preserve">”لا يسمح للمرأة بالعمل في مصنع إلا بين الساعة 00/6 صباحا والساعة 00/7 مساء. </w:t>
      </w:r>
      <w:r>
        <w:rPr>
          <w:rFonts w:hint="cs"/>
          <w:rtl/>
        </w:rPr>
        <w:t>ولا يجوز توظيف امرأة أو شخص شاب في أي مؤسسة إلا بين الساعة 00/9 صباحا والساعة 00/7 مساء، سوى بإذن من الحكومة.</w:t>
      </w:r>
    </w:p>
    <w:p w:rsidR="000606DA" w:rsidRDefault="000606DA" w:rsidP="000606DA">
      <w:pPr>
        <w:pStyle w:val="SingleTxt"/>
        <w:rPr>
          <w:rFonts w:hint="cs"/>
          <w:rtl/>
        </w:rPr>
      </w:pPr>
      <w:r>
        <w:rPr>
          <w:rFonts w:hint="cs"/>
          <w:rtl/>
        </w:rPr>
        <w:tab/>
        <w:t>(ج)</w:t>
      </w:r>
      <w:r>
        <w:rPr>
          <w:rFonts w:hint="cs"/>
          <w:rtl/>
        </w:rPr>
        <w:tab/>
        <w:t>قواعد الوظائف الخطرة، لسنة 1963.</w:t>
      </w:r>
    </w:p>
    <w:p w:rsidR="000606DA" w:rsidRDefault="000606DA" w:rsidP="000606DA">
      <w:pPr>
        <w:pStyle w:val="SingleTxt"/>
        <w:rPr>
          <w:rFonts w:hint="cs"/>
          <w:rtl/>
        </w:rPr>
      </w:pPr>
      <w:r>
        <w:rPr>
          <w:rFonts w:hint="cs"/>
          <w:rtl/>
        </w:rPr>
        <w:t>250-</w:t>
      </w:r>
      <w:r>
        <w:rPr>
          <w:rFonts w:hint="cs"/>
          <w:rtl/>
        </w:rPr>
        <w:tab/>
        <w:t>تقبل استحقاقات الأمومة بوصفها جزءا لا يتجزأ من أغلب القوانين المتصلة بالعمل. وتوجد الأحكام القانونية التالية في مجال استحقاقات الأمومة: قانون استحقاقات الأمومة للمناجم، لسنة 1941، وقانون استحقاقات الأمومة لغرب باكستان، لسنة 1958؛ وقواعد استحقاقات الأمومة لغرب باكستان، لسنة 1965؛ ومرسوم التأمين الاجتماعي لموظفي المقاطعات، لسنة 1965.</w:t>
      </w:r>
    </w:p>
    <w:p w:rsidR="000606DA" w:rsidRPr="000606DA" w:rsidRDefault="000606DA" w:rsidP="000606DA">
      <w:pPr>
        <w:pStyle w:val="SingleTxt"/>
        <w:spacing w:after="0" w:line="120" w:lineRule="exact"/>
        <w:rPr>
          <w:rFonts w:hint="cs"/>
          <w:sz w:val="10"/>
          <w:rtl/>
        </w:rPr>
      </w:pPr>
    </w:p>
    <w:p w:rsidR="000606DA" w:rsidRDefault="000606DA" w:rsidP="000606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المساواة في ممارسات التعيين والتوظيف</w:t>
      </w:r>
    </w:p>
    <w:p w:rsidR="000606DA" w:rsidRDefault="000606DA" w:rsidP="000606DA">
      <w:pPr>
        <w:pStyle w:val="SingleTxt"/>
        <w:rPr>
          <w:rFonts w:hint="cs"/>
          <w:rtl/>
        </w:rPr>
      </w:pPr>
      <w:r>
        <w:rPr>
          <w:rFonts w:hint="cs"/>
          <w:rtl/>
        </w:rPr>
        <w:t>251-</w:t>
      </w:r>
      <w:r>
        <w:rPr>
          <w:rFonts w:hint="cs"/>
          <w:rtl/>
        </w:rPr>
        <w:tab/>
        <w:t>يوجد في جميع وكالات القطاع الخاص ممارسات وإجراءات وقواعد تعيين مستقرة فيما يتصل بالتوظيف، بما في ذلك، توظيف المرأة. وتحدد قواعد التعيين طبيعة العمل، والدور المطلوب في الوظيفة ومسؤولياتها وتصنيف الوظيفة والمؤهلات والخبرة المطلوبة، والسن حسب شروط الوظيفة. وهذه الأمور لا تميز على أساس نوع الجنس.</w:t>
      </w:r>
    </w:p>
    <w:p w:rsidR="000606DA" w:rsidRDefault="000606DA" w:rsidP="000606DA">
      <w:pPr>
        <w:pStyle w:val="SingleTxt"/>
        <w:rPr>
          <w:rFonts w:hint="cs"/>
          <w:rtl/>
        </w:rPr>
      </w:pPr>
      <w:r>
        <w:rPr>
          <w:rFonts w:hint="cs"/>
          <w:rtl/>
        </w:rPr>
        <w:t>252-</w:t>
      </w:r>
      <w:r>
        <w:rPr>
          <w:rFonts w:hint="cs"/>
          <w:rtl/>
        </w:rPr>
        <w:tab/>
        <w:t>ومن الجانب القانوني، لا توجد قيود على المرأة بالنسبة لاختيار العمل أو المهنة إلا قيود معينة على بعض أشكال العمل الخطرة وفقا لقوانين العمل. غير أنه يلاحظ، في الممارسة، أن المرأة ما زالت مركزة في وظائف معينة مثل التعليم والصحة.</w:t>
      </w:r>
    </w:p>
    <w:p w:rsidR="000606DA" w:rsidRDefault="000606DA" w:rsidP="000606DA">
      <w:pPr>
        <w:pStyle w:val="SingleTxt"/>
        <w:rPr>
          <w:rFonts w:hint="cs"/>
          <w:rtl/>
        </w:rPr>
      </w:pPr>
      <w:r>
        <w:rPr>
          <w:rFonts w:hint="cs"/>
          <w:rtl/>
        </w:rPr>
        <w:t>253-</w:t>
      </w:r>
      <w:r>
        <w:rPr>
          <w:rFonts w:hint="cs"/>
          <w:rtl/>
        </w:rPr>
        <w:tab/>
        <w:t>ولا توفر قوانين العمل تغطية للقوة العاملة الباكستانية بأكملها. وتنطبق القوانين في حالة وجود عدد معين من الموظفين فقط. وينطبق قانون المصانع لسنة 1934 في حالة توظيف 10 عمال أو أكثر. ولا ينطبق قانون العمل الصناعي والتجاري لغرب باكستان، الصادر في سنة 1968 إلا جزئيا في الوحدات الصناعية والتجارية التي توظف 20 عاملا فأكثر. وينطبق بالكامل عند توظيف 50 عاملا أو أكثر فقط. وينطبق قانون استحقاقات الشيخوخة للعاملين، الصادر في سنة 1976 في المؤسسات التي توظف 10 عمال أو أكثر فقط.</w:t>
      </w:r>
    </w:p>
    <w:p w:rsidR="000606DA" w:rsidRDefault="000606DA" w:rsidP="000606DA">
      <w:pPr>
        <w:pStyle w:val="SingleTxt"/>
        <w:rPr>
          <w:rFonts w:hint="cs"/>
          <w:rtl/>
        </w:rPr>
      </w:pPr>
      <w:r>
        <w:rPr>
          <w:rFonts w:hint="cs"/>
          <w:rtl/>
        </w:rPr>
        <w:t>254-</w:t>
      </w:r>
      <w:r>
        <w:rPr>
          <w:rFonts w:hint="cs"/>
          <w:rtl/>
        </w:rPr>
        <w:tab/>
        <w:t xml:space="preserve">ولا تغطي قوانين العمل العاملين في القطاع غير الرسمي حتى الآن، أي المتاجر الصغيرة والورش وكذلك القوى العاملة الزراعية. غير أن وزارة العمل والقوة العاملة والباكستانيين في الخارج قامت، مع وزارة الأغذية والزراعة والمواشي بتوقيع مذكرة تفاهم في تشرين الثاني/نوفمبر 2002 لتمديد الحماية إلى العاملين في شركات الفلاحة الزراعية. وبموجب مذكرة التفاهم المذكورة، يحق لكل عامل، عند تعيينه، الحصول على أمر كتابي يوضح مدة الخدمة وشروطها؛ والعمل لفترة أقصاها 48 ساعة في الأسبوع مع تقاضي أجر إضافي </w:t>
      </w:r>
      <w:r w:rsidR="009C3D4E">
        <w:rPr>
          <w:rFonts w:hint="cs"/>
          <w:rtl/>
        </w:rPr>
        <w:t>عن العمل الإضافي والحصول على استحقاقات عند انتهاء الخدمة؛ وتقاضي أجر أدنى قيمته 000 2 روبية شهريا نقدا أو عينا؛ ويحق له التعويض عن الأضرار التي تلحقه في العمل وما إلى ذلك. ويحق للمرأة العاملة في هذه الشركات الحصول على نفس الاستحقاقات التي يحصل عليها الرجل.</w:t>
      </w:r>
    </w:p>
    <w:p w:rsidR="009C3D4E" w:rsidRPr="009C3D4E" w:rsidRDefault="009C3D4E" w:rsidP="009C3D4E">
      <w:pPr>
        <w:pStyle w:val="SingleTxt"/>
        <w:spacing w:after="0" w:line="120" w:lineRule="exact"/>
        <w:rPr>
          <w:rFonts w:hint="cs"/>
          <w:sz w:val="10"/>
          <w:rtl/>
        </w:rPr>
      </w:pPr>
    </w:p>
    <w:p w:rsidR="009C3D4E" w:rsidRDefault="009C3D4E" w:rsidP="009C3D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الالتزامات الدولية</w:t>
      </w:r>
    </w:p>
    <w:p w:rsidR="009C3D4E" w:rsidRDefault="009C3D4E" w:rsidP="009C3D4E">
      <w:pPr>
        <w:pStyle w:val="SingleTxt"/>
        <w:rPr>
          <w:rFonts w:hint="cs"/>
          <w:rtl/>
        </w:rPr>
      </w:pPr>
      <w:r>
        <w:rPr>
          <w:rFonts w:hint="cs"/>
          <w:rtl/>
        </w:rPr>
        <w:t>255-</w:t>
      </w:r>
      <w:r>
        <w:rPr>
          <w:rFonts w:hint="cs"/>
          <w:rtl/>
        </w:rPr>
        <w:tab/>
        <w:t>باكستان من الدول التي وقعّت على اتفاقية منظمة العمل الدولية رقم 111 (العمل والمهنة) لسنة 1958، واتفاقية منظمة العمل الدولية رقم 100 الخاصة بالمساواة في الأجر لسنة 1951.</w:t>
      </w:r>
    </w:p>
    <w:p w:rsidR="009C3D4E" w:rsidRPr="009C3D4E" w:rsidRDefault="009C3D4E" w:rsidP="009C3D4E">
      <w:pPr>
        <w:pStyle w:val="SingleTxt"/>
        <w:spacing w:after="0" w:line="120" w:lineRule="exact"/>
        <w:rPr>
          <w:rFonts w:hint="cs"/>
          <w:sz w:val="10"/>
          <w:rtl/>
        </w:rPr>
      </w:pPr>
    </w:p>
    <w:p w:rsidR="009C3D4E" w:rsidRDefault="009C3D4E" w:rsidP="009C3D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الإداري</w:t>
      </w:r>
    </w:p>
    <w:p w:rsidR="009C3D4E" w:rsidRDefault="009C3D4E" w:rsidP="009C3D4E">
      <w:pPr>
        <w:pStyle w:val="SingleTxt"/>
        <w:rPr>
          <w:rFonts w:hint="cs"/>
          <w:rtl/>
        </w:rPr>
      </w:pPr>
      <w:r>
        <w:rPr>
          <w:rFonts w:hint="cs"/>
          <w:rtl/>
        </w:rPr>
        <w:t>256-</w:t>
      </w:r>
      <w:r>
        <w:rPr>
          <w:rFonts w:hint="cs"/>
          <w:rtl/>
        </w:rPr>
        <w:tab/>
        <w:t>يمثل الإطار الإداري للقضايا المتصل</w:t>
      </w:r>
      <w:r w:rsidR="00814492">
        <w:rPr>
          <w:rFonts w:hint="cs"/>
          <w:rtl/>
        </w:rPr>
        <w:t>ة</w:t>
      </w:r>
      <w:r>
        <w:rPr>
          <w:rFonts w:hint="cs"/>
          <w:rtl/>
        </w:rPr>
        <w:t xml:space="preserve"> بالعمل وزارة العمل والقوة العاملة والباكستانيين في الخارج على الصعيد الاتحادي وإدارات العمل على الصعيد الإقليمي. والوزارة مكلفة بالتصدي لما يلي: (أ) نظم التأمين الاجتماعي للموظفين، (ب) قانون العمل (سجل الخدمات) لسنة 1952 (ج) التشريعات المتصلة برعاية العمالة، وشروط العمل، وصندوق التأمينات، والمعاشات التقاعدية وما إلى ذلك. (د) مرسوم العلاقات الصناعية لسنة 1958، (هـ) بحوث العمل، بما في ذلك، تجميع الإحصاءات العمالية للاستهلاك الوطني والدولي (و) التعامل مع المنظمات الدولية في مجالات العمل والتأمين الاجتماعي والاتفاقات المبرمة مع هذه المنظمات (ز) مراقبة التشريعات العمالية من الجانب الدولي (ح) تنسيق التشريعات العمالية في باكستان.</w:t>
      </w:r>
    </w:p>
    <w:p w:rsidR="009C3D4E" w:rsidRDefault="009C3D4E" w:rsidP="009C3D4E">
      <w:pPr>
        <w:pStyle w:val="SingleTxt"/>
        <w:rPr>
          <w:rFonts w:hint="cs"/>
          <w:rtl/>
        </w:rPr>
      </w:pPr>
      <w:r>
        <w:rPr>
          <w:rFonts w:hint="cs"/>
          <w:rtl/>
        </w:rPr>
        <w:t>257-</w:t>
      </w:r>
      <w:r>
        <w:rPr>
          <w:rFonts w:hint="cs"/>
          <w:rtl/>
        </w:rPr>
        <w:tab/>
        <w:t>وعلى الصعيد الإقليمي تؤدي إدارات العمل مهاما مماثلة فيما يتصل بالعمل، كل في ولايته.</w:t>
      </w:r>
    </w:p>
    <w:p w:rsidR="009C3D4E" w:rsidRPr="009C3D4E" w:rsidRDefault="009C3D4E" w:rsidP="009C3D4E">
      <w:pPr>
        <w:pStyle w:val="SingleTxt"/>
        <w:spacing w:after="0" w:line="120" w:lineRule="exact"/>
        <w:rPr>
          <w:rFonts w:hint="cs"/>
          <w:sz w:val="10"/>
          <w:rtl/>
        </w:rPr>
      </w:pPr>
    </w:p>
    <w:p w:rsidR="009C3D4E" w:rsidRDefault="009C3D4E" w:rsidP="009C3D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حق العمل بوصفه حقا غير قابل للتصرف لكل البشر</w:t>
      </w:r>
    </w:p>
    <w:p w:rsidR="009C3D4E" w:rsidRDefault="009C3D4E" w:rsidP="009C3D4E">
      <w:pPr>
        <w:pStyle w:val="SingleTxt"/>
        <w:rPr>
          <w:rFonts w:hint="cs"/>
          <w:rtl/>
        </w:rPr>
      </w:pPr>
      <w:r>
        <w:rPr>
          <w:rFonts w:hint="cs"/>
          <w:rtl/>
        </w:rPr>
        <w:t>258-</w:t>
      </w:r>
      <w:r>
        <w:rPr>
          <w:rFonts w:hint="cs"/>
          <w:rtl/>
        </w:rPr>
        <w:tab/>
        <w:t xml:space="preserve">يعترف الدستور بهذا الحق بموجب المادتين 18 و 27. وقد سبق تفسيرها في إطار بند </w:t>
      </w:r>
      <w:r>
        <w:rPr>
          <w:rFonts w:hint="eastAsia"/>
          <w:rtl/>
        </w:rPr>
        <w:t>”الأحكام الدستورية</w:t>
      </w:r>
      <w:r>
        <w:rPr>
          <w:rFonts w:hint="cs"/>
          <w:rtl/>
        </w:rPr>
        <w:t>“ من هذا الفصل.</w:t>
      </w:r>
    </w:p>
    <w:p w:rsidR="009C3D4E" w:rsidRPr="009C3D4E" w:rsidRDefault="009C3D4E" w:rsidP="009C3D4E">
      <w:pPr>
        <w:pStyle w:val="SingleTxt"/>
        <w:spacing w:after="0" w:line="120" w:lineRule="exact"/>
        <w:rPr>
          <w:rFonts w:hint="cs"/>
          <w:sz w:val="10"/>
          <w:rtl/>
        </w:rPr>
      </w:pPr>
    </w:p>
    <w:p w:rsidR="009C3D4E" w:rsidRDefault="009C3D4E" w:rsidP="009C3D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الحق في التمتع بنفس فرص التوظيف، بما في ذلك تطبيق معايير الاختيار نفسها في شؤون التوظيف</w:t>
      </w:r>
    </w:p>
    <w:p w:rsidR="009C3D4E" w:rsidRDefault="009C3D4E" w:rsidP="009C3D4E">
      <w:pPr>
        <w:pStyle w:val="SingleTxt"/>
        <w:rPr>
          <w:rFonts w:hint="cs"/>
          <w:rtl/>
        </w:rPr>
      </w:pPr>
      <w:r>
        <w:rPr>
          <w:rFonts w:hint="cs"/>
          <w:rtl/>
        </w:rPr>
        <w:t>259-</w:t>
      </w:r>
      <w:r>
        <w:rPr>
          <w:rFonts w:hint="cs"/>
          <w:rtl/>
        </w:rPr>
        <w:tab/>
        <w:t>إن المادة 27 من الدستور هي المادة المعمول بها في هذا الصدد أيضا. وليس هناك تمييز على أساس نوع الجنس أو أي سبب آخر من حيث فرص التوظيف. فالمؤهلات هي المعيار الرئيسي للاختيار. غير أن هناك عدة استثناءات في الدستور، يمكن تصنيفها على أنها إجراءات للعمل الإيجابي. وتتناول حجز الحصص للأشخاص المنتمين إلى المناطق الأقل تقدما في البلد من أجل تعجيل تنمية تلك المناطق.</w:t>
      </w:r>
    </w:p>
    <w:p w:rsidR="009C3D4E" w:rsidRPr="009C3D4E" w:rsidRDefault="009C3D4E" w:rsidP="009C3D4E">
      <w:pPr>
        <w:pStyle w:val="SingleTxt"/>
        <w:spacing w:after="0" w:line="120" w:lineRule="exact"/>
        <w:rPr>
          <w:rFonts w:hint="cs"/>
          <w:sz w:val="10"/>
          <w:rtl/>
        </w:rPr>
      </w:pPr>
    </w:p>
    <w:p w:rsidR="009C3D4E" w:rsidRDefault="009C3D4E" w:rsidP="009C3D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الحق في حرية اختيار المهنة أو 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9C3D4E" w:rsidRDefault="009C3D4E" w:rsidP="009C3D4E">
      <w:pPr>
        <w:pStyle w:val="SingleTxt"/>
        <w:rPr>
          <w:rFonts w:hint="cs"/>
          <w:rtl/>
        </w:rPr>
      </w:pPr>
      <w:r>
        <w:rPr>
          <w:rFonts w:hint="cs"/>
          <w:rtl/>
        </w:rPr>
        <w:t>260-</w:t>
      </w:r>
      <w:r>
        <w:rPr>
          <w:rFonts w:hint="cs"/>
          <w:rtl/>
        </w:rPr>
        <w:tab/>
        <w:t>هذا المجال مشمول أيضا في المادتين 18 و 27 من الدستور. وليس هناك تمييز ضد المرأة بالنسبة لاختيار المهنة والحق في الترقي والأمن الوظيفي، والحق في تلقي التدريب وإعادة التدريب المهني والتلمذة الصناعية وما إلى ذلك.</w:t>
      </w:r>
    </w:p>
    <w:p w:rsidR="009C3D4E" w:rsidRDefault="009C3D4E" w:rsidP="009C3D4E">
      <w:pPr>
        <w:pStyle w:val="SingleTxt"/>
        <w:rPr>
          <w:rFonts w:hint="cs"/>
          <w:rtl/>
        </w:rPr>
      </w:pPr>
      <w:r>
        <w:rPr>
          <w:rFonts w:hint="cs"/>
          <w:rtl/>
        </w:rPr>
        <w:t>261-</w:t>
      </w:r>
      <w:r>
        <w:rPr>
          <w:rFonts w:hint="cs"/>
          <w:rtl/>
        </w:rPr>
        <w:tab/>
        <w:t>وتوجد مجموعة مفصلة من القواعد والنظم، ع</w:t>
      </w:r>
      <w:r w:rsidR="00814492">
        <w:rPr>
          <w:rFonts w:hint="cs"/>
          <w:rtl/>
        </w:rPr>
        <w:t>لى شكل قواعد للخدمة المدنية، تحك</w:t>
      </w:r>
      <w:r>
        <w:rPr>
          <w:rFonts w:hint="cs"/>
          <w:rtl/>
        </w:rPr>
        <w:t>م جميع جوانب العمل في القطاع العام. وفي الفترة ما بين سنة 1947 والوقت الحالي، جرى تعديل هذه القواعد من آن إلى آخر وأدرجت قواعد إضافية أيضا من وقت إلى آخر.</w:t>
      </w:r>
    </w:p>
    <w:p w:rsidR="009C3D4E" w:rsidRDefault="009C3D4E" w:rsidP="009C3D4E">
      <w:pPr>
        <w:pStyle w:val="SingleTxt"/>
        <w:rPr>
          <w:rFonts w:hint="cs"/>
          <w:rtl/>
        </w:rPr>
      </w:pPr>
      <w:r>
        <w:rPr>
          <w:rFonts w:hint="cs"/>
          <w:rtl/>
        </w:rPr>
        <w:t>262-</w:t>
      </w:r>
      <w:r>
        <w:rPr>
          <w:rFonts w:hint="cs"/>
          <w:rtl/>
        </w:rPr>
        <w:tab/>
        <w:t>وخصصت الحكومة أيضا حصة للمرأة في القطاع العام نسبتها 5 في المائة. وهي بالإضافة إلى حصة نسبتها 2 في المائة للمرأة المعوقة.</w:t>
      </w:r>
    </w:p>
    <w:p w:rsidR="009C3D4E" w:rsidRDefault="009C3D4E" w:rsidP="009C3D4E">
      <w:pPr>
        <w:pStyle w:val="SingleTxt"/>
        <w:rPr>
          <w:rFonts w:hint="cs"/>
          <w:rtl/>
        </w:rPr>
      </w:pPr>
      <w:r>
        <w:rPr>
          <w:rFonts w:hint="cs"/>
          <w:rtl/>
        </w:rPr>
        <w:t>263-</w:t>
      </w:r>
      <w:r>
        <w:rPr>
          <w:rFonts w:hint="cs"/>
          <w:rtl/>
        </w:rPr>
        <w:tab/>
        <w:t>وليست هناك قيود على سعي المرأة إلى التوظيف والحصول عليه في أي مجال أو عند أي مستوى في القطاع الخاص. والمعيار الرئيسي هو الاستحقاق والمؤهلات.</w:t>
      </w:r>
    </w:p>
    <w:p w:rsidR="009C3D4E" w:rsidRDefault="009C3D4E" w:rsidP="009C3D4E">
      <w:pPr>
        <w:pStyle w:val="SingleTxt"/>
        <w:rPr>
          <w:rFonts w:hint="cs"/>
          <w:rtl/>
        </w:rPr>
      </w:pPr>
      <w:r>
        <w:rPr>
          <w:rFonts w:hint="cs"/>
          <w:rtl/>
        </w:rPr>
        <w:t>264-</w:t>
      </w:r>
      <w:r>
        <w:rPr>
          <w:rFonts w:hint="cs"/>
          <w:rtl/>
        </w:rPr>
        <w:tab/>
        <w:t>ولا توجد وزارة أو إدارة في باكستان تتناول التدريب المهني على وجه الحصر. وتشارك وزارات وإدارات مختلفة في التدريب المهني، بما يتناسب مع ولايتها. ويوجد حاليا قدرة على تدريب 842 29 متدربا في إطار هيئة التعليم التقني وتدريب القوة العاملة وإدارات القوة العاملة والتدريب. وإلى جانب ذلك، يجري تدريب 807 8 أشخاص في إطار البرنامج التدريبي للتلمذة الصناعية في البلد.</w:t>
      </w:r>
    </w:p>
    <w:p w:rsidR="009C3D4E" w:rsidRDefault="009C3D4E" w:rsidP="009C3D4E">
      <w:pPr>
        <w:pStyle w:val="SingleTxt"/>
        <w:rPr>
          <w:rFonts w:hint="cs"/>
          <w:rtl/>
        </w:rPr>
      </w:pPr>
      <w:r>
        <w:rPr>
          <w:rFonts w:hint="cs"/>
          <w:rtl/>
        </w:rPr>
        <w:t>265-</w:t>
      </w:r>
      <w:r>
        <w:rPr>
          <w:rFonts w:hint="cs"/>
          <w:rtl/>
        </w:rPr>
        <w:tab/>
        <w:t xml:space="preserve">وأنشأت وزارة العمل والقوة العاملة والباكستانيين في الخارج 5 مجالس لتنمية المهارات، في كل من إسلام أباد وكراتشي ولاهور </w:t>
      </w:r>
      <w:proofErr w:type="spellStart"/>
      <w:r>
        <w:rPr>
          <w:rFonts w:hint="cs"/>
          <w:rtl/>
        </w:rPr>
        <w:t>وبشاور</w:t>
      </w:r>
      <w:proofErr w:type="spellEnd"/>
      <w:r>
        <w:rPr>
          <w:rFonts w:hint="cs"/>
          <w:rtl/>
        </w:rPr>
        <w:t xml:space="preserve"> وكيتا. وتقوم مجالس تنمية المهارات بتقييم احتياجات التدريب في كل من المناطق الجغرافية، وتحديد أولويتها على أساس طلب السوق، وتيسير تدريب العاملين من خلال مقدمي التدريب في القطاعين العام والخاص. وقد قامت هذه المجالس بتدريب 486 48 متدربا حتى الآن.</w:t>
      </w:r>
    </w:p>
    <w:p w:rsidR="009C3D4E" w:rsidRDefault="00E96AD6" w:rsidP="009C3D4E">
      <w:pPr>
        <w:pStyle w:val="SingleTxt"/>
        <w:rPr>
          <w:rFonts w:hint="cs"/>
          <w:rtl/>
        </w:rPr>
      </w:pPr>
      <w:r>
        <w:rPr>
          <w:rFonts w:hint="cs"/>
          <w:rtl/>
        </w:rPr>
        <w:t>266-</w:t>
      </w:r>
      <w:r>
        <w:rPr>
          <w:rFonts w:hint="cs"/>
          <w:rtl/>
        </w:rPr>
        <w:tab/>
        <w:t>بيد أن نظام التدريب لم يبلغ مرحلة النضوج في باكستان. وهو موجه نحو الذكور، في المقام الأول، وربما كان ذلك نظرا لوجود فرق كبير بين معدلات مشاركة الرجال في القوة العاملة، مقارنة بالنساء. وعلى سبيل المثال، نجد أن الدورات التي يقدمها مكتب التدريب الوطني، وهو جهاز يشارك في التدريب المهني، تضم المهن التالية: رسام، وكهربائي، وميكانيكي سيارات، وعامل ماكينات، وعامل لحام، وكهربائي سيارات، وميكانيكي أجهزة الإذاعة/التلفزيون، وفني إصلاح الأجهزة المنزلية، والإلكترونيات الصناعية، والتشغيل الآلي للمكاتب، والتجارة الإلكترونية، والتصميم الهندسي الآلي بمساعدة الحاسوب (أوتوكاد)، والتصميم التخطيطي. ومع الأسف، لا تتوفر بيانات مفصلة حسب نوع الجنس لهذه الدورات، ولكن يبدو أن أغلب المستفيدين منها، من الذكور. ومن المحتمل أن تهتم النساء بالتشغيل الآلي للمكاتب، والتصميم التخطيطي والتجارة الإلكترونية، فقط، من بين هذه الدورات.</w:t>
      </w:r>
    </w:p>
    <w:p w:rsidR="00E96AD6" w:rsidRPr="00E96AD6" w:rsidRDefault="00E96AD6" w:rsidP="00E96AD6">
      <w:pPr>
        <w:pStyle w:val="SingleTxt"/>
        <w:spacing w:after="0" w:line="120" w:lineRule="exact"/>
        <w:rPr>
          <w:rFonts w:hint="cs"/>
          <w:sz w:val="10"/>
          <w:rtl/>
        </w:rPr>
      </w:pPr>
    </w:p>
    <w:p w:rsidR="00E96AD6" w:rsidRDefault="00E96AD6" w:rsidP="00E96A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الحق في المساواة في الأجر، بما في ذلك، الاستحقاقات، والحق في المساواة في المعاملة فيما يتعلق بالعمل المتعادل القيمة، وكذلك في المساواة في المعاملة في تقييم نوعية العمل</w:t>
      </w:r>
    </w:p>
    <w:p w:rsidR="00E96AD6" w:rsidRDefault="00E96AD6" w:rsidP="00E96AD6">
      <w:pPr>
        <w:pStyle w:val="SingleTxt"/>
        <w:rPr>
          <w:rFonts w:hint="cs"/>
          <w:rtl/>
        </w:rPr>
      </w:pPr>
      <w:r>
        <w:rPr>
          <w:rFonts w:hint="cs"/>
          <w:rtl/>
        </w:rPr>
        <w:t>267-</w:t>
      </w:r>
      <w:r>
        <w:rPr>
          <w:rFonts w:hint="cs"/>
          <w:rtl/>
        </w:rPr>
        <w:tab/>
        <w:t>ليس هناك تمييز بين الرجال والنساء في الأجر والاستحقاقات، في القطاع العام. وفي القطاع الخاص أيضا، يجب على الكيانات التي تقع في نطاق قوانين العمل أن تمنح نفس الأجر والبدلات والاستحقاقات لجميع الموظفين القائمين بنفس العمل، بصرف النظر عن نوع الجنس.</w:t>
      </w:r>
    </w:p>
    <w:p w:rsidR="00E96AD6" w:rsidRDefault="00E96AD6" w:rsidP="00E96AD6">
      <w:pPr>
        <w:pStyle w:val="SingleTxt"/>
        <w:rPr>
          <w:rFonts w:hint="cs"/>
          <w:rtl/>
        </w:rPr>
      </w:pPr>
      <w:r>
        <w:rPr>
          <w:rFonts w:hint="cs"/>
          <w:rtl/>
        </w:rPr>
        <w:t>268-</w:t>
      </w:r>
      <w:r>
        <w:rPr>
          <w:rFonts w:hint="cs"/>
          <w:rtl/>
        </w:rPr>
        <w:tab/>
        <w:t>وفيما يتصل بنوعية العمل وتقييمه، يوجد في القطاع العام أداة محددة بدقة ومستقرة للتقييم على هيئة التقارير السرية السنوية للموظفين. ونموذج التقارير المقدمة عن النساء والرجال هو واحد، ومعايير التقييم هي نفسها أيضا. لا يترك للموظف مقدم التقارير سلطة تقديرية لوضع نوع جنس موظف الحكومة في الاعتبار.</w:t>
      </w:r>
    </w:p>
    <w:p w:rsidR="00E96AD6" w:rsidRDefault="00E96AD6" w:rsidP="00E96AD6">
      <w:pPr>
        <w:pStyle w:val="SingleTxt"/>
        <w:rPr>
          <w:rFonts w:hint="cs"/>
          <w:rtl/>
        </w:rPr>
      </w:pPr>
      <w:r>
        <w:rPr>
          <w:rFonts w:hint="cs"/>
          <w:rtl/>
        </w:rPr>
        <w:t>269-</w:t>
      </w:r>
      <w:r>
        <w:rPr>
          <w:rFonts w:hint="cs"/>
          <w:rtl/>
        </w:rPr>
        <w:tab/>
      </w:r>
      <w:r w:rsidR="00E974EF">
        <w:rPr>
          <w:rFonts w:hint="cs"/>
          <w:rtl/>
        </w:rPr>
        <w:t>وتلتزم أية شركة لديها أكثر من 10 موظفين بتطبيق نفس القوانين المطبقة في القطاع العام من حيث المرتب والاستحقاقات. ولا تغطي هذه القوانين القطاعين غير الرسمي والزراعي في الوقت الراهن.</w:t>
      </w:r>
    </w:p>
    <w:p w:rsidR="00E974EF" w:rsidRPr="00E974EF" w:rsidRDefault="00E974EF" w:rsidP="00E974EF">
      <w:pPr>
        <w:pStyle w:val="SingleTxt"/>
        <w:spacing w:after="0" w:line="120" w:lineRule="exact"/>
        <w:rPr>
          <w:rFonts w:hint="cs"/>
          <w:sz w:val="10"/>
          <w:rtl/>
        </w:rPr>
      </w:pPr>
    </w:p>
    <w:p w:rsidR="00E974EF" w:rsidRDefault="00E974EF" w:rsidP="00E974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الحق في الضمان الاجتماعي، ولا سيما في حالات التقاعد، والبطالة، والمرض، والعجز، والشيخوخة، وأي شكل من أشكال عدم القدرة على العمل، وكذلك الحق في إجازة مدفوعة الأجر</w:t>
      </w:r>
    </w:p>
    <w:p w:rsidR="00E974EF" w:rsidRDefault="00E974EF" w:rsidP="00E974EF">
      <w:pPr>
        <w:pStyle w:val="SingleTxt"/>
        <w:rPr>
          <w:rFonts w:hint="cs"/>
          <w:rtl/>
        </w:rPr>
      </w:pPr>
      <w:r>
        <w:rPr>
          <w:rFonts w:hint="cs"/>
          <w:rtl/>
        </w:rPr>
        <w:t>270-</w:t>
      </w:r>
      <w:r>
        <w:rPr>
          <w:rFonts w:hint="cs"/>
          <w:rtl/>
        </w:rPr>
        <w:tab/>
        <w:t>ليس هناك تمييز ضد المرأة في القطاع العام من حيث الضمان الاجتماعي والإجازة المدفوعة الأجر. وهناك، في الواقع، شيء من المرونة في القطاع العام. بالنسبة للموظفات، وتمنح لهن إجازات، على الأرجح. ويرجع ذلك إلى أنه من المعترف به بصورة عامة، أن الموظفة عليها أن تحقق التوازن بين حياتها المهنية وحياتها العائلية إذ أن عليها العناية بالأسرة.</w:t>
      </w:r>
    </w:p>
    <w:p w:rsidR="00E974EF" w:rsidRDefault="00E974EF" w:rsidP="00E974EF">
      <w:pPr>
        <w:pStyle w:val="SingleTxt"/>
        <w:rPr>
          <w:rFonts w:hint="cs"/>
          <w:rtl/>
        </w:rPr>
      </w:pPr>
      <w:r>
        <w:rPr>
          <w:rFonts w:hint="cs"/>
          <w:rtl/>
        </w:rPr>
        <w:t>271-</w:t>
      </w:r>
      <w:r>
        <w:rPr>
          <w:rFonts w:hint="cs"/>
          <w:rtl/>
        </w:rPr>
        <w:tab/>
        <w:t xml:space="preserve">وتحصل المرأة على معاش زوجها المتوفى إلا إذا تزوجت من جديد. ويجوز منح الموظفة إجازة خاصة بمرتب كامل، لمدة لا </w:t>
      </w:r>
      <w:r w:rsidR="00FC740A">
        <w:rPr>
          <w:rFonts w:hint="cs"/>
          <w:rtl/>
        </w:rPr>
        <w:t>تتجاوز 130 يوما، عند وفاة زوجها</w:t>
      </w:r>
      <w:r>
        <w:rPr>
          <w:rFonts w:hint="cs"/>
          <w:rtl/>
        </w:rPr>
        <w:t xml:space="preserve"> و</w:t>
      </w:r>
      <w:r w:rsidR="00FC740A">
        <w:rPr>
          <w:rFonts w:hint="cs"/>
          <w:rtl/>
        </w:rPr>
        <w:t>لا تخصم هذه الإجازة من حساب إجازاتها.</w:t>
      </w:r>
    </w:p>
    <w:p w:rsidR="00FC740A" w:rsidRDefault="00FC740A" w:rsidP="00FC740A">
      <w:pPr>
        <w:pStyle w:val="SingleTxt"/>
        <w:rPr>
          <w:rFonts w:hint="cs"/>
          <w:rtl/>
        </w:rPr>
      </w:pPr>
      <w:r>
        <w:rPr>
          <w:rFonts w:hint="cs"/>
          <w:rtl/>
        </w:rPr>
        <w:t>272-</w:t>
      </w:r>
      <w:r>
        <w:rPr>
          <w:rFonts w:hint="cs"/>
          <w:rtl/>
        </w:rPr>
        <w:tab/>
        <w:t>ولا يؤثر الحمل على التوظيف. ويحق للموظفة الحصول على إجازة أمومة مدتها 90 يوما. وتطلب هذه الإجازة وتمنح كحق لها. ويجوز منح إجازة الأمومة، كاستمرار لأي إجازة من نوع آخر، بما في ذلك الإجازة غير العادية المستحقة والمسموح بها لموظفة الخدمة المدنية أو بتوحيد الإجازتين.</w:t>
      </w:r>
    </w:p>
    <w:p w:rsidR="00FC740A" w:rsidRDefault="00FC740A" w:rsidP="00FC740A">
      <w:pPr>
        <w:pStyle w:val="SingleTxt"/>
        <w:rPr>
          <w:rFonts w:hint="cs"/>
          <w:rtl/>
        </w:rPr>
      </w:pPr>
      <w:r>
        <w:rPr>
          <w:rFonts w:hint="cs"/>
          <w:rtl/>
        </w:rPr>
        <w:t>273-</w:t>
      </w:r>
      <w:r>
        <w:rPr>
          <w:rFonts w:hint="cs"/>
          <w:rtl/>
        </w:rPr>
        <w:tab/>
        <w:t>وتحصل الموظفة في الخدمة الحكومية على نفس استحقاقات الإجازات التي يحصل عليها نظرائها من الرجال، في جميع الأحوال الأخرى.</w:t>
      </w:r>
    </w:p>
    <w:p w:rsidR="00FC740A" w:rsidRDefault="00FC740A" w:rsidP="00FC740A">
      <w:pPr>
        <w:pStyle w:val="SingleTxt"/>
        <w:rPr>
          <w:rFonts w:hint="cs"/>
          <w:rtl/>
        </w:rPr>
      </w:pPr>
      <w:r>
        <w:rPr>
          <w:rFonts w:hint="cs"/>
          <w:rtl/>
        </w:rPr>
        <w:t>274-</w:t>
      </w:r>
      <w:r>
        <w:rPr>
          <w:rFonts w:hint="cs"/>
          <w:rtl/>
        </w:rPr>
        <w:tab/>
        <w:t xml:space="preserve">وسن التقاعد الإلزامي المحدد لموظفي وموظفات القطاع العام هو سن </w:t>
      </w:r>
      <w:proofErr w:type="spellStart"/>
      <w:r>
        <w:rPr>
          <w:rFonts w:hint="cs"/>
          <w:rtl/>
        </w:rPr>
        <w:t>الـ</w:t>
      </w:r>
      <w:proofErr w:type="spellEnd"/>
      <w:r>
        <w:rPr>
          <w:rFonts w:hint="cs"/>
          <w:rtl/>
        </w:rPr>
        <w:t xml:space="preserve"> 60. ويجوز أن يسعى أي منهما، طوعيا، إلى الحصول على التقاعد الطوعي عند إكمال 25 سنة في الخدمة. مما يؤهل الرجال والنساء للحصول على استحقاقات صندوق التأمينات العام، والمكافآت وغير ذلك من استحقاقات التقاعد. وعلى الجنسين تقديم نفس المساهمات في المعاش التقاعدي.</w:t>
      </w:r>
    </w:p>
    <w:p w:rsidR="00FC740A" w:rsidRDefault="00FC740A" w:rsidP="00FC740A">
      <w:pPr>
        <w:pStyle w:val="SingleTxt"/>
        <w:rPr>
          <w:rFonts w:hint="cs"/>
          <w:rtl/>
        </w:rPr>
      </w:pPr>
      <w:r>
        <w:rPr>
          <w:rFonts w:hint="cs"/>
          <w:rtl/>
        </w:rPr>
        <w:t>275-</w:t>
      </w:r>
      <w:r>
        <w:rPr>
          <w:rFonts w:hint="cs"/>
          <w:rtl/>
        </w:rPr>
        <w:tab/>
        <w:t xml:space="preserve">وما زال نظام التأمين الاجتماعي في مرحلة تطور في باكستان. وقد وضع مرسوم التأمين الاجتماعي للموظفين الإقليميين لسنة 1965 بحيث يطبق تدريجيا وينطبق على </w:t>
      </w:r>
      <w:r>
        <w:rPr>
          <w:rFonts w:hint="eastAsia"/>
          <w:rtl/>
        </w:rPr>
        <w:t>”هذه المجالات، والفئات أو الأشخاص، والصناعات أو المؤسسات من هذا التاريخ، وفيما يتصل بتوفير الاستحقاقات التي نبهت عنها الحكومة</w:t>
      </w:r>
      <w:r>
        <w:rPr>
          <w:rFonts w:hint="cs"/>
          <w:rtl/>
        </w:rPr>
        <w:t>“. وقامت الحكومات الإقليمية بتمديد هذه المبادرة في كل صناعة على حدة. ويقدر أن هذا النظام يشمل 000 415 عامل بالحماية. وليس هناك تمييز بين الرجال والنساء من حيث التغطية بالتأمين الاجتماعي. ويحق للعاملات الحصول على استحقاقات الأمومة، وبطبيعة الحال. وبالإضافة إلى ذلك، تحصل زوجات العاملين على هذه الاستحقاقات أيضا.</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الحق في الوقاية الصحية وسلامة ظروف العمل، بما في ذلك حماية وظيفة الإنجاب</w:t>
      </w:r>
    </w:p>
    <w:p w:rsidR="00C67DF8" w:rsidRDefault="00C67DF8" w:rsidP="00C67DF8">
      <w:pPr>
        <w:pStyle w:val="SingleTxt"/>
        <w:tabs>
          <w:tab w:val="clear" w:pos="1930"/>
          <w:tab w:val="clear" w:pos="2592"/>
          <w:tab w:val="left" w:pos="2125"/>
        </w:tabs>
        <w:rPr>
          <w:rFonts w:hint="cs"/>
          <w:rtl/>
        </w:rPr>
      </w:pPr>
      <w:r>
        <w:rPr>
          <w:rFonts w:hint="cs"/>
          <w:rtl/>
        </w:rPr>
        <w:t>276 -</w:t>
      </w:r>
      <w:r>
        <w:rPr>
          <w:rFonts w:hint="cs"/>
          <w:rtl/>
        </w:rPr>
        <w:tab/>
        <w:t xml:space="preserve">نص المادة 37 (هـ) على أن </w:t>
      </w:r>
      <w:r>
        <w:rPr>
          <w:rFonts w:hint="eastAsia"/>
          <w:rtl/>
        </w:rPr>
        <w:t>”</w:t>
      </w:r>
      <w:r>
        <w:rPr>
          <w:rFonts w:hint="cs"/>
          <w:rtl/>
        </w:rPr>
        <w:t>تعمل الدولة على كفالة الظروف المنصفة والإنسانية في العمل، وضمان عدم توظيف الأطفال والنساء في المهن غير الملائمة لسنهم أو نوع جنسهم، وتوفير استحقاقات الأمومة للنساء في مجال العمل</w:t>
      </w:r>
      <w:r>
        <w:rPr>
          <w:rFonts w:hint="eastAsia"/>
          <w:rtl/>
        </w:rPr>
        <w:t>“</w:t>
      </w:r>
      <w:r>
        <w:rPr>
          <w:rFonts w:hint="cs"/>
          <w:rtl/>
        </w:rPr>
        <w:t>.</w:t>
      </w:r>
    </w:p>
    <w:p w:rsidR="00C67DF8" w:rsidRDefault="00C67DF8" w:rsidP="00C67DF8">
      <w:pPr>
        <w:pStyle w:val="SingleTxt"/>
        <w:tabs>
          <w:tab w:val="clear" w:pos="1930"/>
          <w:tab w:val="clear" w:pos="2592"/>
          <w:tab w:val="left" w:pos="2125"/>
        </w:tabs>
        <w:rPr>
          <w:rFonts w:hint="cs"/>
          <w:rtl/>
        </w:rPr>
      </w:pPr>
      <w:r>
        <w:rPr>
          <w:rFonts w:hint="cs"/>
          <w:rtl/>
        </w:rPr>
        <w:t>277 -</w:t>
      </w:r>
      <w:r>
        <w:rPr>
          <w:rFonts w:hint="cs"/>
          <w:rtl/>
        </w:rPr>
        <w:tab/>
        <w:t xml:space="preserve">وتنعكس هذه الأحكام الدستورية في التشريعات أيضا </w:t>
      </w:r>
      <w:r>
        <w:rPr>
          <w:rtl/>
        </w:rPr>
        <w:t>–</w:t>
      </w:r>
      <w:r>
        <w:rPr>
          <w:rFonts w:hint="cs"/>
          <w:rtl/>
        </w:rPr>
        <w:t xml:space="preserve"> قانون المناجم لسنة 1923 المادة 23 </w:t>
      </w:r>
      <w:r>
        <w:rPr>
          <w:rtl/>
        </w:rPr>
        <w:t>–</w:t>
      </w:r>
      <w:r>
        <w:rPr>
          <w:rFonts w:hint="cs"/>
          <w:rtl/>
        </w:rPr>
        <w:t xml:space="preserve"> جيم، وقانون المصانع لسنة 1934، المواد 27 و32 و33 </w:t>
      </w:r>
      <w:r>
        <w:rPr>
          <w:rtl/>
        </w:rPr>
        <w:t>–</w:t>
      </w:r>
      <w:r>
        <w:rPr>
          <w:rFonts w:hint="cs"/>
          <w:rtl/>
        </w:rPr>
        <w:t xml:space="preserve"> و والفقرة الفرعية 2-33 </w:t>
      </w:r>
      <w:r>
        <w:rPr>
          <w:rtl/>
        </w:rPr>
        <w:t>–</w:t>
      </w:r>
      <w:r>
        <w:rPr>
          <w:rFonts w:hint="cs"/>
          <w:rtl/>
        </w:rPr>
        <w:t xml:space="preserve"> فاء ، وقواعد المهن الخطرة لسنة 1963.</w:t>
      </w:r>
    </w:p>
    <w:p w:rsidR="00C67DF8" w:rsidRDefault="00C67DF8" w:rsidP="00814492">
      <w:pPr>
        <w:pStyle w:val="SingleTxt"/>
        <w:tabs>
          <w:tab w:val="clear" w:pos="1930"/>
          <w:tab w:val="clear" w:pos="2592"/>
          <w:tab w:val="left" w:pos="2125"/>
          <w:tab w:val="left" w:pos="2640"/>
        </w:tabs>
        <w:rPr>
          <w:rFonts w:hint="cs"/>
          <w:rtl/>
        </w:rPr>
      </w:pPr>
      <w:r>
        <w:rPr>
          <w:rFonts w:hint="cs"/>
          <w:rtl/>
        </w:rPr>
        <w:t>278 -</w:t>
      </w:r>
      <w:r>
        <w:rPr>
          <w:rFonts w:hint="cs"/>
          <w:rtl/>
        </w:rPr>
        <w:tab/>
        <w:t>ويغطي قانون تعويض العاملين التعويض ع</w:t>
      </w:r>
      <w:r w:rsidR="00814492">
        <w:rPr>
          <w:rFonts w:hint="cs"/>
          <w:rtl/>
        </w:rPr>
        <w:t>ن</w:t>
      </w:r>
      <w:r>
        <w:rPr>
          <w:rFonts w:hint="cs"/>
          <w:rtl/>
        </w:rPr>
        <w:t xml:space="preserve"> الإصابات الصناعية والمرض وينطبق على العاملين خارج نطاق قانون التأمين الاجتماعي للموظفين الإقليميين لسنة 1965. ويشمل التعويض عن الإصابات التي تحدث من الوظيفة التي يقوم بها العامل وأثناء أدائه لها.</w:t>
      </w:r>
    </w:p>
    <w:p w:rsidR="00C67DF8" w:rsidRPr="000708E3" w:rsidRDefault="00C67DF8" w:rsidP="00C67DF8">
      <w:pPr>
        <w:pStyle w:val="SingleTxt"/>
        <w:tabs>
          <w:tab w:val="clear" w:pos="2592"/>
          <w:tab w:val="left" w:pos="2022"/>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الأمان المهني</w:t>
      </w:r>
    </w:p>
    <w:p w:rsidR="00C67DF8" w:rsidRDefault="00C67DF8" w:rsidP="00814492">
      <w:pPr>
        <w:pStyle w:val="SingleTxt"/>
        <w:tabs>
          <w:tab w:val="clear" w:pos="1930"/>
          <w:tab w:val="left" w:pos="2125"/>
        </w:tabs>
        <w:rPr>
          <w:rFonts w:hint="cs"/>
          <w:rtl/>
        </w:rPr>
      </w:pPr>
      <w:r>
        <w:rPr>
          <w:rFonts w:hint="cs"/>
          <w:rtl/>
        </w:rPr>
        <w:t>279 -</w:t>
      </w:r>
      <w:r>
        <w:rPr>
          <w:rFonts w:hint="cs"/>
          <w:rtl/>
        </w:rPr>
        <w:tab/>
        <w:t>مازال مفهوم الأمان المهني في مرحلة تطور في باكستان. ولم تتصدى الدراسات الاستقصائية للقوة العاملة لهذه المسألة. غير أن هناك أسئلة عن الأمان المهني أدرجت للمر</w:t>
      </w:r>
      <w:r w:rsidR="00814492">
        <w:rPr>
          <w:rFonts w:hint="cs"/>
          <w:rtl/>
        </w:rPr>
        <w:t>ة</w:t>
      </w:r>
      <w:r>
        <w:rPr>
          <w:rFonts w:hint="cs"/>
          <w:rtl/>
        </w:rPr>
        <w:t xml:space="preserve"> الأولى في الدراسة الاستقصائية للقوة العاملة للفترة 2001-2002، ونشرت في تشرين الأول/أكتوبر 2003. ووفقا لهذه الدراسة، أصيب واحد من كل 27 عاملا (3.6 في المائة) بإصابات/أمراض مهنية خلال الفترة المشمولة بالتقرير. وتبين الإحصاءات أن العاملين (3.9 في المائة) أكثر عرضة للإصابات/الأمراض المهنية من العاملات (1.5 في المائة). وبالمثل، وجد أن العمال الريفيين (3.9 في المائة) أ</w:t>
      </w:r>
      <w:r w:rsidR="00814492">
        <w:rPr>
          <w:rFonts w:hint="cs"/>
          <w:rtl/>
        </w:rPr>
        <w:t>ك</w:t>
      </w:r>
      <w:r>
        <w:rPr>
          <w:rFonts w:hint="cs"/>
          <w:rtl/>
        </w:rPr>
        <w:t>ثر عرضة للإصابات/الأمراض من العمال الحضريين (2.9) في المائة).</w:t>
      </w:r>
    </w:p>
    <w:p w:rsidR="00C67DF8" w:rsidRDefault="00C67DF8" w:rsidP="00C67DF8">
      <w:pPr>
        <w:pStyle w:val="SingleTxt"/>
        <w:tabs>
          <w:tab w:val="clear" w:pos="1930"/>
          <w:tab w:val="left" w:pos="2125"/>
        </w:tabs>
        <w:rPr>
          <w:rFonts w:hint="cs"/>
          <w:rtl/>
        </w:rPr>
      </w:pPr>
      <w:r>
        <w:rPr>
          <w:rFonts w:hint="cs"/>
          <w:rtl/>
        </w:rPr>
        <w:t>280 -</w:t>
      </w:r>
      <w:r>
        <w:rPr>
          <w:rFonts w:hint="cs"/>
          <w:rtl/>
        </w:rPr>
        <w:tab/>
        <w:t>وكان أغلب العاملين المصابين بإصابات/أمراض مهنية مركزين في قطاع الزراعة (42.9 في المائة، يليهم في الأهمية قطاع الصناعات التحويلية ( 14.5)، ثم قطاع التشييد (12,5 في المائة)، ثم قطاع الخدمات المجتمعية والاجتماعية والشخصية (11.2 في المائة، وقطاع النقل والتخزين والمواصلات (9.4 في المائة)، وقطاع تجارة الجملة والتجزئة (8.6 في المائة). ويتبع الذكور النمط الشامل للجنسين. وبالنسبة للعاملات المصابات بالإصابات/الأمراض المهنية ، وجد أن قطاع الزراعة في المقدمة أيضا بنسبة 71.2 في المائة، يليه قطاع الصناعات التحويلية، بنسبة 14.7 في المائة، ثم الخدمات المجتمعية والاجتماعية والشخصية بنسبة 9.1 في المائة، وتجارة الجملة والتجزئة بنسبة 3.1 في المائة.</w:t>
      </w:r>
    </w:p>
    <w:p w:rsidR="00C67DF8" w:rsidRDefault="00C67DF8" w:rsidP="00C67DF8">
      <w:pPr>
        <w:pStyle w:val="SingleTxt"/>
        <w:tabs>
          <w:tab w:val="clear" w:pos="1930"/>
          <w:tab w:val="left" w:pos="2125"/>
        </w:tabs>
        <w:rPr>
          <w:rFonts w:hint="cs"/>
          <w:rtl/>
        </w:rPr>
      </w:pPr>
      <w:r>
        <w:rPr>
          <w:rFonts w:hint="cs"/>
          <w:rtl/>
        </w:rPr>
        <w:t>281 -</w:t>
      </w:r>
      <w:r>
        <w:rPr>
          <w:rFonts w:hint="cs"/>
          <w:rtl/>
        </w:rPr>
        <w:tab/>
        <w:t xml:space="preserve">وقام أغلبية من عانى من الإصابات/الأمراض (48.8 في المائة) باستشارة موظف طبي. وحصل 19.3 منهم على إجازة من العمل بينما استقبلت المستشفيات 14.7 في المائة منهم. ووجد فرق بين الجنسين بالنسبة لطبيعة ما تلقوه من علاج. إذ قام أغلب العمال المصابين (48.6 في المائة) باستشارة طبيب أو موظف طبي آخر، يليهم الذين حصلوا على إجازة من العمل </w:t>
      </w:r>
      <w:r w:rsidR="00814492">
        <w:rPr>
          <w:rFonts w:hint="cs"/>
          <w:rtl/>
        </w:rPr>
        <w:t>(</w:t>
      </w:r>
      <w:r>
        <w:rPr>
          <w:rFonts w:hint="cs"/>
          <w:rtl/>
        </w:rPr>
        <w:t>19.6 في المائة)، ثم الذين دخلوا المستشفيات (15 في المائة). ولم يتلق 16.8 في المائة منهم علاجا قط. وقام 51.5 في المائة من العاملات المصابات باستشارة طبيب أو موظف طبي آخر، وحصل</w:t>
      </w:r>
      <w:r w:rsidR="00814492">
        <w:rPr>
          <w:rFonts w:hint="cs"/>
          <w:rtl/>
        </w:rPr>
        <w:t>ت</w:t>
      </w:r>
      <w:r>
        <w:rPr>
          <w:rFonts w:hint="cs"/>
          <w:rtl/>
        </w:rPr>
        <w:t xml:space="preserve"> 15.4 في المائة منهن على إجازة من العمل، ودخل</w:t>
      </w:r>
      <w:r w:rsidR="00814492">
        <w:rPr>
          <w:rFonts w:hint="cs"/>
          <w:rtl/>
        </w:rPr>
        <w:t>ت</w:t>
      </w:r>
      <w:r>
        <w:rPr>
          <w:rFonts w:hint="cs"/>
          <w:rtl/>
        </w:rPr>
        <w:t xml:space="preserve"> 9.9 في المائة منهن المستشفيات. ولم يتلق نحو ريع العاملات المصابات (23.2 في المائة) علاجا قط لأسباب لم تسجل.</w:t>
      </w:r>
    </w:p>
    <w:p w:rsidR="00C67DF8" w:rsidRDefault="00C67DF8" w:rsidP="00C67DF8">
      <w:pPr>
        <w:pStyle w:val="SingleTxt"/>
        <w:tabs>
          <w:tab w:val="clear" w:pos="1930"/>
          <w:tab w:val="left" w:pos="2125"/>
        </w:tabs>
        <w:rPr>
          <w:rFonts w:hint="cs"/>
          <w:rtl/>
        </w:rPr>
      </w:pPr>
      <w:r>
        <w:rPr>
          <w:rFonts w:hint="cs"/>
          <w:rtl/>
        </w:rPr>
        <w:t>282 -</w:t>
      </w:r>
      <w:r>
        <w:rPr>
          <w:rFonts w:hint="cs"/>
          <w:rtl/>
        </w:rPr>
        <w:tab/>
        <w:t>حظر الفصل من الخدمة بسبب الحمل أو إجازة الأمومة والتمييز في الفصل من العمل على أساس الحالة الزوجية، مع فرض جزاءات على المخالفين.</w:t>
      </w:r>
    </w:p>
    <w:p w:rsidR="00C67DF8" w:rsidRDefault="00C67DF8" w:rsidP="00C67DF8">
      <w:pPr>
        <w:pStyle w:val="SingleTxt"/>
        <w:tabs>
          <w:tab w:val="clear" w:pos="1930"/>
          <w:tab w:val="left" w:pos="2125"/>
        </w:tabs>
        <w:rPr>
          <w:rFonts w:hint="cs"/>
          <w:rtl/>
        </w:rPr>
      </w:pPr>
      <w:r>
        <w:rPr>
          <w:rFonts w:hint="cs"/>
          <w:rtl/>
        </w:rPr>
        <w:t>283 -</w:t>
      </w:r>
      <w:r>
        <w:rPr>
          <w:rFonts w:hint="cs"/>
          <w:rtl/>
        </w:rPr>
        <w:tab/>
        <w:t>يلتزم القطاع العام في باكستان بهذه الشروط، بصورة كاملة. وتعد الأحكام المتصلة بإجازة الأمومة سخية جدا، في الواقع. والعاملات في القطاع الخاص مشمولات أيضا، رهنا بالشروط الخاصة بعدد الموظفين العاملين في المؤسسة.</w:t>
      </w:r>
    </w:p>
    <w:p w:rsidR="00C67DF8" w:rsidRDefault="00C67DF8" w:rsidP="00C67DF8">
      <w:pPr>
        <w:pStyle w:val="SingleTxt"/>
        <w:tabs>
          <w:tab w:val="clear" w:pos="1930"/>
          <w:tab w:val="left" w:pos="2125"/>
        </w:tabs>
        <w:rPr>
          <w:rFonts w:hint="cs"/>
          <w:rtl/>
        </w:rPr>
      </w:pPr>
      <w:r>
        <w:rPr>
          <w:rFonts w:hint="cs"/>
          <w:rtl/>
        </w:rPr>
        <w:t>284 -</w:t>
      </w:r>
      <w:r>
        <w:rPr>
          <w:rFonts w:hint="cs"/>
          <w:rtl/>
        </w:rPr>
        <w:tab/>
        <w:t>ويمكن التمييز ضد العاملات في المؤسسات غير المشمولة في نطاق قوانين العمل ذات الصلة بالموضوع، بسبب الحمل. ومن المؤسف أن معظم موظفي هذه الشركات والصناعات من العاملين بعقود أو بالقطعة، ويمكن إعفاؤهم من وظائفهم بسهولة. ولا تستثنى العاملات من ذلك. وتسعى المرأة الحامل في هذه الظروف، إلى إنهاء عملها مع اقتراب موعد الولادة، بصورة عامة. ولا يحتمل أن تحصل على استحقاقات الأمومة وما إلى ذلك. ويمكن أن تتقدم إلى رب عملها السابق ويحتمل أن يعاد تعيينها مرة ثانية، في حالة وجود وظيفة شاغرة وإذا كانت عاملة جيدة، متى أصبحت قادرة على الالتحاق بالقوة العاملة، مرة أخرى.</w:t>
      </w:r>
    </w:p>
    <w:p w:rsidR="00C67DF8" w:rsidRDefault="00C67DF8" w:rsidP="00C67DF8">
      <w:pPr>
        <w:pStyle w:val="SingleTxt"/>
        <w:tabs>
          <w:tab w:val="clear" w:pos="1930"/>
          <w:tab w:val="left" w:pos="2125"/>
        </w:tabs>
        <w:rPr>
          <w:rFonts w:hint="cs"/>
          <w:rtl/>
        </w:rPr>
      </w:pPr>
      <w:r>
        <w:rPr>
          <w:rFonts w:hint="cs"/>
          <w:rtl/>
        </w:rPr>
        <w:t>285 -</w:t>
      </w:r>
      <w:r>
        <w:rPr>
          <w:rFonts w:hint="cs"/>
          <w:rtl/>
        </w:rPr>
        <w:tab/>
        <w:t>وفيما يتصل بالحالة الزوجية، وكونها عاملا في التوظيف، يمكن القول إن القطاع العام يعمل على أساس هذه المعايير بصورة كاملة، باستثناء وحيد وهو أنه لا يجوز للموظف (سواء كان رجل أو امرأة) في حكومة باكستان الزواج بأجنبي. وعليه الاستقالة من الخدمة الحكومية في حالة الزواج بأجنبي.</w:t>
      </w:r>
    </w:p>
    <w:p w:rsidR="00C67DF8" w:rsidRDefault="00C67DF8" w:rsidP="00C67DF8">
      <w:pPr>
        <w:pStyle w:val="SingleTxt"/>
        <w:tabs>
          <w:tab w:val="clear" w:pos="1930"/>
          <w:tab w:val="left" w:pos="2125"/>
        </w:tabs>
        <w:rPr>
          <w:rFonts w:hint="cs"/>
          <w:rtl/>
        </w:rPr>
      </w:pPr>
      <w:r>
        <w:rPr>
          <w:rFonts w:hint="cs"/>
          <w:rtl/>
        </w:rPr>
        <w:t>286 -</w:t>
      </w:r>
      <w:r>
        <w:rPr>
          <w:rFonts w:hint="cs"/>
          <w:rtl/>
        </w:rPr>
        <w:tab/>
        <w:t>وتعمل الحكومة، كسياسة عامة، على تعيين الزوجين (إذا كان الاثنان في خدمة الحكومة) في نفس المقر، حرصا على عدم تعكير حياتهم العائلية.</w:t>
      </w:r>
    </w:p>
    <w:p w:rsidR="00C67DF8" w:rsidRPr="00F309CA"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إجازة الأمومة المدفوعة الأجر أو مع التمتع بمزايا اجتماعية مماثلة دون أن تفقد المرأة الوظيفة التي تشغليها أو أقدميتها أو العلاوات الاجتماعية</w:t>
      </w:r>
    </w:p>
    <w:p w:rsidR="00C67DF8" w:rsidRDefault="00C67DF8" w:rsidP="00C67DF8">
      <w:pPr>
        <w:pStyle w:val="SingleTxt"/>
        <w:tabs>
          <w:tab w:val="clear" w:pos="1930"/>
          <w:tab w:val="left" w:pos="2125"/>
        </w:tabs>
        <w:rPr>
          <w:rFonts w:hint="cs"/>
          <w:rtl/>
        </w:rPr>
      </w:pPr>
      <w:r>
        <w:rPr>
          <w:rFonts w:hint="cs"/>
          <w:rtl/>
        </w:rPr>
        <w:t>287 -</w:t>
      </w:r>
      <w:r>
        <w:rPr>
          <w:rFonts w:hint="cs"/>
          <w:rtl/>
        </w:rPr>
        <w:tab/>
        <w:t xml:space="preserve">ينفذ القطاع العام هذه الأحكام بصورة مناسبة. وتقضي القواعد ذات الصلة على أن </w:t>
      </w:r>
      <w:r>
        <w:rPr>
          <w:rFonts w:hint="eastAsia"/>
          <w:rtl/>
        </w:rPr>
        <w:t xml:space="preserve">”تمنح موظفة الخدمة المدنية إجازة أمومة مدفوعة الأجر لفترة أقصاها 90 يوما، وتعامل الأجازة التي تتجاوز فترة </w:t>
      </w:r>
      <w:proofErr w:type="spellStart"/>
      <w:r>
        <w:rPr>
          <w:rFonts w:hint="eastAsia"/>
          <w:rtl/>
        </w:rPr>
        <w:t>الـ</w:t>
      </w:r>
      <w:proofErr w:type="spellEnd"/>
      <w:r>
        <w:rPr>
          <w:rFonts w:hint="eastAsia"/>
          <w:rtl/>
        </w:rPr>
        <w:t xml:space="preserve"> 90 يوما كإجازة </w:t>
      </w:r>
      <w:proofErr w:type="spellStart"/>
      <w:r>
        <w:rPr>
          <w:rFonts w:hint="eastAsia"/>
          <w:rtl/>
        </w:rPr>
        <w:t>مسموحة</w:t>
      </w:r>
      <w:proofErr w:type="spellEnd"/>
      <w:r>
        <w:rPr>
          <w:rFonts w:hint="eastAsia"/>
          <w:rtl/>
        </w:rPr>
        <w:t xml:space="preserve"> ومطلوبة من الموظفة</w:t>
      </w:r>
      <w:r>
        <w:rPr>
          <w:rFonts w:hint="eastAsia"/>
          <w:rtl/>
          <w:lang w:bidi="fa-IR"/>
        </w:rPr>
        <w:t>“</w:t>
      </w:r>
      <w:r>
        <w:rPr>
          <w:rFonts w:hint="cs"/>
          <w:rtl/>
        </w:rPr>
        <w:t>.</w:t>
      </w:r>
    </w:p>
    <w:p w:rsidR="00C67DF8" w:rsidRDefault="00C67DF8" w:rsidP="00C67DF8">
      <w:pPr>
        <w:pStyle w:val="SingleTxt"/>
        <w:tabs>
          <w:tab w:val="clear" w:pos="1930"/>
          <w:tab w:val="left" w:pos="2125"/>
        </w:tabs>
        <w:rPr>
          <w:rFonts w:hint="cs"/>
          <w:rtl/>
          <w:lang w:bidi="fa-IR"/>
        </w:rPr>
      </w:pPr>
      <w:r>
        <w:rPr>
          <w:rFonts w:hint="cs"/>
          <w:rtl/>
          <w:lang w:bidi="fa-IR"/>
        </w:rPr>
        <w:t>288 -</w:t>
      </w:r>
      <w:r>
        <w:rPr>
          <w:rFonts w:hint="cs"/>
          <w:rtl/>
          <w:lang w:bidi="fa-IR"/>
        </w:rPr>
        <w:tab/>
        <w:t>ولا تنطوي إجازة الأمومة على فقدان الموظفة للوظيفة التي كانت تشغلها أو أقدميتها أو العلاوات الاجتماعية. وتقوم الموظفة، في الواقع بطلب إجازة إضافية، باستخدام ما اكتسبته من إجازات وإضافتها إلى إجازة الأمومة التي حصلت عليها.</w:t>
      </w:r>
    </w:p>
    <w:p w:rsidR="00C67DF8" w:rsidRDefault="00C67DF8" w:rsidP="00C67DF8">
      <w:pPr>
        <w:pStyle w:val="SingleTxt"/>
        <w:tabs>
          <w:tab w:val="clear" w:pos="1930"/>
          <w:tab w:val="left" w:pos="2125"/>
        </w:tabs>
        <w:rPr>
          <w:rFonts w:hint="cs"/>
          <w:rtl/>
          <w:lang w:bidi="fa-IR"/>
        </w:rPr>
      </w:pPr>
      <w:r>
        <w:rPr>
          <w:rFonts w:hint="cs"/>
          <w:rtl/>
          <w:lang w:bidi="fa-IR"/>
        </w:rPr>
        <w:t>289 -</w:t>
      </w:r>
      <w:r>
        <w:rPr>
          <w:rFonts w:hint="cs"/>
          <w:rtl/>
          <w:lang w:bidi="fa-IR"/>
        </w:rPr>
        <w:tab/>
        <w:t>وفي القطاع الخاص، تنفذ القوانين ذات الصلة في المؤسسات التي لديها عدد الموظفين المطلوب لتطبيق القانون.</w:t>
      </w:r>
    </w:p>
    <w:p w:rsidR="00C67DF8" w:rsidRDefault="00C67DF8" w:rsidP="00C67DF8">
      <w:pPr>
        <w:pStyle w:val="SingleTxt"/>
        <w:tabs>
          <w:tab w:val="clear" w:pos="1930"/>
          <w:tab w:val="left" w:pos="2125"/>
        </w:tabs>
        <w:rPr>
          <w:rFonts w:hint="cs"/>
          <w:rtl/>
          <w:lang w:bidi="fa-IR"/>
        </w:rPr>
      </w:pPr>
      <w:r>
        <w:rPr>
          <w:rFonts w:hint="cs"/>
          <w:rtl/>
          <w:lang w:bidi="fa-IR"/>
        </w:rPr>
        <w:t>290 -</w:t>
      </w:r>
      <w:r>
        <w:rPr>
          <w:rFonts w:hint="cs"/>
          <w:rtl/>
          <w:lang w:bidi="fa-IR"/>
        </w:rPr>
        <w:tab/>
        <w:t>ولا تتمتع الموظفات في القطاع غير الرسمي بحق قانوني في إجازة الأمومة.</w:t>
      </w:r>
    </w:p>
    <w:p w:rsidR="00C67DF8" w:rsidRPr="00F309CA" w:rsidRDefault="00C67DF8" w:rsidP="00C67DF8">
      <w:pPr>
        <w:pStyle w:val="SingleTxt"/>
        <w:tabs>
          <w:tab w:val="clear" w:pos="1930"/>
          <w:tab w:val="left" w:pos="2125"/>
        </w:tabs>
        <w:spacing w:after="0" w:line="120" w:lineRule="exact"/>
        <w:rPr>
          <w:rFonts w:hint="cs"/>
          <w:sz w:val="12"/>
          <w:rtl/>
          <w:lang w:bidi="fa-IR"/>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fa-IR"/>
        </w:rPr>
      </w:pPr>
      <w:r>
        <w:rPr>
          <w:rFonts w:hint="cs"/>
          <w:rtl/>
          <w:lang w:bidi="fa-IR"/>
        </w:rPr>
        <w:tab/>
      </w:r>
      <w:r>
        <w:rPr>
          <w:rFonts w:hint="cs"/>
          <w:rtl/>
          <w:lang w:bidi="fa-IR"/>
        </w:rPr>
        <w:tab/>
        <w:t>تشجيع توفير ما يلزم من الخدمات الاجتماعية الداعمة لتمكين الوالدين من الجمع بين التزاماتهما العائلية وبين مسؤوليات العمل والمشاركة في الحياة العامة، ولا سيما عن طريق تشجيع إنشاء وتنمية شبكة من مرافق رعاية الأطفال</w:t>
      </w:r>
    </w:p>
    <w:p w:rsidR="00C67DF8" w:rsidRDefault="00C67DF8" w:rsidP="00814492">
      <w:pPr>
        <w:pStyle w:val="SingleTxt"/>
        <w:tabs>
          <w:tab w:val="clear" w:pos="1930"/>
          <w:tab w:val="left" w:pos="2125"/>
        </w:tabs>
        <w:rPr>
          <w:rFonts w:hint="cs"/>
          <w:rtl/>
          <w:lang w:bidi="fa-IR"/>
        </w:rPr>
      </w:pPr>
      <w:r>
        <w:rPr>
          <w:rFonts w:hint="cs"/>
          <w:rtl/>
          <w:lang w:bidi="fa-IR"/>
        </w:rPr>
        <w:t>291 -</w:t>
      </w:r>
      <w:r>
        <w:rPr>
          <w:rFonts w:hint="cs"/>
          <w:rtl/>
          <w:lang w:bidi="fa-IR"/>
        </w:rPr>
        <w:tab/>
        <w:t>وفر بعض الكيانات الحكومية مرافق لرعاية الطفل بشكل ما. وعلى سبيل المثال، يوجد مرفق لرعاية الطفل في وزارة تنمية المرأة وكذلك في وزارة الخارجية. غير أن هذه الممارسة ليست موحدة، وهناك كيانات حكومية لا توفر مرا</w:t>
      </w:r>
      <w:r w:rsidR="00814492">
        <w:rPr>
          <w:rFonts w:hint="cs"/>
          <w:rtl/>
          <w:lang w:bidi="fa-IR"/>
        </w:rPr>
        <w:t>ف</w:t>
      </w:r>
      <w:r>
        <w:rPr>
          <w:rFonts w:hint="cs"/>
          <w:rtl/>
          <w:lang w:bidi="fa-IR"/>
        </w:rPr>
        <w:t>ق لرعاية الطفل بأي شكل كان. ويفوق عدد هذه الكيانات، عدد التي توفر مرافق من هذا النوع. ولا توفر مرافق لرعاية الطفل، في القطاع الخاص، بصورة عامة.</w:t>
      </w:r>
    </w:p>
    <w:p w:rsidR="00C67DF8" w:rsidRDefault="00C67DF8" w:rsidP="00C67DF8">
      <w:pPr>
        <w:pStyle w:val="SingleTxt"/>
        <w:tabs>
          <w:tab w:val="clear" w:pos="1930"/>
          <w:tab w:val="left" w:pos="2125"/>
        </w:tabs>
        <w:rPr>
          <w:rFonts w:hint="cs"/>
          <w:rtl/>
          <w:lang w:bidi="fa-IR"/>
        </w:rPr>
      </w:pPr>
      <w:r>
        <w:rPr>
          <w:rFonts w:hint="cs"/>
          <w:rtl/>
          <w:lang w:bidi="fa-IR"/>
        </w:rPr>
        <w:t>292 -</w:t>
      </w:r>
      <w:r>
        <w:rPr>
          <w:rFonts w:hint="cs"/>
          <w:rtl/>
          <w:lang w:bidi="fa-IR"/>
        </w:rPr>
        <w:tab/>
        <w:t>ويعتبر نظام الأسرة المشتركة التي يمارس في باكستان، على نطاق واسع، حتى الآن، شكلا من أشكال</w:t>
      </w:r>
      <w:r>
        <w:rPr>
          <w:rFonts w:hint="eastAsia"/>
          <w:rtl/>
          <w:lang w:bidi="fa-IR"/>
        </w:rPr>
        <w:t xml:space="preserve"> </w:t>
      </w:r>
      <w:r>
        <w:rPr>
          <w:rFonts w:hint="cs"/>
          <w:rtl/>
          <w:lang w:bidi="fa-IR"/>
        </w:rPr>
        <w:t>”الخدمات الاجتماعية لتمكين الوالدين من الجمع بين التزاماتهما العائلية وبين مسؤوليات العمل</w:t>
      </w:r>
      <w:r>
        <w:rPr>
          <w:rFonts w:hint="eastAsia"/>
          <w:rtl/>
          <w:lang w:bidi="fa-IR"/>
        </w:rPr>
        <w:t xml:space="preserve">“. </w:t>
      </w:r>
      <w:r>
        <w:rPr>
          <w:rFonts w:hint="cs"/>
          <w:rtl/>
          <w:lang w:bidi="fa-IR"/>
        </w:rPr>
        <w:t>ولا يوجد نظام رسمي لخدمة هذا المطلب حتى الآن.</w:t>
      </w:r>
    </w:p>
    <w:p w:rsidR="00C67DF8" w:rsidRDefault="00C67DF8" w:rsidP="00C67DF8">
      <w:pPr>
        <w:pStyle w:val="SingleTxt"/>
        <w:tabs>
          <w:tab w:val="clear" w:pos="1930"/>
          <w:tab w:val="left" w:pos="2125"/>
        </w:tabs>
        <w:rPr>
          <w:rFonts w:hint="cs"/>
          <w:rtl/>
          <w:lang w:bidi="fa-IR"/>
        </w:rPr>
      </w:pPr>
      <w:r>
        <w:rPr>
          <w:rFonts w:hint="cs"/>
          <w:rtl/>
          <w:lang w:bidi="fa-IR"/>
        </w:rPr>
        <w:t>293 -</w:t>
      </w:r>
      <w:r>
        <w:rPr>
          <w:rFonts w:hint="cs"/>
          <w:rtl/>
          <w:lang w:bidi="fa-IR"/>
        </w:rPr>
        <w:tab/>
        <w:t xml:space="preserve">وبدأت وزارة تنمية المرأة تنفيذ مشروع لمساعدة </w:t>
      </w:r>
      <w:r w:rsidR="00814492">
        <w:rPr>
          <w:rFonts w:hint="cs"/>
          <w:rtl/>
          <w:lang w:bidi="fa-IR"/>
        </w:rPr>
        <w:t xml:space="preserve">مؤسسات </w:t>
      </w:r>
      <w:r>
        <w:rPr>
          <w:rFonts w:hint="cs"/>
          <w:rtl/>
          <w:lang w:bidi="fa-IR"/>
        </w:rPr>
        <w:t>العمل المختلفة على إنشاء حضانات لأبناء موظفيها. وسوف تقدم الوزارة منحا مقابلة لجميع المؤسسات الراغبة في إنشاء الحضانات. وسوف يمتد المشروع ليشمل القطاع الخاص.</w:t>
      </w:r>
    </w:p>
    <w:p w:rsidR="00C67DF8" w:rsidRPr="00DD0B67" w:rsidRDefault="00C67DF8" w:rsidP="00C67DF8">
      <w:pPr>
        <w:pStyle w:val="SingleTxt"/>
        <w:tabs>
          <w:tab w:val="clear" w:pos="1930"/>
          <w:tab w:val="left" w:pos="2125"/>
        </w:tabs>
        <w:spacing w:after="0" w:line="120" w:lineRule="exact"/>
        <w:rPr>
          <w:rFonts w:hint="cs"/>
          <w:sz w:val="12"/>
          <w:rtl/>
          <w:lang w:bidi="fa-IR"/>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fa-IR"/>
        </w:rPr>
      </w:pPr>
      <w:r>
        <w:rPr>
          <w:rFonts w:hint="cs"/>
          <w:rtl/>
          <w:lang w:bidi="fa-IR"/>
        </w:rPr>
        <w:tab/>
      </w:r>
      <w:r>
        <w:rPr>
          <w:rFonts w:hint="cs"/>
          <w:rtl/>
          <w:lang w:bidi="fa-IR"/>
        </w:rPr>
        <w:tab/>
        <w:t>توفير حماية خاصة للمرأة أثناء فترة الحمل في الأعمال التي يثبت أنها مؤذية لها</w:t>
      </w:r>
    </w:p>
    <w:p w:rsidR="00C67DF8" w:rsidRDefault="00C67DF8" w:rsidP="00C67DF8">
      <w:pPr>
        <w:pStyle w:val="SingleTxt"/>
        <w:tabs>
          <w:tab w:val="clear" w:pos="1930"/>
          <w:tab w:val="left" w:pos="2125"/>
        </w:tabs>
        <w:rPr>
          <w:rFonts w:hint="cs"/>
          <w:rtl/>
        </w:rPr>
      </w:pPr>
      <w:r>
        <w:rPr>
          <w:rFonts w:hint="cs"/>
          <w:rtl/>
        </w:rPr>
        <w:t>294 -</w:t>
      </w:r>
      <w:r>
        <w:rPr>
          <w:rFonts w:hint="cs"/>
          <w:rtl/>
        </w:rPr>
        <w:tab/>
        <w:t>تغطي الأحكام الدستورية والقوانين هذه المسألة بالشكل ال</w:t>
      </w:r>
      <w:r w:rsidR="00814492">
        <w:rPr>
          <w:rFonts w:hint="cs"/>
          <w:rtl/>
        </w:rPr>
        <w:t>م</w:t>
      </w:r>
      <w:r>
        <w:rPr>
          <w:rFonts w:hint="cs"/>
          <w:rtl/>
        </w:rPr>
        <w:t>لائم. وبالإضافة إلى ذلك، يوجد احترام للأمومة في المجتمع. وهذه العوامل كلها تكفل تمتع المرأة الحامل بحماية خاصة وباعتبار خاص أثناء العمل، بصورة عامة.</w:t>
      </w:r>
    </w:p>
    <w:p w:rsidR="00C67DF8" w:rsidRPr="00A20B52"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C67DF8" w:rsidRDefault="00C67DF8" w:rsidP="00C67DF8">
      <w:pPr>
        <w:pStyle w:val="SingleTxt"/>
        <w:tabs>
          <w:tab w:val="clear" w:pos="1930"/>
          <w:tab w:val="left" w:pos="2125"/>
        </w:tabs>
        <w:rPr>
          <w:rFonts w:hint="cs"/>
          <w:rtl/>
        </w:rPr>
      </w:pPr>
      <w:r>
        <w:rPr>
          <w:rFonts w:hint="cs"/>
          <w:rtl/>
        </w:rPr>
        <w:t>295 -</w:t>
      </w:r>
      <w:r>
        <w:rPr>
          <w:rFonts w:hint="cs"/>
          <w:rtl/>
        </w:rPr>
        <w:tab/>
        <w:t>سبق إيضاح أن استعراض قوانين العمل من المهام الموكلة إلى وزارة العمل والقوة العاملة والباكستانيين في الخارج. ومن أمثلة ذلك، المرسوم المعدل لقانون استحقاقات الأمومة للمناجم، الصادر في سنة 1941، من أجل زيادة معدل استحقاقات الأمومة إلى ما يعادل آخر أجر حصلت عليه العاملة.</w:t>
      </w:r>
    </w:p>
    <w:p w:rsidR="00C67DF8" w:rsidRPr="00790F02"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معلومات بشأن التوصية العامة 13</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التصديق على اتفاقية منظمة العمل الدولية رقم 100 المتعلقة بالمساواة في الأجر</w:t>
      </w:r>
    </w:p>
    <w:p w:rsidR="00C67DF8" w:rsidRDefault="00C67DF8" w:rsidP="00C67DF8">
      <w:pPr>
        <w:pStyle w:val="SingleTxt"/>
        <w:tabs>
          <w:tab w:val="clear" w:pos="1930"/>
          <w:tab w:val="left" w:pos="2125"/>
        </w:tabs>
        <w:rPr>
          <w:rFonts w:hint="cs"/>
          <w:rtl/>
        </w:rPr>
      </w:pPr>
      <w:r>
        <w:rPr>
          <w:rFonts w:hint="cs"/>
          <w:rtl/>
        </w:rPr>
        <w:t>296 -</w:t>
      </w:r>
      <w:r>
        <w:rPr>
          <w:rFonts w:hint="cs"/>
          <w:rtl/>
        </w:rPr>
        <w:tab/>
        <w:t>صدقت باكستان على اتفاقية منظمة العمل الدولية رقم 100 المتعلقة بالمساواة في الأجر في 15 آب/أغسطس 2001.</w:t>
      </w:r>
    </w:p>
    <w:p w:rsidR="00C67DF8" w:rsidRPr="00790F02" w:rsidRDefault="00C67DF8" w:rsidP="00C67DF8">
      <w:pPr>
        <w:pStyle w:val="SingleTxt"/>
        <w:tabs>
          <w:tab w:val="clear" w:pos="1930"/>
          <w:tab w:val="left" w:pos="2125"/>
        </w:tabs>
        <w:spacing w:after="0" w:line="120" w:lineRule="exact"/>
        <w:rPr>
          <w:rFonts w:hint="cs"/>
          <w:sz w:val="12"/>
          <w:rtl/>
        </w:rPr>
      </w:pPr>
    </w:p>
    <w:p w:rsidR="00C67DF8" w:rsidRDefault="00C67DF8" w:rsidP="008144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دراسة ووضع واعتماد نظم لتقييم الوظائف تستند إلى معايير عدم التحيز لأحد الجنسين وتيسير المقارنة بين قيمة الوظائف المختلفة في طبيعتها والتي تسود المرأة فيها في الوقت الحاضر، وقيمة الوظائف التي يسود فيها الرجال في الوقت الحاضر</w:t>
      </w:r>
    </w:p>
    <w:p w:rsidR="00C67DF8" w:rsidRDefault="00C67DF8" w:rsidP="00C67DF8">
      <w:pPr>
        <w:pStyle w:val="SingleTxt"/>
        <w:tabs>
          <w:tab w:val="clear" w:pos="1930"/>
          <w:tab w:val="left" w:pos="2125"/>
        </w:tabs>
        <w:rPr>
          <w:rFonts w:hint="cs"/>
          <w:rtl/>
        </w:rPr>
      </w:pPr>
      <w:r>
        <w:rPr>
          <w:rFonts w:hint="cs"/>
          <w:rtl/>
        </w:rPr>
        <w:t>297 -</w:t>
      </w:r>
      <w:r>
        <w:rPr>
          <w:rFonts w:hint="cs"/>
          <w:rtl/>
        </w:rPr>
        <w:tab/>
        <w:t xml:space="preserve">معايير التعيين في الخدمة الحكومية محايدة فيما يتعلق بنوع الجنس. ولا يرد تفضيل لأي جنس في الإعلانات التي تنشرها الحكومة في الجرائد، إلا في حالة الإعلان عن وظيفة لشغل نسبة </w:t>
      </w:r>
      <w:proofErr w:type="spellStart"/>
      <w:r>
        <w:rPr>
          <w:rFonts w:hint="cs"/>
          <w:rtl/>
        </w:rPr>
        <w:t>الـ</w:t>
      </w:r>
      <w:proofErr w:type="spellEnd"/>
      <w:r>
        <w:rPr>
          <w:rFonts w:hint="cs"/>
          <w:rtl/>
        </w:rPr>
        <w:t xml:space="preserve"> 5 في المائة المخصصة للمرأة. والاعتبار الوحيد هو المؤهلات والجدارة.</w:t>
      </w:r>
    </w:p>
    <w:p w:rsidR="00C67DF8" w:rsidRDefault="00C67DF8" w:rsidP="00C67DF8">
      <w:pPr>
        <w:pStyle w:val="SingleTxt"/>
        <w:tabs>
          <w:tab w:val="clear" w:pos="1930"/>
          <w:tab w:val="left" w:pos="2125"/>
        </w:tabs>
        <w:rPr>
          <w:rFonts w:hint="cs"/>
          <w:rtl/>
        </w:rPr>
      </w:pPr>
      <w:r>
        <w:rPr>
          <w:rFonts w:hint="cs"/>
          <w:rtl/>
        </w:rPr>
        <w:t>298 -</w:t>
      </w:r>
      <w:r>
        <w:rPr>
          <w:rFonts w:hint="cs"/>
          <w:rtl/>
        </w:rPr>
        <w:tab/>
        <w:t xml:space="preserve">ولم تجر بعد دراسات تقارن بين الوظائف التي يسود فيها النساء والوظائف التي يسود فيها الرجال في باكستان. ويمكن القول أيضا إنه لا يوجد، على ما يبدو، اتجاه في المجتمع إلى اعتبار أن الوظائف التي تسود فيها المرأة أقل أهمية أو قيمة من الوظائف التي يؤديها الرجال. بل تعتبر المهنتان اللتان تسود فيها المرأة </w:t>
      </w:r>
      <w:r>
        <w:rPr>
          <w:rtl/>
        </w:rPr>
        <w:t>–</w:t>
      </w:r>
      <w:r>
        <w:rPr>
          <w:rFonts w:hint="cs"/>
          <w:rtl/>
        </w:rPr>
        <w:t xml:space="preserve"> وهما التعليم والتمريض </w:t>
      </w:r>
      <w:r>
        <w:rPr>
          <w:rtl/>
        </w:rPr>
        <w:t>–</w:t>
      </w:r>
      <w:r>
        <w:rPr>
          <w:rFonts w:hint="cs"/>
          <w:rtl/>
        </w:rPr>
        <w:t xml:space="preserve"> حيويتين بالنسبة لأداء المجتمع.</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دعم إنشاء أجهزة للتنفيذ وتشجيع الجهود التي تبذلها أطراف الاتفاقات الجماعية حيث تنطبق هذه الاتفاقات، لضمان تطبيق مبدأ تساوي أجور الأعمال المتساوية القيمة</w:t>
      </w:r>
    </w:p>
    <w:p w:rsidR="00C67DF8" w:rsidRDefault="00C67DF8" w:rsidP="00814492">
      <w:pPr>
        <w:pStyle w:val="SingleTxt"/>
        <w:tabs>
          <w:tab w:val="clear" w:pos="1930"/>
          <w:tab w:val="left" w:pos="2125"/>
        </w:tabs>
        <w:rPr>
          <w:rFonts w:hint="cs"/>
          <w:rtl/>
        </w:rPr>
      </w:pPr>
      <w:r>
        <w:rPr>
          <w:rFonts w:hint="cs"/>
          <w:rtl/>
        </w:rPr>
        <w:t>299 -</w:t>
      </w:r>
      <w:r>
        <w:rPr>
          <w:rFonts w:hint="cs"/>
          <w:rtl/>
        </w:rPr>
        <w:tab/>
        <w:t>تعد باكستان طرفا في اتفاقيتي منظمة عمل الدولية رقم 87 و98 المتعلقتين بحرية تكوين الجمعيات والمساو</w:t>
      </w:r>
      <w:r w:rsidR="00814492">
        <w:rPr>
          <w:rFonts w:hint="cs"/>
          <w:rtl/>
        </w:rPr>
        <w:t>م</w:t>
      </w:r>
      <w:r>
        <w:rPr>
          <w:rFonts w:hint="cs"/>
          <w:rtl/>
        </w:rPr>
        <w:t>ة الجماعية. ويكفل الدستور أي</w:t>
      </w:r>
      <w:r w:rsidR="00814492">
        <w:rPr>
          <w:rFonts w:hint="cs"/>
          <w:rtl/>
        </w:rPr>
        <w:t>ض</w:t>
      </w:r>
      <w:r>
        <w:rPr>
          <w:rFonts w:hint="cs"/>
          <w:rtl/>
        </w:rPr>
        <w:t xml:space="preserve">ا الحق في تكوين الجمعيات والنقابات بموجب المادة 17 (1) التي تنص على أن </w:t>
      </w:r>
      <w:r>
        <w:rPr>
          <w:rFonts w:hint="eastAsia"/>
          <w:rtl/>
        </w:rPr>
        <w:t>”لكل مواطن الحق في تكوين الجمعيات والنقابات، رهنا بأي قيود معقولة يفرضها القانون ...</w:t>
      </w:r>
      <w:r>
        <w:rPr>
          <w:rFonts w:hint="cs"/>
          <w:rtl/>
        </w:rPr>
        <w:t>“. ونظرا لأن النقابات العمالية المذكورة تعتبر جزءا لا يتجزأ من نظام العلاقات العمالية في باكستان، هناك اتجاه إلى أن تكون النقابات  العمالية أكثر القطاعات المتحررة والتقدمية في المجتمع، وهي داعية وفية لجميع حقوق العمال، بما في ذلك الأجر المتساوي لقاء العمل المتساوي في القيمة.</w:t>
      </w:r>
    </w:p>
    <w:p w:rsidR="00C67DF8" w:rsidRPr="00A578E5"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المعلومات المقدمة استجابة للتوصية العامة 17</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إجراء دراسات استقصائية عن استغلال الوقت كجزء من برامجها الوطنية بشأن الإحصاءات المنزلية وجمع الإحصاءات المفصلة حسب نوع الجنس بشأن الوقت المستنفذ في الأنشطة في المنزل وفي سوق العمل على السواء</w:t>
      </w:r>
    </w:p>
    <w:p w:rsidR="00C67DF8" w:rsidRDefault="00C67DF8" w:rsidP="00C67DF8">
      <w:pPr>
        <w:pStyle w:val="SingleTxt"/>
        <w:tabs>
          <w:tab w:val="clear" w:pos="1930"/>
          <w:tab w:val="left" w:pos="2125"/>
        </w:tabs>
        <w:rPr>
          <w:rFonts w:hint="cs"/>
          <w:rtl/>
        </w:rPr>
      </w:pPr>
      <w:r>
        <w:rPr>
          <w:rFonts w:hint="cs"/>
          <w:rtl/>
        </w:rPr>
        <w:t>300 -</w:t>
      </w:r>
      <w:r>
        <w:rPr>
          <w:rFonts w:hint="cs"/>
          <w:rtl/>
        </w:rPr>
        <w:tab/>
        <w:t>تقوم باكستان بإجراء دراسات استقصائية متكاملة للإحصاءات المنزلية بصورة منتظمة. غير أن الدراسات الاستقصائية لاستغلال الوقت لم تصبح جزءا من الدراسات الاستقصائية للإحصاءات المنزلية بعد. ونتيجة لإعداد هذا التقرير، بادرت وزارة تنمية المرأة باتخاذ إجراءات تطالب فيها من مكتب الإحصاءات الاتحادي ، وهو الجهاز الوطني لجمع البيانات، بإدراج الدراسات الاستقصائية لاستغلال الوقت في الدراسات الاستقصائية للإحصاءات المنزلية، مستقبلا. ويرى مكتب الإحصاءات الاتحادي أن الدراسة الاستقصائية المتكاملة للإحصاءات المنزلية والدراسة الاستقصائية للعمالة من السهل أن تُلبي متطلبات اللجنة من المعلومات في هذا الصدد من خلال إجراء تغييرات طفيفة في الاستبيان ذي الصلة بالموضوع.</w:t>
      </w:r>
    </w:p>
    <w:p w:rsidR="00C67DF8" w:rsidRDefault="00C67DF8" w:rsidP="00814492">
      <w:pPr>
        <w:pStyle w:val="SingleTxt"/>
        <w:tabs>
          <w:tab w:val="clear" w:pos="1930"/>
          <w:tab w:val="left" w:pos="2125"/>
        </w:tabs>
        <w:rPr>
          <w:rFonts w:hint="cs"/>
          <w:rtl/>
        </w:rPr>
      </w:pPr>
      <w:r>
        <w:rPr>
          <w:rFonts w:hint="cs"/>
          <w:rtl/>
        </w:rPr>
        <w:t>301 -</w:t>
      </w:r>
      <w:r>
        <w:rPr>
          <w:rFonts w:hint="cs"/>
          <w:rtl/>
        </w:rPr>
        <w:tab/>
        <w:t>ولا يتم حاليا تقدير الأنشطة المنزلية التي تقوم بها المرأة دون أج</w:t>
      </w:r>
      <w:r w:rsidR="00814492">
        <w:rPr>
          <w:rFonts w:hint="cs"/>
          <w:rtl/>
        </w:rPr>
        <w:t>ر في باكستان، ولا</w:t>
      </w:r>
      <w:r w:rsidR="00814492">
        <w:rPr>
          <w:rFonts w:hint="eastAsia"/>
          <w:rtl/>
        </w:rPr>
        <w:t> </w:t>
      </w:r>
      <w:r>
        <w:rPr>
          <w:rFonts w:hint="cs"/>
          <w:rtl/>
        </w:rPr>
        <w:t xml:space="preserve">تدرج نتائجها في الناتج القومي الإجمالي. ويجري إعلام الوكالات المعنية في حكومة باكستان بتوصية اللجنة، نتيجة لإعداد هذا التقرير، وسيطلب إليها أن تتخذ الإجراءات الملائمة في هذا الصدد. </w:t>
      </w:r>
    </w:p>
    <w:p w:rsidR="00C67DF8" w:rsidRPr="004E24C1"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معلومات متصلة بالمرأة في ميدان التوظيف في باكستان</w:t>
      </w:r>
    </w:p>
    <w:p w:rsidR="00C67DF8" w:rsidRDefault="00C67DF8" w:rsidP="00C67DF8">
      <w:pPr>
        <w:pStyle w:val="SingleTxt"/>
        <w:tabs>
          <w:tab w:val="clear" w:pos="1930"/>
          <w:tab w:val="left" w:pos="2125"/>
        </w:tabs>
        <w:rPr>
          <w:rFonts w:hint="cs"/>
          <w:rtl/>
        </w:rPr>
      </w:pPr>
      <w:r>
        <w:rPr>
          <w:rFonts w:hint="cs"/>
          <w:rtl/>
        </w:rPr>
        <w:t>302 -</w:t>
      </w:r>
      <w:r>
        <w:rPr>
          <w:rFonts w:hint="cs"/>
          <w:rtl/>
        </w:rPr>
        <w:tab/>
        <w:t>تعطي الجداول التالية فكرة عن الحالة في باكستان، فيما يتصل بالمرأة والتوظيف.</w:t>
      </w:r>
    </w:p>
    <w:p w:rsidR="00C67DF8" w:rsidRDefault="00C67DF8" w:rsidP="00C67DF8">
      <w:pPr>
        <w:pStyle w:val="SingleTxt"/>
        <w:spacing w:after="0"/>
        <w:rPr>
          <w:rFonts w:hint="cs"/>
          <w:rtl/>
        </w:rPr>
      </w:pPr>
      <w:r>
        <w:rPr>
          <w:rFonts w:hint="cs"/>
          <w:rtl/>
        </w:rPr>
        <w:t>الجدول 11-1</w:t>
      </w:r>
    </w:p>
    <w:p w:rsidR="00C67DF8" w:rsidRPr="00E2632F" w:rsidRDefault="00C67DF8" w:rsidP="00C67DF8">
      <w:pPr>
        <w:pStyle w:val="SingleTxt"/>
        <w:rPr>
          <w:rFonts w:hint="cs"/>
          <w:b/>
          <w:bCs/>
          <w:rtl/>
        </w:rPr>
      </w:pPr>
      <w:r w:rsidRPr="00E2632F">
        <w:rPr>
          <w:rFonts w:hint="cs"/>
          <w:b/>
          <w:bCs/>
          <w:rtl/>
        </w:rPr>
        <w:t>المشاركة في القوة العاملة</w:t>
      </w:r>
    </w:p>
    <w:p w:rsidR="00C67DF8" w:rsidRPr="00E2632F" w:rsidRDefault="00C67DF8" w:rsidP="00C67DF8">
      <w:pPr>
        <w:pStyle w:val="SingleTxt"/>
        <w:spacing w:after="0" w:line="120" w:lineRule="exact"/>
        <w:rPr>
          <w:rFonts w:hint="cs"/>
          <w:sz w:val="10"/>
          <w:rtl/>
        </w:rPr>
      </w:pPr>
    </w:p>
    <w:tbl>
      <w:tblPr>
        <w:bidiVisual/>
        <w:tblW w:w="0" w:type="auto"/>
        <w:tblInd w:w="1615" w:type="dxa"/>
        <w:tblLook w:val="01E0" w:firstRow="1" w:lastRow="1" w:firstColumn="1" w:lastColumn="1" w:noHBand="0" w:noVBand="0"/>
      </w:tblPr>
      <w:tblGrid>
        <w:gridCol w:w="1648"/>
        <w:gridCol w:w="1648"/>
        <w:gridCol w:w="1545"/>
        <w:gridCol w:w="1648"/>
      </w:tblGrid>
      <w:tr w:rsidR="00C67DF8" w:rsidRPr="003E6346">
        <w:tc>
          <w:tcPr>
            <w:tcW w:w="1648" w:type="dxa"/>
            <w:tcBorders>
              <w:top w:val="single" w:sz="12" w:space="0" w:color="auto"/>
            </w:tcBorders>
            <w:vAlign w:val="bottom"/>
          </w:tcPr>
          <w:p w:rsidR="00C67DF8" w:rsidRPr="003E6346" w:rsidRDefault="00C67DF8" w:rsidP="00C67DF8">
            <w:pPr>
              <w:pStyle w:val="DualTxt"/>
              <w:jc w:val="left"/>
              <w:rPr>
                <w:rFonts w:hint="cs"/>
                <w:b/>
                <w:bCs/>
                <w:sz w:val="24"/>
                <w:szCs w:val="24"/>
                <w:rtl/>
              </w:rPr>
            </w:pPr>
            <w:r w:rsidRPr="003E6346">
              <w:rPr>
                <w:rFonts w:hint="cs"/>
                <w:b/>
                <w:bCs/>
                <w:sz w:val="24"/>
                <w:szCs w:val="24"/>
                <w:rtl/>
              </w:rPr>
              <w:t>السنة</w:t>
            </w:r>
          </w:p>
        </w:tc>
        <w:tc>
          <w:tcPr>
            <w:tcW w:w="1648" w:type="dxa"/>
            <w:tcBorders>
              <w:top w:val="single" w:sz="12" w:space="0" w:color="auto"/>
            </w:tcBorders>
          </w:tcPr>
          <w:p w:rsidR="00C67DF8" w:rsidRPr="003E6346" w:rsidRDefault="00C67DF8" w:rsidP="00C67DF8">
            <w:pPr>
              <w:pStyle w:val="DualTxt"/>
              <w:jc w:val="center"/>
              <w:rPr>
                <w:rFonts w:hint="cs"/>
                <w:b/>
                <w:bCs/>
                <w:sz w:val="24"/>
                <w:szCs w:val="24"/>
                <w:rtl/>
              </w:rPr>
            </w:pPr>
            <w:r w:rsidRPr="003E6346">
              <w:rPr>
                <w:rFonts w:hint="cs"/>
                <w:b/>
                <w:bCs/>
                <w:sz w:val="24"/>
                <w:szCs w:val="24"/>
                <w:rtl/>
              </w:rPr>
              <w:t>المجموع</w:t>
            </w:r>
          </w:p>
          <w:p w:rsidR="00C67DF8" w:rsidRPr="003E6346" w:rsidRDefault="00C67DF8" w:rsidP="00C67DF8">
            <w:pPr>
              <w:pStyle w:val="DualTxt"/>
              <w:jc w:val="center"/>
              <w:rPr>
                <w:rFonts w:hint="cs"/>
                <w:b/>
                <w:bCs/>
                <w:sz w:val="24"/>
                <w:szCs w:val="24"/>
                <w:rtl/>
              </w:rPr>
            </w:pPr>
            <w:r w:rsidRPr="003E6346">
              <w:rPr>
                <w:rFonts w:hint="cs"/>
                <w:b/>
                <w:bCs/>
                <w:sz w:val="24"/>
                <w:szCs w:val="24"/>
                <w:rtl/>
              </w:rPr>
              <w:t>(النسبة المئوية)</w:t>
            </w:r>
          </w:p>
        </w:tc>
        <w:tc>
          <w:tcPr>
            <w:tcW w:w="1545" w:type="dxa"/>
            <w:tcBorders>
              <w:top w:val="single" w:sz="12" w:space="0" w:color="auto"/>
            </w:tcBorders>
          </w:tcPr>
          <w:p w:rsidR="00C67DF8" w:rsidRPr="003E6346" w:rsidRDefault="00C67DF8" w:rsidP="00C67DF8">
            <w:pPr>
              <w:pStyle w:val="DualTxt"/>
              <w:jc w:val="center"/>
              <w:rPr>
                <w:rFonts w:hint="cs"/>
                <w:b/>
                <w:bCs/>
                <w:sz w:val="24"/>
                <w:szCs w:val="24"/>
                <w:rtl/>
              </w:rPr>
            </w:pPr>
            <w:r w:rsidRPr="003E6346">
              <w:rPr>
                <w:rFonts w:hint="cs"/>
                <w:b/>
                <w:bCs/>
                <w:sz w:val="24"/>
                <w:szCs w:val="24"/>
                <w:rtl/>
              </w:rPr>
              <w:t>النساء</w:t>
            </w:r>
          </w:p>
          <w:p w:rsidR="00C67DF8" w:rsidRPr="003E6346" w:rsidRDefault="00C67DF8" w:rsidP="00C67DF8">
            <w:pPr>
              <w:pStyle w:val="DualTxt"/>
              <w:jc w:val="center"/>
              <w:rPr>
                <w:rFonts w:hint="cs"/>
                <w:b/>
                <w:bCs/>
                <w:sz w:val="24"/>
                <w:szCs w:val="24"/>
                <w:rtl/>
              </w:rPr>
            </w:pPr>
            <w:r w:rsidRPr="003E6346">
              <w:rPr>
                <w:rFonts w:hint="cs"/>
                <w:b/>
                <w:bCs/>
                <w:sz w:val="24"/>
                <w:szCs w:val="24"/>
                <w:rtl/>
              </w:rPr>
              <w:t>(النسبة المئوية)</w:t>
            </w:r>
          </w:p>
        </w:tc>
        <w:tc>
          <w:tcPr>
            <w:tcW w:w="1648" w:type="dxa"/>
            <w:tcBorders>
              <w:top w:val="single" w:sz="12" w:space="0" w:color="auto"/>
            </w:tcBorders>
          </w:tcPr>
          <w:p w:rsidR="00C67DF8" w:rsidRPr="003E6346" w:rsidRDefault="00C67DF8" w:rsidP="00C67DF8">
            <w:pPr>
              <w:pStyle w:val="DualTxt"/>
              <w:jc w:val="center"/>
              <w:rPr>
                <w:rFonts w:hint="cs"/>
                <w:b/>
                <w:bCs/>
                <w:sz w:val="24"/>
                <w:szCs w:val="24"/>
                <w:rtl/>
              </w:rPr>
            </w:pPr>
            <w:r w:rsidRPr="003E6346">
              <w:rPr>
                <w:rFonts w:hint="cs"/>
                <w:b/>
                <w:bCs/>
                <w:sz w:val="24"/>
                <w:szCs w:val="24"/>
                <w:rtl/>
              </w:rPr>
              <w:t>الرجال</w:t>
            </w:r>
          </w:p>
          <w:p w:rsidR="00C67DF8" w:rsidRPr="003E6346" w:rsidRDefault="00C67DF8" w:rsidP="00C67DF8">
            <w:pPr>
              <w:pStyle w:val="DualTxt"/>
              <w:jc w:val="center"/>
              <w:rPr>
                <w:rFonts w:hint="cs"/>
                <w:b/>
                <w:bCs/>
                <w:sz w:val="24"/>
                <w:szCs w:val="24"/>
                <w:rtl/>
              </w:rPr>
            </w:pPr>
            <w:r w:rsidRPr="003E6346">
              <w:rPr>
                <w:rFonts w:hint="cs"/>
                <w:b/>
                <w:bCs/>
                <w:sz w:val="24"/>
                <w:szCs w:val="24"/>
                <w:rtl/>
              </w:rPr>
              <w:t>(النسبة المئوية)</w:t>
            </w:r>
          </w:p>
        </w:tc>
      </w:tr>
      <w:tr w:rsidR="00C67DF8" w:rsidRPr="003E6346">
        <w:trPr>
          <w:cantSplit/>
          <w:trHeight w:hRule="exact" w:val="115"/>
          <w:tblHeader/>
        </w:trPr>
        <w:tc>
          <w:tcPr>
            <w:tcW w:w="1648" w:type="dxa"/>
            <w:tcBorders>
              <w:top w:val="single" w:sz="12" w:space="0" w:color="auto"/>
            </w:tcBorders>
            <w:shd w:val="clear" w:color="auto" w:fill="auto"/>
            <w:vAlign w:val="bottom"/>
          </w:tcPr>
          <w:p w:rsidR="00C67DF8" w:rsidRPr="003E6346" w:rsidRDefault="00C67DF8" w:rsidP="00C67DF8">
            <w:pPr>
              <w:pStyle w:val="DualTxt"/>
              <w:rPr>
                <w:rFonts w:hint="cs"/>
                <w:sz w:val="24"/>
                <w:szCs w:val="24"/>
                <w:rtl/>
              </w:rPr>
            </w:pPr>
          </w:p>
        </w:tc>
        <w:tc>
          <w:tcPr>
            <w:tcW w:w="1648" w:type="dxa"/>
            <w:tcBorders>
              <w:top w:val="single" w:sz="12" w:space="0" w:color="auto"/>
            </w:tcBorders>
            <w:shd w:val="clear" w:color="auto" w:fill="auto"/>
            <w:vAlign w:val="bottom"/>
          </w:tcPr>
          <w:p w:rsidR="00C67DF8" w:rsidRPr="003E6346" w:rsidRDefault="00C67DF8" w:rsidP="00C67DF8">
            <w:pPr>
              <w:pStyle w:val="DualTxt"/>
              <w:rPr>
                <w:rFonts w:hint="cs"/>
                <w:sz w:val="24"/>
                <w:szCs w:val="24"/>
                <w:rtl/>
              </w:rPr>
            </w:pPr>
          </w:p>
        </w:tc>
        <w:tc>
          <w:tcPr>
            <w:tcW w:w="1545" w:type="dxa"/>
            <w:tcBorders>
              <w:top w:val="single" w:sz="12" w:space="0" w:color="auto"/>
            </w:tcBorders>
            <w:shd w:val="clear" w:color="auto" w:fill="auto"/>
            <w:vAlign w:val="bottom"/>
          </w:tcPr>
          <w:p w:rsidR="00C67DF8" w:rsidRPr="003E6346" w:rsidRDefault="00C67DF8" w:rsidP="00C67DF8">
            <w:pPr>
              <w:pStyle w:val="DualTxt"/>
              <w:rPr>
                <w:rFonts w:hint="cs"/>
                <w:sz w:val="24"/>
                <w:szCs w:val="24"/>
                <w:rtl/>
              </w:rPr>
            </w:pPr>
          </w:p>
        </w:tc>
        <w:tc>
          <w:tcPr>
            <w:tcW w:w="1648" w:type="dxa"/>
            <w:tcBorders>
              <w:top w:val="single" w:sz="12" w:space="0" w:color="auto"/>
            </w:tcBorders>
            <w:shd w:val="clear" w:color="auto" w:fill="auto"/>
            <w:vAlign w:val="bottom"/>
          </w:tcPr>
          <w:p w:rsidR="00C67DF8" w:rsidRPr="003E6346" w:rsidRDefault="00C67DF8" w:rsidP="00C67DF8">
            <w:pPr>
              <w:pStyle w:val="DualTxt"/>
              <w:rPr>
                <w:rFonts w:hint="cs"/>
                <w:sz w:val="24"/>
                <w:szCs w:val="24"/>
                <w:rtl/>
              </w:rPr>
            </w:pPr>
          </w:p>
        </w:tc>
      </w:tr>
      <w:tr w:rsidR="00C67DF8" w:rsidRPr="003E6346">
        <w:trPr>
          <w:cantSplit/>
        </w:trPr>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1981</w:t>
            </w:r>
          </w:p>
        </w:tc>
        <w:tc>
          <w:tcPr>
            <w:tcW w:w="1648" w:type="dxa"/>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w:t>
            </w:r>
          </w:p>
        </w:tc>
        <w:tc>
          <w:tcPr>
            <w:tcW w:w="1545" w:type="dxa"/>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2.1</w:t>
            </w:r>
          </w:p>
        </w:tc>
        <w:tc>
          <w:tcPr>
            <w:tcW w:w="1648" w:type="dxa"/>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50.6</w:t>
            </w:r>
          </w:p>
        </w:tc>
      </w:tr>
      <w:tr w:rsidR="00C67DF8" w:rsidRPr="003E6346">
        <w:trPr>
          <w:cantSplit/>
        </w:trPr>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1990-1991</w:t>
            </w:r>
          </w:p>
        </w:tc>
        <w:tc>
          <w:tcPr>
            <w:tcW w:w="1648" w:type="dxa"/>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w:t>
            </w:r>
          </w:p>
        </w:tc>
        <w:tc>
          <w:tcPr>
            <w:tcW w:w="1545" w:type="dxa"/>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8.2</w:t>
            </w:r>
          </w:p>
        </w:tc>
        <w:tc>
          <w:tcPr>
            <w:tcW w:w="1648" w:type="dxa"/>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46,3</w:t>
            </w:r>
          </w:p>
        </w:tc>
      </w:tr>
      <w:tr w:rsidR="00C67DF8" w:rsidRPr="003E6346">
        <w:trPr>
          <w:cantSplit/>
        </w:trPr>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2000</w:t>
            </w:r>
          </w:p>
        </w:tc>
        <w:tc>
          <w:tcPr>
            <w:tcW w:w="1648" w:type="dxa"/>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29.0</w:t>
            </w:r>
          </w:p>
        </w:tc>
        <w:tc>
          <w:tcPr>
            <w:tcW w:w="1545" w:type="dxa"/>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9.3</w:t>
            </w:r>
          </w:p>
        </w:tc>
        <w:tc>
          <w:tcPr>
            <w:tcW w:w="1648" w:type="dxa"/>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47.6</w:t>
            </w:r>
          </w:p>
        </w:tc>
      </w:tr>
      <w:tr w:rsidR="00C67DF8" w:rsidRPr="003E6346">
        <w:trPr>
          <w:cantSplit/>
        </w:trPr>
        <w:tc>
          <w:tcPr>
            <w:tcW w:w="1648" w:type="dxa"/>
            <w:tcBorders>
              <w:bottom w:val="single" w:sz="12"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2001-2002</w:t>
            </w:r>
          </w:p>
        </w:tc>
        <w:tc>
          <w:tcPr>
            <w:tcW w:w="1648" w:type="dxa"/>
            <w:tcBorders>
              <w:bottom w:val="single" w:sz="12" w:space="0" w:color="auto"/>
            </w:tcBorders>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29.6</w:t>
            </w:r>
          </w:p>
        </w:tc>
        <w:tc>
          <w:tcPr>
            <w:tcW w:w="1545" w:type="dxa"/>
            <w:tcBorders>
              <w:bottom w:val="single" w:sz="12" w:space="0" w:color="auto"/>
            </w:tcBorders>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9.9</w:t>
            </w:r>
          </w:p>
        </w:tc>
        <w:tc>
          <w:tcPr>
            <w:tcW w:w="1648" w:type="dxa"/>
            <w:tcBorders>
              <w:bottom w:val="single" w:sz="12" w:space="0" w:color="auto"/>
            </w:tcBorders>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48.0</w:t>
            </w:r>
          </w:p>
        </w:tc>
      </w:tr>
    </w:tbl>
    <w:p w:rsidR="00C67DF8" w:rsidRPr="00E2632F" w:rsidRDefault="00C67DF8" w:rsidP="00C67DF8">
      <w:pPr>
        <w:pStyle w:val="SingleTxt"/>
        <w:spacing w:after="0" w:line="120" w:lineRule="exact"/>
        <w:rPr>
          <w:rFonts w:hint="cs"/>
          <w:sz w:val="10"/>
          <w:rtl/>
        </w:rPr>
      </w:pPr>
    </w:p>
    <w:p w:rsidR="00C67DF8" w:rsidRDefault="00C67DF8" w:rsidP="00C67DF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E2632F">
        <w:rPr>
          <w:i/>
          <w:iCs/>
          <w:rtl/>
        </w:rPr>
        <w:tab/>
      </w:r>
      <w:r w:rsidRPr="00E2632F">
        <w:rPr>
          <w:rFonts w:hint="cs"/>
          <w:i/>
          <w:iCs/>
          <w:rtl/>
        </w:rPr>
        <w:t>المصدر</w:t>
      </w:r>
      <w:r w:rsidRPr="003E6346">
        <w:rPr>
          <w:rFonts w:hint="cs"/>
          <w:rtl/>
        </w:rPr>
        <w:t>: مكتب الإحصاءات الاتحادي. وضع العمودان الأخيران استنادا إلى الدراسة الاستقصائية للقوة العاملة 2001-2002.</w:t>
      </w:r>
    </w:p>
    <w:p w:rsidR="00C67DF8" w:rsidRPr="00E2632F" w:rsidRDefault="00C67DF8" w:rsidP="00C67DF8">
      <w:pPr>
        <w:pStyle w:val="SingleTxt"/>
        <w:spacing w:after="0" w:line="120" w:lineRule="exact"/>
        <w:rPr>
          <w:sz w:val="10"/>
          <w:rtl/>
        </w:rPr>
      </w:pPr>
    </w:p>
    <w:p w:rsidR="00C67DF8" w:rsidRDefault="00C67DF8" w:rsidP="00C67DF8">
      <w:pPr>
        <w:pStyle w:val="SingleTxt"/>
        <w:spacing w:after="0"/>
        <w:rPr>
          <w:rFonts w:hint="cs"/>
          <w:rtl/>
        </w:rPr>
      </w:pPr>
      <w:r w:rsidRPr="003E6346">
        <w:rPr>
          <w:rFonts w:hint="cs"/>
          <w:rtl/>
        </w:rPr>
        <w:t>الجدول 11</w:t>
      </w:r>
      <w:r>
        <w:rPr>
          <w:rFonts w:hint="cs"/>
          <w:rtl/>
        </w:rPr>
        <w:t>-2</w:t>
      </w:r>
    </w:p>
    <w:p w:rsidR="00C67DF8" w:rsidRPr="00E2632F" w:rsidRDefault="00C67DF8" w:rsidP="00C67DF8">
      <w:pPr>
        <w:pStyle w:val="SingleTxt"/>
        <w:rPr>
          <w:rFonts w:hint="cs"/>
          <w:b/>
          <w:bCs/>
          <w:rtl/>
        </w:rPr>
      </w:pPr>
      <w:r w:rsidRPr="00E2632F">
        <w:rPr>
          <w:rFonts w:hint="cs"/>
          <w:b/>
          <w:bCs/>
          <w:rtl/>
        </w:rPr>
        <w:t>المشاركة في القوة العاملة</w:t>
      </w:r>
    </w:p>
    <w:p w:rsidR="00C67DF8" w:rsidRPr="00E2632F" w:rsidRDefault="00C67DF8" w:rsidP="00C67DF8">
      <w:pPr>
        <w:pStyle w:val="SingleTxt"/>
        <w:spacing w:after="0" w:line="120" w:lineRule="exact"/>
        <w:rPr>
          <w:rFonts w:hint="cs"/>
          <w:sz w:val="10"/>
          <w:rtl/>
        </w:rPr>
      </w:pPr>
    </w:p>
    <w:tbl>
      <w:tblPr>
        <w:bidiVisual/>
        <w:tblW w:w="0" w:type="auto"/>
        <w:tblInd w:w="1615" w:type="dxa"/>
        <w:tblLook w:val="01E0" w:firstRow="1" w:lastRow="1" w:firstColumn="1" w:lastColumn="1" w:noHBand="0" w:noVBand="0"/>
      </w:tblPr>
      <w:tblGrid>
        <w:gridCol w:w="1648"/>
        <w:gridCol w:w="1648"/>
        <w:gridCol w:w="1545"/>
        <w:gridCol w:w="1648"/>
      </w:tblGrid>
      <w:tr w:rsidR="00C67DF8" w:rsidRPr="003E6346">
        <w:trPr>
          <w:cantSplit/>
          <w:tblHeader/>
        </w:trPr>
        <w:tc>
          <w:tcPr>
            <w:tcW w:w="1648" w:type="dxa"/>
            <w:tcBorders>
              <w:top w:val="single" w:sz="12" w:space="0" w:color="auto"/>
              <w:bottom w:val="single" w:sz="12" w:space="0" w:color="auto"/>
            </w:tcBorders>
            <w:shd w:val="clear" w:color="auto" w:fill="auto"/>
            <w:vAlign w:val="bottom"/>
          </w:tcPr>
          <w:p w:rsidR="00C67DF8" w:rsidRPr="003E6346" w:rsidRDefault="00C67DF8" w:rsidP="00C67DF8">
            <w:pPr>
              <w:pStyle w:val="DualTxt"/>
              <w:jc w:val="center"/>
              <w:rPr>
                <w:rFonts w:hint="cs"/>
                <w:b/>
                <w:bCs/>
                <w:sz w:val="24"/>
                <w:szCs w:val="24"/>
                <w:rtl/>
              </w:rPr>
            </w:pPr>
            <w:r w:rsidRPr="003E6346">
              <w:rPr>
                <w:rFonts w:hint="cs"/>
                <w:b/>
                <w:bCs/>
                <w:sz w:val="24"/>
                <w:szCs w:val="24"/>
                <w:rtl/>
              </w:rPr>
              <w:t>المؤشرات</w:t>
            </w:r>
          </w:p>
        </w:tc>
        <w:tc>
          <w:tcPr>
            <w:tcW w:w="1648" w:type="dxa"/>
            <w:tcBorders>
              <w:top w:val="single" w:sz="12" w:space="0" w:color="auto"/>
              <w:bottom w:val="single" w:sz="12" w:space="0" w:color="auto"/>
            </w:tcBorders>
            <w:shd w:val="clear" w:color="auto" w:fill="auto"/>
            <w:vAlign w:val="bottom"/>
          </w:tcPr>
          <w:p w:rsidR="00C67DF8" w:rsidRPr="003E6346" w:rsidRDefault="00C67DF8" w:rsidP="00C67DF8">
            <w:pPr>
              <w:pStyle w:val="DualTxt"/>
              <w:jc w:val="center"/>
              <w:rPr>
                <w:rFonts w:hint="cs"/>
                <w:b/>
                <w:bCs/>
                <w:sz w:val="24"/>
                <w:szCs w:val="24"/>
                <w:rtl/>
              </w:rPr>
            </w:pPr>
            <w:r w:rsidRPr="003E6346">
              <w:rPr>
                <w:rFonts w:hint="cs"/>
                <w:b/>
                <w:bCs/>
                <w:sz w:val="24"/>
                <w:szCs w:val="24"/>
                <w:rtl/>
              </w:rPr>
              <w:t>1997-1998</w:t>
            </w:r>
          </w:p>
        </w:tc>
        <w:tc>
          <w:tcPr>
            <w:tcW w:w="1545" w:type="dxa"/>
            <w:tcBorders>
              <w:top w:val="single" w:sz="12" w:space="0" w:color="auto"/>
              <w:bottom w:val="single" w:sz="12" w:space="0" w:color="auto"/>
            </w:tcBorders>
            <w:shd w:val="clear" w:color="auto" w:fill="auto"/>
            <w:vAlign w:val="bottom"/>
          </w:tcPr>
          <w:p w:rsidR="00C67DF8" w:rsidRPr="003E6346" w:rsidRDefault="00C67DF8" w:rsidP="00C67DF8">
            <w:pPr>
              <w:pStyle w:val="DualTxt"/>
              <w:jc w:val="center"/>
              <w:rPr>
                <w:rFonts w:hint="cs"/>
                <w:b/>
                <w:bCs/>
                <w:sz w:val="24"/>
                <w:szCs w:val="24"/>
                <w:rtl/>
              </w:rPr>
            </w:pPr>
            <w:r w:rsidRPr="003E6346">
              <w:rPr>
                <w:rFonts w:hint="cs"/>
                <w:b/>
                <w:bCs/>
                <w:sz w:val="24"/>
                <w:szCs w:val="24"/>
                <w:rtl/>
              </w:rPr>
              <w:t>1999-2000</w:t>
            </w:r>
          </w:p>
        </w:tc>
        <w:tc>
          <w:tcPr>
            <w:tcW w:w="1648" w:type="dxa"/>
            <w:tcBorders>
              <w:top w:val="single" w:sz="12" w:space="0" w:color="auto"/>
              <w:bottom w:val="single" w:sz="12" w:space="0" w:color="auto"/>
            </w:tcBorders>
            <w:shd w:val="clear" w:color="auto" w:fill="auto"/>
            <w:vAlign w:val="bottom"/>
          </w:tcPr>
          <w:p w:rsidR="00C67DF8" w:rsidRPr="003E6346" w:rsidRDefault="00C67DF8" w:rsidP="00C67DF8">
            <w:pPr>
              <w:pStyle w:val="DualTxt"/>
              <w:jc w:val="center"/>
              <w:rPr>
                <w:rFonts w:hint="cs"/>
                <w:b/>
                <w:bCs/>
                <w:sz w:val="24"/>
                <w:szCs w:val="24"/>
                <w:rtl/>
              </w:rPr>
            </w:pPr>
            <w:r w:rsidRPr="003E6346">
              <w:rPr>
                <w:rFonts w:hint="cs"/>
                <w:b/>
                <w:bCs/>
                <w:sz w:val="24"/>
                <w:szCs w:val="24"/>
                <w:rtl/>
              </w:rPr>
              <w:t>2001-2002</w:t>
            </w:r>
          </w:p>
        </w:tc>
      </w:tr>
      <w:tr w:rsidR="00C67DF8" w:rsidRPr="003E6346">
        <w:trPr>
          <w:cantSplit/>
          <w:trHeight w:hRule="exact" w:val="115"/>
          <w:tblHeader/>
        </w:trPr>
        <w:tc>
          <w:tcPr>
            <w:tcW w:w="1648" w:type="dxa"/>
            <w:tcBorders>
              <w:top w:val="single" w:sz="12" w:space="0" w:color="auto"/>
            </w:tcBorders>
            <w:shd w:val="clear" w:color="auto" w:fill="auto"/>
            <w:vAlign w:val="bottom"/>
          </w:tcPr>
          <w:p w:rsidR="00C67DF8" w:rsidRPr="003E6346" w:rsidRDefault="00C67DF8" w:rsidP="00C67DF8">
            <w:pPr>
              <w:pStyle w:val="DualTxt"/>
              <w:rPr>
                <w:rFonts w:hint="cs"/>
                <w:sz w:val="24"/>
                <w:szCs w:val="24"/>
                <w:rtl/>
              </w:rPr>
            </w:pPr>
          </w:p>
        </w:tc>
        <w:tc>
          <w:tcPr>
            <w:tcW w:w="1648" w:type="dxa"/>
            <w:tcBorders>
              <w:top w:val="single" w:sz="12" w:space="0" w:color="auto"/>
            </w:tcBorders>
            <w:shd w:val="clear" w:color="auto" w:fill="auto"/>
            <w:vAlign w:val="bottom"/>
          </w:tcPr>
          <w:p w:rsidR="00C67DF8" w:rsidRPr="003E6346" w:rsidRDefault="00C67DF8" w:rsidP="00C67DF8">
            <w:pPr>
              <w:pStyle w:val="DualTxt"/>
              <w:rPr>
                <w:rFonts w:hint="cs"/>
                <w:sz w:val="24"/>
                <w:szCs w:val="24"/>
                <w:rtl/>
              </w:rPr>
            </w:pPr>
          </w:p>
        </w:tc>
        <w:tc>
          <w:tcPr>
            <w:tcW w:w="1545" w:type="dxa"/>
            <w:tcBorders>
              <w:top w:val="single" w:sz="12" w:space="0" w:color="auto"/>
            </w:tcBorders>
            <w:shd w:val="clear" w:color="auto" w:fill="auto"/>
            <w:vAlign w:val="bottom"/>
          </w:tcPr>
          <w:p w:rsidR="00C67DF8" w:rsidRPr="003E6346" w:rsidRDefault="00C67DF8" w:rsidP="00C67DF8">
            <w:pPr>
              <w:pStyle w:val="DualTxt"/>
              <w:rPr>
                <w:rFonts w:hint="cs"/>
                <w:sz w:val="24"/>
                <w:szCs w:val="24"/>
                <w:rtl/>
              </w:rPr>
            </w:pPr>
          </w:p>
        </w:tc>
        <w:tc>
          <w:tcPr>
            <w:tcW w:w="1648" w:type="dxa"/>
            <w:tcBorders>
              <w:top w:val="single" w:sz="12" w:space="0" w:color="auto"/>
            </w:tcBorders>
            <w:shd w:val="clear" w:color="auto" w:fill="auto"/>
            <w:vAlign w:val="bottom"/>
          </w:tcPr>
          <w:p w:rsidR="00C67DF8" w:rsidRPr="003E6346" w:rsidRDefault="00C67DF8" w:rsidP="00C67DF8">
            <w:pPr>
              <w:pStyle w:val="DualTxt"/>
              <w:rPr>
                <w:rFonts w:hint="cs"/>
                <w:sz w:val="24"/>
                <w:szCs w:val="24"/>
                <w:rtl/>
              </w:rPr>
            </w:pPr>
          </w:p>
        </w:tc>
      </w:tr>
      <w:tr w:rsidR="00C67DF8" w:rsidRPr="003E6346">
        <w:trPr>
          <w:cantSplit/>
        </w:trPr>
        <w:tc>
          <w:tcPr>
            <w:tcW w:w="6489" w:type="dxa"/>
            <w:gridSpan w:val="4"/>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المعدلات الخام (للمشاركة في) الأنشطة (النسب المئوية)</w:t>
            </w:r>
          </w:p>
        </w:tc>
      </w:tr>
      <w:tr w:rsidR="00C67DF8" w:rsidRPr="003E6346">
        <w:trPr>
          <w:cantSplit/>
        </w:trPr>
        <w:tc>
          <w:tcPr>
            <w:tcW w:w="6489" w:type="dxa"/>
            <w:gridSpan w:val="4"/>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باكستان</w:t>
            </w:r>
          </w:p>
        </w:tc>
      </w:tr>
      <w:tr w:rsidR="00C67DF8" w:rsidRPr="003E6346">
        <w:trPr>
          <w:cantSplit/>
        </w:trPr>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الجنسان</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29.4</w:t>
            </w:r>
          </w:p>
        </w:tc>
        <w:tc>
          <w:tcPr>
            <w:tcW w:w="1545"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29.0</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29.6</w:t>
            </w:r>
          </w:p>
        </w:tc>
      </w:tr>
      <w:tr w:rsidR="00C67DF8" w:rsidRPr="003E6346">
        <w:trPr>
          <w:cantSplit/>
        </w:trPr>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رجال</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48.0</w:t>
            </w:r>
          </w:p>
        </w:tc>
        <w:tc>
          <w:tcPr>
            <w:tcW w:w="1545"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47.6</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48.0</w:t>
            </w:r>
          </w:p>
        </w:tc>
      </w:tr>
      <w:tr w:rsidR="00C67DF8" w:rsidRPr="003E6346">
        <w:trPr>
          <w:cantSplit/>
        </w:trPr>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نساء</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9.4</w:t>
            </w:r>
          </w:p>
        </w:tc>
        <w:tc>
          <w:tcPr>
            <w:tcW w:w="1545"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9.3</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9.9</w:t>
            </w:r>
          </w:p>
        </w:tc>
      </w:tr>
      <w:tr w:rsidR="00C67DF8" w:rsidRPr="003E6346">
        <w:trPr>
          <w:cantSplit/>
        </w:trPr>
        <w:tc>
          <w:tcPr>
            <w:tcW w:w="6489" w:type="dxa"/>
            <w:gridSpan w:val="4"/>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المناطق الريفية</w:t>
            </w:r>
          </w:p>
        </w:tc>
      </w:tr>
      <w:tr w:rsidR="00C67DF8" w:rsidRPr="003E6346">
        <w:trPr>
          <w:cantSplit/>
        </w:trPr>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الجنسان</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30.6</w:t>
            </w:r>
          </w:p>
        </w:tc>
        <w:tc>
          <w:tcPr>
            <w:tcW w:w="1545"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29.8</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29.9</w:t>
            </w:r>
          </w:p>
        </w:tc>
      </w:tr>
      <w:tr w:rsidR="00C67DF8" w:rsidRPr="003E6346">
        <w:trPr>
          <w:cantSplit/>
        </w:trPr>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رجال</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48.4</w:t>
            </w:r>
          </w:p>
        </w:tc>
        <w:tc>
          <w:tcPr>
            <w:tcW w:w="1545"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48.2</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47.6</w:t>
            </w:r>
          </w:p>
        </w:tc>
      </w:tr>
      <w:tr w:rsidR="00C67DF8" w:rsidRPr="003E6346">
        <w:trPr>
          <w:cantSplit/>
        </w:trPr>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نساء</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11.5</w:t>
            </w:r>
          </w:p>
        </w:tc>
        <w:tc>
          <w:tcPr>
            <w:tcW w:w="1545"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10.7</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11.1</w:t>
            </w:r>
          </w:p>
        </w:tc>
      </w:tr>
      <w:tr w:rsidR="00C67DF8" w:rsidRPr="003E6346">
        <w:trPr>
          <w:cantSplit/>
        </w:trPr>
        <w:tc>
          <w:tcPr>
            <w:tcW w:w="6489" w:type="dxa"/>
            <w:gridSpan w:val="4"/>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المناطق الحضرية</w:t>
            </w:r>
          </w:p>
        </w:tc>
      </w:tr>
      <w:tr w:rsidR="00C67DF8" w:rsidRPr="003E6346">
        <w:trPr>
          <w:cantSplit/>
        </w:trPr>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الجنسان</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27.0</w:t>
            </w:r>
          </w:p>
        </w:tc>
        <w:tc>
          <w:tcPr>
            <w:tcW w:w="1545"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27.1</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29.1</w:t>
            </w:r>
          </w:p>
        </w:tc>
      </w:tr>
      <w:tr w:rsidR="00C67DF8" w:rsidRPr="003E6346">
        <w:trPr>
          <w:cantSplit/>
        </w:trPr>
        <w:tc>
          <w:tcPr>
            <w:tcW w:w="1648" w:type="dxa"/>
            <w:tcBorders>
              <w:bottom w:val="single" w:sz="12"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رجال</w:t>
            </w:r>
          </w:p>
        </w:tc>
        <w:tc>
          <w:tcPr>
            <w:tcW w:w="1648" w:type="dxa"/>
            <w:tcBorders>
              <w:bottom w:val="single" w:sz="12"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47.1</w:t>
            </w:r>
          </w:p>
        </w:tc>
        <w:tc>
          <w:tcPr>
            <w:tcW w:w="1545" w:type="dxa"/>
            <w:tcBorders>
              <w:bottom w:val="single" w:sz="12"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46.5</w:t>
            </w:r>
          </w:p>
        </w:tc>
        <w:tc>
          <w:tcPr>
            <w:tcW w:w="1648" w:type="dxa"/>
            <w:tcBorders>
              <w:bottom w:val="single" w:sz="12"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48.9</w:t>
            </w:r>
          </w:p>
        </w:tc>
      </w:tr>
    </w:tbl>
    <w:p w:rsidR="00C67DF8" w:rsidRPr="00792B6F" w:rsidRDefault="00C67DF8" w:rsidP="00C67DF8">
      <w:pPr>
        <w:pStyle w:val="SingleTxt"/>
        <w:spacing w:after="0" w:line="120" w:lineRule="exact"/>
        <w:rPr>
          <w:rFonts w:hint="cs"/>
          <w:sz w:val="10"/>
          <w:rtl/>
        </w:rPr>
      </w:pPr>
    </w:p>
    <w:p w:rsidR="00C67DF8" w:rsidRDefault="00C67DF8" w:rsidP="00C67DF8">
      <w:pPr>
        <w:pStyle w:val="SingleTxt"/>
        <w:spacing w:after="0"/>
        <w:rPr>
          <w:rFonts w:hint="cs"/>
          <w:rtl/>
        </w:rPr>
      </w:pPr>
      <w:r>
        <w:rPr>
          <w:rFonts w:hint="cs"/>
          <w:rtl/>
        </w:rPr>
        <w:t>الجدول 11-2</w:t>
      </w:r>
    </w:p>
    <w:p w:rsidR="00C67DF8" w:rsidRPr="00792B6F" w:rsidRDefault="00C67DF8" w:rsidP="00C67DF8">
      <w:pPr>
        <w:pStyle w:val="SingleTxt"/>
        <w:rPr>
          <w:rFonts w:hint="cs"/>
          <w:b/>
          <w:bCs/>
          <w:rtl/>
        </w:rPr>
      </w:pPr>
      <w:r w:rsidRPr="00792B6F">
        <w:rPr>
          <w:rFonts w:hint="cs"/>
          <w:b/>
          <w:bCs/>
          <w:rtl/>
        </w:rPr>
        <w:t xml:space="preserve">المشاركة في القوة العاملة </w:t>
      </w:r>
      <w:r w:rsidRPr="00792B6F">
        <w:rPr>
          <w:rFonts w:hint="cs"/>
          <w:b/>
          <w:bCs/>
          <w:i/>
          <w:iCs/>
          <w:rtl/>
        </w:rPr>
        <w:t>(تابع)</w:t>
      </w:r>
    </w:p>
    <w:p w:rsidR="00C67DF8" w:rsidRPr="00792B6F" w:rsidRDefault="00C67DF8" w:rsidP="00C67DF8">
      <w:pPr>
        <w:pStyle w:val="SingleTxt"/>
        <w:spacing w:after="0" w:line="120" w:lineRule="exact"/>
        <w:rPr>
          <w:sz w:val="10"/>
          <w:rtl/>
        </w:rPr>
      </w:pPr>
    </w:p>
    <w:tbl>
      <w:tblPr>
        <w:bidiVisual/>
        <w:tblW w:w="0" w:type="auto"/>
        <w:tblInd w:w="1615" w:type="dxa"/>
        <w:tblLook w:val="01E0" w:firstRow="1" w:lastRow="1" w:firstColumn="1" w:lastColumn="1" w:noHBand="0" w:noVBand="0"/>
      </w:tblPr>
      <w:tblGrid>
        <w:gridCol w:w="1648"/>
        <w:gridCol w:w="1648"/>
        <w:gridCol w:w="1545"/>
        <w:gridCol w:w="1648"/>
      </w:tblGrid>
      <w:tr w:rsidR="00C67DF8" w:rsidRPr="003E6346">
        <w:trPr>
          <w:cantSplit/>
          <w:tblHeader/>
        </w:trPr>
        <w:tc>
          <w:tcPr>
            <w:tcW w:w="1648" w:type="dxa"/>
            <w:tcBorders>
              <w:top w:val="single" w:sz="12" w:space="0" w:color="auto"/>
              <w:bottom w:val="single" w:sz="12" w:space="0" w:color="auto"/>
            </w:tcBorders>
            <w:shd w:val="clear" w:color="auto" w:fill="auto"/>
            <w:vAlign w:val="bottom"/>
          </w:tcPr>
          <w:p w:rsidR="00C67DF8" w:rsidRPr="003E6346" w:rsidRDefault="00C67DF8" w:rsidP="00C67DF8">
            <w:pPr>
              <w:pStyle w:val="DualTxt"/>
              <w:jc w:val="center"/>
              <w:rPr>
                <w:rFonts w:hint="cs"/>
                <w:b/>
                <w:bCs/>
                <w:sz w:val="24"/>
                <w:szCs w:val="24"/>
                <w:rtl/>
              </w:rPr>
            </w:pPr>
            <w:r w:rsidRPr="003E6346">
              <w:rPr>
                <w:rFonts w:hint="cs"/>
                <w:b/>
                <w:bCs/>
                <w:sz w:val="24"/>
                <w:szCs w:val="24"/>
                <w:rtl/>
              </w:rPr>
              <w:t>المؤشرات</w:t>
            </w:r>
          </w:p>
        </w:tc>
        <w:tc>
          <w:tcPr>
            <w:tcW w:w="1648" w:type="dxa"/>
            <w:tcBorders>
              <w:top w:val="single" w:sz="12" w:space="0" w:color="auto"/>
              <w:bottom w:val="single" w:sz="12" w:space="0" w:color="auto"/>
            </w:tcBorders>
            <w:shd w:val="clear" w:color="auto" w:fill="auto"/>
            <w:vAlign w:val="bottom"/>
          </w:tcPr>
          <w:p w:rsidR="00C67DF8" w:rsidRPr="003E6346" w:rsidRDefault="00C67DF8" w:rsidP="00C67DF8">
            <w:pPr>
              <w:pStyle w:val="DualTxt"/>
              <w:jc w:val="center"/>
              <w:rPr>
                <w:rFonts w:hint="cs"/>
                <w:b/>
                <w:bCs/>
                <w:sz w:val="24"/>
                <w:szCs w:val="24"/>
                <w:rtl/>
              </w:rPr>
            </w:pPr>
            <w:r w:rsidRPr="003E6346">
              <w:rPr>
                <w:rFonts w:hint="cs"/>
                <w:b/>
                <w:bCs/>
                <w:sz w:val="24"/>
                <w:szCs w:val="24"/>
                <w:rtl/>
              </w:rPr>
              <w:t>1997-1998</w:t>
            </w:r>
          </w:p>
        </w:tc>
        <w:tc>
          <w:tcPr>
            <w:tcW w:w="1545" w:type="dxa"/>
            <w:tcBorders>
              <w:top w:val="single" w:sz="12" w:space="0" w:color="auto"/>
              <w:bottom w:val="single" w:sz="12" w:space="0" w:color="auto"/>
            </w:tcBorders>
            <w:shd w:val="clear" w:color="auto" w:fill="auto"/>
            <w:vAlign w:val="bottom"/>
          </w:tcPr>
          <w:p w:rsidR="00C67DF8" w:rsidRPr="003E6346" w:rsidRDefault="00C67DF8" w:rsidP="00C67DF8">
            <w:pPr>
              <w:pStyle w:val="DualTxt"/>
              <w:jc w:val="center"/>
              <w:rPr>
                <w:rFonts w:hint="cs"/>
                <w:b/>
                <w:bCs/>
                <w:sz w:val="24"/>
                <w:szCs w:val="24"/>
                <w:rtl/>
              </w:rPr>
            </w:pPr>
            <w:r w:rsidRPr="003E6346">
              <w:rPr>
                <w:rFonts w:hint="cs"/>
                <w:b/>
                <w:bCs/>
                <w:sz w:val="24"/>
                <w:szCs w:val="24"/>
                <w:rtl/>
              </w:rPr>
              <w:t>1999-2000</w:t>
            </w:r>
          </w:p>
        </w:tc>
        <w:tc>
          <w:tcPr>
            <w:tcW w:w="1648" w:type="dxa"/>
            <w:tcBorders>
              <w:top w:val="single" w:sz="12" w:space="0" w:color="auto"/>
              <w:bottom w:val="single" w:sz="12" w:space="0" w:color="auto"/>
            </w:tcBorders>
            <w:shd w:val="clear" w:color="auto" w:fill="auto"/>
            <w:vAlign w:val="bottom"/>
          </w:tcPr>
          <w:p w:rsidR="00C67DF8" w:rsidRPr="003E6346" w:rsidRDefault="00C67DF8" w:rsidP="00C67DF8">
            <w:pPr>
              <w:pStyle w:val="DualTxt"/>
              <w:jc w:val="center"/>
              <w:rPr>
                <w:rFonts w:hint="cs"/>
                <w:b/>
                <w:bCs/>
                <w:sz w:val="24"/>
                <w:szCs w:val="24"/>
                <w:rtl/>
              </w:rPr>
            </w:pPr>
            <w:r w:rsidRPr="003E6346">
              <w:rPr>
                <w:rFonts w:hint="cs"/>
                <w:b/>
                <w:bCs/>
                <w:sz w:val="24"/>
                <w:szCs w:val="24"/>
                <w:rtl/>
              </w:rPr>
              <w:t>2001-2002</w:t>
            </w:r>
          </w:p>
        </w:tc>
      </w:tr>
      <w:tr w:rsidR="00C67DF8" w:rsidRPr="003E6346">
        <w:trPr>
          <w:cantSplit/>
        </w:trPr>
        <w:tc>
          <w:tcPr>
            <w:tcW w:w="1648" w:type="dxa"/>
            <w:tcBorders>
              <w:bottom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نساء</w:t>
            </w:r>
          </w:p>
        </w:tc>
        <w:tc>
          <w:tcPr>
            <w:tcW w:w="1648" w:type="dxa"/>
            <w:tcBorders>
              <w:bottom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5.3</w:t>
            </w:r>
          </w:p>
        </w:tc>
        <w:tc>
          <w:tcPr>
            <w:tcW w:w="1545" w:type="dxa"/>
            <w:tcBorders>
              <w:bottom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6.3</w:t>
            </w:r>
          </w:p>
        </w:tc>
        <w:tc>
          <w:tcPr>
            <w:tcW w:w="1648" w:type="dxa"/>
            <w:tcBorders>
              <w:bottom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7.3</w:t>
            </w:r>
          </w:p>
        </w:tc>
      </w:tr>
      <w:tr w:rsidR="00C67DF8" w:rsidRPr="003E6346">
        <w:trPr>
          <w:cantSplit/>
        </w:trPr>
        <w:tc>
          <w:tcPr>
            <w:tcW w:w="6489" w:type="dxa"/>
            <w:gridSpan w:val="4"/>
            <w:tcBorders>
              <w:top w:val="single" w:sz="4" w:space="0" w:color="auto"/>
              <w:bottom w:val="single" w:sz="4" w:space="0" w:color="auto"/>
            </w:tcBorders>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المعدلات المنقحة (للمشاركة في) الأنشطة (النسب المئوية)</w:t>
            </w:r>
          </w:p>
        </w:tc>
      </w:tr>
      <w:tr w:rsidR="00C67DF8" w:rsidRPr="003E6346">
        <w:trPr>
          <w:cantSplit/>
        </w:trPr>
        <w:tc>
          <w:tcPr>
            <w:tcW w:w="6489" w:type="dxa"/>
            <w:gridSpan w:val="4"/>
            <w:tcBorders>
              <w:top w:val="single" w:sz="4" w:space="0" w:color="auto"/>
              <w:bottom w:val="single" w:sz="4" w:space="0" w:color="auto"/>
            </w:tcBorders>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باكستان</w:t>
            </w:r>
          </w:p>
        </w:tc>
      </w:tr>
      <w:tr w:rsidR="00C67DF8" w:rsidRPr="003E6346">
        <w:trPr>
          <w:cantSplit/>
        </w:trPr>
        <w:tc>
          <w:tcPr>
            <w:tcW w:w="1648" w:type="dxa"/>
            <w:tcBorders>
              <w:top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الجنسان</w:t>
            </w:r>
          </w:p>
        </w:tc>
        <w:tc>
          <w:tcPr>
            <w:tcW w:w="1648" w:type="dxa"/>
            <w:tcBorders>
              <w:top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43.3</w:t>
            </w:r>
          </w:p>
        </w:tc>
        <w:tc>
          <w:tcPr>
            <w:tcW w:w="1545" w:type="dxa"/>
            <w:tcBorders>
              <w:top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42.8</w:t>
            </w:r>
          </w:p>
        </w:tc>
        <w:tc>
          <w:tcPr>
            <w:tcW w:w="1648" w:type="dxa"/>
            <w:tcBorders>
              <w:top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43.3</w:t>
            </w:r>
          </w:p>
        </w:tc>
      </w:tr>
      <w:tr w:rsidR="00C67DF8" w:rsidRPr="003E6346">
        <w:trPr>
          <w:cantSplit/>
        </w:trPr>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رجال</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70.5</w:t>
            </w:r>
          </w:p>
        </w:tc>
        <w:tc>
          <w:tcPr>
            <w:tcW w:w="1545"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70.4</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70.3</w:t>
            </w:r>
          </w:p>
        </w:tc>
      </w:tr>
      <w:tr w:rsidR="00C67DF8" w:rsidRPr="003E6346">
        <w:trPr>
          <w:cantSplit/>
        </w:trPr>
        <w:tc>
          <w:tcPr>
            <w:tcW w:w="1648" w:type="dxa"/>
            <w:tcBorders>
              <w:bottom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نساء</w:t>
            </w:r>
          </w:p>
        </w:tc>
        <w:tc>
          <w:tcPr>
            <w:tcW w:w="1648" w:type="dxa"/>
            <w:tcBorders>
              <w:bottom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13.9</w:t>
            </w:r>
          </w:p>
        </w:tc>
        <w:tc>
          <w:tcPr>
            <w:tcW w:w="1545" w:type="dxa"/>
            <w:tcBorders>
              <w:bottom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13.7</w:t>
            </w:r>
          </w:p>
        </w:tc>
        <w:tc>
          <w:tcPr>
            <w:tcW w:w="1648" w:type="dxa"/>
            <w:tcBorders>
              <w:bottom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14.4</w:t>
            </w:r>
          </w:p>
        </w:tc>
      </w:tr>
      <w:tr w:rsidR="00C67DF8" w:rsidRPr="003E6346">
        <w:trPr>
          <w:cantSplit/>
        </w:trPr>
        <w:tc>
          <w:tcPr>
            <w:tcW w:w="6489" w:type="dxa"/>
            <w:gridSpan w:val="4"/>
            <w:tcBorders>
              <w:top w:val="single" w:sz="4" w:space="0" w:color="auto"/>
              <w:bottom w:val="single" w:sz="4" w:space="0" w:color="auto"/>
            </w:tcBorders>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المناطق الريفية</w:t>
            </w:r>
          </w:p>
        </w:tc>
      </w:tr>
      <w:tr w:rsidR="00C67DF8" w:rsidRPr="003E6346">
        <w:trPr>
          <w:cantSplit/>
        </w:trPr>
        <w:tc>
          <w:tcPr>
            <w:tcW w:w="1648" w:type="dxa"/>
            <w:tcBorders>
              <w:top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الجنسان</w:t>
            </w:r>
          </w:p>
        </w:tc>
        <w:tc>
          <w:tcPr>
            <w:tcW w:w="1648" w:type="dxa"/>
            <w:tcBorders>
              <w:top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46.4</w:t>
            </w:r>
          </w:p>
        </w:tc>
        <w:tc>
          <w:tcPr>
            <w:tcW w:w="1545" w:type="dxa"/>
            <w:tcBorders>
              <w:top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45.1</w:t>
            </w:r>
          </w:p>
        </w:tc>
        <w:tc>
          <w:tcPr>
            <w:tcW w:w="1648" w:type="dxa"/>
            <w:tcBorders>
              <w:top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45.2</w:t>
            </w:r>
          </w:p>
        </w:tc>
      </w:tr>
      <w:tr w:rsidR="00C67DF8" w:rsidRPr="003E6346">
        <w:trPr>
          <w:cantSplit/>
        </w:trPr>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رجال</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73.4</w:t>
            </w:r>
          </w:p>
        </w:tc>
        <w:tc>
          <w:tcPr>
            <w:tcW w:w="1545"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73.1</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72.2</w:t>
            </w:r>
          </w:p>
        </w:tc>
      </w:tr>
      <w:tr w:rsidR="00C67DF8" w:rsidRPr="003E6346">
        <w:trPr>
          <w:cantSplit/>
        </w:trPr>
        <w:tc>
          <w:tcPr>
            <w:tcW w:w="1648" w:type="dxa"/>
            <w:tcBorders>
              <w:bottom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نساء</w:t>
            </w:r>
          </w:p>
        </w:tc>
        <w:tc>
          <w:tcPr>
            <w:tcW w:w="1648" w:type="dxa"/>
            <w:tcBorders>
              <w:bottom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17.4</w:t>
            </w:r>
          </w:p>
        </w:tc>
        <w:tc>
          <w:tcPr>
            <w:tcW w:w="1545" w:type="dxa"/>
            <w:tcBorders>
              <w:bottom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16.1</w:t>
            </w:r>
          </w:p>
        </w:tc>
        <w:tc>
          <w:tcPr>
            <w:tcW w:w="1648" w:type="dxa"/>
            <w:tcBorders>
              <w:bottom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16.8</w:t>
            </w:r>
          </w:p>
        </w:tc>
      </w:tr>
      <w:tr w:rsidR="00C67DF8" w:rsidRPr="003E6346">
        <w:trPr>
          <w:cantSplit/>
        </w:trPr>
        <w:tc>
          <w:tcPr>
            <w:tcW w:w="6489" w:type="dxa"/>
            <w:gridSpan w:val="4"/>
            <w:tcBorders>
              <w:top w:val="single" w:sz="4" w:space="0" w:color="auto"/>
              <w:bottom w:val="single" w:sz="4" w:space="0" w:color="auto"/>
            </w:tcBorders>
            <w:shd w:val="clear" w:color="auto" w:fill="auto"/>
            <w:vAlign w:val="bottom"/>
          </w:tcPr>
          <w:p w:rsidR="00C67DF8" w:rsidRPr="003E6346" w:rsidRDefault="00C67DF8" w:rsidP="00C67DF8">
            <w:pPr>
              <w:pStyle w:val="DualTxt"/>
              <w:jc w:val="center"/>
              <w:rPr>
                <w:rFonts w:hint="cs"/>
                <w:sz w:val="24"/>
                <w:szCs w:val="24"/>
                <w:rtl/>
              </w:rPr>
            </w:pPr>
            <w:r w:rsidRPr="003E6346">
              <w:rPr>
                <w:rFonts w:hint="cs"/>
                <w:sz w:val="24"/>
                <w:szCs w:val="24"/>
                <w:rtl/>
              </w:rPr>
              <w:t>المناطق الحضرية</w:t>
            </w:r>
          </w:p>
        </w:tc>
      </w:tr>
      <w:tr w:rsidR="00C67DF8" w:rsidRPr="003E6346">
        <w:trPr>
          <w:cantSplit/>
        </w:trPr>
        <w:tc>
          <w:tcPr>
            <w:tcW w:w="1648" w:type="dxa"/>
            <w:tcBorders>
              <w:top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الجنسان</w:t>
            </w:r>
          </w:p>
        </w:tc>
        <w:tc>
          <w:tcPr>
            <w:tcW w:w="1648" w:type="dxa"/>
            <w:tcBorders>
              <w:top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37.7</w:t>
            </w:r>
          </w:p>
        </w:tc>
        <w:tc>
          <w:tcPr>
            <w:tcW w:w="1545" w:type="dxa"/>
            <w:tcBorders>
              <w:top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38.1</w:t>
            </w:r>
          </w:p>
        </w:tc>
        <w:tc>
          <w:tcPr>
            <w:tcW w:w="1648" w:type="dxa"/>
            <w:tcBorders>
              <w:top w:val="single" w:sz="4"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39.9</w:t>
            </w:r>
          </w:p>
        </w:tc>
      </w:tr>
      <w:tr w:rsidR="00C67DF8" w:rsidRPr="003E6346">
        <w:trPr>
          <w:cantSplit/>
        </w:trPr>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رجال</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65.2</w:t>
            </w:r>
          </w:p>
        </w:tc>
        <w:tc>
          <w:tcPr>
            <w:tcW w:w="1545"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65.0</w:t>
            </w:r>
          </w:p>
        </w:tc>
        <w:tc>
          <w:tcPr>
            <w:tcW w:w="1648" w:type="dxa"/>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66.9</w:t>
            </w:r>
          </w:p>
        </w:tc>
      </w:tr>
      <w:tr w:rsidR="00C67DF8" w:rsidRPr="003E6346">
        <w:trPr>
          <w:cantSplit/>
        </w:trPr>
        <w:tc>
          <w:tcPr>
            <w:tcW w:w="1648" w:type="dxa"/>
            <w:tcBorders>
              <w:bottom w:val="single" w:sz="12"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نساء</w:t>
            </w:r>
          </w:p>
        </w:tc>
        <w:tc>
          <w:tcPr>
            <w:tcW w:w="1648" w:type="dxa"/>
            <w:tcBorders>
              <w:bottom w:val="single" w:sz="12"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7.4</w:t>
            </w:r>
          </w:p>
        </w:tc>
        <w:tc>
          <w:tcPr>
            <w:tcW w:w="1545" w:type="dxa"/>
            <w:tcBorders>
              <w:bottom w:val="single" w:sz="12"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8.8</w:t>
            </w:r>
          </w:p>
        </w:tc>
        <w:tc>
          <w:tcPr>
            <w:tcW w:w="1648" w:type="dxa"/>
            <w:tcBorders>
              <w:bottom w:val="single" w:sz="12" w:space="0" w:color="auto"/>
            </w:tcBorders>
            <w:shd w:val="clear" w:color="auto" w:fill="auto"/>
            <w:vAlign w:val="bottom"/>
          </w:tcPr>
          <w:p w:rsidR="00C67DF8" w:rsidRPr="003E6346" w:rsidRDefault="00C67DF8" w:rsidP="00C67DF8">
            <w:pPr>
              <w:pStyle w:val="DualTxt"/>
              <w:rPr>
                <w:rFonts w:hint="cs"/>
                <w:sz w:val="24"/>
                <w:szCs w:val="24"/>
                <w:rtl/>
              </w:rPr>
            </w:pPr>
            <w:r w:rsidRPr="003E6346">
              <w:rPr>
                <w:rFonts w:hint="cs"/>
                <w:sz w:val="24"/>
                <w:szCs w:val="24"/>
                <w:rtl/>
              </w:rPr>
              <w:t>10.0</w:t>
            </w:r>
          </w:p>
        </w:tc>
      </w:tr>
    </w:tbl>
    <w:p w:rsidR="00C67DF8" w:rsidRPr="00792B6F" w:rsidRDefault="00C67DF8" w:rsidP="00C67DF8">
      <w:pPr>
        <w:pStyle w:val="SingleTxt"/>
        <w:spacing w:after="0" w:line="120" w:lineRule="exact"/>
        <w:rPr>
          <w:rFonts w:hint="cs"/>
          <w:sz w:val="10"/>
          <w:rtl/>
        </w:rPr>
      </w:pPr>
    </w:p>
    <w:p w:rsidR="00C67DF8" w:rsidRPr="003E6346" w:rsidRDefault="00C67DF8" w:rsidP="00C67DF8">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Fonts w:hint="cs"/>
          <w:rtl/>
        </w:rPr>
        <w:tab/>
      </w:r>
      <w:r w:rsidRPr="00792B6F">
        <w:rPr>
          <w:i/>
          <w:iCs/>
          <w:rtl/>
        </w:rPr>
        <w:tab/>
      </w:r>
      <w:r w:rsidRPr="00792B6F">
        <w:rPr>
          <w:rFonts w:hint="cs"/>
          <w:i/>
          <w:iCs/>
          <w:rtl/>
        </w:rPr>
        <w:t>المصدر</w:t>
      </w:r>
      <w:r w:rsidRPr="003E6346">
        <w:rPr>
          <w:rFonts w:hint="cs"/>
          <w:rtl/>
        </w:rPr>
        <w:t>: مكتب الإحصاءات الاتحادي، الدراستان الاستقصائيتان للقوة العاملة للفترتين 1999-2000 و</w:t>
      </w:r>
      <w:r w:rsidR="008432A1">
        <w:rPr>
          <w:rFonts w:hint="cs"/>
          <w:rtl/>
        </w:rPr>
        <w:t xml:space="preserve"> </w:t>
      </w:r>
      <w:r w:rsidRPr="003E6346">
        <w:rPr>
          <w:rFonts w:hint="cs"/>
          <w:rtl/>
        </w:rPr>
        <w:t>2001-2002.</w:t>
      </w:r>
    </w:p>
    <w:p w:rsidR="00C67DF8" w:rsidRPr="003E6346" w:rsidRDefault="00C67DF8" w:rsidP="00C67DF8">
      <w:pPr>
        <w:pStyle w:val="SingleTxt"/>
        <w:tabs>
          <w:tab w:val="clear" w:pos="1930"/>
          <w:tab w:val="left" w:pos="2125"/>
        </w:tabs>
        <w:spacing w:after="0" w:line="120" w:lineRule="exact"/>
        <w:rPr>
          <w:rFonts w:hint="cs"/>
          <w:sz w:val="24"/>
          <w:szCs w:val="24"/>
          <w:rtl/>
        </w:rPr>
      </w:pPr>
    </w:p>
    <w:p w:rsidR="00C67DF8" w:rsidRDefault="00C67DF8" w:rsidP="00C67DF8">
      <w:pPr>
        <w:pStyle w:val="SingleTxt"/>
        <w:keepNext/>
        <w:spacing w:after="0"/>
        <w:rPr>
          <w:rFonts w:hint="cs"/>
          <w:rtl/>
        </w:rPr>
      </w:pPr>
      <w:r>
        <w:rPr>
          <w:rFonts w:hint="cs"/>
          <w:rtl/>
        </w:rPr>
        <w:t>الجدول 11-3</w:t>
      </w:r>
    </w:p>
    <w:p w:rsidR="00C67DF8" w:rsidRPr="00792B6F" w:rsidRDefault="00C67DF8" w:rsidP="00C67DF8">
      <w:pPr>
        <w:pStyle w:val="SingleTxt"/>
        <w:rPr>
          <w:rFonts w:hint="cs"/>
          <w:b/>
          <w:bCs/>
          <w:rtl/>
        </w:rPr>
      </w:pPr>
      <w:r w:rsidRPr="00792B6F">
        <w:rPr>
          <w:rFonts w:hint="cs"/>
          <w:b/>
          <w:bCs/>
          <w:rtl/>
        </w:rPr>
        <w:t xml:space="preserve">توزيع العمال غير الزراعيين إلى قطاع رسمي </w:t>
      </w:r>
      <w:proofErr w:type="spellStart"/>
      <w:r w:rsidRPr="00792B6F">
        <w:rPr>
          <w:rFonts w:hint="cs"/>
          <w:b/>
          <w:bCs/>
          <w:rtl/>
        </w:rPr>
        <w:t>وقطاغ</w:t>
      </w:r>
      <w:proofErr w:type="spellEnd"/>
      <w:r w:rsidRPr="00792B6F">
        <w:rPr>
          <w:rFonts w:hint="cs"/>
          <w:b/>
          <w:bCs/>
          <w:rtl/>
        </w:rPr>
        <w:t xml:space="preserve"> غير رسمي (النسب المئوية)</w:t>
      </w:r>
    </w:p>
    <w:p w:rsidR="00C67DF8" w:rsidRPr="00792B6F" w:rsidRDefault="00C67DF8" w:rsidP="00C67DF8">
      <w:pPr>
        <w:pStyle w:val="SingleTxt"/>
        <w:spacing w:after="0" w:line="120" w:lineRule="exact"/>
        <w:rPr>
          <w:rFonts w:hint="cs"/>
          <w:sz w:val="10"/>
          <w:rtl/>
        </w:rPr>
      </w:pPr>
    </w:p>
    <w:tbl>
      <w:tblPr>
        <w:bidiVisual/>
        <w:tblW w:w="0" w:type="auto"/>
        <w:tblInd w:w="379" w:type="dxa"/>
        <w:tblLayout w:type="fixed"/>
        <w:tblLook w:val="01E0" w:firstRow="1" w:lastRow="1" w:firstColumn="1" w:lastColumn="1" w:noHBand="0" w:noVBand="0"/>
      </w:tblPr>
      <w:tblGrid>
        <w:gridCol w:w="927"/>
        <w:gridCol w:w="103"/>
        <w:gridCol w:w="824"/>
        <w:gridCol w:w="103"/>
        <w:gridCol w:w="824"/>
        <w:gridCol w:w="103"/>
        <w:gridCol w:w="824"/>
        <w:gridCol w:w="103"/>
        <w:gridCol w:w="861"/>
        <w:gridCol w:w="890"/>
        <w:gridCol w:w="855"/>
        <w:gridCol w:w="72"/>
        <w:gridCol w:w="824"/>
        <w:gridCol w:w="103"/>
        <w:gridCol w:w="824"/>
        <w:gridCol w:w="103"/>
        <w:gridCol w:w="927"/>
      </w:tblGrid>
      <w:tr w:rsidR="00C67DF8" w:rsidRPr="003E6346">
        <w:tc>
          <w:tcPr>
            <w:tcW w:w="9270" w:type="dxa"/>
            <w:gridSpan w:val="17"/>
            <w:tcBorders>
              <w:top w:val="single" w:sz="4" w:space="0" w:color="auto"/>
              <w:bottom w:val="single" w:sz="4"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1999-2000</w:t>
            </w:r>
          </w:p>
        </w:tc>
      </w:tr>
      <w:tr w:rsidR="00C67DF8" w:rsidRPr="003E6346">
        <w:tc>
          <w:tcPr>
            <w:tcW w:w="1030" w:type="dxa"/>
            <w:gridSpan w:val="2"/>
            <w:vMerge w:val="restart"/>
            <w:tcBorders>
              <w:top w:val="single" w:sz="4" w:space="0" w:color="auto"/>
            </w:tcBorders>
            <w:vAlign w:val="bottom"/>
          </w:tcPr>
          <w:p w:rsidR="00C67DF8" w:rsidRPr="003E6346" w:rsidRDefault="00C67DF8" w:rsidP="00C67DF8">
            <w:pPr>
              <w:pStyle w:val="DualTxt"/>
              <w:jc w:val="center"/>
              <w:rPr>
                <w:rFonts w:hint="cs"/>
                <w:sz w:val="24"/>
                <w:szCs w:val="24"/>
                <w:rtl/>
              </w:rPr>
            </w:pPr>
            <w:r w:rsidRPr="003E6346">
              <w:rPr>
                <w:rFonts w:hint="cs"/>
                <w:sz w:val="24"/>
                <w:szCs w:val="24"/>
                <w:rtl/>
              </w:rPr>
              <w:t>القطاع</w:t>
            </w:r>
          </w:p>
        </w:tc>
        <w:tc>
          <w:tcPr>
            <w:tcW w:w="2781" w:type="dxa"/>
            <w:gridSpan w:val="6"/>
            <w:tcBorders>
              <w:top w:val="single" w:sz="4" w:space="0" w:color="auto"/>
              <w:bottom w:val="single" w:sz="4"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المجموع</w:t>
            </w:r>
          </w:p>
        </w:tc>
        <w:tc>
          <w:tcPr>
            <w:tcW w:w="2606" w:type="dxa"/>
            <w:gridSpan w:val="3"/>
            <w:tcBorders>
              <w:top w:val="single" w:sz="4" w:space="0" w:color="auto"/>
              <w:bottom w:val="single" w:sz="4"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المناطق الريفية</w:t>
            </w:r>
          </w:p>
        </w:tc>
        <w:tc>
          <w:tcPr>
            <w:tcW w:w="2853" w:type="dxa"/>
            <w:gridSpan w:val="6"/>
            <w:tcBorders>
              <w:top w:val="single" w:sz="4" w:space="0" w:color="auto"/>
              <w:bottom w:val="single" w:sz="4"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المناطق الحضرية</w:t>
            </w:r>
          </w:p>
        </w:tc>
      </w:tr>
      <w:tr w:rsidR="00C67DF8" w:rsidRPr="003E6346">
        <w:tc>
          <w:tcPr>
            <w:tcW w:w="1030" w:type="dxa"/>
            <w:gridSpan w:val="2"/>
            <w:vMerge/>
            <w:tcBorders>
              <w:bottom w:val="single" w:sz="12" w:space="0" w:color="auto"/>
            </w:tcBorders>
          </w:tcPr>
          <w:p w:rsidR="00C67DF8" w:rsidRPr="003E6346" w:rsidRDefault="00C67DF8" w:rsidP="00C67DF8">
            <w:pPr>
              <w:pStyle w:val="DualTxt"/>
              <w:jc w:val="center"/>
              <w:rPr>
                <w:rFonts w:hint="cs"/>
                <w:sz w:val="24"/>
                <w:szCs w:val="24"/>
                <w:rtl/>
              </w:rPr>
            </w:pPr>
          </w:p>
        </w:tc>
        <w:tc>
          <w:tcPr>
            <w:tcW w:w="927" w:type="dxa"/>
            <w:gridSpan w:val="2"/>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الجنسان</w:t>
            </w:r>
          </w:p>
        </w:tc>
        <w:tc>
          <w:tcPr>
            <w:tcW w:w="927" w:type="dxa"/>
            <w:gridSpan w:val="2"/>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رجال</w:t>
            </w:r>
          </w:p>
        </w:tc>
        <w:tc>
          <w:tcPr>
            <w:tcW w:w="927" w:type="dxa"/>
            <w:gridSpan w:val="2"/>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نساء</w:t>
            </w:r>
          </w:p>
        </w:tc>
        <w:tc>
          <w:tcPr>
            <w:tcW w:w="861" w:type="dxa"/>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الجنسان</w:t>
            </w:r>
          </w:p>
        </w:tc>
        <w:tc>
          <w:tcPr>
            <w:tcW w:w="890" w:type="dxa"/>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رجال</w:t>
            </w:r>
          </w:p>
        </w:tc>
        <w:tc>
          <w:tcPr>
            <w:tcW w:w="855" w:type="dxa"/>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نساء</w:t>
            </w:r>
          </w:p>
        </w:tc>
        <w:tc>
          <w:tcPr>
            <w:tcW w:w="896" w:type="dxa"/>
            <w:gridSpan w:val="2"/>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الجنسان</w:t>
            </w:r>
          </w:p>
        </w:tc>
        <w:tc>
          <w:tcPr>
            <w:tcW w:w="927" w:type="dxa"/>
            <w:gridSpan w:val="2"/>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رجال</w:t>
            </w:r>
          </w:p>
        </w:tc>
        <w:tc>
          <w:tcPr>
            <w:tcW w:w="1030" w:type="dxa"/>
            <w:gridSpan w:val="2"/>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نساء</w:t>
            </w:r>
          </w:p>
        </w:tc>
      </w:tr>
      <w:tr w:rsidR="00C67DF8" w:rsidRPr="003E6346">
        <w:tc>
          <w:tcPr>
            <w:tcW w:w="1030" w:type="dxa"/>
            <w:gridSpan w:val="2"/>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المجموع</w:t>
            </w:r>
          </w:p>
        </w:tc>
        <w:tc>
          <w:tcPr>
            <w:tcW w:w="927" w:type="dxa"/>
            <w:gridSpan w:val="2"/>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27" w:type="dxa"/>
            <w:gridSpan w:val="2"/>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27" w:type="dxa"/>
            <w:gridSpan w:val="2"/>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861" w:type="dxa"/>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890" w:type="dxa"/>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855" w:type="dxa"/>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896" w:type="dxa"/>
            <w:gridSpan w:val="2"/>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27" w:type="dxa"/>
            <w:gridSpan w:val="2"/>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1030" w:type="dxa"/>
            <w:gridSpan w:val="2"/>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r>
      <w:tr w:rsidR="00C67DF8" w:rsidRPr="003E6346">
        <w:tc>
          <w:tcPr>
            <w:tcW w:w="1030" w:type="dxa"/>
            <w:gridSpan w:val="2"/>
          </w:tcPr>
          <w:p w:rsidR="00C67DF8" w:rsidRPr="003E6346" w:rsidRDefault="00C67DF8" w:rsidP="00C67DF8">
            <w:pPr>
              <w:pStyle w:val="DualTxt"/>
              <w:rPr>
                <w:rFonts w:hint="cs"/>
                <w:sz w:val="24"/>
                <w:szCs w:val="24"/>
                <w:rtl/>
              </w:rPr>
            </w:pPr>
            <w:r w:rsidRPr="003E6346">
              <w:rPr>
                <w:rFonts w:hint="cs"/>
                <w:sz w:val="24"/>
                <w:szCs w:val="24"/>
                <w:rtl/>
              </w:rPr>
              <w:t>الرسمي</w:t>
            </w:r>
          </w:p>
        </w:tc>
        <w:tc>
          <w:tcPr>
            <w:tcW w:w="927" w:type="dxa"/>
            <w:gridSpan w:val="2"/>
          </w:tcPr>
          <w:p w:rsidR="00C67DF8" w:rsidRPr="003E6346" w:rsidRDefault="00C67DF8" w:rsidP="00C67DF8">
            <w:pPr>
              <w:pStyle w:val="DualTxt"/>
              <w:rPr>
                <w:rFonts w:hint="cs"/>
                <w:sz w:val="24"/>
                <w:szCs w:val="24"/>
                <w:rtl/>
              </w:rPr>
            </w:pPr>
            <w:r w:rsidRPr="003E6346">
              <w:rPr>
                <w:rFonts w:hint="cs"/>
                <w:sz w:val="24"/>
                <w:szCs w:val="24"/>
                <w:rtl/>
              </w:rPr>
              <w:t>34.2</w:t>
            </w:r>
          </w:p>
        </w:tc>
        <w:tc>
          <w:tcPr>
            <w:tcW w:w="927" w:type="dxa"/>
            <w:gridSpan w:val="2"/>
          </w:tcPr>
          <w:p w:rsidR="00C67DF8" w:rsidRPr="003E6346" w:rsidRDefault="00C67DF8" w:rsidP="00C67DF8">
            <w:pPr>
              <w:pStyle w:val="DualTxt"/>
              <w:rPr>
                <w:rFonts w:hint="cs"/>
                <w:sz w:val="24"/>
                <w:szCs w:val="24"/>
                <w:rtl/>
              </w:rPr>
            </w:pPr>
            <w:r w:rsidRPr="003E6346">
              <w:rPr>
                <w:rFonts w:hint="cs"/>
                <w:sz w:val="24"/>
                <w:szCs w:val="24"/>
                <w:rtl/>
              </w:rPr>
              <w:t>34.2</w:t>
            </w:r>
          </w:p>
        </w:tc>
        <w:tc>
          <w:tcPr>
            <w:tcW w:w="927" w:type="dxa"/>
            <w:gridSpan w:val="2"/>
          </w:tcPr>
          <w:p w:rsidR="00C67DF8" w:rsidRPr="003E6346" w:rsidRDefault="00C67DF8" w:rsidP="00C67DF8">
            <w:pPr>
              <w:pStyle w:val="DualTxt"/>
              <w:rPr>
                <w:rFonts w:hint="cs"/>
                <w:sz w:val="24"/>
                <w:szCs w:val="24"/>
                <w:rtl/>
              </w:rPr>
            </w:pPr>
            <w:r w:rsidRPr="003E6346">
              <w:rPr>
                <w:rFonts w:hint="cs"/>
                <w:sz w:val="24"/>
                <w:szCs w:val="24"/>
                <w:rtl/>
              </w:rPr>
              <w:t>34.3</w:t>
            </w:r>
          </w:p>
        </w:tc>
        <w:tc>
          <w:tcPr>
            <w:tcW w:w="861" w:type="dxa"/>
          </w:tcPr>
          <w:p w:rsidR="00C67DF8" w:rsidRPr="003E6346" w:rsidRDefault="00C67DF8" w:rsidP="00C67DF8">
            <w:pPr>
              <w:pStyle w:val="DualTxt"/>
              <w:rPr>
                <w:rFonts w:hint="cs"/>
                <w:sz w:val="24"/>
                <w:szCs w:val="24"/>
                <w:rtl/>
              </w:rPr>
            </w:pPr>
            <w:r w:rsidRPr="003E6346">
              <w:rPr>
                <w:rFonts w:hint="cs"/>
                <w:sz w:val="24"/>
                <w:szCs w:val="24"/>
                <w:rtl/>
              </w:rPr>
              <w:t>32.0</w:t>
            </w:r>
          </w:p>
        </w:tc>
        <w:tc>
          <w:tcPr>
            <w:tcW w:w="890" w:type="dxa"/>
          </w:tcPr>
          <w:p w:rsidR="00C67DF8" w:rsidRPr="003E6346" w:rsidRDefault="00C67DF8" w:rsidP="00C67DF8">
            <w:pPr>
              <w:pStyle w:val="DualTxt"/>
              <w:rPr>
                <w:rFonts w:hint="cs"/>
                <w:sz w:val="24"/>
                <w:szCs w:val="24"/>
                <w:rtl/>
              </w:rPr>
            </w:pPr>
            <w:r w:rsidRPr="003E6346">
              <w:rPr>
                <w:rFonts w:hint="cs"/>
                <w:sz w:val="24"/>
                <w:szCs w:val="24"/>
                <w:rtl/>
              </w:rPr>
              <w:t>32.4</w:t>
            </w:r>
          </w:p>
        </w:tc>
        <w:tc>
          <w:tcPr>
            <w:tcW w:w="855" w:type="dxa"/>
          </w:tcPr>
          <w:p w:rsidR="00C67DF8" w:rsidRPr="003E6346" w:rsidRDefault="00C67DF8" w:rsidP="00C67DF8">
            <w:pPr>
              <w:pStyle w:val="DualTxt"/>
              <w:rPr>
                <w:rFonts w:hint="cs"/>
                <w:sz w:val="24"/>
                <w:szCs w:val="24"/>
                <w:rtl/>
              </w:rPr>
            </w:pPr>
            <w:r w:rsidRPr="003E6346">
              <w:rPr>
                <w:rFonts w:hint="cs"/>
                <w:sz w:val="24"/>
                <w:szCs w:val="24"/>
                <w:rtl/>
              </w:rPr>
              <w:t>26.9</w:t>
            </w:r>
          </w:p>
        </w:tc>
        <w:tc>
          <w:tcPr>
            <w:tcW w:w="896" w:type="dxa"/>
            <w:gridSpan w:val="2"/>
          </w:tcPr>
          <w:p w:rsidR="00C67DF8" w:rsidRPr="003E6346" w:rsidRDefault="00C67DF8" w:rsidP="00C67DF8">
            <w:pPr>
              <w:pStyle w:val="DualTxt"/>
              <w:rPr>
                <w:rFonts w:hint="cs"/>
                <w:sz w:val="24"/>
                <w:szCs w:val="24"/>
                <w:rtl/>
              </w:rPr>
            </w:pPr>
            <w:r w:rsidRPr="003E6346">
              <w:rPr>
                <w:rFonts w:hint="cs"/>
                <w:sz w:val="24"/>
                <w:szCs w:val="24"/>
                <w:rtl/>
              </w:rPr>
              <w:t>36.2</w:t>
            </w:r>
          </w:p>
        </w:tc>
        <w:tc>
          <w:tcPr>
            <w:tcW w:w="927" w:type="dxa"/>
            <w:gridSpan w:val="2"/>
          </w:tcPr>
          <w:p w:rsidR="00C67DF8" w:rsidRPr="003E6346" w:rsidRDefault="00C67DF8" w:rsidP="00C67DF8">
            <w:pPr>
              <w:pStyle w:val="DualTxt"/>
              <w:rPr>
                <w:rFonts w:hint="cs"/>
                <w:sz w:val="24"/>
                <w:szCs w:val="24"/>
                <w:rtl/>
              </w:rPr>
            </w:pPr>
            <w:r w:rsidRPr="003E6346">
              <w:rPr>
                <w:rFonts w:hint="cs"/>
                <w:sz w:val="24"/>
                <w:szCs w:val="24"/>
                <w:rtl/>
              </w:rPr>
              <w:t>35.9</w:t>
            </w:r>
          </w:p>
        </w:tc>
        <w:tc>
          <w:tcPr>
            <w:tcW w:w="1030" w:type="dxa"/>
            <w:gridSpan w:val="2"/>
          </w:tcPr>
          <w:p w:rsidR="00C67DF8" w:rsidRPr="003E6346" w:rsidRDefault="00C67DF8" w:rsidP="00C67DF8">
            <w:pPr>
              <w:pStyle w:val="DualTxt"/>
              <w:rPr>
                <w:rFonts w:hint="cs"/>
                <w:sz w:val="24"/>
                <w:szCs w:val="24"/>
                <w:rtl/>
              </w:rPr>
            </w:pPr>
            <w:r w:rsidRPr="003E6346">
              <w:rPr>
                <w:rFonts w:hint="cs"/>
                <w:sz w:val="24"/>
                <w:szCs w:val="24"/>
                <w:rtl/>
              </w:rPr>
              <w:t>39.3</w:t>
            </w:r>
          </w:p>
        </w:tc>
      </w:tr>
      <w:tr w:rsidR="00C67DF8" w:rsidRPr="003E6346">
        <w:tc>
          <w:tcPr>
            <w:tcW w:w="1030" w:type="dxa"/>
            <w:gridSpan w:val="2"/>
            <w:tcBorders>
              <w:bottom w:val="single" w:sz="4" w:space="0" w:color="auto"/>
            </w:tcBorders>
          </w:tcPr>
          <w:p w:rsidR="00C67DF8" w:rsidRPr="003E6346" w:rsidRDefault="00C67DF8" w:rsidP="00C67DF8">
            <w:pPr>
              <w:pStyle w:val="DualTxt"/>
              <w:rPr>
                <w:rFonts w:hint="cs"/>
                <w:sz w:val="24"/>
                <w:szCs w:val="24"/>
                <w:rtl/>
              </w:rPr>
            </w:pPr>
            <w:r w:rsidRPr="003E6346">
              <w:rPr>
                <w:rFonts w:hint="cs"/>
                <w:sz w:val="24"/>
                <w:szCs w:val="24"/>
                <w:rtl/>
              </w:rPr>
              <w:t>غير الرسمي</w:t>
            </w:r>
          </w:p>
        </w:tc>
        <w:tc>
          <w:tcPr>
            <w:tcW w:w="927" w:type="dxa"/>
            <w:gridSpan w:val="2"/>
            <w:tcBorders>
              <w:bottom w:val="single" w:sz="4" w:space="0" w:color="auto"/>
            </w:tcBorders>
          </w:tcPr>
          <w:p w:rsidR="00C67DF8" w:rsidRPr="003E6346" w:rsidRDefault="00C67DF8" w:rsidP="00C67DF8">
            <w:pPr>
              <w:pStyle w:val="DualTxt"/>
              <w:rPr>
                <w:rFonts w:hint="cs"/>
                <w:sz w:val="24"/>
                <w:szCs w:val="24"/>
                <w:rtl/>
              </w:rPr>
            </w:pPr>
            <w:r w:rsidRPr="003E6346">
              <w:rPr>
                <w:rFonts w:hint="cs"/>
                <w:sz w:val="24"/>
                <w:szCs w:val="24"/>
                <w:rtl/>
              </w:rPr>
              <w:t>65.8</w:t>
            </w:r>
          </w:p>
        </w:tc>
        <w:tc>
          <w:tcPr>
            <w:tcW w:w="927" w:type="dxa"/>
            <w:gridSpan w:val="2"/>
            <w:tcBorders>
              <w:bottom w:val="single" w:sz="4" w:space="0" w:color="auto"/>
            </w:tcBorders>
          </w:tcPr>
          <w:p w:rsidR="00C67DF8" w:rsidRPr="003E6346" w:rsidRDefault="00C67DF8" w:rsidP="00C67DF8">
            <w:pPr>
              <w:pStyle w:val="DualTxt"/>
              <w:rPr>
                <w:rFonts w:hint="cs"/>
                <w:sz w:val="24"/>
                <w:szCs w:val="24"/>
                <w:rtl/>
              </w:rPr>
            </w:pPr>
            <w:r w:rsidRPr="003E6346">
              <w:rPr>
                <w:rFonts w:hint="cs"/>
                <w:sz w:val="24"/>
                <w:szCs w:val="24"/>
                <w:rtl/>
              </w:rPr>
              <w:t>65.8</w:t>
            </w:r>
          </w:p>
        </w:tc>
        <w:tc>
          <w:tcPr>
            <w:tcW w:w="927" w:type="dxa"/>
            <w:gridSpan w:val="2"/>
            <w:tcBorders>
              <w:bottom w:val="single" w:sz="4" w:space="0" w:color="auto"/>
            </w:tcBorders>
          </w:tcPr>
          <w:p w:rsidR="00C67DF8" w:rsidRPr="003E6346" w:rsidRDefault="00C67DF8" w:rsidP="00C67DF8">
            <w:pPr>
              <w:pStyle w:val="DualTxt"/>
              <w:rPr>
                <w:rFonts w:hint="cs"/>
                <w:sz w:val="24"/>
                <w:szCs w:val="24"/>
                <w:rtl/>
              </w:rPr>
            </w:pPr>
            <w:r w:rsidRPr="003E6346">
              <w:rPr>
                <w:rFonts w:hint="cs"/>
                <w:sz w:val="24"/>
                <w:szCs w:val="24"/>
                <w:rtl/>
              </w:rPr>
              <w:t>65.7</w:t>
            </w:r>
          </w:p>
        </w:tc>
        <w:tc>
          <w:tcPr>
            <w:tcW w:w="861" w:type="dxa"/>
            <w:tcBorders>
              <w:bottom w:val="single" w:sz="4" w:space="0" w:color="auto"/>
            </w:tcBorders>
          </w:tcPr>
          <w:p w:rsidR="00C67DF8" w:rsidRPr="003E6346" w:rsidRDefault="00C67DF8" w:rsidP="00C67DF8">
            <w:pPr>
              <w:pStyle w:val="DualTxt"/>
              <w:rPr>
                <w:rFonts w:hint="cs"/>
                <w:sz w:val="24"/>
                <w:szCs w:val="24"/>
                <w:rtl/>
              </w:rPr>
            </w:pPr>
            <w:r w:rsidRPr="003E6346">
              <w:rPr>
                <w:rFonts w:hint="cs"/>
                <w:sz w:val="24"/>
                <w:szCs w:val="24"/>
                <w:rtl/>
              </w:rPr>
              <w:t>68.0</w:t>
            </w:r>
          </w:p>
        </w:tc>
        <w:tc>
          <w:tcPr>
            <w:tcW w:w="890" w:type="dxa"/>
            <w:tcBorders>
              <w:bottom w:val="single" w:sz="4" w:space="0" w:color="auto"/>
            </w:tcBorders>
          </w:tcPr>
          <w:p w:rsidR="00C67DF8" w:rsidRPr="003E6346" w:rsidRDefault="00C67DF8" w:rsidP="00C67DF8">
            <w:pPr>
              <w:pStyle w:val="DualTxt"/>
              <w:rPr>
                <w:rFonts w:hint="cs"/>
                <w:sz w:val="24"/>
                <w:szCs w:val="24"/>
                <w:rtl/>
              </w:rPr>
            </w:pPr>
            <w:r w:rsidRPr="003E6346">
              <w:rPr>
                <w:rFonts w:hint="cs"/>
                <w:sz w:val="24"/>
                <w:szCs w:val="24"/>
                <w:rtl/>
              </w:rPr>
              <w:t>67.6</w:t>
            </w:r>
          </w:p>
        </w:tc>
        <w:tc>
          <w:tcPr>
            <w:tcW w:w="855" w:type="dxa"/>
            <w:tcBorders>
              <w:bottom w:val="single" w:sz="4" w:space="0" w:color="auto"/>
            </w:tcBorders>
          </w:tcPr>
          <w:p w:rsidR="00C67DF8" w:rsidRPr="003E6346" w:rsidRDefault="00C67DF8" w:rsidP="00C67DF8">
            <w:pPr>
              <w:pStyle w:val="DualTxt"/>
              <w:rPr>
                <w:rFonts w:hint="cs"/>
                <w:sz w:val="24"/>
                <w:szCs w:val="24"/>
                <w:rtl/>
              </w:rPr>
            </w:pPr>
            <w:r w:rsidRPr="003E6346">
              <w:rPr>
                <w:rFonts w:hint="cs"/>
                <w:sz w:val="24"/>
                <w:szCs w:val="24"/>
                <w:rtl/>
              </w:rPr>
              <w:t>73.1</w:t>
            </w:r>
          </w:p>
        </w:tc>
        <w:tc>
          <w:tcPr>
            <w:tcW w:w="896" w:type="dxa"/>
            <w:gridSpan w:val="2"/>
            <w:tcBorders>
              <w:bottom w:val="single" w:sz="4" w:space="0" w:color="auto"/>
            </w:tcBorders>
          </w:tcPr>
          <w:p w:rsidR="00C67DF8" w:rsidRPr="003E6346" w:rsidRDefault="00C67DF8" w:rsidP="00C67DF8">
            <w:pPr>
              <w:pStyle w:val="DualTxt"/>
              <w:rPr>
                <w:rFonts w:hint="cs"/>
                <w:sz w:val="24"/>
                <w:szCs w:val="24"/>
                <w:rtl/>
              </w:rPr>
            </w:pPr>
            <w:r w:rsidRPr="003E6346">
              <w:rPr>
                <w:rFonts w:hint="cs"/>
                <w:sz w:val="24"/>
                <w:szCs w:val="24"/>
                <w:rtl/>
              </w:rPr>
              <w:t>63.8</w:t>
            </w:r>
          </w:p>
        </w:tc>
        <w:tc>
          <w:tcPr>
            <w:tcW w:w="927" w:type="dxa"/>
            <w:gridSpan w:val="2"/>
            <w:tcBorders>
              <w:bottom w:val="single" w:sz="4" w:space="0" w:color="auto"/>
            </w:tcBorders>
          </w:tcPr>
          <w:p w:rsidR="00C67DF8" w:rsidRPr="003E6346" w:rsidRDefault="00C67DF8" w:rsidP="00C67DF8">
            <w:pPr>
              <w:pStyle w:val="DualTxt"/>
              <w:rPr>
                <w:rFonts w:hint="cs"/>
                <w:sz w:val="24"/>
                <w:szCs w:val="24"/>
                <w:rtl/>
              </w:rPr>
            </w:pPr>
            <w:r w:rsidRPr="003E6346">
              <w:rPr>
                <w:rFonts w:hint="cs"/>
                <w:sz w:val="24"/>
                <w:szCs w:val="24"/>
                <w:rtl/>
              </w:rPr>
              <w:t>64.1</w:t>
            </w:r>
          </w:p>
        </w:tc>
        <w:tc>
          <w:tcPr>
            <w:tcW w:w="1030" w:type="dxa"/>
            <w:gridSpan w:val="2"/>
            <w:tcBorders>
              <w:bottom w:val="single" w:sz="4" w:space="0" w:color="auto"/>
            </w:tcBorders>
          </w:tcPr>
          <w:p w:rsidR="00C67DF8" w:rsidRPr="003E6346" w:rsidRDefault="00C67DF8" w:rsidP="00C67DF8">
            <w:pPr>
              <w:pStyle w:val="DualTxt"/>
              <w:rPr>
                <w:rFonts w:hint="cs"/>
                <w:sz w:val="24"/>
                <w:szCs w:val="24"/>
                <w:rtl/>
              </w:rPr>
            </w:pPr>
            <w:r w:rsidRPr="003E6346">
              <w:rPr>
                <w:rFonts w:hint="cs"/>
                <w:sz w:val="24"/>
                <w:szCs w:val="24"/>
                <w:rtl/>
              </w:rPr>
              <w:t>60.7</w:t>
            </w:r>
          </w:p>
        </w:tc>
      </w:tr>
      <w:tr w:rsidR="00C67DF8" w:rsidRPr="003E6346">
        <w:tc>
          <w:tcPr>
            <w:tcW w:w="9270" w:type="dxa"/>
            <w:gridSpan w:val="17"/>
            <w:tcBorders>
              <w:top w:val="single" w:sz="4" w:space="0" w:color="auto"/>
              <w:bottom w:val="single" w:sz="4"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2001-2002</w:t>
            </w:r>
          </w:p>
        </w:tc>
      </w:tr>
      <w:tr w:rsidR="00C67DF8" w:rsidRPr="003E6346">
        <w:tc>
          <w:tcPr>
            <w:tcW w:w="927" w:type="dxa"/>
            <w:vMerge w:val="restart"/>
            <w:tcBorders>
              <w:top w:val="single" w:sz="4" w:space="0" w:color="auto"/>
            </w:tcBorders>
            <w:vAlign w:val="bottom"/>
          </w:tcPr>
          <w:p w:rsidR="00C67DF8" w:rsidRPr="003E6346" w:rsidRDefault="00C67DF8" w:rsidP="00C67DF8">
            <w:pPr>
              <w:pStyle w:val="DualTxt"/>
              <w:jc w:val="left"/>
              <w:rPr>
                <w:rFonts w:hint="cs"/>
                <w:sz w:val="24"/>
                <w:szCs w:val="24"/>
                <w:rtl/>
              </w:rPr>
            </w:pPr>
            <w:r w:rsidRPr="003E6346">
              <w:rPr>
                <w:rFonts w:hint="cs"/>
                <w:sz w:val="24"/>
                <w:szCs w:val="24"/>
                <w:rtl/>
              </w:rPr>
              <w:t>القطاع</w:t>
            </w:r>
          </w:p>
        </w:tc>
        <w:tc>
          <w:tcPr>
            <w:tcW w:w="2781" w:type="dxa"/>
            <w:gridSpan w:val="6"/>
            <w:tcBorders>
              <w:top w:val="single" w:sz="4" w:space="0" w:color="auto"/>
              <w:bottom w:val="single" w:sz="4"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المجموع</w:t>
            </w:r>
          </w:p>
        </w:tc>
        <w:tc>
          <w:tcPr>
            <w:tcW w:w="2781" w:type="dxa"/>
            <w:gridSpan w:val="5"/>
            <w:tcBorders>
              <w:top w:val="single" w:sz="4" w:space="0" w:color="auto"/>
              <w:bottom w:val="single" w:sz="4"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المناطق الريفية</w:t>
            </w:r>
          </w:p>
        </w:tc>
        <w:tc>
          <w:tcPr>
            <w:tcW w:w="2781" w:type="dxa"/>
            <w:gridSpan w:val="5"/>
            <w:tcBorders>
              <w:top w:val="single" w:sz="4" w:space="0" w:color="auto"/>
              <w:bottom w:val="single" w:sz="4"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المناطق الحضرية</w:t>
            </w:r>
          </w:p>
        </w:tc>
      </w:tr>
      <w:tr w:rsidR="00C67DF8" w:rsidRPr="003E6346">
        <w:tc>
          <w:tcPr>
            <w:tcW w:w="927" w:type="dxa"/>
            <w:vMerge/>
            <w:tcBorders>
              <w:bottom w:val="single" w:sz="12" w:space="0" w:color="auto"/>
            </w:tcBorders>
          </w:tcPr>
          <w:p w:rsidR="00C67DF8" w:rsidRPr="003E6346" w:rsidRDefault="00C67DF8" w:rsidP="00C67DF8">
            <w:pPr>
              <w:pStyle w:val="DualTxt"/>
              <w:jc w:val="center"/>
              <w:rPr>
                <w:rFonts w:hint="cs"/>
                <w:sz w:val="24"/>
                <w:szCs w:val="24"/>
                <w:rtl/>
              </w:rPr>
            </w:pPr>
          </w:p>
        </w:tc>
        <w:tc>
          <w:tcPr>
            <w:tcW w:w="927" w:type="dxa"/>
            <w:gridSpan w:val="2"/>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الجنسان</w:t>
            </w:r>
          </w:p>
        </w:tc>
        <w:tc>
          <w:tcPr>
            <w:tcW w:w="927" w:type="dxa"/>
            <w:gridSpan w:val="2"/>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رجال</w:t>
            </w:r>
          </w:p>
        </w:tc>
        <w:tc>
          <w:tcPr>
            <w:tcW w:w="927" w:type="dxa"/>
            <w:gridSpan w:val="2"/>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نساء</w:t>
            </w:r>
          </w:p>
        </w:tc>
        <w:tc>
          <w:tcPr>
            <w:tcW w:w="964" w:type="dxa"/>
            <w:gridSpan w:val="2"/>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الجنسان</w:t>
            </w:r>
          </w:p>
        </w:tc>
        <w:tc>
          <w:tcPr>
            <w:tcW w:w="890" w:type="dxa"/>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رجال</w:t>
            </w:r>
          </w:p>
        </w:tc>
        <w:tc>
          <w:tcPr>
            <w:tcW w:w="927" w:type="dxa"/>
            <w:gridSpan w:val="2"/>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نساء</w:t>
            </w:r>
          </w:p>
        </w:tc>
        <w:tc>
          <w:tcPr>
            <w:tcW w:w="927" w:type="dxa"/>
            <w:gridSpan w:val="2"/>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الجنسان</w:t>
            </w:r>
          </w:p>
        </w:tc>
        <w:tc>
          <w:tcPr>
            <w:tcW w:w="927" w:type="dxa"/>
            <w:gridSpan w:val="2"/>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رجال</w:t>
            </w:r>
          </w:p>
        </w:tc>
        <w:tc>
          <w:tcPr>
            <w:tcW w:w="927" w:type="dxa"/>
            <w:tcBorders>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نساء</w:t>
            </w:r>
          </w:p>
        </w:tc>
      </w:tr>
      <w:tr w:rsidR="00C67DF8" w:rsidRPr="003E6346">
        <w:tc>
          <w:tcPr>
            <w:tcW w:w="927" w:type="dxa"/>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المجموع</w:t>
            </w:r>
          </w:p>
        </w:tc>
        <w:tc>
          <w:tcPr>
            <w:tcW w:w="927" w:type="dxa"/>
            <w:gridSpan w:val="2"/>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27" w:type="dxa"/>
            <w:gridSpan w:val="2"/>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27" w:type="dxa"/>
            <w:gridSpan w:val="2"/>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64" w:type="dxa"/>
            <w:gridSpan w:val="2"/>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890" w:type="dxa"/>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27" w:type="dxa"/>
            <w:gridSpan w:val="2"/>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27" w:type="dxa"/>
            <w:gridSpan w:val="2"/>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27" w:type="dxa"/>
            <w:gridSpan w:val="2"/>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27" w:type="dxa"/>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r>
      <w:tr w:rsidR="00C67DF8" w:rsidRPr="003E6346">
        <w:tc>
          <w:tcPr>
            <w:tcW w:w="927" w:type="dxa"/>
          </w:tcPr>
          <w:p w:rsidR="00C67DF8" w:rsidRPr="003E6346" w:rsidRDefault="00C67DF8" w:rsidP="00C67DF8">
            <w:pPr>
              <w:pStyle w:val="DualTxt"/>
              <w:rPr>
                <w:rFonts w:hint="cs"/>
                <w:sz w:val="24"/>
                <w:szCs w:val="24"/>
                <w:rtl/>
              </w:rPr>
            </w:pPr>
            <w:r w:rsidRPr="003E6346">
              <w:rPr>
                <w:rFonts w:hint="cs"/>
                <w:sz w:val="24"/>
                <w:szCs w:val="24"/>
                <w:rtl/>
              </w:rPr>
              <w:t>الرسمي</w:t>
            </w:r>
          </w:p>
        </w:tc>
        <w:tc>
          <w:tcPr>
            <w:tcW w:w="927" w:type="dxa"/>
            <w:gridSpan w:val="2"/>
          </w:tcPr>
          <w:p w:rsidR="00C67DF8" w:rsidRPr="003E6346" w:rsidRDefault="00C67DF8" w:rsidP="00C67DF8">
            <w:pPr>
              <w:pStyle w:val="DualTxt"/>
              <w:rPr>
                <w:rFonts w:hint="cs"/>
                <w:sz w:val="24"/>
                <w:szCs w:val="24"/>
                <w:rtl/>
              </w:rPr>
            </w:pPr>
            <w:r w:rsidRPr="003E6346">
              <w:rPr>
                <w:rFonts w:hint="cs"/>
                <w:sz w:val="24"/>
                <w:szCs w:val="24"/>
                <w:rtl/>
              </w:rPr>
              <w:t>35.4</w:t>
            </w:r>
          </w:p>
        </w:tc>
        <w:tc>
          <w:tcPr>
            <w:tcW w:w="927" w:type="dxa"/>
            <w:gridSpan w:val="2"/>
          </w:tcPr>
          <w:p w:rsidR="00C67DF8" w:rsidRPr="003E6346" w:rsidRDefault="00C67DF8" w:rsidP="00C67DF8">
            <w:pPr>
              <w:pStyle w:val="DualTxt"/>
              <w:rPr>
                <w:rFonts w:hint="cs"/>
                <w:sz w:val="24"/>
                <w:szCs w:val="24"/>
                <w:rtl/>
              </w:rPr>
            </w:pPr>
            <w:r w:rsidRPr="003E6346">
              <w:rPr>
                <w:rFonts w:hint="cs"/>
                <w:sz w:val="24"/>
                <w:szCs w:val="24"/>
                <w:rtl/>
              </w:rPr>
              <w:t>35.3</w:t>
            </w:r>
          </w:p>
        </w:tc>
        <w:tc>
          <w:tcPr>
            <w:tcW w:w="927" w:type="dxa"/>
            <w:gridSpan w:val="2"/>
          </w:tcPr>
          <w:p w:rsidR="00C67DF8" w:rsidRPr="003E6346" w:rsidRDefault="00C67DF8" w:rsidP="00C67DF8">
            <w:pPr>
              <w:pStyle w:val="DualTxt"/>
              <w:rPr>
                <w:rFonts w:hint="cs"/>
                <w:sz w:val="24"/>
                <w:szCs w:val="24"/>
                <w:rtl/>
              </w:rPr>
            </w:pPr>
            <w:r w:rsidRPr="003E6346">
              <w:rPr>
                <w:rFonts w:hint="cs"/>
                <w:sz w:val="24"/>
                <w:szCs w:val="24"/>
                <w:rtl/>
              </w:rPr>
              <w:t>37.0</w:t>
            </w:r>
          </w:p>
        </w:tc>
        <w:tc>
          <w:tcPr>
            <w:tcW w:w="964" w:type="dxa"/>
            <w:gridSpan w:val="2"/>
          </w:tcPr>
          <w:p w:rsidR="00C67DF8" w:rsidRPr="003E6346" w:rsidRDefault="00C67DF8" w:rsidP="00C67DF8">
            <w:pPr>
              <w:pStyle w:val="DualTxt"/>
              <w:rPr>
                <w:rFonts w:hint="cs"/>
                <w:sz w:val="24"/>
                <w:szCs w:val="24"/>
                <w:rtl/>
              </w:rPr>
            </w:pPr>
            <w:r w:rsidRPr="003E6346">
              <w:rPr>
                <w:rFonts w:hint="cs"/>
                <w:sz w:val="24"/>
                <w:szCs w:val="24"/>
                <w:rtl/>
              </w:rPr>
              <w:t>31.7</w:t>
            </w:r>
          </w:p>
        </w:tc>
        <w:tc>
          <w:tcPr>
            <w:tcW w:w="890" w:type="dxa"/>
          </w:tcPr>
          <w:p w:rsidR="00C67DF8" w:rsidRPr="003E6346" w:rsidRDefault="00C67DF8" w:rsidP="00C67DF8">
            <w:pPr>
              <w:pStyle w:val="DualTxt"/>
              <w:rPr>
                <w:rFonts w:hint="cs"/>
                <w:sz w:val="24"/>
                <w:szCs w:val="24"/>
                <w:rtl/>
              </w:rPr>
            </w:pPr>
            <w:r w:rsidRPr="003E6346">
              <w:rPr>
                <w:rFonts w:hint="cs"/>
                <w:sz w:val="24"/>
                <w:szCs w:val="24"/>
                <w:rtl/>
              </w:rPr>
              <w:t>31.5</w:t>
            </w:r>
          </w:p>
        </w:tc>
        <w:tc>
          <w:tcPr>
            <w:tcW w:w="927" w:type="dxa"/>
            <w:gridSpan w:val="2"/>
          </w:tcPr>
          <w:p w:rsidR="00C67DF8" w:rsidRPr="003E6346" w:rsidRDefault="00C67DF8" w:rsidP="00C67DF8">
            <w:pPr>
              <w:pStyle w:val="DualTxt"/>
              <w:rPr>
                <w:rFonts w:hint="cs"/>
                <w:sz w:val="24"/>
                <w:szCs w:val="24"/>
                <w:rtl/>
              </w:rPr>
            </w:pPr>
            <w:r w:rsidRPr="003E6346">
              <w:rPr>
                <w:rFonts w:hint="cs"/>
                <w:sz w:val="24"/>
                <w:szCs w:val="24"/>
                <w:rtl/>
              </w:rPr>
              <w:t>34.3</w:t>
            </w:r>
          </w:p>
        </w:tc>
        <w:tc>
          <w:tcPr>
            <w:tcW w:w="927" w:type="dxa"/>
            <w:gridSpan w:val="2"/>
          </w:tcPr>
          <w:p w:rsidR="00C67DF8" w:rsidRPr="003E6346" w:rsidRDefault="00C67DF8" w:rsidP="00C67DF8">
            <w:pPr>
              <w:pStyle w:val="DualTxt"/>
              <w:rPr>
                <w:rFonts w:hint="cs"/>
                <w:sz w:val="24"/>
                <w:szCs w:val="24"/>
                <w:rtl/>
              </w:rPr>
            </w:pPr>
            <w:r w:rsidRPr="003E6346">
              <w:rPr>
                <w:rFonts w:hint="cs"/>
                <w:sz w:val="24"/>
                <w:szCs w:val="24"/>
                <w:rtl/>
              </w:rPr>
              <w:t>38.9</w:t>
            </w:r>
          </w:p>
        </w:tc>
        <w:tc>
          <w:tcPr>
            <w:tcW w:w="927" w:type="dxa"/>
            <w:gridSpan w:val="2"/>
          </w:tcPr>
          <w:p w:rsidR="00C67DF8" w:rsidRPr="003E6346" w:rsidRDefault="00C67DF8" w:rsidP="00C67DF8">
            <w:pPr>
              <w:pStyle w:val="DualTxt"/>
              <w:rPr>
                <w:rFonts w:hint="cs"/>
                <w:sz w:val="24"/>
                <w:szCs w:val="24"/>
                <w:rtl/>
              </w:rPr>
            </w:pPr>
            <w:r w:rsidRPr="003E6346">
              <w:rPr>
                <w:rFonts w:hint="cs"/>
                <w:sz w:val="24"/>
                <w:szCs w:val="24"/>
                <w:rtl/>
              </w:rPr>
              <w:t>38.9</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39.3</w:t>
            </w:r>
          </w:p>
        </w:tc>
      </w:tr>
      <w:tr w:rsidR="00C67DF8" w:rsidRPr="003E6346">
        <w:tc>
          <w:tcPr>
            <w:tcW w:w="927" w:type="dxa"/>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غير الرسمي</w:t>
            </w:r>
          </w:p>
        </w:tc>
        <w:tc>
          <w:tcPr>
            <w:tcW w:w="927" w:type="dxa"/>
            <w:gridSpan w:val="2"/>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64.6</w:t>
            </w:r>
          </w:p>
        </w:tc>
        <w:tc>
          <w:tcPr>
            <w:tcW w:w="927" w:type="dxa"/>
            <w:gridSpan w:val="2"/>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64.7</w:t>
            </w:r>
          </w:p>
        </w:tc>
        <w:tc>
          <w:tcPr>
            <w:tcW w:w="927" w:type="dxa"/>
            <w:gridSpan w:val="2"/>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63.0</w:t>
            </w:r>
          </w:p>
        </w:tc>
        <w:tc>
          <w:tcPr>
            <w:tcW w:w="964" w:type="dxa"/>
            <w:gridSpan w:val="2"/>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68.3</w:t>
            </w:r>
          </w:p>
        </w:tc>
        <w:tc>
          <w:tcPr>
            <w:tcW w:w="890" w:type="dxa"/>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68.5</w:t>
            </w:r>
          </w:p>
        </w:tc>
        <w:tc>
          <w:tcPr>
            <w:tcW w:w="927" w:type="dxa"/>
            <w:gridSpan w:val="2"/>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65.7</w:t>
            </w:r>
          </w:p>
        </w:tc>
        <w:tc>
          <w:tcPr>
            <w:tcW w:w="927" w:type="dxa"/>
            <w:gridSpan w:val="2"/>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61.1</w:t>
            </w:r>
          </w:p>
        </w:tc>
        <w:tc>
          <w:tcPr>
            <w:tcW w:w="927" w:type="dxa"/>
            <w:gridSpan w:val="2"/>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61.1</w:t>
            </w:r>
          </w:p>
        </w:tc>
        <w:tc>
          <w:tcPr>
            <w:tcW w:w="927" w:type="dxa"/>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60.7</w:t>
            </w:r>
          </w:p>
        </w:tc>
      </w:tr>
    </w:tbl>
    <w:p w:rsidR="00C67DF8" w:rsidRPr="00792B6F" w:rsidRDefault="00C67DF8" w:rsidP="00C67DF8">
      <w:pPr>
        <w:pStyle w:val="SingleTxt"/>
        <w:spacing w:after="0" w:line="120" w:lineRule="exact"/>
        <w:rPr>
          <w:rFonts w:hint="cs"/>
          <w:sz w:val="10"/>
          <w:rtl/>
        </w:rPr>
      </w:pPr>
    </w:p>
    <w:p w:rsidR="00C67DF8" w:rsidRPr="003E6346" w:rsidRDefault="00C67DF8" w:rsidP="00C67DF8">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Fonts w:hint="cs"/>
          <w:rtl/>
        </w:rPr>
        <w:tab/>
      </w:r>
      <w:r w:rsidRPr="00792B6F">
        <w:rPr>
          <w:rFonts w:hint="cs"/>
          <w:i/>
          <w:iCs/>
          <w:rtl/>
        </w:rPr>
        <w:t>المصدر</w:t>
      </w:r>
      <w:r w:rsidRPr="003E6346">
        <w:rPr>
          <w:rFonts w:hint="cs"/>
          <w:rtl/>
        </w:rPr>
        <w:t>: مكتب الإحصاءات الاتحادي، الدراستان الاستقصائيتان للقوة العاملة للفترتين 1999-2000 و2001-2002</w:t>
      </w:r>
    </w:p>
    <w:p w:rsidR="00C67DF8" w:rsidRPr="00792B6F" w:rsidRDefault="00C67DF8" w:rsidP="00C67DF8">
      <w:pPr>
        <w:pStyle w:val="SingleTxt"/>
        <w:spacing w:after="0" w:line="120" w:lineRule="exact"/>
        <w:rPr>
          <w:sz w:val="10"/>
          <w:rtl/>
        </w:rPr>
      </w:pPr>
    </w:p>
    <w:p w:rsidR="00C67DF8" w:rsidRDefault="00C67DF8" w:rsidP="00C67DF8">
      <w:pPr>
        <w:pStyle w:val="SingleTxt"/>
        <w:spacing w:after="0"/>
        <w:rPr>
          <w:rFonts w:hint="cs"/>
          <w:rtl/>
        </w:rPr>
      </w:pPr>
      <w:r>
        <w:rPr>
          <w:rFonts w:hint="cs"/>
          <w:rtl/>
        </w:rPr>
        <w:t>الجدول 11-4</w:t>
      </w:r>
    </w:p>
    <w:p w:rsidR="00C67DF8" w:rsidRPr="00792B6F" w:rsidRDefault="00C67DF8" w:rsidP="004E283A">
      <w:pPr>
        <w:pStyle w:val="SingleTxt"/>
        <w:rPr>
          <w:rFonts w:hint="cs"/>
          <w:b/>
          <w:bCs/>
          <w:rtl/>
        </w:rPr>
      </w:pPr>
      <w:r w:rsidRPr="00792B6F">
        <w:rPr>
          <w:rFonts w:hint="cs"/>
          <w:b/>
          <w:bCs/>
          <w:rtl/>
        </w:rPr>
        <w:t xml:space="preserve">توزيع </w:t>
      </w:r>
      <w:r w:rsidR="004E283A">
        <w:rPr>
          <w:rFonts w:hint="cs"/>
          <w:b/>
          <w:bCs/>
          <w:rtl/>
        </w:rPr>
        <w:t>الموظفين: الوضع الوظيفي حسب نوع الجنس</w:t>
      </w:r>
    </w:p>
    <w:p w:rsidR="00C67DF8" w:rsidRPr="00792B6F" w:rsidRDefault="00C67DF8" w:rsidP="00C67DF8">
      <w:pPr>
        <w:pStyle w:val="SingleTxt"/>
        <w:spacing w:after="0" w:line="120" w:lineRule="exact"/>
        <w:rPr>
          <w:sz w:val="10"/>
          <w:rtl/>
        </w:rPr>
      </w:pPr>
    </w:p>
    <w:tbl>
      <w:tblPr>
        <w:bidiVisual/>
        <w:tblW w:w="0" w:type="auto"/>
        <w:tblInd w:w="482" w:type="dxa"/>
        <w:tblLayout w:type="fixed"/>
        <w:tblLook w:val="01E0" w:firstRow="1" w:lastRow="1" w:firstColumn="1" w:lastColumn="1" w:noHBand="0" w:noVBand="0"/>
      </w:tblPr>
      <w:tblGrid>
        <w:gridCol w:w="927"/>
        <w:gridCol w:w="927"/>
        <w:gridCol w:w="927"/>
        <w:gridCol w:w="927"/>
        <w:gridCol w:w="927"/>
        <w:gridCol w:w="933"/>
        <w:gridCol w:w="921"/>
        <w:gridCol w:w="927"/>
        <w:gridCol w:w="927"/>
        <w:gridCol w:w="927"/>
      </w:tblGrid>
      <w:tr w:rsidR="00C67DF8" w:rsidRPr="003E6346">
        <w:trPr>
          <w:tblHeader/>
        </w:trPr>
        <w:tc>
          <w:tcPr>
            <w:tcW w:w="927" w:type="dxa"/>
            <w:vMerge w:val="restart"/>
            <w:tcBorders>
              <w:top w:val="single" w:sz="4" w:space="0" w:color="auto"/>
            </w:tcBorders>
            <w:vAlign w:val="bottom"/>
          </w:tcPr>
          <w:p w:rsidR="00C67DF8" w:rsidRPr="003E6346" w:rsidRDefault="00C67DF8" w:rsidP="00C67DF8">
            <w:pPr>
              <w:pStyle w:val="DualTxt"/>
              <w:jc w:val="center"/>
              <w:rPr>
                <w:rFonts w:hint="cs"/>
                <w:sz w:val="24"/>
                <w:szCs w:val="24"/>
                <w:rtl/>
              </w:rPr>
            </w:pPr>
            <w:r w:rsidRPr="003E6346">
              <w:rPr>
                <w:rFonts w:hint="cs"/>
                <w:sz w:val="24"/>
                <w:szCs w:val="24"/>
                <w:rtl/>
              </w:rPr>
              <w:t>الوضع الوظيفي</w:t>
            </w:r>
          </w:p>
        </w:tc>
        <w:tc>
          <w:tcPr>
            <w:tcW w:w="2781" w:type="dxa"/>
            <w:gridSpan w:val="3"/>
            <w:tcBorders>
              <w:top w:val="single" w:sz="4" w:space="0" w:color="auto"/>
              <w:bottom w:val="single" w:sz="4"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1997-1998</w:t>
            </w:r>
          </w:p>
        </w:tc>
        <w:tc>
          <w:tcPr>
            <w:tcW w:w="2781" w:type="dxa"/>
            <w:gridSpan w:val="3"/>
            <w:tcBorders>
              <w:top w:val="single" w:sz="4" w:space="0" w:color="auto"/>
              <w:bottom w:val="single" w:sz="4"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1999-2000</w:t>
            </w:r>
          </w:p>
        </w:tc>
        <w:tc>
          <w:tcPr>
            <w:tcW w:w="2781" w:type="dxa"/>
            <w:gridSpan w:val="3"/>
            <w:tcBorders>
              <w:top w:val="single" w:sz="4" w:space="0" w:color="auto"/>
              <w:bottom w:val="single" w:sz="4"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2001-2002</w:t>
            </w:r>
          </w:p>
        </w:tc>
      </w:tr>
      <w:tr w:rsidR="00C67DF8" w:rsidRPr="003E6346">
        <w:trPr>
          <w:tblHeader/>
        </w:trPr>
        <w:tc>
          <w:tcPr>
            <w:tcW w:w="927" w:type="dxa"/>
            <w:vMerge/>
            <w:tcBorders>
              <w:bottom w:val="single" w:sz="12" w:space="0" w:color="auto"/>
            </w:tcBorders>
          </w:tcPr>
          <w:p w:rsidR="00C67DF8" w:rsidRPr="003E6346" w:rsidRDefault="00C67DF8" w:rsidP="00C67DF8">
            <w:pPr>
              <w:pStyle w:val="DualTxt"/>
              <w:jc w:val="center"/>
              <w:rPr>
                <w:rFonts w:hint="cs"/>
                <w:sz w:val="24"/>
                <w:szCs w:val="24"/>
                <w:rtl/>
              </w:rPr>
            </w:pPr>
          </w:p>
        </w:tc>
        <w:tc>
          <w:tcPr>
            <w:tcW w:w="927" w:type="dxa"/>
            <w:tcBorders>
              <w:top w:val="single" w:sz="4" w:space="0" w:color="auto"/>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الجنسان</w:t>
            </w:r>
          </w:p>
        </w:tc>
        <w:tc>
          <w:tcPr>
            <w:tcW w:w="927" w:type="dxa"/>
            <w:tcBorders>
              <w:top w:val="single" w:sz="4" w:space="0" w:color="auto"/>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رجال</w:t>
            </w:r>
          </w:p>
        </w:tc>
        <w:tc>
          <w:tcPr>
            <w:tcW w:w="927" w:type="dxa"/>
            <w:tcBorders>
              <w:top w:val="single" w:sz="4" w:space="0" w:color="auto"/>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نساء</w:t>
            </w:r>
          </w:p>
        </w:tc>
        <w:tc>
          <w:tcPr>
            <w:tcW w:w="927" w:type="dxa"/>
            <w:tcBorders>
              <w:top w:val="single" w:sz="4" w:space="0" w:color="auto"/>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الجنسان</w:t>
            </w:r>
          </w:p>
        </w:tc>
        <w:tc>
          <w:tcPr>
            <w:tcW w:w="933" w:type="dxa"/>
            <w:tcBorders>
              <w:top w:val="single" w:sz="4" w:space="0" w:color="auto"/>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رجال</w:t>
            </w:r>
          </w:p>
        </w:tc>
        <w:tc>
          <w:tcPr>
            <w:tcW w:w="921" w:type="dxa"/>
            <w:tcBorders>
              <w:top w:val="single" w:sz="4" w:space="0" w:color="auto"/>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نساء</w:t>
            </w:r>
          </w:p>
        </w:tc>
        <w:tc>
          <w:tcPr>
            <w:tcW w:w="927" w:type="dxa"/>
            <w:tcBorders>
              <w:top w:val="single" w:sz="4" w:space="0" w:color="auto"/>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الجنسان</w:t>
            </w:r>
          </w:p>
        </w:tc>
        <w:tc>
          <w:tcPr>
            <w:tcW w:w="927" w:type="dxa"/>
            <w:tcBorders>
              <w:top w:val="single" w:sz="4" w:space="0" w:color="auto"/>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رجال</w:t>
            </w:r>
          </w:p>
        </w:tc>
        <w:tc>
          <w:tcPr>
            <w:tcW w:w="927" w:type="dxa"/>
            <w:tcBorders>
              <w:top w:val="single" w:sz="4" w:space="0" w:color="auto"/>
              <w:bottom w:val="single" w:sz="12" w:space="0" w:color="auto"/>
            </w:tcBorders>
          </w:tcPr>
          <w:p w:rsidR="00C67DF8" w:rsidRPr="003E6346" w:rsidRDefault="00C67DF8" w:rsidP="00C67DF8">
            <w:pPr>
              <w:pStyle w:val="DualTxt"/>
              <w:jc w:val="center"/>
              <w:rPr>
                <w:rFonts w:hint="cs"/>
                <w:sz w:val="24"/>
                <w:szCs w:val="24"/>
                <w:rtl/>
              </w:rPr>
            </w:pPr>
            <w:r w:rsidRPr="003E6346">
              <w:rPr>
                <w:rFonts w:hint="cs"/>
                <w:sz w:val="24"/>
                <w:szCs w:val="24"/>
                <w:rtl/>
              </w:rPr>
              <w:t>نساء</w:t>
            </w:r>
          </w:p>
        </w:tc>
      </w:tr>
      <w:tr w:rsidR="00C67DF8" w:rsidRPr="003E6346">
        <w:tc>
          <w:tcPr>
            <w:tcW w:w="927" w:type="dxa"/>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المجموع</w:t>
            </w:r>
          </w:p>
        </w:tc>
        <w:tc>
          <w:tcPr>
            <w:tcW w:w="927" w:type="dxa"/>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27" w:type="dxa"/>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27" w:type="dxa"/>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27" w:type="dxa"/>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33" w:type="dxa"/>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21" w:type="dxa"/>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27" w:type="dxa"/>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27" w:type="dxa"/>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c>
          <w:tcPr>
            <w:tcW w:w="927" w:type="dxa"/>
            <w:tcBorders>
              <w:top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100.00</w:t>
            </w:r>
          </w:p>
        </w:tc>
      </w:tr>
      <w:tr w:rsidR="00C67DF8" w:rsidRPr="003E6346">
        <w:tc>
          <w:tcPr>
            <w:tcW w:w="927" w:type="dxa"/>
          </w:tcPr>
          <w:p w:rsidR="00C67DF8" w:rsidRPr="003E6346" w:rsidRDefault="00C67DF8" w:rsidP="00C67DF8">
            <w:pPr>
              <w:pStyle w:val="DualTxt"/>
              <w:rPr>
                <w:rFonts w:hint="cs"/>
                <w:sz w:val="24"/>
                <w:szCs w:val="24"/>
                <w:rtl/>
              </w:rPr>
            </w:pPr>
            <w:r w:rsidRPr="003E6346">
              <w:rPr>
                <w:rFonts w:hint="cs"/>
                <w:sz w:val="24"/>
                <w:szCs w:val="24"/>
                <w:rtl/>
              </w:rPr>
              <w:t>أرباب العمل</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0.9</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1.0</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0.1</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0.8</w:t>
            </w:r>
          </w:p>
        </w:tc>
        <w:tc>
          <w:tcPr>
            <w:tcW w:w="933" w:type="dxa"/>
          </w:tcPr>
          <w:p w:rsidR="00C67DF8" w:rsidRPr="003E6346" w:rsidRDefault="00C67DF8" w:rsidP="00C67DF8">
            <w:pPr>
              <w:pStyle w:val="DualTxt"/>
              <w:rPr>
                <w:rFonts w:hint="cs"/>
                <w:sz w:val="24"/>
                <w:szCs w:val="24"/>
                <w:rtl/>
              </w:rPr>
            </w:pPr>
            <w:r w:rsidRPr="003E6346">
              <w:rPr>
                <w:rFonts w:hint="cs"/>
                <w:sz w:val="24"/>
                <w:szCs w:val="24"/>
                <w:rtl/>
              </w:rPr>
              <w:t>0.9</w:t>
            </w:r>
          </w:p>
        </w:tc>
        <w:tc>
          <w:tcPr>
            <w:tcW w:w="921" w:type="dxa"/>
          </w:tcPr>
          <w:p w:rsidR="00C67DF8" w:rsidRPr="003E6346" w:rsidRDefault="00C67DF8" w:rsidP="00C67DF8">
            <w:pPr>
              <w:pStyle w:val="DualTxt"/>
              <w:rPr>
                <w:rFonts w:hint="cs"/>
                <w:sz w:val="24"/>
                <w:szCs w:val="24"/>
                <w:rtl/>
              </w:rPr>
            </w:pPr>
            <w:r w:rsidRPr="003E6346">
              <w:rPr>
                <w:rFonts w:hint="cs"/>
                <w:sz w:val="24"/>
                <w:szCs w:val="24"/>
                <w:rtl/>
              </w:rPr>
              <w:t>0.1</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0.82</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0.91</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0.30</w:t>
            </w:r>
          </w:p>
        </w:tc>
      </w:tr>
      <w:tr w:rsidR="00C67DF8" w:rsidRPr="003E6346">
        <w:tc>
          <w:tcPr>
            <w:tcW w:w="927" w:type="dxa"/>
          </w:tcPr>
          <w:p w:rsidR="00C67DF8" w:rsidRPr="003E6346" w:rsidRDefault="00C67DF8" w:rsidP="00C67DF8">
            <w:pPr>
              <w:pStyle w:val="DualTxt"/>
              <w:rPr>
                <w:rFonts w:hint="cs"/>
                <w:sz w:val="24"/>
                <w:szCs w:val="24"/>
                <w:rtl/>
              </w:rPr>
            </w:pPr>
            <w:r w:rsidRPr="003E6346">
              <w:rPr>
                <w:rFonts w:hint="cs"/>
                <w:sz w:val="24"/>
                <w:szCs w:val="24"/>
                <w:rtl/>
              </w:rPr>
              <w:t>العاملون لحساب الذات</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41.5</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46.4</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11.7</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42.2</w:t>
            </w:r>
          </w:p>
        </w:tc>
        <w:tc>
          <w:tcPr>
            <w:tcW w:w="933" w:type="dxa"/>
          </w:tcPr>
          <w:p w:rsidR="00C67DF8" w:rsidRPr="003E6346" w:rsidRDefault="00C67DF8" w:rsidP="00C67DF8">
            <w:pPr>
              <w:pStyle w:val="DualTxt"/>
              <w:rPr>
                <w:rFonts w:hint="cs"/>
                <w:sz w:val="24"/>
                <w:szCs w:val="24"/>
                <w:rtl/>
              </w:rPr>
            </w:pPr>
            <w:r w:rsidRPr="003E6346">
              <w:rPr>
                <w:rFonts w:hint="cs"/>
                <w:sz w:val="24"/>
                <w:szCs w:val="24"/>
                <w:rtl/>
              </w:rPr>
              <w:t>46.4</w:t>
            </w:r>
          </w:p>
        </w:tc>
        <w:tc>
          <w:tcPr>
            <w:tcW w:w="921" w:type="dxa"/>
          </w:tcPr>
          <w:p w:rsidR="00C67DF8" w:rsidRPr="003E6346" w:rsidRDefault="00C67DF8" w:rsidP="00C67DF8">
            <w:pPr>
              <w:pStyle w:val="DualTxt"/>
              <w:rPr>
                <w:rFonts w:hint="cs"/>
                <w:sz w:val="24"/>
                <w:szCs w:val="24"/>
                <w:rtl/>
              </w:rPr>
            </w:pPr>
            <w:r w:rsidRPr="003E6346">
              <w:rPr>
                <w:rFonts w:hint="cs"/>
                <w:sz w:val="24"/>
                <w:szCs w:val="24"/>
                <w:rtl/>
              </w:rPr>
              <w:t>16.7</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38.5</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42.4</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15.72</w:t>
            </w:r>
          </w:p>
        </w:tc>
      </w:tr>
      <w:tr w:rsidR="00C67DF8" w:rsidRPr="003E6346">
        <w:tc>
          <w:tcPr>
            <w:tcW w:w="927" w:type="dxa"/>
          </w:tcPr>
          <w:p w:rsidR="00C67DF8" w:rsidRPr="003E6346" w:rsidRDefault="00C67DF8" w:rsidP="00C67DF8">
            <w:pPr>
              <w:pStyle w:val="DualTxt"/>
              <w:rPr>
                <w:rFonts w:hint="cs"/>
                <w:sz w:val="24"/>
                <w:szCs w:val="24"/>
                <w:rtl/>
              </w:rPr>
            </w:pPr>
            <w:r w:rsidRPr="003E6346">
              <w:rPr>
                <w:rFonts w:hint="cs"/>
                <w:sz w:val="24"/>
                <w:szCs w:val="24"/>
                <w:rtl/>
              </w:rPr>
              <w:t>المساعدون العائليون بدون أجر</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22.4</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15.7</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63.3</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21.4</w:t>
            </w:r>
          </w:p>
        </w:tc>
        <w:tc>
          <w:tcPr>
            <w:tcW w:w="933" w:type="dxa"/>
          </w:tcPr>
          <w:p w:rsidR="00C67DF8" w:rsidRPr="003E6346" w:rsidRDefault="00C67DF8" w:rsidP="00C67DF8">
            <w:pPr>
              <w:pStyle w:val="DualTxt"/>
              <w:rPr>
                <w:rFonts w:hint="cs"/>
                <w:sz w:val="24"/>
                <w:szCs w:val="24"/>
                <w:rtl/>
              </w:rPr>
            </w:pPr>
            <w:r w:rsidRPr="003E6346">
              <w:rPr>
                <w:rFonts w:hint="cs"/>
                <w:sz w:val="24"/>
                <w:szCs w:val="24"/>
                <w:rtl/>
              </w:rPr>
              <w:t>16.7</w:t>
            </w:r>
          </w:p>
        </w:tc>
        <w:tc>
          <w:tcPr>
            <w:tcW w:w="921" w:type="dxa"/>
          </w:tcPr>
          <w:p w:rsidR="00C67DF8" w:rsidRPr="003E6346" w:rsidRDefault="00C67DF8" w:rsidP="00C67DF8">
            <w:pPr>
              <w:pStyle w:val="DualTxt"/>
              <w:rPr>
                <w:rFonts w:hint="cs"/>
                <w:sz w:val="24"/>
                <w:szCs w:val="24"/>
                <w:rtl/>
              </w:rPr>
            </w:pPr>
            <w:r w:rsidRPr="003E6346">
              <w:rPr>
                <w:rFonts w:hint="cs"/>
                <w:sz w:val="24"/>
                <w:szCs w:val="24"/>
                <w:rtl/>
              </w:rPr>
              <w:t>50.1</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20.82</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16.36</w:t>
            </w:r>
          </w:p>
        </w:tc>
        <w:tc>
          <w:tcPr>
            <w:tcW w:w="927" w:type="dxa"/>
          </w:tcPr>
          <w:p w:rsidR="00C67DF8" w:rsidRPr="003E6346" w:rsidRDefault="00C67DF8" w:rsidP="00C67DF8">
            <w:pPr>
              <w:pStyle w:val="DualTxt"/>
              <w:rPr>
                <w:rFonts w:hint="cs"/>
                <w:sz w:val="24"/>
                <w:szCs w:val="24"/>
                <w:rtl/>
              </w:rPr>
            </w:pPr>
            <w:r w:rsidRPr="003E6346">
              <w:rPr>
                <w:rFonts w:hint="cs"/>
                <w:sz w:val="24"/>
                <w:szCs w:val="24"/>
                <w:rtl/>
              </w:rPr>
              <w:t>46.86</w:t>
            </w:r>
          </w:p>
        </w:tc>
      </w:tr>
      <w:tr w:rsidR="00C67DF8" w:rsidRPr="003E6346">
        <w:tc>
          <w:tcPr>
            <w:tcW w:w="927" w:type="dxa"/>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الموظفون</w:t>
            </w:r>
          </w:p>
        </w:tc>
        <w:tc>
          <w:tcPr>
            <w:tcW w:w="927" w:type="dxa"/>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35.2</w:t>
            </w:r>
          </w:p>
        </w:tc>
        <w:tc>
          <w:tcPr>
            <w:tcW w:w="927" w:type="dxa"/>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36.9</w:t>
            </w:r>
          </w:p>
        </w:tc>
        <w:tc>
          <w:tcPr>
            <w:tcW w:w="927" w:type="dxa"/>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24.9</w:t>
            </w:r>
          </w:p>
        </w:tc>
        <w:tc>
          <w:tcPr>
            <w:tcW w:w="927" w:type="dxa"/>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35.6</w:t>
            </w:r>
          </w:p>
        </w:tc>
        <w:tc>
          <w:tcPr>
            <w:tcW w:w="933" w:type="dxa"/>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36.0</w:t>
            </w:r>
          </w:p>
        </w:tc>
        <w:tc>
          <w:tcPr>
            <w:tcW w:w="921" w:type="dxa"/>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33.1</w:t>
            </w:r>
          </w:p>
        </w:tc>
        <w:tc>
          <w:tcPr>
            <w:tcW w:w="927" w:type="dxa"/>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39.85</w:t>
            </w:r>
          </w:p>
        </w:tc>
        <w:tc>
          <w:tcPr>
            <w:tcW w:w="927" w:type="dxa"/>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40.32</w:t>
            </w:r>
          </w:p>
        </w:tc>
        <w:tc>
          <w:tcPr>
            <w:tcW w:w="927" w:type="dxa"/>
            <w:tcBorders>
              <w:bottom w:val="single" w:sz="12" w:space="0" w:color="auto"/>
            </w:tcBorders>
          </w:tcPr>
          <w:p w:rsidR="00C67DF8" w:rsidRPr="003E6346" w:rsidRDefault="00C67DF8" w:rsidP="00C67DF8">
            <w:pPr>
              <w:pStyle w:val="DualTxt"/>
              <w:rPr>
                <w:rFonts w:hint="cs"/>
                <w:sz w:val="24"/>
                <w:szCs w:val="24"/>
                <w:rtl/>
              </w:rPr>
            </w:pPr>
            <w:r w:rsidRPr="003E6346">
              <w:rPr>
                <w:rFonts w:hint="cs"/>
                <w:sz w:val="24"/>
                <w:szCs w:val="24"/>
                <w:rtl/>
              </w:rPr>
              <w:t>37.12</w:t>
            </w:r>
          </w:p>
        </w:tc>
      </w:tr>
    </w:tbl>
    <w:p w:rsidR="00C67DF8" w:rsidRPr="00792B6F" w:rsidRDefault="00C67DF8" w:rsidP="00C67DF8">
      <w:pPr>
        <w:pStyle w:val="SingleTxt"/>
        <w:spacing w:after="0" w:line="120" w:lineRule="exact"/>
        <w:rPr>
          <w:rFonts w:hint="cs"/>
          <w:sz w:val="10"/>
          <w:rtl/>
        </w:rPr>
      </w:pPr>
    </w:p>
    <w:p w:rsidR="00C67DF8" w:rsidRPr="003E6346" w:rsidRDefault="00C67DF8" w:rsidP="00C67DF8">
      <w:pPr>
        <w:pStyle w:val="DualTxt"/>
        <w:tabs>
          <w:tab w:val="clear" w:pos="1325"/>
          <w:tab w:val="clear" w:pos="1987"/>
          <w:tab w:val="clear" w:pos="3312"/>
          <w:tab w:val="clear" w:pos="3974"/>
          <w:tab w:val="clear" w:pos="4637"/>
          <w:tab w:val="right" w:pos="662"/>
          <w:tab w:val="left" w:pos="763"/>
          <w:tab w:val="left" w:pos="1210"/>
          <w:tab w:val="left" w:pos="1685"/>
          <w:tab w:val="left" w:pos="2174"/>
          <w:tab w:val="left" w:pos="2650"/>
        </w:tabs>
        <w:spacing w:after="80"/>
        <w:ind w:left="763" w:hanging="763"/>
        <w:rPr>
          <w:sz w:val="24"/>
          <w:szCs w:val="24"/>
          <w:rtl/>
        </w:rPr>
      </w:pPr>
      <w:r>
        <w:rPr>
          <w:rFonts w:hint="cs"/>
          <w:sz w:val="24"/>
          <w:szCs w:val="24"/>
          <w:rtl/>
        </w:rPr>
        <w:tab/>
      </w:r>
      <w:r w:rsidRPr="003E6346">
        <w:rPr>
          <w:sz w:val="24"/>
          <w:szCs w:val="24"/>
          <w:rtl/>
        </w:rPr>
        <w:tab/>
      </w:r>
      <w:r w:rsidRPr="00D758B7">
        <w:rPr>
          <w:rFonts w:hint="cs"/>
          <w:i/>
          <w:iCs/>
          <w:w w:val="100"/>
          <w:sz w:val="17"/>
          <w:szCs w:val="26"/>
          <w:rtl/>
        </w:rPr>
        <w:t>المصدر</w:t>
      </w:r>
      <w:r w:rsidRPr="003E6346">
        <w:rPr>
          <w:rFonts w:hint="cs"/>
          <w:sz w:val="24"/>
          <w:szCs w:val="24"/>
          <w:rtl/>
        </w:rPr>
        <w:t>: مكتب الإحصاءات الاتحادي، الدراستان الاستقصائيتان للقوة العاملة للفترتين 1999-2000 و</w:t>
      </w:r>
      <w:r>
        <w:rPr>
          <w:rFonts w:hint="cs"/>
          <w:sz w:val="24"/>
          <w:szCs w:val="24"/>
          <w:rtl/>
        </w:rPr>
        <w:t xml:space="preserve"> </w:t>
      </w:r>
      <w:r w:rsidRPr="003E6346">
        <w:rPr>
          <w:rFonts w:hint="cs"/>
          <w:sz w:val="24"/>
          <w:szCs w:val="24"/>
          <w:rtl/>
        </w:rPr>
        <w:t>2001-2002</w:t>
      </w:r>
      <w:r>
        <w:rPr>
          <w:rFonts w:hint="cs"/>
          <w:sz w:val="24"/>
          <w:szCs w:val="24"/>
          <w:rtl/>
        </w:rPr>
        <w:t>.</w:t>
      </w:r>
    </w:p>
    <w:p w:rsidR="00C67DF8" w:rsidRPr="00792B6F" w:rsidRDefault="00C67DF8" w:rsidP="00C67DF8">
      <w:pPr>
        <w:pStyle w:val="SingleTxt"/>
        <w:spacing w:after="0" w:line="120" w:lineRule="exact"/>
        <w:rPr>
          <w:rFonts w:hint="cs"/>
          <w:sz w:val="10"/>
          <w:rtl/>
        </w:rPr>
      </w:pPr>
    </w:p>
    <w:p w:rsidR="00C67DF8" w:rsidRDefault="00C67DF8" w:rsidP="00F613DC">
      <w:pPr>
        <w:pStyle w:val="SingleTxt"/>
        <w:tabs>
          <w:tab w:val="clear" w:pos="1930"/>
          <w:tab w:val="left" w:pos="2125"/>
        </w:tabs>
        <w:rPr>
          <w:rFonts w:hint="cs"/>
          <w:rtl/>
        </w:rPr>
      </w:pPr>
      <w:r>
        <w:rPr>
          <w:rFonts w:hint="cs"/>
          <w:rtl/>
        </w:rPr>
        <w:t>303 -</w:t>
      </w:r>
      <w:r>
        <w:rPr>
          <w:rFonts w:hint="cs"/>
          <w:rtl/>
        </w:rPr>
        <w:tab/>
        <w:t>ويبين الجدول الوارد أعلاه بعض التطورات المشجعة. فانخفضت النسبة المئوية للنساء العاملات كمساعدات عائليات بدون أجر من 63.3 في المائة في الفترة 1997-1998 إلى 46.86 في المائة في الفترة 2001-2002. وارتفعت النسبة المئوية للنساء</w:t>
      </w:r>
      <w:r w:rsidR="00F613DC">
        <w:rPr>
          <w:rFonts w:hint="cs"/>
          <w:rtl/>
        </w:rPr>
        <w:t xml:space="preserve"> العاملات لحساب الذ</w:t>
      </w:r>
      <w:r>
        <w:rPr>
          <w:rFonts w:hint="cs"/>
          <w:rtl/>
        </w:rPr>
        <w:t>ات من 11.7 في  المائة في الفترة 1997-1998 إلى 15.72 في المائة في الفترة 2001-2002، بعد أن بلغت 16.7 في المائة في الفترة 1999-2000. وخلال  الفترة 1997-1998 كانت نسبة ربات العمل 0.1 في المائة من النساء العاملات في القوة العاملة. وارتفع هذا الرقم إلى 0.30 في ا لمائة في الفترة 2001-2002. وانخفضت النسبة الخاصة بالرجال انخفاضا طفيفا من 1 في المائة إلى 0.91 في المائة.</w:t>
      </w:r>
    </w:p>
    <w:p w:rsidR="00C67DF8" w:rsidRPr="00D758B7" w:rsidRDefault="00C67DF8" w:rsidP="00C67DF8">
      <w:pPr>
        <w:pStyle w:val="SingleTxt"/>
        <w:tabs>
          <w:tab w:val="clear" w:pos="1930"/>
          <w:tab w:val="left" w:pos="2125"/>
        </w:tabs>
        <w:spacing w:after="0" w:line="120" w:lineRule="exact"/>
        <w:rPr>
          <w:rFonts w:hint="cs"/>
          <w:sz w:val="10"/>
          <w:rtl/>
        </w:rPr>
      </w:pPr>
    </w:p>
    <w:p w:rsidR="00C67DF8" w:rsidRDefault="00C67DF8" w:rsidP="00C67DF8">
      <w:pPr>
        <w:pStyle w:val="SingleTxt"/>
        <w:spacing w:after="0"/>
        <w:rPr>
          <w:rFonts w:hint="cs"/>
          <w:rtl/>
        </w:rPr>
      </w:pPr>
      <w:r>
        <w:rPr>
          <w:rFonts w:hint="cs"/>
          <w:rtl/>
        </w:rPr>
        <w:t>الجدول - 5</w:t>
      </w:r>
    </w:p>
    <w:p w:rsidR="00C67DF8" w:rsidRPr="00D758B7" w:rsidRDefault="00C67DF8" w:rsidP="00C67DF8">
      <w:pPr>
        <w:pStyle w:val="SingleTxt"/>
        <w:rPr>
          <w:rFonts w:hint="cs"/>
          <w:b/>
          <w:bCs/>
          <w:rtl/>
        </w:rPr>
      </w:pPr>
      <w:r w:rsidRPr="00D758B7">
        <w:rPr>
          <w:rFonts w:hint="cs"/>
          <w:b/>
          <w:bCs/>
          <w:rtl/>
        </w:rPr>
        <w:t>معدلات البطالة حسب نوع الجنس والسن</w:t>
      </w:r>
    </w:p>
    <w:p w:rsidR="00C67DF8" w:rsidRPr="00D758B7" w:rsidRDefault="00C67DF8" w:rsidP="00C67DF8">
      <w:pPr>
        <w:pStyle w:val="SingleTxt"/>
        <w:spacing w:after="0" w:line="120" w:lineRule="exact"/>
        <w:rPr>
          <w:rFonts w:hint="cs"/>
          <w:sz w:val="10"/>
          <w:rtl/>
        </w:rPr>
      </w:pPr>
    </w:p>
    <w:tbl>
      <w:tblPr>
        <w:bidiVisual/>
        <w:tblW w:w="0" w:type="auto"/>
        <w:tblInd w:w="1512" w:type="dxa"/>
        <w:tblLayout w:type="fixed"/>
        <w:tblLook w:val="01E0" w:firstRow="1" w:lastRow="1" w:firstColumn="1" w:lastColumn="1" w:noHBand="0" w:noVBand="0"/>
      </w:tblPr>
      <w:tblGrid>
        <w:gridCol w:w="1339"/>
        <w:gridCol w:w="927"/>
        <w:gridCol w:w="824"/>
        <w:gridCol w:w="824"/>
        <w:gridCol w:w="927"/>
        <w:gridCol w:w="824"/>
        <w:gridCol w:w="824"/>
      </w:tblGrid>
      <w:tr w:rsidR="00C67DF8" w:rsidRPr="00146836">
        <w:trPr>
          <w:cantSplit/>
          <w:tblHeader/>
        </w:trPr>
        <w:tc>
          <w:tcPr>
            <w:tcW w:w="1339" w:type="dxa"/>
            <w:vMerge w:val="restart"/>
            <w:shd w:val="clear" w:color="auto" w:fill="auto"/>
            <w:vAlign w:val="bottom"/>
          </w:tcPr>
          <w:p w:rsidR="00C67DF8" w:rsidRPr="00146836" w:rsidRDefault="00C67DF8" w:rsidP="00C67DF8">
            <w:pPr>
              <w:pStyle w:val="DualTxt"/>
              <w:spacing w:after="80" w:line="240" w:lineRule="exact"/>
              <w:rPr>
                <w:rFonts w:hint="cs"/>
                <w:i/>
                <w:iCs/>
                <w:sz w:val="16"/>
                <w:szCs w:val="24"/>
                <w:rtl/>
              </w:rPr>
            </w:pPr>
            <w:r>
              <w:rPr>
                <w:rFonts w:hint="cs"/>
                <w:i/>
                <w:iCs/>
                <w:sz w:val="16"/>
                <w:szCs w:val="24"/>
                <w:rtl/>
              </w:rPr>
              <w:t>المجموعة العمرية</w:t>
            </w:r>
          </w:p>
        </w:tc>
        <w:tc>
          <w:tcPr>
            <w:tcW w:w="2575" w:type="dxa"/>
            <w:gridSpan w:val="3"/>
            <w:tcBorders>
              <w:top w:val="single" w:sz="4" w:space="0" w:color="auto"/>
            </w:tcBorders>
            <w:shd w:val="clear" w:color="auto" w:fill="auto"/>
            <w:vAlign w:val="bottom"/>
          </w:tcPr>
          <w:p w:rsidR="00C67DF8" w:rsidRPr="00146836" w:rsidRDefault="00C67DF8" w:rsidP="00C67DF8">
            <w:pPr>
              <w:pStyle w:val="DualTxt"/>
              <w:spacing w:after="80" w:line="240" w:lineRule="exact"/>
              <w:ind w:right="144"/>
              <w:jc w:val="center"/>
              <w:rPr>
                <w:rFonts w:hint="cs"/>
                <w:i/>
                <w:iCs/>
                <w:sz w:val="16"/>
                <w:szCs w:val="24"/>
                <w:rtl/>
              </w:rPr>
            </w:pPr>
            <w:r>
              <w:rPr>
                <w:rFonts w:hint="cs"/>
                <w:i/>
                <w:iCs/>
                <w:sz w:val="16"/>
                <w:szCs w:val="24"/>
                <w:rtl/>
              </w:rPr>
              <w:t>1999-2000</w:t>
            </w:r>
          </w:p>
        </w:tc>
        <w:tc>
          <w:tcPr>
            <w:tcW w:w="2575" w:type="dxa"/>
            <w:gridSpan w:val="3"/>
            <w:tcBorders>
              <w:top w:val="single" w:sz="4" w:space="0" w:color="auto"/>
            </w:tcBorders>
            <w:shd w:val="clear" w:color="auto" w:fill="auto"/>
            <w:vAlign w:val="bottom"/>
          </w:tcPr>
          <w:p w:rsidR="00C67DF8" w:rsidRPr="00146836" w:rsidRDefault="00C67DF8" w:rsidP="00C67DF8">
            <w:pPr>
              <w:pStyle w:val="DualTxt"/>
              <w:spacing w:after="80" w:line="240" w:lineRule="exact"/>
              <w:ind w:right="144"/>
              <w:jc w:val="center"/>
              <w:rPr>
                <w:rFonts w:hint="cs"/>
                <w:i/>
                <w:iCs/>
                <w:sz w:val="16"/>
                <w:szCs w:val="24"/>
                <w:rtl/>
              </w:rPr>
            </w:pPr>
            <w:r>
              <w:rPr>
                <w:rFonts w:hint="cs"/>
                <w:i/>
                <w:iCs/>
                <w:sz w:val="16"/>
                <w:szCs w:val="24"/>
                <w:rtl/>
              </w:rPr>
              <w:t>2001-2002</w:t>
            </w:r>
          </w:p>
        </w:tc>
      </w:tr>
      <w:tr w:rsidR="00C67DF8" w:rsidRPr="00146836">
        <w:trPr>
          <w:cantSplit/>
          <w:tblHeader/>
        </w:trPr>
        <w:tc>
          <w:tcPr>
            <w:tcW w:w="1339" w:type="dxa"/>
            <w:vMerge/>
            <w:tcBorders>
              <w:bottom w:val="single" w:sz="12" w:space="0" w:color="auto"/>
            </w:tcBorders>
            <w:shd w:val="clear" w:color="auto" w:fill="auto"/>
            <w:vAlign w:val="bottom"/>
          </w:tcPr>
          <w:p w:rsidR="00C67DF8" w:rsidRPr="00146836" w:rsidRDefault="00C67DF8" w:rsidP="00C67DF8">
            <w:pPr>
              <w:pStyle w:val="DualTxt"/>
              <w:spacing w:after="80" w:line="240" w:lineRule="exact"/>
              <w:rPr>
                <w:rFonts w:hint="cs"/>
                <w:i/>
                <w:iCs/>
                <w:sz w:val="16"/>
                <w:szCs w:val="24"/>
                <w:rtl/>
              </w:rPr>
            </w:pPr>
          </w:p>
        </w:tc>
        <w:tc>
          <w:tcPr>
            <w:tcW w:w="927" w:type="dxa"/>
            <w:tcBorders>
              <w:bottom w:val="single" w:sz="12" w:space="0" w:color="auto"/>
            </w:tcBorders>
            <w:shd w:val="clear" w:color="auto" w:fill="auto"/>
            <w:vAlign w:val="bottom"/>
          </w:tcPr>
          <w:p w:rsidR="00C67DF8" w:rsidRPr="00146836" w:rsidRDefault="00C67DF8" w:rsidP="00C67DF8">
            <w:pPr>
              <w:pStyle w:val="DualTxt"/>
              <w:spacing w:after="80" w:line="240" w:lineRule="exact"/>
              <w:ind w:right="144"/>
              <w:jc w:val="center"/>
              <w:rPr>
                <w:rFonts w:hint="cs"/>
                <w:i/>
                <w:iCs/>
                <w:sz w:val="16"/>
                <w:szCs w:val="24"/>
                <w:rtl/>
              </w:rPr>
            </w:pPr>
            <w:r>
              <w:rPr>
                <w:rFonts w:hint="cs"/>
                <w:i/>
                <w:iCs/>
                <w:sz w:val="16"/>
                <w:szCs w:val="24"/>
                <w:rtl/>
              </w:rPr>
              <w:t>الجنسان</w:t>
            </w:r>
          </w:p>
        </w:tc>
        <w:tc>
          <w:tcPr>
            <w:tcW w:w="824" w:type="dxa"/>
            <w:tcBorders>
              <w:bottom w:val="single" w:sz="12" w:space="0" w:color="auto"/>
            </w:tcBorders>
            <w:shd w:val="clear" w:color="auto" w:fill="auto"/>
            <w:vAlign w:val="bottom"/>
          </w:tcPr>
          <w:p w:rsidR="00C67DF8" w:rsidRPr="00146836" w:rsidRDefault="00C67DF8" w:rsidP="00C67DF8">
            <w:pPr>
              <w:pStyle w:val="DualTxt"/>
              <w:spacing w:after="80" w:line="240" w:lineRule="exact"/>
              <w:ind w:right="144"/>
              <w:jc w:val="center"/>
              <w:rPr>
                <w:rFonts w:hint="cs"/>
                <w:i/>
                <w:iCs/>
                <w:sz w:val="16"/>
                <w:szCs w:val="24"/>
                <w:rtl/>
              </w:rPr>
            </w:pPr>
            <w:r>
              <w:rPr>
                <w:rFonts w:hint="cs"/>
                <w:i/>
                <w:iCs/>
                <w:sz w:val="16"/>
                <w:szCs w:val="24"/>
                <w:rtl/>
              </w:rPr>
              <w:t>رجال</w:t>
            </w:r>
          </w:p>
        </w:tc>
        <w:tc>
          <w:tcPr>
            <w:tcW w:w="824" w:type="dxa"/>
            <w:tcBorders>
              <w:bottom w:val="single" w:sz="12" w:space="0" w:color="auto"/>
            </w:tcBorders>
            <w:shd w:val="clear" w:color="auto" w:fill="auto"/>
            <w:vAlign w:val="bottom"/>
          </w:tcPr>
          <w:p w:rsidR="00C67DF8" w:rsidRPr="00146836" w:rsidRDefault="00C67DF8" w:rsidP="00C67DF8">
            <w:pPr>
              <w:pStyle w:val="DualTxt"/>
              <w:spacing w:after="80" w:line="240" w:lineRule="exact"/>
              <w:ind w:right="144"/>
              <w:jc w:val="center"/>
              <w:rPr>
                <w:rFonts w:hint="cs"/>
                <w:i/>
                <w:iCs/>
                <w:sz w:val="16"/>
                <w:szCs w:val="24"/>
                <w:rtl/>
              </w:rPr>
            </w:pPr>
            <w:r>
              <w:rPr>
                <w:rFonts w:hint="cs"/>
                <w:i/>
                <w:iCs/>
                <w:sz w:val="16"/>
                <w:szCs w:val="24"/>
                <w:rtl/>
              </w:rPr>
              <w:t>نساء</w:t>
            </w:r>
          </w:p>
        </w:tc>
        <w:tc>
          <w:tcPr>
            <w:tcW w:w="927" w:type="dxa"/>
            <w:tcBorders>
              <w:bottom w:val="single" w:sz="12" w:space="0" w:color="auto"/>
            </w:tcBorders>
            <w:shd w:val="clear" w:color="auto" w:fill="auto"/>
            <w:vAlign w:val="bottom"/>
          </w:tcPr>
          <w:p w:rsidR="00C67DF8" w:rsidRPr="00146836" w:rsidRDefault="00C67DF8" w:rsidP="00C67DF8">
            <w:pPr>
              <w:pStyle w:val="DualTxt"/>
              <w:spacing w:after="80" w:line="240" w:lineRule="exact"/>
              <w:ind w:right="144"/>
              <w:jc w:val="center"/>
              <w:rPr>
                <w:rFonts w:hint="cs"/>
                <w:i/>
                <w:iCs/>
                <w:sz w:val="16"/>
                <w:szCs w:val="24"/>
                <w:rtl/>
              </w:rPr>
            </w:pPr>
            <w:r>
              <w:rPr>
                <w:rFonts w:hint="cs"/>
                <w:i/>
                <w:iCs/>
                <w:sz w:val="16"/>
                <w:szCs w:val="24"/>
                <w:rtl/>
              </w:rPr>
              <w:t>الجنسان</w:t>
            </w:r>
          </w:p>
        </w:tc>
        <w:tc>
          <w:tcPr>
            <w:tcW w:w="824" w:type="dxa"/>
            <w:tcBorders>
              <w:bottom w:val="single" w:sz="12" w:space="0" w:color="auto"/>
            </w:tcBorders>
            <w:shd w:val="clear" w:color="auto" w:fill="auto"/>
            <w:vAlign w:val="bottom"/>
          </w:tcPr>
          <w:p w:rsidR="00C67DF8" w:rsidRPr="00146836" w:rsidRDefault="00C67DF8" w:rsidP="00C67DF8">
            <w:pPr>
              <w:pStyle w:val="DualTxt"/>
              <w:spacing w:after="80" w:line="240" w:lineRule="exact"/>
              <w:ind w:right="144"/>
              <w:jc w:val="center"/>
              <w:rPr>
                <w:rFonts w:hint="cs"/>
                <w:i/>
                <w:iCs/>
                <w:sz w:val="16"/>
                <w:szCs w:val="24"/>
                <w:rtl/>
              </w:rPr>
            </w:pPr>
            <w:r>
              <w:rPr>
                <w:rFonts w:hint="cs"/>
                <w:i/>
                <w:iCs/>
                <w:sz w:val="16"/>
                <w:szCs w:val="24"/>
                <w:rtl/>
              </w:rPr>
              <w:t>رجال</w:t>
            </w:r>
          </w:p>
        </w:tc>
        <w:tc>
          <w:tcPr>
            <w:tcW w:w="824" w:type="dxa"/>
            <w:tcBorders>
              <w:bottom w:val="single" w:sz="12" w:space="0" w:color="auto"/>
            </w:tcBorders>
            <w:shd w:val="clear" w:color="auto" w:fill="auto"/>
            <w:vAlign w:val="bottom"/>
          </w:tcPr>
          <w:p w:rsidR="00C67DF8" w:rsidRPr="00146836" w:rsidRDefault="00C67DF8" w:rsidP="00C67DF8">
            <w:pPr>
              <w:pStyle w:val="DualTxt"/>
              <w:spacing w:after="80" w:line="240" w:lineRule="exact"/>
              <w:ind w:right="144"/>
              <w:jc w:val="center"/>
              <w:rPr>
                <w:rFonts w:hint="cs"/>
                <w:i/>
                <w:iCs/>
                <w:sz w:val="16"/>
                <w:szCs w:val="24"/>
                <w:rtl/>
              </w:rPr>
            </w:pPr>
            <w:r>
              <w:rPr>
                <w:rFonts w:hint="cs"/>
                <w:i/>
                <w:iCs/>
                <w:sz w:val="16"/>
                <w:szCs w:val="24"/>
                <w:rtl/>
              </w:rPr>
              <w:t>نساء</w:t>
            </w:r>
          </w:p>
        </w:tc>
      </w:tr>
      <w:tr w:rsidR="00C67DF8" w:rsidRPr="00146836">
        <w:trPr>
          <w:cantSplit/>
          <w:trHeight w:hRule="exact" w:val="115"/>
          <w:tblHeader/>
        </w:trPr>
        <w:tc>
          <w:tcPr>
            <w:tcW w:w="1339" w:type="dxa"/>
            <w:tcBorders>
              <w:top w:val="single" w:sz="12" w:space="0" w:color="auto"/>
            </w:tcBorders>
            <w:shd w:val="clear" w:color="auto" w:fill="auto"/>
            <w:vAlign w:val="bottom"/>
          </w:tcPr>
          <w:p w:rsidR="00C67DF8" w:rsidRPr="00146836" w:rsidRDefault="00C67DF8" w:rsidP="00C67DF8">
            <w:pPr>
              <w:pStyle w:val="DualTxt"/>
              <w:spacing w:before="40" w:after="80" w:line="240" w:lineRule="exact"/>
              <w:rPr>
                <w:rFonts w:hint="cs"/>
                <w:sz w:val="16"/>
                <w:szCs w:val="24"/>
                <w:rtl/>
              </w:rPr>
            </w:pPr>
          </w:p>
        </w:tc>
        <w:tc>
          <w:tcPr>
            <w:tcW w:w="927" w:type="dxa"/>
            <w:tcBorders>
              <w:top w:val="single" w:sz="12" w:space="0" w:color="auto"/>
            </w:tcBorders>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p>
        </w:tc>
      </w:tr>
      <w:tr w:rsidR="00C67DF8" w:rsidRPr="00146836">
        <w:trPr>
          <w:cantSplit/>
        </w:trPr>
        <w:tc>
          <w:tcPr>
            <w:tcW w:w="1339" w:type="dxa"/>
            <w:shd w:val="clear" w:color="auto" w:fill="auto"/>
            <w:vAlign w:val="bottom"/>
          </w:tcPr>
          <w:p w:rsidR="00C67DF8" w:rsidRPr="00146836" w:rsidRDefault="00C67DF8" w:rsidP="00C67DF8">
            <w:pPr>
              <w:pStyle w:val="DualTxt"/>
              <w:spacing w:before="40" w:after="80" w:line="240" w:lineRule="exact"/>
              <w:rPr>
                <w:rFonts w:hint="cs"/>
                <w:sz w:val="16"/>
                <w:szCs w:val="24"/>
                <w:rtl/>
              </w:rPr>
            </w:pPr>
            <w:r>
              <w:rPr>
                <w:rFonts w:hint="cs"/>
                <w:sz w:val="16"/>
                <w:szCs w:val="24"/>
                <w:rtl/>
              </w:rPr>
              <w:t>15-19</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15.2</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12.4</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40.7</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16.2</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15.3</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20.5</w:t>
            </w:r>
          </w:p>
        </w:tc>
      </w:tr>
      <w:tr w:rsidR="00C67DF8" w:rsidRPr="00146836">
        <w:trPr>
          <w:cantSplit/>
        </w:trPr>
        <w:tc>
          <w:tcPr>
            <w:tcW w:w="1339" w:type="dxa"/>
            <w:shd w:val="clear" w:color="auto" w:fill="auto"/>
            <w:vAlign w:val="bottom"/>
          </w:tcPr>
          <w:p w:rsidR="00C67DF8" w:rsidRPr="00146836" w:rsidRDefault="00C67DF8" w:rsidP="00C67DF8">
            <w:pPr>
              <w:pStyle w:val="DualTxt"/>
              <w:spacing w:before="40" w:after="80" w:line="240" w:lineRule="exact"/>
              <w:rPr>
                <w:rFonts w:hint="cs"/>
                <w:sz w:val="16"/>
                <w:szCs w:val="24"/>
                <w:rtl/>
              </w:rPr>
            </w:pPr>
            <w:r>
              <w:rPr>
                <w:rFonts w:hint="cs"/>
                <w:sz w:val="16"/>
                <w:szCs w:val="24"/>
                <w:rtl/>
              </w:rPr>
              <w:t>20-24</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11.6</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9.9</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21.8</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10.9</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9.1</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20.5</w:t>
            </w:r>
          </w:p>
        </w:tc>
      </w:tr>
      <w:tr w:rsidR="00C67DF8" w:rsidRPr="00146836">
        <w:trPr>
          <w:cantSplit/>
        </w:trPr>
        <w:tc>
          <w:tcPr>
            <w:tcW w:w="1339" w:type="dxa"/>
            <w:shd w:val="clear" w:color="auto" w:fill="auto"/>
            <w:vAlign w:val="bottom"/>
          </w:tcPr>
          <w:p w:rsidR="00C67DF8" w:rsidRPr="00146836" w:rsidRDefault="00C67DF8" w:rsidP="00C67DF8">
            <w:pPr>
              <w:pStyle w:val="DualTxt"/>
              <w:spacing w:before="40" w:after="80" w:line="240" w:lineRule="exact"/>
              <w:rPr>
                <w:rFonts w:hint="cs"/>
                <w:sz w:val="16"/>
                <w:szCs w:val="24"/>
                <w:rtl/>
              </w:rPr>
            </w:pPr>
            <w:r>
              <w:rPr>
                <w:rFonts w:hint="cs"/>
                <w:sz w:val="16"/>
                <w:szCs w:val="24"/>
                <w:rtl/>
              </w:rPr>
              <w:t>25-29</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6.2</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5.2</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10.5</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6.3</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5.1</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12.9</w:t>
            </w:r>
          </w:p>
        </w:tc>
      </w:tr>
      <w:tr w:rsidR="00C67DF8" w:rsidRPr="00146836">
        <w:trPr>
          <w:cantSplit/>
        </w:trPr>
        <w:tc>
          <w:tcPr>
            <w:tcW w:w="1339" w:type="dxa"/>
            <w:shd w:val="clear" w:color="auto" w:fill="auto"/>
            <w:vAlign w:val="bottom"/>
          </w:tcPr>
          <w:p w:rsidR="00C67DF8" w:rsidRPr="00146836" w:rsidRDefault="00C67DF8" w:rsidP="00C67DF8">
            <w:pPr>
              <w:pStyle w:val="DualTxt"/>
              <w:spacing w:before="40" w:after="80" w:line="240" w:lineRule="exact"/>
              <w:rPr>
                <w:rFonts w:hint="cs"/>
                <w:sz w:val="16"/>
                <w:szCs w:val="24"/>
                <w:rtl/>
              </w:rPr>
            </w:pPr>
            <w:r>
              <w:rPr>
                <w:rFonts w:hint="cs"/>
                <w:sz w:val="16"/>
                <w:szCs w:val="24"/>
                <w:rtl/>
              </w:rPr>
              <w:t>30-34</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3.0</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1.9</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7.4</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4.2</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3.2</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9.6</w:t>
            </w:r>
          </w:p>
        </w:tc>
      </w:tr>
      <w:tr w:rsidR="00C67DF8" w:rsidRPr="00146836">
        <w:trPr>
          <w:cantSplit/>
        </w:trPr>
        <w:tc>
          <w:tcPr>
            <w:tcW w:w="1339" w:type="dxa"/>
            <w:shd w:val="clear" w:color="auto" w:fill="auto"/>
            <w:vAlign w:val="bottom"/>
          </w:tcPr>
          <w:p w:rsidR="00C67DF8" w:rsidRPr="00146836" w:rsidRDefault="00C67DF8" w:rsidP="00C67DF8">
            <w:pPr>
              <w:pStyle w:val="DualTxt"/>
              <w:spacing w:before="40" w:after="80" w:line="240" w:lineRule="exact"/>
              <w:rPr>
                <w:rFonts w:hint="cs"/>
                <w:sz w:val="16"/>
                <w:szCs w:val="24"/>
                <w:rtl/>
              </w:rPr>
            </w:pPr>
            <w:r>
              <w:rPr>
                <w:rFonts w:hint="cs"/>
                <w:sz w:val="16"/>
                <w:szCs w:val="24"/>
                <w:rtl/>
              </w:rPr>
              <w:t>35-39</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2.3</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1.6</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5.2</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2.6</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1.5</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8.2</w:t>
            </w:r>
          </w:p>
        </w:tc>
      </w:tr>
      <w:tr w:rsidR="00C67DF8" w:rsidRPr="00146836">
        <w:trPr>
          <w:cantSplit/>
        </w:trPr>
        <w:tc>
          <w:tcPr>
            <w:tcW w:w="1339" w:type="dxa"/>
            <w:shd w:val="clear" w:color="auto" w:fill="auto"/>
            <w:vAlign w:val="bottom"/>
          </w:tcPr>
          <w:p w:rsidR="00C67DF8" w:rsidRPr="00146836" w:rsidRDefault="00C67DF8" w:rsidP="00C67DF8">
            <w:pPr>
              <w:pStyle w:val="DualTxt"/>
              <w:spacing w:before="40" w:after="80" w:line="240" w:lineRule="exact"/>
              <w:rPr>
                <w:rFonts w:hint="cs"/>
                <w:sz w:val="16"/>
                <w:szCs w:val="24"/>
                <w:rtl/>
              </w:rPr>
            </w:pPr>
            <w:r>
              <w:rPr>
                <w:rFonts w:hint="cs"/>
                <w:sz w:val="16"/>
                <w:szCs w:val="24"/>
                <w:rtl/>
              </w:rPr>
              <w:t>40-44</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2.3</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1.5</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6.0</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3.2</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2.2</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8.2</w:t>
            </w:r>
          </w:p>
        </w:tc>
      </w:tr>
      <w:tr w:rsidR="00C67DF8" w:rsidRPr="00146836">
        <w:trPr>
          <w:cantSplit/>
        </w:trPr>
        <w:tc>
          <w:tcPr>
            <w:tcW w:w="1339" w:type="dxa"/>
            <w:shd w:val="clear" w:color="auto" w:fill="auto"/>
            <w:vAlign w:val="bottom"/>
          </w:tcPr>
          <w:p w:rsidR="00C67DF8" w:rsidRPr="00146836" w:rsidRDefault="00C67DF8" w:rsidP="00C67DF8">
            <w:pPr>
              <w:pStyle w:val="DualTxt"/>
              <w:spacing w:before="40" w:after="80" w:line="240" w:lineRule="exact"/>
              <w:rPr>
                <w:rFonts w:hint="cs"/>
                <w:sz w:val="16"/>
                <w:szCs w:val="24"/>
                <w:rtl/>
              </w:rPr>
            </w:pPr>
            <w:r>
              <w:rPr>
                <w:rFonts w:hint="cs"/>
                <w:sz w:val="16"/>
                <w:szCs w:val="24"/>
                <w:rtl/>
              </w:rPr>
              <w:t>45-49</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3.1</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2.3</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7.2</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3.3</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2.5</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7.9</w:t>
            </w:r>
          </w:p>
        </w:tc>
      </w:tr>
      <w:tr w:rsidR="00C67DF8" w:rsidRPr="00146836">
        <w:trPr>
          <w:cantSplit/>
        </w:trPr>
        <w:tc>
          <w:tcPr>
            <w:tcW w:w="1339" w:type="dxa"/>
            <w:shd w:val="clear" w:color="auto" w:fill="auto"/>
            <w:vAlign w:val="bottom"/>
          </w:tcPr>
          <w:p w:rsidR="00C67DF8" w:rsidRPr="00146836" w:rsidRDefault="00C67DF8" w:rsidP="00C67DF8">
            <w:pPr>
              <w:pStyle w:val="DualTxt"/>
              <w:spacing w:before="40" w:after="80" w:line="240" w:lineRule="exact"/>
              <w:rPr>
                <w:rFonts w:hint="cs"/>
                <w:sz w:val="16"/>
                <w:szCs w:val="24"/>
                <w:rtl/>
              </w:rPr>
            </w:pPr>
            <w:r>
              <w:rPr>
                <w:rFonts w:hint="cs"/>
                <w:sz w:val="16"/>
                <w:szCs w:val="24"/>
                <w:rtl/>
              </w:rPr>
              <w:t>50-54</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4.5</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2.6</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14.5</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6.0</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4.0</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18.2</w:t>
            </w:r>
          </w:p>
        </w:tc>
      </w:tr>
      <w:tr w:rsidR="00C67DF8" w:rsidRPr="00146836">
        <w:trPr>
          <w:cantSplit/>
        </w:trPr>
        <w:tc>
          <w:tcPr>
            <w:tcW w:w="1339" w:type="dxa"/>
            <w:shd w:val="clear" w:color="auto" w:fill="auto"/>
            <w:vAlign w:val="bottom"/>
          </w:tcPr>
          <w:p w:rsidR="00C67DF8" w:rsidRPr="00146836" w:rsidRDefault="00C67DF8" w:rsidP="00C67DF8">
            <w:pPr>
              <w:pStyle w:val="DualTxt"/>
              <w:spacing w:before="40" w:after="80" w:line="240" w:lineRule="exact"/>
              <w:rPr>
                <w:rFonts w:hint="cs"/>
                <w:sz w:val="16"/>
                <w:szCs w:val="24"/>
                <w:rtl/>
              </w:rPr>
            </w:pPr>
            <w:r>
              <w:rPr>
                <w:rFonts w:hint="cs"/>
                <w:sz w:val="16"/>
                <w:szCs w:val="24"/>
                <w:rtl/>
              </w:rPr>
              <w:t>55-59</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6.7</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3.6</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24.6</w:t>
            </w:r>
          </w:p>
        </w:tc>
        <w:tc>
          <w:tcPr>
            <w:tcW w:w="927"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8.0</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4.6</w:t>
            </w:r>
          </w:p>
        </w:tc>
        <w:tc>
          <w:tcPr>
            <w:tcW w:w="824" w:type="dxa"/>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31.8</w:t>
            </w:r>
          </w:p>
        </w:tc>
      </w:tr>
      <w:tr w:rsidR="00C67DF8" w:rsidRPr="00146836">
        <w:trPr>
          <w:cantSplit/>
        </w:trPr>
        <w:tc>
          <w:tcPr>
            <w:tcW w:w="1339" w:type="dxa"/>
            <w:tcBorders>
              <w:bottom w:val="single" w:sz="12" w:space="0" w:color="auto"/>
            </w:tcBorders>
            <w:shd w:val="clear" w:color="auto" w:fill="auto"/>
            <w:vAlign w:val="bottom"/>
          </w:tcPr>
          <w:p w:rsidR="00C67DF8" w:rsidRPr="00146836" w:rsidRDefault="00C67DF8" w:rsidP="00C67DF8">
            <w:pPr>
              <w:pStyle w:val="DualTxt"/>
              <w:spacing w:before="40" w:after="80" w:line="240" w:lineRule="exact"/>
              <w:rPr>
                <w:rFonts w:hint="cs"/>
                <w:sz w:val="16"/>
                <w:szCs w:val="24"/>
                <w:rtl/>
              </w:rPr>
            </w:pPr>
            <w:r>
              <w:rPr>
                <w:rFonts w:hint="cs"/>
                <w:sz w:val="16"/>
                <w:szCs w:val="24"/>
                <w:rtl/>
              </w:rPr>
              <w:t>60 فما فوق</w:t>
            </w:r>
          </w:p>
        </w:tc>
        <w:tc>
          <w:tcPr>
            <w:tcW w:w="927" w:type="dxa"/>
            <w:tcBorders>
              <w:bottom w:val="single" w:sz="12" w:space="0" w:color="auto"/>
            </w:tcBorders>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13.9</w:t>
            </w:r>
          </w:p>
        </w:tc>
        <w:tc>
          <w:tcPr>
            <w:tcW w:w="824" w:type="dxa"/>
            <w:tcBorders>
              <w:bottom w:val="single" w:sz="12" w:space="0" w:color="auto"/>
            </w:tcBorders>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8.9</w:t>
            </w:r>
          </w:p>
        </w:tc>
        <w:tc>
          <w:tcPr>
            <w:tcW w:w="824" w:type="dxa"/>
            <w:tcBorders>
              <w:bottom w:val="single" w:sz="12" w:space="0" w:color="auto"/>
            </w:tcBorders>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46.6</w:t>
            </w:r>
          </w:p>
        </w:tc>
        <w:tc>
          <w:tcPr>
            <w:tcW w:w="927" w:type="dxa"/>
            <w:tcBorders>
              <w:bottom w:val="single" w:sz="12" w:space="0" w:color="auto"/>
            </w:tcBorders>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13.6</w:t>
            </w:r>
          </w:p>
        </w:tc>
        <w:tc>
          <w:tcPr>
            <w:tcW w:w="824" w:type="dxa"/>
            <w:tcBorders>
              <w:bottom w:val="single" w:sz="12" w:space="0" w:color="auto"/>
            </w:tcBorders>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8.9</w:t>
            </w:r>
          </w:p>
        </w:tc>
        <w:tc>
          <w:tcPr>
            <w:tcW w:w="824" w:type="dxa"/>
            <w:tcBorders>
              <w:bottom w:val="single" w:sz="12" w:space="0" w:color="auto"/>
            </w:tcBorders>
            <w:shd w:val="clear" w:color="auto" w:fill="auto"/>
            <w:vAlign w:val="bottom"/>
          </w:tcPr>
          <w:p w:rsidR="00C67DF8" w:rsidRPr="00146836" w:rsidRDefault="00C67DF8" w:rsidP="00C67DF8">
            <w:pPr>
              <w:pStyle w:val="DualTxt"/>
              <w:spacing w:before="40" w:after="80" w:line="240" w:lineRule="exact"/>
              <w:ind w:right="144"/>
              <w:rPr>
                <w:rFonts w:hint="cs"/>
                <w:sz w:val="16"/>
                <w:szCs w:val="24"/>
                <w:rtl/>
              </w:rPr>
            </w:pPr>
            <w:r>
              <w:rPr>
                <w:rFonts w:hint="cs"/>
                <w:sz w:val="16"/>
                <w:szCs w:val="24"/>
                <w:rtl/>
              </w:rPr>
              <w:t>45.5</w:t>
            </w:r>
          </w:p>
        </w:tc>
      </w:tr>
    </w:tbl>
    <w:p w:rsidR="00C67DF8" w:rsidRPr="009932E0" w:rsidRDefault="00C67DF8" w:rsidP="00C67DF8">
      <w:pPr>
        <w:pStyle w:val="SingleTxt"/>
        <w:spacing w:after="0" w:line="120" w:lineRule="exact"/>
        <w:rPr>
          <w:rFonts w:hint="cs"/>
          <w:sz w:val="10"/>
          <w:rtl/>
        </w:rPr>
      </w:pPr>
    </w:p>
    <w:p w:rsidR="00C67DF8" w:rsidRPr="00146836" w:rsidRDefault="00C67DF8" w:rsidP="00C67DF8">
      <w:pPr>
        <w:pStyle w:val="DualTxt"/>
        <w:tabs>
          <w:tab w:val="clear" w:pos="662"/>
          <w:tab w:val="clear" w:pos="1325"/>
          <w:tab w:val="clear" w:pos="1987"/>
          <w:tab w:val="clear" w:pos="2650"/>
          <w:tab w:val="clear" w:pos="3312"/>
          <w:tab w:val="clear" w:pos="3974"/>
          <w:tab w:val="clear" w:pos="4637"/>
          <w:tab w:val="right" w:pos="1915"/>
          <w:tab w:val="left" w:pos="2016"/>
          <w:tab w:val="left" w:pos="2491"/>
          <w:tab w:val="left" w:pos="2966"/>
          <w:tab w:val="left" w:pos="3442"/>
          <w:tab w:val="left" w:pos="3917"/>
        </w:tabs>
        <w:spacing w:before="40" w:after="80" w:line="240" w:lineRule="exact"/>
        <w:ind w:left="2030" w:right="1267" w:hanging="763"/>
        <w:rPr>
          <w:sz w:val="16"/>
          <w:szCs w:val="24"/>
          <w:rtl/>
        </w:rPr>
      </w:pPr>
      <w:r>
        <w:rPr>
          <w:rFonts w:hint="cs"/>
          <w:sz w:val="16"/>
          <w:szCs w:val="24"/>
          <w:rtl/>
        </w:rPr>
        <w:tab/>
      </w:r>
      <w:r>
        <w:rPr>
          <w:sz w:val="16"/>
          <w:szCs w:val="24"/>
          <w:rtl/>
        </w:rPr>
        <w:tab/>
      </w:r>
      <w:r w:rsidRPr="009932E0">
        <w:rPr>
          <w:rFonts w:hint="cs"/>
          <w:i/>
          <w:iCs/>
          <w:w w:val="100"/>
          <w:sz w:val="17"/>
          <w:szCs w:val="26"/>
          <w:rtl/>
        </w:rPr>
        <w:t>المصدر</w:t>
      </w:r>
      <w:r>
        <w:rPr>
          <w:rFonts w:hint="cs"/>
          <w:sz w:val="16"/>
          <w:szCs w:val="24"/>
          <w:rtl/>
        </w:rPr>
        <w:t>: مكتب الإحصاءات الاتحادي. الدراسة الاستقصائية للقوة العاملة 2001-2002.</w:t>
      </w:r>
    </w:p>
    <w:p w:rsidR="00C67DF8" w:rsidRPr="004E4CC9" w:rsidRDefault="00C67DF8" w:rsidP="00C67DF8">
      <w:pPr>
        <w:pStyle w:val="SingleTxt"/>
        <w:tabs>
          <w:tab w:val="clear" w:pos="1930"/>
          <w:tab w:val="left" w:pos="2125"/>
        </w:tabs>
        <w:spacing w:after="0" w:line="120" w:lineRule="exact"/>
        <w:rPr>
          <w:rFonts w:hint="cs"/>
          <w:sz w:val="12"/>
          <w:rtl/>
        </w:rPr>
      </w:pPr>
    </w:p>
    <w:p w:rsidR="00C67DF8" w:rsidRDefault="00C67DF8" w:rsidP="002360DC">
      <w:pPr>
        <w:pStyle w:val="SingleTxt"/>
        <w:tabs>
          <w:tab w:val="clear" w:pos="1930"/>
          <w:tab w:val="left" w:pos="2125"/>
        </w:tabs>
        <w:rPr>
          <w:rFonts w:hint="cs"/>
          <w:rtl/>
        </w:rPr>
      </w:pPr>
      <w:r>
        <w:rPr>
          <w:rFonts w:hint="cs"/>
          <w:rtl/>
        </w:rPr>
        <w:t>304 -</w:t>
      </w:r>
      <w:r>
        <w:rPr>
          <w:rFonts w:hint="cs"/>
          <w:rtl/>
        </w:rPr>
        <w:tab/>
        <w:t xml:space="preserve">وتبين الجداول الواردة أعلاه أن المرأة متخلفة عن الرجل في جميع المجالات المشمولة بالمادة 11 من الدستور تقريبا. بيد أن هناك ما يشير إلى حدوث تغير. فمشاركة المرأة في القوة العاملة، آخذة في التزايد، وإن ظلت منخفضة. فكانت نسبة المشاركة 2.1 في المائة في سنة 1981، وارتفعت إلى 9.9 في المائة في الفترة 2001-2002. ومع ذلك مازالت معدلات البطالة تبدي صورة مختلطة، باستثناء أن معدلات البطالة للمرأة في المجموعة العمرية </w:t>
      </w:r>
      <w:r w:rsidR="002360DC">
        <w:rPr>
          <w:rFonts w:hint="cs"/>
          <w:rtl/>
        </w:rPr>
        <w:t>15-19</w:t>
      </w:r>
      <w:r>
        <w:rPr>
          <w:rFonts w:hint="cs"/>
          <w:rtl/>
        </w:rPr>
        <w:t xml:space="preserve"> قد انخفضت من 40.7 في المائة في الفترة 1999-2000 إلى 20.5 في المائة في الفترة 2001-2002. وزادت هذه المعدلات بما يقرب من 2-3 نقاط، بالنسبة للمجموعات العمرية الأخرى (20-24 و25-29 و30-34 و35-39 و40-44 و45-49 و50-54 و55-59 سنة). ومعدلات البطالة للمرأة تتضاعف مع كل مجموعة من المجموعات العمرية مما يشير إلى أن المرأة هي آخر من يحصل على العمل وأول من يفقده، وهذه حقيقة بالنسبة لأغلب البلدان النامية وفي عديد من البلدان المتقدمة النمو. وفي نفس الوقت، يبدو أن النسب المئوية للجنسين متقاربة في القطاعين الرسمي وغير الرسمي. والمرأة لا تشكل نسبة غالبة من العاملين في القطاع غير الرسمي، على ما يبدو.</w:t>
      </w:r>
    </w:p>
    <w:p w:rsidR="00C67DF8" w:rsidRDefault="00C67DF8" w:rsidP="00C67DF8">
      <w:pPr>
        <w:pStyle w:val="SingleTxt"/>
        <w:tabs>
          <w:tab w:val="clear" w:pos="1930"/>
          <w:tab w:val="left" w:pos="2125"/>
        </w:tabs>
        <w:rPr>
          <w:rFonts w:hint="cs"/>
          <w:rtl/>
        </w:rPr>
      </w:pPr>
      <w:r>
        <w:rPr>
          <w:rFonts w:hint="cs"/>
          <w:rtl/>
        </w:rPr>
        <w:t>305 -</w:t>
      </w:r>
      <w:r>
        <w:rPr>
          <w:rFonts w:hint="cs"/>
          <w:rtl/>
        </w:rPr>
        <w:tab/>
        <w:t xml:space="preserve">وقد يكون الانخفاض النسبي لمعدل مشاركة المرأة في القوة العاملة نتيجة لعدة عوامل. فهناك عدد كبير من النساء يفضل البقاء في المنزل كربات بيت بدلا من الانضمام إلى القوة العاملة. ويجوز أن يكون قد حال الزوج أو الأسرة أو عوامل أخرى دون عمل كثيرات، ومن هذه العوامل الحاجة إلى رعاية الأطفال. ومن </w:t>
      </w:r>
      <w:r w:rsidR="002360DC">
        <w:rPr>
          <w:rFonts w:hint="cs"/>
          <w:rtl/>
        </w:rPr>
        <w:t>ا</w:t>
      </w:r>
      <w:r>
        <w:rPr>
          <w:rFonts w:hint="cs"/>
          <w:rtl/>
        </w:rPr>
        <w:t>لمحتمل أيضا أن نساء كثيرات غير مؤهلات بالشكل الكافي للفوز على الرجال في المنافسة الحرة على الوظائف. وقد يكون هناك تحيز ضد تعيين المرأة لدى بعض أصحاب العمل في القطاع غير الرسمي. وبالإضافة إلى ذلك، يمكن أن يكون لمسائل من قبيل القدرة على  التحرك والأمن وبيئة العمل تأثير هام عند اتخاذ المرأة لقرار الانضمام إلى القوة العاملة سواء في القطاع الرسمي أو غير الرسمي.</w:t>
      </w:r>
    </w:p>
    <w:p w:rsidR="00C67DF8" w:rsidRPr="00B66DB3"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التحديات</w:t>
      </w:r>
    </w:p>
    <w:p w:rsidR="00C67DF8" w:rsidRDefault="00C67DF8" w:rsidP="002360DC">
      <w:pPr>
        <w:pStyle w:val="SingleTxt"/>
        <w:tabs>
          <w:tab w:val="clear" w:pos="1930"/>
          <w:tab w:val="left" w:pos="2125"/>
        </w:tabs>
        <w:rPr>
          <w:rFonts w:hint="cs"/>
          <w:rtl/>
        </w:rPr>
      </w:pPr>
      <w:r>
        <w:rPr>
          <w:rFonts w:hint="cs"/>
          <w:rtl/>
        </w:rPr>
        <w:t>306 -</w:t>
      </w:r>
      <w:r>
        <w:rPr>
          <w:rFonts w:hint="cs"/>
          <w:rtl/>
        </w:rPr>
        <w:tab/>
        <w:t xml:space="preserve">لا تشير معدلات مشاركة المرأة في القوة العاملة إلى إمكانية تحقيق التكافؤ بين الرجل والمرأة في هذا المجال، في أي وقت قريب، رغم كونها آخذة في الزيادة. ويرجع هذا لعدد من الأسباب. وكثير من النساء لم تنظر بعد في ممارسة مهنة كخيار أو </w:t>
      </w:r>
      <w:r w:rsidR="002360DC">
        <w:rPr>
          <w:rFonts w:hint="cs"/>
          <w:rtl/>
        </w:rPr>
        <w:t>تش</w:t>
      </w:r>
      <w:r>
        <w:rPr>
          <w:rFonts w:hint="cs"/>
          <w:rtl/>
        </w:rPr>
        <w:t xml:space="preserve">عر بالحاجة إلى ذلك. ويعلق عدد كبير منهن أهمية أكبر للعناية بالأطفال والأسر. ويشعر كثير منهن بعدم الاستعداد لخوض سوق العمل، وخاصة من الجانب الأكاديمي. وهناك عدد كبير على غير وعي بالفرص المتاحة. وتشعر بعض النساء على الأقل </w:t>
      </w:r>
      <w:proofErr w:type="spellStart"/>
      <w:r>
        <w:rPr>
          <w:rFonts w:hint="cs"/>
          <w:rtl/>
        </w:rPr>
        <w:t>بإثباط</w:t>
      </w:r>
      <w:proofErr w:type="spellEnd"/>
      <w:r>
        <w:rPr>
          <w:rFonts w:hint="cs"/>
          <w:rtl/>
        </w:rPr>
        <w:t xml:space="preserve"> الهمة بالنسبة للقيام بعمل إلى جانب الأسرة. ولا يمكن التصدي لهذه المجموعة المعقدة من العوامل إلا من خلال انتشار التعليم وإيجاد نظام عامل للإرشاد الوظيفي والتدريب المهني. ويلزم أيضا النظر في غياب الحماية في قوانين العمل فيما يتصل بالعمالة الزراعية، وهي المجال ال</w:t>
      </w:r>
      <w:r w:rsidR="002360DC">
        <w:rPr>
          <w:rFonts w:hint="cs"/>
          <w:rtl/>
        </w:rPr>
        <w:t>ذ</w:t>
      </w:r>
      <w:r>
        <w:rPr>
          <w:rFonts w:hint="cs"/>
          <w:rtl/>
        </w:rPr>
        <w:t>ي تنشط فيه أغلبية العاملات. وهذه مسألة بالغة التعقيد تؤثر على الاقتصاد الوطني بأكمله. غير أنه سيلزم إيجاد حل لهذه المسألة حتى يتمتع العمال الزراعيون بحماية قوانين العمل.</w:t>
      </w:r>
    </w:p>
    <w:p w:rsidR="00C67DF8" w:rsidRPr="00DC0EB3" w:rsidRDefault="00C67DF8" w:rsidP="00C67DF8">
      <w:pPr>
        <w:pStyle w:val="SingleTxt"/>
        <w:spacing w:after="0" w:line="120" w:lineRule="exact"/>
        <w:rPr>
          <w:sz w:val="10"/>
          <w:rtl/>
        </w:rPr>
      </w:pPr>
    </w:p>
    <w:p w:rsidR="00C67DF8" w:rsidRDefault="00C67DF8" w:rsidP="00C67DF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الثاني عشر</w:t>
      </w:r>
    </w:p>
    <w:p w:rsidR="00C67DF8" w:rsidRDefault="00C67DF8" w:rsidP="00C67DF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12</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C67DF8" w:rsidRDefault="00C67DF8" w:rsidP="00C67DF8">
      <w:pPr>
        <w:pStyle w:val="H23"/>
        <w:tabs>
          <w:tab w:val="right" w:pos="1022"/>
          <w:tab w:val="left" w:pos="1267"/>
          <w:tab w:val="left" w:pos="2434"/>
          <w:tab w:val="left" w:pos="3258"/>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الأحكام الدستورية</w:t>
      </w:r>
    </w:p>
    <w:p w:rsidR="00C67DF8" w:rsidRDefault="00C67DF8" w:rsidP="00C67DF8">
      <w:pPr>
        <w:pStyle w:val="SingleTxt"/>
        <w:tabs>
          <w:tab w:val="clear" w:pos="1930"/>
          <w:tab w:val="left" w:pos="2125"/>
        </w:tabs>
        <w:rPr>
          <w:rFonts w:hint="cs"/>
          <w:rtl/>
        </w:rPr>
      </w:pPr>
      <w:r>
        <w:rPr>
          <w:rFonts w:hint="cs"/>
          <w:rtl/>
        </w:rPr>
        <w:t>307 -</w:t>
      </w:r>
      <w:r>
        <w:rPr>
          <w:rFonts w:hint="cs"/>
          <w:rtl/>
        </w:rPr>
        <w:tab/>
        <w:t xml:space="preserve">لا يشمل الدستور مادة تتعلق بالصحة على وجه التحديد. وتتناول المادة 38 (أ) </w:t>
      </w:r>
      <w:r>
        <w:rPr>
          <w:rFonts w:hint="eastAsia"/>
          <w:rtl/>
        </w:rPr>
        <w:t>”رفع مستوى المعيشة</w:t>
      </w:r>
      <w:r>
        <w:rPr>
          <w:rFonts w:hint="cs"/>
          <w:rtl/>
        </w:rPr>
        <w:t>“ للمواطنين. ويمكن القول بأن مستوى المعيشة يتصدى للصحة بصورة غير مباشرة أيضا.</w:t>
      </w:r>
    </w:p>
    <w:p w:rsidR="00C67DF8" w:rsidRPr="00D9494E"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الإداري</w:t>
      </w:r>
    </w:p>
    <w:p w:rsidR="00C67DF8" w:rsidRDefault="00C67DF8" w:rsidP="002360DC">
      <w:pPr>
        <w:pStyle w:val="SingleTxt"/>
        <w:tabs>
          <w:tab w:val="clear" w:pos="1930"/>
          <w:tab w:val="left" w:pos="2125"/>
        </w:tabs>
        <w:rPr>
          <w:rFonts w:hint="cs"/>
          <w:rtl/>
        </w:rPr>
      </w:pPr>
      <w:r>
        <w:rPr>
          <w:rFonts w:hint="cs"/>
          <w:rtl/>
        </w:rPr>
        <w:t>308 -</w:t>
      </w:r>
      <w:r>
        <w:rPr>
          <w:rFonts w:hint="cs"/>
          <w:rtl/>
        </w:rPr>
        <w:tab/>
        <w:t>تدير وزارة الصحة الاتحادية والإدارات الصحية الإقليمية نظاما واسع النطاق من المستشفيات والمستوصفات، ومراكز رعاية صحة الأم والطفل، والمراكز الصحية الريفية والوحدات الصحية الأساسية. والترتيب العام الساري هو: الوحدة الصحية الأساسية على مستوى مجلس النقابة، والمركز الصحي الريفي على مستوى القرى (تتضمن هذه المراكز الصحية الريفية مراكز لرعاية صحة الأم والطفل)، ومستشفى المنطقة على مستوى مقر المنطقة، والمستشفيات التعليمية في المدن الكبرى (هذه المستشفيات ملحقة بكليات الطب ومؤسسات الدراسات العليا) المستشفيات المتخصصة في المدن الكبرى.</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السياسة الحكومية</w:t>
      </w:r>
    </w:p>
    <w:p w:rsidR="00C67DF8" w:rsidRDefault="00C67DF8" w:rsidP="00C67DF8">
      <w:pPr>
        <w:pStyle w:val="SingleTxt"/>
        <w:tabs>
          <w:tab w:val="clear" w:pos="1930"/>
          <w:tab w:val="left" w:pos="2125"/>
        </w:tabs>
        <w:rPr>
          <w:rFonts w:hint="cs"/>
          <w:rtl/>
        </w:rPr>
      </w:pPr>
      <w:r>
        <w:rPr>
          <w:rFonts w:hint="cs"/>
          <w:rtl/>
        </w:rPr>
        <w:t>309 -</w:t>
      </w:r>
      <w:r>
        <w:rPr>
          <w:rFonts w:hint="cs"/>
          <w:rtl/>
        </w:rPr>
        <w:tab/>
        <w:t>اعتمدت الحكومة السياسة الوطنية للصحة في سنة 2001 من أجل تحقيق تغيير كامل في قطاع الصحة في باكستان</w:t>
      </w:r>
      <w:r w:rsidRPr="00B906E8">
        <w:rPr>
          <w:vertAlign w:val="superscript"/>
          <w:rtl/>
        </w:rPr>
        <w:t>(</w:t>
      </w:r>
      <w:r>
        <w:rPr>
          <w:rStyle w:val="FootnoteReference"/>
          <w:rtl/>
        </w:rPr>
        <w:footnoteReference w:id="13"/>
      </w:r>
      <w:r w:rsidRPr="00B906E8">
        <w:rPr>
          <w:vertAlign w:val="superscript"/>
          <w:rtl/>
        </w:rPr>
        <w:t>)</w:t>
      </w:r>
      <w:r>
        <w:rPr>
          <w:rFonts w:hint="cs"/>
          <w:rtl/>
        </w:rPr>
        <w:t>. ومن الجوانب الهامة للسياسة التركيز على الاحتياجات الصحية للنساء والفتيات.</w:t>
      </w:r>
    </w:p>
    <w:p w:rsidR="00C67DF8" w:rsidRDefault="00C67DF8" w:rsidP="00C67DF8">
      <w:pPr>
        <w:pStyle w:val="SingleTxt"/>
        <w:tabs>
          <w:tab w:val="clear" w:pos="1930"/>
          <w:tab w:val="left" w:pos="2125"/>
        </w:tabs>
        <w:rPr>
          <w:rFonts w:hint="cs"/>
          <w:rtl/>
        </w:rPr>
      </w:pPr>
      <w:r>
        <w:rPr>
          <w:rFonts w:hint="cs"/>
          <w:rtl/>
        </w:rPr>
        <w:t>310 -</w:t>
      </w:r>
      <w:r>
        <w:rPr>
          <w:rFonts w:hint="cs"/>
          <w:rtl/>
        </w:rPr>
        <w:tab/>
        <w:t>هناك عشرة مجالات محددة للتركيز مع وجود عدة برامج في إطار كل مجال. وأقرت خطوط زمنية محددة لضمان الكفاءة والتركيز والمسؤولية. وفيما يلي المجالات المتصلة بصحة النساء/الفتيات، بشكل مباشر أو غير مباشر.</w:t>
      </w:r>
    </w:p>
    <w:p w:rsidR="00C67DF8" w:rsidRDefault="00C67DF8" w:rsidP="00C67DF8">
      <w:pPr>
        <w:pStyle w:val="SingleTxt"/>
        <w:tabs>
          <w:tab w:val="clear" w:pos="1930"/>
          <w:tab w:val="left" w:pos="2125"/>
        </w:tabs>
        <w:rPr>
          <w:rFonts w:hint="cs"/>
          <w:rtl/>
        </w:rPr>
      </w:pPr>
      <w:r>
        <w:rPr>
          <w:rFonts w:hint="cs"/>
          <w:rtl/>
        </w:rPr>
        <w:tab/>
        <w:t>(أ)</w:t>
      </w:r>
      <w:r>
        <w:rPr>
          <w:rFonts w:hint="cs"/>
          <w:rtl/>
        </w:rPr>
        <w:tab/>
        <w:t>الحد من انتشار الأمراض السارية.</w:t>
      </w:r>
    </w:p>
    <w:p w:rsidR="00C67DF8" w:rsidRDefault="00C67DF8" w:rsidP="002360DC">
      <w:pPr>
        <w:pStyle w:val="SingleTxt"/>
        <w:tabs>
          <w:tab w:val="clear" w:pos="1930"/>
          <w:tab w:val="clear" w:pos="2592"/>
          <w:tab w:val="left" w:pos="2125"/>
          <w:tab w:val="left" w:pos="2846"/>
        </w:tabs>
        <w:ind w:left="3254" w:hanging="1987"/>
        <w:rPr>
          <w:rFonts w:hint="cs"/>
          <w:rtl/>
        </w:rPr>
      </w:pPr>
      <w:r>
        <w:rPr>
          <w:rFonts w:hint="cs"/>
          <w:rtl/>
        </w:rPr>
        <w:tab/>
      </w:r>
      <w:r>
        <w:rPr>
          <w:rFonts w:hint="cs"/>
          <w:rtl/>
        </w:rPr>
        <w:tab/>
        <w:t>(1)</w:t>
      </w:r>
      <w:r>
        <w:rPr>
          <w:rFonts w:hint="cs"/>
          <w:rtl/>
        </w:rPr>
        <w:tab/>
        <w:t xml:space="preserve">سيجري تنفيذ برنامج وطني لتحصين الأمهات ضد إصابة حديثي الولادة </w:t>
      </w:r>
      <w:proofErr w:type="spellStart"/>
      <w:r>
        <w:rPr>
          <w:rFonts w:hint="cs"/>
          <w:rtl/>
        </w:rPr>
        <w:t>بالكزاز</w:t>
      </w:r>
      <w:proofErr w:type="spellEnd"/>
      <w:r>
        <w:rPr>
          <w:rFonts w:hint="cs"/>
          <w:rtl/>
        </w:rPr>
        <w:t xml:space="preserve"> في 57 من المناطق المختارة مرتفعة الخطورة في البلد.</w:t>
      </w:r>
    </w:p>
    <w:p w:rsidR="00C67DF8" w:rsidRDefault="00C67DF8" w:rsidP="002360DC">
      <w:pPr>
        <w:pStyle w:val="SingleTxt"/>
        <w:tabs>
          <w:tab w:val="clear" w:pos="1930"/>
          <w:tab w:val="clear" w:pos="2592"/>
          <w:tab w:val="left" w:pos="2125"/>
          <w:tab w:val="left" w:pos="2846"/>
        </w:tabs>
        <w:rPr>
          <w:rFonts w:hint="cs"/>
          <w:rtl/>
        </w:rPr>
      </w:pPr>
      <w:r>
        <w:rPr>
          <w:rFonts w:hint="cs"/>
          <w:rtl/>
        </w:rPr>
        <w:tab/>
        <w:t>(ب)</w:t>
      </w:r>
      <w:r>
        <w:rPr>
          <w:rFonts w:hint="cs"/>
          <w:rtl/>
        </w:rPr>
        <w:tab/>
        <w:t>التصدي لأو</w:t>
      </w:r>
      <w:r w:rsidR="002360DC">
        <w:rPr>
          <w:rFonts w:hint="cs"/>
          <w:rtl/>
        </w:rPr>
        <w:t>ج</w:t>
      </w:r>
      <w:r>
        <w:rPr>
          <w:rFonts w:hint="cs"/>
          <w:rtl/>
        </w:rPr>
        <w:t>ه القصور في مرافق الرعاية الصحية الأولية/الثانوية.</w:t>
      </w:r>
    </w:p>
    <w:p w:rsidR="00C67DF8" w:rsidRDefault="00C67DF8" w:rsidP="00C67DF8">
      <w:pPr>
        <w:pStyle w:val="SingleTxt"/>
        <w:tabs>
          <w:tab w:val="clear" w:pos="1930"/>
          <w:tab w:val="clear" w:pos="2592"/>
          <w:tab w:val="left" w:pos="2125"/>
          <w:tab w:val="left" w:pos="2846"/>
        </w:tabs>
        <w:ind w:left="3254" w:hanging="1987"/>
        <w:rPr>
          <w:rFonts w:hint="cs"/>
          <w:rtl/>
        </w:rPr>
      </w:pPr>
      <w:r>
        <w:rPr>
          <w:rFonts w:hint="cs"/>
          <w:rtl/>
        </w:rPr>
        <w:tab/>
      </w:r>
      <w:r>
        <w:rPr>
          <w:rFonts w:hint="cs"/>
          <w:rtl/>
        </w:rPr>
        <w:tab/>
        <w:t>(1)</w:t>
      </w:r>
      <w:r>
        <w:rPr>
          <w:rFonts w:hint="cs"/>
          <w:rtl/>
        </w:rPr>
        <w:tab/>
        <w:t xml:space="preserve">تم إدماج 000 58 من العاملات </w:t>
      </w:r>
      <w:proofErr w:type="spellStart"/>
      <w:r>
        <w:rPr>
          <w:rFonts w:hint="cs"/>
          <w:rtl/>
        </w:rPr>
        <w:t>الصحيات</w:t>
      </w:r>
      <w:proofErr w:type="spellEnd"/>
      <w:r>
        <w:rPr>
          <w:rFonts w:hint="cs"/>
          <w:rtl/>
        </w:rPr>
        <w:t xml:space="preserve"> من وزارة الصحة و000 13 من العاملين في مجال تنظيم الأسرة في القرى من وزارة رعاية السكان لإنشاء كادر مؤلف من 000 71 من العاملين في صحة الأسرة في إطار البرنامج الوطني لتنظيم الأسرة والرعاية الصحية الأولية.</w:t>
      </w:r>
    </w:p>
    <w:p w:rsidR="00C67DF8" w:rsidRDefault="00C67DF8" w:rsidP="00C67DF8">
      <w:pPr>
        <w:pStyle w:val="SingleTxt"/>
        <w:tabs>
          <w:tab w:val="clear" w:pos="1930"/>
          <w:tab w:val="clear" w:pos="2592"/>
          <w:tab w:val="left" w:pos="2125"/>
          <w:tab w:val="left" w:pos="2846"/>
        </w:tabs>
        <w:ind w:left="3254" w:hanging="1987"/>
        <w:rPr>
          <w:rFonts w:hint="cs"/>
          <w:rtl/>
        </w:rPr>
      </w:pPr>
      <w:r>
        <w:rPr>
          <w:rFonts w:hint="cs"/>
          <w:rtl/>
        </w:rPr>
        <w:tab/>
      </w:r>
      <w:r>
        <w:rPr>
          <w:rFonts w:hint="cs"/>
          <w:rtl/>
        </w:rPr>
        <w:tab/>
        <w:t>(2)</w:t>
      </w:r>
      <w:r>
        <w:rPr>
          <w:rFonts w:hint="cs"/>
          <w:rtl/>
        </w:rPr>
        <w:tab/>
        <w:t>ستعمل المقاطعات على تحسين مستشفيات المناطق/القرى. وستوفر 6 تخصصات على الأقل (الطب العام، والجراحة، وطب الأطفال، وأمراض النساء والتوليد، والأنف والأذن والحنجرة وطب العيون) في هذه المرافق.</w:t>
      </w:r>
    </w:p>
    <w:p w:rsidR="00C67DF8" w:rsidRDefault="00C67DF8" w:rsidP="00C67DF8">
      <w:pPr>
        <w:pStyle w:val="SingleTxt"/>
        <w:tabs>
          <w:tab w:val="clear" w:pos="1930"/>
          <w:tab w:val="clear" w:pos="2592"/>
          <w:tab w:val="left" w:pos="2125"/>
          <w:tab w:val="left" w:pos="2846"/>
        </w:tabs>
        <w:rPr>
          <w:rFonts w:hint="cs"/>
          <w:rtl/>
        </w:rPr>
      </w:pPr>
      <w:r>
        <w:rPr>
          <w:rFonts w:hint="cs"/>
          <w:rtl/>
        </w:rPr>
        <w:tab/>
        <w:t>(ج)</w:t>
      </w:r>
      <w:r>
        <w:rPr>
          <w:rFonts w:hint="cs"/>
          <w:rtl/>
        </w:rPr>
        <w:tab/>
        <w:t>تشجيع زيادة التكافؤ بين الجنسين.</w:t>
      </w:r>
    </w:p>
    <w:p w:rsidR="00C67DF8" w:rsidRDefault="00C67DF8" w:rsidP="00C67DF8">
      <w:pPr>
        <w:pStyle w:val="SingleTxt"/>
        <w:tabs>
          <w:tab w:val="clear" w:pos="1930"/>
          <w:tab w:val="clear" w:pos="2592"/>
          <w:tab w:val="left" w:pos="2125"/>
          <w:tab w:val="left" w:pos="2846"/>
        </w:tabs>
        <w:ind w:left="3254" w:hanging="1987"/>
        <w:rPr>
          <w:rFonts w:hint="cs"/>
          <w:rtl/>
        </w:rPr>
      </w:pPr>
      <w:r>
        <w:rPr>
          <w:rFonts w:hint="cs"/>
          <w:rtl/>
        </w:rPr>
        <w:tab/>
      </w:r>
      <w:r>
        <w:rPr>
          <w:rFonts w:hint="cs"/>
          <w:rtl/>
        </w:rPr>
        <w:tab/>
        <w:t>(1)</w:t>
      </w:r>
      <w:r>
        <w:rPr>
          <w:rFonts w:hint="cs"/>
          <w:rtl/>
        </w:rPr>
        <w:tab/>
        <w:t>التركيز على خدمات الصحة الإنجابية للنساء في سن الإنجاب من خلال معالجة بالقرب من منازلهن لأطوار حياتهن المختلفة. وسيكفل هذا توفير مرافق الأمومة المأمونة.</w:t>
      </w:r>
    </w:p>
    <w:p w:rsidR="00C67DF8" w:rsidRDefault="00C67DF8" w:rsidP="00C67DF8">
      <w:pPr>
        <w:pStyle w:val="SingleTxt"/>
        <w:tabs>
          <w:tab w:val="clear" w:pos="1930"/>
          <w:tab w:val="clear" w:pos="2592"/>
          <w:tab w:val="left" w:pos="2125"/>
          <w:tab w:val="left" w:pos="2846"/>
        </w:tabs>
        <w:ind w:left="3254" w:hanging="1987"/>
        <w:rPr>
          <w:rFonts w:hint="cs"/>
          <w:rtl/>
        </w:rPr>
      </w:pPr>
      <w:r>
        <w:rPr>
          <w:rFonts w:hint="cs"/>
          <w:rtl/>
        </w:rPr>
        <w:tab/>
      </w:r>
      <w:r>
        <w:rPr>
          <w:rFonts w:hint="cs"/>
          <w:rtl/>
        </w:rPr>
        <w:tab/>
        <w:t>(2)</w:t>
      </w:r>
      <w:r>
        <w:rPr>
          <w:rFonts w:hint="cs"/>
          <w:rtl/>
        </w:rPr>
        <w:tab/>
        <w:t xml:space="preserve">خدمات  الرعاية في حالة الولادة الطارئة من خلال </w:t>
      </w:r>
      <w:r>
        <w:rPr>
          <w:rFonts w:hint="eastAsia"/>
          <w:rtl/>
        </w:rPr>
        <w:t>”المستشفيات  الصديقة للمرأة</w:t>
      </w:r>
      <w:r>
        <w:rPr>
          <w:rFonts w:hint="cs"/>
          <w:rtl/>
        </w:rPr>
        <w:t>“ في 20 منطقة في باكستان، وذلك في إطار مشروع صحة المرأة.</w:t>
      </w:r>
    </w:p>
    <w:p w:rsidR="00C67DF8" w:rsidRDefault="00C67DF8" w:rsidP="00C67DF8">
      <w:pPr>
        <w:pStyle w:val="SingleTxt"/>
        <w:tabs>
          <w:tab w:val="clear" w:pos="1930"/>
          <w:tab w:val="clear" w:pos="2592"/>
          <w:tab w:val="left" w:pos="2125"/>
          <w:tab w:val="left" w:pos="2846"/>
        </w:tabs>
        <w:rPr>
          <w:rFonts w:hint="cs"/>
          <w:rtl/>
        </w:rPr>
      </w:pPr>
      <w:r>
        <w:rPr>
          <w:rFonts w:hint="cs"/>
          <w:rtl/>
        </w:rPr>
        <w:tab/>
        <w:t>(د)</w:t>
      </w:r>
      <w:r>
        <w:rPr>
          <w:rFonts w:hint="cs"/>
          <w:rtl/>
        </w:rPr>
        <w:tab/>
        <w:t xml:space="preserve">سد فجوات التغذية الأساسية في المجموعة السكانية المستهدفة. </w:t>
      </w:r>
    </w:p>
    <w:p w:rsidR="00C67DF8" w:rsidRDefault="00C67DF8" w:rsidP="00C67DF8">
      <w:pPr>
        <w:pStyle w:val="SingleTxt"/>
        <w:tabs>
          <w:tab w:val="clear" w:pos="1930"/>
          <w:tab w:val="clear" w:pos="2592"/>
          <w:tab w:val="left" w:pos="2125"/>
          <w:tab w:val="left" w:pos="2846"/>
        </w:tabs>
        <w:ind w:left="3254" w:hanging="1987"/>
        <w:rPr>
          <w:rFonts w:hint="cs"/>
          <w:rtl/>
        </w:rPr>
      </w:pPr>
      <w:r>
        <w:rPr>
          <w:rFonts w:hint="cs"/>
          <w:rtl/>
        </w:rPr>
        <w:tab/>
      </w:r>
      <w:r>
        <w:rPr>
          <w:rFonts w:hint="cs"/>
          <w:rtl/>
        </w:rPr>
        <w:tab/>
        <w:t>(1)</w:t>
      </w:r>
      <w:r>
        <w:rPr>
          <w:rFonts w:hint="cs"/>
          <w:rtl/>
        </w:rPr>
        <w:tab/>
        <w:t>ستوفر مكملات فيتامين ألف كل سنة لجميع الأطفال دون سن الخامسة (نحو 30 مليون طفل) إلى جانب مصل شلل الأطفال الفموي في أيام التحصين الوطنية من خلال شبكة برنامج التحصين الموسع.</w:t>
      </w:r>
    </w:p>
    <w:p w:rsidR="00C67DF8" w:rsidRDefault="00C67DF8" w:rsidP="00C67DF8">
      <w:pPr>
        <w:pStyle w:val="SingleTxt"/>
        <w:tabs>
          <w:tab w:val="clear" w:pos="1930"/>
          <w:tab w:val="clear" w:pos="2592"/>
          <w:tab w:val="left" w:pos="2125"/>
          <w:tab w:val="left" w:pos="2846"/>
        </w:tabs>
        <w:ind w:left="3254" w:hanging="1987"/>
        <w:rPr>
          <w:rFonts w:hint="cs"/>
          <w:rtl/>
        </w:rPr>
      </w:pPr>
      <w:r>
        <w:rPr>
          <w:rFonts w:hint="cs"/>
          <w:rtl/>
        </w:rPr>
        <w:tab/>
      </w:r>
      <w:r>
        <w:rPr>
          <w:rFonts w:hint="cs"/>
          <w:rtl/>
        </w:rPr>
        <w:tab/>
        <w:t>(2)</w:t>
      </w:r>
      <w:r>
        <w:rPr>
          <w:rFonts w:hint="cs"/>
          <w:rtl/>
        </w:rPr>
        <w:tab/>
        <w:t>توفير الملح المضاف إليه اليود مع إدخال الدقيق والزيت النباتي المقوى بإضافة المغذيات الدقيقة من قبيل الحديد وفيتامين ألف.</w:t>
      </w:r>
    </w:p>
    <w:p w:rsidR="00C67DF8" w:rsidRPr="00DC0EB3" w:rsidRDefault="00C67DF8" w:rsidP="00C67DF8">
      <w:pPr>
        <w:pStyle w:val="SingleTxt"/>
        <w:tabs>
          <w:tab w:val="clear" w:pos="1930"/>
          <w:tab w:val="clear" w:pos="2592"/>
          <w:tab w:val="left" w:pos="2125"/>
          <w:tab w:val="left" w:pos="2846"/>
        </w:tabs>
        <w:spacing w:after="0" w:line="120" w:lineRule="exact"/>
        <w:ind w:left="3254" w:hanging="1987"/>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تتخذ الدول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بتنظيم الأسرة</w:t>
      </w:r>
    </w:p>
    <w:p w:rsidR="00C67DF8" w:rsidRDefault="00C67DF8" w:rsidP="00C67DF8">
      <w:pPr>
        <w:pStyle w:val="SingleTxt"/>
        <w:tabs>
          <w:tab w:val="clear" w:pos="1930"/>
          <w:tab w:val="left" w:pos="2228"/>
        </w:tabs>
        <w:rPr>
          <w:rFonts w:hint="cs"/>
          <w:rtl/>
        </w:rPr>
      </w:pPr>
      <w:r>
        <w:rPr>
          <w:rFonts w:hint="cs"/>
          <w:rtl/>
        </w:rPr>
        <w:t>311 -</w:t>
      </w:r>
      <w:r>
        <w:rPr>
          <w:rFonts w:hint="cs"/>
          <w:rtl/>
        </w:rPr>
        <w:tab/>
        <w:t>يستطيع جميع مواطني باكستان الوصول إلى الهياكل الأساسية الصحية الباكستانية بصرف النظر عن نوع الجنس. وينطبق ذلك أيضا على خدمات تنظيم الأسرة.</w:t>
      </w:r>
    </w:p>
    <w:p w:rsidR="00C67DF8" w:rsidRDefault="00C67DF8" w:rsidP="00C67DF8">
      <w:pPr>
        <w:pStyle w:val="SingleTxt"/>
        <w:tabs>
          <w:tab w:val="clear" w:pos="1930"/>
          <w:tab w:val="left" w:pos="2228"/>
        </w:tabs>
        <w:rPr>
          <w:rFonts w:hint="cs"/>
          <w:rtl/>
        </w:rPr>
      </w:pPr>
      <w:r>
        <w:rPr>
          <w:rFonts w:hint="cs"/>
          <w:rtl/>
        </w:rPr>
        <w:t>312 -</w:t>
      </w:r>
      <w:r>
        <w:rPr>
          <w:rFonts w:hint="cs"/>
          <w:rtl/>
        </w:rPr>
        <w:tab/>
        <w:t xml:space="preserve">وتتألف الهياكل الأساسية الصحية الحالية في القطاع العام من 906 مستشفيات و590 4 مستوصفا، و550 من المراكز الصحية الريفية، و308 5 وحدات صحية أساسية و264 98 من أسرَّة المستشفيات. ويعتبر هذا مقابلا للبلدان النامية الأخرى. ومع ذلك، فتوفر طبيب واحد لكل 466 1 شخصا وطبيب أسنان واحد لكل 405 29 أشخاص وممرض واحد لكل 347 3 شخصا وسرير مستشفى واحد لكل 517 1 شخصا يؤكد الحاجة إلى مزيد من التحسن في الهياكل الأساسية العمرانية. وهناك تحدي أكبر يتمثل في تحسين الجانب النوعي لنظام الرعاية الصحية في باكستان. ولا تعتبر نوعية الرعاية والخدمات المقدمة في هذه المرافق موحدة. وقد تم الإعراب عن مخاوف مؤداها أن بعض المرافق مثل الوحدات الصحية الأساسية تعمل بشكل جزئي أو لا تعمل على الإطلاق. </w:t>
      </w:r>
    </w:p>
    <w:p w:rsidR="00C67DF8" w:rsidRDefault="00C67DF8" w:rsidP="00C67DF8">
      <w:pPr>
        <w:pStyle w:val="SingleTxt"/>
        <w:tabs>
          <w:tab w:val="clear" w:pos="1930"/>
          <w:tab w:val="left" w:pos="2228"/>
        </w:tabs>
        <w:rPr>
          <w:rFonts w:hint="cs"/>
          <w:rtl/>
        </w:rPr>
      </w:pPr>
      <w:r>
        <w:rPr>
          <w:rFonts w:hint="cs"/>
          <w:rtl/>
        </w:rPr>
        <w:t>313 -</w:t>
      </w:r>
      <w:r>
        <w:rPr>
          <w:rFonts w:hint="cs"/>
          <w:rtl/>
        </w:rPr>
        <w:tab/>
        <w:t>وبلغ عدد الأطباء في باكستان في أيلول/سبتمبر 2003، نحو 392 91 طبيبا منهم 649 33 (36.8 في المائة) من النساء. وكان عدد الممرضين المسجلين 520 44 ممرضا، وأغلبهم من النساء</w:t>
      </w:r>
      <w:r w:rsidRPr="00A40A9D">
        <w:rPr>
          <w:vertAlign w:val="superscript"/>
          <w:rtl/>
        </w:rPr>
        <w:t>(</w:t>
      </w:r>
      <w:r>
        <w:rPr>
          <w:rStyle w:val="FootnoteReference"/>
          <w:rtl/>
        </w:rPr>
        <w:footnoteReference w:id="14"/>
      </w:r>
      <w:r w:rsidRPr="00A40A9D">
        <w:rPr>
          <w:vertAlign w:val="superscript"/>
          <w:rtl/>
        </w:rPr>
        <w:t>)</w:t>
      </w:r>
      <w:r>
        <w:rPr>
          <w:rFonts w:hint="cs"/>
          <w:rtl/>
        </w:rPr>
        <w:t>.</w:t>
      </w:r>
    </w:p>
    <w:p w:rsidR="00C67DF8" w:rsidRDefault="00C67DF8" w:rsidP="002360DC">
      <w:pPr>
        <w:pStyle w:val="SingleTxt"/>
        <w:tabs>
          <w:tab w:val="clear" w:pos="1930"/>
          <w:tab w:val="left" w:pos="2228"/>
        </w:tabs>
        <w:rPr>
          <w:rFonts w:hint="cs"/>
          <w:rtl/>
        </w:rPr>
      </w:pPr>
      <w:r>
        <w:rPr>
          <w:rFonts w:hint="cs"/>
          <w:rtl/>
        </w:rPr>
        <w:t>314 -</w:t>
      </w:r>
      <w:r>
        <w:rPr>
          <w:rFonts w:hint="cs"/>
          <w:rtl/>
        </w:rPr>
        <w:tab/>
        <w:t>ويظل معدل وفيات الأمهات مرتفعا في باكستان ويقدر أنه 340 لكل 000 100 من المواليد الأحياء. وهناك بعض التقديرات تفوق ذلك. وتعاني امرأتان في كل 5 من النساء الحوامل من فقر الدم. ولا تحصل 4 من كل 5 ولادات على المساعدة من مسؤول صحي مدرب. وكان العم</w:t>
      </w:r>
      <w:r w:rsidR="002360DC">
        <w:rPr>
          <w:rFonts w:hint="cs"/>
          <w:rtl/>
        </w:rPr>
        <w:t>ر</w:t>
      </w:r>
      <w:r>
        <w:rPr>
          <w:rFonts w:hint="cs"/>
          <w:rtl/>
        </w:rPr>
        <w:t xml:space="preserve"> المتوقع عند الولادة في سنة 2001، 64 سنة للذكور و66 سنة للإناث.</w:t>
      </w:r>
    </w:p>
    <w:p w:rsidR="00C67DF8" w:rsidRDefault="00C67DF8" w:rsidP="00C67DF8">
      <w:pPr>
        <w:pStyle w:val="SingleTxt"/>
        <w:tabs>
          <w:tab w:val="clear" w:pos="1930"/>
          <w:tab w:val="left" w:pos="2228"/>
        </w:tabs>
        <w:rPr>
          <w:rFonts w:hint="cs"/>
          <w:rtl/>
        </w:rPr>
      </w:pPr>
      <w:r>
        <w:rPr>
          <w:rFonts w:hint="cs"/>
          <w:rtl/>
        </w:rPr>
        <w:t>315 -</w:t>
      </w:r>
      <w:r>
        <w:rPr>
          <w:rFonts w:hint="cs"/>
          <w:rtl/>
        </w:rPr>
        <w:tab/>
        <w:t>وفيما يلي بعض المؤشرات الصحية الأخرى:</w:t>
      </w:r>
    </w:p>
    <w:p w:rsidR="00C67DF8" w:rsidRPr="00FE7569" w:rsidRDefault="00C67DF8" w:rsidP="00C67DF8">
      <w:pPr>
        <w:pStyle w:val="SingleTxt"/>
        <w:tabs>
          <w:tab w:val="clear" w:pos="1930"/>
          <w:tab w:val="left" w:pos="2228"/>
        </w:tabs>
        <w:spacing w:after="0" w:line="120" w:lineRule="exact"/>
        <w:rPr>
          <w:rFonts w:hint="cs"/>
          <w:sz w:val="12"/>
          <w:rtl/>
        </w:rPr>
      </w:pPr>
    </w:p>
    <w:p w:rsidR="00C67DF8" w:rsidRDefault="00C67DF8" w:rsidP="00C67DF8">
      <w:pPr>
        <w:pStyle w:val="SingleTxt"/>
        <w:spacing w:after="0"/>
        <w:rPr>
          <w:rFonts w:hint="cs"/>
          <w:rtl/>
        </w:rPr>
      </w:pPr>
      <w:r>
        <w:rPr>
          <w:rFonts w:hint="cs"/>
          <w:rtl/>
        </w:rPr>
        <w:t>الجدول 12-1</w:t>
      </w:r>
    </w:p>
    <w:p w:rsidR="00C67DF8" w:rsidRPr="00DC0EB3" w:rsidRDefault="00C67DF8" w:rsidP="00C67DF8">
      <w:pPr>
        <w:pStyle w:val="SingleTxt"/>
        <w:rPr>
          <w:rFonts w:hint="cs"/>
          <w:b/>
          <w:bCs/>
          <w:rtl/>
        </w:rPr>
      </w:pPr>
      <w:r w:rsidRPr="00DC0EB3">
        <w:rPr>
          <w:rFonts w:hint="cs"/>
          <w:b/>
          <w:bCs/>
          <w:rtl/>
        </w:rPr>
        <w:t>معدل وفيات الرضع - حسب نوع الجنس والمنطقة</w:t>
      </w:r>
    </w:p>
    <w:p w:rsidR="00C67DF8" w:rsidRPr="00DC0EB3" w:rsidRDefault="00C67DF8" w:rsidP="00C67DF8">
      <w:pPr>
        <w:pStyle w:val="SingleTxt"/>
        <w:spacing w:after="0" w:line="120" w:lineRule="exact"/>
        <w:rPr>
          <w:rFonts w:hint="cs"/>
          <w:sz w:val="10"/>
          <w:rtl/>
        </w:rPr>
      </w:pPr>
    </w:p>
    <w:tbl>
      <w:tblPr>
        <w:bidiVisual/>
        <w:tblW w:w="0" w:type="auto"/>
        <w:tblInd w:w="585" w:type="dxa"/>
        <w:tblLayout w:type="fixed"/>
        <w:tblLook w:val="01E0" w:firstRow="1" w:lastRow="1" w:firstColumn="1" w:lastColumn="1" w:noHBand="0" w:noVBand="0"/>
      </w:tblPr>
      <w:tblGrid>
        <w:gridCol w:w="1030"/>
        <w:gridCol w:w="824"/>
        <w:gridCol w:w="824"/>
        <w:gridCol w:w="927"/>
        <w:gridCol w:w="841"/>
        <w:gridCol w:w="807"/>
        <w:gridCol w:w="927"/>
        <w:gridCol w:w="824"/>
        <w:gridCol w:w="824"/>
        <w:gridCol w:w="927"/>
      </w:tblGrid>
      <w:tr w:rsidR="00C67DF8" w:rsidRPr="00FE7569">
        <w:trPr>
          <w:cantSplit/>
          <w:tblHeader/>
        </w:trPr>
        <w:tc>
          <w:tcPr>
            <w:tcW w:w="8755" w:type="dxa"/>
            <w:gridSpan w:val="10"/>
            <w:shd w:val="clear" w:color="auto" w:fill="auto"/>
            <w:vAlign w:val="bottom"/>
          </w:tcPr>
          <w:p w:rsidR="00C67DF8" w:rsidRPr="00FE7569" w:rsidRDefault="00C67DF8" w:rsidP="00C67DF8">
            <w:pPr>
              <w:pStyle w:val="DualTxt"/>
              <w:spacing w:after="80" w:line="240" w:lineRule="exact"/>
              <w:ind w:right="144"/>
              <w:jc w:val="center"/>
              <w:rPr>
                <w:rFonts w:hint="cs"/>
                <w:i/>
                <w:iCs/>
                <w:sz w:val="16"/>
                <w:szCs w:val="24"/>
                <w:rtl/>
              </w:rPr>
            </w:pPr>
            <w:r>
              <w:rPr>
                <w:rFonts w:hint="cs"/>
                <w:i/>
                <w:iCs/>
                <w:sz w:val="16"/>
                <w:szCs w:val="24"/>
                <w:rtl/>
              </w:rPr>
              <w:t>الوفيات لكل ألف مولود حي</w:t>
            </w:r>
          </w:p>
        </w:tc>
      </w:tr>
      <w:tr w:rsidR="00C67DF8" w:rsidRPr="00FE7569">
        <w:trPr>
          <w:cantSplit/>
          <w:tblHeader/>
        </w:trPr>
        <w:tc>
          <w:tcPr>
            <w:tcW w:w="1030" w:type="dxa"/>
            <w:vMerge w:val="restart"/>
            <w:shd w:val="clear" w:color="auto" w:fill="auto"/>
            <w:vAlign w:val="bottom"/>
          </w:tcPr>
          <w:p w:rsidR="00C67DF8" w:rsidRPr="00FE7569" w:rsidRDefault="00C67DF8" w:rsidP="00C67DF8">
            <w:pPr>
              <w:pStyle w:val="DualTxt"/>
              <w:spacing w:after="80" w:line="240" w:lineRule="exact"/>
              <w:rPr>
                <w:rFonts w:hint="cs"/>
                <w:i/>
                <w:iCs/>
                <w:sz w:val="16"/>
                <w:szCs w:val="24"/>
                <w:rtl/>
              </w:rPr>
            </w:pPr>
            <w:r>
              <w:rPr>
                <w:rFonts w:hint="cs"/>
                <w:i/>
                <w:iCs/>
                <w:sz w:val="16"/>
                <w:szCs w:val="24"/>
                <w:rtl/>
              </w:rPr>
              <w:t>المنطقة</w:t>
            </w:r>
          </w:p>
        </w:tc>
        <w:tc>
          <w:tcPr>
            <w:tcW w:w="2575" w:type="dxa"/>
            <w:gridSpan w:val="3"/>
            <w:shd w:val="clear" w:color="auto" w:fill="auto"/>
            <w:vAlign w:val="bottom"/>
          </w:tcPr>
          <w:p w:rsidR="00C67DF8" w:rsidRPr="00FE7569" w:rsidRDefault="00C67DF8" w:rsidP="00C67DF8">
            <w:pPr>
              <w:pStyle w:val="DualTxt"/>
              <w:spacing w:after="80" w:line="240" w:lineRule="exact"/>
              <w:ind w:right="144"/>
              <w:jc w:val="center"/>
              <w:rPr>
                <w:rFonts w:hint="cs"/>
                <w:i/>
                <w:iCs/>
                <w:sz w:val="16"/>
                <w:szCs w:val="24"/>
                <w:rtl/>
              </w:rPr>
            </w:pPr>
            <w:r>
              <w:rPr>
                <w:rFonts w:hint="cs"/>
                <w:i/>
                <w:iCs/>
                <w:sz w:val="16"/>
                <w:szCs w:val="24"/>
                <w:rtl/>
              </w:rPr>
              <w:t>1995-1996</w:t>
            </w:r>
          </w:p>
        </w:tc>
        <w:tc>
          <w:tcPr>
            <w:tcW w:w="2575" w:type="dxa"/>
            <w:gridSpan w:val="3"/>
            <w:shd w:val="clear" w:color="auto" w:fill="auto"/>
            <w:vAlign w:val="bottom"/>
          </w:tcPr>
          <w:p w:rsidR="00C67DF8" w:rsidRPr="00FE7569" w:rsidRDefault="00C67DF8" w:rsidP="00C67DF8">
            <w:pPr>
              <w:pStyle w:val="DualTxt"/>
              <w:spacing w:after="80" w:line="240" w:lineRule="exact"/>
              <w:ind w:right="144"/>
              <w:jc w:val="center"/>
              <w:rPr>
                <w:rFonts w:hint="cs"/>
                <w:i/>
                <w:iCs/>
                <w:sz w:val="16"/>
                <w:szCs w:val="24"/>
                <w:rtl/>
              </w:rPr>
            </w:pPr>
            <w:r>
              <w:rPr>
                <w:rFonts w:hint="cs"/>
                <w:i/>
                <w:iCs/>
                <w:sz w:val="16"/>
                <w:szCs w:val="24"/>
                <w:rtl/>
              </w:rPr>
              <w:t>1998-1999</w:t>
            </w:r>
          </w:p>
        </w:tc>
        <w:tc>
          <w:tcPr>
            <w:tcW w:w="2575" w:type="dxa"/>
            <w:gridSpan w:val="3"/>
            <w:shd w:val="clear" w:color="auto" w:fill="auto"/>
            <w:vAlign w:val="bottom"/>
          </w:tcPr>
          <w:p w:rsidR="00C67DF8" w:rsidRPr="00FE7569" w:rsidRDefault="00C67DF8" w:rsidP="00C67DF8">
            <w:pPr>
              <w:pStyle w:val="DualTxt"/>
              <w:spacing w:after="80" w:line="240" w:lineRule="exact"/>
              <w:ind w:right="144"/>
              <w:jc w:val="center"/>
              <w:rPr>
                <w:rFonts w:hint="cs"/>
                <w:i/>
                <w:iCs/>
                <w:sz w:val="16"/>
                <w:szCs w:val="24"/>
                <w:rtl/>
              </w:rPr>
            </w:pPr>
            <w:r>
              <w:rPr>
                <w:rFonts w:hint="cs"/>
                <w:i/>
                <w:iCs/>
                <w:sz w:val="16"/>
                <w:szCs w:val="24"/>
                <w:rtl/>
              </w:rPr>
              <w:t>2001-2002</w:t>
            </w:r>
          </w:p>
        </w:tc>
      </w:tr>
      <w:tr w:rsidR="00C67DF8" w:rsidRPr="00FE7569">
        <w:trPr>
          <w:cantSplit/>
          <w:tblHeader/>
        </w:trPr>
        <w:tc>
          <w:tcPr>
            <w:tcW w:w="1030" w:type="dxa"/>
            <w:vMerge/>
            <w:shd w:val="clear" w:color="auto" w:fill="auto"/>
            <w:vAlign w:val="bottom"/>
          </w:tcPr>
          <w:p w:rsidR="00C67DF8" w:rsidRPr="00FE7569" w:rsidRDefault="00C67DF8" w:rsidP="00C67DF8">
            <w:pPr>
              <w:pStyle w:val="DualTxt"/>
              <w:spacing w:after="80" w:line="240" w:lineRule="exact"/>
              <w:rPr>
                <w:rFonts w:hint="cs"/>
                <w:i/>
                <w:iCs/>
                <w:sz w:val="16"/>
                <w:szCs w:val="24"/>
                <w:rtl/>
              </w:rPr>
            </w:pPr>
          </w:p>
        </w:tc>
        <w:tc>
          <w:tcPr>
            <w:tcW w:w="824" w:type="dxa"/>
            <w:shd w:val="clear" w:color="auto" w:fill="auto"/>
            <w:vAlign w:val="bottom"/>
          </w:tcPr>
          <w:p w:rsidR="00C67DF8" w:rsidRPr="00FE7569" w:rsidRDefault="00C67DF8" w:rsidP="00C67DF8">
            <w:pPr>
              <w:pStyle w:val="DualTxt"/>
              <w:spacing w:after="80" w:line="240" w:lineRule="exact"/>
              <w:ind w:right="144"/>
              <w:rPr>
                <w:rFonts w:hint="cs"/>
                <w:i/>
                <w:iCs/>
                <w:sz w:val="16"/>
                <w:szCs w:val="24"/>
                <w:rtl/>
              </w:rPr>
            </w:pPr>
          </w:p>
        </w:tc>
        <w:tc>
          <w:tcPr>
            <w:tcW w:w="824" w:type="dxa"/>
            <w:shd w:val="clear" w:color="auto" w:fill="auto"/>
            <w:vAlign w:val="bottom"/>
          </w:tcPr>
          <w:p w:rsidR="00C67DF8" w:rsidRPr="00FE7569" w:rsidRDefault="00C67DF8" w:rsidP="00C67DF8">
            <w:pPr>
              <w:pStyle w:val="DualTxt"/>
              <w:spacing w:after="80" w:line="240" w:lineRule="exact"/>
              <w:ind w:right="144"/>
              <w:rPr>
                <w:rFonts w:hint="cs"/>
                <w:i/>
                <w:iCs/>
                <w:sz w:val="16"/>
                <w:szCs w:val="24"/>
                <w:rtl/>
              </w:rPr>
            </w:pPr>
          </w:p>
        </w:tc>
        <w:tc>
          <w:tcPr>
            <w:tcW w:w="927" w:type="dxa"/>
            <w:shd w:val="clear" w:color="auto" w:fill="auto"/>
            <w:vAlign w:val="bottom"/>
          </w:tcPr>
          <w:p w:rsidR="00C67DF8" w:rsidRPr="00FE7569" w:rsidRDefault="00C67DF8" w:rsidP="00C67DF8">
            <w:pPr>
              <w:pStyle w:val="DualTxt"/>
              <w:spacing w:after="80" w:line="240" w:lineRule="exact"/>
              <w:ind w:right="144"/>
              <w:rPr>
                <w:rFonts w:hint="cs"/>
                <w:i/>
                <w:iCs/>
                <w:sz w:val="16"/>
                <w:szCs w:val="24"/>
                <w:rtl/>
              </w:rPr>
            </w:pPr>
          </w:p>
        </w:tc>
        <w:tc>
          <w:tcPr>
            <w:tcW w:w="841" w:type="dxa"/>
            <w:shd w:val="clear" w:color="auto" w:fill="auto"/>
            <w:vAlign w:val="bottom"/>
          </w:tcPr>
          <w:p w:rsidR="00C67DF8" w:rsidRPr="00FE7569" w:rsidRDefault="00C67DF8" w:rsidP="00C67DF8">
            <w:pPr>
              <w:pStyle w:val="DualTxt"/>
              <w:spacing w:after="80" w:line="240" w:lineRule="exact"/>
              <w:ind w:right="144"/>
              <w:rPr>
                <w:rFonts w:hint="cs"/>
                <w:i/>
                <w:iCs/>
                <w:sz w:val="16"/>
                <w:szCs w:val="24"/>
                <w:rtl/>
              </w:rPr>
            </w:pPr>
          </w:p>
        </w:tc>
        <w:tc>
          <w:tcPr>
            <w:tcW w:w="807" w:type="dxa"/>
            <w:shd w:val="clear" w:color="auto" w:fill="auto"/>
            <w:vAlign w:val="bottom"/>
          </w:tcPr>
          <w:p w:rsidR="00C67DF8" w:rsidRPr="00FE7569" w:rsidRDefault="00C67DF8" w:rsidP="00C67DF8">
            <w:pPr>
              <w:pStyle w:val="DualTxt"/>
              <w:spacing w:after="80" w:line="240" w:lineRule="exact"/>
              <w:ind w:right="144"/>
              <w:rPr>
                <w:rFonts w:hint="cs"/>
                <w:i/>
                <w:iCs/>
                <w:sz w:val="16"/>
                <w:szCs w:val="24"/>
                <w:rtl/>
              </w:rPr>
            </w:pPr>
          </w:p>
        </w:tc>
        <w:tc>
          <w:tcPr>
            <w:tcW w:w="927" w:type="dxa"/>
            <w:shd w:val="clear" w:color="auto" w:fill="auto"/>
            <w:vAlign w:val="bottom"/>
          </w:tcPr>
          <w:p w:rsidR="00C67DF8" w:rsidRPr="00FE7569" w:rsidRDefault="00C67DF8" w:rsidP="00C67DF8">
            <w:pPr>
              <w:pStyle w:val="DualTxt"/>
              <w:spacing w:after="80" w:line="240" w:lineRule="exact"/>
              <w:ind w:right="144"/>
              <w:rPr>
                <w:rFonts w:hint="cs"/>
                <w:i/>
                <w:iCs/>
                <w:sz w:val="16"/>
                <w:szCs w:val="24"/>
                <w:rtl/>
              </w:rPr>
            </w:pPr>
          </w:p>
        </w:tc>
        <w:tc>
          <w:tcPr>
            <w:tcW w:w="2575" w:type="dxa"/>
            <w:gridSpan w:val="3"/>
            <w:shd w:val="clear" w:color="auto" w:fill="auto"/>
            <w:vAlign w:val="bottom"/>
          </w:tcPr>
          <w:p w:rsidR="00C67DF8" w:rsidRPr="00FE7569" w:rsidRDefault="00C67DF8" w:rsidP="00C67DF8">
            <w:pPr>
              <w:pStyle w:val="DualTxt"/>
              <w:spacing w:after="80" w:line="240" w:lineRule="exact"/>
              <w:ind w:right="144"/>
              <w:jc w:val="center"/>
              <w:rPr>
                <w:rFonts w:hint="cs"/>
                <w:i/>
                <w:iCs/>
                <w:sz w:val="16"/>
                <w:szCs w:val="24"/>
                <w:rtl/>
              </w:rPr>
            </w:pPr>
            <w:r>
              <w:rPr>
                <w:rFonts w:hint="cs"/>
                <w:i/>
                <w:iCs/>
                <w:sz w:val="16"/>
                <w:szCs w:val="24"/>
                <w:rtl/>
              </w:rPr>
              <w:t>(الفترة 1997-1999)</w:t>
            </w:r>
          </w:p>
        </w:tc>
      </w:tr>
      <w:tr w:rsidR="00C67DF8" w:rsidRPr="00FE7569">
        <w:trPr>
          <w:cantSplit/>
          <w:tblHeader/>
        </w:trPr>
        <w:tc>
          <w:tcPr>
            <w:tcW w:w="1030" w:type="dxa"/>
            <w:vMerge/>
            <w:tcBorders>
              <w:bottom w:val="single" w:sz="12" w:space="0" w:color="auto"/>
            </w:tcBorders>
            <w:shd w:val="clear" w:color="auto" w:fill="auto"/>
            <w:vAlign w:val="bottom"/>
          </w:tcPr>
          <w:p w:rsidR="00C67DF8" w:rsidRDefault="00C67DF8" w:rsidP="00C67DF8">
            <w:pPr>
              <w:pStyle w:val="DualTxt"/>
              <w:spacing w:after="80" w:line="240" w:lineRule="exact"/>
              <w:rPr>
                <w:rFonts w:hint="cs"/>
                <w:i/>
                <w:iCs/>
                <w:sz w:val="16"/>
                <w:szCs w:val="24"/>
                <w:rtl/>
              </w:rPr>
            </w:pPr>
          </w:p>
        </w:tc>
        <w:tc>
          <w:tcPr>
            <w:tcW w:w="824" w:type="dxa"/>
            <w:tcBorders>
              <w:bottom w:val="single" w:sz="12" w:space="0" w:color="auto"/>
            </w:tcBorders>
            <w:shd w:val="clear" w:color="auto" w:fill="auto"/>
            <w:vAlign w:val="bottom"/>
          </w:tcPr>
          <w:p w:rsidR="00C67DF8" w:rsidRDefault="00C67DF8" w:rsidP="00C67DF8">
            <w:pPr>
              <w:pStyle w:val="DualTxt"/>
              <w:spacing w:after="80" w:line="240" w:lineRule="exact"/>
              <w:ind w:right="144"/>
              <w:jc w:val="center"/>
              <w:rPr>
                <w:rFonts w:hint="cs"/>
                <w:i/>
                <w:iCs/>
                <w:sz w:val="16"/>
                <w:szCs w:val="24"/>
                <w:rtl/>
              </w:rPr>
            </w:pPr>
            <w:r>
              <w:rPr>
                <w:rFonts w:hint="cs"/>
                <w:i/>
                <w:iCs/>
                <w:sz w:val="16"/>
                <w:szCs w:val="24"/>
                <w:rtl/>
              </w:rPr>
              <w:t>الذكور</w:t>
            </w:r>
          </w:p>
        </w:tc>
        <w:tc>
          <w:tcPr>
            <w:tcW w:w="824" w:type="dxa"/>
            <w:tcBorders>
              <w:bottom w:val="single" w:sz="12" w:space="0" w:color="auto"/>
            </w:tcBorders>
            <w:shd w:val="clear" w:color="auto" w:fill="auto"/>
            <w:vAlign w:val="bottom"/>
          </w:tcPr>
          <w:p w:rsidR="00C67DF8" w:rsidRDefault="00C67DF8" w:rsidP="00C67DF8">
            <w:pPr>
              <w:pStyle w:val="DualTxt"/>
              <w:spacing w:after="80" w:line="240" w:lineRule="exact"/>
              <w:ind w:right="144"/>
              <w:jc w:val="center"/>
              <w:rPr>
                <w:rFonts w:hint="cs"/>
                <w:i/>
                <w:iCs/>
                <w:sz w:val="16"/>
                <w:szCs w:val="24"/>
                <w:rtl/>
              </w:rPr>
            </w:pPr>
            <w:r>
              <w:rPr>
                <w:rFonts w:hint="cs"/>
                <w:i/>
                <w:iCs/>
                <w:sz w:val="16"/>
                <w:szCs w:val="24"/>
                <w:rtl/>
              </w:rPr>
              <w:t>الإناث</w:t>
            </w:r>
          </w:p>
        </w:tc>
        <w:tc>
          <w:tcPr>
            <w:tcW w:w="927" w:type="dxa"/>
            <w:tcBorders>
              <w:bottom w:val="single" w:sz="12" w:space="0" w:color="auto"/>
            </w:tcBorders>
            <w:shd w:val="clear" w:color="auto" w:fill="auto"/>
            <w:vAlign w:val="bottom"/>
          </w:tcPr>
          <w:p w:rsidR="00C67DF8" w:rsidRDefault="00C67DF8" w:rsidP="00C67DF8">
            <w:pPr>
              <w:pStyle w:val="DualTxt"/>
              <w:spacing w:after="80" w:line="240" w:lineRule="exact"/>
              <w:ind w:right="144"/>
              <w:jc w:val="center"/>
              <w:rPr>
                <w:rFonts w:hint="cs"/>
                <w:i/>
                <w:iCs/>
                <w:sz w:val="16"/>
                <w:szCs w:val="24"/>
                <w:rtl/>
              </w:rPr>
            </w:pPr>
            <w:r>
              <w:rPr>
                <w:rFonts w:hint="cs"/>
                <w:i/>
                <w:iCs/>
                <w:sz w:val="16"/>
                <w:szCs w:val="24"/>
                <w:rtl/>
              </w:rPr>
              <w:t>الجنسان</w:t>
            </w:r>
          </w:p>
        </w:tc>
        <w:tc>
          <w:tcPr>
            <w:tcW w:w="841" w:type="dxa"/>
            <w:tcBorders>
              <w:bottom w:val="single" w:sz="12" w:space="0" w:color="auto"/>
            </w:tcBorders>
            <w:shd w:val="clear" w:color="auto" w:fill="auto"/>
            <w:vAlign w:val="bottom"/>
          </w:tcPr>
          <w:p w:rsidR="00C67DF8" w:rsidRDefault="00C67DF8" w:rsidP="00C67DF8">
            <w:pPr>
              <w:pStyle w:val="DualTxt"/>
              <w:spacing w:after="80" w:line="240" w:lineRule="exact"/>
              <w:ind w:right="144"/>
              <w:jc w:val="center"/>
              <w:rPr>
                <w:rFonts w:hint="cs"/>
                <w:i/>
                <w:iCs/>
                <w:sz w:val="16"/>
                <w:szCs w:val="24"/>
                <w:rtl/>
              </w:rPr>
            </w:pPr>
            <w:r>
              <w:rPr>
                <w:rFonts w:hint="cs"/>
                <w:i/>
                <w:iCs/>
                <w:sz w:val="16"/>
                <w:szCs w:val="24"/>
                <w:rtl/>
              </w:rPr>
              <w:t>الذكور</w:t>
            </w:r>
          </w:p>
        </w:tc>
        <w:tc>
          <w:tcPr>
            <w:tcW w:w="807" w:type="dxa"/>
            <w:tcBorders>
              <w:bottom w:val="single" w:sz="12" w:space="0" w:color="auto"/>
            </w:tcBorders>
            <w:shd w:val="clear" w:color="auto" w:fill="auto"/>
            <w:vAlign w:val="bottom"/>
          </w:tcPr>
          <w:p w:rsidR="00C67DF8" w:rsidRDefault="00C67DF8" w:rsidP="00C67DF8">
            <w:pPr>
              <w:pStyle w:val="DualTxt"/>
              <w:spacing w:after="80" w:line="240" w:lineRule="exact"/>
              <w:ind w:right="144"/>
              <w:jc w:val="center"/>
              <w:rPr>
                <w:rFonts w:hint="cs"/>
                <w:i/>
                <w:iCs/>
                <w:sz w:val="16"/>
                <w:szCs w:val="24"/>
                <w:rtl/>
              </w:rPr>
            </w:pPr>
            <w:r>
              <w:rPr>
                <w:rFonts w:hint="cs"/>
                <w:i/>
                <w:iCs/>
                <w:sz w:val="16"/>
                <w:szCs w:val="24"/>
                <w:rtl/>
              </w:rPr>
              <w:t>الإناث</w:t>
            </w:r>
          </w:p>
        </w:tc>
        <w:tc>
          <w:tcPr>
            <w:tcW w:w="927" w:type="dxa"/>
            <w:tcBorders>
              <w:bottom w:val="single" w:sz="12" w:space="0" w:color="auto"/>
            </w:tcBorders>
            <w:shd w:val="clear" w:color="auto" w:fill="auto"/>
            <w:vAlign w:val="bottom"/>
          </w:tcPr>
          <w:p w:rsidR="00C67DF8" w:rsidRDefault="00C67DF8" w:rsidP="00C67DF8">
            <w:pPr>
              <w:pStyle w:val="DualTxt"/>
              <w:spacing w:after="80" w:line="240" w:lineRule="exact"/>
              <w:ind w:right="144"/>
              <w:jc w:val="center"/>
              <w:rPr>
                <w:rFonts w:hint="cs"/>
                <w:i/>
                <w:iCs/>
                <w:sz w:val="16"/>
                <w:szCs w:val="24"/>
                <w:rtl/>
              </w:rPr>
            </w:pPr>
            <w:r>
              <w:rPr>
                <w:rFonts w:hint="cs"/>
                <w:i/>
                <w:iCs/>
                <w:sz w:val="16"/>
                <w:szCs w:val="24"/>
                <w:rtl/>
              </w:rPr>
              <w:t>الجنسان</w:t>
            </w:r>
          </w:p>
        </w:tc>
        <w:tc>
          <w:tcPr>
            <w:tcW w:w="824" w:type="dxa"/>
            <w:tcBorders>
              <w:bottom w:val="single" w:sz="12" w:space="0" w:color="auto"/>
            </w:tcBorders>
            <w:shd w:val="clear" w:color="auto" w:fill="auto"/>
            <w:vAlign w:val="bottom"/>
          </w:tcPr>
          <w:p w:rsidR="00C67DF8" w:rsidRDefault="00C67DF8" w:rsidP="00C67DF8">
            <w:pPr>
              <w:pStyle w:val="DualTxt"/>
              <w:spacing w:after="80" w:line="240" w:lineRule="exact"/>
              <w:ind w:right="144"/>
              <w:jc w:val="center"/>
              <w:rPr>
                <w:rFonts w:hint="cs"/>
                <w:i/>
                <w:iCs/>
                <w:sz w:val="16"/>
                <w:szCs w:val="24"/>
                <w:rtl/>
              </w:rPr>
            </w:pPr>
            <w:r>
              <w:rPr>
                <w:rFonts w:hint="cs"/>
                <w:i/>
                <w:iCs/>
                <w:sz w:val="16"/>
                <w:szCs w:val="24"/>
                <w:rtl/>
              </w:rPr>
              <w:t>الذكور</w:t>
            </w:r>
          </w:p>
        </w:tc>
        <w:tc>
          <w:tcPr>
            <w:tcW w:w="824" w:type="dxa"/>
            <w:tcBorders>
              <w:bottom w:val="single" w:sz="12" w:space="0" w:color="auto"/>
            </w:tcBorders>
            <w:shd w:val="clear" w:color="auto" w:fill="auto"/>
            <w:vAlign w:val="bottom"/>
          </w:tcPr>
          <w:p w:rsidR="00C67DF8" w:rsidRDefault="00C67DF8" w:rsidP="00C67DF8">
            <w:pPr>
              <w:pStyle w:val="DualTxt"/>
              <w:spacing w:after="80" w:line="240" w:lineRule="exact"/>
              <w:ind w:right="144"/>
              <w:jc w:val="center"/>
              <w:rPr>
                <w:rFonts w:hint="cs"/>
                <w:i/>
                <w:iCs/>
                <w:sz w:val="16"/>
                <w:szCs w:val="24"/>
                <w:rtl/>
              </w:rPr>
            </w:pPr>
            <w:r>
              <w:rPr>
                <w:rFonts w:hint="cs"/>
                <w:i/>
                <w:iCs/>
                <w:sz w:val="16"/>
                <w:szCs w:val="24"/>
                <w:rtl/>
              </w:rPr>
              <w:t>الإناث</w:t>
            </w:r>
          </w:p>
        </w:tc>
        <w:tc>
          <w:tcPr>
            <w:tcW w:w="927" w:type="dxa"/>
            <w:tcBorders>
              <w:bottom w:val="single" w:sz="12" w:space="0" w:color="auto"/>
            </w:tcBorders>
            <w:shd w:val="clear" w:color="auto" w:fill="auto"/>
            <w:vAlign w:val="bottom"/>
          </w:tcPr>
          <w:p w:rsidR="00C67DF8" w:rsidRDefault="00C67DF8" w:rsidP="00C67DF8">
            <w:pPr>
              <w:pStyle w:val="DualTxt"/>
              <w:spacing w:after="80" w:line="240" w:lineRule="exact"/>
              <w:ind w:right="144"/>
              <w:jc w:val="center"/>
              <w:rPr>
                <w:rFonts w:hint="cs"/>
                <w:i/>
                <w:iCs/>
                <w:sz w:val="16"/>
                <w:szCs w:val="24"/>
                <w:rtl/>
              </w:rPr>
            </w:pPr>
            <w:r>
              <w:rPr>
                <w:rFonts w:hint="cs"/>
                <w:i/>
                <w:iCs/>
                <w:sz w:val="16"/>
                <w:szCs w:val="24"/>
                <w:rtl/>
              </w:rPr>
              <w:t>الجنسان</w:t>
            </w:r>
          </w:p>
        </w:tc>
      </w:tr>
      <w:tr w:rsidR="00C67DF8" w:rsidRPr="00FE7569">
        <w:trPr>
          <w:cantSplit/>
          <w:trHeight w:hRule="exact" w:val="115"/>
          <w:tblHeader/>
        </w:trPr>
        <w:tc>
          <w:tcPr>
            <w:tcW w:w="1030" w:type="dxa"/>
            <w:tcBorders>
              <w:top w:val="single" w:sz="12" w:space="0" w:color="auto"/>
            </w:tcBorders>
            <w:shd w:val="clear" w:color="auto" w:fill="auto"/>
            <w:vAlign w:val="bottom"/>
          </w:tcPr>
          <w:p w:rsidR="00C67DF8" w:rsidRPr="00FE7569" w:rsidRDefault="00C67DF8" w:rsidP="00C67DF8">
            <w:pPr>
              <w:pStyle w:val="DualTxt"/>
              <w:spacing w:before="40" w:after="80" w:line="240" w:lineRule="exact"/>
              <w:rPr>
                <w:rFonts w:hint="cs"/>
                <w:sz w:val="16"/>
                <w:szCs w:val="24"/>
                <w:rtl/>
              </w:rPr>
            </w:pPr>
          </w:p>
        </w:tc>
        <w:tc>
          <w:tcPr>
            <w:tcW w:w="824" w:type="dxa"/>
            <w:tcBorders>
              <w:top w:val="single" w:sz="12" w:space="0" w:color="auto"/>
            </w:tcBorders>
            <w:shd w:val="clear" w:color="auto" w:fill="auto"/>
            <w:vAlign w:val="bottom"/>
          </w:tcPr>
          <w:p w:rsidR="00C67DF8" w:rsidRPr="00FE7569" w:rsidRDefault="00C67DF8" w:rsidP="00C67DF8">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7DF8" w:rsidRPr="00FE7569" w:rsidRDefault="00C67DF8" w:rsidP="00C67DF8">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C67DF8" w:rsidRPr="00FE7569" w:rsidRDefault="00C67DF8" w:rsidP="00C67DF8">
            <w:pPr>
              <w:pStyle w:val="DualTxt"/>
              <w:spacing w:before="40" w:after="80" w:line="240" w:lineRule="exact"/>
              <w:ind w:right="144"/>
              <w:rPr>
                <w:rFonts w:hint="cs"/>
                <w:sz w:val="16"/>
                <w:szCs w:val="24"/>
                <w:rtl/>
              </w:rPr>
            </w:pPr>
          </w:p>
        </w:tc>
        <w:tc>
          <w:tcPr>
            <w:tcW w:w="841" w:type="dxa"/>
            <w:tcBorders>
              <w:top w:val="single" w:sz="12" w:space="0" w:color="auto"/>
            </w:tcBorders>
            <w:shd w:val="clear" w:color="auto" w:fill="auto"/>
            <w:vAlign w:val="bottom"/>
          </w:tcPr>
          <w:p w:rsidR="00C67DF8" w:rsidRPr="00FE7569" w:rsidRDefault="00C67DF8" w:rsidP="00C67DF8">
            <w:pPr>
              <w:pStyle w:val="DualTxt"/>
              <w:spacing w:before="40" w:after="80" w:line="240" w:lineRule="exact"/>
              <w:ind w:right="144"/>
              <w:rPr>
                <w:rFonts w:hint="cs"/>
                <w:sz w:val="16"/>
                <w:szCs w:val="24"/>
                <w:rtl/>
              </w:rPr>
            </w:pPr>
          </w:p>
        </w:tc>
        <w:tc>
          <w:tcPr>
            <w:tcW w:w="807" w:type="dxa"/>
            <w:tcBorders>
              <w:top w:val="single" w:sz="12" w:space="0" w:color="auto"/>
            </w:tcBorders>
            <w:shd w:val="clear" w:color="auto" w:fill="auto"/>
            <w:vAlign w:val="bottom"/>
          </w:tcPr>
          <w:p w:rsidR="00C67DF8" w:rsidRPr="00FE7569" w:rsidRDefault="00C67DF8" w:rsidP="00C67DF8">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C67DF8" w:rsidRPr="00FE7569" w:rsidRDefault="00C67DF8" w:rsidP="00C67DF8">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7DF8" w:rsidRPr="00FE7569" w:rsidRDefault="00C67DF8" w:rsidP="00C67DF8">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7DF8" w:rsidRPr="00FE7569" w:rsidRDefault="00C67DF8" w:rsidP="00C67DF8">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C67DF8" w:rsidRPr="00FE7569" w:rsidRDefault="00C67DF8" w:rsidP="00C67DF8">
            <w:pPr>
              <w:pStyle w:val="DualTxt"/>
              <w:spacing w:before="40" w:after="80" w:line="240" w:lineRule="exact"/>
              <w:ind w:right="144"/>
              <w:rPr>
                <w:rFonts w:hint="cs"/>
                <w:sz w:val="16"/>
                <w:szCs w:val="24"/>
                <w:rtl/>
              </w:rPr>
            </w:pPr>
          </w:p>
        </w:tc>
      </w:tr>
      <w:tr w:rsidR="00C67DF8" w:rsidRPr="00FE7569">
        <w:trPr>
          <w:cantSplit/>
        </w:trPr>
        <w:tc>
          <w:tcPr>
            <w:tcW w:w="1030" w:type="dxa"/>
            <w:shd w:val="clear" w:color="auto" w:fill="auto"/>
            <w:vAlign w:val="bottom"/>
          </w:tcPr>
          <w:p w:rsidR="00C67DF8" w:rsidRPr="00FE7569" w:rsidRDefault="00C67DF8" w:rsidP="00C67DF8">
            <w:pPr>
              <w:pStyle w:val="DualTxt"/>
              <w:spacing w:before="40" w:after="80" w:line="240" w:lineRule="exact"/>
              <w:rPr>
                <w:rFonts w:hint="cs"/>
                <w:sz w:val="16"/>
                <w:szCs w:val="24"/>
                <w:rtl/>
              </w:rPr>
            </w:pPr>
            <w:r>
              <w:rPr>
                <w:rFonts w:hint="cs"/>
                <w:sz w:val="16"/>
                <w:szCs w:val="24"/>
                <w:rtl/>
              </w:rPr>
              <w:t>المناطق الحضرية</w:t>
            </w:r>
          </w:p>
        </w:tc>
        <w:tc>
          <w:tcPr>
            <w:tcW w:w="824"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77</w:t>
            </w:r>
          </w:p>
        </w:tc>
        <w:tc>
          <w:tcPr>
            <w:tcW w:w="824"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85</w:t>
            </w:r>
          </w:p>
        </w:tc>
        <w:tc>
          <w:tcPr>
            <w:tcW w:w="927"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81</w:t>
            </w:r>
          </w:p>
        </w:tc>
        <w:tc>
          <w:tcPr>
            <w:tcW w:w="841"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67</w:t>
            </w:r>
          </w:p>
        </w:tc>
        <w:tc>
          <w:tcPr>
            <w:tcW w:w="807"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80</w:t>
            </w:r>
          </w:p>
        </w:tc>
        <w:tc>
          <w:tcPr>
            <w:tcW w:w="927"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73</w:t>
            </w:r>
          </w:p>
        </w:tc>
        <w:tc>
          <w:tcPr>
            <w:tcW w:w="824"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60</w:t>
            </w:r>
          </w:p>
        </w:tc>
        <w:tc>
          <w:tcPr>
            <w:tcW w:w="824"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70</w:t>
            </w:r>
          </w:p>
        </w:tc>
        <w:tc>
          <w:tcPr>
            <w:tcW w:w="927"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65</w:t>
            </w:r>
          </w:p>
        </w:tc>
      </w:tr>
      <w:tr w:rsidR="00C67DF8" w:rsidRPr="00FE7569">
        <w:trPr>
          <w:cantSplit/>
        </w:trPr>
        <w:tc>
          <w:tcPr>
            <w:tcW w:w="1030" w:type="dxa"/>
            <w:shd w:val="clear" w:color="auto" w:fill="auto"/>
            <w:vAlign w:val="bottom"/>
          </w:tcPr>
          <w:p w:rsidR="00C67DF8" w:rsidRPr="00FE7569" w:rsidRDefault="00C67DF8" w:rsidP="00C67DF8">
            <w:pPr>
              <w:pStyle w:val="DualTxt"/>
              <w:spacing w:before="40" w:after="80" w:line="240" w:lineRule="exact"/>
              <w:rPr>
                <w:rFonts w:hint="cs"/>
                <w:sz w:val="16"/>
                <w:szCs w:val="24"/>
                <w:rtl/>
              </w:rPr>
            </w:pPr>
            <w:r>
              <w:rPr>
                <w:rFonts w:hint="cs"/>
                <w:sz w:val="16"/>
                <w:szCs w:val="24"/>
                <w:rtl/>
              </w:rPr>
              <w:t>المناطق الريفية</w:t>
            </w:r>
          </w:p>
        </w:tc>
        <w:tc>
          <w:tcPr>
            <w:tcW w:w="824"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115</w:t>
            </w:r>
          </w:p>
        </w:tc>
        <w:tc>
          <w:tcPr>
            <w:tcW w:w="824"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101</w:t>
            </w:r>
          </w:p>
        </w:tc>
        <w:tc>
          <w:tcPr>
            <w:tcW w:w="927"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108</w:t>
            </w:r>
          </w:p>
        </w:tc>
        <w:tc>
          <w:tcPr>
            <w:tcW w:w="841"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98</w:t>
            </w:r>
          </w:p>
        </w:tc>
        <w:tc>
          <w:tcPr>
            <w:tcW w:w="807"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91</w:t>
            </w:r>
          </w:p>
        </w:tc>
        <w:tc>
          <w:tcPr>
            <w:tcW w:w="927"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95</w:t>
            </w:r>
          </w:p>
        </w:tc>
        <w:tc>
          <w:tcPr>
            <w:tcW w:w="824"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92</w:t>
            </w:r>
          </w:p>
        </w:tc>
        <w:tc>
          <w:tcPr>
            <w:tcW w:w="824"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84</w:t>
            </w:r>
          </w:p>
        </w:tc>
        <w:tc>
          <w:tcPr>
            <w:tcW w:w="927" w:type="dxa"/>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88</w:t>
            </w:r>
          </w:p>
        </w:tc>
      </w:tr>
      <w:tr w:rsidR="00C67DF8" w:rsidRPr="00FE7569">
        <w:trPr>
          <w:cantSplit/>
        </w:trPr>
        <w:tc>
          <w:tcPr>
            <w:tcW w:w="1030" w:type="dxa"/>
            <w:tcBorders>
              <w:bottom w:val="single" w:sz="12" w:space="0" w:color="auto"/>
            </w:tcBorders>
            <w:shd w:val="clear" w:color="auto" w:fill="auto"/>
            <w:vAlign w:val="bottom"/>
          </w:tcPr>
          <w:p w:rsidR="00C67DF8" w:rsidRPr="00FE7569" w:rsidRDefault="00C67DF8" w:rsidP="00C67DF8">
            <w:pPr>
              <w:pStyle w:val="DualTxt"/>
              <w:spacing w:before="40" w:after="80" w:line="240" w:lineRule="exact"/>
              <w:rPr>
                <w:rFonts w:hint="cs"/>
                <w:sz w:val="16"/>
                <w:szCs w:val="24"/>
                <w:rtl/>
              </w:rPr>
            </w:pPr>
            <w:r>
              <w:rPr>
                <w:rFonts w:hint="cs"/>
                <w:sz w:val="16"/>
                <w:szCs w:val="24"/>
                <w:rtl/>
              </w:rPr>
              <w:t>المجموع</w:t>
            </w:r>
          </w:p>
        </w:tc>
        <w:tc>
          <w:tcPr>
            <w:tcW w:w="824" w:type="dxa"/>
            <w:tcBorders>
              <w:bottom w:val="single" w:sz="12" w:space="0" w:color="auto"/>
            </w:tcBorders>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105</w:t>
            </w:r>
          </w:p>
        </w:tc>
        <w:tc>
          <w:tcPr>
            <w:tcW w:w="824" w:type="dxa"/>
            <w:tcBorders>
              <w:bottom w:val="single" w:sz="12" w:space="0" w:color="auto"/>
            </w:tcBorders>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97</w:t>
            </w:r>
          </w:p>
        </w:tc>
        <w:tc>
          <w:tcPr>
            <w:tcW w:w="927" w:type="dxa"/>
            <w:tcBorders>
              <w:bottom w:val="single" w:sz="12" w:space="0" w:color="auto"/>
            </w:tcBorders>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101</w:t>
            </w:r>
          </w:p>
        </w:tc>
        <w:tc>
          <w:tcPr>
            <w:tcW w:w="841" w:type="dxa"/>
            <w:tcBorders>
              <w:bottom w:val="single" w:sz="12" w:space="0" w:color="auto"/>
            </w:tcBorders>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90</w:t>
            </w:r>
          </w:p>
        </w:tc>
        <w:tc>
          <w:tcPr>
            <w:tcW w:w="807" w:type="dxa"/>
            <w:tcBorders>
              <w:bottom w:val="single" w:sz="12" w:space="0" w:color="auto"/>
            </w:tcBorders>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89</w:t>
            </w:r>
          </w:p>
        </w:tc>
        <w:tc>
          <w:tcPr>
            <w:tcW w:w="927" w:type="dxa"/>
            <w:tcBorders>
              <w:bottom w:val="single" w:sz="12" w:space="0" w:color="auto"/>
            </w:tcBorders>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89</w:t>
            </w:r>
          </w:p>
        </w:tc>
        <w:tc>
          <w:tcPr>
            <w:tcW w:w="824" w:type="dxa"/>
            <w:tcBorders>
              <w:bottom w:val="single" w:sz="12" w:space="0" w:color="auto"/>
            </w:tcBorders>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84</w:t>
            </w:r>
          </w:p>
        </w:tc>
        <w:tc>
          <w:tcPr>
            <w:tcW w:w="824" w:type="dxa"/>
            <w:tcBorders>
              <w:bottom w:val="single" w:sz="12" w:space="0" w:color="auto"/>
            </w:tcBorders>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81</w:t>
            </w:r>
          </w:p>
        </w:tc>
        <w:tc>
          <w:tcPr>
            <w:tcW w:w="927" w:type="dxa"/>
            <w:tcBorders>
              <w:bottom w:val="single" w:sz="12" w:space="0" w:color="auto"/>
            </w:tcBorders>
            <w:shd w:val="clear" w:color="auto" w:fill="auto"/>
            <w:vAlign w:val="bottom"/>
          </w:tcPr>
          <w:p w:rsidR="00C67DF8" w:rsidRPr="00FE7569" w:rsidRDefault="00C67DF8" w:rsidP="00C67DF8">
            <w:pPr>
              <w:pStyle w:val="DualTxt"/>
              <w:spacing w:before="40" w:after="80" w:line="240" w:lineRule="exact"/>
              <w:ind w:right="144"/>
              <w:jc w:val="center"/>
              <w:rPr>
                <w:rFonts w:hint="cs"/>
                <w:sz w:val="16"/>
                <w:szCs w:val="24"/>
                <w:rtl/>
              </w:rPr>
            </w:pPr>
            <w:r>
              <w:rPr>
                <w:rFonts w:hint="cs"/>
                <w:sz w:val="16"/>
                <w:szCs w:val="24"/>
                <w:rtl/>
              </w:rPr>
              <w:t>82</w:t>
            </w:r>
          </w:p>
        </w:tc>
      </w:tr>
    </w:tbl>
    <w:p w:rsidR="00C67DF8" w:rsidRPr="00DD52FC" w:rsidRDefault="00C67DF8" w:rsidP="00C67DF8">
      <w:pPr>
        <w:pStyle w:val="SingleTxt"/>
        <w:spacing w:after="0" w:line="120" w:lineRule="exact"/>
        <w:rPr>
          <w:rFonts w:hint="cs"/>
          <w:sz w:val="10"/>
          <w:rtl/>
        </w:rPr>
      </w:pPr>
    </w:p>
    <w:p w:rsidR="00C67DF8" w:rsidRPr="00FE7569" w:rsidRDefault="00C67DF8" w:rsidP="00C67DF8">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tl/>
        </w:rPr>
        <w:tab/>
      </w:r>
      <w:r w:rsidRPr="00DD52FC">
        <w:rPr>
          <w:rFonts w:hint="cs"/>
          <w:i/>
          <w:iCs/>
          <w:rtl/>
        </w:rPr>
        <w:t>المصدر</w:t>
      </w:r>
      <w:r>
        <w:rPr>
          <w:rFonts w:hint="cs"/>
          <w:rtl/>
        </w:rPr>
        <w:t>: 2001-2002: الدراسة الاستقصائية المتكاملة للإحصاءات المنزلية في باكستان.</w:t>
      </w:r>
    </w:p>
    <w:p w:rsidR="00C67DF8" w:rsidRPr="006225E5" w:rsidRDefault="00C67DF8" w:rsidP="00C67DF8">
      <w:pPr>
        <w:pStyle w:val="SingleTxt"/>
        <w:tabs>
          <w:tab w:val="clear" w:pos="1930"/>
          <w:tab w:val="left" w:pos="2228"/>
        </w:tabs>
        <w:spacing w:after="0" w:line="120" w:lineRule="exact"/>
        <w:rPr>
          <w:rFonts w:hint="cs"/>
          <w:sz w:val="12"/>
          <w:rtl/>
        </w:rPr>
      </w:pPr>
    </w:p>
    <w:p w:rsidR="00C67DF8" w:rsidRDefault="00CD1F6E" w:rsidP="00C67DF8">
      <w:pPr>
        <w:pStyle w:val="SingleTxt"/>
        <w:spacing w:after="0"/>
        <w:rPr>
          <w:rFonts w:hint="cs"/>
          <w:rtl/>
        </w:rPr>
      </w:pPr>
      <w:r>
        <w:rPr>
          <w:rtl/>
        </w:rPr>
        <w:br w:type="page"/>
      </w:r>
      <w:r w:rsidR="00C67DF8" w:rsidRPr="0039304A">
        <w:rPr>
          <w:rFonts w:hint="cs"/>
          <w:rtl/>
        </w:rPr>
        <w:t>الجدول 12-2</w:t>
      </w:r>
    </w:p>
    <w:p w:rsidR="00C67DF8" w:rsidRPr="00DD52FC" w:rsidRDefault="00C67DF8" w:rsidP="00C67DF8">
      <w:pPr>
        <w:pStyle w:val="SingleTxt"/>
        <w:rPr>
          <w:rFonts w:hint="cs"/>
          <w:b/>
          <w:bCs/>
          <w:rtl/>
        </w:rPr>
      </w:pPr>
      <w:r w:rsidRPr="00DD52FC">
        <w:rPr>
          <w:rFonts w:hint="cs"/>
          <w:b/>
          <w:bCs/>
          <w:rtl/>
        </w:rPr>
        <w:t>الوصول إلى مرافق رعاية الأمومة وتنظيم الأسرة في المناطق الريفية حسب المقاطعة ونوع الخدمات</w:t>
      </w:r>
    </w:p>
    <w:p w:rsidR="00C67DF8" w:rsidRDefault="00C67DF8" w:rsidP="00C67DF8">
      <w:pPr>
        <w:pStyle w:val="SingleTxt"/>
        <w:rPr>
          <w:rFonts w:hint="cs"/>
          <w:rtl/>
        </w:rPr>
      </w:pPr>
      <w:r>
        <w:rPr>
          <w:rFonts w:hint="cs"/>
          <w:rtl/>
        </w:rPr>
        <w:t>(الاستبيان المجتمعي للدراسة الاستقصائية المتكاملة للإحصاءات المنزلية في باكستان للفترة 2001-2002)</w:t>
      </w:r>
    </w:p>
    <w:p w:rsidR="00C67DF8" w:rsidRPr="00DD52FC" w:rsidRDefault="00C67DF8" w:rsidP="00C67DF8">
      <w:pPr>
        <w:pStyle w:val="SingleTxt"/>
        <w:spacing w:after="0" w:line="120" w:lineRule="exact"/>
        <w:rPr>
          <w:rFonts w:hint="cs"/>
          <w:sz w:val="10"/>
          <w:rtl/>
        </w:rPr>
      </w:pPr>
    </w:p>
    <w:tbl>
      <w:tblPr>
        <w:bidiVisual/>
        <w:tblW w:w="0" w:type="auto"/>
        <w:jc w:val="center"/>
        <w:tblInd w:w="613" w:type="dxa"/>
        <w:tblLayout w:type="fixed"/>
        <w:tblLook w:val="01E0" w:firstRow="1" w:lastRow="1" w:firstColumn="1" w:lastColumn="1" w:noHBand="0" w:noVBand="0"/>
      </w:tblPr>
      <w:tblGrid>
        <w:gridCol w:w="2008"/>
        <w:gridCol w:w="1040"/>
        <w:gridCol w:w="960"/>
        <w:gridCol w:w="1320"/>
        <w:gridCol w:w="1030"/>
        <w:gridCol w:w="927"/>
      </w:tblGrid>
      <w:tr w:rsidR="00C67DF8" w:rsidRPr="0039304A">
        <w:trPr>
          <w:cantSplit/>
          <w:tblHeader/>
          <w:jc w:val="center"/>
        </w:trPr>
        <w:tc>
          <w:tcPr>
            <w:tcW w:w="2008" w:type="dxa"/>
            <w:tcBorders>
              <w:top w:val="single" w:sz="4" w:space="0" w:color="auto"/>
            </w:tcBorders>
            <w:shd w:val="clear" w:color="auto" w:fill="auto"/>
            <w:vAlign w:val="bottom"/>
          </w:tcPr>
          <w:p w:rsidR="00C67DF8" w:rsidRPr="0039304A" w:rsidRDefault="00C67DF8" w:rsidP="00C67DF8">
            <w:pPr>
              <w:pStyle w:val="DualTxt"/>
              <w:spacing w:after="80" w:line="240" w:lineRule="exact"/>
              <w:ind w:right="144"/>
              <w:rPr>
                <w:rFonts w:hint="cs"/>
                <w:i/>
                <w:iCs/>
                <w:sz w:val="16"/>
                <w:szCs w:val="24"/>
                <w:rtl/>
              </w:rPr>
            </w:pPr>
            <w:r>
              <w:rPr>
                <w:rFonts w:hint="cs"/>
                <w:i/>
                <w:iCs/>
                <w:sz w:val="16"/>
                <w:szCs w:val="24"/>
                <w:rtl/>
              </w:rPr>
              <w:t>نوع المرافق</w:t>
            </w:r>
          </w:p>
        </w:tc>
        <w:tc>
          <w:tcPr>
            <w:tcW w:w="5277" w:type="dxa"/>
            <w:gridSpan w:val="5"/>
            <w:tcBorders>
              <w:top w:val="single" w:sz="4" w:space="0" w:color="auto"/>
            </w:tcBorders>
            <w:shd w:val="clear" w:color="auto" w:fill="auto"/>
            <w:vAlign w:val="bottom"/>
          </w:tcPr>
          <w:p w:rsidR="00C67DF8" w:rsidRPr="0039304A" w:rsidRDefault="00C67DF8" w:rsidP="00C67DF8">
            <w:pPr>
              <w:pStyle w:val="DualTxt"/>
              <w:spacing w:after="80" w:line="240" w:lineRule="exact"/>
              <w:jc w:val="center"/>
              <w:rPr>
                <w:rFonts w:hint="cs"/>
                <w:i/>
                <w:iCs/>
                <w:sz w:val="16"/>
                <w:szCs w:val="24"/>
                <w:rtl/>
              </w:rPr>
            </w:pPr>
            <w:r>
              <w:rPr>
                <w:rFonts w:hint="cs"/>
                <w:i/>
                <w:iCs/>
                <w:sz w:val="16"/>
                <w:szCs w:val="24"/>
                <w:rtl/>
              </w:rPr>
              <w:t>النسبة المئوية للأسر المعيشية الريفية التي يوجد مرفق في قراها</w:t>
            </w:r>
          </w:p>
        </w:tc>
      </w:tr>
      <w:tr w:rsidR="00C67DF8" w:rsidRPr="0039304A">
        <w:trPr>
          <w:cantSplit/>
          <w:tblHeader/>
          <w:jc w:val="center"/>
        </w:trPr>
        <w:tc>
          <w:tcPr>
            <w:tcW w:w="2008" w:type="dxa"/>
            <w:tcBorders>
              <w:bottom w:val="single" w:sz="12" w:space="0" w:color="auto"/>
            </w:tcBorders>
            <w:shd w:val="clear" w:color="auto" w:fill="auto"/>
            <w:vAlign w:val="bottom"/>
          </w:tcPr>
          <w:p w:rsidR="00C67DF8" w:rsidRPr="0039304A" w:rsidRDefault="00C67DF8" w:rsidP="00C67DF8">
            <w:pPr>
              <w:pStyle w:val="DualTxt"/>
              <w:spacing w:after="80" w:line="240" w:lineRule="exact"/>
              <w:rPr>
                <w:rFonts w:hint="cs"/>
                <w:i/>
                <w:iCs/>
                <w:sz w:val="16"/>
                <w:szCs w:val="24"/>
                <w:rtl/>
              </w:rPr>
            </w:pPr>
          </w:p>
        </w:tc>
        <w:tc>
          <w:tcPr>
            <w:tcW w:w="1040" w:type="dxa"/>
            <w:tcBorders>
              <w:bottom w:val="single" w:sz="12" w:space="0" w:color="auto"/>
            </w:tcBorders>
            <w:shd w:val="clear" w:color="auto" w:fill="auto"/>
            <w:vAlign w:val="bottom"/>
          </w:tcPr>
          <w:p w:rsidR="00C67DF8" w:rsidRPr="0039304A" w:rsidRDefault="00C67DF8" w:rsidP="00C67DF8">
            <w:pPr>
              <w:pStyle w:val="DualTxt"/>
              <w:spacing w:after="80" w:line="240" w:lineRule="exact"/>
              <w:rPr>
                <w:rFonts w:hint="cs"/>
                <w:i/>
                <w:iCs/>
                <w:sz w:val="16"/>
                <w:szCs w:val="24"/>
                <w:rtl/>
              </w:rPr>
            </w:pPr>
            <w:r>
              <w:rPr>
                <w:rFonts w:hint="cs"/>
                <w:i/>
                <w:iCs/>
                <w:sz w:val="16"/>
                <w:szCs w:val="24"/>
                <w:rtl/>
              </w:rPr>
              <w:t>بنجاب</w:t>
            </w:r>
          </w:p>
        </w:tc>
        <w:tc>
          <w:tcPr>
            <w:tcW w:w="960" w:type="dxa"/>
            <w:tcBorders>
              <w:bottom w:val="single" w:sz="12" w:space="0" w:color="auto"/>
            </w:tcBorders>
            <w:shd w:val="clear" w:color="auto" w:fill="auto"/>
            <w:vAlign w:val="bottom"/>
          </w:tcPr>
          <w:p w:rsidR="00C67DF8" w:rsidRPr="0039304A" w:rsidRDefault="00C67DF8" w:rsidP="00C67DF8">
            <w:pPr>
              <w:pStyle w:val="DualTxt"/>
              <w:spacing w:after="80" w:line="240" w:lineRule="exact"/>
              <w:rPr>
                <w:rFonts w:hint="cs"/>
                <w:i/>
                <w:iCs/>
                <w:sz w:val="16"/>
                <w:szCs w:val="24"/>
                <w:rtl/>
              </w:rPr>
            </w:pPr>
            <w:r>
              <w:rPr>
                <w:rFonts w:hint="cs"/>
                <w:i/>
                <w:iCs/>
                <w:sz w:val="16"/>
                <w:szCs w:val="24"/>
                <w:rtl/>
              </w:rPr>
              <w:t>السند</w:t>
            </w:r>
          </w:p>
        </w:tc>
        <w:tc>
          <w:tcPr>
            <w:tcW w:w="1320" w:type="dxa"/>
            <w:tcBorders>
              <w:bottom w:val="single" w:sz="12" w:space="0" w:color="auto"/>
            </w:tcBorders>
            <w:shd w:val="clear" w:color="auto" w:fill="auto"/>
            <w:vAlign w:val="bottom"/>
          </w:tcPr>
          <w:p w:rsidR="00C67DF8" w:rsidRPr="0039304A" w:rsidRDefault="002360DC" w:rsidP="00C67DF8">
            <w:pPr>
              <w:pStyle w:val="DualTxt"/>
              <w:spacing w:after="80" w:line="240" w:lineRule="exact"/>
              <w:rPr>
                <w:rFonts w:hint="cs"/>
                <w:i/>
                <w:iCs/>
                <w:sz w:val="16"/>
                <w:szCs w:val="24"/>
                <w:rtl/>
              </w:rPr>
            </w:pPr>
            <w:r>
              <w:rPr>
                <w:rFonts w:hint="cs"/>
                <w:i/>
                <w:iCs/>
                <w:sz w:val="16"/>
                <w:szCs w:val="24"/>
                <w:rtl/>
              </w:rPr>
              <w:t xml:space="preserve">مقاطعة </w:t>
            </w:r>
            <w:r w:rsidR="00C67DF8">
              <w:rPr>
                <w:rFonts w:hint="cs"/>
                <w:i/>
                <w:iCs/>
                <w:sz w:val="16"/>
                <w:szCs w:val="24"/>
                <w:rtl/>
              </w:rPr>
              <w:t>الحدود الشمالية الغربية</w:t>
            </w:r>
          </w:p>
        </w:tc>
        <w:tc>
          <w:tcPr>
            <w:tcW w:w="1030" w:type="dxa"/>
            <w:tcBorders>
              <w:bottom w:val="single" w:sz="12" w:space="0" w:color="auto"/>
            </w:tcBorders>
            <w:shd w:val="clear" w:color="auto" w:fill="auto"/>
            <w:vAlign w:val="bottom"/>
          </w:tcPr>
          <w:p w:rsidR="00C67DF8" w:rsidRPr="0039304A" w:rsidRDefault="00C67DF8" w:rsidP="00C67DF8">
            <w:pPr>
              <w:pStyle w:val="DualTxt"/>
              <w:spacing w:after="80" w:line="240" w:lineRule="exact"/>
              <w:rPr>
                <w:rFonts w:hint="cs"/>
                <w:i/>
                <w:iCs/>
                <w:sz w:val="16"/>
                <w:szCs w:val="24"/>
                <w:rtl/>
              </w:rPr>
            </w:pPr>
            <w:proofErr w:type="spellStart"/>
            <w:r>
              <w:rPr>
                <w:rFonts w:hint="cs"/>
                <w:i/>
                <w:iCs/>
                <w:sz w:val="16"/>
                <w:szCs w:val="24"/>
                <w:rtl/>
              </w:rPr>
              <w:t>بالوشستان</w:t>
            </w:r>
            <w:proofErr w:type="spellEnd"/>
            <w:r>
              <w:rPr>
                <w:rFonts w:hint="cs"/>
                <w:i/>
                <w:iCs/>
                <w:sz w:val="16"/>
                <w:szCs w:val="24"/>
                <w:rtl/>
              </w:rPr>
              <w:t xml:space="preserve"> </w:t>
            </w:r>
          </w:p>
        </w:tc>
        <w:tc>
          <w:tcPr>
            <w:tcW w:w="927" w:type="dxa"/>
            <w:tcBorders>
              <w:bottom w:val="single" w:sz="12" w:space="0" w:color="auto"/>
            </w:tcBorders>
            <w:shd w:val="clear" w:color="auto" w:fill="auto"/>
            <w:vAlign w:val="bottom"/>
          </w:tcPr>
          <w:p w:rsidR="00C67DF8" w:rsidRPr="0039304A" w:rsidRDefault="00C67DF8" w:rsidP="00C67DF8">
            <w:pPr>
              <w:pStyle w:val="DualTxt"/>
              <w:spacing w:after="80" w:line="240" w:lineRule="exact"/>
              <w:rPr>
                <w:rFonts w:hint="cs"/>
                <w:i/>
                <w:iCs/>
                <w:sz w:val="16"/>
                <w:szCs w:val="24"/>
                <w:rtl/>
              </w:rPr>
            </w:pPr>
            <w:r>
              <w:rPr>
                <w:rFonts w:hint="cs"/>
                <w:i/>
                <w:iCs/>
                <w:sz w:val="16"/>
                <w:szCs w:val="24"/>
                <w:rtl/>
              </w:rPr>
              <w:t>باكستان</w:t>
            </w:r>
          </w:p>
        </w:tc>
      </w:tr>
      <w:tr w:rsidR="00C67DF8" w:rsidRPr="0039304A">
        <w:trPr>
          <w:cantSplit/>
          <w:trHeight w:hRule="exact" w:val="115"/>
          <w:tblHeader/>
          <w:jc w:val="center"/>
        </w:trPr>
        <w:tc>
          <w:tcPr>
            <w:tcW w:w="2008" w:type="dxa"/>
            <w:tcBorders>
              <w:top w:val="single" w:sz="12" w:space="0" w:color="auto"/>
            </w:tcBorders>
            <w:shd w:val="clear" w:color="auto" w:fill="auto"/>
            <w:vAlign w:val="bottom"/>
          </w:tcPr>
          <w:p w:rsidR="00C67DF8" w:rsidRPr="0039304A" w:rsidRDefault="00C67DF8" w:rsidP="00C67DF8">
            <w:pPr>
              <w:pStyle w:val="DualTxt"/>
              <w:spacing w:before="40" w:after="80" w:line="240" w:lineRule="exact"/>
              <w:rPr>
                <w:rFonts w:hint="cs"/>
                <w:sz w:val="16"/>
                <w:szCs w:val="24"/>
                <w:rtl/>
              </w:rPr>
            </w:pPr>
          </w:p>
        </w:tc>
        <w:tc>
          <w:tcPr>
            <w:tcW w:w="1040" w:type="dxa"/>
            <w:tcBorders>
              <w:top w:val="single" w:sz="12" w:space="0" w:color="auto"/>
            </w:tcBorders>
            <w:shd w:val="clear" w:color="auto" w:fill="auto"/>
            <w:vAlign w:val="bottom"/>
          </w:tcPr>
          <w:p w:rsidR="00C67DF8" w:rsidRPr="0039304A" w:rsidRDefault="00C67DF8" w:rsidP="00C67DF8">
            <w:pPr>
              <w:pStyle w:val="DualTxt"/>
              <w:spacing w:before="40" w:after="80" w:line="240" w:lineRule="exact"/>
              <w:rPr>
                <w:rFonts w:hint="cs"/>
                <w:sz w:val="16"/>
                <w:szCs w:val="24"/>
                <w:rtl/>
              </w:rPr>
            </w:pPr>
          </w:p>
        </w:tc>
        <w:tc>
          <w:tcPr>
            <w:tcW w:w="960" w:type="dxa"/>
            <w:tcBorders>
              <w:top w:val="single" w:sz="12" w:space="0" w:color="auto"/>
            </w:tcBorders>
            <w:shd w:val="clear" w:color="auto" w:fill="auto"/>
            <w:vAlign w:val="bottom"/>
          </w:tcPr>
          <w:p w:rsidR="00C67DF8" w:rsidRPr="0039304A" w:rsidRDefault="00C67DF8" w:rsidP="00C67DF8">
            <w:pPr>
              <w:pStyle w:val="DualTxt"/>
              <w:spacing w:before="40" w:after="80" w:line="240" w:lineRule="exact"/>
              <w:rPr>
                <w:rFonts w:hint="cs"/>
                <w:sz w:val="16"/>
                <w:szCs w:val="24"/>
                <w:rtl/>
              </w:rPr>
            </w:pPr>
          </w:p>
        </w:tc>
        <w:tc>
          <w:tcPr>
            <w:tcW w:w="1320" w:type="dxa"/>
            <w:tcBorders>
              <w:top w:val="single" w:sz="12" w:space="0" w:color="auto"/>
            </w:tcBorders>
            <w:shd w:val="clear" w:color="auto" w:fill="auto"/>
            <w:vAlign w:val="bottom"/>
          </w:tcPr>
          <w:p w:rsidR="00C67DF8" w:rsidRPr="0039304A" w:rsidRDefault="00C67DF8" w:rsidP="00C67DF8">
            <w:pPr>
              <w:pStyle w:val="DualTxt"/>
              <w:spacing w:before="40" w:after="80" w:line="240" w:lineRule="exact"/>
              <w:rPr>
                <w:rFonts w:hint="cs"/>
                <w:sz w:val="16"/>
                <w:szCs w:val="24"/>
                <w:rtl/>
              </w:rPr>
            </w:pPr>
          </w:p>
        </w:tc>
        <w:tc>
          <w:tcPr>
            <w:tcW w:w="1030" w:type="dxa"/>
            <w:tcBorders>
              <w:top w:val="single" w:sz="12" w:space="0" w:color="auto"/>
            </w:tcBorders>
            <w:shd w:val="clear" w:color="auto" w:fill="auto"/>
            <w:vAlign w:val="bottom"/>
          </w:tcPr>
          <w:p w:rsidR="00C67DF8" w:rsidRPr="0039304A" w:rsidRDefault="00C67DF8" w:rsidP="00C67DF8">
            <w:pPr>
              <w:pStyle w:val="DualTxt"/>
              <w:spacing w:before="40" w:after="80" w:line="240" w:lineRule="exact"/>
              <w:rPr>
                <w:rFonts w:hint="cs"/>
                <w:sz w:val="16"/>
                <w:szCs w:val="24"/>
                <w:rtl/>
              </w:rPr>
            </w:pPr>
          </w:p>
        </w:tc>
        <w:tc>
          <w:tcPr>
            <w:tcW w:w="927" w:type="dxa"/>
            <w:tcBorders>
              <w:top w:val="single" w:sz="12" w:space="0" w:color="auto"/>
            </w:tcBorders>
            <w:shd w:val="clear" w:color="auto" w:fill="auto"/>
            <w:vAlign w:val="bottom"/>
          </w:tcPr>
          <w:p w:rsidR="00C67DF8" w:rsidRPr="0039304A" w:rsidRDefault="00C67DF8" w:rsidP="00C67DF8">
            <w:pPr>
              <w:pStyle w:val="DualTxt"/>
              <w:spacing w:before="40" w:after="80" w:line="240" w:lineRule="exact"/>
              <w:rPr>
                <w:rFonts w:hint="cs"/>
                <w:sz w:val="16"/>
                <w:szCs w:val="24"/>
                <w:rtl/>
              </w:rPr>
            </w:pPr>
          </w:p>
        </w:tc>
      </w:tr>
      <w:tr w:rsidR="00C67DF8" w:rsidRPr="0039304A">
        <w:trPr>
          <w:cantSplit/>
          <w:jc w:val="center"/>
        </w:trPr>
        <w:tc>
          <w:tcPr>
            <w:tcW w:w="2008"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مركز رعاية الأسرة</w:t>
            </w:r>
          </w:p>
        </w:tc>
        <w:tc>
          <w:tcPr>
            <w:tcW w:w="104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9</w:t>
            </w:r>
          </w:p>
        </w:tc>
        <w:tc>
          <w:tcPr>
            <w:tcW w:w="96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3</w:t>
            </w:r>
          </w:p>
        </w:tc>
        <w:tc>
          <w:tcPr>
            <w:tcW w:w="132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10</w:t>
            </w:r>
          </w:p>
        </w:tc>
        <w:tc>
          <w:tcPr>
            <w:tcW w:w="103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صفر</w:t>
            </w:r>
          </w:p>
        </w:tc>
        <w:tc>
          <w:tcPr>
            <w:tcW w:w="927"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8</w:t>
            </w:r>
          </w:p>
        </w:tc>
      </w:tr>
      <w:tr w:rsidR="00C67DF8" w:rsidRPr="0039304A">
        <w:trPr>
          <w:cantSplit/>
          <w:jc w:val="center"/>
        </w:trPr>
        <w:tc>
          <w:tcPr>
            <w:tcW w:w="2008"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وحدة متنقلة ل</w:t>
            </w:r>
            <w:r w:rsidR="002360DC">
              <w:rPr>
                <w:rFonts w:hint="cs"/>
                <w:sz w:val="16"/>
                <w:szCs w:val="24"/>
                <w:rtl/>
              </w:rPr>
              <w:t xml:space="preserve">خدمات </w:t>
            </w:r>
            <w:r>
              <w:rPr>
                <w:rFonts w:hint="cs"/>
                <w:sz w:val="16"/>
                <w:szCs w:val="24"/>
                <w:rtl/>
              </w:rPr>
              <w:t>تنظيم الأسرة</w:t>
            </w:r>
          </w:p>
        </w:tc>
        <w:tc>
          <w:tcPr>
            <w:tcW w:w="104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18</w:t>
            </w:r>
          </w:p>
        </w:tc>
        <w:tc>
          <w:tcPr>
            <w:tcW w:w="96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1</w:t>
            </w:r>
          </w:p>
        </w:tc>
        <w:tc>
          <w:tcPr>
            <w:tcW w:w="132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9</w:t>
            </w:r>
          </w:p>
        </w:tc>
        <w:tc>
          <w:tcPr>
            <w:tcW w:w="103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صفر</w:t>
            </w:r>
          </w:p>
        </w:tc>
        <w:tc>
          <w:tcPr>
            <w:tcW w:w="927"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12</w:t>
            </w:r>
          </w:p>
        </w:tc>
      </w:tr>
      <w:tr w:rsidR="00C67DF8" w:rsidRPr="0039304A">
        <w:trPr>
          <w:cantSplit/>
          <w:jc w:val="center"/>
        </w:trPr>
        <w:tc>
          <w:tcPr>
            <w:tcW w:w="2008"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تنظيم الأسرة في القرية</w:t>
            </w:r>
          </w:p>
        </w:tc>
        <w:tc>
          <w:tcPr>
            <w:tcW w:w="104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29</w:t>
            </w:r>
          </w:p>
        </w:tc>
        <w:tc>
          <w:tcPr>
            <w:tcW w:w="96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16</w:t>
            </w:r>
          </w:p>
        </w:tc>
        <w:tc>
          <w:tcPr>
            <w:tcW w:w="132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27</w:t>
            </w:r>
          </w:p>
        </w:tc>
        <w:tc>
          <w:tcPr>
            <w:tcW w:w="103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1</w:t>
            </w:r>
          </w:p>
        </w:tc>
        <w:tc>
          <w:tcPr>
            <w:tcW w:w="927"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24</w:t>
            </w:r>
          </w:p>
        </w:tc>
      </w:tr>
      <w:tr w:rsidR="00C67DF8" w:rsidRPr="0039304A">
        <w:trPr>
          <w:cantSplit/>
          <w:jc w:val="center"/>
        </w:trPr>
        <w:tc>
          <w:tcPr>
            <w:tcW w:w="2008"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عاملة صحية</w:t>
            </w:r>
          </w:p>
        </w:tc>
        <w:tc>
          <w:tcPr>
            <w:tcW w:w="104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34</w:t>
            </w:r>
          </w:p>
        </w:tc>
        <w:tc>
          <w:tcPr>
            <w:tcW w:w="96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33</w:t>
            </w:r>
          </w:p>
        </w:tc>
        <w:tc>
          <w:tcPr>
            <w:tcW w:w="132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38</w:t>
            </w:r>
          </w:p>
        </w:tc>
        <w:tc>
          <w:tcPr>
            <w:tcW w:w="103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10</w:t>
            </w:r>
          </w:p>
        </w:tc>
        <w:tc>
          <w:tcPr>
            <w:tcW w:w="927"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33</w:t>
            </w:r>
          </w:p>
        </w:tc>
      </w:tr>
      <w:tr w:rsidR="00C67DF8" w:rsidRPr="0039304A">
        <w:trPr>
          <w:cantSplit/>
          <w:jc w:val="center"/>
        </w:trPr>
        <w:tc>
          <w:tcPr>
            <w:tcW w:w="2008"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قابلة مدربة</w:t>
            </w:r>
          </w:p>
        </w:tc>
        <w:tc>
          <w:tcPr>
            <w:tcW w:w="104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44</w:t>
            </w:r>
          </w:p>
        </w:tc>
        <w:tc>
          <w:tcPr>
            <w:tcW w:w="96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28</w:t>
            </w:r>
          </w:p>
        </w:tc>
        <w:tc>
          <w:tcPr>
            <w:tcW w:w="132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42</w:t>
            </w:r>
          </w:p>
        </w:tc>
        <w:tc>
          <w:tcPr>
            <w:tcW w:w="103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30</w:t>
            </w:r>
          </w:p>
        </w:tc>
        <w:tc>
          <w:tcPr>
            <w:tcW w:w="927"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40</w:t>
            </w:r>
          </w:p>
        </w:tc>
      </w:tr>
      <w:tr w:rsidR="00C67DF8" w:rsidRPr="0039304A">
        <w:trPr>
          <w:cantSplit/>
          <w:jc w:val="center"/>
        </w:trPr>
        <w:tc>
          <w:tcPr>
            <w:tcW w:w="2008"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قابلة تقليدية</w:t>
            </w:r>
          </w:p>
        </w:tc>
        <w:tc>
          <w:tcPr>
            <w:tcW w:w="104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81</w:t>
            </w:r>
          </w:p>
        </w:tc>
        <w:tc>
          <w:tcPr>
            <w:tcW w:w="96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72</w:t>
            </w:r>
          </w:p>
        </w:tc>
        <w:tc>
          <w:tcPr>
            <w:tcW w:w="132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77</w:t>
            </w:r>
          </w:p>
        </w:tc>
        <w:tc>
          <w:tcPr>
            <w:tcW w:w="1030"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46</w:t>
            </w:r>
          </w:p>
        </w:tc>
        <w:tc>
          <w:tcPr>
            <w:tcW w:w="927" w:type="dxa"/>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77</w:t>
            </w:r>
          </w:p>
        </w:tc>
      </w:tr>
      <w:tr w:rsidR="00C67DF8" w:rsidRPr="0039304A">
        <w:trPr>
          <w:cantSplit/>
          <w:jc w:val="center"/>
        </w:trPr>
        <w:tc>
          <w:tcPr>
            <w:tcW w:w="2008" w:type="dxa"/>
            <w:tcBorders>
              <w:bottom w:val="single" w:sz="12" w:space="0" w:color="auto"/>
            </w:tcBorders>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عدد الملاحظات</w:t>
            </w:r>
          </w:p>
        </w:tc>
        <w:tc>
          <w:tcPr>
            <w:tcW w:w="1040" w:type="dxa"/>
            <w:tcBorders>
              <w:bottom w:val="single" w:sz="12" w:space="0" w:color="auto"/>
            </w:tcBorders>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230</w:t>
            </w:r>
          </w:p>
        </w:tc>
        <w:tc>
          <w:tcPr>
            <w:tcW w:w="960" w:type="dxa"/>
            <w:tcBorders>
              <w:bottom w:val="single" w:sz="12" w:space="0" w:color="auto"/>
            </w:tcBorders>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136</w:t>
            </w:r>
          </w:p>
        </w:tc>
        <w:tc>
          <w:tcPr>
            <w:tcW w:w="1320" w:type="dxa"/>
            <w:tcBorders>
              <w:bottom w:val="single" w:sz="12" w:space="0" w:color="auto"/>
            </w:tcBorders>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113</w:t>
            </w:r>
          </w:p>
        </w:tc>
        <w:tc>
          <w:tcPr>
            <w:tcW w:w="1030" w:type="dxa"/>
            <w:tcBorders>
              <w:bottom w:val="single" w:sz="12" w:space="0" w:color="auto"/>
            </w:tcBorders>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87</w:t>
            </w:r>
          </w:p>
        </w:tc>
        <w:tc>
          <w:tcPr>
            <w:tcW w:w="927" w:type="dxa"/>
            <w:tcBorders>
              <w:bottom w:val="single" w:sz="12" w:space="0" w:color="auto"/>
            </w:tcBorders>
            <w:shd w:val="clear" w:color="auto" w:fill="auto"/>
            <w:vAlign w:val="bottom"/>
          </w:tcPr>
          <w:p w:rsidR="00C67DF8" w:rsidRPr="0039304A" w:rsidRDefault="00C67DF8" w:rsidP="00C67DF8">
            <w:pPr>
              <w:pStyle w:val="DualTxt"/>
              <w:spacing w:before="40" w:after="80" w:line="240" w:lineRule="exact"/>
              <w:rPr>
                <w:rFonts w:hint="cs"/>
                <w:sz w:val="16"/>
                <w:szCs w:val="24"/>
                <w:rtl/>
              </w:rPr>
            </w:pPr>
            <w:r>
              <w:rPr>
                <w:rFonts w:hint="cs"/>
                <w:sz w:val="16"/>
                <w:szCs w:val="24"/>
                <w:rtl/>
              </w:rPr>
              <w:t>566</w:t>
            </w:r>
          </w:p>
        </w:tc>
      </w:tr>
    </w:tbl>
    <w:p w:rsidR="00C67DF8" w:rsidRPr="00DD52FC" w:rsidRDefault="00C67DF8" w:rsidP="00C67DF8">
      <w:pPr>
        <w:pStyle w:val="SingleTxt"/>
        <w:spacing w:after="0" w:line="120" w:lineRule="exact"/>
        <w:rPr>
          <w:rFonts w:hint="cs"/>
          <w:sz w:val="10"/>
          <w:rtl/>
        </w:rPr>
      </w:pPr>
    </w:p>
    <w:p w:rsidR="00C67DF8" w:rsidRPr="0039304A" w:rsidRDefault="00C67DF8" w:rsidP="00C67DF8">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tl/>
        </w:rPr>
        <w:tab/>
      </w:r>
      <w:r w:rsidRPr="00DD52FC">
        <w:rPr>
          <w:rFonts w:hint="cs"/>
          <w:i/>
          <w:iCs/>
          <w:rtl/>
        </w:rPr>
        <w:t>المصدر</w:t>
      </w:r>
      <w:r>
        <w:rPr>
          <w:rFonts w:hint="cs"/>
          <w:rtl/>
        </w:rPr>
        <w:t>: 2001-2001: الدراسة الاستقصائية المتكاملة للإحصاءات المنزلية في باكستان.</w:t>
      </w:r>
    </w:p>
    <w:p w:rsidR="00C67DF8" w:rsidRPr="00B636D8" w:rsidRDefault="00C67DF8" w:rsidP="00C67DF8">
      <w:pPr>
        <w:pStyle w:val="SingleTxt"/>
        <w:spacing w:after="0" w:line="120" w:lineRule="exact"/>
        <w:rPr>
          <w:rFonts w:hint="cs"/>
          <w:sz w:val="12"/>
          <w:rtl/>
        </w:rPr>
      </w:pPr>
    </w:p>
    <w:p w:rsidR="00C67DF8" w:rsidRDefault="00C67DF8" w:rsidP="002360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تكفل الدول الأطراف الخدمات المناسبة للمرأة فيما يتعلق بالحمل والولادة وفترة ما</w:t>
      </w:r>
      <w:r w:rsidR="002360DC">
        <w:rPr>
          <w:rFonts w:hint="eastAsia"/>
          <w:rtl/>
        </w:rPr>
        <w:t> </w:t>
      </w:r>
      <w:r>
        <w:rPr>
          <w:rFonts w:hint="cs"/>
          <w:rtl/>
        </w:rPr>
        <w:t>بعد الولادة وتوفر لها الخدمات المجانية عند الاقتضاء، وكذلك التغذية الكافية أثناء الحمل والرضاعة</w:t>
      </w:r>
    </w:p>
    <w:p w:rsidR="00C67DF8" w:rsidRDefault="00C67DF8" w:rsidP="00C67DF8">
      <w:pPr>
        <w:pStyle w:val="SingleTxt"/>
        <w:tabs>
          <w:tab w:val="clear" w:pos="1930"/>
          <w:tab w:val="left" w:pos="2125"/>
        </w:tabs>
        <w:rPr>
          <w:rFonts w:hint="cs"/>
          <w:rtl/>
        </w:rPr>
      </w:pPr>
      <w:r>
        <w:rPr>
          <w:rFonts w:hint="cs"/>
          <w:rtl/>
        </w:rPr>
        <w:t>316 -</w:t>
      </w:r>
      <w:r>
        <w:rPr>
          <w:rFonts w:hint="cs"/>
          <w:rtl/>
        </w:rPr>
        <w:tab/>
        <w:t xml:space="preserve">تلتزم  الدولة </w:t>
      </w:r>
      <w:r>
        <w:rPr>
          <w:rFonts w:hint="eastAsia"/>
          <w:rtl/>
        </w:rPr>
        <w:t>”بحماية الزواج والأسرة والأم والطفل</w:t>
      </w:r>
      <w:r>
        <w:rPr>
          <w:rFonts w:hint="cs"/>
          <w:rtl/>
        </w:rPr>
        <w:t xml:space="preserve">“ بموجب المادة 35 من الدستور. </w:t>
      </w:r>
    </w:p>
    <w:p w:rsidR="00C67DF8" w:rsidRDefault="00C67DF8" w:rsidP="00C67DF8">
      <w:pPr>
        <w:pStyle w:val="SingleTxt"/>
        <w:tabs>
          <w:tab w:val="clear" w:pos="1930"/>
          <w:tab w:val="left" w:pos="2125"/>
        </w:tabs>
        <w:rPr>
          <w:rFonts w:hint="cs"/>
          <w:rtl/>
        </w:rPr>
      </w:pPr>
      <w:r>
        <w:rPr>
          <w:rFonts w:hint="cs"/>
          <w:rtl/>
        </w:rPr>
        <w:t>317 -</w:t>
      </w:r>
      <w:r>
        <w:rPr>
          <w:rFonts w:hint="cs"/>
          <w:rtl/>
        </w:rPr>
        <w:tab/>
        <w:t xml:space="preserve">وبدأ تنفيذ برنامج وطني لتنظيم الأسرة والرعاية الصحية الأولية ويهدف إلى تقديم الخدمات الصحية الأساسية أمام أبواب القطاعات المحرومة من المجتمع من خلال نشر العاملات </w:t>
      </w:r>
      <w:proofErr w:type="spellStart"/>
      <w:r>
        <w:rPr>
          <w:rFonts w:hint="cs"/>
          <w:rtl/>
        </w:rPr>
        <w:t>الصحيات</w:t>
      </w:r>
      <w:proofErr w:type="spellEnd"/>
      <w:r>
        <w:rPr>
          <w:rFonts w:hint="cs"/>
          <w:rtl/>
        </w:rPr>
        <w:t xml:space="preserve"> المقيمات من مجتمعاتهن المحلية ذاتها. ويجري تنفيذ البرنامج، في الوقت الراهن، من خلال 000 70 من العاملات </w:t>
      </w:r>
      <w:proofErr w:type="spellStart"/>
      <w:r>
        <w:rPr>
          <w:rFonts w:hint="cs"/>
          <w:rtl/>
        </w:rPr>
        <w:t>الصحيات</w:t>
      </w:r>
      <w:proofErr w:type="spellEnd"/>
      <w:r>
        <w:rPr>
          <w:rFonts w:hint="cs"/>
          <w:rtl/>
        </w:rPr>
        <w:t xml:space="preserve"> و000 3 مشرفة، على نطاق البلد، في المناطق الريفية والمناطق الحضرية الفقيرة من البلد. وتوفر تلك العاملات الخدمات في مجال صحة الطفل والتغذية وتنظيم الأسرة وعلاج الحالات المرضية البسيطة. وقد تم توسيع نطاق عمل العاملات </w:t>
      </w:r>
      <w:proofErr w:type="spellStart"/>
      <w:r>
        <w:rPr>
          <w:rFonts w:hint="cs"/>
          <w:rtl/>
        </w:rPr>
        <w:t>الصحيات</w:t>
      </w:r>
      <w:proofErr w:type="spellEnd"/>
      <w:r>
        <w:rPr>
          <w:rFonts w:hint="cs"/>
          <w:rtl/>
        </w:rPr>
        <w:t xml:space="preserve"> بحيث يشمل المفهوم الأوسع للصحة الإنجابية. وستشارك العاملات </w:t>
      </w:r>
      <w:proofErr w:type="spellStart"/>
      <w:r>
        <w:rPr>
          <w:rFonts w:hint="cs"/>
          <w:rtl/>
        </w:rPr>
        <w:t>الصحيات</w:t>
      </w:r>
      <w:proofErr w:type="spellEnd"/>
      <w:r>
        <w:rPr>
          <w:rFonts w:hint="cs"/>
          <w:rtl/>
        </w:rPr>
        <w:t xml:space="preserve"> في تحصين النساء والأطفال في إطار برنامج التحصين الموسع، مما يؤدي إلى زيادة أنشطة هذا البرنامج. ويغطي هذا البرنامج 50 في المائة من ا لسكان، في الوقت الحالي. ويتم توسيع البرنامج على مراحل، وسوف يتم تحقيق الهدف المتمثل في وجود 000 100 من العاملات  </w:t>
      </w:r>
      <w:proofErr w:type="spellStart"/>
      <w:r>
        <w:rPr>
          <w:rFonts w:hint="cs"/>
          <w:rtl/>
        </w:rPr>
        <w:t>الصحيات</w:t>
      </w:r>
      <w:proofErr w:type="spellEnd"/>
      <w:r>
        <w:rPr>
          <w:rFonts w:hint="cs"/>
          <w:rtl/>
        </w:rPr>
        <w:t xml:space="preserve"> في الميدان، بحلول سنة 2005. وببلوغ هذا العدد، ستتمكن العاملات </w:t>
      </w:r>
      <w:proofErr w:type="spellStart"/>
      <w:r>
        <w:rPr>
          <w:rFonts w:hint="cs"/>
          <w:rtl/>
        </w:rPr>
        <w:t>الصحيات</w:t>
      </w:r>
      <w:proofErr w:type="spellEnd"/>
      <w:r>
        <w:rPr>
          <w:rFonts w:hint="cs"/>
          <w:rtl/>
        </w:rPr>
        <w:t xml:space="preserve"> من تغطية 90 في المائة من السكان المستهدفين،</w:t>
      </w:r>
    </w:p>
    <w:p w:rsidR="00C67DF8" w:rsidRDefault="00C67DF8" w:rsidP="00C67DF8">
      <w:pPr>
        <w:pStyle w:val="SingleTxt"/>
        <w:tabs>
          <w:tab w:val="clear" w:pos="1930"/>
          <w:tab w:val="left" w:pos="2125"/>
        </w:tabs>
        <w:rPr>
          <w:rFonts w:hint="cs"/>
          <w:rtl/>
        </w:rPr>
      </w:pPr>
      <w:r>
        <w:rPr>
          <w:rFonts w:hint="cs"/>
          <w:rtl/>
        </w:rPr>
        <w:t>318 -</w:t>
      </w:r>
      <w:r>
        <w:rPr>
          <w:rFonts w:hint="cs"/>
          <w:rtl/>
        </w:rPr>
        <w:tab/>
        <w:t>وتقدم ا لرعاية الطبية أثناء الحمل وفي فترة ما بعد الولادة بالمجان تقريبا، في المؤسسات الحكومية. غير أن القطاع الخاص يتقاضى رسوما عن تقديم هذه الخدمة. وتعد الزيارات السابقة للولادة واللاحقة لها المقدمة في المرافق الحكومية مجانية أيضا. ويقدم للحوامل أغذية أفضل من التي تقدم للمرضى العاديين الموجودين في المستشفيات التي تديرها الحكومة. وتقدم الأغذية في المستشفيات الحكومية مجانا أو بأسعار رمزية. غير أن مرضى كثيرين يفضلون الأغذية الآتية من منازلهم أو من خارج المستشفى. ولا يوجد نظام حكومي لتوفير الأغذية لجميع الحوامل والمرضعات.</w:t>
      </w:r>
    </w:p>
    <w:p w:rsidR="00C67DF8" w:rsidRDefault="00C67DF8" w:rsidP="00C67DF8">
      <w:pPr>
        <w:pStyle w:val="SingleTxt"/>
        <w:tabs>
          <w:tab w:val="clear" w:pos="1930"/>
          <w:tab w:val="left" w:pos="2125"/>
        </w:tabs>
        <w:rPr>
          <w:rFonts w:hint="cs"/>
          <w:rtl/>
        </w:rPr>
      </w:pPr>
      <w:r>
        <w:rPr>
          <w:rFonts w:hint="cs"/>
          <w:rtl/>
        </w:rPr>
        <w:t>319 -</w:t>
      </w:r>
      <w:r>
        <w:rPr>
          <w:rFonts w:hint="cs"/>
          <w:rtl/>
        </w:rPr>
        <w:tab/>
        <w:t>وتبين الدراسة الاستقصائية المتكاملة للإحصاءات المنزلية للفترة 2001-2002 أن 39 في المائة من النساء الحوامل (في المناطق الريفية والحضرية مجتمعة) تلقوا التحصين من مرض الكزاز. وارتفعت هذه النسبة إلى 46 في المائة في الفترة 2001-2002، أي بزيادة سبع نقاط مئوية عما كانت عليه قبل ثلاث سنوات. وبينما تتوخى الرعاية قبل الولادة نطاقا أوسع كثيرا من الأنشطة، تعتبر حقن الوقاية من الكزاز مؤشرا مفيدا لقياس توفر هذه الدعاية. وبالنسبة للرعاية بعد الولادة، أبلغت 9 في المائة من النساء أنها تلقت الرعاية بعد الحمل في غضون ستة أسابيع من الولادة في الفترة 1998-1999. وظل هذا الرقم على ما هو عليه، دون تغير، في الفترة 2000-2002</w:t>
      </w:r>
      <w:r w:rsidRPr="002E4620">
        <w:rPr>
          <w:vertAlign w:val="superscript"/>
          <w:rtl/>
        </w:rPr>
        <w:t>(</w:t>
      </w:r>
      <w:r>
        <w:rPr>
          <w:rStyle w:val="FootnoteReference"/>
          <w:rtl/>
        </w:rPr>
        <w:footnoteReference w:id="15"/>
      </w:r>
      <w:r w:rsidRPr="002E4620">
        <w:rPr>
          <w:vertAlign w:val="superscript"/>
          <w:rtl/>
        </w:rPr>
        <w:t>)</w:t>
      </w:r>
      <w:r>
        <w:rPr>
          <w:rFonts w:hint="cs"/>
          <w:rtl/>
        </w:rPr>
        <w:t>.</w:t>
      </w:r>
    </w:p>
    <w:p w:rsidR="00C67DF8" w:rsidRDefault="00C67DF8" w:rsidP="00C67DF8">
      <w:pPr>
        <w:pStyle w:val="SingleTxt"/>
        <w:tabs>
          <w:tab w:val="clear" w:pos="1930"/>
          <w:tab w:val="left" w:pos="2125"/>
        </w:tabs>
        <w:rPr>
          <w:rFonts w:hint="cs"/>
          <w:rtl/>
        </w:rPr>
      </w:pPr>
      <w:r>
        <w:rPr>
          <w:rFonts w:hint="cs"/>
          <w:rtl/>
        </w:rPr>
        <w:t>320 -</w:t>
      </w:r>
      <w:r>
        <w:rPr>
          <w:rFonts w:hint="cs"/>
          <w:rtl/>
        </w:rPr>
        <w:tab/>
        <w:t>ويرد، في الجداول أدناه، بعض البيانات عن الرعاية قبل الولادة، ومكان الولادة، والشخص الذي ساعد في الولادة، والرعاية المقدمة بعد الولادة.</w:t>
      </w:r>
    </w:p>
    <w:p w:rsidR="00C67DF8" w:rsidRPr="00216ACE" w:rsidRDefault="00C67DF8" w:rsidP="00C67DF8">
      <w:pPr>
        <w:pStyle w:val="SingleTxt"/>
        <w:tabs>
          <w:tab w:val="clear" w:pos="1930"/>
          <w:tab w:val="left" w:pos="2125"/>
        </w:tabs>
        <w:spacing w:after="0" w:line="120" w:lineRule="exact"/>
        <w:rPr>
          <w:rFonts w:hint="cs"/>
          <w:sz w:val="12"/>
          <w:rtl/>
        </w:rPr>
      </w:pPr>
    </w:p>
    <w:p w:rsidR="00C67DF8" w:rsidRDefault="00A3018B" w:rsidP="00C67DF8">
      <w:pPr>
        <w:pStyle w:val="SingleTxt"/>
        <w:spacing w:after="0"/>
        <w:rPr>
          <w:rFonts w:hint="cs"/>
          <w:rtl/>
        </w:rPr>
      </w:pPr>
      <w:r>
        <w:rPr>
          <w:rtl/>
        </w:rPr>
        <w:br w:type="page"/>
      </w:r>
      <w:r w:rsidR="00C67DF8">
        <w:rPr>
          <w:rFonts w:hint="cs"/>
          <w:rtl/>
        </w:rPr>
        <w:t>الجدول 12-3</w:t>
      </w:r>
    </w:p>
    <w:p w:rsidR="00C67DF8" w:rsidRPr="001A5C71" w:rsidRDefault="00C67DF8" w:rsidP="00C67DF8">
      <w:pPr>
        <w:pStyle w:val="SingleTxt"/>
        <w:rPr>
          <w:rFonts w:hint="cs"/>
          <w:b/>
          <w:bCs/>
          <w:rtl/>
        </w:rPr>
      </w:pPr>
      <w:r w:rsidRPr="001A5C71">
        <w:rPr>
          <w:rFonts w:hint="cs"/>
          <w:b/>
          <w:bCs/>
          <w:rtl/>
        </w:rPr>
        <w:t>النساء الحوامل ممن تلقين حقنة الوقاية من الكزاز</w:t>
      </w:r>
    </w:p>
    <w:p w:rsidR="00C67DF8" w:rsidRPr="001A5C71" w:rsidRDefault="00C67DF8" w:rsidP="00C67DF8">
      <w:pPr>
        <w:pStyle w:val="SingleTxt"/>
        <w:spacing w:after="0" w:line="120" w:lineRule="exact"/>
        <w:rPr>
          <w:rFonts w:hint="cs"/>
          <w:sz w:val="10"/>
          <w:rtl/>
        </w:rPr>
      </w:pPr>
    </w:p>
    <w:tbl>
      <w:tblPr>
        <w:bidiVisual/>
        <w:tblW w:w="0" w:type="auto"/>
        <w:tblInd w:w="1409" w:type="dxa"/>
        <w:tblLayout w:type="fixed"/>
        <w:tblLook w:val="01E0" w:firstRow="1" w:lastRow="1" w:firstColumn="1" w:lastColumn="1" w:noHBand="0" w:noVBand="0"/>
      </w:tblPr>
      <w:tblGrid>
        <w:gridCol w:w="1442"/>
        <w:gridCol w:w="927"/>
        <w:gridCol w:w="824"/>
        <w:gridCol w:w="824"/>
        <w:gridCol w:w="927"/>
        <w:gridCol w:w="824"/>
        <w:gridCol w:w="824"/>
      </w:tblGrid>
      <w:tr w:rsidR="00C67DF8" w:rsidRPr="009F18B7">
        <w:trPr>
          <w:cantSplit/>
          <w:tblHeader/>
        </w:trPr>
        <w:tc>
          <w:tcPr>
            <w:tcW w:w="1442" w:type="dxa"/>
            <w:tcBorders>
              <w:top w:val="single" w:sz="4" w:space="0" w:color="auto"/>
            </w:tcBorders>
            <w:shd w:val="clear" w:color="auto" w:fill="auto"/>
            <w:vAlign w:val="bottom"/>
          </w:tcPr>
          <w:p w:rsidR="00C67DF8" w:rsidRPr="009F18B7" w:rsidRDefault="00C67DF8" w:rsidP="00C67DF8">
            <w:pPr>
              <w:pStyle w:val="DualTxt"/>
              <w:spacing w:after="80" w:line="240" w:lineRule="exact"/>
              <w:rPr>
                <w:rFonts w:hint="cs"/>
                <w:i/>
                <w:iCs/>
                <w:sz w:val="16"/>
                <w:szCs w:val="24"/>
                <w:rtl/>
              </w:rPr>
            </w:pPr>
            <w:r>
              <w:rPr>
                <w:rFonts w:hint="cs"/>
                <w:i/>
                <w:iCs/>
                <w:sz w:val="16"/>
                <w:szCs w:val="24"/>
                <w:rtl/>
              </w:rPr>
              <w:t>المقاطعة</w:t>
            </w:r>
          </w:p>
        </w:tc>
        <w:tc>
          <w:tcPr>
            <w:tcW w:w="5150" w:type="dxa"/>
            <w:gridSpan w:val="6"/>
            <w:tcBorders>
              <w:top w:val="single" w:sz="4" w:space="0" w:color="auto"/>
              <w:bottom w:val="single" w:sz="4" w:space="0" w:color="auto"/>
            </w:tcBorders>
            <w:shd w:val="clear" w:color="auto" w:fill="auto"/>
            <w:vAlign w:val="bottom"/>
          </w:tcPr>
          <w:p w:rsidR="00C67DF8" w:rsidRDefault="00C67DF8" w:rsidP="00C67DF8">
            <w:pPr>
              <w:pStyle w:val="DualTxt"/>
              <w:spacing w:after="80" w:line="240" w:lineRule="exact"/>
              <w:ind w:right="144"/>
              <w:jc w:val="center"/>
              <w:rPr>
                <w:rFonts w:hint="cs"/>
                <w:i/>
                <w:iCs/>
                <w:sz w:val="16"/>
                <w:szCs w:val="24"/>
                <w:rtl/>
              </w:rPr>
            </w:pPr>
            <w:r>
              <w:rPr>
                <w:rFonts w:hint="cs"/>
                <w:i/>
                <w:iCs/>
                <w:sz w:val="16"/>
                <w:szCs w:val="24"/>
                <w:rtl/>
              </w:rPr>
              <w:t>النسبة المئوية النساء المتلقيات لحقنة الوقاية من الكزاز</w:t>
            </w:r>
          </w:p>
          <w:p w:rsidR="00C67DF8" w:rsidRPr="009F18B7" w:rsidRDefault="00C67DF8" w:rsidP="00C67DF8">
            <w:pPr>
              <w:pStyle w:val="DualTxt"/>
              <w:spacing w:after="80" w:line="240" w:lineRule="exact"/>
              <w:ind w:right="144"/>
              <w:jc w:val="center"/>
              <w:rPr>
                <w:rFonts w:hint="cs"/>
                <w:i/>
                <w:iCs/>
                <w:sz w:val="16"/>
                <w:szCs w:val="24"/>
                <w:rtl/>
              </w:rPr>
            </w:pPr>
            <w:r>
              <w:rPr>
                <w:rFonts w:hint="cs"/>
                <w:i/>
                <w:iCs/>
                <w:sz w:val="16"/>
                <w:szCs w:val="24"/>
                <w:rtl/>
              </w:rPr>
              <w:t>الدراسة الاستقصائية المتكاملة للإ</w:t>
            </w:r>
            <w:r w:rsidR="002360DC">
              <w:rPr>
                <w:rFonts w:hint="cs"/>
                <w:i/>
                <w:iCs/>
                <w:sz w:val="16"/>
                <w:szCs w:val="24"/>
                <w:rtl/>
              </w:rPr>
              <w:t>حص</w:t>
            </w:r>
            <w:r>
              <w:rPr>
                <w:rFonts w:hint="cs"/>
                <w:i/>
                <w:iCs/>
                <w:sz w:val="16"/>
                <w:szCs w:val="24"/>
                <w:rtl/>
              </w:rPr>
              <w:t>اءات المنزلية في باكستان</w:t>
            </w:r>
          </w:p>
        </w:tc>
      </w:tr>
      <w:tr w:rsidR="00C67DF8" w:rsidRPr="009F18B7">
        <w:trPr>
          <w:cantSplit/>
          <w:tblHeader/>
        </w:trPr>
        <w:tc>
          <w:tcPr>
            <w:tcW w:w="1442" w:type="dxa"/>
            <w:shd w:val="clear" w:color="auto" w:fill="auto"/>
            <w:vAlign w:val="bottom"/>
          </w:tcPr>
          <w:p w:rsidR="00C67DF8" w:rsidRPr="009F18B7" w:rsidRDefault="00C67DF8" w:rsidP="00C67DF8">
            <w:pPr>
              <w:pStyle w:val="DualTxt"/>
              <w:spacing w:after="80" w:line="240" w:lineRule="exact"/>
              <w:rPr>
                <w:rFonts w:hint="cs"/>
                <w:i/>
                <w:iCs/>
                <w:sz w:val="16"/>
                <w:szCs w:val="24"/>
                <w:rtl/>
              </w:rPr>
            </w:pPr>
          </w:p>
        </w:tc>
        <w:tc>
          <w:tcPr>
            <w:tcW w:w="2575" w:type="dxa"/>
            <w:gridSpan w:val="3"/>
            <w:tcBorders>
              <w:top w:val="single" w:sz="4" w:space="0" w:color="auto"/>
              <w:bottom w:val="single" w:sz="4" w:space="0" w:color="auto"/>
            </w:tcBorders>
            <w:shd w:val="clear" w:color="auto" w:fill="auto"/>
            <w:vAlign w:val="bottom"/>
          </w:tcPr>
          <w:p w:rsidR="00C67DF8" w:rsidRPr="009F18B7" w:rsidRDefault="00C67DF8" w:rsidP="00C67DF8">
            <w:pPr>
              <w:pStyle w:val="DualTxt"/>
              <w:spacing w:after="80" w:line="240" w:lineRule="exact"/>
              <w:ind w:right="144"/>
              <w:jc w:val="center"/>
              <w:rPr>
                <w:rFonts w:hint="cs"/>
                <w:i/>
                <w:iCs/>
                <w:sz w:val="16"/>
                <w:szCs w:val="24"/>
                <w:rtl/>
              </w:rPr>
            </w:pPr>
            <w:r>
              <w:rPr>
                <w:rFonts w:hint="cs"/>
                <w:i/>
                <w:iCs/>
                <w:sz w:val="16"/>
                <w:szCs w:val="24"/>
                <w:rtl/>
              </w:rPr>
              <w:t>1998-1999</w:t>
            </w:r>
          </w:p>
        </w:tc>
        <w:tc>
          <w:tcPr>
            <w:tcW w:w="2575" w:type="dxa"/>
            <w:gridSpan w:val="3"/>
            <w:tcBorders>
              <w:top w:val="single" w:sz="4" w:space="0" w:color="auto"/>
              <w:bottom w:val="single" w:sz="4" w:space="0" w:color="auto"/>
            </w:tcBorders>
            <w:shd w:val="clear" w:color="auto" w:fill="auto"/>
            <w:vAlign w:val="bottom"/>
          </w:tcPr>
          <w:p w:rsidR="00C67DF8" w:rsidRPr="009F18B7" w:rsidRDefault="00C67DF8" w:rsidP="00C67DF8">
            <w:pPr>
              <w:pStyle w:val="DualTxt"/>
              <w:spacing w:after="80" w:line="240" w:lineRule="exact"/>
              <w:ind w:right="144"/>
              <w:jc w:val="center"/>
              <w:rPr>
                <w:rFonts w:hint="cs"/>
                <w:i/>
                <w:iCs/>
                <w:sz w:val="16"/>
                <w:szCs w:val="24"/>
                <w:rtl/>
              </w:rPr>
            </w:pPr>
            <w:r>
              <w:rPr>
                <w:rFonts w:hint="cs"/>
                <w:i/>
                <w:iCs/>
                <w:sz w:val="16"/>
                <w:szCs w:val="24"/>
                <w:rtl/>
              </w:rPr>
              <w:t>2000-2002</w:t>
            </w:r>
          </w:p>
        </w:tc>
      </w:tr>
      <w:tr w:rsidR="00C67DF8" w:rsidRPr="009F18B7">
        <w:trPr>
          <w:cantSplit/>
          <w:tblHeader/>
        </w:trPr>
        <w:tc>
          <w:tcPr>
            <w:tcW w:w="1442" w:type="dxa"/>
            <w:tcBorders>
              <w:bottom w:val="single" w:sz="12" w:space="0" w:color="auto"/>
            </w:tcBorders>
            <w:shd w:val="clear" w:color="auto" w:fill="auto"/>
            <w:vAlign w:val="bottom"/>
          </w:tcPr>
          <w:p w:rsidR="00C67DF8" w:rsidRPr="009F18B7" w:rsidRDefault="00C67DF8" w:rsidP="00C67DF8">
            <w:pPr>
              <w:pStyle w:val="DualTxt"/>
              <w:spacing w:after="80" w:line="240" w:lineRule="exact"/>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C67DF8" w:rsidRPr="009F18B7" w:rsidRDefault="00C67DF8" w:rsidP="00C67DF8">
            <w:pPr>
              <w:pStyle w:val="DualTxt"/>
              <w:spacing w:after="80" w:line="240" w:lineRule="exact"/>
              <w:ind w:right="144"/>
              <w:jc w:val="center"/>
              <w:rPr>
                <w:rFonts w:hint="cs"/>
                <w:i/>
                <w:iCs/>
                <w:sz w:val="16"/>
                <w:szCs w:val="24"/>
                <w:rtl/>
              </w:rPr>
            </w:pPr>
            <w:r>
              <w:rPr>
                <w:rFonts w:hint="cs"/>
                <w:i/>
                <w:iCs/>
                <w:sz w:val="16"/>
                <w:szCs w:val="24"/>
                <w:rtl/>
              </w:rPr>
              <w:t>المناطق الحضرية</w:t>
            </w:r>
          </w:p>
        </w:tc>
        <w:tc>
          <w:tcPr>
            <w:tcW w:w="824" w:type="dxa"/>
            <w:tcBorders>
              <w:top w:val="single" w:sz="4" w:space="0" w:color="auto"/>
              <w:bottom w:val="single" w:sz="12" w:space="0" w:color="auto"/>
            </w:tcBorders>
            <w:shd w:val="clear" w:color="auto" w:fill="auto"/>
            <w:vAlign w:val="bottom"/>
          </w:tcPr>
          <w:p w:rsidR="00C67DF8" w:rsidRPr="009F18B7" w:rsidRDefault="00C67DF8" w:rsidP="00C67DF8">
            <w:pPr>
              <w:pStyle w:val="DualTxt"/>
              <w:spacing w:after="80" w:line="240" w:lineRule="exact"/>
              <w:ind w:right="144"/>
              <w:jc w:val="center"/>
              <w:rPr>
                <w:rFonts w:hint="cs"/>
                <w:i/>
                <w:iCs/>
                <w:sz w:val="16"/>
                <w:szCs w:val="24"/>
                <w:rtl/>
              </w:rPr>
            </w:pPr>
            <w:r>
              <w:rPr>
                <w:rFonts w:hint="cs"/>
                <w:i/>
                <w:iCs/>
                <w:sz w:val="16"/>
                <w:szCs w:val="24"/>
                <w:rtl/>
              </w:rPr>
              <w:t>المناطق الريفية</w:t>
            </w:r>
          </w:p>
        </w:tc>
        <w:tc>
          <w:tcPr>
            <w:tcW w:w="824" w:type="dxa"/>
            <w:tcBorders>
              <w:top w:val="single" w:sz="4" w:space="0" w:color="auto"/>
              <w:bottom w:val="single" w:sz="12" w:space="0" w:color="auto"/>
            </w:tcBorders>
            <w:shd w:val="clear" w:color="auto" w:fill="auto"/>
            <w:vAlign w:val="bottom"/>
          </w:tcPr>
          <w:p w:rsidR="00C67DF8" w:rsidRPr="009F18B7" w:rsidRDefault="00C67DF8" w:rsidP="00C67DF8">
            <w:pPr>
              <w:pStyle w:val="DualTxt"/>
              <w:spacing w:after="80" w:line="240" w:lineRule="exact"/>
              <w:ind w:right="144"/>
              <w:jc w:val="center"/>
              <w:rPr>
                <w:rFonts w:hint="cs"/>
                <w:i/>
                <w:iCs/>
                <w:sz w:val="16"/>
                <w:szCs w:val="24"/>
                <w:rtl/>
              </w:rPr>
            </w:pPr>
            <w:r>
              <w:rPr>
                <w:rFonts w:hint="cs"/>
                <w:i/>
                <w:iCs/>
                <w:sz w:val="16"/>
                <w:szCs w:val="24"/>
                <w:rtl/>
              </w:rPr>
              <w:t>المجمل</w:t>
            </w:r>
          </w:p>
        </w:tc>
        <w:tc>
          <w:tcPr>
            <w:tcW w:w="927" w:type="dxa"/>
            <w:tcBorders>
              <w:top w:val="single" w:sz="4" w:space="0" w:color="auto"/>
              <w:bottom w:val="single" w:sz="12" w:space="0" w:color="auto"/>
            </w:tcBorders>
            <w:shd w:val="clear" w:color="auto" w:fill="auto"/>
            <w:vAlign w:val="bottom"/>
          </w:tcPr>
          <w:p w:rsidR="00C67DF8" w:rsidRPr="009F18B7" w:rsidRDefault="00C67DF8" w:rsidP="00C67DF8">
            <w:pPr>
              <w:pStyle w:val="DualTxt"/>
              <w:spacing w:after="80" w:line="240" w:lineRule="exact"/>
              <w:ind w:right="144"/>
              <w:jc w:val="center"/>
              <w:rPr>
                <w:rFonts w:hint="cs"/>
                <w:i/>
                <w:iCs/>
                <w:sz w:val="16"/>
                <w:szCs w:val="24"/>
                <w:rtl/>
              </w:rPr>
            </w:pPr>
            <w:r>
              <w:rPr>
                <w:rFonts w:hint="cs"/>
                <w:i/>
                <w:iCs/>
                <w:sz w:val="16"/>
                <w:szCs w:val="24"/>
                <w:rtl/>
              </w:rPr>
              <w:t>المناطق الحضرية</w:t>
            </w:r>
          </w:p>
        </w:tc>
        <w:tc>
          <w:tcPr>
            <w:tcW w:w="824" w:type="dxa"/>
            <w:tcBorders>
              <w:top w:val="single" w:sz="4" w:space="0" w:color="auto"/>
              <w:bottom w:val="single" w:sz="12" w:space="0" w:color="auto"/>
            </w:tcBorders>
            <w:shd w:val="clear" w:color="auto" w:fill="auto"/>
            <w:vAlign w:val="bottom"/>
          </w:tcPr>
          <w:p w:rsidR="00C67DF8" w:rsidRPr="009F18B7" w:rsidRDefault="00C67DF8" w:rsidP="00C67DF8">
            <w:pPr>
              <w:pStyle w:val="DualTxt"/>
              <w:spacing w:after="80" w:line="240" w:lineRule="exact"/>
              <w:ind w:right="144"/>
              <w:jc w:val="center"/>
              <w:rPr>
                <w:rFonts w:hint="cs"/>
                <w:i/>
                <w:iCs/>
                <w:sz w:val="16"/>
                <w:szCs w:val="24"/>
                <w:rtl/>
              </w:rPr>
            </w:pPr>
            <w:r>
              <w:rPr>
                <w:rFonts w:hint="cs"/>
                <w:i/>
                <w:iCs/>
                <w:sz w:val="16"/>
                <w:szCs w:val="24"/>
                <w:rtl/>
              </w:rPr>
              <w:t>المناطق الريفية</w:t>
            </w:r>
          </w:p>
        </w:tc>
        <w:tc>
          <w:tcPr>
            <w:tcW w:w="824" w:type="dxa"/>
            <w:tcBorders>
              <w:top w:val="single" w:sz="4" w:space="0" w:color="auto"/>
              <w:bottom w:val="single" w:sz="12" w:space="0" w:color="auto"/>
            </w:tcBorders>
            <w:shd w:val="clear" w:color="auto" w:fill="auto"/>
            <w:vAlign w:val="bottom"/>
          </w:tcPr>
          <w:p w:rsidR="00C67DF8" w:rsidRPr="009F18B7" w:rsidRDefault="00C67DF8" w:rsidP="00C67DF8">
            <w:pPr>
              <w:pStyle w:val="DualTxt"/>
              <w:spacing w:after="80" w:line="240" w:lineRule="exact"/>
              <w:ind w:right="144"/>
              <w:jc w:val="center"/>
              <w:rPr>
                <w:rFonts w:hint="cs"/>
                <w:i/>
                <w:iCs/>
                <w:sz w:val="16"/>
                <w:szCs w:val="24"/>
                <w:rtl/>
              </w:rPr>
            </w:pPr>
            <w:r>
              <w:rPr>
                <w:rFonts w:hint="cs"/>
                <w:i/>
                <w:iCs/>
                <w:sz w:val="16"/>
                <w:szCs w:val="24"/>
                <w:rtl/>
              </w:rPr>
              <w:t>المجمل</w:t>
            </w:r>
          </w:p>
        </w:tc>
      </w:tr>
      <w:tr w:rsidR="00C67DF8" w:rsidRPr="009F18B7">
        <w:trPr>
          <w:cantSplit/>
          <w:trHeight w:hRule="exact" w:val="115"/>
          <w:tblHeader/>
        </w:trPr>
        <w:tc>
          <w:tcPr>
            <w:tcW w:w="1442" w:type="dxa"/>
            <w:tcBorders>
              <w:top w:val="single" w:sz="12" w:space="0" w:color="auto"/>
            </w:tcBorders>
            <w:shd w:val="clear" w:color="auto" w:fill="auto"/>
            <w:vAlign w:val="bottom"/>
          </w:tcPr>
          <w:p w:rsidR="00C67DF8" w:rsidRPr="009F18B7" w:rsidRDefault="00C67DF8" w:rsidP="00C67DF8">
            <w:pPr>
              <w:pStyle w:val="DualTxt"/>
              <w:spacing w:before="40" w:after="80" w:line="240" w:lineRule="exact"/>
              <w:rPr>
                <w:rFonts w:hint="cs"/>
                <w:sz w:val="16"/>
                <w:szCs w:val="24"/>
                <w:rtl/>
              </w:rPr>
            </w:pPr>
          </w:p>
        </w:tc>
        <w:tc>
          <w:tcPr>
            <w:tcW w:w="927" w:type="dxa"/>
            <w:tcBorders>
              <w:top w:val="single" w:sz="12" w:space="0" w:color="auto"/>
            </w:tcBorders>
            <w:shd w:val="clear" w:color="auto" w:fill="auto"/>
            <w:vAlign w:val="bottom"/>
          </w:tcPr>
          <w:p w:rsidR="00C67DF8" w:rsidRPr="009F18B7" w:rsidRDefault="00C67DF8" w:rsidP="00C67DF8">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7DF8" w:rsidRPr="009F18B7" w:rsidRDefault="00C67DF8" w:rsidP="00C67DF8">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7DF8" w:rsidRPr="009F18B7" w:rsidRDefault="00C67DF8" w:rsidP="00C67DF8">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C67DF8" w:rsidRPr="009F18B7" w:rsidRDefault="00C67DF8" w:rsidP="00C67DF8">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7DF8" w:rsidRPr="009F18B7" w:rsidRDefault="00C67DF8" w:rsidP="00C67DF8">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7DF8" w:rsidRPr="009F18B7" w:rsidRDefault="00C67DF8" w:rsidP="00C67DF8">
            <w:pPr>
              <w:pStyle w:val="DualTxt"/>
              <w:spacing w:before="40" w:after="80" w:line="240" w:lineRule="exact"/>
              <w:ind w:right="144"/>
              <w:rPr>
                <w:rFonts w:hint="cs"/>
                <w:sz w:val="16"/>
                <w:szCs w:val="24"/>
                <w:rtl/>
              </w:rPr>
            </w:pPr>
          </w:p>
        </w:tc>
      </w:tr>
      <w:tr w:rsidR="00C67DF8" w:rsidRPr="009F18B7">
        <w:trPr>
          <w:cantSplit/>
        </w:trPr>
        <w:tc>
          <w:tcPr>
            <w:tcW w:w="1442" w:type="dxa"/>
            <w:shd w:val="clear" w:color="auto" w:fill="auto"/>
            <w:vAlign w:val="bottom"/>
          </w:tcPr>
          <w:p w:rsidR="00C67DF8" w:rsidRPr="009F18B7" w:rsidRDefault="00C67DF8" w:rsidP="00C67DF8">
            <w:pPr>
              <w:pStyle w:val="DualTxt"/>
              <w:spacing w:before="40" w:after="80" w:line="240" w:lineRule="exact"/>
              <w:rPr>
                <w:rFonts w:hint="cs"/>
                <w:sz w:val="16"/>
                <w:szCs w:val="24"/>
                <w:rtl/>
              </w:rPr>
            </w:pPr>
            <w:r>
              <w:rPr>
                <w:rFonts w:hint="cs"/>
                <w:sz w:val="16"/>
                <w:szCs w:val="24"/>
                <w:rtl/>
              </w:rPr>
              <w:t>باكستان</w:t>
            </w:r>
          </w:p>
        </w:tc>
        <w:tc>
          <w:tcPr>
            <w:tcW w:w="927"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66</w:t>
            </w:r>
          </w:p>
        </w:tc>
        <w:tc>
          <w:tcPr>
            <w:tcW w:w="824"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31</w:t>
            </w:r>
          </w:p>
        </w:tc>
        <w:tc>
          <w:tcPr>
            <w:tcW w:w="824"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39</w:t>
            </w:r>
          </w:p>
        </w:tc>
        <w:tc>
          <w:tcPr>
            <w:tcW w:w="927"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69</w:t>
            </w:r>
          </w:p>
        </w:tc>
        <w:tc>
          <w:tcPr>
            <w:tcW w:w="824"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38</w:t>
            </w:r>
          </w:p>
        </w:tc>
        <w:tc>
          <w:tcPr>
            <w:tcW w:w="824"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46</w:t>
            </w:r>
          </w:p>
        </w:tc>
      </w:tr>
      <w:tr w:rsidR="00C67DF8" w:rsidRPr="009F18B7">
        <w:trPr>
          <w:cantSplit/>
        </w:trPr>
        <w:tc>
          <w:tcPr>
            <w:tcW w:w="1442" w:type="dxa"/>
            <w:shd w:val="clear" w:color="auto" w:fill="auto"/>
            <w:vAlign w:val="bottom"/>
          </w:tcPr>
          <w:p w:rsidR="00C67DF8" w:rsidRPr="009F18B7" w:rsidRDefault="00C67DF8" w:rsidP="00C67DF8">
            <w:pPr>
              <w:pStyle w:val="DualTxt"/>
              <w:spacing w:before="40" w:after="80" w:line="240" w:lineRule="exact"/>
              <w:rPr>
                <w:rFonts w:hint="cs"/>
                <w:sz w:val="16"/>
                <w:szCs w:val="24"/>
                <w:rtl/>
              </w:rPr>
            </w:pPr>
            <w:r>
              <w:rPr>
                <w:rFonts w:hint="cs"/>
                <w:sz w:val="16"/>
                <w:szCs w:val="24"/>
                <w:rtl/>
              </w:rPr>
              <w:t>بنجاب</w:t>
            </w:r>
          </w:p>
        </w:tc>
        <w:tc>
          <w:tcPr>
            <w:tcW w:w="927"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65</w:t>
            </w:r>
          </w:p>
        </w:tc>
        <w:tc>
          <w:tcPr>
            <w:tcW w:w="824"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38</w:t>
            </w:r>
          </w:p>
        </w:tc>
        <w:tc>
          <w:tcPr>
            <w:tcW w:w="824"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45</w:t>
            </w:r>
          </w:p>
        </w:tc>
        <w:tc>
          <w:tcPr>
            <w:tcW w:w="927"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73</w:t>
            </w:r>
          </w:p>
        </w:tc>
        <w:tc>
          <w:tcPr>
            <w:tcW w:w="824"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46</w:t>
            </w:r>
          </w:p>
        </w:tc>
        <w:tc>
          <w:tcPr>
            <w:tcW w:w="824"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53</w:t>
            </w:r>
          </w:p>
        </w:tc>
      </w:tr>
      <w:tr w:rsidR="00C67DF8" w:rsidRPr="009F18B7">
        <w:trPr>
          <w:cantSplit/>
        </w:trPr>
        <w:tc>
          <w:tcPr>
            <w:tcW w:w="1442" w:type="dxa"/>
            <w:shd w:val="clear" w:color="auto" w:fill="auto"/>
            <w:vAlign w:val="bottom"/>
          </w:tcPr>
          <w:p w:rsidR="00C67DF8" w:rsidRPr="009F18B7" w:rsidRDefault="00C67DF8" w:rsidP="00C67DF8">
            <w:pPr>
              <w:pStyle w:val="DualTxt"/>
              <w:spacing w:before="40" w:after="80" w:line="240" w:lineRule="exact"/>
              <w:rPr>
                <w:rFonts w:hint="cs"/>
                <w:sz w:val="16"/>
                <w:szCs w:val="24"/>
                <w:rtl/>
              </w:rPr>
            </w:pPr>
            <w:r>
              <w:rPr>
                <w:rFonts w:hint="cs"/>
                <w:sz w:val="16"/>
                <w:szCs w:val="24"/>
                <w:rtl/>
              </w:rPr>
              <w:t>السند</w:t>
            </w:r>
          </w:p>
        </w:tc>
        <w:tc>
          <w:tcPr>
            <w:tcW w:w="927"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72</w:t>
            </w:r>
          </w:p>
        </w:tc>
        <w:tc>
          <w:tcPr>
            <w:tcW w:w="824"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23</w:t>
            </w:r>
          </w:p>
        </w:tc>
        <w:tc>
          <w:tcPr>
            <w:tcW w:w="824"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40</w:t>
            </w:r>
          </w:p>
        </w:tc>
        <w:tc>
          <w:tcPr>
            <w:tcW w:w="927"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68</w:t>
            </w:r>
          </w:p>
        </w:tc>
        <w:tc>
          <w:tcPr>
            <w:tcW w:w="824"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30</w:t>
            </w:r>
          </w:p>
        </w:tc>
        <w:tc>
          <w:tcPr>
            <w:tcW w:w="824"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43</w:t>
            </w:r>
          </w:p>
        </w:tc>
      </w:tr>
      <w:tr w:rsidR="00C67DF8" w:rsidRPr="009F18B7">
        <w:trPr>
          <w:cantSplit/>
        </w:trPr>
        <w:tc>
          <w:tcPr>
            <w:tcW w:w="1442" w:type="dxa"/>
            <w:shd w:val="clear" w:color="auto" w:fill="auto"/>
            <w:vAlign w:val="bottom"/>
          </w:tcPr>
          <w:p w:rsidR="00C67DF8" w:rsidRPr="009F18B7" w:rsidRDefault="00C67DF8" w:rsidP="00C67DF8">
            <w:pPr>
              <w:pStyle w:val="DualTxt"/>
              <w:spacing w:before="40" w:after="80" w:line="240" w:lineRule="exact"/>
              <w:rPr>
                <w:rFonts w:hint="cs"/>
                <w:sz w:val="16"/>
                <w:szCs w:val="24"/>
                <w:rtl/>
              </w:rPr>
            </w:pPr>
            <w:r>
              <w:rPr>
                <w:rFonts w:hint="cs"/>
                <w:sz w:val="16"/>
                <w:szCs w:val="24"/>
                <w:rtl/>
              </w:rPr>
              <w:t>مقاطعة الحدود الشمالية الغربية</w:t>
            </w:r>
          </w:p>
        </w:tc>
        <w:tc>
          <w:tcPr>
            <w:tcW w:w="927"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54</w:t>
            </w:r>
          </w:p>
        </w:tc>
        <w:tc>
          <w:tcPr>
            <w:tcW w:w="824"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26</w:t>
            </w:r>
          </w:p>
        </w:tc>
        <w:tc>
          <w:tcPr>
            <w:tcW w:w="824"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29</w:t>
            </w:r>
          </w:p>
        </w:tc>
        <w:tc>
          <w:tcPr>
            <w:tcW w:w="927"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59</w:t>
            </w:r>
          </w:p>
        </w:tc>
        <w:tc>
          <w:tcPr>
            <w:tcW w:w="824"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31</w:t>
            </w:r>
          </w:p>
        </w:tc>
        <w:tc>
          <w:tcPr>
            <w:tcW w:w="824" w:type="dxa"/>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35</w:t>
            </w:r>
          </w:p>
        </w:tc>
      </w:tr>
      <w:tr w:rsidR="00C67DF8" w:rsidRPr="009F18B7">
        <w:trPr>
          <w:cantSplit/>
        </w:trPr>
        <w:tc>
          <w:tcPr>
            <w:tcW w:w="1442" w:type="dxa"/>
            <w:tcBorders>
              <w:bottom w:val="single" w:sz="12" w:space="0" w:color="auto"/>
            </w:tcBorders>
            <w:shd w:val="clear" w:color="auto" w:fill="auto"/>
            <w:vAlign w:val="bottom"/>
          </w:tcPr>
          <w:p w:rsidR="00C67DF8" w:rsidRPr="009F18B7" w:rsidRDefault="00C67DF8" w:rsidP="00C67DF8">
            <w:pPr>
              <w:pStyle w:val="DualTxt"/>
              <w:spacing w:before="40" w:after="80" w:line="240" w:lineRule="exact"/>
              <w:rPr>
                <w:rFonts w:hint="cs"/>
                <w:sz w:val="16"/>
                <w:szCs w:val="24"/>
                <w:rtl/>
              </w:rPr>
            </w:pPr>
            <w:proofErr w:type="spellStart"/>
            <w:r>
              <w:rPr>
                <w:rFonts w:hint="cs"/>
                <w:sz w:val="16"/>
                <w:szCs w:val="24"/>
                <w:rtl/>
              </w:rPr>
              <w:t>بالوشستان</w:t>
            </w:r>
            <w:proofErr w:type="spellEnd"/>
          </w:p>
        </w:tc>
        <w:tc>
          <w:tcPr>
            <w:tcW w:w="927" w:type="dxa"/>
            <w:tcBorders>
              <w:bottom w:val="single" w:sz="12" w:space="0" w:color="auto"/>
            </w:tcBorders>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41</w:t>
            </w:r>
          </w:p>
        </w:tc>
        <w:tc>
          <w:tcPr>
            <w:tcW w:w="824" w:type="dxa"/>
            <w:tcBorders>
              <w:bottom w:val="single" w:sz="12" w:space="0" w:color="auto"/>
            </w:tcBorders>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9</w:t>
            </w:r>
          </w:p>
        </w:tc>
        <w:tc>
          <w:tcPr>
            <w:tcW w:w="824" w:type="dxa"/>
            <w:tcBorders>
              <w:bottom w:val="single" w:sz="12" w:space="0" w:color="auto"/>
            </w:tcBorders>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13</w:t>
            </w:r>
          </w:p>
        </w:tc>
        <w:tc>
          <w:tcPr>
            <w:tcW w:w="927" w:type="dxa"/>
            <w:tcBorders>
              <w:bottom w:val="single" w:sz="12" w:space="0" w:color="auto"/>
            </w:tcBorders>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39</w:t>
            </w:r>
          </w:p>
        </w:tc>
        <w:tc>
          <w:tcPr>
            <w:tcW w:w="824" w:type="dxa"/>
            <w:tcBorders>
              <w:bottom w:val="single" w:sz="12" w:space="0" w:color="auto"/>
            </w:tcBorders>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12</w:t>
            </w:r>
          </w:p>
        </w:tc>
        <w:tc>
          <w:tcPr>
            <w:tcW w:w="824" w:type="dxa"/>
            <w:tcBorders>
              <w:bottom w:val="single" w:sz="12" w:space="0" w:color="auto"/>
            </w:tcBorders>
            <w:shd w:val="clear" w:color="auto" w:fill="auto"/>
            <w:vAlign w:val="bottom"/>
          </w:tcPr>
          <w:p w:rsidR="00C67DF8" w:rsidRPr="009F18B7" w:rsidRDefault="00C67DF8" w:rsidP="00C67DF8">
            <w:pPr>
              <w:pStyle w:val="DualTxt"/>
              <w:spacing w:before="40" w:after="80" w:line="240" w:lineRule="exact"/>
              <w:ind w:right="144"/>
              <w:jc w:val="center"/>
              <w:rPr>
                <w:rFonts w:hint="cs"/>
                <w:sz w:val="16"/>
                <w:szCs w:val="24"/>
                <w:rtl/>
              </w:rPr>
            </w:pPr>
            <w:r>
              <w:rPr>
                <w:rFonts w:hint="cs"/>
                <w:sz w:val="16"/>
                <w:szCs w:val="24"/>
                <w:rtl/>
              </w:rPr>
              <w:t>17</w:t>
            </w:r>
          </w:p>
        </w:tc>
      </w:tr>
    </w:tbl>
    <w:p w:rsidR="00C67DF8" w:rsidRPr="001A5C71" w:rsidRDefault="00C67DF8" w:rsidP="00C67DF8">
      <w:pPr>
        <w:pStyle w:val="SingleTxt"/>
        <w:spacing w:after="0" w:line="120" w:lineRule="exact"/>
        <w:rPr>
          <w:rFonts w:hint="cs"/>
          <w:sz w:val="10"/>
          <w:rtl/>
        </w:rPr>
      </w:pPr>
    </w:p>
    <w:p w:rsidR="00C67DF8" w:rsidRPr="009F18B7" w:rsidRDefault="00C67DF8" w:rsidP="00C67DF8">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Fonts w:hint="cs"/>
          <w:rtl/>
        </w:rPr>
        <w:tab/>
      </w:r>
      <w:r w:rsidRPr="001A5C71">
        <w:rPr>
          <w:i/>
          <w:iCs/>
          <w:rtl/>
        </w:rPr>
        <w:tab/>
      </w:r>
      <w:r w:rsidRPr="001A5C71">
        <w:rPr>
          <w:rFonts w:hint="cs"/>
          <w:i/>
          <w:iCs/>
          <w:rtl/>
        </w:rPr>
        <w:t>المصدر</w:t>
      </w:r>
      <w:r>
        <w:rPr>
          <w:rFonts w:hint="cs"/>
          <w:rtl/>
        </w:rPr>
        <w:t>: الدراسة الاستقصائية المتكاملة للإحصاءات المنزلية في باكستان، 2000-2002.</w:t>
      </w:r>
    </w:p>
    <w:p w:rsidR="00C67DF8" w:rsidRPr="00C668CC"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SingleTxt"/>
        <w:spacing w:after="0"/>
        <w:rPr>
          <w:rFonts w:hint="cs"/>
          <w:rtl/>
        </w:rPr>
      </w:pPr>
      <w:r>
        <w:rPr>
          <w:rFonts w:hint="cs"/>
          <w:rtl/>
        </w:rPr>
        <w:t>الجدول 12-4</w:t>
      </w:r>
    </w:p>
    <w:p w:rsidR="00C67DF8" w:rsidRPr="001A5C71" w:rsidRDefault="00C67DF8" w:rsidP="00C67DF8">
      <w:pPr>
        <w:pStyle w:val="SingleTxt"/>
        <w:rPr>
          <w:rFonts w:hint="cs"/>
          <w:b/>
          <w:bCs/>
          <w:rtl/>
        </w:rPr>
      </w:pPr>
      <w:r w:rsidRPr="001A5C71">
        <w:rPr>
          <w:rFonts w:hint="cs"/>
          <w:b/>
          <w:bCs/>
          <w:rtl/>
        </w:rPr>
        <w:t xml:space="preserve">حالات الولادة </w:t>
      </w:r>
      <w:r>
        <w:rPr>
          <w:rFonts w:hint="cs"/>
          <w:b/>
          <w:bCs/>
          <w:rtl/>
        </w:rPr>
        <w:t>-</w:t>
      </w:r>
      <w:r w:rsidRPr="001A5C71">
        <w:rPr>
          <w:rFonts w:hint="cs"/>
          <w:b/>
          <w:bCs/>
          <w:rtl/>
        </w:rPr>
        <w:t xml:space="preserve"> المكان ونوع المساعدة المقدمة</w:t>
      </w:r>
    </w:p>
    <w:p w:rsidR="00C67DF8" w:rsidRPr="001A5C71" w:rsidRDefault="00C67DF8" w:rsidP="00C67DF8">
      <w:pPr>
        <w:pStyle w:val="SingleTxt"/>
        <w:spacing w:after="0" w:line="120" w:lineRule="exact"/>
        <w:rPr>
          <w:rFonts w:hint="cs"/>
          <w:sz w:val="10"/>
          <w:rtl/>
        </w:rPr>
      </w:pPr>
    </w:p>
    <w:tbl>
      <w:tblPr>
        <w:bidiVisual/>
        <w:tblW w:w="0" w:type="auto"/>
        <w:jc w:val="center"/>
        <w:tblInd w:w="1409" w:type="dxa"/>
        <w:tblLayout w:type="fixed"/>
        <w:tblLook w:val="01E0" w:firstRow="1" w:lastRow="1" w:firstColumn="1" w:lastColumn="1" w:noHBand="0" w:noVBand="0"/>
      </w:tblPr>
      <w:tblGrid>
        <w:gridCol w:w="2746"/>
        <w:gridCol w:w="49"/>
        <w:gridCol w:w="911"/>
        <w:gridCol w:w="16"/>
        <w:gridCol w:w="784"/>
        <w:gridCol w:w="36"/>
        <w:gridCol w:w="764"/>
        <w:gridCol w:w="64"/>
        <w:gridCol w:w="896"/>
        <w:gridCol w:w="31"/>
        <w:gridCol w:w="769"/>
        <w:gridCol w:w="55"/>
        <w:gridCol w:w="681"/>
        <w:gridCol w:w="40"/>
      </w:tblGrid>
      <w:tr w:rsidR="00C67DF8" w:rsidRPr="001120C1">
        <w:trPr>
          <w:gridAfter w:val="1"/>
          <w:wAfter w:w="40" w:type="dxa"/>
          <w:cantSplit/>
          <w:tblHeader/>
          <w:jc w:val="center"/>
        </w:trPr>
        <w:tc>
          <w:tcPr>
            <w:tcW w:w="2746" w:type="dxa"/>
            <w:tcBorders>
              <w:top w:val="single" w:sz="4" w:space="0" w:color="auto"/>
            </w:tcBorders>
            <w:shd w:val="clear" w:color="auto" w:fill="auto"/>
            <w:vAlign w:val="bottom"/>
          </w:tcPr>
          <w:p w:rsidR="00C67DF8" w:rsidRPr="001120C1" w:rsidRDefault="00C67DF8" w:rsidP="00C67DF8">
            <w:pPr>
              <w:pStyle w:val="DualTxt"/>
              <w:spacing w:after="80" w:line="240" w:lineRule="exact"/>
              <w:ind w:right="144"/>
              <w:rPr>
                <w:rFonts w:hint="cs"/>
                <w:i/>
                <w:iCs/>
                <w:sz w:val="16"/>
                <w:szCs w:val="24"/>
                <w:rtl/>
              </w:rPr>
            </w:pPr>
            <w:r w:rsidRPr="001120C1">
              <w:rPr>
                <w:rFonts w:hint="cs"/>
                <w:i/>
                <w:iCs/>
                <w:sz w:val="16"/>
                <w:szCs w:val="24"/>
                <w:rtl/>
              </w:rPr>
              <w:t>المكان</w:t>
            </w:r>
          </w:p>
        </w:tc>
        <w:tc>
          <w:tcPr>
            <w:tcW w:w="5056" w:type="dxa"/>
            <w:gridSpan w:val="12"/>
            <w:tcBorders>
              <w:top w:val="single" w:sz="4" w:space="0" w:color="auto"/>
              <w:bottom w:val="single" w:sz="4" w:space="0" w:color="auto"/>
            </w:tcBorders>
            <w:shd w:val="clear" w:color="auto" w:fill="auto"/>
            <w:vAlign w:val="bottom"/>
          </w:tcPr>
          <w:p w:rsidR="00C67DF8" w:rsidRPr="001120C1" w:rsidRDefault="00C67DF8" w:rsidP="00C67DF8">
            <w:pPr>
              <w:pStyle w:val="DualTxt"/>
              <w:spacing w:after="80" w:line="240" w:lineRule="exact"/>
              <w:ind w:right="144"/>
              <w:jc w:val="center"/>
              <w:rPr>
                <w:rFonts w:hint="cs"/>
                <w:i/>
                <w:iCs/>
                <w:sz w:val="16"/>
                <w:szCs w:val="24"/>
                <w:rtl/>
              </w:rPr>
            </w:pPr>
            <w:r w:rsidRPr="001120C1">
              <w:rPr>
                <w:rFonts w:hint="cs"/>
                <w:i/>
                <w:iCs/>
                <w:sz w:val="16"/>
                <w:szCs w:val="24"/>
                <w:rtl/>
              </w:rPr>
              <w:t>النسبة المئوية للحالات</w:t>
            </w:r>
          </w:p>
          <w:p w:rsidR="00C67DF8" w:rsidRPr="001120C1" w:rsidRDefault="00C67DF8" w:rsidP="00C67DF8">
            <w:pPr>
              <w:pStyle w:val="DualTxt"/>
              <w:spacing w:after="80" w:line="240" w:lineRule="exact"/>
              <w:ind w:right="144"/>
              <w:jc w:val="center"/>
              <w:rPr>
                <w:rFonts w:hint="cs"/>
                <w:i/>
                <w:iCs/>
                <w:sz w:val="16"/>
                <w:szCs w:val="24"/>
                <w:rtl/>
              </w:rPr>
            </w:pPr>
            <w:r w:rsidRPr="001120C1">
              <w:rPr>
                <w:rFonts w:hint="cs"/>
                <w:i/>
                <w:iCs/>
                <w:sz w:val="16"/>
                <w:szCs w:val="24"/>
                <w:rtl/>
              </w:rPr>
              <w:t>الدراسة الاستقصائية المتكاملة للإحصاءات المنزلية في باكستان</w:t>
            </w:r>
          </w:p>
        </w:tc>
      </w:tr>
      <w:tr w:rsidR="00C67DF8" w:rsidRPr="001120C1">
        <w:trPr>
          <w:gridAfter w:val="1"/>
          <w:wAfter w:w="40" w:type="dxa"/>
          <w:cantSplit/>
          <w:tblHeader/>
          <w:jc w:val="center"/>
        </w:trPr>
        <w:tc>
          <w:tcPr>
            <w:tcW w:w="2746" w:type="dxa"/>
            <w:shd w:val="clear" w:color="auto" w:fill="auto"/>
            <w:vAlign w:val="bottom"/>
          </w:tcPr>
          <w:p w:rsidR="00C67DF8" w:rsidRPr="001120C1" w:rsidRDefault="00C67DF8" w:rsidP="00C67DF8">
            <w:pPr>
              <w:pStyle w:val="DualTxt"/>
              <w:spacing w:after="80" w:line="240" w:lineRule="exact"/>
              <w:ind w:right="144"/>
              <w:rPr>
                <w:rFonts w:hint="cs"/>
                <w:i/>
                <w:iCs/>
                <w:sz w:val="16"/>
                <w:szCs w:val="24"/>
                <w:rtl/>
              </w:rPr>
            </w:pPr>
          </w:p>
        </w:tc>
        <w:tc>
          <w:tcPr>
            <w:tcW w:w="2560" w:type="dxa"/>
            <w:gridSpan w:val="6"/>
            <w:tcBorders>
              <w:top w:val="single" w:sz="4" w:space="0" w:color="auto"/>
              <w:bottom w:val="single" w:sz="4" w:space="0" w:color="auto"/>
            </w:tcBorders>
            <w:shd w:val="clear" w:color="auto" w:fill="auto"/>
            <w:vAlign w:val="bottom"/>
          </w:tcPr>
          <w:p w:rsidR="00C67DF8" w:rsidRPr="001120C1" w:rsidRDefault="00C67DF8" w:rsidP="00C67DF8">
            <w:pPr>
              <w:pStyle w:val="DualTxt"/>
              <w:spacing w:after="80" w:line="240" w:lineRule="exact"/>
              <w:ind w:right="144"/>
              <w:jc w:val="center"/>
              <w:rPr>
                <w:rFonts w:hint="cs"/>
                <w:i/>
                <w:iCs/>
                <w:sz w:val="16"/>
                <w:szCs w:val="24"/>
                <w:rtl/>
              </w:rPr>
            </w:pPr>
            <w:r w:rsidRPr="001120C1">
              <w:rPr>
                <w:rFonts w:hint="cs"/>
                <w:i/>
                <w:iCs/>
                <w:sz w:val="16"/>
                <w:szCs w:val="24"/>
                <w:rtl/>
              </w:rPr>
              <w:t>1998-1999</w:t>
            </w:r>
          </w:p>
        </w:tc>
        <w:tc>
          <w:tcPr>
            <w:tcW w:w="2496" w:type="dxa"/>
            <w:gridSpan w:val="6"/>
            <w:tcBorders>
              <w:top w:val="single" w:sz="4" w:space="0" w:color="auto"/>
              <w:bottom w:val="single" w:sz="4" w:space="0" w:color="auto"/>
            </w:tcBorders>
            <w:shd w:val="clear" w:color="auto" w:fill="auto"/>
            <w:vAlign w:val="bottom"/>
          </w:tcPr>
          <w:p w:rsidR="00C67DF8" w:rsidRPr="001120C1" w:rsidRDefault="00C67DF8" w:rsidP="00C67DF8">
            <w:pPr>
              <w:pStyle w:val="DualTxt"/>
              <w:spacing w:after="80" w:line="240" w:lineRule="exact"/>
              <w:ind w:right="144"/>
              <w:jc w:val="center"/>
              <w:rPr>
                <w:rFonts w:hint="cs"/>
                <w:i/>
                <w:iCs/>
                <w:sz w:val="16"/>
                <w:szCs w:val="24"/>
                <w:rtl/>
              </w:rPr>
            </w:pPr>
            <w:r w:rsidRPr="001120C1">
              <w:rPr>
                <w:rFonts w:hint="cs"/>
                <w:i/>
                <w:iCs/>
                <w:sz w:val="16"/>
                <w:szCs w:val="24"/>
                <w:rtl/>
              </w:rPr>
              <w:t>2000-2002</w:t>
            </w:r>
          </w:p>
        </w:tc>
      </w:tr>
      <w:tr w:rsidR="00C67DF8" w:rsidRPr="001120C1">
        <w:trPr>
          <w:gridAfter w:val="1"/>
          <w:wAfter w:w="40" w:type="dxa"/>
          <w:cantSplit/>
          <w:tblHeader/>
          <w:jc w:val="center"/>
        </w:trPr>
        <w:tc>
          <w:tcPr>
            <w:tcW w:w="2746" w:type="dxa"/>
            <w:tcBorders>
              <w:bottom w:val="single" w:sz="12" w:space="0" w:color="auto"/>
            </w:tcBorders>
            <w:shd w:val="clear" w:color="auto" w:fill="auto"/>
            <w:vAlign w:val="bottom"/>
          </w:tcPr>
          <w:p w:rsidR="00C67DF8" w:rsidRPr="001120C1" w:rsidRDefault="00C67DF8" w:rsidP="00C67DF8">
            <w:pPr>
              <w:pStyle w:val="DualTxt"/>
              <w:spacing w:after="80" w:line="240" w:lineRule="exact"/>
              <w:ind w:right="144"/>
              <w:rPr>
                <w:rFonts w:hint="cs"/>
                <w:i/>
                <w:iCs/>
                <w:sz w:val="16"/>
                <w:szCs w:val="24"/>
                <w:rtl/>
              </w:rPr>
            </w:pPr>
          </w:p>
        </w:tc>
        <w:tc>
          <w:tcPr>
            <w:tcW w:w="960" w:type="dxa"/>
            <w:gridSpan w:val="2"/>
            <w:tcBorders>
              <w:top w:val="single" w:sz="4" w:space="0" w:color="auto"/>
              <w:bottom w:val="single" w:sz="12" w:space="0" w:color="auto"/>
            </w:tcBorders>
            <w:shd w:val="clear" w:color="auto" w:fill="auto"/>
            <w:vAlign w:val="bottom"/>
          </w:tcPr>
          <w:p w:rsidR="00C67DF8" w:rsidRPr="001120C1" w:rsidRDefault="00C67DF8" w:rsidP="00C67DF8">
            <w:pPr>
              <w:pStyle w:val="DualTxt"/>
              <w:spacing w:after="80" w:line="240" w:lineRule="exact"/>
              <w:ind w:right="144"/>
              <w:jc w:val="center"/>
              <w:rPr>
                <w:rFonts w:hint="cs"/>
                <w:i/>
                <w:iCs/>
                <w:sz w:val="16"/>
                <w:szCs w:val="24"/>
                <w:rtl/>
              </w:rPr>
            </w:pPr>
            <w:r w:rsidRPr="001120C1">
              <w:rPr>
                <w:rFonts w:hint="cs"/>
                <w:i/>
                <w:iCs/>
                <w:sz w:val="16"/>
                <w:szCs w:val="24"/>
                <w:rtl/>
              </w:rPr>
              <w:t>المناطق الحضرية</w:t>
            </w:r>
          </w:p>
        </w:tc>
        <w:tc>
          <w:tcPr>
            <w:tcW w:w="800" w:type="dxa"/>
            <w:gridSpan w:val="2"/>
            <w:tcBorders>
              <w:top w:val="single" w:sz="4" w:space="0" w:color="auto"/>
              <w:bottom w:val="single" w:sz="12" w:space="0" w:color="auto"/>
            </w:tcBorders>
            <w:shd w:val="clear" w:color="auto" w:fill="auto"/>
            <w:vAlign w:val="bottom"/>
          </w:tcPr>
          <w:p w:rsidR="00C67DF8" w:rsidRPr="001120C1" w:rsidRDefault="00C67DF8" w:rsidP="00C67DF8">
            <w:pPr>
              <w:pStyle w:val="DualTxt"/>
              <w:spacing w:after="80" w:line="240" w:lineRule="exact"/>
              <w:ind w:right="144"/>
              <w:jc w:val="center"/>
              <w:rPr>
                <w:rFonts w:hint="cs"/>
                <w:i/>
                <w:iCs/>
                <w:sz w:val="16"/>
                <w:szCs w:val="24"/>
                <w:rtl/>
              </w:rPr>
            </w:pPr>
            <w:r>
              <w:rPr>
                <w:rFonts w:hint="cs"/>
                <w:i/>
                <w:iCs/>
                <w:sz w:val="16"/>
                <w:szCs w:val="24"/>
                <w:rtl/>
              </w:rPr>
              <w:t xml:space="preserve">المناطق </w:t>
            </w:r>
            <w:r w:rsidRPr="001120C1">
              <w:rPr>
                <w:rFonts w:hint="cs"/>
                <w:i/>
                <w:iCs/>
                <w:sz w:val="16"/>
                <w:szCs w:val="24"/>
                <w:rtl/>
              </w:rPr>
              <w:t>ا</w:t>
            </w:r>
            <w:r>
              <w:rPr>
                <w:rFonts w:hint="cs"/>
                <w:i/>
                <w:iCs/>
                <w:sz w:val="16"/>
                <w:szCs w:val="24"/>
                <w:rtl/>
              </w:rPr>
              <w:t>لريفية</w:t>
            </w:r>
          </w:p>
        </w:tc>
        <w:tc>
          <w:tcPr>
            <w:tcW w:w="800" w:type="dxa"/>
            <w:gridSpan w:val="2"/>
            <w:tcBorders>
              <w:top w:val="single" w:sz="4" w:space="0" w:color="auto"/>
              <w:bottom w:val="single" w:sz="12" w:space="0" w:color="auto"/>
            </w:tcBorders>
            <w:shd w:val="clear" w:color="auto" w:fill="auto"/>
            <w:vAlign w:val="bottom"/>
          </w:tcPr>
          <w:p w:rsidR="00C67DF8" w:rsidRPr="001120C1" w:rsidRDefault="00C67DF8" w:rsidP="00C67DF8">
            <w:pPr>
              <w:pStyle w:val="DualTxt"/>
              <w:spacing w:after="80" w:line="240" w:lineRule="exact"/>
              <w:ind w:right="144"/>
              <w:jc w:val="center"/>
              <w:rPr>
                <w:rFonts w:hint="cs"/>
                <w:i/>
                <w:iCs/>
                <w:sz w:val="16"/>
                <w:szCs w:val="24"/>
                <w:rtl/>
              </w:rPr>
            </w:pPr>
            <w:r>
              <w:rPr>
                <w:rFonts w:hint="cs"/>
                <w:i/>
                <w:iCs/>
                <w:sz w:val="16"/>
                <w:szCs w:val="24"/>
                <w:rtl/>
              </w:rPr>
              <w:t>المجمل</w:t>
            </w:r>
          </w:p>
        </w:tc>
        <w:tc>
          <w:tcPr>
            <w:tcW w:w="960" w:type="dxa"/>
            <w:gridSpan w:val="2"/>
            <w:tcBorders>
              <w:top w:val="single" w:sz="4" w:space="0" w:color="auto"/>
              <w:bottom w:val="single" w:sz="12" w:space="0" w:color="auto"/>
            </w:tcBorders>
            <w:shd w:val="clear" w:color="auto" w:fill="auto"/>
            <w:vAlign w:val="bottom"/>
          </w:tcPr>
          <w:p w:rsidR="00C67DF8" w:rsidRPr="001120C1" w:rsidRDefault="00C67DF8" w:rsidP="00C67DF8">
            <w:pPr>
              <w:pStyle w:val="DualTxt"/>
              <w:spacing w:after="80" w:line="240" w:lineRule="exact"/>
              <w:ind w:right="144"/>
              <w:jc w:val="center"/>
              <w:rPr>
                <w:rFonts w:hint="cs"/>
                <w:i/>
                <w:iCs/>
                <w:sz w:val="16"/>
                <w:szCs w:val="24"/>
                <w:rtl/>
              </w:rPr>
            </w:pPr>
            <w:r>
              <w:rPr>
                <w:rFonts w:hint="cs"/>
                <w:i/>
                <w:iCs/>
                <w:sz w:val="16"/>
                <w:szCs w:val="24"/>
                <w:rtl/>
              </w:rPr>
              <w:t>المناطق الحضرية</w:t>
            </w:r>
          </w:p>
        </w:tc>
        <w:tc>
          <w:tcPr>
            <w:tcW w:w="800" w:type="dxa"/>
            <w:gridSpan w:val="2"/>
            <w:tcBorders>
              <w:top w:val="single" w:sz="4" w:space="0" w:color="auto"/>
              <w:bottom w:val="single" w:sz="12" w:space="0" w:color="auto"/>
            </w:tcBorders>
            <w:shd w:val="clear" w:color="auto" w:fill="auto"/>
            <w:vAlign w:val="bottom"/>
          </w:tcPr>
          <w:p w:rsidR="00C67DF8" w:rsidRPr="001120C1" w:rsidRDefault="00C67DF8" w:rsidP="00C67DF8">
            <w:pPr>
              <w:pStyle w:val="DualTxt"/>
              <w:spacing w:after="80" w:line="240" w:lineRule="exact"/>
              <w:ind w:right="144"/>
              <w:jc w:val="center"/>
              <w:rPr>
                <w:rFonts w:hint="cs"/>
                <w:i/>
                <w:iCs/>
                <w:sz w:val="16"/>
                <w:szCs w:val="24"/>
                <w:rtl/>
              </w:rPr>
            </w:pPr>
            <w:r>
              <w:rPr>
                <w:rFonts w:hint="cs"/>
                <w:i/>
                <w:iCs/>
                <w:sz w:val="16"/>
                <w:szCs w:val="24"/>
                <w:rtl/>
              </w:rPr>
              <w:t>المناطق الريفية</w:t>
            </w:r>
          </w:p>
        </w:tc>
        <w:tc>
          <w:tcPr>
            <w:tcW w:w="736" w:type="dxa"/>
            <w:gridSpan w:val="2"/>
            <w:tcBorders>
              <w:top w:val="single" w:sz="4" w:space="0" w:color="auto"/>
              <w:bottom w:val="single" w:sz="12" w:space="0" w:color="auto"/>
            </w:tcBorders>
            <w:shd w:val="clear" w:color="auto" w:fill="auto"/>
            <w:vAlign w:val="bottom"/>
          </w:tcPr>
          <w:p w:rsidR="00C67DF8" w:rsidRPr="001120C1" w:rsidRDefault="00C67DF8" w:rsidP="00C67DF8">
            <w:pPr>
              <w:pStyle w:val="DualTxt"/>
              <w:spacing w:after="80" w:line="240" w:lineRule="exact"/>
              <w:ind w:right="144"/>
              <w:jc w:val="center"/>
              <w:rPr>
                <w:rFonts w:hint="cs"/>
                <w:i/>
                <w:iCs/>
                <w:sz w:val="16"/>
                <w:szCs w:val="24"/>
                <w:rtl/>
              </w:rPr>
            </w:pPr>
            <w:r>
              <w:rPr>
                <w:rFonts w:hint="cs"/>
                <w:i/>
                <w:iCs/>
                <w:sz w:val="16"/>
                <w:szCs w:val="24"/>
                <w:rtl/>
              </w:rPr>
              <w:t>المجمل</w:t>
            </w:r>
          </w:p>
        </w:tc>
      </w:tr>
      <w:tr w:rsidR="00C67DF8" w:rsidRPr="001120C1">
        <w:trPr>
          <w:gridAfter w:val="1"/>
          <w:wAfter w:w="40" w:type="dxa"/>
          <w:cantSplit/>
          <w:trHeight w:hRule="exact" w:val="115"/>
          <w:tblHeader/>
          <w:jc w:val="center"/>
        </w:trPr>
        <w:tc>
          <w:tcPr>
            <w:tcW w:w="2746" w:type="dxa"/>
            <w:tcBorders>
              <w:top w:val="single" w:sz="12" w:space="0" w:color="auto"/>
            </w:tcBorders>
            <w:shd w:val="clear" w:color="auto" w:fill="auto"/>
            <w:vAlign w:val="bottom"/>
          </w:tcPr>
          <w:p w:rsidR="00C67DF8" w:rsidRPr="001120C1" w:rsidRDefault="00C67DF8" w:rsidP="00C67DF8">
            <w:pPr>
              <w:pStyle w:val="DualTxt"/>
              <w:spacing w:before="40" w:after="80" w:line="240" w:lineRule="exact"/>
              <w:rPr>
                <w:rFonts w:hint="cs"/>
                <w:sz w:val="16"/>
                <w:szCs w:val="24"/>
                <w:rtl/>
              </w:rPr>
            </w:pPr>
          </w:p>
        </w:tc>
        <w:tc>
          <w:tcPr>
            <w:tcW w:w="960" w:type="dxa"/>
            <w:gridSpan w:val="2"/>
            <w:tcBorders>
              <w:top w:val="single" w:sz="12" w:space="0" w:color="auto"/>
            </w:tcBorders>
            <w:shd w:val="clear" w:color="auto" w:fill="auto"/>
            <w:vAlign w:val="bottom"/>
          </w:tcPr>
          <w:p w:rsidR="00C67DF8" w:rsidRPr="001120C1" w:rsidRDefault="00C67DF8" w:rsidP="00C67DF8">
            <w:pPr>
              <w:pStyle w:val="DualTxt"/>
              <w:spacing w:before="40" w:after="80" w:line="240" w:lineRule="exact"/>
              <w:rPr>
                <w:rFonts w:hint="cs"/>
                <w:sz w:val="16"/>
                <w:szCs w:val="24"/>
                <w:rtl/>
              </w:rPr>
            </w:pPr>
          </w:p>
        </w:tc>
        <w:tc>
          <w:tcPr>
            <w:tcW w:w="800" w:type="dxa"/>
            <w:gridSpan w:val="2"/>
            <w:tcBorders>
              <w:top w:val="single" w:sz="12" w:space="0" w:color="auto"/>
            </w:tcBorders>
            <w:shd w:val="clear" w:color="auto" w:fill="auto"/>
            <w:vAlign w:val="bottom"/>
          </w:tcPr>
          <w:p w:rsidR="00C67DF8" w:rsidRPr="001120C1" w:rsidRDefault="00C67DF8" w:rsidP="00C67DF8">
            <w:pPr>
              <w:pStyle w:val="DualTxt"/>
              <w:spacing w:before="40" w:after="80" w:line="240" w:lineRule="exact"/>
              <w:rPr>
                <w:rFonts w:hint="cs"/>
                <w:sz w:val="16"/>
                <w:szCs w:val="24"/>
                <w:rtl/>
              </w:rPr>
            </w:pPr>
          </w:p>
        </w:tc>
        <w:tc>
          <w:tcPr>
            <w:tcW w:w="800" w:type="dxa"/>
            <w:gridSpan w:val="2"/>
            <w:tcBorders>
              <w:top w:val="single" w:sz="12" w:space="0" w:color="auto"/>
            </w:tcBorders>
            <w:shd w:val="clear" w:color="auto" w:fill="auto"/>
            <w:vAlign w:val="bottom"/>
          </w:tcPr>
          <w:p w:rsidR="00C67DF8" w:rsidRPr="001120C1" w:rsidRDefault="00C67DF8" w:rsidP="00C67DF8">
            <w:pPr>
              <w:pStyle w:val="DualTxt"/>
              <w:spacing w:before="40" w:after="80" w:line="240" w:lineRule="exact"/>
              <w:rPr>
                <w:rFonts w:hint="cs"/>
                <w:sz w:val="16"/>
                <w:szCs w:val="24"/>
                <w:rtl/>
              </w:rPr>
            </w:pPr>
          </w:p>
        </w:tc>
        <w:tc>
          <w:tcPr>
            <w:tcW w:w="960" w:type="dxa"/>
            <w:gridSpan w:val="2"/>
            <w:tcBorders>
              <w:top w:val="single" w:sz="12" w:space="0" w:color="auto"/>
            </w:tcBorders>
            <w:shd w:val="clear" w:color="auto" w:fill="auto"/>
            <w:vAlign w:val="bottom"/>
          </w:tcPr>
          <w:p w:rsidR="00C67DF8" w:rsidRPr="001120C1" w:rsidRDefault="00C67DF8" w:rsidP="00C67DF8">
            <w:pPr>
              <w:pStyle w:val="DualTxt"/>
              <w:spacing w:before="40" w:after="80" w:line="240" w:lineRule="exact"/>
              <w:rPr>
                <w:rFonts w:hint="cs"/>
                <w:sz w:val="16"/>
                <w:szCs w:val="24"/>
                <w:rtl/>
              </w:rPr>
            </w:pPr>
          </w:p>
        </w:tc>
        <w:tc>
          <w:tcPr>
            <w:tcW w:w="800" w:type="dxa"/>
            <w:gridSpan w:val="2"/>
            <w:tcBorders>
              <w:top w:val="single" w:sz="12" w:space="0" w:color="auto"/>
            </w:tcBorders>
            <w:shd w:val="clear" w:color="auto" w:fill="auto"/>
            <w:vAlign w:val="bottom"/>
          </w:tcPr>
          <w:p w:rsidR="00C67DF8" w:rsidRPr="001120C1" w:rsidRDefault="00C67DF8" w:rsidP="00C67DF8">
            <w:pPr>
              <w:pStyle w:val="DualTxt"/>
              <w:spacing w:before="40" w:after="80" w:line="240" w:lineRule="exact"/>
              <w:rPr>
                <w:rFonts w:hint="cs"/>
                <w:sz w:val="16"/>
                <w:szCs w:val="24"/>
                <w:rtl/>
              </w:rPr>
            </w:pPr>
          </w:p>
        </w:tc>
        <w:tc>
          <w:tcPr>
            <w:tcW w:w="736" w:type="dxa"/>
            <w:gridSpan w:val="2"/>
            <w:tcBorders>
              <w:top w:val="single" w:sz="12" w:space="0" w:color="auto"/>
            </w:tcBorders>
            <w:shd w:val="clear" w:color="auto" w:fill="auto"/>
            <w:vAlign w:val="bottom"/>
          </w:tcPr>
          <w:p w:rsidR="00C67DF8" w:rsidRPr="001120C1" w:rsidRDefault="00C67DF8" w:rsidP="00C67DF8">
            <w:pPr>
              <w:pStyle w:val="DualTxt"/>
              <w:spacing w:before="40" w:after="80" w:line="240" w:lineRule="exact"/>
              <w:rPr>
                <w:rFonts w:hint="cs"/>
                <w:sz w:val="16"/>
                <w:szCs w:val="24"/>
                <w:rtl/>
              </w:rPr>
            </w:pPr>
          </w:p>
        </w:tc>
      </w:tr>
      <w:tr w:rsidR="00C67DF8" w:rsidRPr="001120C1">
        <w:trPr>
          <w:gridAfter w:val="1"/>
          <w:wAfter w:w="40" w:type="dxa"/>
          <w:cantSplit/>
          <w:jc w:val="center"/>
        </w:trPr>
        <w:tc>
          <w:tcPr>
            <w:tcW w:w="2746" w:type="dxa"/>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المنزل</w:t>
            </w:r>
          </w:p>
        </w:tc>
        <w:tc>
          <w:tcPr>
            <w:tcW w:w="96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61</w:t>
            </w:r>
          </w:p>
        </w:tc>
        <w:tc>
          <w:tcPr>
            <w:tcW w:w="80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89</w:t>
            </w:r>
          </w:p>
        </w:tc>
        <w:tc>
          <w:tcPr>
            <w:tcW w:w="80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82</w:t>
            </w:r>
          </w:p>
        </w:tc>
        <w:tc>
          <w:tcPr>
            <w:tcW w:w="96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55</w:t>
            </w:r>
          </w:p>
        </w:tc>
        <w:tc>
          <w:tcPr>
            <w:tcW w:w="80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86</w:t>
            </w:r>
          </w:p>
        </w:tc>
        <w:tc>
          <w:tcPr>
            <w:tcW w:w="736"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78</w:t>
            </w:r>
          </w:p>
        </w:tc>
      </w:tr>
      <w:tr w:rsidR="00C67DF8" w:rsidRPr="001120C1">
        <w:trPr>
          <w:gridAfter w:val="1"/>
          <w:wAfter w:w="40" w:type="dxa"/>
          <w:cantSplit/>
          <w:jc w:val="center"/>
        </w:trPr>
        <w:tc>
          <w:tcPr>
            <w:tcW w:w="2746" w:type="dxa"/>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مستشفى حكومي/عيادة حكومية</w:t>
            </w:r>
          </w:p>
        </w:tc>
        <w:tc>
          <w:tcPr>
            <w:tcW w:w="96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15</w:t>
            </w:r>
          </w:p>
        </w:tc>
        <w:tc>
          <w:tcPr>
            <w:tcW w:w="80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5</w:t>
            </w:r>
          </w:p>
        </w:tc>
        <w:tc>
          <w:tcPr>
            <w:tcW w:w="80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7</w:t>
            </w:r>
          </w:p>
        </w:tc>
        <w:tc>
          <w:tcPr>
            <w:tcW w:w="96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18</w:t>
            </w:r>
          </w:p>
        </w:tc>
        <w:tc>
          <w:tcPr>
            <w:tcW w:w="80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6</w:t>
            </w:r>
          </w:p>
        </w:tc>
        <w:tc>
          <w:tcPr>
            <w:tcW w:w="736"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9</w:t>
            </w:r>
          </w:p>
        </w:tc>
      </w:tr>
      <w:tr w:rsidR="00C67DF8" w:rsidRPr="001120C1">
        <w:trPr>
          <w:gridAfter w:val="1"/>
          <w:wAfter w:w="40" w:type="dxa"/>
          <w:cantSplit/>
          <w:jc w:val="center"/>
        </w:trPr>
        <w:tc>
          <w:tcPr>
            <w:tcW w:w="2746" w:type="dxa"/>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مستشفى خاص/عيادة خاصة</w:t>
            </w:r>
          </w:p>
        </w:tc>
        <w:tc>
          <w:tcPr>
            <w:tcW w:w="96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23</w:t>
            </w:r>
          </w:p>
        </w:tc>
        <w:tc>
          <w:tcPr>
            <w:tcW w:w="80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5</w:t>
            </w:r>
          </w:p>
        </w:tc>
        <w:tc>
          <w:tcPr>
            <w:tcW w:w="80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10</w:t>
            </w:r>
          </w:p>
        </w:tc>
        <w:tc>
          <w:tcPr>
            <w:tcW w:w="96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26</w:t>
            </w:r>
          </w:p>
        </w:tc>
        <w:tc>
          <w:tcPr>
            <w:tcW w:w="80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7</w:t>
            </w:r>
          </w:p>
        </w:tc>
        <w:tc>
          <w:tcPr>
            <w:tcW w:w="736"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12</w:t>
            </w:r>
          </w:p>
        </w:tc>
      </w:tr>
      <w:tr w:rsidR="00C67DF8" w:rsidRPr="001120C1">
        <w:trPr>
          <w:gridAfter w:val="1"/>
          <w:wAfter w:w="40" w:type="dxa"/>
          <w:cantSplit/>
          <w:jc w:val="center"/>
        </w:trPr>
        <w:tc>
          <w:tcPr>
            <w:tcW w:w="2746" w:type="dxa"/>
            <w:tcBorders>
              <w:bottom w:val="single" w:sz="4" w:space="0" w:color="auto"/>
            </w:tcBorders>
            <w:shd w:val="clear" w:color="auto" w:fill="auto"/>
            <w:vAlign w:val="bottom"/>
          </w:tcPr>
          <w:p w:rsidR="00C67DF8" w:rsidRPr="001120C1" w:rsidRDefault="00C67DF8" w:rsidP="002360DC">
            <w:pPr>
              <w:pStyle w:val="DualTxt"/>
              <w:spacing w:before="40" w:after="80" w:line="240" w:lineRule="exact"/>
              <w:rPr>
                <w:rFonts w:hint="cs"/>
                <w:sz w:val="16"/>
                <w:szCs w:val="24"/>
                <w:rtl/>
              </w:rPr>
            </w:pPr>
            <w:r>
              <w:rPr>
                <w:rFonts w:hint="cs"/>
                <w:sz w:val="16"/>
                <w:szCs w:val="24"/>
                <w:rtl/>
              </w:rPr>
              <w:t>غير ذلك</w:t>
            </w:r>
          </w:p>
        </w:tc>
        <w:tc>
          <w:tcPr>
            <w:tcW w:w="960" w:type="dxa"/>
            <w:gridSpan w:val="2"/>
            <w:tcBorders>
              <w:bottom w:val="single" w:sz="4" w:space="0" w:color="auto"/>
            </w:tcBorders>
            <w:shd w:val="clear" w:color="auto" w:fill="auto"/>
            <w:vAlign w:val="bottom"/>
          </w:tcPr>
          <w:p w:rsidR="00C67DF8" w:rsidRPr="001120C1" w:rsidRDefault="00C67DF8" w:rsidP="002360DC">
            <w:pPr>
              <w:pStyle w:val="DualTxt"/>
              <w:spacing w:before="40" w:after="80" w:line="240" w:lineRule="exact"/>
              <w:rPr>
                <w:rFonts w:hint="cs"/>
                <w:sz w:val="16"/>
                <w:szCs w:val="24"/>
                <w:rtl/>
              </w:rPr>
            </w:pPr>
            <w:r>
              <w:rPr>
                <w:rFonts w:hint="cs"/>
                <w:sz w:val="16"/>
                <w:szCs w:val="24"/>
                <w:rtl/>
              </w:rPr>
              <w:t>2</w:t>
            </w:r>
          </w:p>
        </w:tc>
        <w:tc>
          <w:tcPr>
            <w:tcW w:w="800" w:type="dxa"/>
            <w:gridSpan w:val="2"/>
            <w:tcBorders>
              <w:bottom w:val="single" w:sz="4" w:space="0" w:color="auto"/>
            </w:tcBorders>
            <w:shd w:val="clear" w:color="auto" w:fill="auto"/>
            <w:vAlign w:val="bottom"/>
          </w:tcPr>
          <w:p w:rsidR="00C67DF8" w:rsidRPr="001120C1" w:rsidRDefault="00C67DF8" w:rsidP="002360DC">
            <w:pPr>
              <w:pStyle w:val="DualTxt"/>
              <w:spacing w:before="40" w:after="80" w:line="240" w:lineRule="exact"/>
              <w:rPr>
                <w:rFonts w:hint="cs"/>
                <w:sz w:val="16"/>
                <w:szCs w:val="24"/>
                <w:rtl/>
              </w:rPr>
            </w:pPr>
            <w:r>
              <w:rPr>
                <w:rFonts w:hint="cs"/>
                <w:sz w:val="16"/>
                <w:szCs w:val="24"/>
                <w:rtl/>
              </w:rPr>
              <w:t>1</w:t>
            </w:r>
          </w:p>
        </w:tc>
        <w:tc>
          <w:tcPr>
            <w:tcW w:w="800" w:type="dxa"/>
            <w:gridSpan w:val="2"/>
            <w:tcBorders>
              <w:bottom w:val="single" w:sz="4" w:space="0" w:color="auto"/>
            </w:tcBorders>
            <w:shd w:val="clear" w:color="auto" w:fill="auto"/>
            <w:vAlign w:val="bottom"/>
          </w:tcPr>
          <w:p w:rsidR="00C67DF8" w:rsidRPr="001120C1" w:rsidRDefault="00C67DF8" w:rsidP="002360DC">
            <w:pPr>
              <w:pStyle w:val="DualTxt"/>
              <w:spacing w:before="40" w:after="80" w:line="240" w:lineRule="exact"/>
              <w:rPr>
                <w:rFonts w:hint="cs"/>
                <w:sz w:val="16"/>
                <w:szCs w:val="24"/>
                <w:rtl/>
              </w:rPr>
            </w:pPr>
            <w:r>
              <w:rPr>
                <w:rFonts w:hint="cs"/>
                <w:sz w:val="16"/>
                <w:szCs w:val="24"/>
                <w:rtl/>
              </w:rPr>
              <w:t>1</w:t>
            </w:r>
          </w:p>
        </w:tc>
        <w:tc>
          <w:tcPr>
            <w:tcW w:w="960" w:type="dxa"/>
            <w:gridSpan w:val="2"/>
            <w:tcBorders>
              <w:bottom w:val="single" w:sz="4" w:space="0" w:color="auto"/>
            </w:tcBorders>
            <w:shd w:val="clear" w:color="auto" w:fill="auto"/>
            <w:vAlign w:val="bottom"/>
          </w:tcPr>
          <w:p w:rsidR="00C67DF8" w:rsidRPr="001120C1" w:rsidRDefault="00C67DF8" w:rsidP="002360DC">
            <w:pPr>
              <w:pStyle w:val="DualTxt"/>
              <w:spacing w:before="40" w:after="80" w:line="240" w:lineRule="exact"/>
              <w:rPr>
                <w:rFonts w:hint="cs"/>
                <w:sz w:val="16"/>
                <w:szCs w:val="24"/>
                <w:rtl/>
              </w:rPr>
            </w:pPr>
            <w:r>
              <w:rPr>
                <w:rFonts w:hint="cs"/>
                <w:sz w:val="16"/>
                <w:szCs w:val="24"/>
                <w:rtl/>
              </w:rPr>
              <w:t>2</w:t>
            </w:r>
          </w:p>
        </w:tc>
        <w:tc>
          <w:tcPr>
            <w:tcW w:w="800" w:type="dxa"/>
            <w:gridSpan w:val="2"/>
            <w:tcBorders>
              <w:bottom w:val="single" w:sz="4" w:space="0" w:color="auto"/>
            </w:tcBorders>
            <w:shd w:val="clear" w:color="auto" w:fill="auto"/>
            <w:vAlign w:val="bottom"/>
          </w:tcPr>
          <w:p w:rsidR="00C67DF8" w:rsidRPr="001120C1" w:rsidRDefault="00C67DF8" w:rsidP="002360DC">
            <w:pPr>
              <w:pStyle w:val="DualTxt"/>
              <w:spacing w:before="40" w:after="80" w:line="240" w:lineRule="exact"/>
              <w:rPr>
                <w:rFonts w:hint="cs"/>
                <w:sz w:val="16"/>
                <w:szCs w:val="24"/>
                <w:rtl/>
              </w:rPr>
            </w:pPr>
            <w:r>
              <w:rPr>
                <w:rFonts w:hint="cs"/>
                <w:sz w:val="16"/>
                <w:szCs w:val="24"/>
                <w:rtl/>
              </w:rPr>
              <w:t>1</w:t>
            </w:r>
          </w:p>
        </w:tc>
        <w:tc>
          <w:tcPr>
            <w:tcW w:w="736" w:type="dxa"/>
            <w:gridSpan w:val="2"/>
            <w:tcBorders>
              <w:bottom w:val="single" w:sz="4" w:space="0" w:color="auto"/>
            </w:tcBorders>
            <w:shd w:val="clear" w:color="auto" w:fill="auto"/>
            <w:vAlign w:val="bottom"/>
          </w:tcPr>
          <w:p w:rsidR="00C67DF8" w:rsidRPr="001120C1" w:rsidRDefault="00C67DF8" w:rsidP="002360DC">
            <w:pPr>
              <w:pStyle w:val="DualTxt"/>
              <w:spacing w:before="40" w:after="80" w:line="240" w:lineRule="exact"/>
              <w:rPr>
                <w:rFonts w:hint="cs"/>
                <w:sz w:val="16"/>
                <w:szCs w:val="24"/>
                <w:rtl/>
              </w:rPr>
            </w:pPr>
            <w:r>
              <w:rPr>
                <w:rFonts w:hint="cs"/>
                <w:sz w:val="16"/>
                <w:szCs w:val="24"/>
                <w:rtl/>
              </w:rPr>
              <w:t>1</w:t>
            </w:r>
          </w:p>
        </w:tc>
      </w:tr>
      <w:tr w:rsidR="00C67DF8" w:rsidRPr="002360DC">
        <w:trPr>
          <w:gridAfter w:val="1"/>
          <w:wAfter w:w="40" w:type="dxa"/>
          <w:cantSplit/>
          <w:jc w:val="center"/>
        </w:trPr>
        <w:tc>
          <w:tcPr>
            <w:tcW w:w="2746" w:type="dxa"/>
            <w:tcBorders>
              <w:top w:val="single" w:sz="4" w:space="0" w:color="auto"/>
              <w:bottom w:val="single" w:sz="4" w:space="0" w:color="auto"/>
            </w:tcBorders>
            <w:shd w:val="clear" w:color="auto" w:fill="auto"/>
            <w:vAlign w:val="bottom"/>
          </w:tcPr>
          <w:p w:rsidR="00C67DF8" w:rsidRPr="002360DC" w:rsidRDefault="00C67DF8" w:rsidP="002360DC">
            <w:pPr>
              <w:pStyle w:val="DualTxt"/>
              <w:spacing w:before="60" w:after="60" w:line="240" w:lineRule="exact"/>
              <w:rPr>
                <w:rFonts w:hint="cs"/>
                <w:bCs/>
                <w:sz w:val="16"/>
                <w:szCs w:val="24"/>
                <w:rtl/>
              </w:rPr>
            </w:pPr>
            <w:r w:rsidRPr="002360DC">
              <w:rPr>
                <w:rFonts w:hint="cs"/>
                <w:bCs/>
                <w:sz w:val="16"/>
                <w:szCs w:val="24"/>
                <w:rtl/>
              </w:rPr>
              <w:t>المجموع</w:t>
            </w:r>
          </w:p>
        </w:tc>
        <w:tc>
          <w:tcPr>
            <w:tcW w:w="960" w:type="dxa"/>
            <w:gridSpan w:val="2"/>
            <w:tcBorders>
              <w:top w:val="single" w:sz="4" w:space="0" w:color="auto"/>
              <w:bottom w:val="single" w:sz="4" w:space="0" w:color="auto"/>
            </w:tcBorders>
            <w:shd w:val="clear" w:color="auto" w:fill="auto"/>
            <w:vAlign w:val="bottom"/>
          </w:tcPr>
          <w:p w:rsidR="00C67DF8" w:rsidRPr="002360DC" w:rsidRDefault="002360DC" w:rsidP="002360DC">
            <w:pPr>
              <w:pStyle w:val="DualTxt"/>
              <w:spacing w:before="60" w:after="60" w:line="240" w:lineRule="exact"/>
              <w:rPr>
                <w:rFonts w:hint="cs"/>
                <w:bCs/>
                <w:sz w:val="16"/>
                <w:szCs w:val="24"/>
                <w:rtl/>
              </w:rPr>
            </w:pPr>
            <w:r w:rsidRPr="002360DC">
              <w:rPr>
                <w:rFonts w:hint="cs"/>
                <w:bCs/>
                <w:sz w:val="16"/>
                <w:szCs w:val="24"/>
                <w:rtl/>
              </w:rPr>
              <w:t>100</w:t>
            </w:r>
          </w:p>
        </w:tc>
        <w:tc>
          <w:tcPr>
            <w:tcW w:w="800" w:type="dxa"/>
            <w:gridSpan w:val="2"/>
            <w:tcBorders>
              <w:top w:val="single" w:sz="4" w:space="0" w:color="auto"/>
              <w:bottom w:val="single" w:sz="4" w:space="0" w:color="auto"/>
            </w:tcBorders>
            <w:shd w:val="clear" w:color="auto" w:fill="auto"/>
            <w:vAlign w:val="bottom"/>
          </w:tcPr>
          <w:p w:rsidR="00C67DF8" w:rsidRPr="002360DC" w:rsidRDefault="002360DC" w:rsidP="002360DC">
            <w:pPr>
              <w:pStyle w:val="DualTxt"/>
              <w:spacing w:before="60" w:after="60" w:line="240" w:lineRule="exact"/>
              <w:rPr>
                <w:rFonts w:hint="cs"/>
                <w:bCs/>
                <w:sz w:val="16"/>
                <w:szCs w:val="24"/>
                <w:rtl/>
              </w:rPr>
            </w:pPr>
            <w:r w:rsidRPr="002360DC">
              <w:rPr>
                <w:rFonts w:hint="cs"/>
                <w:bCs/>
                <w:sz w:val="16"/>
                <w:szCs w:val="24"/>
                <w:rtl/>
              </w:rPr>
              <w:t>100</w:t>
            </w:r>
          </w:p>
        </w:tc>
        <w:tc>
          <w:tcPr>
            <w:tcW w:w="800" w:type="dxa"/>
            <w:gridSpan w:val="2"/>
            <w:tcBorders>
              <w:top w:val="single" w:sz="4" w:space="0" w:color="auto"/>
              <w:bottom w:val="single" w:sz="4" w:space="0" w:color="auto"/>
            </w:tcBorders>
            <w:shd w:val="clear" w:color="auto" w:fill="auto"/>
            <w:vAlign w:val="bottom"/>
          </w:tcPr>
          <w:p w:rsidR="00C67DF8" w:rsidRPr="002360DC" w:rsidRDefault="002360DC" w:rsidP="002360DC">
            <w:pPr>
              <w:pStyle w:val="DualTxt"/>
              <w:spacing w:before="60" w:after="60" w:line="240" w:lineRule="exact"/>
              <w:rPr>
                <w:rFonts w:hint="cs"/>
                <w:bCs/>
                <w:sz w:val="16"/>
                <w:szCs w:val="24"/>
                <w:rtl/>
              </w:rPr>
            </w:pPr>
            <w:r w:rsidRPr="002360DC">
              <w:rPr>
                <w:rFonts w:hint="cs"/>
                <w:bCs/>
                <w:sz w:val="16"/>
                <w:szCs w:val="24"/>
                <w:rtl/>
              </w:rPr>
              <w:t>100</w:t>
            </w:r>
          </w:p>
        </w:tc>
        <w:tc>
          <w:tcPr>
            <w:tcW w:w="960" w:type="dxa"/>
            <w:gridSpan w:val="2"/>
            <w:tcBorders>
              <w:top w:val="single" w:sz="4" w:space="0" w:color="auto"/>
              <w:bottom w:val="single" w:sz="4" w:space="0" w:color="auto"/>
            </w:tcBorders>
            <w:shd w:val="clear" w:color="auto" w:fill="auto"/>
            <w:vAlign w:val="bottom"/>
          </w:tcPr>
          <w:p w:rsidR="00C67DF8" w:rsidRPr="002360DC" w:rsidRDefault="002360DC" w:rsidP="002360DC">
            <w:pPr>
              <w:pStyle w:val="DualTxt"/>
              <w:spacing w:before="60" w:after="60" w:line="240" w:lineRule="exact"/>
              <w:rPr>
                <w:rFonts w:hint="cs"/>
                <w:bCs/>
                <w:sz w:val="16"/>
                <w:szCs w:val="24"/>
                <w:rtl/>
              </w:rPr>
            </w:pPr>
            <w:r w:rsidRPr="002360DC">
              <w:rPr>
                <w:rFonts w:hint="cs"/>
                <w:bCs/>
                <w:sz w:val="16"/>
                <w:szCs w:val="24"/>
                <w:rtl/>
              </w:rPr>
              <w:t>100</w:t>
            </w:r>
          </w:p>
        </w:tc>
        <w:tc>
          <w:tcPr>
            <w:tcW w:w="800" w:type="dxa"/>
            <w:gridSpan w:val="2"/>
            <w:tcBorders>
              <w:top w:val="single" w:sz="4" w:space="0" w:color="auto"/>
              <w:bottom w:val="single" w:sz="4" w:space="0" w:color="auto"/>
            </w:tcBorders>
            <w:shd w:val="clear" w:color="auto" w:fill="auto"/>
            <w:vAlign w:val="bottom"/>
          </w:tcPr>
          <w:p w:rsidR="00C67DF8" w:rsidRPr="002360DC" w:rsidRDefault="002360DC" w:rsidP="002360DC">
            <w:pPr>
              <w:pStyle w:val="DualTxt"/>
              <w:spacing w:before="60" w:after="60" w:line="240" w:lineRule="exact"/>
              <w:rPr>
                <w:rFonts w:hint="cs"/>
                <w:bCs/>
                <w:sz w:val="16"/>
                <w:szCs w:val="24"/>
                <w:rtl/>
              </w:rPr>
            </w:pPr>
            <w:r w:rsidRPr="002360DC">
              <w:rPr>
                <w:rFonts w:hint="cs"/>
                <w:bCs/>
                <w:sz w:val="16"/>
                <w:szCs w:val="24"/>
                <w:rtl/>
              </w:rPr>
              <w:t>100</w:t>
            </w:r>
          </w:p>
        </w:tc>
        <w:tc>
          <w:tcPr>
            <w:tcW w:w="736" w:type="dxa"/>
            <w:gridSpan w:val="2"/>
            <w:tcBorders>
              <w:top w:val="single" w:sz="4" w:space="0" w:color="auto"/>
              <w:bottom w:val="single" w:sz="4" w:space="0" w:color="auto"/>
            </w:tcBorders>
            <w:shd w:val="clear" w:color="auto" w:fill="auto"/>
            <w:vAlign w:val="bottom"/>
          </w:tcPr>
          <w:p w:rsidR="00C67DF8" w:rsidRPr="002360DC" w:rsidRDefault="002360DC" w:rsidP="002360DC">
            <w:pPr>
              <w:pStyle w:val="DualTxt"/>
              <w:spacing w:before="60" w:after="60" w:line="240" w:lineRule="exact"/>
              <w:rPr>
                <w:rFonts w:hint="cs"/>
                <w:bCs/>
                <w:sz w:val="16"/>
                <w:szCs w:val="24"/>
                <w:rtl/>
              </w:rPr>
            </w:pPr>
            <w:r w:rsidRPr="002360DC">
              <w:rPr>
                <w:rFonts w:hint="cs"/>
                <w:bCs/>
                <w:sz w:val="16"/>
                <w:szCs w:val="24"/>
                <w:rtl/>
              </w:rPr>
              <w:t>100</w:t>
            </w:r>
          </w:p>
        </w:tc>
      </w:tr>
      <w:tr w:rsidR="00C67DF8" w:rsidRPr="001120C1">
        <w:trPr>
          <w:gridAfter w:val="1"/>
          <w:wAfter w:w="40" w:type="dxa"/>
          <w:cantSplit/>
          <w:jc w:val="center"/>
        </w:trPr>
        <w:tc>
          <w:tcPr>
            <w:tcW w:w="7802" w:type="dxa"/>
            <w:gridSpan w:val="13"/>
            <w:tcBorders>
              <w:top w:val="single" w:sz="4" w:space="0" w:color="auto"/>
            </w:tcBorders>
            <w:shd w:val="clear" w:color="auto" w:fill="auto"/>
            <w:vAlign w:val="bottom"/>
          </w:tcPr>
          <w:p w:rsidR="00C67DF8" w:rsidRPr="001120C1" w:rsidRDefault="00C67DF8" w:rsidP="002360DC">
            <w:pPr>
              <w:pStyle w:val="DualTxt"/>
              <w:spacing w:before="60" w:after="80" w:line="240" w:lineRule="exact"/>
              <w:rPr>
                <w:rFonts w:hint="cs"/>
                <w:sz w:val="16"/>
                <w:szCs w:val="24"/>
                <w:rtl/>
              </w:rPr>
            </w:pPr>
            <w:r>
              <w:rPr>
                <w:rFonts w:hint="cs"/>
                <w:sz w:val="16"/>
                <w:szCs w:val="24"/>
                <w:rtl/>
              </w:rPr>
              <w:t>الشخص الذي ساعد في الولادة</w:t>
            </w:r>
          </w:p>
        </w:tc>
      </w:tr>
      <w:tr w:rsidR="00C67DF8" w:rsidRPr="001120C1">
        <w:trPr>
          <w:cantSplit/>
          <w:jc w:val="center"/>
        </w:trPr>
        <w:tc>
          <w:tcPr>
            <w:tcW w:w="2795"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عضو من أعضاء الأسرة/قريب</w:t>
            </w:r>
          </w:p>
        </w:tc>
        <w:tc>
          <w:tcPr>
            <w:tcW w:w="927"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10</w:t>
            </w:r>
          </w:p>
        </w:tc>
        <w:tc>
          <w:tcPr>
            <w:tcW w:w="82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22</w:t>
            </w:r>
          </w:p>
        </w:tc>
        <w:tc>
          <w:tcPr>
            <w:tcW w:w="828"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19</w:t>
            </w:r>
          </w:p>
        </w:tc>
        <w:tc>
          <w:tcPr>
            <w:tcW w:w="927"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7</w:t>
            </w:r>
          </w:p>
        </w:tc>
        <w:tc>
          <w:tcPr>
            <w:tcW w:w="824"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20</w:t>
            </w:r>
          </w:p>
        </w:tc>
        <w:tc>
          <w:tcPr>
            <w:tcW w:w="721"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17</w:t>
            </w:r>
          </w:p>
        </w:tc>
      </w:tr>
      <w:tr w:rsidR="00C67DF8" w:rsidRPr="001120C1">
        <w:trPr>
          <w:cantSplit/>
          <w:jc w:val="center"/>
        </w:trPr>
        <w:tc>
          <w:tcPr>
            <w:tcW w:w="2795"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جار</w:t>
            </w:r>
          </w:p>
        </w:tc>
        <w:tc>
          <w:tcPr>
            <w:tcW w:w="927"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w:t>
            </w:r>
          </w:p>
        </w:tc>
        <w:tc>
          <w:tcPr>
            <w:tcW w:w="82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2</w:t>
            </w:r>
          </w:p>
        </w:tc>
        <w:tc>
          <w:tcPr>
            <w:tcW w:w="828"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2</w:t>
            </w:r>
          </w:p>
        </w:tc>
        <w:tc>
          <w:tcPr>
            <w:tcW w:w="927"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w:t>
            </w:r>
          </w:p>
        </w:tc>
        <w:tc>
          <w:tcPr>
            <w:tcW w:w="824"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3</w:t>
            </w:r>
          </w:p>
        </w:tc>
        <w:tc>
          <w:tcPr>
            <w:tcW w:w="721"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2</w:t>
            </w:r>
          </w:p>
        </w:tc>
      </w:tr>
      <w:tr w:rsidR="00C67DF8" w:rsidRPr="001120C1">
        <w:trPr>
          <w:cantSplit/>
          <w:jc w:val="center"/>
        </w:trPr>
        <w:tc>
          <w:tcPr>
            <w:tcW w:w="2795"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مولد مدرب</w:t>
            </w:r>
          </w:p>
        </w:tc>
        <w:tc>
          <w:tcPr>
            <w:tcW w:w="927"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12</w:t>
            </w:r>
          </w:p>
        </w:tc>
        <w:tc>
          <w:tcPr>
            <w:tcW w:w="82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19</w:t>
            </w:r>
          </w:p>
        </w:tc>
        <w:tc>
          <w:tcPr>
            <w:tcW w:w="828"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18</w:t>
            </w:r>
          </w:p>
        </w:tc>
        <w:tc>
          <w:tcPr>
            <w:tcW w:w="927"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12</w:t>
            </w:r>
          </w:p>
        </w:tc>
        <w:tc>
          <w:tcPr>
            <w:tcW w:w="824"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21</w:t>
            </w:r>
          </w:p>
        </w:tc>
        <w:tc>
          <w:tcPr>
            <w:tcW w:w="721"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18</w:t>
            </w:r>
          </w:p>
        </w:tc>
      </w:tr>
      <w:tr w:rsidR="00C67DF8" w:rsidRPr="001120C1">
        <w:trPr>
          <w:cantSplit/>
          <w:jc w:val="center"/>
        </w:trPr>
        <w:tc>
          <w:tcPr>
            <w:tcW w:w="2795"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قابلة تقليدية مدربة</w:t>
            </w:r>
          </w:p>
        </w:tc>
        <w:tc>
          <w:tcPr>
            <w:tcW w:w="927"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33</w:t>
            </w:r>
          </w:p>
        </w:tc>
        <w:tc>
          <w:tcPr>
            <w:tcW w:w="82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45</w:t>
            </w:r>
          </w:p>
        </w:tc>
        <w:tc>
          <w:tcPr>
            <w:tcW w:w="828"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42</w:t>
            </w:r>
          </w:p>
        </w:tc>
        <w:tc>
          <w:tcPr>
            <w:tcW w:w="927"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31</w:t>
            </w:r>
          </w:p>
        </w:tc>
        <w:tc>
          <w:tcPr>
            <w:tcW w:w="824"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40</w:t>
            </w:r>
          </w:p>
        </w:tc>
        <w:tc>
          <w:tcPr>
            <w:tcW w:w="721"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38</w:t>
            </w:r>
          </w:p>
        </w:tc>
      </w:tr>
      <w:tr w:rsidR="00C67DF8" w:rsidRPr="001120C1">
        <w:trPr>
          <w:cantSplit/>
          <w:jc w:val="center"/>
        </w:trPr>
        <w:tc>
          <w:tcPr>
            <w:tcW w:w="2795"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طبيب</w:t>
            </w:r>
          </w:p>
        </w:tc>
        <w:tc>
          <w:tcPr>
            <w:tcW w:w="927"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35</w:t>
            </w:r>
          </w:p>
        </w:tc>
        <w:tc>
          <w:tcPr>
            <w:tcW w:w="82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8</w:t>
            </w:r>
          </w:p>
        </w:tc>
        <w:tc>
          <w:tcPr>
            <w:tcW w:w="828"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15</w:t>
            </w:r>
          </w:p>
        </w:tc>
        <w:tc>
          <w:tcPr>
            <w:tcW w:w="927"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40</w:t>
            </w:r>
          </w:p>
        </w:tc>
        <w:tc>
          <w:tcPr>
            <w:tcW w:w="824"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11</w:t>
            </w:r>
          </w:p>
        </w:tc>
        <w:tc>
          <w:tcPr>
            <w:tcW w:w="721"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19</w:t>
            </w:r>
          </w:p>
        </w:tc>
      </w:tr>
      <w:tr w:rsidR="00C67DF8" w:rsidRPr="001120C1">
        <w:trPr>
          <w:cantSplit/>
          <w:jc w:val="center"/>
        </w:trPr>
        <w:tc>
          <w:tcPr>
            <w:tcW w:w="2795"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زائرة صحية</w:t>
            </w:r>
          </w:p>
        </w:tc>
        <w:tc>
          <w:tcPr>
            <w:tcW w:w="927"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2</w:t>
            </w:r>
          </w:p>
        </w:tc>
        <w:tc>
          <w:tcPr>
            <w:tcW w:w="82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w:t>
            </w:r>
          </w:p>
        </w:tc>
        <w:tc>
          <w:tcPr>
            <w:tcW w:w="828"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w:t>
            </w:r>
          </w:p>
        </w:tc>
        <w:tc>
          <w:tcPr>
            <w:tcW w:w="927"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w:t>
            </w:r>
          </w:p>
        </w:tc>
        <w:tc>
          <w:tcPr>
            <w:tcW w:w="824"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w:t>
            </w:r>
          </w:p>
        </w:tc>
        <w:tc>
          <w:tcPr>
            <w:tcW w:w="721"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w:t>
            </w:r>
          </w:p>
        </w:tc>
      </w:tr>
      <w:tr w:rsidR="00C67DF8" w:rsidRPr="001120C1">
        <w:trPr>
          <w:cantSplit/>
          <w:jc w:val="center"/>
        </w:trPr>
        <w:tc>
          <w:tcPr>
            <w:tcW w:w="2795"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عاملة صحية</w:t>
            </w:r>
          </w:p>
        </w:tc>
        <w:tc>
          <w:tcPr>
            <w:tcW w:w="927"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1</w:t>
            </w:r>
          </w:p>
        </w:tc>
        <w:tc>
          <w:tcPr>
            <w:tcW w:w="82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صفر</w:t>
            </w:r>
          </w:p>
        </w:tc>
        <w:tc>
          <w:tcPr>
            <w:tcW w:w="828"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صفر</w:t>
            </w:r>
          </w:p>
        </w:tc>
        <w:tc>
          <w:tcPr>
            <w:tcW w:w="927"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صفر</w:t>
            </w:r>
          </w:p>
        </w:tc>
        <w:tc>
          <w:tcPr>
            <w:tcW w:w="824"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صفر</w:t>
            </w:r>
          </w:p>
        </w:tc>
        <w:tc>
          <w:tcPr>
            <w:tcW w:w="721"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صفر</w:t>
            </w:r>
          </w:p>
        </w:tc>
      </w:tr>
      <w:tr w:rsidR="00C67DF8" w:rsidRPr="001120C1">
        <w:trPr>
          <w:cantSplit/>
          <w:jc w:val="center"/>
        </w:trPr>
        <w:tc>
          <w:tcPr>
            <w:tcW w:w="2795"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ممرضة</w:t>
            </w:r>
          </w:p>
        </w:tc>
        <w:tc>
          <w:tcPr>
            <w:tcW w:w="927"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6</w:t>
            </w:r>
          </w:p>
        </w:tc>
        <w:tc>
          <w:tcPr>
            <w:tcW w:w="820"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3</w:t>
            </w:r>
          </w:p>
        </w:tc>
        <w:tc>
          <w:tcPr>
            <w:tcW w:w="828"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3</w:t>
            </w:r>
          </w:p>
        </w:tc>
        <w:tc>
          <w:tcPr>
            <w:tcW w:w="927"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8</w:t>
            </w:r>
          </w:p>
        </w:tc>
        <w:tc>
          <w:tcPr>
            <w:tcW w:w="824"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3</w:t>
            </w:r>
          </w:p>
        </w:tc>
        <w:tc>
          <w:tcPr>
            <w:tcW w:w="721" w:type="dxa"/>
            <w:gridSpan w:val="2"/>
            <w:shd w:val="clear" w:color="auto" w:fill="auto"/>
            <w:vAlign w:val="bottom"/>
          </w:tcPr>
          <w:p w:rsidR="00C67DF8" w:rsidRPr="001120C1" w:rsidRDefault="00C67DF8" w:rsidP="00C67DF8">
            <w:pPr>
              <w:pStyle w:val="DualTxt"/>
              <w:spacing w:before="40" w:after="80" w:line="240" w:lineRule="exact"/>
              <w:rPr>
                <w:rFonts w:hint="cs"/>
                <w:sz w:val="16"/>
                <w:szCs w:val="24"/>
                <w:rtl/>
              </w:rPr>
            </w:pPr>
            <w:r>
              <w:rPr>
                <w:rFonts w:hint="cs"/>
                <w:sz w:val="16"/>
                <w:szCs w:val="24"/>
                <w:rtl/>
              </w:rPr>
              <w:t>4</w:t>
            </w:r>
          </w:p>
        </w:tc>
      </w:tr>
      <w:tr w:rsidR="00C67DF8" w:rsidRPr="001120C1">
        <w:trPr>
          <w:cantSplit/>
          <w:jc w:val="center"/>
        </w:trPr>
        <w:tc>
          <w:tcPr>
            <w:tcW w:w="2795" w:type="dxa"/>
            <w:gridSpan w:val="2"/>
            <w:tcBorders>
              <w:bottom w:val="single" w:sz="4" w:space="0" w:color="auto"/>
            </w:tcBorders>
            <w:shd w:val="clear" w:color="auto" w:fill="auto"/>
            <w:vAlign w:val="bottom"/>
          </w:tcPr>
          <w:p w:rsidR="00C67DF8" w:rsidRPr="001120C1" w:rsidRDefault="00C67DF8" w:rsidP="00A3018B">
            <w:pPr>
              <w:pStyle w:val="DualTxt"/>
              <w:spacing w:before="40" w:after="80" w:line="240" w:lineRule="exact"/>
              <w:rPr>
                <w:rFonts w:hint="cs"/>
                <w:sz w:val="16"/>
                <w:szCs w:val="24"/>
                <w:rtl/>
              </w:rPr>
            </w:pPr>
            <w:r>
              <w:rPr>
                <w:rFonts w:hint="cs"/>
                <w:sz w:val="16"/>
                <w:szCs w:val="24"/>
                <w:rtl/>
              </w:rPr>
              <w:t>غير ذلك</w:t>
            </w:r>
          </w:p>
        </w:tc>
        <w:tc>
          <w:tcPr>
            <w:tcW w:w="927" w:type="dxa"/>
            <w:gridSpan w:val="2"/>
            <w:tcBorders>
              <w:bottom w:val="single" w:sz="4" w:space="0" w:color="auto"/>
            </w:tcBorders>
            <w:shd w:val="clear" w:color="auto" w:fill="auto"/>
            <w:vAlign w:val="bottom"/>
          </w:tcPr>
          <w:p w:rsidR="00C67DF8" w:rsidRPr="001120C1" w:rsidRDefault="00C67DF8" w:rsidP="00A3018B">
            <w:pPr>
              <w:pStyle w:val="DualTxt"/>
              <w:spacing w:before="40" w:after="80" w:line="240" w:lineRule="exact"/>
              <w:rPr>
                <w:rFonts w:hint="cs"/>
                <w:sz w:val="16"/>
                <w:szCs w:val="24"/>
                <w:rtl/>
              </w:rPr>
            </w:pPr>
            <w:r>
              <w:rPr>
                <w:rFonts w:hint="cs"/>
                <w:sz w:val="16"/>
                <w:szCs w:val="24"/>
                <w:rtl/>
              </w:rPr>
              <w:t>1</w:t>
            </w:r>
          </w:p>
        </w:tc>
        <w:tc>
          <w:tcPr>
            <w:tcW w:w="820" w:type="dxa"/>
            <w:gridSpan w:val="2"/>
            <w:tcBorders>
              <w:bottom w:val="single" w:sz="4" w:space="0" w:color="auto"/>
            </w:tcBorders>
            <w:shd w:val="clear" w:color="auto" w:fill="auto"/>
            <w:vAlign w:val="bottom"/>
          </w:tcPr>
          <w:p w:rsidR="00C67DF8" w:rsidRPr="001120C1" w:rsidRDefault="00C67DF8" w:rsidP="00A3018B">
            <w:pPr>
              <w:pStyle w:val="DualTxt"/>
              <w:spacing w:before="40" w:after="80" w:line="240" w:lineRule="exact"/>
              <w:rPr>
                <w:rFonts w:hint="cs"/>
                <w:sz w:val="16"/>
                <w:szCs w:val="24"/>
                <w:rtl/>
              </w:rPr>
            </w:pPr>
            <w:r>
              <w:rPr>
                <w:rFonts w:hint="cs"/>
                <w:sz w:val="16"/>
                <w:szCs w:val="24"/>
                <w:rtl/>
              </w:rPr>
              <w:t>صفر</w:t>
            </w:r>
          </w:p>
        </w:tc>
        <w:tc>
          <w:tcPr>
            <w:tcW w:w="828" w:type="dxa"/>
            <w:gridSpan w:val="2"/>
            <w:tcBorders>
              <w:bottom w:val="single" w:sz="4" w:space="0" w:color="auto"/>
            </w:tcBorders>
            <w:shd w:val="clear" w:color="auto" w:fill="auto"/>
            <w:vAlign w:val="bottom"/>
          </w:tcPr>
          <w:p w:rsidR="00C67DF8" w:rsidRPr="001120C1" w:rsidRDefault="00C67DF8" w:rsidP="00A3018B">
            <w:pPr>
              <w:pStyle w:val="DualTxt"/>
              <w:spacing w:before="40" w:after="80" w:line="240" w:lineRule="exact"/>
              <w:rPr>
                <w:rFonts w:hint="cs"/>
                <w:sz w:val="16"/>
                <w:szCs w:val="24"/>
                <w:rtl/>
              </w:rPr>
            </w:pPr>
            <w:r>
              <w:rPr>
                <w:rFonts w:hint="cs"/>
                <w:sz w:val="16"/>
                <w:szCs w:val="24"/>
                <w:rtl/>
              </w:rPr>
              <w:t>1</w:t>
            </w:r>
          </w:p>
        </w:tc>
        <w:tc>
          <w:tcPr>
            <w:tcW w:w="927" w:type="dxa"/>
            <w:gridSpan w:val="2"/>
            <w:tcBorders>
              <w:bottom w:val="single" w:sz="4" w:space="0" w:color="auto"/>
            </w:tcBorders>
            <w:shd w:val="clear" w:color="auto" w:fill="auto"/>
            <w:vAlign w:val="bottom"/>
          </w:tcPr>
          <w:p w:rsidR="00C67DF8" w:rsidRPr="001120C1" w:rsidRDefault="00C67DF8" w:rsidP="00A3018B">
            <w:pPr>
              <w:pStyle w:val="DualTxt"/>
              <w:spacing w:before="40" w:after="80" w:line="240" w:lineRule="exact"/>
              <w:rPr>
                <w:rFonts w:hint="cs"/>
                <w:sz w:val="16"/>
                <w:szCs w:val="24"/>
                <w:rtl/>
              </w:rPr>
            </w:pPr>
            <w:r>
              <w:rPr>
                <w:rFonts w:hint="cs"/>
                <w:sz w:val="16"/>
                <w:szCs w:val="24"/>
                <w:rtl/>
              </w:rPr>
              <w:t>صفر</w:t>
            </w:r>
          </w:p>
        </w:tc>
        <w:tc>
          <w:tcPr>
            <w:tcW w:w="824" w:type="dxa"/>
            <w:gridSpan w:val="2"/>
            <w:tcBorders>
              <w:bottom w:val="single" w:sz="4" w:space="0" w:color="auto"/>
            </w:tcBorders>
            <w:shd w:val="clear" w:color="auto" w:fill="auto"/>
            <w:vAlign w:val="bottom"/>
          </w:tcPr>
          <w:p w:rsidR="00C67DF8" w:rsidRPr="001120C1" w:rsidRDefault="00C67DF8" w:rsidP="00A3018B">
            <w:pPr>
              <w:pStyle w:val="DualTxt"/>
              <w:spacing w:before="40" w:after="80" w:line="240" w:lineRule="exact"/>
              <w:rPr>
                <w:rFonts w:hint="cs"/>
                <w:sz w:val="16"/>
                <w:szCs w:val="24"/>
                <w:rtl/>
              </w:rPr>
            </w:pPr>
            <w:r>
              <w:rPr>
                <w:rFonts w:hint="cs"/>
                <w:sz w:val="16"/>
                <w:szCs w:val="24"/>
                <w:rtl/>
              </w:rPr>
              <w:t>صفر</w:t>
            </w:r>
          </w:p>
        </w:tc>
        <w:tc>
          <w:tcPr>
            <w:tcW w:w="721" w:type="dxa"/>
            <w:gridSpan w:val="2"/>
            <w:tcBorders>
              <w:bottom w:val="single" w:sz="4" w:space="0" w:color="auto"/>
            </w:tcBorders>
            <w:shd w:val="clear" w:color="auto" w:fill="auto"/>
            <w:vAlign w:val="bottom"/>
          </w:tcPr>
          <w:p w:rsidR="00C67DF8" w:rsidRPr="001120C1" w:rsidRDefault="00C67DF8" w:rsidP="00A3018B">
            <w:pPr>
              <w:pStyle w:val="DualTxt"/>
              <w:spacing w:before="40" w:after="80" w:line="240" w:lineRule="exact"/>
              <w:rPr>
                <w:rFonts w:hint="cs"/>
                <w:sz w:val="16"/>
                <w:szCs w:val="24"/>
                <w:rtl/>
              </w:rPr>
            </w:pPr>
            <w:r>
              <w:rPr>
                <w:rFonts w:hint="cs"/>
                <w:sz w:val="16"/>
                <w:szCs w:val="24"/>
                <w:rtl/>
              </w:rPr>
              <w:t>صفر</w:t>
            </w:r>
          </w:p>
        </w:tc>
      </w:tr>
      <w:tr w:rsidR="00C67DF8" w:rsidRPr="00A3018B">
        <w:trPr>
          <w:cantSplit/>
          <w:jc w:val="center"/>
        </w:trPr>
        <w:tc>
          <w:tcPr>
            <w:tcW w:w="2795" w:type="dxa"/>
            <w:gridSpan w:val="2"/>
            <w:tcBorders>
              <w:top w:val="single" w:sz="4" w:space="0" w:color="auto"/>
              <w:bottom w:val="single" w:sz="12" w:space="0" w:color="auto"/>
            </w:tcBorders>
            <w:shd w:val="clear" w:color="auto" w:fill="auto"/>
            <w:vAlign w:val="bottom"/>
          </w:tcPr>
          <w:p w:rsidR="00C67DF8" w:rsidRPr="00A3018B" w:rsidRDefault="00C67DF8" w:rsidP="00A3018B">
            <w:pPr>
              <w:pStyle w:val="DualTxt"/>
              <w:spacing w:before="60" w:after="60" w:line="240" w:lineRule="exact"/>
              <w:rPr>
                <w:rFonts w:hint="cs"/>
                <w:bCs/>
                <w:sz w:val="16"/>
                <w:szCs w:val="24"/>
                <w:rtl/>
              </w:rPr>
            </w:pPr>
            <w:r w:rsidRPr="00A3018B">
              <w:rPr>
                <w:rFonts w:hint="cs"/>
                <w:bCs/>
                <w:sz w:val="16"/>
                <w:szCs w:val="24"/>
                <w:rtl/>
              </w:rPr>
              <w:t>المجموع</w:t>
            </w:r>
          </w:p>
        </w:tc>
        <w:tc>
          <w:tcPr>
            <w:tcW w:w="927" w:type="dxa"/>
            <w:gridSpan w:val="2"/>
            <w:tcBorders>
              <w:top w:val="single" w:sz="4" w:space="0" w:color="auto"/>
              <w:bottom w:val="single" w:sz="12" w:space="0" w:color="auto"/>
            </w:tcBorders>
            <w:shd w:val="clear" w:color="auto" w:fill="auto"/>
            <w:vAlign w:val="bottom"/>
          </w:tcPr>
          <w:p w:rsidR="00C67DF8" w:rsidRPr="00A3018B" w:rsidRDefault="00C67DF8" w:rsidP="00A3018B">
            <w:pPr>
              <w:pStyle w:val="DualTxt"/>
              <w:spacing w:before="60" w:after="60" w:line="240" w:lineRule="exact"/>
              <w:rPr>
                <w:rFonts w:hint="cs"/>
                <w:bCs/>
                <w:sz w:val="16"/>
                <w:szCs w:val="24"/>
                <w:rtl/>
              </w:rPr>
            </w:pPr>
            <w:r w:rsidRPr="00A3018B">
              <w:rPr>
                <w:rFonts w:hint="cs"/>
                <w:bCs/>
                <w:sz w:val="16"/>
                <w:szCs w:val="24"/>
                <w:rtl/>
              </w:rPr>
              <w:t>100</w:t>
            </w:r>
          </w:p>
        </w:tc>
        <w:tc>
          <w:tcPr>
            <w:tcW w:w="820" w:type="dxa"/>
            <w:gridSpan w:val="2"/>
            <w:tcBorders>
              <w:top w:val="single" w:sz="4" w:space="0" w:color="auto"/>
              <w:bottom w:val="single" w:sz="12" w:space="0" w:color="auto"/>
            </w:tcBorders>
            <w:shd w:val="clear" w:color="auto" w:fill="auto"/>
            <w:vAlign w:val="bottom"/>
          </w:tcPr>
          <w:p w:rsidR="00C67DF8" w:rsidRPr="00A3018B" w:rsidRDefault="00C67DF8" w:rsidP="00A3018B">
            <w:pPr>
              <w:pStyle w:val="DualTxt"/>
              <w:spacing w:before="60" w:after="60" w:line="240" w:lineRule="exact"/>
              <w:rPr>
                <w:rFonts w:hint="cs"/>
                <w:bCs/>
                <w:sz w:val="16"/>
                <w:szCs w:val="24"/>
                <w:rtl/>
              </w:rPr>
            </w:pPr>
            <w:r w:rsidRPr="00A3018B">
              <w:rPr>
                <w:rFonts w:hint="cs"/>
                <w:bCs/>
                <w:sz w:val="16"/>
                <w:szCs w:val="24"/>
                <w:rtl/>
              </w:rPr>
              <w:t>100</w:t>
            </w:r>
          </w:p>
        </w:tc>
        <w:tc>
          <w:tcPr>
            <w:tcW w:w="828" w:type="dxa"/>
            <w:gridSpan w:val="2"/>
            <w:tcBorders>
              <w:top w:val="single" w:sz="4" w:space="0" w:color="auto"/>
              <w:bottom w:val="single" w:sz="12" w:space="0" w:color="auto"/>
            </w:tcBorders>
            <w:shd w:val="clear" w:color="auto" w:fill="auto"/>
            <w:vAlign w:val="bottom"/>
          </w:tcPr>
          <w:p w:rsidR="00C67DF8" w:rsidRPr="00A3018B" w:rsidRDefault="00C67DF8" w:rsidP="00A3018B">
            <w:pPr>
              <w:pStyle w:val="DualTxt"/>
              <w:spacing w:before="60" w:after="60" w:line="240" w:lineRule="exact"/>
              <w:rPr>
                <w:rFonts w:hint="cs"/>
                <w:bCs/>
                <w:sz w:val="16"/>
                <w:szCs w:val="24"/>
                <w:rtl/>
              </w:rPr>
            </w:pPr>
            <w:r w:rsidRPr="00A3018B">
              <w:rPr>
                <w:rFonts w:hint="cs"/>
                <w:bCs/>
                <w:sz w:val="16"/>
                <w:szCs w:val="24"/>
                <w:rtl/>
              </w:rPr>
              <w:t>100</w:t>
            </w:r>
          </w:p>
        </w:tc>
        <w:tc>
          <w:tcPr>
            <w:tcW w:w="927" w:type="dxa"/>
            <w:gridSpan w:val="2"/>
            <w:tcBorders>
              <w:top w:val="single" w:sz="4" w:space="0" w:color="auto"/>
              <w:bottom w:val="single" w:sz="12" w:space="0" w:color="auto"/>
            </w:tcBorders>
            <w:shd w:val="clear" w:color="auto" w:fill="auto"/>
            <w:vAlign w:val="bottom"/>
          </w:tcPr>
          <w:p w:rsidR="00C67DF8" w:rsidRPr="00A3018B" w:rsidRDefault="00C67DF8" w:rsidP="00A3018B">
            <w:pPr>
              <w:pStyle w:val="DualTxt"/>
              <w:spacing w:before="60" w:after="60" w:line="240" w:lineRule="exact"/>
              <w:rPr>
                <w:rFonts w:hint="cs"/>
                <w:bCs/>
                <w:sz w:val="16"/>
                <w:szCs w:val="24"/>
                <w:rtl/>
              </w:rPr>
            </w:pPr>
            <w:r w:rsidRPr="00A3018B">
              <w:rPr>
                <w:rFonts w:hint="cs"/>
                <w:bCs/>
                <w:sz w:val="16"/>
                <w:szCs w:val="24"/>
                <w:rtl/>
              </w:rPr>
              <w:t>100</w:t>
            </w:r>
          </w:p>
        </w:tc>
        <w:tc>
          <w:tcPr>
            <w:tcW w:w="824" w:type="dxa"/>
            <w:gridSpan w:val="2"/>
            <w:tcBorders>
              <w:top w:val="single" w:sz="4" w:space="0" w:color="auto"/>
              <w:bottom w:val="single" w:sz="12" w:space="0" w:color="auto"/>
            </w:tcBorders>
            <w:shd w:val="clear" w:color="auto" w:fill="auto"/>
            <w:vAlign w:val="bottom"/>
          </w:tcPr>
          <w:p w:rsidR="00C67DF8" w:rsidRPr="00A3018B" w:rsidRDefault="00C67DF8" w:rsidP="00A3018B">
            <w:pPr>
              <w:pStyle w:val="DualTxt"/>
              <w:spacing w:before="60" w:after="60" w:line="240" w:lineRule="exact"/>
              <w:rPr>
                <w:rFonts w:hint="cs"/>
                <w:bCs/>
                <w:sz w:val="16"/>
                <w:szCs w:val="24"/>
                <w:rtl/>
              </w:rPr>
            </w:pPr>
            <w:r w:rsidRPr="00A3018B">
              <w:rPr>
                <w:rFonts w:hint="cs"/>
                <w:bCs/>
                <w:sz w:val="16"/>
                <w:szCs w:val="24"/>
                <w:rtl/>
              </w:rPr>
              <w:t>100</w:t>
            </w:r>
          </w:p>
        </w:tc>
        <w:tc>
          <w:tcPr>
            <w:tcW w:w="721" w:type="dxa"/>
            <w:gridSpan w:val="2"/>
            <w:tcBorders>
              <w:top w:val="single" w:sz="4" w:space="0" w:color="auto"/>
              <w:bottom w:val="single" w:sz="12" w:space="0" w:color="auto"/>
            </w:tcBorders>
            <w:shd w:val="clear" w:color="auto" w:fill="auto"/>
            <w:vAlign w:val="bottom"/>
          </w:tcPr>
          <w:p w:rsidR="00C67DF8" w:rsidRPr="00A3018B" w:rsidRDefault="00C67DF8" w:rsidP="00A3018B">
            <w:pPr>
              <w:pStyle w:val="DualTxt"/>
              <w:spacing w:before="60" w:after="60" w:line="240" w:lineRule="exact"/>
              <w:rPr>
                <w:rFonts w:hint="cs"/>
                <w:bCs/>
                <w:sz w:val="16"/>
                <w:szCs w:val="24"/>
                <w:rtl/>
              </w:rPr>
            </w:pPr>
            <w:r w:rsidRPr="00A3018B">
              <w:rPr>
                <w:rFonts w:hint="cs"/>
                <w:bCs/>
                <w:sz w:val="16"/>
                <w:szCs w:val="24"/>
                <w:rtl/>
              </w:rPr>
              <w:t>100</w:t>
            </w:r>
          </w:p>
        </w:tc>
      </w:tr>
    </w:tbl>
    <w:p w:rsidR="00C67DF8" w:rsidRPr="00305849" w:rsidRDefault="00C67DF8" w:rsidP="00C67DF8">
      <w:pPr>
        <w:pStyle w:val="SingleTxt"/>
        <w:spacing w:after="0" w:line="120" w:lineRule="exact"/>
        <w:rPr>
          <w:rFonts w:hint="cs"/>
          <w:sz w:val="10"/>
          <w:rtl/>
        </w:rPr>
      </w:pPr>
    </w:p>
    <w:p w:rsidR="00C67DF8" w:rsidRPr="001120C1" w:rsidRDefault="00C67DF8" w:rsidP="00C67DF8">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tl/>
        </w:rPr>
        <w:tab/>
      </w:r>
      <w:r w:rsidRPr="00305849">
        <w:rPr>
          <w:rFonts w:hint="cs"/>
          <w:i/>
          <w:iCs/>
          <w:rtl/>
        </w:rPr>
        <w:t>ملاحظات</w:t>
      </w:r>
      <w:r>
        <w:rPr>
          <w:rFonts w:hint="cs"/>
          <w:rtl/>
        </w:rPr>
        <w:t>: استنادا إلى الولادات التي تمت خلال السنوات الثلاث السابقة لجميع النساء المتزوجات من سن 15 إلى 49 سنة (الحمل الأخير فقط). قد لا يصل المجموع إلى 100 بسبب تدوير الأرقام.</w:t>
      </w:r>
    </w:p>
    <w:p w:rsidR="00C67DF8" w:rsidRPr="002647AC"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SingleTxt"/>
        <w:tabs>
          <w:tab w:val="clear" w:pos="1930"/>
          <w:tab w:val="left" w:pos="2125"/>
        </w:tabs>
        <w:rPr>
          <w:rFonts w:hint="cs"/>
          <w:rtl/>
        </w:rPr>
      </w:pPr>
      <w:r>
        <w:rPr>
          <w:rFonts w:hint="cs"/>
          <w:rtl/>
        </w:rPr>
        <w:t>321 -</w:t>
      </w:r>
      <w:r>
        <w:rPr>
          <w:rFonts w:hint="cs"/>
          <w:rtl/>
        </w:rPr>
        <w:tab/>
        <w:t>تم 82 في المائة من الولادات بالمنزل في الفترة 1998-1999. وقد انخفضت هذه النسبة انخفاضا طفيفا، فأصبحت 78 في المائة في الفترة 2001-2002. وبقيت البيانات الأخرى المتصلة بالولادات على ما هي عليه تقريبا. ويبدو أن ثقة الجمهور في المستشفيات الخاصة آخذة في التزايد، حيث تمت 15 في المائة من الولادات في المستشفيات الحكومية و23 في المائة منها في المستشفيات الخاصة، في المناطق الريفية، في الفترة 1998-1999. وأصبحت هذه النسب 18 في المائة و26 في المائة، على التوالي، في الفترة 2001-2002. ومن مجموع الولادات التي تمت في الفترة 1998-1999، كانت 24 في المائة منها، على يدي أشخاص غير مدربين (من الأقارب والجيران). وانخفضت هذه النسبة إلى 19 في المائة، في الفترة 2001-2002.</w:t>
      </w:r>
    </w:p>
    <w:p w:rsidR="00C67DF8" w:rsidRDefault="00C67DF8" w:rsidP="00C67DF8">
      <w:pPr>
        <w:pStyle w:val="SingleTxt"/>
        <w:tabs>
          <w:tab w:val="clear" w:pos="1930"/>
          <w:tab w:val="left" w:pos="2125"/>
        </w:tabs>
        <w:rPr>
          <w:rFonts w:hint="cs"/>
          <w:rtl/>
        </w:rPr>
      </w:pPr>
      <w:r>
        <w:rPr>
          <w:rFonts w:hint="cs"/>
          <w:rtl/>
        </w:rPr>
        <w:t>322 -</w:t>
      </w:r>
      <w:r>
        <w:rPr>
          <w:rFonts w:hint="cs"/>
          <w:rtl/>
        </w:rPr>
        <w:tab/>
        <w:t>وتوضح البيانات الواردة في الجداول أعلاه أن المرافق التي يوفرها كل من الحكومة والقطاع الخاص تستطيع معا تغطية 44 في المائة فقط من الولادات في الفترة قيد النظر.</w:t>
      </w:r>
    </w:p>
    <w:p w:rsidR="00C67DF8" w:rsidRDefault="00C67DF8" w:rsidP="00C67DF8">
      <w:pPr>
        <w:pStyle w:val="SingleTxt"/>
        <w:tabs>
          <w:tab w:val="clear" w:pos="1930"/>
          <w:tab w:val="left" w:pos="2125"/>
        </w:tabs>
        <w:rPr>
          <w:rFonts w:hint="cs"/>
          <w:rtl/>
        </w:rPr>
      </w:pPr>
      <w:r>
        <w:rPr>
          <w:rFonts w:hint="cs"/>
          <w:rtl/>
        </w:rPr>
        <w:t>323 -</w:t>
      </w:r>
      <w:r>
        <w:rPr>
          <w:rFonts w:hint="cs"/>
          <w:rtl/>
        </w:rPr>
        <w:tab/>
        <w:t xml:space="preserve">ومن الجانب الإيجابي، يتم بث الرسائل الصحية بشأن مسائل مختلفة على شبكات التلفزيون الوطني، بصورة منتظمة، ومن هذه المسائل إصلاح </w:t>
      </w:r>
      <w:proofErr w:type="spellStart"/>
      <w:r>
        <w:rPr>
          <w:rFonts w:hint="cs"/>
          <w:rtl/>
        </w:rPr>
        <w:t>الإماهة</w:t>
      </w:r>
      <w:proofErr w:type="spellEnd"/>
      <w:r>
        <w:rPr>
          <w:rFonts w:hint="cs"/>
          <w:rtl/>
        </w:rPr>
        <w:t xml:space="preserve"> الفموية والرضاعة الطبيعية، وتحصين الأمهات الحوامل، والتغذية، وتنظيم الأسرة، وفيروس نقص المناعة البشرية/متلازمة نقص المناعة المكتسب (الإيدز).</w:t>
      </w:r>
    </w:p>
    <w:p w:rsidR="00C67DF8" w:rsidRPr="00F601BE"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المعلومات المقدمة عملا بالتوصية العامة 15 المتصلة بفيروس نقص المناعة المكتسب/الإيدز</w:t>
      </w:r>
    </w:p>
    <w:p w:rsidR="00C67DF8" w:rsidRDefault="00C67DF8" w:rsidP="008A0344">
      <w:pPr>
        <w:pStyle w:val="SingleTxt"/>
        <w:tabs>
          <w:tab w:val="clear" w:pos="1930"/>
          <w:tab w:val="left" w:pos="2125"/>
        </w:tabs>
        <w:rPr>
          <w:rFonts w:hint="cs"/>
          <w:rtl/>
        </w:rPr>
      </w:pPr>
      <w:r>
        <w:rPr>
          <w:rFonts w:hint="cs"/>
          <w:rtl/>
        </w:rPr>
        <w:t>324 -</w:t>
      </w:r>
      <w:r>
        <w:rPr>
          <w:rFonts w:hint="cs"/>
          <w:rtl/>
        </w:rPr>
        <w:tab/>
        <w:t xml:space="preserve">اكتشفت متلازمة نقص المناعة المكتسب (الإيدز) للمرة الأولى في باكستان، في سنة 1987. وبدأ تنفيذ برنامج موسع للوقاية من هذا المرض في نفس السنة، وأُنشئت، بعد ذلك، لجنة توجيهية وطنية معنية بفيروس نقص المناعة </w:t>
      </w:r>
      <w:r w:rsidR="008A0344">
        <w:rPr>
          <w:rFonts w:hint="cs"/>
          <w:rtl/>
        </w:rPr>
        <w:t>البشرية</w:t>
      </w:r>
      <w:r>
        <w:rPr>
          <w:rFonts w:hint="cs"/>
          <w:rtl/>
        </w:rPr>
        <w:t xml:space="preserve">/الإيدز. وتم تخصيص رقم 123 لخط ساخن يمكن الاتصال به في جميع أوقات الليل والنهار في إسلام أباد وكراتشي، ولاهور، وحيدر أباد، </w:t>
      </w:r>
      <w:proofErr w:type="spellStart"/>
      <w:r>
        <w:rPr>
          <w:rFonts w:hint="cs"/>
          <w:rtl/>
        </w:rPr>
        <w:t>وبشاور</w:t>
      </w:r>
      <w:proofErr w:type="spellEnd"/>
      <w:r>
        <w:rPr>
          <w:rFonts w:hint="cs"/>
          <w:rtl/>
        </w:rPr>
        <w:t xml:space="preserve">، وكيتا </w:t>
      </w:r>
      <w:proofErr w:type="spellStart"/>
      <w:r>
        <w:rPr>
          <w:rFonts w:hint="cs"/>
          <w:rtl/>
        </w:rPr>
        <w:t>وأبوت</w:t>
      </w:r>
      <w:proofErr w:type="spellEnd"/>
      <w:r>
        <w:rPr>
          <w:rFonts w:hint="cs"/>
          <w:rtl/>
        </w:rPr>
        <w:t xml:space="preserve"> أباد للإبلاغ عن وجود هذه الحالات.</w:t>
      </w:r>
    </w:p>
    <w:p w:rsidR="00C67DF8" w:rsidRDefault="00C67DF8" w:rsidP="00C67DF8">
      <w:pPr>
        <w:pStyle w:val="SingleTxt"/>
        <w:tabs>
          <w:tab w:val="clear" w:pos="1930"/>
          <w:tab w:val="left" w:pos="2125"/>
        </w:tabs>
        <w:rPr>
          <w:rFonts w:hint="cs"/>
          <w:rtl/>
        </w:rPr>
      </w:pPr>
      <w:r>
        <w:rPr>
          <w:rFonts w:hint="cs"/>
          <w:rtl/>
        </w:rPr>
        <w:t>325 -</w:t>
      </w:r>
      <w:r>
        <w:rPr>
          <w:rFonts w:hint="cs"/>
          <w:rtl/>
        </w:rPr>
        <w:tab/>
        <w:t>وبموجب البرنامج الوطني لمكافحة الإيدز، يتمثل النهج المتبع في اعتبار الإيدز خطر كبير لأمن البشر وليس مجرد قضية صحية. وأهداف برنامج الوقاية من الفيروس/الإيدز هو: منع نقل الفيروس، وتخفيض معدل الوفيات المرتبطة بالفيروس/الإيدز، وتشجيع نقل الدم المأمون وإنشاء نظم ملائمة للرقابة.</w:t>
      </w:r>
    </w:p>
    <w:p w:rsidR="00C67DF8" w:rsidRDefault="00C67DF8" w:rsidP="00C67DF8">
      <w:pPr>
        <w:pStyle w:val="SingleTxt"/>
        <w:tabs>
          <w:tab w:val="clear" w:pos="1930"/>
          <w:tab w:val="left" w:pos="2125"/>
        </w:tabs>
        <w:rPr>
          <w:rFonts w:hint="cs"/>
          <w:rtl/>
        </w:rPr>
      </w:pPr>
      <w:r>
        <w:rPr>
          <w:rFonts w:hint="cs"/>
          <w:rtl/>
        </w:rPr>
        <w:t>326 -</w:t>
      </w:r>
      <w:r>
        <w:rPr>
          <w:rFonts w:hint="cs"/>
          <w:rtl/>
        </w:rPr>
        <w:tab/>
        <w:t>وتشمل استراتيجيات البرنامج إيجاد الوعي بين الجمهور من خلال الإعلام والتثقيف وضمان نقل الدم المأمون، وفي هذا الصدد، تم بث 722 5 إعلانا موجزا (في التلفزيون والإذاعة) حتى شباط/فبراير 2003. وطُبعت  الملصقات والكراسات والأدلة والكتيبات وتم توزيعها.</w:t>
      </w:r>
    </w:p>
    <w:p w:rsidR="00C67DF8" w:rsidRDefault="00C67DF8" w:rsidP="00C67DF8">
      <w:pPr>
        <w:pStyle w:val="SingleTxt"/>
        <w:tabs>
          <w:tab w:val="clear" w:pos="1930"/>
          <w:tab w:val="left" w:pos="2125"/>
        </w:tabs>
        <w:rPr>
          <w:rFonts w:hint="cs"/>
          <w:rtl/>
        </w:rPr>
      </w:pPr>
      <w:r>
        <w:rPr>
          <w:rFonts w:hint="cs"/>
          <w:rtl/>
        </w:rPr>
        <w:t>327 -</w:t>
      </w:r>
      <w:r>
        <w:rPr>
          <w:rFonts w:hint="cs"/>
          <w:rtl/>
        </w:rPr>
        <w:tab/>
        <w:t>وأنشئ 47 مركزا للرقابة حيث أجري 3.526 مليون اختبار للفيروس/الإيدز حتى أيلول/سبتمبر 2002. وتم الإبلاغ عن ما مجموعه 436 1 حالة إصابة بالفيروس و187 حالة إصابة بالإيدز، حتى كانون الثاني/يناير 2000. وترى المصادر غير الرسمية أنه كان هناك نحو 000 74 شخص مصاب بالفيروس في باكستان، حتى نهاية سنة 1999.</w:t>
      </w:r>
    </w:p>
    <w:p w:rsidR="00C67DF8" w:rsidRDefault="00C67DF8" w:rsidP="00C67DF8">
      <w:pPr>
        <w:pStyle w:val="SingleTxt"/>
        <w:tabs>
          <w:tab w:val="clear" w:pos="1930"/>
          <w:tab w:val="left" w:pos="2125"/>
        </w:tabs>
        <w:rPr>
          <w:rFonts w:hint="cs"/>
          <w:rtl/>
        </w:rPr>
      </w:pPr>
      <w:r>
        <w:rPr>
          <w:rFonts w:hint="cs"/>
          <w:rtl/>
        </w:rPr>
        <w:t>328 -</w:t>
      </w:r>
      <w:r>
        <w:rPr>
          <w:rFonts w:hint="cs"/>
          <w:rtl/>
        </w:rPr>
        <w:tab/>
        <w:t>وقد يكون الانخفاض النسبي في عدد حالات الإصابة المبلغ عنها نتيجة عدة عوامل ومنها انخفاض المستوى الفعلي لعدد حالات الإصابة بالفيروس نظرا لأن الوباء مازال في مراحله المبكرة في باكستان، أو نقص الإبلاغ عن الحالات بسبب أوجه القصور في نظام الرقابة. و/أو الرعاية الشخصية المحدودة في البحث عن احتمال الإصابة بالفيروس والراجعة إلى الجهل و/أو ما يرتبط بهذا المرض من وصمة عار.</w:t>
      </w:r>
    </w:p>
    <w:p w:rsidR="00C67DF8" w:rsidRDefault="00C67DF8" w:rsidP="00C67DF8">
      <w:pPr>
        <w:pStyle w:val="SingleTxt"/>
        <w:tabs>
          <w:tab w:val="clear" w:pos="1930"/>
          <w:tab w:val="left" w:pos="2125"/>
        </w:tabs>
        <w:rPr>
          <w:rFonts w:hint="cs"/>
          <w:rtl/>
        </w:rPr>
      </w:pPr>
      <w:r>
        <w:rPr>
          <w:rFonts w:hint="cs"/>
          <w:rtl/>
        </w:rPr>
        <w:t>329 -</w:t>
      </w:r>
      <w:r>
        <w:rPr>
          <w:rFonts w:hint="cs"/>
          <w:rtl/>
        </w:rPr>
        <w:tab/>
        <w:t>وكان أكثر من 87 في المائة من حالات الإصابة بالفيروس المبلغ عنها حتى كانون الثاني/يناير 2002، في باكستان، من الرجال. وأغلبها (52 في المائة) في المجموعة العمرية 20-40 سنة. وتم الإبلاغ عن حالات الإصابة بالفيروس/الإيدز من جميع مقاطعات البلد ومن المناطق الحضرية، في المقام الأول.</w:t>
      </w:r>
    </w:p>
    <w:p w:rsidR="00C67DF8" w:rsidRDefault="00C67DF8" w:rsidP="00C67DF8">
      <w:pPr>
        <w:pStyle w:val="SingleTxt"/>
        <w:tabs>
          <w:tab w:val="clear" w:pos="1930"/>
          <w:tab w:val="left" w:pos="2125"/>
        </w:tabs>
        <w:rPr>
          <w:rFonts w:hint="cs"/>
          <w:rtl/>
        </w:rPr>
      </w:pPr>
      <w:r>
        <w:rPr>
          <w:rFonts w:hint="cs"/>
          <w:rtl/>
        </w:rPr>
        <w:t>330 -</w:t>
      </w:r>
      <w:r>
        <w:rPr>
          <w:rFonts w:hint="cs"/>
          <w:rtl/>
        </w:rPr>
        <w:tab/>
        <w:t>وارتفع عدد الأشخاص المصابين بالفيروس إلى 741 1 حتى الفترة 2002-2003، بينما زاد عدد المصابين بالإيدز إلى 231، كما أبلغ البرنامج الوطني لمكافحة الإيدز.</w:t>
      </w:r>
    </w:p>
    <w:p w:rsidR="00C67DF8" w:rsidRPr="006D49AD"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SingleTxt"/>
        <w:spacing w:after="0"/>
        <w:rPr>
          <w:rFonts w:hint="cs"/>
          <w:rtl/>
        </w:rPr>
      </w:pPr>
      <w:r>
        <w:rPr>
          <w:rFonts w:hint="cs"/>
          <w:rtl/>
        </w:rPr>
        <w:t>الجدول 12-5</w:t>
      </w:r>
    </w:p>
    <w:p w:rsidR="00C67DF8" w:rsidRPr="007A7330" w:rsidRDefault="00C67DF8" w:rsidP="00C67DF8">
      <w:pPr>
        <w:pStyle w:val="SingleTxt"/>
        <w:rPr>
          <w:rFonts w:hint="cs"/>
          <w:b/>
          <w:bCs/>
          <w:rtl/>
        </w:rPr>
      </w:pPr>
      <w:r w:rsidRPr="007A7330">
        <w:rPr>
          <w:rFonts w:hint="cs"/>
          <w:b/>
          <w:bCs/>
          <w:rtl/>
        </w:rPr>
        <w:t>حالات إصابة الأطفال بالإيدز في باكستان</w:t>
      </w:r>
    </w:p>
    <w:p w:rsidR="00C67DF8" w:rsidRPr="007A7330" w:rsidRDefault="00C67DF8" w:rsidP="00C67DF8">
      <w:pPr>
        <w:pStyle w:val="SingleTxt"/>
        <w:spacing w:after="0" w:line="120" w:lineRule="exact"/>
        <w:rPr>
          <w:rFonts w:hint="cs"/>
          <w:sz w:val="10"/>
          <w:rtl/>
        </w:rPr>
      </w:pPr>
    </w:p>
    <w:tbl>
      <w:tblPr>
        <w:bidiVisual/>
        <w:tblW w:w="0" w:type="auto"/>
        <w:tblInd w:w="2866" w:type="dxa"/>
        <w:tblLayout w:type="fixed"/>
        <w:tblLook w:val="01E0" w:firstRow="1" w:lastRow="1" w:firstColumn="1" w:lastColumn="1" w:noHBand="0" w:noVBand="0"/>
      </w:tblPr>
      <w:tblGrid>
        <w:gridCol w:w="1545"/>
        <w:gridCol w:w="842"/>
        <w:gridCol w:w="806"/>
        <w:gridCol w:w="927"/>
      </w:tblGrid>
      <w:tr w:rsidR="00C67DF8" w:rsidRPr="00C90BD9">
        <w:trPr>
          <w:cantSplit/>
          <w:tblHeader/>
        </w:trPr>
        <w:tc>
          <w:tcPr>
            <w:tcW w:w="1545" w:type="dxa"/>
            <w:tcBorders>
              <w:top w:val="single" w:sz="4" w:space="0" w:color="auto"/>
              <w:bottom w:val="single" w:sz="12" w:space="0" w:color="auto"/>
            </w:tcBorders>
            <w:shd w:val="clear" w:color="auto" w:fill="auto"/>
            <w:vAlign w:val="bottom"/>
          </w:tcPr>
          <w:p w:rsidR="00C67DF8" w:rsidRPr="00C90BD9" w:rsidRDefault="00C67DF8" w:rsidP="00C67DF8">
            <w:pPr>
              <w:pStyle w:val="DualTxt"/>
              <w:spacing w:after="80" w:line="240" w:lineRule="exact"/>
              <w:rPr>
                <w:rFonts w:hint="cs"/>
                <w:i/>
                <w:iCs/>
                <w:sz w:val="16"/>
                <w:szCs w:val="24"/>
                <w:rtl/>
              </w:rPr>
            </w:pPr>
            <w:r>
              <w:rPr>
                <w:rFonts w:hint="cs"/>
                <w:i/>
                <w:iCs/>
                <w:sz w:val="16"/>
                <w:szCs w:val="24"/>
                <w:rtl/>
              </w:rPr>
              <w:t>المجموعات العمرية</w:t>
            </w:r>
          </w:p>
        </w:tc>
        <w:tc>
          <w:tcPr>
            <w:tcW w:w="842" w:type="dxa"/>
            <w:tcBorders>
              <w:top w:val="single" w:sz="4" w:space="0" w:color="auto"/>
              <w:bottom w:val="single" w:sz="12" w:space="0" w:color="auto"/>
            </w:tcBorders>
            <w:shd w:val="clear" w:color="auto" w:fill="auto"/>
            <w:vAlign w:val="bottom"/>
          </w:tcPr>
          <w:p w:rsidR="00C67DF8" w:rsidRPr="00C90BD9" w:rsidRDefault="00C67DF8" w:rsidP="00C67DF8">
            <w:pPr>
              <w:pStyle w:val="DualTxt"/>
              <w:spacing w:after="80" w:line="240" w:lineRule="exact"/>
              <w:ind w:right="144"/>
              <w:rPr>
                <w:rFonts w:hint="cs"/>
                <w:i/>
                <w:iCs/>
                <w:sz w:val="16"/>
                <w:szCs w:val="24"/>
                <w:rtl/>
              </w:rPr>
            </w:pPr>
            <w:r>
              <w:rPr>
                <w:rFonts w:hint="cs"/>
                <w:i/>
                <w:iCs/>
                <w:sz w:val="16"/>
                <w:szCs w:val="24"/>
                <w:rtl/>
              </w:rPr>
              <w:t>الذكور</w:t>
            </w:r>
          </w:p>
        </w:tc>
        <w:tc>
          <w:tcPr>
            <w:tcW w:w="806" w:type="dxa"/>
            <w:tcBorders>
              <w:top w:val="single" w:sz="4" w:space="0" w:color="auto"/>
              <w:bottom w:val="single" w:sz="12" w:space="0" w:color="auto"/>
            </w:tcBorders>
            <w:shd w:val="clear" w:color="auto" w:fill="auto"/>
            <w:vAlign w:val="bottom"/>
          </w:tcPr>
          <w:p w:rsidR="00C67DF8" w:rsidRPr="00C90BD9" w:rsidRDefault="00C67DF8" w:rsidP="00C67DF8">
            <w:pPr>
              <w:pStyle w:val="DualTxt"/>
              <w:spacing w:after="80" w:line="240" w:lineRule="exact"/>
              <w:ind w:right="144"/>
              <w:rPr>
                <w:rFonts w:hint="cs"/>
                <w:i/>
                <w:iCs/>
                <w:sz w:val="16"/>
                <w:szCs w:val="24"/>
                <w:rtl/>
              </w:rPr>
            </w:pPr>
            <w:r>
              <w:rPr>
                <w:rFonts w:hint="cs"/>
                <w:i/>
                <w:iCs/>
                <w:sz w:val="16"/>
                <w:szCs w:val="24"/>
                <w:rtl/>
              </w:rPr>
              <w:t>الإناث</w:t>
            </w:r>
          </w:p>
        </w:tc>
        <w:tc>
          <w:tcPr>
            <w:tcW w:w="927" w:type="dxa"/>
            <w:tcBorders>
              <w:top w:val="single" w:sz="4" w:space="0" w:color="auto"/>
              <w:bottom w:val="single" w:sz="12" w:space="0" w:color="auto"/>
            </w:tcBorders>
            <w:shd w:val="clear" w:color="auto" w:fill="auto"/>
            <w:vAlign w:val="bottom"/>
          </w:tcPr>
          <w:p w:rsidR="00C67DF8" w:rsidRPr="00C90BD9" w:rsidRDefault="00C67DF8" w:rsidP="00C67DF8">
            <w:pPr>
              <w:pStyle w:val="DualTxt"/>
              <w:spacing w:after="80" w:line="240" w:lineRule="exact"/>
              <w:ind w:right="144"/>
              <w:rPr>
                <w:rFonts w:hint="cs"/>
                <w:i/>
                <w:iCs/>
                <w:sz w:val="16"/>
                <w:szCs w:val="24"/>
                <w:rtl/>
              </w:rPr>
            </w:pPr>
            <w:r>
              <w:rPr>
                <w:rFonts w:hint="cs"/>
                <w:i/>
                <w:iCs/>
                <w:sz w:val="16"/>
                <w:szCs w:val="24"/>
                <w:rtl/>
              </w:rPr>
              <w:t>المجموع</w:t>
            </w:r>
          </w:p>
        </w:tc>
      </w:tr>
      <w:tr w:rsidR="00C67DF8" w:rsidRPr="00C90BD9">
        <w:trPr>
          <w:cantSplit/>
          <w:trHeight w:hRule="exact" w:val="115"/>
          <w:tblHeader/>
        </w:trPr>
        <w:tc>
          <w:tcPr>
            <w:tcW w:w="1545" w:type="dxa"/>
            <w:tcBorders>
              <w:top w:val="single" w:sz="12" w:space="0" w:color="auto"/>
            </w:tcBorders>
            <w:shd w:val="clear" w:color="auto" w:fill="auto"/>
            <w:vAlign w:val="bottom"/>
          </w:tcPr>
          <w:p w:rsidR="00C67DF8" w:rsidRPr="00C90BD9" w:rsidRDefault="00C67DF8" w:rsidP="00C67DF8">
            <w:pPr>
              <w:pStyle w:val="DualTxt"/>
              <w:spacing w:before="40" w:after="80" w:line="240" w:lineRule="exact"/>
              <w:rPr>
                <w:rFonts w:hint="cs"/>
                <w:sz w:val="16"/>
                <w:szCs w:val="24"/>
                <w:rtl/>
              </w:rPr>
            </w:pPr>
          </w:p>
        </w:tc>
        <w:tc>
          <w:tcPr>
            <w:tcW w:w="842" w:type="dxa"/>
            <w:tcBorders>
              <w:top w:val="single" w:sz="12" w:space="0" w:color="auto"/>
            </w:tcBorders>
            <w:shd w:val="clear" w:color="auto" w:fill="auto"/>
            <w:vAlign w:val="bottom"/>
          </w:tcPr>
          <w:p w:rsidR="00C67DF8" w:rsidRPr="00C90BD9" w:rsidRDefault="00C67DF8" w:rsidP="00C67DF8">
            <w:pPr>
              <w:pStyle w:val="DualTxt"/>
              <w:spacing w:before="40" w:after="80" w:line="240" w:lineRule="exact"/>
              <w:ind w:right="144"/>
              <w:rPr>
                <w:rFonts w:hint="cs"/>
                <w:sz w:val="16"/>
                <w:szCs w:val="24"/>
                <w:rtl/>
              </w:rPr>
            </w:pPr>
          </w:p>
        </w:tc>
        <w:tc>
          <w:tcPr>
            <w:tcW w:w="806" w:type="dxa"/>
            <w:tcBorders>
              <w:top w:val="single" w:sz="12" w:space="0" w:color="auto"/>
            </w:tcBorders>
            <w:shd w:val="clear" w:color="auto" w:fill="auto"/>
            <w:vAlign w:val="bottom"/>
          </w:tcPr>
          <w:p w:rsidR="00C67DF8" w:rsidRPr="00C90BD9" w:rsidRDefault="00C67DF8" w:rsidP="00C67DF8">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C67DF8" w:rsidRPr="00C90BD9" w:rsidRDefault="00C67DF8" w:rsidP="00C67DF8">
            <w:pPr>
              <w:pStyle w:val="DualTxt"/>
              <w:spacing w:before="40" w:after="80" w:line="240" w:lineRule="exact"/>
              <w:ind w:right="144"/>
              <w:rPr>
                <w:rFonts w:hint="cs"/>
                <w:sz w:val="16"/>
                <w:szCs w:val="24"/>
                <w:rtl/>
              </w:rPr>
            </w:pPr>
          </w:p>
        </w:tc>
      </w:tr>
      <w:tr w:rsidR="00C67DF8" w:rsidRPr="00C90BD9">
        <w:trPr>
          <w:cantSplit/>
        </w:trPr>
        <w:tc>
          <w:tcPr>
            <w:tcW w:w="1545" w:type="dxa"/>
            <w:shd w:val="clear" w:color="auto" w:fill="auto"/>
            <w:vAlign w:val="bottom"/>
          </w:tcPr>
          <w:p w:rsidR="00C67DF8" w:rsidRPr="00C90BD9" w:rsidRDefault="00C67DF8" w:rsidP="00C67DF8">
            <w:pPr>
              <w:pStyle w:val="DualTxt"/>
              <w:spacing w:before="40" w:after="80" w:line="240" w:lineRule="exact"/>
              <w:rPr>
                <w:rFonts w:hint="cs"/>
                <w:sz w:val="16"/>
                <w:szCs w:val="24"/>
                <w:rtl/>
              </w:rPr>
            </w:pPr>
            <w:r>
              <w:rPr>
                <w:rFonts w:hint="cs"/>
                <w:sz w:val="16"/>
                <w:szCs w:val="24"/>
                <w:rtl/>
              </w:rPr>
              <w:t xml:space="preserve">صفر </w:t>
            </w:r>
            <w:r>
              <w:rPr>
                <w:sz w:val="16"/>
                <w:szCs w:val="24"/>
                <w:rtl/>
              </w:rPr>
              <w:t>–</w:t>
            </w:r>
            <w:r>
              <w:rPr>
                <w:rFonts w:hint="cs"/>
                <w:sz w:val="16"/>
                <w:szCs w:val="24"/>
                <w:rtl/>
              </w:rPr>
              <w:t xml:space="preserve"> 4 سنوات</w:t>
            </w:r>
          </w:p>
        </w:tc>
        <w:tc>
          <w:tcPr>
            <w:tcW w:w="842" w:type="dxa"/>
            <w:shd w:val="clear" w:color="auto" w:fill="auto"/>
            <w:vAlign w:val="bottom"/>
          </w:tcPr>
          <w:p w:rsidR="00C67DF8" w:rsidRPr="00C90BD9" w:rsidRDefault="00C67DF8" w:rsidP="00C67DF8">
            <w:pPr>
              <w:pStyle w:val="DualTxt"/>
              <w:spacing w:before="40" w:after="80" w:line="240" w:lineRule="exact"/>
              <w:ind w:right="144"/>
              <w:rPr>
                <w:rFonts w:hint="cs"/>
                <w:sz w:val="16"/>
                <w:szCs w:val="24"/>
                <w:rtl/>
              </w:rPr>
            </w:pPr>
            <w:r>
              <w:rPr>
                <w:rFonts w:hint="cs"/>
                <w:sz w:val="16"/>
                <w:szCs w:val="24"/>
                <w:rtl/>
              </w:rPr>
              <w:t>2</w:t>
            </w:r>
          </w:p>
        </w:tc>
        <w:tc>
          <w:tcPr>
            <w:tcW w:w="806" w:type="dxa"/>
            <w:shd w:val="clear" w:color="auto" w:fill="auto"/>
            <w:vAlign w:val="bottom"/>
          </w:tcPr>
          <w:p w:rsidR="00C67DF8" w:rsidRPr="00C90BD9" w:rsidRDefault="00C67DF8" w:rsidP="00C67DF8">
            <w:pPr>
              <w:pStyle w:val="DualTxt"/>
              <w:spacing w:before="40" w:after="80" w:line="240" w:lineRule="exact"/>
              <w:ind w:right="144"/>
              <w:rPr>
                <w:rFonts w:hint="cs"/>
                <w:sz w:val="16"/>
                <w:szCs w:val="24"/>
                <w:rtl/>
              </w:rPr>
            </w:pPr>
            <w:r>
              <w:rPr>
                <w:rFonts w:hint="cs"/>
                <w:sz w:val="16"/>
                <w:szCs w:val="24"/>
                <w:rtl/>
              </w:rPr>
              <w:t>3</w:t>
            </w:r>
          </w:p>
        </w:tc>
        <w:tc>
          <w:tcPr>
            <w:tcW w:w="927" w:type="dxa"/>
            <w:shd w:val="clear" w:color="auto" w:fill="auto"/>
            <w:vAlign w:val="bottom"/>
          </w:tcPr>
          <w:p w:rsidR="00C67DF8" w:rsidRPr="00C90BD9" w:rsidRDefault="00C67DF8" w:rsidP="00C67DF8">
            <w:pPr>
              <w:pStyle w:val="DualTxt"/>
              <w:spacing w:before="40" w:after="80" w:line="240" w:lineRule="exact"/>
              <w:ind w:right="144"/>
              <w:rPr>
                <w:rFonts w:hint="cs"/>
                <w:sz w:val="16"/>
                <w:szCs w:val="24"/>
                <w:rtl/>
              </w:rPr>
            </w:pPr>
            <w:r>
              <w:rPr>
                <w:rFonts w:hint="cs"/>
                <w:sz w:val="16"/>
                <w:szCs w:val="24"/>
                <w:rtl/>
              </w:rPr>
              <w:t>5</w:t>
            </w:r>
          </w:p>
        </w:tc>
      </w:tr>
      <w:tr w:rsidR="00C67DF8" w:rsidRPr="00C90BD9">
        <w:trPr>
          <w:cantSplit/>
        </w:trPr>
        <w:tc>
          <w:tcPr>
            <w:tcW w:w="1545" w:type="dxa"/>
            <w:shd w:val="clear" w:color="auto" w:fill="auto"/>
            <w:vAlign w:val="bottom"/>
          </w:tcPr>
          <w:p w:rsidR="00C67DF8" w:rsidRPr="00C90BD9" w:rsidRDefault="00C67DF8" w:rsidP="00C67DF8">
            <w:pPr>
              <w:pStyle w:val="DualTxt"/>
              <w:spacing w:before="40" w:after="80" w:line="240" w:lineRule="exact"/>
              <w:rPr>
                <w:rFonts w:hint="cs"/>
                <w:sz w:val="16"/>
                <w:szCs w:val="24"/>
                <w:rtl/>
              </w:rPr>
            </w:pPr>
            <w:r>
              <w:rPr>
                <w:rFonts w:hint="cs"/>
                <w:sz w:val="16"/>
                <w:szCs w:val="24"/>
                <w:rtl/>
              </w:rPr>
              <w:t xml:space="preserve">5 </w:t>
            </w:r>
            <w:r>
              <w:rPr>
                <w:sz w:val="16"/>
                <w:szCs w:val="24"/>
                <w:rtl/>
              </w:rPr>
              <w:t>–</w:t>
            </w:r>
            <w:r>
              <w:rPr>
                <w:rFonts w:hint="cs"/>
                <w:sz w:val="16"/>
                <w:szCs w:val="24"/>
                <w:rtl/>
              </w:rPr>
              <w:t xml:space="preserve"> 9 سنوات</w:t>
            </w:r>
          </w:p>
        </w:tc>
        <w:tc>
          <w:tcPr>
            <w:tcW w:w="842" w:type="dxa"/>
            <w:shd w:val="clear" w:color="auto" w:fill="auto"/>
            <w:vAlign w:val="bottom"/>
          </w:tcPr>
          <w:p w:rsidR="00C67DF8" w:rsidRPr="00C90BD9" w:rsidRDefault="00C67DF8" w:rsidP="00C67DF8">
            <w:pPr>
              <w:pStyle w:val="DualTxt"/>
              <w:spacing w:before="40" w:after="80" w:line="240" w:lineRule="exact"/>
              <w:ind w:right="144"/>
              <w:rPr>
                <w:rFonts w:hint="cs"/>
                <w:sz w:val="16"/>
                <w:szCs w:val="24"/>
                <w:rtl/>
              </w:rPr>
            </w:pPr>
            <w:r>
              <w:rPr>
                <w:rFonts w:hint="cs"/>
                <w:sz w:val="16"/>
                <w:szCs w:val="24"/>
                <w:rtl/>
              </w:rPr>
              <w:t>2</w:t>
            </w:r>
          </w:p>
        </w:tc>
        <w:tc>
          <w:tcPr>
            <w:tcW w:w="806" w:type="dxa"/>
            <w:shd w:val="clear" w:color="auto" w:fill="auto"/>
            <w:vAlign w:val="bottom"/>
          </w:tcPr>
          <w:p w:rsidR="00C67DF8" w:rsidRPr="00C90BD9" w:rsidRDefault="00C67DF8" w:rsidP="00C67DF8">
            <w:pPr>
              <w:pStyle w:val="DualTxt"/>
              <w:spacing w:before="40" w:after="80" w:line="240" w:lineRule="exact"/>
              <w:ind w:right="144"/>
              <w:rPr>
                <w:rFonts w:hint="cs"/>
                <w:sz w:val="16"/>
                <w:szCs w:val="24"/>
                <w:rtl/>
              </w:rPr>
            </w:pPr>
            <w:r>
              <w:rPr>
                <w:rFonts w:hint="cs"/>
                <w:sz w:val="16"/>
                <w:szCs w:val="24"/>
                <w:rtl/>
              </w:rPr>
              <w:t>-</w:t>
            </w:r>
          </w:p>
        </w:tc>
        <w:tc>
          <w:tcPr>
            <w:tcW w:w="927" w:type="dxa"/>
            <w:shd w:val="clear" w:color="auto" w:fill="auto"/>
            <w:vAlign w:val="bottom"/>
          </w:tcPr>
          <w:p w:rsidR="00C67DF8" w:rsidRPr="00C90BD9" w:rsidRDefault="00C67DF8" w:rsidP="00C67DF8">
            <w:pPr>
              <w:pStyle w:val="DualTxt"/>
              <w:spacing w:before="40" w:after="80" w:line="240" w:lineRule="exact"/>
              <w:ind w:right="144"/>
              <w:rPr>
                <w:rFonts w:hint="cs"/>
                <w:sz w:val="16"/>
                <w:szCs w:val="24"/>
                <w:rtl/>
              </w:rPr>
            </w:pPr>
            <w:r>
              <w:rPr>
                <w:rFonts w:hint="cs"/>
                <w:sz w:val="16"/>
                <w:szCs w:val="24"/>
                <w:rtl/>
              </w:rPr>
              <w:t>2</w:t>
            </w:r>
          </w:p>
        </w:tc>
      </w:tr>
      <w:tr w:rsidR="00C67DF8" w:rsidRPr="00C90BD9">
        <w:trPr>
          <w:cantSplit/>
        </w:trPr>
        <w:tc>
          <w:tcPr>
            <w:tcW w:w="1545" w:type="dxa"/>
            <w:shd w:val="clear" w:color="auto" w:fill="auto"/>
            <w:vAlign w:val="bottom"/>
          </w:tcPr>
          <w:p w:rsidR="00C67DF8" w:rsidRPr="00C90BD9" w:rsidRDefault="00C67DF8" w:rsidP="00C67DF8">
            <w:pPr>
              <w:pStyle w:val="DualTxt"/>
              <w:spacing w:before="40" w:after="80" w:line="240" w:lineRule="exact"/>
              <w:rPr>
                <w:rFonts w:hint="cs"/>
                <w:sz w:val="16"/>
                <w:szCs w:val="24"/>
                <w:rtl/>
              </w:rPr>
            </w:pPr>
            <w:r>
              <w:rPr>
                <w:rFonts w:hint="cs"/>
                <w:sz w:val="16"/>
                <w:szCs w:val="24"/>
                <w:rtl/>
              </w:rPr>
              <w:t xml:space="preserve">10 </w:t>
            </w:r>
            <w:r>
              <w:rPr>
                <w:sz w:val="16"/>
                <w:szCs w:val="24"/>
                <w:rtl/>
              </w:rPr>
              <w:t>–</w:t>
            </w:r>
            <w:r>
              <w:rPr>
                <w:rFonts w:hint="cs"/>
                <w:sz w:val="16"/>
                <w:szCs w:val="24"/>
                <w:rtl/>
              </w:rPr>
              <w:t xml:space="preserve"> 14 سنة</w:t>
            </w:r>
          </w:p>
        </w:tc>
        <w:tc>
          <w:tcPr>
            <w:tcW w:w="842" w:type="dxa"/>
            <w:shd w:val="clear" w:color="auto" w:fill="auto"/>
            <w:vAlign w:val="bottom"/>
          </w:tcPr>
          <w:p w:rsidR="00C67DF8" w:rsidRPr="00C90BD9" w:rsidRDefault="00C67DF8" w:rsidP="00C67DF8">
            <w:pPr>
              <w:pStyle w:val="DualTxt"/>
              <w:spacing w:before="40" w:after="80" w:line="240" w:lineRule="exact"/>
              <w:ind w:right="144"/>
              <w:rPr>
                <w:rFonts w:hint="cs"/>
                <w:sz w:val="16"/>
                <w:szCs w:val="24"/>
                <w:rtl/>
              </w:rPr>
            </w:pPr>
            <w:r>
              <w:rPr>
                <w:rFonts w:hint="cs"/>
                <w:sz w:val="16"/>
                <w:szCs w:val="24"/>
                <w:rtl/>
              </w:rPr>
              <w:t>-</w:t>
            </w:r>
          </w:p>
        </w:tc>
        <w:tc>
          <w:tcPr>
            <w:tcW w:w="806" w:type="dxa"/>
            <w:shd w:val="clear" w:color="auto" w:fill="auto"/>
            <w:vAlign w:val="bottom"/>
          </w:tcPr>
          <w:p w:rsidR="00C67DF8" w:rsidRPr="00C90BD9" w:rsidRDefault="00C67DF8" w:rsidP="00C67DF8">
            <w:pPr>
              <w:pStyle w:val="DualTxt"/>
              <w:spacing w:before="40" w:after="80" w:line="240" w:lineRule="exact"/>
              <w:ind w:right="144"/>
              <w:rPr>
                <w:rFonts w:hint="cs"/>
                <w:sz w:val="16"/>
                <w:szCs w:val="24"/>
                <w:rtl/>
              </w:rPr>
            </w:pPr>
            <w:r>
              <w:rPr>
                <w:rFonts w:hint="cs"/>
                <w:sz w:val="16"/>
                <w:szCs w:val="24"/>
                <w:rtl/>
              </w:rPr>
              <w:t>-</w:t>
            </w:r>
          </w:p>
        </w:tc>
        <w:tc>
          <w:tcPr>
            <w:tcW w:w="927" w:type="dxa"/>
            <w:shd w:val="clear" w:color="auto" w:fill="auto"/>
            <w:vAlign w:val="bottom"/>
          </w:tcPr>
          <w:p w:rsidR="00C67DF8" w:rsidRPr="00C90BD9" w:rsidRDefault="00C67DF8" w:rsidP="00C67DF8">
            <w:pPr>
              <w:pStyle w:val="DualTxt"/>
              <w:spacing w:before="40" w:after="80" w:line="240" w:lineRule="exact"/>
              <w:ind w:right="144"/>
              <w:rPr>
                <w:rFonts w:hint="cs"/>
                <w:sz w:val="16"/>
                <w:szCs w:val="24"/>
                <w:rtl/>
              </w:rPr>
            </w:pPr>
            <w:r>
              <w:rPr>
                <w:rFonts w:hint="cs"/>
                <w:sz w:val="16"/>
                <w:szCs w:val="24"/>
                <w:rtl/>
              </w:rPr>
              <w:t>-</w:t>
            </w:r>
          </w:p>
        </w:tc>
      </w:tr>
      <w:tr w:rsidR="00C67DF8" w:rsidRPr="00C90BD9">
        <w:trPr>
          <w:cantSplit/>
        </w:trPr>
        <w:tc>
          <w:tcPr>
            <w:tcW w:w="1545" w:type="dxa"/>
            <w:tcBorders>
              <w:bottom w:val="single" w:sz="4" w:space="0" w:color="auto"/>
            </w:tcBorders>
            <w:shd w:val="clear" w:color="auto" w:fill="auto"/>
            <w:vAlign w:val="bottom"/>
          </w:tcPr>
          <w:p w:rsidR="00C67DF8" w:rsidRPr="00C90BD9" w:rsidRDefault="00C67DF8" w:rsidP="00C67DF8">
            <w:pPr>
              <w:pStyle w:val="DualTxt"/>
              <w:spacing w:before="40" w:after="80" w:line="240" w:lineRule="exact"/>
              <w:rPr>
                <w:rFonts w:hint="cs"/>
                <w:sz w:val="16"/>
                <w:szCs w:val="24"/>
                <w:rtl/>
              </w:rPr>
            </w:pPr>
            <w:r>
              <w:rPr>
                <w:rFonts w:hint="cs"/>
                <w:sz w:val="16"/>
                <w:szCs w:val="24"/>
                <w:rtl/>
              </w:rPr>
              <w:t xml:space="preserve">15 </w:t>
            </w:r>
            <w:r>
              <w:rPr>
                <w:sz w:val="16"/>
                <w:szCs w:val="24"/>
                <w:rtl/>
              </w:rPr>
              <w:t>–</w:t>
            </w:r>
            <w:r>
              <w:rPr>
                <w:rFonts w:hint="cs"/>
                <w:sz w:val="16"/>
                <w:szCs w:val="24"/>
                <w:rtl/>
              </w:rPr>
              <w:t xml:space="preserve"> 19 سنة</w:t>
            </w:r>
          </w:p>
        </w:tc>
        <w:tc>
          <w:tcPr>
            <w:tcW w:w="842" w:type="dxa"/>
            <w:tcBorders>
              <w:bottom w:val="single" w:sz="4" w:space="0" w:color="auto"/>
            </w:tcBorders>
            <w:shd w:val="clear" w:color="auto" w:fill="auto"/>
            <w:vAlign w:val="bottom"/>
          </w:tcPr>
          <w:p w:rsidR="00C67DF8" w:rsidRPr="00C90BD9" w:rsidRDefault="00C67DF8" w:rsidP="00C67DF8">
            <w:pPr>
              <w:pStyle w:val="DualTxt"/>
              <w:spacing w:before="40" w:after="80" w:line="240" w:lineRule="exact"/>
              <w:ind w:right="144"/>
              <w:rPr>
                <w:rFonts w:hint="cs"/>
                <w:sz w:val="16"/>
                <w:szCs w:val="24"/>
                <w:rtl/>
              </w:rPr>
            </w:pPr>
            <w:r>
              <w:rPr>
                <w:rFonts w:hint="cs"/>
                <w:sz w:val="16"/>
                <w:szCs w:val="24"/>
                <w:rtl/>
              </w:rPr>
              <w:t>1</w:t>
            </w:r>
          </w:p>
        </w:tc>
        <w:tc>
          <w:tcPr>
            <w:tcW w:w="806" w:type="dxa"/>
            <w:tcBorders>
              <w:bottom w:val="single" w:sz="4" w:space="0" w:color="auto"/>
            </w:tcBorders>
            <w:shd w:val="clear" w:color="auto" w:fill="auto"/>
            <w:vAlign w:val="bottom"/>
          </w:tcPr>
          <w:p w:rsidR="00C67DF8" w:rsidRPr="00C90BD9" w:rsidRDefault="00C67DF8" w:rsidP="00C67DF8">
            <w:pPr>
              <w:pStyle w:val="DualTxt"/>
              <w:spacing w:before="40" w:after="80" w:line="240" w:lineRule="exact"/>
              <w:ind w:right="144"/>
              <w:rPr>
                <w:rFonts w:hint="cs"/>
                <w:sz w:val="16"/>
                <w:szCs w:val="24"/>
                <w:rtl/>
              </w:rPr>
            </w:pPr>
            <w:r>
              <w:rPr>
                <w:rFonts w:hint="cs"/>
                <w:sz w:val="16"/>
                <w:szCs w:val="24"/>
                <w:rtl/>
              </w:rPr>
              <w:t>-</w:t>
            </w:r>
          </w:p>
        </w:tc>
        <w:tc>
          <w:tcPr>
            <w:tcW w:w="927" w:type="dxa"/>
            <w:tcBorders>
              <w:bottom w:val="single" w:sz="4" w:space="0" w:color="auto"/>
            </w:tcBorders>
            <w:shd w:val="clear" w:color="auto" w:fill="auto"/>
            <w:vAlign w:val="bottom"/>
          </w:tcPr>
          <w:p w:rsidR="00C67DF8" w:rsidRPr="00C90BD9" w:rsidRDefault="00C67DF8" w:rsidP="00C67DF8">
            <w:pPr>
              <w:pStyle w:val="DualTxt"/>
              <w:spacing w:before="40" w:after="80" w:line="240" w:lineRule="exact"/>
              <w:ind w:right="144"/>
              <w:rPr>
                <w:rFonts w:hint="cs"/>
                <w:sz w:val="16"/>
                <w:szCs w:val="24"/>
                <w:rtl/>
              </w:rPr>
            </w:pPr>
            <w:r>
              <w:rPr>
                <w:rFonts w:hint="cs"/>
                <w:sz w:val="16"/>
                <w:szCs w:val="24"/>
                <w:rtl/>
              </w:rPr>
              <w:t>1</w:t>
            </w:r>
          </w:p>
        </w:tc>
      </w:tr>
      <w:tr w:rsidR="00C67DF8" w:rsidRPr="007A7330">
        <w:trPr>
          <w:cantSplit/>
        </w:trPr>
        <w:tc>
          <w:tcPr>
            <w:tcW w:w="1545" w:type="dxa"/>
            <w:tcBorders>
              <w:top w:val="single" w:sz="4" w:space="0" w:color="auto"/>
              <w:bottom w:val="single" w:sz="12" w:space="0" w:color="auto"/>
            </w:tcBorders>
            <w:shd w:val="clear" w:color="auto" w:fill="auto"/>
            <w:vAlign w:val="bottom"/>
          </w:tcPr>
          <w:p w:rsidR="00C67DF8" w:rsidRPr="007A7330" w:rsidRDefault="00C67DF8" w:rsidP="00C67DF8">
            <w:pPr>
              <w:pStyle w:val="DualTxt"/>
              <w:spacing w:before="60" w:after="60" w:line="240" w:lineRule="exact"/>
              <w:rPr>
                <w:rFonts w:hint="cs"/>
                <w:bCs/>
                <w:sz w:val="16"/>
                <w:szCs w:val="24"/>
                <w:rtl/>
              </w:rPr>
            </w:pPr>
            <w:r w:rsidRPr="007A7330">
              <w:rPr>
                <w:rFonts w:hint="cs"/>
                <w:bCs/>
                <w:sz w:val="16"/>
                <w:szCs w:val="24"/>
                <w:rtl/>
              </w:rPr>
              <w:t>المجموع</w:t>
            </w:r>
          </w:p>
        </w:tc>
        <w:tc>
          <w:tcPr>
            <w:tcW w:w="842" w:type="dxa"/>
            <w:tcBorders>
              <w:top w:val="single" w:sz="4" w:space="0" w:color="auto"/>
              <w:bottom w:val="single" w:sz="12" w:space="0" w:color="auto"/>
            </w:tcBorders>
            <w:shd w:val="clear" w:color="auto" w:fill="auto"/>
            <w:vAlign w:val="bottom"/>
          </w:tcPr>
          <w:p w:rsidR="00C67DF8" w:rsidRPr="007A7330" w:rsidRDefault="00C67DF8" w:rsidP="00C67DF8">
            <w:pPr>
              <w:pStyle w:val="DualTxt"/>
              <w:spacing w:before="60" w:after="60" w:line="240" w:lineRule="exact"/>
              <w:ind w:right="144"/>
              <w:rPr>
                <w:rFonts w:hint="cs"/>
                <w:bCs/>
                <w:sz w:val="16"/>
                <w:szCs w:val="24"/>
                <w:rtl/>
              </w:rPr>
            </w:pPr>
            <w:r w:rsidRPr="007A7330">
              <w:rPr>
                <w:rFonts w:hint="cs"/>
                <w:bCs/>
                <w:sz w:val="16"/>
                <w:szCs w:val="24"/>
                <w:rtl/>
              </w:rPr>
              <w:t>5</w:t>
            </w:r>
          </w:p>
        </w:tc>
        <w:tc>
          <w:tcPr>
            <w:tcW w:w="806" w:type="dxa"/>
            <w:tcBorders>
              <w:top w:val="single" w:sz="4" w:space="0" w:color="auto"/>
              <w:bottom w:val="single" w:sz="12" w:space="0" w:color="auto"/>
            </w:tcBorders>
            <w:shd w:val="clear" w:color="auto" w:fill="auto"/>
            <w:vAlign w:val="bottom"/>
          </w:tcPr>
          <w:p w:rsidR="00C67DF8" w:rsidRPr="007A7330" w:rsidRDefault="00C67DF8" w:rsidP="00C67DF8">
            <w:pPr>
              <w:pStyle w:val="DualTxt"/>
              <w:spacing w:before="60" w:after="60" w:line="240" w:lineRule="exact"/>
              <w:ind w:right="144"/>
              <w:rPr>
                <w:rFonts w:hint="cs"/>
                <w:bCs/>
                <w:sz w:val="16"/>
                <w:szCs w:val="24"/>
                <w:rtl/>
              </w:rPr>
            </w:pPr>
            <w:r w:rsidRPr="007A7330">
              <w:rPr>
                <w:rFonts w:hint="cs"/>
                <w:bCs/>
                <w:sz w:val="16"/>
                <w:szCs w:val="24"/>
                <w:rtl/>
              </w:rPr>
              <w:t>3</w:t>
            </w:r>
          </w:p>
        </w:tc>
        <w:tc>
          <w:tcPr>
            <w:tcW w:w="927" w:type="dxa"/>
            <w:tcBorders>
              <w:top w:val="single" w:sz="4" w:space="0" w:color="auto"/>
              <w:bottom w:val="single" w:sz="12" w:space="0" w:color="auto"/>
            </w:tcBorders>
            <w:shd w:val="clear" w:color="auto" w:fill="auto"/>
            <w:vAlign w:val="bottom"/>
          </w:tcPr>
          <w:p w:rsidR="00C67DF8" w:rsidRPr="007A7330" w:rsidRDefault="00C67DF8" w:rsidP="00C67DF8">
            <w:pPr>
              <w:pStyle w:val="DualTxt"/>
              <w:spacing w:before="60" w:after="60" w:line="240" w:lineRule="exact"/>
              <w:ind w:right="144"/>
              <w:rPr>
                <w:rFonts w:hint="cs"/>
                <w:bCs/>
                <w:sz w:val="16"/>
                <w:szCs w:val="24"/>
                <w:rtl/>
              </w:rPr>
            </w:pPr>
            <w:r w:rsidRPr="007A7330">
              <w:rPr>
                <w:rFonts w:hint="cs"/>
                <w:bCs/>
                <w:sz w:val="16"/>
                <w:szCs w:val="24"/>
                <w:rtl/>
              </w:rPr>
              <w:t>8</w:t>
            </w:r>
          </w:p>
        </w:tc>
      </w:tr>
    </w:tbl>
    <w:p w:rsidR="00C67DF8" w:rsidRPr="007A7330" w:rsidRDefault="00C67DF8" w:rsidP="00C67DF8">
      <w:pPr>
        <w:pStyle w:val="SingleTxt"/>
        <w:spacing w:after="0" w:line="120" w:lineRule="exact"/>
        <w:rPr>
          <w:rFonts w:hint="cs"/>
          <w:sz w:val="10"/>
          <w:rtl/>
        </w:rPr>
      </w:pPr>
    </w:p>
    <w:p w:rsidR="00C67DF8" w:rsidRPr="00C90BD9" w:rsidRDefault="00C67DF8" w:rsidP="00C67DF8">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Fonts w:hint="cs"/>
          <w:rtl/>
        </w:rPr>
        <w:tab/>
      </w:r>
      <w:r w:rsidRPr="007A7330">
        <w:rPr>
          <w:rFonts w:hint="cs"/>
          <w:i/>
          <w:iCs/>
          <w:rtl/>
        </w:rPr>
        <w:t>المصدر</w:t>
      </w:r>
      <w:r>
        <w:rPr>
          <w:rFonts w:hint="cs"/>
          <w:rtl/>
        </w:rPr>
        <w:t>: المعهد الوطني للصحة، أيلول/سبتمبر 2003.</w:t>
      </w:r>
    </w:p>
    <w:p w:rsidR="00C67DF8" w:rsidRPr="002453C2"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SingleTxt"/>
        <w:tabs>
          <w:tab w:val="clear" w:pos="1930"/>
          <w:tab w:val="left" w:pos="2125"/>
        </w:tabs>
        <w:rPr>
          <w:rFonts w:hint="cs"/>
          <w:rtl/>
        </w:rPr>
      </w:pPr>
      <w:r>
        <w:rPr>
          <w:rFonts w:hint="cs"/>
          <w:rtl/>
        </w:rPr>
        <w:t>331 -</w:t>
      </w:r>
      <w:r>
        <w:rPr>
          <w:rFonts w:hint="cs"/>
          <w:rtl/>
        </w:rPr>
        <w:tab/>
        <w:t xml:space="preserve">وبالنظر إلى حجم سكان باكستان (حوالي 140 مليون نسبة) لا يعتبر عدد الأشخاص المصابين بفيروس نقص المناعة البشرية أو بمتلازمة نقص المناعة المكتسب (الإيدز) كبيرا حتى الآن. ولكن لا ينبغي أن يؤدي هذا إلى </w:t>
      </w:r>
      <w:proofErr w:type="spellStart"/>
      <w:r>
        <w:rPr>
          <w:rFonts w:hint="cs"/>
          <w:rtl/>
        </w:rPr>
        <w:t>الرضى</w:t>
      </w:r>
      <w:proofErr w:type="spellEnd"/>
      <w:r>
        <w:rPr>
          <w:rFonts w:hint="cs"/>
          <w:rtl/>
        </w:rPr>
        <w:t xml:space="preserve"> بالحال. فقد أعدت الحكومة برنامجا وطنيا معززا لمكافحة الإيدز بتكلفة 2.8 بليون روبية، بما في ذلك المساعدة المقدمة من البنك الدولي. وخصص اعتماد بمبلغ 250 مليون روبية (100 مليون روبية للبرنامج الوطني الجاري لمكافحة الإيدز و150 مليون روبية للبرنامج المعزز) في السنة المالية 2002-2003، وهذا يمثل زيادة ميزانية مكافحة الفيروس/الإيدز في البلد بنسبة 100 في المائة.</w:t>
      </w:r>
    </w:p>
    <w:p w:rsidR="00C67DF8" w:rsidRDefault="00C67DF8" w:rsidP="00C67DF8">
      <w:pPr>
        <w:pStyle w:val="SingleTxt"/>
        <w:tabs>
          <w:tab w:val="clear" w:pos="1930"/>
          <w:tab w:val="left" w:pos="2125"/>
        </w:tabs>
        <w:rPr>
          <w:rFonts w:hint="cs"/>
          <w:rtl/>
        </w:rPr>
      </w:pPr>
      <w:r>
        <w:rPr>
          <w:rFonts w:hint="cs"/>
          <w:rtl/>
        </w:rPr>
        <w:t>332 -</w:t>
      </w:r>
      <w:r>
        <w:rPr>
          <w:rFonts w:hint="cs"/>
          <w:rtl/>
        </w:rPr>
        <w:tab/>
        <w:t>ولا يعتبر التمييز ضد مرضى الفيروس/الإيدز مسألة ذات أهمية حتى الآن، نظرا لقلة عدد الحالات، نسبيا، ولا توجد قوانين أو قواعد مناهضة للتمييز ضد الأشخاص المصابين بالفيروس/الإيدز، في الوقت الحالي.</w:t>
      </w:r>
    </w:p>
    <w:p w:rsidR="00C67DF8" w:rsidRPr="00437A34" w:rsidRDefault="00C67DF8" w:rsidP="00C67DF8">
      <w:pPr>
        <w:pStyle w:val="SingleTxt"/>
        <w:tabs>
          <w:tab w:val="clear" w:pos="1930"/>
          <w:tab w:val="left" w:pos="2125"/>
        </w:tabs>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المعلومات المقدمة عملا بالتوصية رقم 24</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سن القوانين وإنفاذها بفعالية ورسم السياسات، بما في ذلك بروتوكولات الرعاية الصحية، والإجراءات المتبعة في المستشفيات، للتصدي للعنف ضد المرأة والاعتداء الجنسي على الطفلات وتوفير الخدمات الصحية المناسبة</w:t>
      </w:r>
    </w:p>
    <w:p w:rsidR="00C67DF8" w:rsidRDefault="00C67DF8" w:rsidP="00C67DF8">
      <w:pPr>
        <w:pStyle w:val="SingleTxt"/>
        <w:tabs>
          <w:tab w:val="clear" w:pos="1930"/>
          <w:tab w:val="left" w:pos="2125"/>
        </w:tabs>
        <w:rPr>
          <w:rFonts w:hint="cs"/>
          <w:rtl/>
        </w:rPr>
      </w:pPr>
      <w:r>
        <w:rPr>
          <w:rFonts w:hint="cs"/>
          <w:rtl/>
        </w:rPr>
        <w:t>333 -</w:t>
      </w:r>
      <w:r>
        <w:rPr>
          <w:rFonts w:hint="cs"/>
          <w:rtl/>
        </w:rPr>
        <w:tab/>
        <w:t xml:space="preserve">لا يوجد قانون محدد يشمل جميع أشكال العنف المتصل بنوع الجنس. غير أن القانون الجنائي الباكستاني وقانون الإجراءات الجنائية يتضمنان أحكاما تفصيلية عن جميع أنواع العنف التي يمكن إنزالها بالبشر، وهناك بعض أحكام محددة تتصل بالعنف المرتكب ضد المرأة </w:t>
      </w:r>
      <w:r>
        <w:rPr>
          <w:rtl/>
        </w:rPr>
        <w:t>–</w:t>
      </w:r>
      <w:r>
        <w:rPr>
          <w:rFonts w:hint="cs"/>
          <w:rtl/>
        </w:rPr>
        <w:t xml:space="preserve"> المادة 354 الاعتداء على المرأة أو استخدام القوة الإجرامية ضدها بقصد خدش حيائها والمادة 354- ألف الاعتداء على المرأة أو استخدام القوة الإجرامية ضدها وتجريدها من ثيابها.</w:t>
      </w:r>
    </w:p>
    <w:p w:rsidR="00C67DF8" w:rsidRDefault="00C67DF8" w:rsidP="00C67DF8">
      <w:pPr>
        <w:pStyle w:val="SingleTxt"/>
        <w:tabs>
          <w:tab w:val="clear" w:pos="1930"/>
          <w:tab w:val="left" w:pos="2125"/>
        </w:tabs>
        <w:rPr>
          <w:rFonts w:hint="cs"/>
          <w:rtl/>
        </w:rPr>
      </w:pPr>
      <w:r>
        <w:rPr>
          <w:rFonts w:hint="cs"/>
          <w:rtl/>
        </w:rPr>
        <w:t>334 -</w:t>
      </w:r>
      <w:r>
        <w:rPr>
          <w:rFonts w:hint="cs"/>
          <w:rtl/>
        </w:rPr>
        <w:tab/>
        <w:t>وتعتبر إضافة المادة 174-ألف إلى قانون الإجراءات الجنائية، في سنة 2001، خطوة أيضا في اتجاه توفير الحماية من جانب محدد من العنف المتصل بنوع الجنس ضد المرأة. وأبرز سمات المادة 174- ألف هي:</w:t>
      </w:r>
    </w:p>
    <w:p w:rsidR="00C67DF8" w:rsidRDefault="00C67DF8" w:rsidP="00C67DF8">
      <w:pPr>
        <w:pStyle w:val="SingleTxt"/>
        <w:tabs>
          <w:tab w:val="clear" w:pos="1930"/>
          <w:tab w:val="left" w:pos="2125"/>
        </w:tabs>
        <w:rPr>
          <w:rFonts w:hint="cs"/>
          <w:rtl/>
        </w:rPr>
      </w:pPr>
      <w:r>
        <w:rPr>
          <w:rFonts w:hint="cs"/>
          <w:rtl/>
        </w:rPr>
        <w:t>335 -</w:t>
      </w:r>
      <w:r>
        <w:rPr>
          <w:rFonts w:hint="cs"/>
          <w:rtl/>
        </w:rPr>
        <w:tab/>
        <w:t xml:space="preserve">يجب على الطبيب المعالج المسجل الذي تعينه الحكومة الإقليمية والموظف </w:t>
      </w:r>
      <w:proofErr w:type="spellStart"/>
      <w:r>
        <w:rPr>
          <w:rFonts w:hint="cs"/>
          <w:rtl/>
        </w:rPr>
        <w:t>المسؤول</w:t>
      </w:r>
      <w:proofErr w:type="spellEnd"/>
      <w:r>
        <w:rPr>
          <w:rFonts w:hint="cs"/>
          <w:rtl/>
        </w:rPr>
        <w:t xml:space="preserve"> في مخفر الشرطة إبلاغ جميع حالات الحرق إلى أقرب قاضي صلح.</w:t>
      </w:r>
    </w:p>
    <w:p w:rsidR="00C67DF8" w:rsidRDefault="00C67DF8" w:rsidP="00C67DF8">
      <w:pPr>
        <w:pStyle w:val="SingleTxt"/>
        <w:tabs>
          <w:tab w:val="clear" w:pos="1930"/>
          <w:tab w:val="left" w:pos="2125"/>
        </w:tabs>
        <w:rPr>
          <w:rFonts w:hint="cs"/>
          <w:rtl/>
        </w:rPr>
      </w:pPr>
      <w:r>
        <w:rPr>
          <w:rFonts w:hint="cs"/>
          <w:rtl/>
        </w:rPr>
        <w:t>336 -</w:t>
      </w:r>
      <w:r>
        <w:rPr>
          <w:rFonts w:hint="cs"/>
          <w:rtl/>
        </w:rPr>
        <w:tab/>
        <w:t>ويسجل الطبيب المعالج بيانا للشخص الذي تعرض للحرق فور وصوله للتحقق من ظروف إصابات الحرق وأسبابها. فإذا كان المصاب في حالة تسمح له بالإدلاء ببيان، يمكن أيضا أن يسجل قاضي الصلح هذا البيان. وفي حالة عدم إمكان المريض الإدلاء ببيان، أمام قاضي الصلح، لأي سبب من الأسباب، يقبل البيان الذي أدلى به إلى الطبيب كإثبات لبيان شخص مشرف على الموت.</w:t>
      </w:r>
    </w:p>
    <w:p w:rsidR="00C67DF8" w:rsidRDefault="00C67DF8" w:rsidP="00C67DF8">
      <w:pPr>
        <w:pStyle w:val="SingleTxt"/>
        <w:tabs>
          <w:tab w:val="clear" w:pos="1930"/>
          <w:tab w:val="left" w:pos="2125"/>
        </w:tabs>
        <w:rPr>
          <w:rFonts w:hint="cs"/>
          <w:rtl/>
        </w:rPr>
      </w:pPr>
      <w:r>
        <w:rPr>
          <w:rFonts w:hint="cs"/>
          <w:rtl/>
        </w:rPr>
        <w:t>337 -</w:t>
      </w:r>
      <w:r>
        <w:rPr>
          <w:rFonts w:hint="cs"/>
          <w:rtl/>
        </w:rPr>
        <w:tab/>
        <w:t>ومن واجب المستشفيات والهياكل الأساسية للرعاية الصحية توفير العناية الطبية للنساء والفتيات ضحايا العنف المتصل بنوع الجنس. وعند وصول إحدى ضحايا العنف المتصل بنوع الجنس إلى المستشفى أو إلى أي مرفق آخر للرعاية الصحية، تتخذ جميع التدابير الممكنة لتوفير أفضل عناية طبية متاحة. ويختلف نطاق الرعاية المتوفرة للمريضة ونوعيتها بدرجة كبيرة وفقا للمستشفى والموظفين ووجود المستشفى في منطقة ريفية أو حضرية.</w:t>
      </w:r>
    </w:p>
    <w:p w:rsidR="00C67DF8" w:rsidRDefault="00C67DF8" w:rsidP="00C67DF8">
      <w:pPr>
        <w:pStyle w:val="SingleTxt"/>
        <w:tabs>
          <w:tab w:val="clear" w:pos="1930"/>
          <w:tab w:val="left" w:pos="2125"/>
        </w:tabs>
        <w:rPr>
          <w:rFonts w:hint="cs"/>
          <w:rtl/>
        </w:rPr>
      </w:pPr>
      <w:r>
        <w:rPr>
          <w:rFonts w:hint="cs"/>
          <w:rtl/>
        </w:rPr>
        <w:t>338 -</w:t>
      </w:r>
      <w:r>
        <w:rPr>
          <w:rFonts w:hint="cs"/>
          <w:rtl/>
        </w:rPr>
        <w:tab/>
        <w:t xml:space="preserve">وفيما يتصل ببروتوكولات الرعاية الصحية، مطلوب من الطبيب </w:t>
      </w:r>
      <w:proofErr w:type="spellStart"/>
      <w:r>
        <w:rPr>
          <w:rFonts w:hint="cs"/>
          <w:rtl/>
        </w:rPr>
        <w:t>المسؤول</w:t>
      </w:r>
      <w:proofErr w:type="spellEnd"/>
      <w:r>
        <w:rPr>
          <w:rFonts w:hint="cs"/>
          <w:rtl/>
        </w:rPr>
        <w:t xml:space="preserve"> عن الإصابات في المستشفى أن يبلغ الشرطة بجميع الحالات التي يعتقد أنها نتيجة عنف ارتكب ضد شخص. غير أن فكرة وجود أسلوب للتعامل مع المرأة ضحية العنف المتصل بنوع الجنس لم تتطور تماما. وستوفر للمرأة الرعاية الطبية المناسبة لإصاباتها وما إلى ذلك، بطبيعة الحال. غير أنه ليس من المعتاد أن ترتب لها زيارة من طبيب نفساني وتكفل زيارات المتابعة المنتظمة بعد خروجها من المستشفى.</w:t>
      </w:r>
    </w:p>
    <w:p w:rsidR="00C67DF8" w:rsidRPr="0050712A"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التدريب الذي يراعي الفوارق بين الجنسين لتمكين العاملين في مجال الرعاية الصحية من اكتشاف ومعالجة الآثار المترتبة على العنف القائم على أساس نوع الجنس.</w:t>
      </w:r>
    </w:p>
    <w:p w:rsidR="00C67DF8" w:rsidRDefault="00C67DF8" w:rsidP="008A0344">
      <w:pPr>
        <w:pStyle w:val="SingleTxt"/>
        <w:tabs>
          <w:tab w:val="clear" w:pos="1930"/>
          <w:tab w:val="left" w:pos="2125"/>
        </w:tabs>
        <w:rPr>
          <w:rFonts w:hint="cs"/>
          <w:rtl/>
        </w:rPr>
      </w:pPr>
      <w:r>
        <w:rPr>
          <w:rFonts w:hint="cs"/>
          <w:rtl/>
        </w:rPr>
        <w:t>339 -</w:t>
      </w:r>
      <w:r>
        <w:rPr>
          <w:rFonts w:hint="cs"/>
          <w:rtl/>
        </w:rPr>
        <w:tab/>
        <w:t xml:space="preserve">المطلوب من جميع الأطباء دراسة </w:t>
      </w:r>
      <w:r>
        <w:rPr>
          <w:rFonts w:hint="eastAsia"/>
          <w:rtl/>
        </w:rPr>
        <w:t>”الطب الشرعي</w:t>
      </w:r>
      <w:r>
        <w:rPr>
          <w:rFonts w:hint="cs"/>
          <w:rtl/>
        </w:rPr>
        <w:t>“ أثناء تدريبهم وتعليمهم. وتدرس هذه  المادة، بصورة عامة، في السنة الثالثة من الدورة الأكاديمية المقررة لتخرج طبيب ومدتها خمس سنوات. ويغطي منهج الطب الشرعي العنف ضد المرأة بصورة تفصيلية. وعلى كل طالب طب النجاح في مادة الطب الشرعي حتى ينتقل إلى المستوى التالي. ويصاحب التدريب الأكاديمي تدريبا عمليا مع زيارات إلى مكتب خبير الطب الشرعي للاطلاع على قضايا طبية قانونية مختلفة تشمل العنف ضد المرأة القائم على أساس نوع الجنس.</w:t>
      </w:r>
    </w:p>
    <w:p w:rsidR="00C67DF8" w:rsidRPr="008B417D" w:rsidRDefault="00C67DF8" w:rsidP="00C67DF8">
      <w:pPr>
        <w:pStyle w:val="SingleTxt"/>
        <w:tabs>
          <w:tab w:val="clear" w:pos="1930"/>
          <w:tab w:val="left" w:pos="2125"/>
        </w:tabs>
        <w:spacing w:after="0" w:line="120" w:lineRule="exact"/>
        <w:rPr>
          <w:rFonts w:hint="cs"/>
          <w:sz w:val="12"/>
          <w:rtl/>
        </w:rPr>
      </w:pPr>
    </w:p>
    <w:p w:rsidR="00C67DF8" w:rsidRDefault="00C67DF8" w:rsidP="008A03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إعطاء الأولوية لمنع الحمل غير المرغوب فيه، عن طريق تنظيم الأسرة والتثقيف الجنس</w:t>
      </w:r>
      <w:r w:rsidR="008A0344">
        <w:rPr>
          <w:rFonts w:hint="cs"/>
          <w:rtl/>
        </w:rPr>
        <w:t>ي</w:t>
      </w:r>
      <w:r>
        <w:rPr>
          <w:rFonts w:hint="cs"/>
          <w:rtl/>
        </w:rPr>
        <w:t xml:space="preserve"> وخفض معدلات وفيات الأمهات بفضل خدمات الأمومة المأمونة والمساعدة قبل الولادة. وينبغي القيام، كلما أ</w:t>
      </w:r>
      <w:r w:rsidR="008A0344">
        <w:rPr>
          <w:rFonts w:hint="cs"/>
          <w:rtl/>
        </w:rPr>
        <w:t>م</w:t>
      </w:r>
      <w:r>
        <w:rPr>
          <w:rFonts w:hint="cs"/>
          <w:rtl/>
        </w:rPr>
        <w:t>كن، بتعديل التشريعات التي تحرم الإجهاض، بغية سحب التدابير العقابية المفروضة على النساء اللائي يجري إجهاضهن.</w:t>
      </w:r>
    </w:p>
    <w:p w:rsidR="00C67DF8" w:rsidRDefault="00C67DF8" w:rsidP="00C67DF8">
      <w:pPr>
        <w:pStyle w:val="SingleTxt"/>
        <w:tabs>
          <w:tab w:val="clear" w:pos="1930"/>
          <w:tab w:val="left" w:pos="2228"/>
        </w:tabs>
        <w:rPr>
          <w:rFonts w:hint="cs"/>
          <w:rtl/>
        </w:rPr>
      </w:pPr>
      <w:r>
        <w:rPr>
          <w:rFonts w:hint="cs"/>
          <w:rtl/>
        </w:rPr>
        <w:t>340 -</w:t>
      </w:r>
      <w:r>
        <w:rPr>
          <w:rFonts w:hint="cs"/>
          <w:rtl/>
        </w:rPr>
        <w:tab/>
        <w:t>تعتبر شعبة رعاية السكان الشعبة الإدارية الرئيسية المعنية بأنشطة رعاية السكان، بما يشمل تنظيم الأسرة. والشعبة مكلفة، بين أمور أخرى، بتخطيط ورسم سياسات برنامج التخطيط السكاني في البلد وتنفيذها ورصد الأنشطة السكانية وتقييم البرنامج.</w:t>
      </w:r>
    </w:p>
    <w:p w:rsidR="00C67DF8" w:rsidRDefault="00C67DF8" w:rsidP="00C67DF8">
      <w:pPr>
        <w:pStyle w:val="SingleTxt"/>
        <w:tabs>
          <w:tab w:val="clear" w:pos="1930"/>
          <w:tab w:val="left" w:pos="2228"/>
        </w:tabs>
        <w:rPr>
          <w:rFonts w:hint="cs"/>
          <w:rtl/>
        </w:rPr>
      </w:pPr>
      <w:r>
        <w:rPr>
          <w:rFonts w:hint="cs"/>
          <w:rtl/>
        </w:rPr>
        <w:t>341 -</w:t>
      </w:r>
      <w:r>
        <w:rPr>
          <w:rFonts w:hint="cs"/>
          <w:rtl/>
        </w:rPr>
        <w:tab/>
        <w:t>وتعد رعاية السكان العنصر الأساسي لبرامج الرعاية الحكومية. وقد انخفضت معدلات نمو السكان من 3 في المائة في السنة إلى 2.2 في المائة في الفترة ما بين 1991 و</w:t>
      </w:r>
      <w:r w:rsidR="008A0344">
        <w:rPr>
          <w:rFonts w:hint="eastAsia"/>
          <w:rtl/>
        </w:rPr>
        <w:t> </w:t>
      </w:r>
      <w:r>
        <w:rPr>
          <w:rFonts w:hint="cs"/>
          <w:rtl/>
        </w:rPr>
        <w:t>2001.</w:t>
      </w:r>
    </w:p>
    <w:p w:rsidR="00C67DF8" w:rsidRDefault="00C67DF8" w:rsidP="00C67DF8">
      <w:pPr>
        <w:pStyle w:val="SingleTxt"/>
        <w:tabs>
          <w:tab w:val="clear" w:pos="1930"/>
          <w:tab w:val="left" w:pos="2228"/>
        </w:tabs>
        <w:rPr>
          <w:rFonts w:hint="cs"/>
          <w:rtl/>
        </w:rPr>
      </w:pPr>
      <w:r>
        <w:rPr>
          <w:rFonts w:hint="cs"/>
          <w:rtl/>
        </w:rPr>
        <w:t>342 -</w:t>
      </w:r>
      <w:r>
        <w:rPr>
          <w:rFonts w:hint="cs"/>
          <w:rtl/>
        </w:rPr>
        <w:tab/>
        <w:t xml:space="preserve">ووضعت وزارة رعاية السكان سياسة سكانية وطنية للإنجاب في تموز/يوليه 2002. وتهدف السياسة، في جملة أمور، إلى تحقيق توازن بين الموارد والسكان، في إطار </w:t>
      </w:r>
      <w:proofErr w:type="spellStart"/>
      <w:r>
        <w:rPr>
          <w:rFonts w:hint="cs"/>
          <w:rtl/>
        </w:rPr>
        <w:t>البارامترات</w:t>
      </w:r>
      <w:proofErr w:type="spellEnd"/>
      <w:r>
        <w:rPr>
          <w:rFonts w:hint="cs"/>
          <w:rtl/>
        </w:rPr>
        <w:t xml:space="preserve"> العريضة لنموذج المؤتمر الدولي للسكان والتنمية؛ وزيادة الوعي بالنتائج المعاكسة لنمو السكان السريع، على الصعيد الوطني والإقليمي وعلى صعيد المناطق والمجتمعات المحلية؛ وتشجيع تنظيم الأسرة كحق يقوم على اختيار رشيد وطوعي؛ وتحقيق تخفيض في الخصوبة من خلال تحسين سبل الوصول إلى خدمات الصحة الإنجابية ونوعية هذه الخدمات؛ والحد من سرعة نمو السكان عن طريق تأخير الولادة الأولى، وتغيير أنماط المباعدة بين الولادات، والحد من رغبات زيادة حجم الأسرة.</w:t>
      </w:r>
    </w:p>
    <w:p w:rsidR="00C67DF8" w:rsidRDefault="00C67DF8" w:rsidP="00C67DF8">
      <w:pPr>
        <w:pStyle w:val="SingleTxt"/>
        <w:tabs>
          <w:tab w:val="clear" w:pos="1930"/>
          <w:tab w:val="left" w:pos="2228"/>
        </w:tabs>
        <w:rPr>
          <w:rFonts w:hint="cs"/>
          <w:rtl/>
        </w:rPr>
      </w:pPr>
      <w:r>
        <w:rPr>
          <w:rFonts w:hint="cs"/>
          <w:rtl/>
        </w:rPr>
        <w:t>343 -</w:t>
      </w:r>
      <w:r>
        <w:rPr>
          <w:rFonts w:hint="cs"/>
          <w:rtl/>
        </w:rPr>
        <w:tab/>
        <w:t>ولهذه السياسة أهداف قصيرة الأجل وطويلة الأجل. وتتمثل الأهداف القصيرة الأجل في تخفيض النمو السكاني إلى 1.9 في المائة في السنة، بحلول سنة 2004 والحد من الخصوبة من خلال تعزيز الاستخدام الطوعي لوسائل منع الحمل بحيث لا يزيد عدد الولادات عن 4 لكل امرأة بحلول سنة 2004. أما الأهداف الطويلة الأجل فهي تخفيض النمو السكاني من 1.9 في المائة في سنة 2004 إلى 1.3 في المائة قبل سنة 2020 والحد من الخصوبة عن طريق تعزيز الاستخدام الطوعي لوسائل منع الحمل ليصل إلى مستوى الإحلال وهو 2.1 ولادة لكل امرأة بحلول سنة 2020 ووصول الجميع إلى وسائل تنظيم الأسرة المأمونة قبل سنة 2010.</w:t>
      </w:r>
    </w:p>
    <w:p w:rsidR="00C67DF8" w:rsidRDefault="00C67DF8" w:rsidP="00C67DF8">
      <w:pPr>
        <w:pStyle w:val="SingleTxt"/>
        <w:tabs>
          <w:tab w:val="clear" w:pos="1930"/>
          <w:tab w:val="left" w:pos="2228"/>
        </w:tabs>
        <w:rPr>
          <w:rFonts w:hint="cs"/>
          <w:rtl/>
        </w:rPr>
      </w:pPr>
      <w:r>
        <w:rPr>
          <w:rFonts w:hint="cs"/>
          <w:rtl/>
        </w:rPr>
        <w:t>344 -</w:t>
      </w:r>
      <w:r>
        <w:rPr>
          <w:rFonts w:hint="cs"/>
          <w:rtl/>
        </w:rPr>
        <w:tab/>
        <w:t>وتعمل الهياكل الأساسية لتقديم الخدمات التابعة لبرنامج السكان عن طريق 1958 مركزا لرعاية الأسرة، و177 وحدة متنقلة للخدمات، و114 مركزا للصحة الإنجابية، و000 12 من العاملين في مجال تنظيم الأسرة في القرى، و285 1 من المنظمين الذكور و650 24 طبيبا ممارسا يقدمون خدمات الصحة الإنجابية وتنظيم الأسرة إلى سكان المناطق الريفية والحضرية في البلد. وسجلت ميزانية برنامج رعاية السكان زيادة مطردة. ففي الفترة 1996-1997 كانت الميزانية 3.99 بليون روبية وارتفعت إلى 4.2 بليون روبية في الفترة 1999-2000</w:t>
      </w:r>
      <w:r w:rsidRPr="00C362C6">
        <w:rPr>
          <w:vertAlign w:val="superscript"/>
          <w:rtl/>
        </w:rPr>
        <w:t>(</w:t>
      </w:r>
      <w:r>
        <w:rPr>
          <w:rStyle w:val="FootnoteReference"/>
          <w:rtl/>
        </w:rPr>
        <w:footnoteReference w:id="16"/>
      </w:r>
      <w:r w:rsidRPr="00C362C6">
        <w:rPr>
          <w:vertAlign w:val="superscript"/>
          <w:rtl/>
        </w:rPr>
        <w:t>)</w:t>
      </w:r>
      <w:r>
        <w:rPr>
          <w:rFonts w:hint="cs"/>
          <w:rtl/>
        </w:rPr>
        <w:t>. وأهم الجهات المساهمة في البرنامج هي وزارة رعاية السكان (51.2 في المائة)، ووزارة الصحة (24.8 في المائة)، ووزارة تنمية المرأة (0.3 في المائة)، والإدارات الصحية الإقليمية (23.6 في المائة) والمصادر الدولية (26 في المائة)</w:t>
      </w:r>
      <w:r w:rsidRPr="00FF16FF">
        <w:rPr>
          <w:vertAlign w:val="superscript"/>
          <w:rtl/>
        </w:rPr>
        <w:t>(</w:t>
      </w:r>
      <w:r>
        <w:rPr>
          <w:rStyle w:val="FootnoteReference"/>
          <w:rtl/>
        </w:rPr>
        <w:footnoteReference w:id="17"/>
      </w:r>
      <w:r w:rsidRPr="00FF16FF">
        <w:rPr>
          <w:vertAlign w:val="superscript"/>
          <w:rtl/>
        </w:rPr>
        <w:t>)</w:t>
      </w:r>
      <w:r>
        <w:rPr>
          <w:rFonts w:hint="cs"/>
          <w:rtl/>
        </w:rPr>
        <w:t>.</w:t>
      </w:r>
    </w:p>
    <w:p w:rsidR="00C67DF8" w:rsidRDefault="00C67DF8" w:rsidP="008A0344">
      <w:pPr>
        <w:pStyle w:val="SingleTxt"/>
        <w:tabs>
          <w:tab w:val="clear" w:pos="1930"/>
          <w:tab w:val="left" w:pos="2228"/>
        </w:tabs>
        <w:rPr>
          <w:rtl/>
        </w:rPr>
      </w:pPr>
      <w:r>
        <w:rPr>
          <w:rFonts w:hint="cs"/>
          <w:rtl/>
        </w:rPr>
        <w:t>345 -</w:t>
      </w:r>
      <w:r>
        <w:rPr>
          <w:rFonts w:hint="cs"/>
          <w:rtl/>
        </w:rPr>
        <w:tab/>
        <w:t>وبالنسبة للوصول إلى مرافق تنظيم الأسرة، هناك 69 في المائة من النساء على بعد لا يزيد عن كيلومترين اثنين من هذه المرافق، وهناك 8 في المائة على بعد يتراوح بين كيلومترين و</w:t>
      </w:r>
      <w:r w:rsidR="008A0344">
        <w:rPr>
          <w:rFonts w:hint="cs"/>
          <w:rtl/>
        </w:rPr>
        <w:t xml:space="preserve"> </w:t>
      </w:r>
      <w:r>
        <w:rPr>
          <w:rFonts w:hint="cs"/>
          <w:rtl/>
        </w:rPr>
        <w:t>5 كيلومترات، و</w:t>
      </w:r>
      <w:r w:rsidR="008A0344">
        <w:rPr>
          <w:rFonts w:hint="cs"/>
          <w:rtl/>
        </w:rPr>
        <w:t xml:space="preserve"> </w:t>
      </w:r>
      <w:r>
        <w:rPr>
          <w:rFonts w:hint="cs"/>
          <w:rtl/>
        </w:rPr>
        <w:t xml:space="preserve">6 في المائة على بعد يتراوح </w:t>
      </w:r>
      <w:r w:rsidR="008A0344">
        <w:rPr>
          <w:rFonts w:hint="cs"/>
          <w:rtl/>
        </w:rPr>
        <w:t>بي</w:t>
      </w:r>
      <w:r>
        <w:rPr>
          <w:rFonts w:hint="cs"/>
          <w:rtl/>
        </w:rPr>
        <w:t xml:space="preserve">ن 5 </w:t>
      </w:r>
      <w:r w:rsidR="008A0344">
        <w:rPr>
          <w:rFonts w:hint="cs"/>
          <w:rtl/>
        </w:rPr>
        <w:t>و</w:t>
      </w:r>
      <w:r>
        <w:rPr>
          <w:rFonts w:hint="cs"/>
          <w:rtl/>
        </w:rPr>
        <w:t xml:space="preserve"> 10 كيلومترات، و6 في المائة على بعد 10 كيلومترات إلى 20 كيلومترا، و10 في المائة على بعد مسافة تزيد عن 20 كيلومترا. وكان توفر هذه المرافق على مسافة لا تزيد عن 5 كيلومترات عند أعلى مستوى في مقاطعة الحدود الشمالية الغربية (81 في المائة)، وعند أدنى مستوى في </w:t>
      </w:r>
      <w:proofErr w:type="spellStart"/>
      <w:r>
        <w:rPr>
          <w:rFonts w:hint="cs"/>
          <w:rtl/>
        </w:rPr>
        <w:t>بالوسشتان</w:t>
      </w:r>
      <w:proofErr w:type="spellEnd"/>
      <w:r>
        <w:rPr>
          <w:rFonts w:hint="cs"/>
          <w:rtl/>
        </w:rPr>
        <w:t xml:space="preserve"> (37 في المائة)</w:t>
      </w:r>
      <w:r w:rsidRPr="00996004">
        <w:rPr>
          <w:vertAlign w:val="superscript"/>
          <w:rtl/>
        </w:rPr>
        <w:t>(</w:t>
      </w:r>
      <w:r>
        <w:rPr>
          <w:rStyle w:val="FootnoteReference"/>
          <w:rtl/>
        </w:rPr>
        <w:footnoteReference w:id="18"/>
      </w:r>
      <w:r w:rsidRPr="00996004">
        <w:rPr>
          <w:vertAlign w:val="superscript"/>
          <w:rtl/>
        </w:rPr>
        <w:t>)</w:t>
      </w:r>
      <w:r>
        <w:rPr>
          <w:rFonts w:hint="cs"/>
          <w:rtl/>
        </w:rPr>
        <w:t>.</w:t>
      </w:r>
    </w:p>
    <w:p w:rsidR="00C67DF8" w:rsidRDefault="00C67DF8" w:rsidP="00C67DF8">
      <w:pPr>
        <w:pStyle w:val="SingleTxt"/>
        <w:tabs>
          <w:tab w:val="clear" w:pos="1930"/>
          <w:tab w:val="left" w:pos="2228"/>
        </w:tabs>
        <w:rPr>
          <w:rFonts w:hint="cs"/>
          <w:rtl/>
        </w:rPr>
      </w:pPr>
      <w:r>
        <w:rPr>
          <w:rFonts w:hint="cs"/>
          <w:rtl/>
        </w:rPr>
        <w:t>346 -</w:t>
      </w:r>
      <w:r>
        <w:rPr>
          <w:rFonts w:hint="cs"/>
          <w:rtl/>
        </w:rPr>
        <w:tab/>
        <w:t>ويبين قياس مواقف المرأة</w:t>
      </w:r>
      <w:r w:rsidRPr="00F15698">
        <w:rPr>
          <w:vertAlign w:val="superscript"/>
          <w:rtl/>
        </w:rPr>
        <w:t>(</w:t>
      </w:r>
      <w:r>
        <w:rPr>
          <w:rStyle w:val="FootnoteReference"/>
          <w:rtl/>
        </w:rPr>
        <w:footnoteReference w:id="19"/>
      </w:r>
      <w:r w:rsidRPr="00F15698">
        <w:rPr>
          <w:vertAlign w:val="superscript"/>
          <w:rtl/>
        </w:rPr>
        <w:t>)</w:t>
      </w:r>
      <w:r>
        <w:rPr>
          <w:rFonts w:hint="cs"/>
          <w:rtl/>
        </w:rPr>
        <w:t xml:space="preserve"> من المرافق التي توفرها الحكومة في الدراسة الاستقصائية المتكاملة للإحصاءات المنزلية في باكستان أن 95 في المائة من النساء يجدن هذه المرافق مرضية (98 في المائة من النساء في المناطق الحضرية، و93 في المائة من النساء في المناطق الريفية). وكان من أسباب عدم الارتياح، بعد المرافق، 34 في المائة، وعدم توفر الموظفين، 7 في المائة، وارتفاع الرسوم، 2 في المائة وغياب الموظفات، 8 في المائة، وعدم انتظام الإمدادات، 6 في المائة، وأسباب أخرى</w:t>
      </w:r>
      <w:r w:rsidR="008A0344">
        <w:rPr>
          <w:rFonts w:hint="cs"/>
          <w:rtl/>
        </w:rPr>
        <w:t>،</w:t>
      </w:r>
      <w:r>
        <w:rPr>
          <w:rFonts w:hint="cs"/>
          <w:rtl/>
        </w:rPr>
        <w:t xml:space="preserve"> 25 في المائة.</w:t>
      </w:r>
    </w:p>
    <w:p w:rsidR="00C67DF8" w:rsidRDefault="00C67DF8" w:rsidP="008A0344">
      <w:pPr>
        <w:pStyle w:val="SingleTxt"/>
        <w:tabs>
          <w:tab w:val="clear" w:pos="1930"/>
          <w:tab w:val="left" w:pos="2228"/>
        </w:tabs>
        <w:rPr>
          <w:rFonts w:hint="cs"/>
          <w:rtl/>
        </w:rPr>
      </w:pPr>
      <w:r>
        <w:rPr>
          <w:rFonts w:hint="cs"/>
          <w:rtl/>
        </w:rPr>
        <w:t>347 -</w:t>
      </w:r>
      <w:r>
        <w:rPr>
          <w:rFonts w:hint="cs"/>
          <w:rtl/>
        </w:rPr>
        <w:tab/>
        <w:t xml:space="preserve">وفي الفترة 1998-1999، كان 99 في المائة من نساء الحضر على دراية بمنع الحمل، وكانت 39 في المائة من النساء قد مارسته مع ممارسة 29 في المائة منهن في الوقت الراهن. وكانت الأرقام الخاصة بالمرأة الريفية 91 في المائة و22 في المائة و16 في المائة. وبحلول الفترة 2001-2002، كانت الأرقام المقابلة كالآتي: بالنسبة لنساء الحضر، 99 في المائة و40 في المائة و31 في المائة، وبالنسبة للمرأة الريفية، 95 في المائة و21 في المائة و14 في المائة. وبذلك يلاحظ أنه لم يحدث تغير ملحوظ في النسب المئوية الخاصة بنساء الحضر </w:t>
      </w:r>
      <w:r w:rsidR="008A0344">
        <w:rPr>
          <w:rFonts w:hint="cs"/>
          <w:rtl/>
        </w:rPr>
        <w:t>و</w:t>
      </w:r>
      <w:r>
        <w:rPr>
          <w:rFonts w:hint="cs"/>
          <w:rtl/>
        </w:rPr>
        <w:t>أ</w:t>
      </w:r>
      <w:r w:rsidR="008A0344">
        <w:rPr>
          <w:rFonts w:hint="cs"/>
          <w:rtl/>
        </w:rPr>
        <w:t>ن</w:t>
      </w:r>
      <w:r>
        <w:rPr>
          <w:rFonts w:hint="cs"/>
          <w:rtl/>
        </w:rPr>
        <w:t xml:space="preserve"> التغيير الذي حدث بالنسبة للمرأة الريفية أكثر أهمية.</w:t>
      </w:r>
    </w:p>
    <w:p w:rsidR="00C67DF8" w:rsidRDefault="00C67DF8" w:rsidP="00C67DF8">
      <w:pPr>
        <w:pStyle w:val="SingleTxt"/>
        <w:tabs>
          <w:tab w:val="clear" w:pos="1930"/>
          <w:tab w:val="left" w:pos="2228"/>
        </w:tabs>
        <w:rPr>
          <w:rFonts w:hint="cs"/>
          <w:rtl/>
        </w:rPr>
      </w:pPr>
      <w:r>
        <w:rPr>
          <w:rFonts w:hint="cs"/>
          <w:rtl/>
        </w:rPr>
        <w:t>348 -</w:t>
      </w:r>
      <w:r>
        <w:rPr>
          <w:rFonts w:hint="cs"/>
          <w:rtl/>
        </w:rPr>
        <w:tab/>
        <w:t>وكان معدل الخصوبة الإجمالي للمناطق الحضرية 5.29 في الفترة 1989-1991، و3.98 في الفترة 1994-1996، و3.48 في الفترة 1998-2000 (على النحو الوارد في الدراسة الاستقصائية المتكاملة للإحصاءات المنزلية، 2001-2002). أما بالنسبة للمناطق الريفية، فكانت هذه 6.64، و4.68، و4.93. وكانت الأرقام الخاص بباكستان (المناطق الحضرية والريفية مجتمعة) 6.2، و4.46 و4.47.</w:t>
      </w:r>
    </w:p>
    <w:p w:rsidR="00C67DF8" w:rsidRDefault="00C67DF8" w:rsidP="008A0344">
      <w:pPr>
        <w:pStyle w:val="SingleTxt"/>
        <w:tabs>
          <w:tab w:val="clear" w:pos="1930"/>
          <w:tab w:val="left" w:pos="2228"/>
        </w:tabs>
        <w:rPr>
          <w:rFonts w:hint="cs"/>
          <w:rtl/>
        </w:rPr>
      </w:pPr>
      <w:r>
        <w:rPr>
          <w:rFonts w:hint="cs"/>
          <w:rtl/>
        </w:rPr>
        <w:t>349 -</w:t>
      </w:r>
      <w:r>
        <w:rPr>
          <w:rFonts w:hint="cs"/>
          <w:rtl/>
        </w:rPr>
        <w:tab/>
        <w:t>ومع مراعاة البيئة المحافظة للمجتمع بصورة عامة، وبعد المسافات والنقص الشامل في التنمية والأمية والفقر، نجد أن ما أنجزه البرنامج الوطني لتنظيم الأسرة لا يستهان به. فمعدل الخصوبة آخذ في الانخفاض واستعمال وسائل منع الحمل يتزايد. وسجلت الميزانية الحكومية المخصصة للأنشطة السكانية زيادة مطردة أيضا. وبالمثل، سجلت زيادة في النسب المئوية ل</w:t>
      </w:r>
      <w:r w:rsidR="008A0344">
        <w:rPr>
          <w:rFonts w:hint="cs"/>
          <w:rtl/>
        </w:rPr>
        <w:t>لأ</w:t>
      </w:r>
      <w:r>
        <w:rPr>
          <w:rFonts w:hint="cs"/>
          <w:rtl/>
        </w:rPr>
        <w:t>زواج الواعين بأساليب منع الحمل والممارسين لها. وفي الوقت نفسه، فوفقا لبيانات مجلس شؤون السكان لباكستان، نجد أن هناك احتياج لم يلبي إلى وسائل منع الحمل لدى ربع إلى ثلث النساء المتزوجات حاليا، وهو كسر لم يتغير، على ما يبدو، في العقود الثلاثة الأخيرة (بيانات سنة 2000)</w:t>
      </w:r>
      <w:r w:rsidRPr="007160D8">
        <w:rPr>
          <w:vertAlign w:val="superscript"/>
          <w:rtl/>
        </w:rPr>
        <w:t>(</w:t>
      </w:r>
      <w:r>
        <w:rPr>
          <w:rStyle w:val="FootnoteReference"/>
          <w:rtl/>
        </w:rPr>
        <w:footnoteReference w:id="20"/>
      </w:r>
      <w:r w:rsidRPr="007160D8">
        <w:rPr>
          <w:vertAlign w:val="superscript"/>
          <w:rtl/>
        </w:rPr>
        <w:t>)</w:t>
      </w:r>
      <w:r>
        <w:rPr>
          <w:rFonts w:hint="cs"/>
          <w:rtl/>
        </w:rPr>
        <w:t xml:space="preserve">. ويتأثر قرار ممارسة منع الحمل بستة عوامل: قوة الرغبة في تجنب الحمل؛ والعلم بوسائل منع الحمل؛ وتكاليف ممارسة منع الحمل، وعلى وجه التحديد، تفهم </w:t>
      </w:r>
      <w:proofErr w:type="spellStart"/>
      <w:r>
        <w:rPr>
          <w:rFonts w:hint="cs"/>
          <w:rtl/>
        </w:rPr>
        <w:t>مقبولية</w:t>
      </w:r>
      <w:proofErr w:type="spellEnd"/>
      <w:r>
        <w:rPr>
          <w:rFonts w:hint="cs"/>
          <w:rtl/>
        </w:rPr>
        <w:t xml:space="preserve"> منع الحمل من الجوانب الاجتماعية والثقافية والدينية؛ وتفهم معارضة الزوج لتنظيم الأسرة؛ والشواغل الصحية الخاصة بمنع الحمل؛ والحصول على وسائل تنظيم الأسرة من النوعية المقبولة.</w:t>
      </w:r>
    </w:p>
    <w:p w:rsidR="00C67DF8" w:rsidRPr="00CE6973" w:rsidRDefault="00C67DF8" w:rsidP="00C67DF8">
      <w:pPr>
        <w:pStyle w:val="SingleTxt"/>
        <w:tabs>
          <w:tab w:val="clear" w:pos="1930"/>
          <w:tab w:val="left" w:pos="2228"/>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الإجهاض</w:t>
      </w:r>
    </w:p>
    <w:p w:rsidR="00C67DF8" w:rsidRDefault="00C67DF8" w:rsidP="00C67DF8">
      <w:pPr>
        <w:pStyle w:val="SingleTxt"/>
        <w:tabs>
          <w:tab w:val="clear" w:pos="1930"/>
          <w:tab w:val="left" w:pos="2125"/>
        </w:tabs>
        <w:rPr>
          <w:rFonts w:hint="cs"/>
          <w:rtl/>
        </w:rPr>
      </w:pPr>
      <w:r>
        <w:rPr>
          <w:rFonts w:hint="cs"/>
          <w:rtl/>
        </w:rPr>
        <w:t>350 -</w:t>
      </w:r>
      <w:r>
        <w:rPr>
          <w:rFonts w:hint="cs"/>
          <w:rtl/>
        </w:rPr>
        <w:tab/>
        <w:t xml:space="preserve">الإجهاض غير قانوني في باكستان، وتنص المادة 338، ألف </w:t>
      </w:r>
      <w:r>
        <w:rPr>
          <w:rtl/>
        </w:rPr>
        <w:t>–</w:t>
      </w:r>
      <w:r>
        <w:rPr>
          <w:rFonts w:hint="cs"/>
          <w:rtl/>
        </w:rPr>
        <w:t xml:space="preserve"> دال من القانون الجنائي الباكستاني على أن الإجهاض غير قانوني إلا في حالة إنقاذ حياة الأم. وعقوبة الإجهاض غير القانوني هي السجن لفترة قد تصل إلى سبع سنوات مع خضوع المرتكب له للغرامة.</w:t>
      </w:r>
    </w:p>
    <w:p w:rsidR="00C67DF8" w:rsidRDefault="00C67DF8" w:rsidP="00C67DF8">
      <w:pPr>
        <w:pStyle w:val="SingleTxt"/>
        <w:tabs>
          <w:tab w:val="clear" w:pos="1930"/>
          <w:tab w:val="left" w:pos="2125"/>
        </w:tabs>
        <w:rPr>
          <w:rFonts w:hint="cs"/>
          <w:rtl/>
        </w:rPr>
      </w:pPr>
      <w:r>
        <w:rPr>
          <w:rFonts w:hint="cs"/>
          <w:rtl/>
        </w:rPr>
        <w:t>351 -</w:t>
      </w:r>
      <w:r>
        <w:rPr>
          <w:rFonts w:hint="cs"/>
          <w:rtl/>
        </w:rPr>
        <w:tab/>
        <w:t>وتجري عمليات الإجهاض التي يشير بها الطبيب في المستشفيات الحكومية.</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ينبغي أن تكفل الدول الأطراف ما يكفي من الحماية والخدمات الصحية للمرأة، بما في ذلك الع</w:t>
      </w:r>
      <w:r w:rsidR="008A0344">
        <w:rPr>
          <w:rFonts w:hint="cs"/>
          <w:rtl/>
        </w:rPr>
        <w:t>ل</w:t>
      </w:r>
      <w:r>
        <w:rPr>
          <w:rFonts w:hint="cs"/>
          <w:rtl/>
        </w:rPr>
        <w:t>اج من الصدمات وتقديم المشورة بشأنها، للمرأة التي تواجه ظروفا جد صعبة، مثل المرأة في حالات الصراع المسلح، واللاجئات.</w:t>
      </w:r>
    </w:p>
    <w:p w:rsidR="00C67DF8" w:rsidRDefault="00C67DF8" w:rsidP="00C67DF8">
      <w:pPr>
        <w:pStyle w:val="SingleTxt"/>
        <w:tabs>
          <w:tab w:val="clear" w:pos="1930"/>
          <w:tab w:val="left" w:pos="2125"/>
        </w:tabs>
        <w:rPr>
          <w:rFonts w:hint="cs"/>
          <w:rtl/>
        </w:rPr>
      </w:pPr>
      <w:r>
        <w:rPr>
          <w:rFonts w:hint="cs"/>
          <w:rtl/>
        </w:rPr>
        <w:t>352 -</w:t>
      </w:r>
      <w:r>
        <w:rPr>
          <w:rFonts w:hint="cs"/>
          <w:rtl/>
        </w:rPr>
        <w:tab/>
        <w:t>جميع المرافق الصحية، ابتدأ من الوحدات الصحية الأساسية وحتى المستشفيات الكبيرة، مجهزة، نظريا، لتوفير العلاج من الصدمات بشكل ما، على الأقل. وفي الوحدة الصحية الأساسية والمركز الصحي الريفي نجد أن الطبيب المناوب مؤهل لتوفير العلاج لجميع مرضى الصدمات، بما في ذلك النساء. غير أن درجة ونوعية العناية المتاحة في هذه المرافق محدودتان. وتوفر عناية أفضل في مستشفيات مراكز المناطق وفي مستشفيات المدن الكبيرة. ويجري عادة تثبيت حالة المرضى المصابين بصدمات شديدة في المرافق البعيدة وإحالتهم بعد ذلك إلى المرافق الطبية الأكبر حجما.</w:t>
      </w:r>
    </w:p>
    <w:p w:rsidR="00C67DF8" w:rsidRDefault="00C67DF8" w:rsidP="008A0344">
      <w:pPr>
        <w:pStyle w:val="SingleTxt"/>
        <w:tabs>
          <w:tab w:val="clear" w:pos="1930"/>
          <w:tab w:val="left" w:pos="2125"/>
        </w:tabs>
        <w:rPr>
          <w:rFonts w:hint="cs"/>
          <w:rtl/>
        </w:rPr>
      </w:pPr>
      <w:r>
        <w:rPr>
          <w:rFonts w:hint="cs"/>
          <w:rtl/>
        </w:rPr>
        <w:t>353 -</w:t>
      </w:r>
      <w:r>
        <w:rPr>
          <w:rFonts w:hint="cs"/>
          <w:rtl/>
        </w:rPr>
        <w:tab/>
        <w:t>ولم يتم إقرار فكرة إسداء المشورة في مؤسسات باكستان حتى الآن. وتتألف الرعاية الصحية، عموما، من العناية بالجوانب البدنية للمشكلة. ولم تحظ الجوانب النفسية بالعناية ذاتها بعد. ويرجع هذا إلى عدة أسباب. فهناك نقص في الأطباء النفسانيين والجمهور غير مستعد لقبول فكرة أنه بحاجة إلى العناية النفسية وقد درب نظام الرعاية الصحية المحمل بإفراط للتركيز على المشاكل الظاهرة بدرجة أ</w:t>
      </w:r>
      <w:r w:rsidR="008A0344">
        <w:rPr>
          <w:rFonts w:hint="cs"/>
          <w:rtl/>
        </w:rPr>
        <w:t>ك</w:t>
      </w:r>
      <w:r>
        <w:rPr>
          <w:rFonts w:hint="cs"/>
          <w:rtl/>
        </w:rPr>
        <w:t>بر.</w:t>
      </w:r>
    </w:p>
    <w:p w:rsidR="00C67DF8" w:rsidRDefault="00C67DF8" w:rsidP="00C67DF8">
      <w:pPr>
        <w:pStyle w:val="SingleTxt"/>
        <w:tabs>
          <w:tab w:val="clear" w:pos="1930"/>
          <w:tab w:val="left" w:pos="2125"/>
        </w:tabs>
        <w:rPr>
          <w:rFonts w:hint="cs"/>
          <w:rtl/>
        </w:rPr>
      </w:pPr>
      <w:r>
        <w:rPr>
          <w:rFonts w:hint="cs"/>
          <w:rtl/>
        </w:rPr>
        <w:t>354 -</w:t>
      </w:r>
      <w:r>
        <w:rPr>
          <w:rFonts w:hint="cs"/>
          <w:rtl/>
        </w:rPr>
        <w:tab/>
        <w:t xml:space="preserve">وتوجد أقسام للطب النفسي في المستشفيات الكبرى وإن كانت هذه الأقسام تقدم العلاج إلى المصابين بأمراض نفسية أكثر مما تقدمه إلى المرضى المصابين بصدمات والمحتاجين إلى العناية النفسية كجزء من العلاج الشامل وخطة إعادة التأهيل. </w:t>
      </w:r>
    </w:p>
    <w:p w:rsidR="00C67DF8" w:rsidRDefault="00C67DF8" w:rsidP="00C67DF8">
      <w:pPr>
        <w:pStyle w:val="SingleTxt"/>
        <w:tabs>
          <w:tab w:val="clear" w:pos="1930"/>
          <w:tab w:val="left" w:pos="2125"/>
        </w:tabs>
        <w:rPr>
          <w:rFonts w:hint="cs"/>
          <w:rtl/>
        </w:rPr>
      </w:pPr>
      <w:r>
        <w:rPr>
          <w:rFonts w:hint="cs"/>
          <w:rtl/>
        </w:rPr>
        <w:t>355 -</w:t>
      </w:r>
      <w:r>
        <w:rPr>
          <w:rFonts w:hint="cs"/>
          <w:rtl/>
        </w:rPr>
        <w:tab/>
        <w:t>وفيما يتصل بالنساء اللاتي تدركهن حالات الصراع المسلح، استضافت باكستان ملايين من اللاجئين الأفغان منذ سنة 1979. ووفرت العناية الطبية للاجئين، وكثير منهم من النساء، بالقدر الممكن. وقد ساعدت في جهود الحكومة المضيفة المنظمات غير الحكومية الأجنبية وهي أكثر تخصصا في التعامل مع هذه الحالات.</w:t>
      </w:r>
    </w:p>
    <w:p w:rsidR="00C67DF8" w:rsidRDefault="00C67DF8" w:rsidP="00C67DF8">
      <w:pPr>
        <w:pStyle w:val="SingleTxt"/>
        <w:tabs>
          <w:tab w:val="clear" w:pos="1930"/>
          <w:tab w:val="left" w:pos="2125"/>
        </w:tabs>
        <w:rPr>
          <w:rFonts w:hint="cs"/>
          <w:rtl/>
        </w:rPr>
      </w:pPr>
      <w:r>
        <w:rPr>
          <w:rFonts w:hint="cs"/>
          <w:rtl/>
        </w:rPr>
        <w:t>356 -</w:t>
      </w:r>
      <w:r>
        <w:rPr>
          <w:rFonts w:hint="cs"/>
          <w:rtl/>
        </w:rPr>
        <w:tab/>
        <w:t>ومن المسلم به بصورة عامة أن الأسلوب الذي اتبعته باكستان في العناية باللاجئين الأفغان يعتبر قدوة للبلدان الأخرى. فقد سحبت باكستان من مخزونها الاستراتيجي للأغذية للمساعدة في إطعام اللاجئين، في وقت من الأوقات.</w:t>
      </w:r>
    </w:p>
    <w:p w:rsidR="00C67DF8" w:rsidRDefault="00C67DF8" w:rsidP="00C67DF8">
      <w:pPr>
        <w:pStyle w:val="SingleTxt"/>
        <w:tabs>
          <w:tab w:val="clear" w:pos="1930"/>
          <w:tab w:val="left" w:pos="2125"/>
        </w:tabs>
        <w:rPr>
          <w:rFonts w:hint="cs"/>
          <w:rtl/>
        </w:rPr>
      </w:pPr>
      <w:r>
        <w:rPr>
          <w:rFonts w:hint="cs"/>
          <w:rtl/>
        </w:rPr>
        <w:t>357 -</w:t>
      </w:r>
      <w:r>
        <w:rPr>
          <w:rFonts w:hint="cs"/>
          <w:rtl/>
        </w:rPr>
        <w:tab/>
        <w:t>وينبغي أن تعمل الدول على تنفيذ استراتيجية وطنية شاملة لتعزيز صحة المرأة طيلة حياتها. ويشمل ذلك عمليات التدخل الرامية إلى الوقاية من الأمراض والحالات التي تؤثر على المرأة وعلاجها، فضلا عن الاستجابة للعنف ضد المرأة، وضمان حصول جميع النساء على مجموعة كاملة من جوانب الرعاية الصحية الجيدة والمعقولة التكلفة، بما في ذلك خدمات الصحة الجنسية والإنجابية.</w:t>
      </w:r>
    </w:p>
    <w:p w:rsidR="00C67DF8" w:rsidRDefault="00C67DF8" w:rsidP="00C67DF8">
      <w:pPr>
        <w:pStyle w:val="SingleTxt"/>
        <w:tabs>
          <w:tab w:val="clear" w:pos="1930"/>
          <w:tab w:val="left" w:pos="2125"/>
        </w:tabs>
        <w:rPr>
          <w:rFonts w:hint="cs"/>
          <w:rtl/>
        </w:rPr>
      </w:pPr>
      <w:r>
        <w:rPr>
          <w:rFonts w:hint="cs"/>
          <w:rtl/>
        </w:rPr>
        <w:t>358 -</w:t>
      </w:r>
      <w:r>
        <w:rPr>
          <w:rFonts w:hint="cs"/>
          <w:rtl/>
        </w:rPr>
        <w:tab/>
        <w:t xml:space="preserve">وتهدف السياسة الوطنية للصحة لسنة 2001 إلى تعزيز صحة المرأة طيلة حياتها. ويعتبر </w:t>
      </w:r>
      <w:r>
        <w:rPr>
          <w:rFonts w:hint="eastAsia"/>
          <w:rtl/>
        </w:rPr>
        <w:t>”تشجيع زيادة التكافؤ بين الجنسين</w:t>
      </w:r>
      <w:r>
        <w:rPr>
          <w:rFonts w:hint="cs"/>
          <w:rtl/>
        </w:rPr>
        <w:t>“ من  المجالات ذات الأولوية العشرة لسياسة الوطنية للصحة. وسيتم تحقيق ذلك من خلال عدة أمور، منها: خدمات الصحة الإنجابية المركزة على المرأة في سن الإنجاب من خلال توفير نهج لدورة حياة في متناولها. وسيكفل ذلك توفير مرافق الأمومة المأمونة لأغلبية الأمهات، مما يعزز معدلات بقاء الأطفال؛ ومرافق رعاية الولادة في حالات الطوارئ التي توفر من خلال إنشاء المستشفيات الصديقة للمرأة</w:t>
      </w:r>
      <w:r>
        <w:rPr>
          <w:rFonts w:hint="eastAsia"/>
          <w:rtl/>
        </w:rPr>
        <w:t>“</w:t>
      </w:r>
      <w:r>
        <w:rPr>
          <w:rFonts w:hint="cs"/>
          <w:rtl/>
        </w:rPr>
        <w:t xml:space="preserve"> في 20 منطقة في باكستان، في إطار مشروع صحة المرأة.</w:t>
      </w:r>
    </w:p>
    <w:p w:rsidR="00C67DF8" w:rsidRDefault="00C67DF8" w:rsidP="008A0344">
      <w:pPr>
        <w:pStyle w:val="SingleTxt"/>
        <w:tabs>
          <w:tab w:val="clear" w:pos="1930"/>
          <w:tab w:val="left" w:pos="2125"/>
        </w:tabs>
        <w:rPr>
          <w:rFonts w:hint="cs"/>
          <w:rtl/>
        </w:rPr>
      </w:pPr>
      <w:r>
        <w:rPr>
          <w:rFonts w:hint="cs"/>
          <w:rtl/>
        </w:rPr>
        <w:t>359 -</w:t>
      </w:r>
      <w:r>
        <w:rPr>
          <w:rFonts w:hint="cs"/>
          <w:rtl/>
        </w:rPr>
        <w:tab/>
        <w:t>وتركز سياسة الصحة، بشكل أساسي، على الجوانب الوقائية للرعاية الصحية، وبذلت جهود للعناية بالاحتياجات الخاصة للن</w:t>
      </w:r>
      <w:r w:rsidR="008A0344">
        <w:rPr>
          <w:rFonts w:hint="cs"/>
          <w:rtl/>
        </w:rPr>
        <w:t>س</w:t>
      </w:r>
      <w:r>
        <w:rPr>
          <w:rFonts w:hint="cs"/>
          <w:rtl/>
        </w:rPr>
        <w:t>ا</w:t>
      </w:r>
      <w:r w:rsidR="008A0344">
        <w:rPr>
          <w:rFonts w:hint="cs"/>
          <w:rtl/>
        </w:rPr>
        <w:t>ء</w:t>
      </w:r>
      <w:r>
        <w:rPr>
          <w:rFonts w:hint="cs"/>
          <w:rtl/>
        </w:rPr>
        <w:t xml:space="preserve"> والفتيات في جميع البرامج التي تنفذ ضمن هذه السياسة.</w:t>
      </w:r>
    </w:p>
    <w:p w:rsidR="00C67DF8" w:rsidRDefault="00C67DF8" w:rsidP="008A0344">
      <w:pPr>
        <w:pStyle w:val="SingleTxt"/>
        <w:tabs>
          <w:tab w:val="clear" w:pos="1930"/>
          <w:tab w:val="left" w:pos="2125"/>
        </w:tabs>
        <w:rPr>
          <w:rFonts w:hint="cs"/>
          <w:rtl/>
        </w:rPr>
      </w:pPr>
      <w:r>
        <w:rPr>
          <w:rFonts w:hint="cs"/>
          <w:rtl/>
        </w:rPr>
        <w:t>360 -</w:t>
      </w:r>
      <w:r>
        <w:rPr>
          <w:rFonts w:hint="cs"/>
          <w:rtl/>
        </w:rPr>
        <w:tab/>
        <w:t xml:space="preserve">وتظل مسألة الرعاية الصحية الجيدة والمعقولة التكلفة تمثل مشكلة. ولا يوجد في باكستان نظام مستقر للتأمين الطبي. وتسعى الحكومة إلى توفير الرعاية الصحية لجميع المواطنين في البلد، عملا بالمادة 38 من الدستور. وتمول الدولة كامل الهياكل الأساسية الصحية للقطاع العام من مواردها الخاصة. ويوفر العلاج بالمجان تقريبا لجميع المواطنين الذين </w:t>
      </w:r>
      <w:proofErr w:type="spellStart"/>
      <w:r>
        <w:rPr>
          <w:rFonts w:hint="cs"/>
          <w:rtl/>
        </w:rPr>
        <w:t>يلجأون</w:t>
      </w:r>
      <w:proofErr w:type="spellEnd"/>
      <w:r>
        <w:rPr>
          <w:rFonts w:hint="cs"/>
          <w:rtl/>
        </w:rPr>
        <w:t xml:space="preserve"> إلى هذا النظام. ويسير هذا الأمر، بصورة جيدة، في حالة </w:t>
      </w:r>
      <w:proofErr w:type="spellStart"/>
      <w:r>
        <w:rPr>
          <w:rFonts w:hint="cs"/>
          <w:rtl/>
        </w:rPr>
        <w:t>الوعكات</w:t>
      </w:r>
      <w:proofErr w:type="spellEnd"/>
      <w:r>
        <w:rPr>
          <w:rFonts w:hint="cs"/>
          <w:rtl/>
        </w:rPr>
        <w:t xml:space="preserve"> الخفيفة التي يمكن علاجها بالعقاقير العادية مثل الأدوية المزيلة للآلام </w:t>
      </w:r>
      <w:proofErr w:type="spellStart"/>
      <w:r>
        <w:rPr>
          <w:rFonts w:hint="cs"/>
          <w:rtl/>
        </w:rPr>
        <w:t>والمضدات</w:t>
      </w:r>
      <w:proofErr w:type="spellEnd"/>
      <w:r>
        <w:rPr>
          <w:rFonts w:hint="cs"/>
          <w:rtl/>
        </w:rPr>
        <w:t xml:space="preserve"> الحيوية العادية وما إلى ذلك. غير أن المواطن العادي لا يتكبد التكاليف التي يمكن أن تكون مرتفعة للغاية مع زيادة حدة المرض أو الإصابة. وهذه التكاليف لا ترجع، عموما، إلى رسوم المستشفى أو شغل السرير أو أتعاب الطبيب. فأهم التكاليف هي الأدوية والمعدات الجراحية في حالة الإجراءات الجراحية. وليس لدى الدولة الموارد الكافية لتوفير الأدوية المرتفعة التكاليف لجميع المحتاجين إليها. وبذلك، توفر الدولة، حاليا، الاستشارات الطبية والإقامة في المستشفيات، شبه المجانية، والعمليات الجراحية وما يصحبها من متطلبات بما يشمل الطبيب الجراح وطبيب التخدير </w:t>
      </w:r>
      <w:proofErr w:type="spellStart"/>
      <w:r>
        <w:rPr>
          <w:rFonts w:hint="cs"/>
          <w:rtl/>
        </w:rPr>
        <w:t>والأوكسيجين</w:t>
      </w:r>
      <w:proofErr w:type="spellEnd"/>
      <w:r>
        <w:rPr>
          <w:rFonts w:hint="cs"/>
          <w:rtl/>
        </w:rPr>
        <w:t xml:space="preserve"> والمخدر ومرافق الشفاء اللاحقة للجراحة وما إلى ذلك. وتوفر بعض اللوازم الجراحية الأساسية مثل الخيوط الجراحية وما إلى ذلك. غير أن المريض عليه أن يوفر اللوازم الغالية الثمن مثل الأربطة المتخصصة والمسامير والصفائح المعدنية لجراحات العظام، وأحدث </w:t>
      </w:r>
      <w:proofErr w:type="spellStart"/>
      <w:r>
        <w:rPr>
          <w:rFonts w:hint="cs"/>
          <w:rtl/>
        </w:rPr>
        <w:t>المضدات</w:t>
      </w:r>
      <w:proofErr w:type="spellEnd"/>
      <w:r>
        <w:rPr>
          <w:rFonts w:hint="cs"/>
          <w:rtl/>
        </w:rPr>
        <w:t xml:space="preserve"> الحيوية وما إلى ذلك. وتقدم مرافق الأشعة، عامة، الأشعة السينية والأشعة الصوتية (</w:t>
      </w:r>
      <w:proofErr w:type="spellStart"/>
      <w:r>
        <w:rPr>
          <w:rFonts w:hint="cs"/>
          <w:rtl/>
        </w:rPr>
        <w:t>السونوغرام</w:t>
      </w:r>
      <w:proofErr w:type="spellEnd"/>
      <w:r>
        <w:rPr>
          <w:rFonts w:hint="cs"/>
          <w:rtl/>
        </w:rPr>
        <w:t xml:space="preserve">) بالمجان أيضا أو برسوم رمزية وإن كانت هناك قائمة انتظار طويلة لهذه التسهيلات. وبالمثل، تقدم معظم الخدمات الباثولوجية مثل تحاليل الدم بالمجان أو بتكاليف رمزية. غير أن على المريض أن يدفع تكاليف التحاليل الأكثر تعقيدا، وعليه أيضا إجراؤها في مختبرات باثولوجية خاصة. </w:t>
      </w:r>
    </w:p>
    <w:p w:rsidR="00C67DF8" w:rsidRDefault="00C67DF8" w:rsidP="00C67DF8">
      <w:pPr>
        <w:pStyle w:val="SingleTxt"/>
        <w:tabs>
          <w:tab w:val="clear" w:pos="1930"/>
          <w:tab w:val="left" w:pos="2125"/>
        </w:tabs>
        <w:rPr>
          <w:rFonts w:hint="cs"/>
          <w:rtl/>
        </w:rPr>
      </w:pPr>
      <w:r>
        <w:rPr>
          <w:rFonts w:hint="cs"/>
          <w:rtl/>
        </w:rPr>
        <w:t>361 -</w:t>
      </w:r>
      <w:r>
        <w:rPr>
          <w:rFonts w:hint="cs"/>
          <w:rtl/>
        </w:rPr>
        <w:tab/>
        <w:t>ولا يوجد تمييز بين الرجال والنساء بالنسبة للحصول على العلاج المتوفر في المستشفيات الحكومية. غير أن هناك حالات يكون لرجال الأسرة فيها دور كبير في تقرير متى تنقل المرأة إلى المستشفى. وأهم اعتبار في هذه الحالات هو عدم وجود طبيبة.</w:t>
      </w:r>
    </w:p>
    <w:p w:rsidR="00C67DF8" w:rsidRDefault="00C67DF8" w:rsidP="00C67DF8">
      <w:pPr>
        <w:pStyle w:val="SingleTxt"/>
        <w:tabs>
          <w:tab w:val="clear" w:pos="1930"/>
          <w:tab w:val="left" w:pos="2125"/>
        </w:tabs>
        <w:rPr>
          <w:rFonts w:hint="cs"/>
          <w:rtl/>
        </w:rPr>
      </w:pPr>
      <w:r>
        <w:rPr>
          <w:rFonts w:hint="cs"/>
          <w:rtl/>
        </w:rPr>
        <w:t>362 -</w:t>
      </w:r>
      <w:r>
        <w:rPr>
          <w:rFonts w:hint="cs"/>
          <w:rtl/>
        </w:rPr>
        <w:tab/>
        <w:t xml:space="preserve">وهناك مرافق منفصلة للنساء في أهم المرافق الصحية الحكومية. وتوجد عنابر للولادة ولأمراض النساء في أغلب المستشفيات الكبرى. وهناك زائرات </w:t>
      </w:r>
      <w:proofErr w:type="spellStart"/>
      <w:r>
        <w:rPr>
          <w:rFonts w:hint="cs"/>
          <w:rtl/>
        </w:rPr>
        <w:t>صحيات</w:t>
      </w:r>
      <w:proofErr w:type="spellEnd"/>
      <w:r>
        <w:rPr>
          <w:rFonts w:hint="cs"/>
          <w:rtl/>
        </w:rPr>
        <w:t xml:space="preserve"> في أغلب الوحدات الصحية الأساسية والمراكز الصحية الريفية التي توفر الخدمات مجانا، بصورة عامة.</w:t>
      </w:r>
    </w:p>
    <w:p w:rsidR="00C67DF8" w:rsidRPr="007A1C58"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ينبغي أن تخصص الدول الأطراف ميزانية وموارد إدارية وبشرية كافية للتأكد من أن الرعاية الصحية التي تتلقاها المرأة تحظى بنصيب من الميزانية الصحية العامة مماثل لنصيب الرعاية الصحية التي يتلقاها الرجل، على أن توضع في الاعتبار الاحتياجات الصحية المختلفة لكل منهما</w:t>
      </w:r>
    </w:p>
    <w:p w:rsidR="00C67DF8" w:rsidRDefault="00C67DF8" w:rsidP="00C67DF8">
      <w:pPr>
        <w:pStyle w:val="SingleTxt"/>
        <w:tabs>
          <w:tab w:val="clear" w:pos="1930"/>
          <w:tab w:val="left" w:pos="2125"/>
        </w:tabs>
        <w:rPr>
          <w:rFonts w:hint="cs"/>
          <w:rtl/>
        </w:rPr>
      </w:pPr>
      <w:r>
        <w:rPr>
          <w:rFonts w:hint="cs"/>
          <w:rtl/>
        </w:rPr>
        <w:t>363 -</w:t>
      </w:r>
      <w:r>
        <w:rPr>
          <w:rFonts w:hint="cs"/>
          <w:rtl/>
        </w:rPr>
        <w:tab/>
        <w:t>يعتبر الإنفاق العام والخاص على الصحة ف</w:t>
      </w:r>
      <w:r w:rsidR="008A0344">
        <w:rPr>
          <w:rFonts w:hint="cs"/>
          <w:rtl/>
        </w:rPr>
        <w:t>ي باكستان منخفضا. غير أن هذا الإ</w:t>
      </w:r>
      <w:r>
        <w:rPr>
          <w:rFonts w:hint="cs"/>
          <w:rtl/>
        </w:rPr>
        <w:t>نفاق تزايد بصورة مطردة على مر السنين، بالقيمة المطلقة، إن لم يكن من حيث النسبة المئوي</w:t>
      </w:r>
      <w:r w:rsidR="008A0344">
        <w:rPr>
          <w:rFonts w:hint="cs"/>
          <w:rtl/>
        </w:rPr>
        <w:t>ة</w:t>
      </w:r>
      <w:r>
        <w:rPr>
          <w:rFonts w:hint="cs"/>
          <w:rtl/>
        </w:rPr>
        <w:t xml:space="preserve"> من الناتج القومي الإجمالي. وخلال الفترة 2002-2003، قدرت النفقات الإجمالية للصحة بنحو 28.814 بليون </w:t>
      </w:r>
      <w:proofErr w:type="spellStart"/>
      <w:r>
        <w:rPr>
          <w:rFonts w:hint="cs"/>
          <w:rtl/>
        </w:rPr>
        <w:t>روبيه</w:t>
      </w:r>
      <w:proofErr w:type="spellEnd"/>
      <w:r>
        <w:rPr>
          <w:rFonts w:hint="cs"/>
          <w:rtl/>
        </w:rPr>
        <w:t xml:space="preserve"> (منها 6.609 بليون روبية لنفقات التنمية و22.205 بليون روبية للنفقات المتكررة) بزيادة 13.4 في المائة عن السنة السابقة مما يمثل 0.7 في المائة من الناتــــج القومي الإجمالي. وكانت النفقات الإجمالية للصحـــة في الفترة 2003-2004 805 32 مليون روبية، تمثل 0.84 في المائة من الناتج القومي الإجمالي، بزيادة 13.8 في المائة عن السنة السابقة.</w:t>
      </w:r>
    </w:p>
    <w:p w:rsidR="00C67DF8" w:rsidRDefault="00C67DF8" w:rsidP="00C67DF8">
      <w:pPr>
        <w:pStyle w:val="SingleTxt"/>
        <w:tabs>
          <w:tab w:val="clear" w:pos="1930"/>
          <w:tab w:val="left" w:pos="2125"/>
        </w:tabs>
        <w:rPr>
          <w:rFonts w:hint="cs"/>
          <w:rtl/>
        </w:rPr>
      </w:pPr>
      <w:r>
        <w:rPr>
          <w:rFonts w:hint="cs"/>
          <w:rtl/>
        </w:rPr>
        <w:t>464 -</w:t>
      </w:r>
      <w:r>
        <w:rPr>
          <w:rFonts w:hint="cs"/>
          <w:rtl/>
        </w:rPr>
        <w:tab/>
        <w:t xml:space="preserve">ولا تتوفر بيانات محددة عن قيمة الميزانية الصحية المخصصة للمرأة أو المتاحة لها. غير أنه يمكن القول بأنها نصف الميزانية كلها، إن لم يكن أكثر، على الأرجح. وسبب ذلك هو أن جميع المرافق التي يوفرها نظام الرعاية الصحية الحكومي متاحة للرجال والنساء على السواء. وعلى سبيل المثال، لا يوجد تمييز بين الرجال والنساء من حيث الوقت والجهد الذي يخصصه الطبيب المعين في وحدة صحية أساسية لكل منهما. فالطبيب يفحص جميع المرضى القادمين إلى الوحدة ويقدم العلاج للجميع، بالقدر الممكن، بصرف النظر عن نوع الجنس. وبالإضافة إلى الخدمات التي تقدمها جميع مرافق الرعاية الصحية، أنشأت الحكومة أيضا، مرافق منفصلة للولادة وأمراض النساء ومراكز لرعاية الأم والطفل بها عاملات </w:t>
      </w:r>
      <w:proofErr w:type="spellStart"/>
      <w:r>
        <w:rPr>
          <w:rFonts w:hint="cs"/>
          <w:rtl/>
        </w:rPr>
        <w:t>صحيات</w:t>
      </w:r>
      <w:proofErr w:type="spellEnd"/>
      <w:r>
        <w:rPr>
          <w:rFonts w:hint="cs"/>
          <w:rtl/>
        </w:rPr>
        <w:t xml:space="preserve"> وما إلى ذلك. فالمسألة الرئيسية ليست تكافؤ التوزيع، على ما يبدو، بل محدودية الموارد المتاحة لتوفير الرعاية الصحية للسكان.</w:t>
      </w:r>
    </w:p>
    <w:p w:rsidR="00C67DF8" w:rsidRDefault="00C67DF8" w:rsidP="00C67DF8">
      <w:pPr>
        <w:pStyle w:val="SingleTxt"/>
        <w:tabs>
          <w:tab w:val="clear" w:pos="1930"/>
          <w:tab w:val="left" w:pos="2125"/>
        </w:tabs>
        <w:rPr>
          <w:rFonts w:hint="cs"/>
          <w:rtl/>
        </w:rPr>
      </w:pPr>
      <w:r>
        <w:rPr>
          <w:rFonts w:hint="cs"/>
          <w:rtl/>
        </w:rPr>
        <w:t>365 -</w:t>
      </w:r>
      <w:r>
        <w:rPr>
          <w:rFonts w:hint="cs"/>
          <w:rtl/>
        </w:rPr>
        <w:tab/>
        <w:t xml:space="preserve">ينبغي أن تضع الدول الأطراف منظورا </w:t>
      </w:r>
      <w:proofErr w:type="spellStart"/>
      <w:r>
        <w:rPr>
          <w:rFonts w:hint="cs"/>
          <w:rtl/>
        </w:rPr>
        <w:t>جنسانيا</w:t>
      </w:r>
      <w:proofErr w:type="spellEnd"/>
      <w:r>
        <w:rPr>
          <w:rFonts w:hint="cs"/>
          <w:rtl/>
        </w:rPr>
        <w:t xml:space="preserve"> في صميم سياساتها وبرامجها التي توثر في صحة المرأة، وأن تشرك المرأة في التخطيط لهذه السياسات والبرامج وتنفيذها ورصدها، وفي توفير الخدمات الصحية للمرأة.</w:t>
      </w:r>
    </w:p>
    <w:p w:rsidR="00C67DF8" w:rsidRDefault="00C67DF8" w:rsidP="00C67DF8">
      <w:pPr>
        <w:pStyle w:val="SingleTxt"/>
        <w:tabs>
          <w:tab w:val="clear" w:pos="1930"/>
          <w:tab w:val="left" w:pos="2125"/>
        </w:tabs>
        <w:rPr>
          <w:rFonts w:hint="cs"/>
          <w:rtl/>
        </w:rPr>
      </w:pPr>
      <w:r>
        <w:rPr>
          <w:rFonts w:hint="cs"/>
          <w:rtl/>
        </w:rPr>
        <w:t>366 -</w:t>
      </w:r>
      <w:r>
        <w:rPr>
          <w:rFonts w:hint="cs"/>
          <w:rtl/>
        </w:rPr>
        <w:tab/>
        <w:t>لا يبدو أن هناك تمييزا بين النساء والرجال من حيث الخدمات التي توفرها الدولة. غير أن هذا لا يعني وضع منظور جنساني في صميم السياسات والبرامج التي تؤثر على صحة المرأة. ولا يوجد أيضا آلية مؤسسية تكفل إشراك المرأة في التخطيط لهذه السياسات والبرامج وتنفيذها ورصدها. بيد أن قطاع الصحة به تمثيل أفضل نسبيا للمرأة من أغلب القطاعات الأخرى في باكستان، ومن المحتمل وجود بعض التمثيل على الأقل في مجال صياغة هذه السياسات وتنفيذها.</w:t>
      </w:r>
    </w:p>
    <w:p w:rsidR="00C67DF8" w:rsidRDefault="00C67DF8" w:rsidP="008A0344">
      <w:pPr>
        <w:pStyle w:val="SingleTxt"/>
        <w:tabs>
          <w:tab w:val="clear" w:pos="1930"/>
          <w:tab w:val="left" w:pos="2125"/>
        </w:tabs>
        <w:rPr>
          <w:rFonts w:hint="cs"/>
          <w:rtl/>
        </w:rPr>
      </w:pPr>
      <w:r>
        <w:rPr>
          <w:rFonts w:hint="cs"/>
          <w:rtl/>
        </w:rPr>
        <w:t>367 -</w:t>
      </w:r>
      <w:r>
        <w:rPr>
          <w:rFonts w:hint="cs"/>
          <w:rtl/>
        </w:rPr>
        <w:tab/>
        <w:t>تكفل الدول الأطراف إزالة جميع الحواجز التي تعوق حصول المرأة على الخدمات الصحية والتعليم والمعلومات في جميع المجالات بما في ذلك مجال الصحة الجنسية والإنجابية، وبصفة خاصة، تخصيص موارد للبرامج الموجهة إلى المراهقات لمنع وعلاج الأمراض المنقولة بالاتصال الجنسي، بما فيما فيروس نقص المناعة البشرية/متلازمة نقص المناعة المكتب (الإيدز).</w:t>
      </w:r>
    </w:p>
    <w:p w:rsidR="00C67DF8" w:rsidRDefault="00C67DF8" w:rsidP="00C67DF8">
      <w:pPr>
        <w:pStyle w:val="SingleTxt"/>
        <w:tabs>
          <w:tab w:val="clear" w:pos="1930"/>
          <w:tab w:val="left" w:pos="2125"/>
        </w:tabs>
        <w:rPr>
          <w:rFonts w:hint="cs"/>
          <w:rtl/>
        </w:rPr>
      </w:pPr>
      <w:r>
        <w:rPr>
          <w:rFonts w:hint="cs"/>
          <w:rtl/>
        </w:rPr>
        <w:t>368 -</w:t>
      </w:r>
      <w:r>
        <w:rPr>
          <w:rFonts w:hint="cs"/>
          <w:rtl/>
        </w:rPr>
        <w:tab/>
        <w:t>تهدف السياسة الوطنية للصحة إلى زيادة وصول المرأة إلى نظام الصحة. ولكن هناك، مع ذلك، مواقف اجتماعية تحول أحيانا دون حصول المرأة على الرعاية الصحية في المناطق النائية والمتخلفة. وفي هذه الظروف تتمثل الجهود التي تبذلها الأسرة في توفير العلاج في المنزل، ما لم تكن المرأة مريضة جدا. وفي بعض الأحوال تمنع المرأة من اللجوء إلى نظام الرعاية الصحية نظرا لعدم وجود طبيبة. وتحاول السياسة الصحية التصدي لهذه المسألة. أما مسألة حرية الحركة فسوف تحتاج معالجتها إلى مزيد من الوقت.</w:t>
      </w:r>
    </w:p>
    <w:p w:rsidR="00C67DF8" w:rsidRDefault="00C67DF8" w:rsidP="008A0344">
      <w:pPr>
        <w:pStyle w:val="SingleTxt"/>
        <w:tabs>
          <w:tab w:val="clear" w:pos="1930"/>
          <w:tab w:val="left" w:pos="2125"/>
        </w:tabs>
        <w:rPr>
          <w:rFonts w:hint="cs"/>
          <w:rtl/>
        </w:rPr>
      </w:pPr>
      <w:r>
        <w:rPr>
          <w:rFonts w:hint="cs"/>
          <w:rtl/>
        </w:rPr>
        <w:t>369 -</w:t>
      </w:r>
      <w:r>
        <w:rPr>
          <w:rFonts w:hint="cs"/>
          <w:rtl/>
        </w:rPr>
        <w:tab/>
        <w:t xml:space="preserve">وأهم الحواجز في سبيل الحصول على المعلومات عن المسائل الصحية، بما في ذلك الصحة الإنجابية هي الأمية. ومن المتوقع أن توفر جميع مراكز رعاية صحة </w:t>
      </w:r>
      <w:r w:rsidR="008A0344">
        <w:rPr>
          <w:rFonts w:hint="cs"/>
          <w:rtl/>
        </w:rPr>
        <w:t>الأ</w:t>
      </w:r>
      <w:r>
        <w:rPr>
          <w:rFonts w:hint="cs"/>
          <w:rtl/>
        </w:rPr>
        <w:t>م والطفل معلومات عن الصحة الجنسية والإنجابية وخاصة عن منع الحمل، إلى النساء القادمات إليها. وتقدم أيضا معلومات عن منع الحمل إلى جميع النساء القادمات إلى هذه المراكز في زيارات ما قبل الولادة وبعدها.</w:t>
      </w:r>
    </w:p>
    <w:p w:rsidR="00C67DF8" w:rsidRDefault="00C67DF8" w:rsidP="00C67DF8">
      <w:pPr>
        <w:pStyle w:val="SingleTxt"/>
        <w:tabs>
          <w:tab w:val="clear" w:pos="1930"/>
          <w:tab w:val="left" w:pos="2125"/>
        </w:tabs>
        <w:rPr>
          <w:rFonts w:hint="cs"/>
          <w:rtl/>
        </w:rPr>
      </w:pPr>
      <w:r>
        <w:rPr>
          <w:rFonts w:hint="cs"/>
          <w:rtl/>
        </w:rPr>
        <w:t>370 -</w:t>
      </w:r>
      <w:r>
        <w:rPr>
          <w:rFonts w:hint="cs"/>
          <w:rtl/>
        </w:rPr>
        <w:tab/>
        <w:t xml:space="preserve">بالنسبة لتخصيص الموارد للبرامج الموجهة </w:t>
      </w:r>
      <w:r w:rsidR="008A0344">
        <w:rPr>
          <w:rFonts w:hint="cs"/>
          <w:rtl/>
        </w:rPr>
        <w:t>ل</w:t>
      </w:r>
      <w:r>
        <w:rPr>
          <w:rFonts w:hint="cs"/>
          <w:rtl/>
        </w:rPr>
        <w:t>لمراهقات لمنع وعلاج الأمراض المنقولة بالاتصال الجنسي بما فيها فيروس نقص المناعة البشرية/متلازمة نقص المناعة المكتسب فالمسألة أصعب. وتعتبر ممارسة الجنس محرمة قبل الزواج في المجتمع الباكستاني، ولذلك، من الصعب تناول مسألة برامج علاج الأمراض المنقولة بالاتصال الجنسي للمراهقات. ومع ذلك، يتاح العلاج الطبي للأمراض المنقولة بالاتصال الجنسي للجميع، لا كبرنامج محدد وإنما كجزء من الخدمات العادية التي توفرها الدولة.</w:t>
      </w:r>
    </w:p>
    <w:p w:rsidR="00C67DF8" w:rsidRPr="00AD1CF1"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مراقبة أنشطة المنظمات العامة وغير الحكومية والخاصة التي تقدم خدمات صحية للمرأة للتأكد من تكافؤ فرص الوصول إلى الرعاية الصحية ونوعية هذه الرعاية</w:t>
      </w:r>
    </w:p>
    <w:p w:rsidR="00C67DF8" w:rsidRDefault="00C67DF8" w:rsidP="00C67DF8">
      <w:pPr>
        <w:pStyle w:val="SingleTxt"/>
        <w:tabs>
          <w:tab w:val="clear" w:pos="1930"/>
          <w:tab w:val="left" w:pos="2228"/>
        </w:tabs>
        <w:rPr>
          <w:rFonts w:hint="cs"/>
          <w:rtl/>
        </w:rPr>
      </w:pPr>
      <w:r>
        <w:rPr>
          <w:rFonts w:hint="cs"/>
          <w:rtl/>
        </w:rPr>
        <w:t>371 -</w:t>
      </w:r>
      <w:r>
        <w:rPr>
          <w:rFonts w:hint="cs"/>
          <w:rtl/>
        </w:rPr>
        <w:tab/>
        <w:t>يوجد نظام خاص واسع النطاق للرعاية الصحية. ويتكلف أكثر كثيرا ويخدم القطاعات المتيسرة من المجتمع الباكستاني أو الذين لا يثقون في النظام الذي توفره الدولة. ومسألة مراقبة هذا النظام مسألة معقدة. وبصورة عامة، يعتبر هذا النظام أفضل من نظام الرعاية الصحية الذي توفره الدولة. ولكن لا يبدو أن هناك دراسة موضوعية بشأن هذه المسألة.</w:t>
      </w:r>
    </w:p>
    <w:p w:rsidR="00C67DF8" w:rsidRDefault="00C67DF8" w:rsidP="008A0344">
      <w:pPr>
        <w:pStyle w:val="SingleTxt"/>
        <w:tabs>
          <w:tab w:val="clear" w:pos="1930"/>
          <w:tab w:val="left" w:pos="2228"/>
        </w:tabs>
        <w:rPr>
          <w:rFonts w:hint="cs"/>
          <w:rtl/>
        </w:rPr>
      </w:pPr>
      <w:r>
        <w:rPr>
          <w:rFonts w:hint="cs"/>
          <w:rtl/>
        </w:rPr>
        <w:t>372 -</w:t>
      </w:r>
      <w:r>
        <w:rPr>
          <w:rFonts w:hint="cs"/>
          <w:rtl/>
        </w:rPr>
        <w:tab/>
        <w:t>يوجد عدد كبير من الأطباء في النظام الخاص هم نفسهم العاملين في النظام الحكومي للرعاية الصحية أيضا. ويعمل هؤلاء الأطباء في العيادات والمستشفيات الخاصة في وقت فراغهم. وه</w:t>
      </w:r>
      <w:r w:rsidR="008A0344">
        <w:rPr>
          <w:rFonts w:hint="cs"/>
          <w:rtl/>
        </w:rPr>
        <w:t>ذ</w:t>
      </w:r>
      <w:r>
        <w:rPr>
          <w:rFonts w:hint="cs"/>
          <w:rtl/>
        </w:rPr>
        <w:t>ا ينطبق على قدامى الأطباء، بصورة خاصة. ويفترض أن المستشفيات الخاصة لديها موظفون طبيون ومرافق عمرانية أفضل.</w:t>
      </w:r>
    </w:p>
    <w:p w:rsidR="00C67DF8" w:rsidRDefault="00C67DF8" w:rsidP="00C67DF8">
      <w:pPr>
        <w:pStyle w:val="SingleTxt"/>
        <w:tabs>
          <w:tab w:val="clear" w:pos="1930"/>
          <w:tab w:val="left" w:pos="2228"/>
        </w:tabs>
        <w:rPr>
          <w:rFonts w:hint="cs"/>
          <w:rtl/>
        </w:rPr>
      </w:pPr>
      <w:r>
        <w:rPr>
          <w:rFonts w:hint="cs"/>
          <w:rtl/>
        </w:rPr>
        <w:t>373 -</w:t>
      </w:r>
      <w:r>
        <w:rPr>
          <w:rFonts w:hint="cs"/>
          <w:rtl/>
        </w:rPr>
        <w:tab/>
        <w:t xml:space="preserve">والمعيار الوحيد للحصول على خدمات هذا </w:t>
      </w:r>
      <w:r w:rsidR="008A0344">
        <w:rPr>
          <w:rFonts w:hint="cs"/>
          <w:rtl/>
        </w:rPr>
        <w:t>النظام هو القدرة على الدفع. ولا</w:t>
      </w:r>
      <w:r w:rsidR="008A0344">
        <w:rPr>
          <w:rFonts w:hint="eastAsia"/>
          <w:rtl/>
        </w:rPr>
        <w:t> </w:t>
      </w:r>
      <w:r>
        <w:rPr>
          <w:rFonts w:hint="cs"/>
          <w:rtl/>
        </w:rPr>
        <w:t>يعتبر نوع الجنس مسألة ذات أهمية.</w:t>
      </w:r>
    </w:p>
    <w:p w:rsidR="00C67DF8" w:rsidRPr="003015F2" w:rsidRDefault="00C67DF8" w:rsidP="00C67DF8">
      <w:pPr>
        <w:pStyle w:val="SingleTxt"/>
        <w:tabs>
          <w:tab w:val="clear" w:pos="1930"/>
          <w:tab w:val="left" w:pos="2228"/>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تقتضي الدول الأطراف أن تكون جميع الخدمات الصحية مطابقة للحقوق الإنسانية للمرأة، بما فيها حقوقها في الاستقلال الذاتي، والخصوصية، والسرية، والموافقة الواعية، والاختيار</w:t>
      </w:r>
    </w:p>
    <w:p w:rsidR="00C67DF8" w:rsidRDefault="00C67DF8" w:rsidP="00C67DF8">
      <w:pPr>
        <w:pStyle w:val="SingleTxt"/>
        <w:tabs>
          <w:tab w:val="clear" w:pos="1930"/>
          <w:tab w:val="left" w:pos="2125"/>
        </w:tabs>
        <w:rPr>
          <w:rFonts w:hint="cs"/>
          <w:rtl/>
        </w:rPr>
      </w:pPr>
      <w:r>
        <w:rPr>
          <w:rFonts w:hint="cs"/>
          <w:rtl/>
        </w:rPr>
        <w:t>374 -</w:t>
      </w:r>
      <w:r>
        <w:rPr>
          <w:rFonts w:hint="cs"/>
          <w:rtl/>
        </w:rPr>
        <w:tab/>
        <w:t>يفترض أن يحظى جميع المرضى بالخصوصية والسرية والموافقة الواعية، بصرف النظر عن نوع الجنس. وعلى سبيل المثال، لا يجوز إجراء عملية جراحية لمريض بدون موافقته. فإذا كانت حالة المريض لا تسمح بالحصول على موافقته، يجب الحصول على موافقة الزوج أو أقرب الأقارب.</w:t>
      </w:r>
    </w:p>
    <w:p w:rsidR="00C67DF8" w:rsidRDefault="00C67DF8" w:rsidP="00C67DF8">
      <w:pPr>
        <w:pStyle w:val="SingleTxt"/>
        <w:tabs>
          <w:tab w:val="clear" w:pos="1930"/>
          <w:tab w:val="left" w:pos="2125"/>
        </w:tabs>
        <w:rPr>
          <w:rFonts w:hint="cs"/>
          <w:rtl/>
        </w:rPr>
      </w:pPr>
      <w:r>
        <w:rPr>
          <w:rFonts w:hint="cs"/>
          <w:rtl/>
        </w:rPr>
        <w:t>375 -</w:t>
      </w:r>
      <w:r>
        <w:rPr>
          <w:rFonts w:hint="cs"/>
          <w:rtl/>
        </w:rPr>
        <w:tab/>
        <w:t>وتحتاج مسألة الاستقلال الذاتي والاختيار إلى مزيد من الإيضاح. فبالنسبة لأي تدخل طبي أو جراحي، فإن للمرأة نفس الحق الذي يتمتع به الرجل في طلبه أو رفضه. وتتم بعض الإجراءات الجراحية، مثل ربط القنوات بموافقة مشتركة من الزوجة والزوج، وفقا للممارسة السائدة.</w:t>
      </w:r>
    </w:p>
    <w:p w:rsidR="00C67DF8" w:rsidRPr="004578CD"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التأكد من أن مناهج تدريب العاملين الصحيين تتضمن دورات دراسية شاملة وإلزامية، تراعي الفوارق بين الجنسين وتتناول صحة المرأة وحقوقها، لا سيما العنف القائم على أساس الجنس.</w:t>
      </w:r>
    </w:p>
    <w:p w:rsidR="00C67DF8" w:rsidRDefault="00C67DF8" w:rsidP="00C67DF8">
      <w:pPr>
        <w:pStyle w:val="SingleTxt"/>
        <w:tabs>
          <w:tab w:val="clear" w:pos="1930"/>
          <w:tab w:val="left" w:pos="2125"/>
        </w:tabs>
        <w:rPr>
          <w:rFonts w:hint="cs"/>
          <w:rtl/>
        </w:rPr>
      </w:pPr>
      <w:r>
        <w:rPr>
          <w:rFonts w:hint="cs"/>
          <w:rtl/>
        </w:rPr>
        <w:t>376 -</w:t>
      </w:r>
      <w:r>
        <w:rPr>
          <w:rFonts w:hint="cs"/>
          <w:rtl/>
        </w:rPr>
        <w:tab/>
        <w:t>يتضمن منهج تدريب طلبة الطب دورات عن صحة المرأة في سياق العنف القائم على أساس الجنس، في الطب الشرعي والطب المجتمعي. ويمكن اعتبار هذه المناهج شاملة وإن كان من المحتمل مواصلة توسيع نطاقها وزيادة جوانب وعيها بالفوارق بين الجنسين. وهذه الدورات إلزامية أي</w:t>
      </w:r>
      <w:r w:rsidR="008A0344">
        <w:rPr>
          <w:rFonts w:hint="cs"/>
          <w:rtl/>
        </w:rPr>
        <w:t>ض</w:t>
      </w:r>
      <w:r>
        <w:rPr>
          <w:rFonts w:hint="cs"/>
          <w:rtl/>
        </w:rPr>
        <w:t>ا وعلى الطالب النجاح في المادتين حتى يصبح طبيبا. غير أنه يلزم دعم هذه الدورات من منظور حقوق الإنسان.</w:t>
      </w:r>
    </w:p>
    <w:p w:rsidR="00C67DF8" w:rsidRDefault="00C67DF8" w:rsidP="00C67DF8">
      <w:pPr>
        <w:pStyle w:val="SingleTxt"/>
        <w:tabs>
          <w:tab w:val="clear" w:pos="1930"/>
          <w:tab w:val="left" w:pos="2125"/>
        </w:tabs>
        <w:rPr>
          <w:rFonts w:hint="cs"/>
          <w:rtl/>
        </w:rPr>
      </w:pPr>
      <w:r>
        <w:rPr>
          <w:rFonts w:hint="cs"/>
          <w:rtl/>
        </w:rPr>
        <w:t>377 -</w:t>
      </w:r>
      <w:r>
        <w:rPr>
          <w:rFonts w:hint="cs"/>
          <w:rtl/>
        </w:rPr>
        <w:tab/>
        <w:t>ويلزم إدماج هاتين المادتين في المناهج الدراسية للقائمين بالتمريض وغيرهم من العاملين في مجال الرعاية الصحية، بمزيد من التفصيل.</w:t>
      </w:r>
    </w:p>
    <w:p w:rsidR="00C67DF8" w:rsidRPr="00030582"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كفالة إجراءات تتسم بالإنصاف وتوفر الحماية للنظر في الشكاوى وفرض الجزاءات المناسبة على المهنيين العاملين في مجال الرعاية الصحية الذين يعتدون جنسيا على النساء المريضات</w:t>
      </w:r>
    </w:p>
    <w:p w:rsidR="00C67DF8" w:rsidRDefault="00C67DF8" w:rsidP="008A0344">
      <w:pPr>
        <w:pStyle w:val="SingleTxt"/>
        <w:tabs>
          <w:tab w:val="clear" w:pos="1930"/>
          <w:tab w:val="left" w:pos="2125"/>
        </w:tabs>
        <w:rPr>
          <w:rFonts w:hint="cs"/>
          <w:rtl/>
        </w:rPr>
      </w:pPr>
      <w:r>
        <w:rPr>
          <w:rFonts w:hint="cs"/>
          <w:rtl/>
        </w:rPr>
        <w:t>378 -</w:t>
      </w:r>
      <w:r>
        <w:rPr>
          <w:rFonts w:hint="cs"/>
          <w:rtl/>
        </w:rPr>
        <w:tab/>
        <w:t xml:space="preserve">لا توجد معلومات </w:t>
      </w:r>
      <w:proofErr w:type="spellStart"/>
      <w:r>
        <w:rPr>
          <w:rFonts w:hint="cs"/>
          <w:rtl/>
        </w:rPr>
        <w:t>موثوقة</w:t>
      </w:r>
      <w:proofErr w:type="spellEnd"/>
      <w:r>
        <w:rPr>
          <w:rFonts w:hint="cs"/>
          <w:rtl/>
        </w:rPr>
        <w:t xml:space="preserve"> أو بيانات متاحة عن مدى الاعتداءات الجنسية على النساء المريضات من جانب المهنيين في مجال الرعاية الصحية. وليس هناك قوانين محددة لمناهضة هذا السلوك من جانب المهنيين العاملين في مجال الرعاية الصحية.</w:t>
      </w:r>
    </w:p>
    <w:p w:rsidR="00C67DF8" w:rsidRDefault="00C67DF8" w:rsidP="00C67DF8">
      <w:pPr>
        <w:pStyle w:val="SingleTxt"/>
        <w:tabs>
          <w:tab w:val="clear" w:pos="1930"/>
          <w:tab w:val="left" w:pos="2125"/>
        </w:tabs>
        <w:rPr>
          <w:rFonts w:hint="cs"/>
          <w:rtl/>
        </w:rPr>
      </w:pPr>
      <w:r>
        <w:rPr>
          <w:rFonts w:hint="cs"/>
          <w:rtl/>
        </w:rPr>
        <w:t>379 -</w:t>
      </w:r>
      <w:r>
        <w:rPr>
          <w:rFonts w:hint="cs"/>
          <w:rtl/>
        </w:rPr>
        <w:tab/>
        <w:t xml:space="preserve">ويمكن القول بأن المادة 354 من القانون الجنائي الباكستاني التي تتناول </w:t>
      </w:r>
      <w:r>
        <w:rPr>
          <w:rFonts w:hint="eastAsia"/>
          <w:rtl/>
        </w:rPr>
        <w:t>”الاعتداء على المرأة أو استعمال القوة الإجرامية ضدها لخدش حيائها</w:t>
      </w:r>
      <w:r>
        <w:rPr>
          <w:rFonts w:hint="cs"/>
          <w:rtl/>
        </w:rPr>
        <w:t>“ توفر بعض التغطية. والعبارتان النافذتان هما الاعتداء أو استخدام القوة الإجرامية، وتعنيان بوضوح القوة الظاهرة أو التهديد باستعمال القوة في تفسيرين منفصلين واردين في القانون. وبذلك، تشمل هذه المادة حالات الاعتداء الجنسي باستعمال القوة أو التهديد باستعمالها من جانب الموظفين الطبيين. غير أنها لا تشمل استخدام العقاقير المنومة أو المخدرة لتصبح المرأة غير قادرة على الدفاع عن نفسها ثم التمكن منها.</w:t>
      </w:r>
    </w:p>
    <w:p w:rsidR="00C67DF8" w:rsidRDefault="00C67DF8" w:rsidP="00C67DF8">
      <w:pPr>
        <w:pStyle w:val="SingleTxt"/>
        <w:tabs>
          <w:tab w:val="clear" w:pos="1930"/>
          <w:tab w:val="left" w:pos="2125"/>
        </w:tabs>
        <w:rPr>
          <w:rFonts w:hint="cs"/>
          <w:rtl/>
        </w:rPr>
      </w:pPr>
      <w:r>
        <w:rPr>
          <w:rFonts w:hint="cs"/>
          <w:rtl/>
        </w:rPr>
        <w:t>380 -</w:t>
      </w:r>
      <w:r>
        <w:rPr>
          <w:rFonts w:hint="cs"/>
          <w:rtl/>
        </w:rPr>
        <w:tab/>
        <w:t xml:space="preserve">وبصورة عامة، توجد لجان في جميع المستشفيات الكبرى </w:t>
      </w:r>
      <w:r w:rsidR="008A0344">
        <w:rPr>
          <w:rFonts w:hint="cs"/>
          <w:rtl/>
        </w:rPr>
        <w:t>ل</w:t>
      </w:r>
      <w:r>
        <w:rPr>
          <w:rFonts w:hint="cs"/>
          <w:rtl/>
        </w:rPr>
        <w:t xml:space="preserve">لتأكد من حسن سير العمل في المستشفى بالإضافة إلى العناية بأي مسائل أخرى، بما يشمل السلوك غير اللائق من جانب العاملين في مجال الرعاية الصحية. غير أنه لا توجد معلومات </w:t>
      </w:r>
      <w:proofErr w:type="spellStart"/>
      <w:r>
        <w:rPr>
          <w:rFonts w:hint="cs"/>
          <w:rtl/>
        </w:rPr>
        <w:t>موثوقة</w:t>
      </w:r>
      <w:proofErr w:type="spellEnd"/>
      <w:r>
        <w:rPr>
          <w:rFonts w:hint="cs"/>
          <w:rtl/>
        </w:rPr>
        <w:t xml:space="preserve"> بشأن عدد الشكاوى المقدمة إلى تلك اللجان والإجراءات التي اتخذتها ضد الموظفين المعنيين. ويمكن أيضا اللجوء إلى مجلس الشؤون الطبية وشؤون طب الأسنان الباكستاني، وله سلطة إلغاء تراخيص الأطباء وأطباء الأسنان المدانين لهذا السلوك.</w:t>
      </w:r>
    </w:p>
    <w:p w:rsidR="00C67DF8" w:rsidRDefault="00C67DF8" w:rsidP="00C67DF8">
      <w:pPr>
        <w:pStyle w:val="SingleTxt"/>
        <w:tabs>
          <w:tab w:val="clear" w:pos="1930"/>
          <w:tab w:val="left" w:pos="2125"/>
        </w:tabs>
        <w:rPr>
          <w:rFonts w:hint="cs"/>
          <w:rtl/>
        </w:rPr>
      </w:pPr>
      <w:r>
        <w:rPr>
          <w:rFonts w:hint="cs"/>
          <w:rtl/>
        </w:rPr>
        <w:t>381 -</w:t>
      </w:r>
      <w:r>
        <w:rPr>
          <w:rFonts w:hint="cs"/>
          <w:rtl/>
        </w:rPr>
        <w:tab/>
        <w:t>وتعمل قوانين الحدود الإسلامية على تعقيد هذه المسألة، حيث أن هذه القوانين تحمل المرأة التي تدعي الاعتداء عليها أو اغتصابها عبء الإثبات (ترد مناقشة قوانين الحدود الإسلامية في إطار المادة 15).</w:t>
      </w:r>
    </w:p>
    <w:p w:rsidR="00C67DF8" w:rsidRDefault="00C67DF8" w:rsidP="008A0344">
      <w:pPr>
        <w:pStyle w:val="SingleTxt"/>
        <w:tabs>
          <w:tab w:val="clear" w:pos="1930"/>
          <w:tab w:val="left" w:pos="2125"/>
        </w:tabs>
        <w:rPr>
          <w:rFonts w:hint="cs"/>
          <w:rtl/>
        </w:rPr>
      </w:pPr>
      <w:r>
        <w:rPr>
          <w:rFonts w:hint="cs"/>
          <w:rtl/>
        </w:rPr>
        <w:t>382 -</w:t>
      </w:r>
      <w:r>
        <w:rPr>
          <w:rFonts w:hint="cs"/>
          <w:rtl/>
        </w:rPr>
        <w:tab/>
        <w:t xml:space="preserve">وفي حالة تخلي الأطباء أو الموظفين الطبيين في خدمة الحكومة عن واجبهم، يمكن القول بأن المادة 166 بشأن </w:t>
      </w:r>
      <w:r>
        <w:rPr>
          <w:rFonts w:hint="eastAsia"/>
          <w:rtl/>
        </w:rPr>
        <w:t xml:space="preserve">”مخالفة الموظف للقانون بقصد إلحاق الضرر بأي شخص“ </w:t>
      </w:r>
      <w:r w:rsidR="008A0344">
        <w:rPr>
          <w:rFonts w:hint="cs"/>
          <w:rtl/>
        </w:rPr>
        <w:t>ت</w:t>
      </w:r>
      <w:r>
        <w:rPr>
          <w:rFonts w:hint="eastAsia"/>
          <w:rtl/>
        </w:rPr>
        <w:t xml:space="preserve">غطي المسألة من الناحية النظرية. </w:t>
      </w:r>
      <w:r>
        <w:rPr>
          <w:rFonts w:hint="cs"/>
          <w:rtl/>
        </w:rPr>
        <w:t xml:space="preserve">وتعريف </w:t>
      </w:r>
      <w:r>
        <w:rPr>
          <w:rFonts w:hint="eastAsia"/>
          <w:rtl/>
        </w:rPr>
        <w:t>”الضرر</w:t>
      </w:r>
      <w:r>
        <w:rPr>
          <w:rFonts w:hint="cs"/>
          <w:rtl/>
        </w:rPr>
        <w:t xml:space="preserve">“ في القانون الجنائي الباكستاني هو </w:t>
      </w:r>
      <w:r>
        <w:rPr>
          <w:rFonts w:hint="eastAsia"/>
          <w:rtl/>
        </w:rPr>
        <w:t>”أي أ</w:t>
      </w:r>
      <w:r>
        <w:rPr>
          <w:rFonts w:hint="cs"/>
          <w:rtl/>
        </w:rPr>
        <w:t>ذى يلحق بشخص، في بدنه أو عقله أو سمعته أو ممتلكاته، بشكل غير شرعي</w:t>
      </w:r>
      <w:r>
        <w:rPr>
          <w:rFonts w:hint="eastAsia"/>
          <w:rtl/>
        </w:rPr>
        <w:t xml:space="preserve">“. </w:t>
      </w:r>
      <w:r>
        <w:rPr>
          <w:rFonts w:hint="cs"/>
          <w:rtl/>
        </w:rPr>
        <w:t>ويمكن أيضا اللجوء إلى مجلس الشؤون الطبية وشؤون طب الأسنان الباكستاني، وهو السلطة القائمة بتسجيل الأطباء وأطباء الأسنان في باكستان. ويعتبر مكتب أمين المظالم سلطة أخرى يمكن اللجوء إليها لإنصاف المرضى من الرجال والنساء الذين انتهكت حقوقهم من قبل العاملين في مجال الدعاية الصحية في الخدمة الحكومية. ويمكن تقديم حالات سوء التصرف المهني من جانب أطباء القطاع الخاص إلى المحاكم وإلى مجلس الشؤون الطبية وشؤون طب الأسنان في باكستان.</w:t>
      </w:r>
    </w:p>
    <w:p w:rsidR="00C67DF8" w:rsidRPr="001A0BB2"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التوصية العامة 14 الخاصة بختان الإناث</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سن القوانين التي تحظر ختان الإناث وزواج الطفلات وإنفاذ هذه القوانين على نحو فعال</w:t>
      </w:r>
    </w:p>
    <w:p w:rsidR="00C67DF8" w:rsidRDefault="00C67DF8" w:rsidP="00C67DF8">
      <w:pPr>
        <w:pStyle w:val="SingleTxt"/>
        <w:tabs>
          <w:tab w:val="clear" w:pos="1930"/>
          <w:tab w:val="left" w:pos="2125"/>
        </w:tabs>
        <w:rPr>
          <w:rFonts w:hint="cs"/>
          <w:rtl/>
        </w:rPr>
      </w:pPr>
      <w:r>
        <w:rPr>
          <w:rFonts w:hint="cs"/>
          <w:rtl/>
        </w:rPr>
        <w:t>383 -</w:t>
      </w:r>
      <w:r>
        <w:rPr>
          <w:rFonts w:hint="cs"/>
          <w:rtl/>
        </w:rPr>
        <w:tab/>
        <w:t>لا توجد معلومات محددة عن ختان الإناث في باكستان. وليست هناك قوانين تتصل بهذه المسألة في باكستان.</w:t>
      </w:r>
    </w:p>
    <w:p w:rsidR="00C67DF8" w:rsidRPr="006F5DF8"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مبادرات أخرى في ميدان الصحة</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برنامج التحصين الموسع</w:t>
      </w:r>
    </w:p>
    <w:p w:rsidR="00C67DF8" w:rsidRDefault="00C67DF8" w:rsidP="00C67DF8">
      <w:pPr>
        <w:pStyle w:val="SingleTxt"/>
        <w:tabs>
          <w:tab w:val="clear" w:pos="1930"/>
          <w:tab w:val="left" w:pos="2125"/>
        </w:tabs>
        <w:rPr>
          <w:rFonts w:hint="cs"/>
          <w:rtl/>
        </w:rPr>
      </w:pPr>
      <w:r>
        <w:rPr>
          <w:rFonts w:hint="cs"/>
          <w:rtl/>
        </w:rPr>
        <w:t>384 -</w:t>
      </w:r>
      <w:r>
        <w:rPr>
          <w:rFonts w:hint="cs"/>
          <w:rtl/>
        </w:rPr>
        <w:tab/>
        <w:t>يهدف هذا البرنامج الذي ينفذ بتكلفة إجمالية قدرها 367 5 مليون روبية للفترة 1999-2004، إلى تخفيض معدل الوفيات عن طريق تحصين الأطفال حتى سن 11 شهرا والنساء من سن الإنجاب وتوفير التحصين ضد ستة أمراض، يمكن الوقاية منها من خلال التحصين، لخمسة مليون طفل سنويا مع تغطية 77 في المائة من الأطفال و50 في المائة من الأمهات المرتقبات. وقد تم تدريب جميع العاملات في مجال الرعاية الصحية تقريبا، في 57 منطقة، مع إدماج التهاب الكبد باء في نظام برنامج التحصين الموسع بمساعدة منحة مقدمة من التحالف العالمي للتلقيح والتحصين.</w:t>
      </w:r>
    </w:p>
    <w:p w:rsidR="00C67DF8" w:rsidRPr="00507F84"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مشروع صحة المرأة</w:t>
      </w:r>
    </w:p>
    <w:p w:rsidR="00C67DF8" w:rsidRDefault="00C67DF8" w:rsidP="00C67DF8">
      <w:pPr>
        <w:pStyle w:val="SingleTxt"/>
        <w:tabs>
          <w:tab w:val="clear" w:pos="1930"/>
          <w:tab w:val="left" w:pos="2125"/>
        </w:tabs>
        <w:rPr>
          <w:rFonts w:hint="cs"/>
          <w:rtl/>
        </w:rPr>
      </w:pPr>
      <w:r>
        <w:rPr>
          <w:rFonts w:hint="cs"/>
          <w:rtl/>
        </w:rPr>
        <w:t>385 -</w:t>
      </w:r>
      <w:r>
        <w:rPr>
          <w:rFonts w:hint="cs"/>
          <w:rtl/>
        </w:rPr>
        <w:tab/>
        <w:t>يهدف البرنامج إلى تحسين صحة النساء والفتيات وتغذيتهن ووضعهن الاجتماعي بتطوير المستشفيات الصديقة للمرأة في 20 منطقة في باكستان. وبدأ تنفيذ المشروع بتخصيص مبلغ إجمالي قيمته 750 3 روبية وبدعم من مصرف التنمية الآسيوي. وفيما يلي الأهداف المحددة للمشروع:</w:t>
      </w:r>
    </w:p>
    <w:p w:rsidR="00C67DF8" w:rsidRDefault="00C67DF8" w:rsidP="00C67DF8">
      <w:pPr>
        <w:pStyle w:val="SingleTxt"/>
        <w:tabs>
          <w:tab w:val="clear" w:pos="1930"/>
          <w:tab w:val="left" w:pos="2125"/>
        </w:tabs>
        <w:rPr>
          <w:rFonts w:hint="cs"/>
          <w:rtl/>
        </w:rPr>
      </w:pPr>
      <w:r>
        <w:rPr>
          <w:rFonts w:hint="cs"/>
          <w:rtl/>
        </w:rPr>
        <w:tab/>
        <w:t>(أ)</w:t>
      </w:r>
      <w:r>
        <w:rPr>
          <w:rFonts w:hint="cs"/>
          <w:rtl/>
        </w:rPr>
        <w:tab/>
        <w:t>توسيع عمليات التدخل الأساسية لصحة المرأة والمقدمة إلى السكان غير الحاصلين على الخدمات المناسبة؛</w:t>
      </w:r>
    </w:p>
    <w:p w:rsidR="00C67DF8" w:rsidRDefault="00C67DF8" w:rsidP="00C67DF8">
      <w:pPr>
        <w:pStyle w:val="SingleTxt"/>
        <w:tabs>
          <w:tab w:val="clear" w:pos="1930"/>
          <w:tab w:val="left" w:pos="2125"/>
        </w:tabs>
        <w:rPr>
          <w:rFonts w:hint="cs"/>
          <w:rtl/>
        </w:rPr>
      </w:pPr>
      <w:r>
        <w:rPr>
          <w:rFonts w:hint="cs"/>
          <w:rtl/>
        </w:rPr>
        <w:tab/>
        <w:t>(ب)</w:t>
      </w:r>
      <w:r>
        <w:rPr>
          <w:rFonts w:hint="cs"/>
          <w:rtl/>
        </w:rPr>
        <w:tab/>
        <w:t>تطوير النظم الصحية الصديقة للمرأة في المناطق، والتي توفر الرعاية الصحية الجيدة لها ابتداء من المستوى المجتمعي وحتى مستوى الأول للإحالة بما في ذلك العناية في حالات الولادة الطارئة؛</w:t>
      </w:r>
    </w:p>
    <w:p w:rsidR="00C67DF8" w:rsidRDefault="00C67DF8" w:rsidP="00C67DF8">
      <w:pPr>
        <w:pStyle w:val="SingleTxt"/>
        <w:tabs>
          <w:tab w:val="clear" w:pos="1930"/>
          <w:tab w:val="left" w:pos="2125"/>
        </w:tabs>
        <w:rPr>
          <w:rFonts w:hint="cs"/>
          <w:rtl/>
        </w:rPr>
      </w:pPr>
      <w:r>
        <w:rPr>
          <w:rFonts w:hint="cs"/>
          <w:rtl/>
        </w:rPr>
        <w:tab/>
        <w:t>(ج)</w:t>
      </w:r>
      <w:r>
        <w:rPr>
          <w:rFonts w:hint="cs"/>
          <w:rtl/>
        </w:rPr>
        <w:tab/>
        <w:t>تعزيز قدرة المؤسسات الصحية وتنمية الموارد البشرية من أجل تحسين صحة المرأة في الأجل الطويل.</w:t>
      </w:r>
    </w:p>
    <w:p w:rsidR="00C67DF8" w:rsidRPr="00437A34" w:rsidRDefault="00C67DF8" w:rsidP="00C67DF8">
      <w:pPr>
        <w:pStyle w:val="SingleTxt"/>
        <w:tabs>
          <w:tab w:val="clear" w:pos="1930"/>
          <w:tab w:val="left" w:pos="2125"/>
        </w:tabs>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الأغذية والتغذية</w:t>
      </w:r>
    </w:p>
    <w:p w:rsidR="00C67DF8" w:rsidRDefault="00C67DF8" w:rsidP="00C67DF8">
      <w:pPr>
        <w:pStyle w:val="SingleTxt"/>
        <w:tabs>
          <w:tab w:val="clear" w:pos="1930"/>
          <w:tab w:val="left" w:pos="2125"/>
        </w:tabs>
        <w:rPr>
          <w:rFonts w:hint="cs"/>
          <w:rtl/>
        </w:rPr>
      </w:pPr>
      <w:r>
        <w:rPr>
          <w:rFonts w:hint="cs"/>
          <w:rtl/>
        </w:rPr>
        <w:t>386 -</w:t>
      </w:r>
      <w:r>
        <w:rPr>
          <w:rFonts w:hint="cs"/>
          <w:rtl/>
        </w:rPr>
        <w:tab/>
        <w:t xml:space="preserve">على الرغم من التقدم السريع الذي تحقق في إنتاج الأغذية وتجهيزها، يظل سوء التغذية أهم شواغل الصحة العامة. وتبين النتائج غير الرسمية للدراسة الاستقصائية الوطنية للتغذية لسنة 2002 أن 38 في المائة </w:t>
      </w:r>
      <w:r w:rsidR="008A0344">
        <w:rPr>
          <w:rFonts w:hint="cs"/>
          <w:rtl/>
        </w:rPr>
        <w:t xml:space="preserve">من الأطفال </w:t>
      </w:r>
      <w:r>
        <w:rPr>
          <w:rFonts w:hint="cs"/>
          <w:rtl/>
        </w:rPr>
        <w:t>يعانون من نقص الوزن وتعاني 12.5 في المائة من النساء من سوء التغذية، وتقفز هذه النسبة إلى 16.1 في المائة للنساء المرضعات؛ كما وجد أن 6.5 في المائة من الأطفال من سن 6-12 سنة و21.2 في المائة من الأمهات مصابون بتضخم ملموس أو ظاهر في الغدة الدرقية؛ بينما وجد أن 22.9 في المائة من أطفال المدارس و36.5 في المائة من الأمهات يعانون من نقص حاد في اليود. وقد شرعت الحكومة في تنفيذ عدة برامج للتصدي لهذه الحالة.</w:t>
      </w:r>
    </w:p>
    <w:p w:rsidR="00C67DF8" w:rsidRDefault="00C67DF8" w:rsidP="00C67DF8">
      <w:pPr>
        <w:pStyle w:val="SingleTxt"/>
        <w:tabs>
          <w:tab w:val="clear" w:pos="1930"/>
          <w:tab w:val="left" w:pos="2125"/>
        </w:tabs>
        <w:rPr>
          <w:rFonts w:hint="cs"/>
          <w:rtl/>
        </w:rPr>
      </w:pPr>
      <w:r>
        <w:rPr>
          <w:rFonts w:hint="cs"/>
          <w:rtl/>
        </w:rPr>
        <w:tab/>
        <w:t>(أ)</w:t>
      </w:r>
      <w:r>
        <w:rPr>
          <w:rFonts w:hint="cs"/>
          <w:rtl/>
        </w:rPr>
        <w:tab/>
        <w:t>برامج مكافحة نقص المغذيات الدقيقة. وتشمل مكافحة مرض نقص اليود عن طريق التوزيع العام للملح المعزز باليود، ومكافحة نقص الحديد عن طريق دعم الدقيق بالحديد، ودعم زيت الطعام/السمن بفيتامين ألف، وتكميل غذاء الأطفال من سن 6 شهور إلى 5 سنوات بفيتامين ألف كجزء عادي من أيام التحصين الوطنية.</w:t>
      </w:r>
    </w:p>
    <w:p w:rsidR="00C67DF8" w:rsidRDefault="00C67DF8" w:rsidP="008A0344">
      <w:pPr>
        <w:pStyle w:val="SingleTxt"/>
        <w:tabs>
          <w:tab w:val="clear" w:pos="1930"/>
          <w:tab w:val="left" w:pos="2125"/>
        </w:tabs>
        <w:rPr>
          <w:rFonts w:hint="cs"/>
          <w:rtl/>
        </w:rPr>
      </w:pPr>
      <w:r>
        <w:rPr>
          <w:rFonts w:hint="cs"/>
          <w:rtl/>
        </w:rPr>
        <w:tab/>
        <w:t>(ب)</w:t>
      </w:r>
      <w:r>
        <w:rPr>
          <w:rFonts w:hint="cs"/>
          <w:rtl/>
        </w:rPr>
        <w:tab/>
        <w:t xml:space="preserve">التغذية في الرعاية الصحية الأولية. والهدف هو تحسين الوضع </w:t>
      </w:r>
      <w:proofErr w:type="spellStart"/>
      <w:r>
        <w:rPr>
          <w:rFonts w:hint="cs"/>
          <w:rtl/>
        </w:rPr>
        <w:t>التغذوي</w:t>
      </w:r>
      <w:proofErr w:type="spellEnd"/>
      <w:r>
        <w:rPr>
          <w:rFonts w:hint="cs"/>
          <w:rtl/>
        </w:rPr>
        <w:t xml:space="preserve"> للنساء والفتيات والرضع، من الناحية النوعية، بتوفير المزيد من الخدمات التغذوية للرعاية الصحية الأولية. وقد وفرت أ</w:t>
      </w:r>
      <w:r w:rsidR="008A0344">
        <w:rPr>
          <w:rFonts w:hint="cs"/>
          <w:rtl/>
        </w:rPr>
        <w:t>ك</w:t>
      </w:r>
      <w:r>
        <w:rPr>
          <w:rFonts w:hint="cs"/>
          <w:rtl/>
        </w:rPr>
        <w:t xml:space="preserve">ثر من 000 70 من العاملات في مجال الرعاية الصحية، على مستوى القرية، خدمات التكملة بالمغذيات الدقيقة مع إسداء المشورة فيما يتصل بتشجيع النمو، وتغذية الأم والطفل والرضاعة الطبيعية والتغذية التكميلية على أساس منتظم. وبدأت أنشطة الإعلام والتثقيف والاتصال في مجال التغذية، كجزء من عنصر التغذية للرعاية الصحية الأولية. وبدأ تدريب المهنيين في مجال الرعاية الصحية فيما يتصل بالتثقيف </w:t>
      </w:r>
      <w:proofErr w:type="spellStart"/>
      <w:r>
        <w:rPr>
          <w:rFonts w:hint="cs"/>
          <w:rtl/>
        </w:rPr>
        <w:t>التغذوي</w:t>
      </w:r>
      <w:proofErr w:type="spellEnd"/>
      <w:r>
        <w:rPr>
          <w:rFonts w:hint="cs"/>
          <w:rtl/>
        </w:rPr>
        <w:t>/الصحي مع التركيز على مشاكل تغذية المرأة والطفل ومعالجتها.</w:t>
      </w:r>
    </w:p>
    <w:p w:rsidR="00C67DF8" w:rsidRDefault="00C67DF8" w:rsidP="00C67DF8">
      <w:pPr>
        <w:pStyle w:val="SingleTxt"/>
        <w:tabs>
          <w:tab w:val="clear" w:pos="1930"/>
          <w:tab w:val="left" w:pos="2125"/>
        </w:tabs>
        <w:rPr>
          <w:rFonts w:hint="cs"/>
          <w:rtl/>
        </w:rPr>
      </w:pPr>
      <w:r>
        <w:rPr>
          <w:rFonts w:hint="cs"/>
          <w:rtl/>
        </w:rPr>
        <w:tab/>
        <w:t>(ج)</w:t>
      </w:r>
      <w:r>
        <w:rPr>
          <w:rFonts w:hint="cs"/>
          <w:rtl/>
        </w:rPr>
        <w:tab/>
        <w:t xml:space="preserve">برنامج </w:t>
      </w:r>
      <w:proofErr w:type="spellStart"/>
      <w:r>
        <w:rPr>
          <w:rFonts w:hint="cs"/>
          <w:rtl/>
        </w:rPr>
        <w:t>تاوانا</w:t>
      </w:r>
      <w:proofErr w:type="spellEnd"/>
      <w:r>
        <w:rPr>
          <w:rFonts w:hint="cs"/>
          <w:rtl/>
        </w:rPr>
        <w:t xml:space="preserve"> باكستان (الفصل العاشر الفقرة 239).</w:t>
      </w:r>
    </w:p>
    <w:p w:rsidR="00C67DF8" w:rsidRPr="006511D2"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التحديات</w:t>
      </w:r>
    </w:p>
    <w:p w:rsidR="00C67DF8" w:rsidRDefault="00C67DF8" w:rsidP="00C67DF8">
      <w:pPr>
        <w:pStyle w:val="SingleTxt"/>
        <w:tabs>
          <w:tab w:val="clear" w:pos="1930"/>
          <w:tab w:val="left" w:pos="2125"/>
        </w:tabs>
        <w:rPr>
          <w:rFonts w:hint="cs"/>
          <w:rtl/>
        </w:rPr>
      </w:pPr>
      <w:r>
        <w:rPr>
          <w:rFonts w:hint="cs"/>
          <w:rtl/>
        </w:rPr>
        <w:t>387 -</w:t>
      </w:r>
      <w:r>
        <w:rPr>
          <w:rFonts w:hint="cs"/>
          <w:rtl/>
        </w:rPr>
        <w:tab/>
        <w:t>يحتاج أداء قطاع الصحة في باكستان إلى تحسين كبير. ورغم الزيادة المطردة في عدد المرافق، فإنها تظل قاصرة عن توفير تغطية كافية للسكان في كثير من المج</w:t>
      </w:r>
      <w:r w:rsidR="008A0344">
        <w:rPr>
          <w:rFonts w:hint="cs"/>
          <w:rtl/>
        </w:rPr>
        <w:t>الات الهامة. وبينما يعاني مواطنو</w:t>
      </w:r>
      <w:r>
        <w:rPr>
          <w:rFonts w:hint="cs"/>
          <w:rtl/>
        </w:rPr>
        <w:t xml:space="preserve"> البلد من الآثار المعاكسة لقصور النظام كما وكيفا، يمكن القول بأن معاناة النساء والفتيات أشد بسبب احتياجاتهن ومتطلباتهن الصحية الخاصة. ويعتبر معدل الموظفين الطبيين المدربين إلى الأطباء منخفضا مع ما لذلك من أثر سلبي واضح على الأداء الشامل لنظام الرعاية الصحية. وتهدف السياسة الوطنية للصحة إلى تناول أوجه القصور في النظام. ولكن التعليق على كفاءة هذه السياسة سابق لأوانه.</w:t>
      </w:r>
    </w:p>
    <w:p w:rsidR="00C67DF8" w:rsidRPr="00415EFF"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الثالث عشر</w:t>
      </w:r>
    </w:p>
    <w:p w:rsidR="00C67DF8" w:rsidRDefault="00C67DF8" w:rsidP="00C67DF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المادة الثالثة عشرة </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(الحقوق الاقتصادية والاجتماعية والثقافية)</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الأحكام الدستورية</w:t>
      </w:r>
    </w:p>
    <w:p w:rsidR="00C67DF8" w:rsidRDefault="00C67DF8" w:rsidP="00C67DF8">
      <w:pPr>
        <w:pStyle w:val="SingleTxt"/>
        <w:tabs>
          <w:tab w:val="clear" w:pos="1930"/>
          <w:tab w:val="left" w:pos="2125"/>
        </w:tabs>
        <w:rPr>
          <w:rFonts w:hint="cs"/>
          <w:rtl/>
        </w:rPr>
      </w:pPr>
      <w:r>
        <w:rPr>
          <w:rFonts w:hint="cs"/>
          <w:rtl/>
        </w:rPr>
        <w:t>388 -</w:t>
      </w:r>
      <w:r>
        <w:rPr>
          <w:rFonts w:hint="cs"/>
          <w:rtl/>
        </w:rPr>
        <w:tab/>
        <w:t xml:space="preserve">تنص ديباجة الدستور على أنه </w:t>
      </w:r>
      <w:r>
        <w:rPr>
          <w:rFonts w:hint="eastAsia"/>
          <w:rtl/>
        </w:rPr>
        <w:t>”حيث أن شعب باكستان يريد إقامة نظام يكفل الحقوق الأساسية، بما في ذلك المساواة في الوضع والفرص والمساواة أمام القانون، والعدالة الاقتصادية والسياسية، وحرية الفكر والتعبير والعقيدة والإيمان والعبادة وتكوين الجمعيات، طبقا للقانون والم</w:t>
      </w:r>
      <w:r>
        <w:rPr>
          <w:rFonts w:hint="cs"/>
          <w:rtl/>
        </w:rPr>
        <w:t>ب</w:t>
      </w:r>
      <w:r>
        <w:rPr>
          <w:rFonts w:hint="eastAsia"/>
          <w:rtl/>
        </w:rPr>
        <w:t>ادئ الأخلاقية</w:t>
      </w:r>
      <w:r>
        <w:rPr>
          <w:rFonts w:hint="cs"/>
          <w:rtl/>
        </w:rPr>
        <w:t>“.</w:t>
      </w:r>
    </w:p>
    <w:p w:rsidR="00C67DF8" w:rsidRDefault="00C67DF8" w:rsidP="00C67DF8">
      <w:pPr>
        <w:pStyle w:val="SingleTxt"/>
        <w:tabs>
          <w:tab w:val="clear" w:pos="1930"/>
          <w:tab w:val="left" w:pos="2125"/>
        </w:tabs>
        <w:rPr>
          <w:rFonts w:hint="cs"/>
          <w:rtl/>
        </w:rPr>
      </w:pPr>
      <w:r>
        <w:rPr>
          <w:rFonts w:hint="cs"/>
          <w:rtl/>
        </w:rPr>
        <w:t>389 -</w:t>
      </w:r>
      <w:r>
        <w:rPr>
          <w:rFonts w:hint="cs"/>
          <w:rtl/>
        </w:rPr>
        <w:tab/>
        <w:t xml:space="preserve">وتنص المادة 23 من الدستور على أن </w:t>
      </w:r>
      <w:r>
        <w:rPr>
          <w:rFonts w:hint="eastAsia"/>
          <w:rtl/>
        </w:rPr>
        <w:t>”لكل مواطن الحق في اكتساب الممتلكات والاحتفاظ بها والتصرف فيها، في أي جزء من باكستان، وفقا للدستور ورهنا لأي قيود معقولة يفرضها القانون للمصلحة العامة</w:t>
      </w:r>
      <w:r>
        <w:rPr>
          <w:rFonts w:hint="cs"/>
          <w:rtl/>
        </w:rPr>
        <w:t>“.</w:t>
      </w:r>
    </w:p>
    <w:p w:rsidR="00C67DF8" w:rsidRDefault="00C67DF8" w:rsidP="008A0344">
      <w:pPr>
        <w:pStyle w:val="SingleTxt"/>
        <w:tabs>
          <w:tab w:val="clear" w:pos="1930"/>
          <w:tab w:val="left" w:pos="2125"/>
        </w:tabs>
        <w:rPr>
          <w:rFonts w:hint="cs"/>
          <w:rtl/>
        </w:rPr>
      </w:pPr>
      <w:r>
        <w:rPr>
          <w:rFonts w:hint="cs"/>
          <w:rtl/>
        </w:rPr>
        <w:t>390 -</w:t>
      </w:r>
      <w:r>
        <w:rPr>
          <w:rFonts w:hint="cs"/>
          <w:rtl/>
        </w:rPr>
        <w:tab/>
        <w:t xml:space="preserve">وتنص المادة 18 من الدستور على أن </w:t>
      </w:r>
      <w:r>
        <w:rPr>
          <w:rFonts w:hint="eastAsia"/>
          <w:rtl/>
        </w:rPr>
        <w:t>”لكل مواطن الحق في ممارسة أي مهنة أو وظيفة مش</w:t>
      </w:r>
      <w:r w:rsidR="008A0344">
        <w:rPr>
          <w:rFonts w:hint="cs"/>
          <w:rtl/>
        </w:rPr>
        <w:t>ر</w:t>
      </w:r>
      <w:r>
        <w:rPr>
          <w:rFonts w:hint="eastAsia"/>
          <w:rtl/>
        </w:rPr>
        <w:t>وعة، والقيام بأي تجارة أو معاملة مشروعة، وفقا للشروط التي يفرضها القانون، إن وجدت</w:t>
      </w:r>
      <w:r>
        <w:rPr>
          <w:rFonts w:hint="cs"/>
          <w:rtl/>
        </w:rPr>
        <w:t>“.</w:t>
      </w:r>
    </w:p>
    <w:p w:rsidR="00C67DF8" w:rsidRDefault="00C67DF8" w:rsidP="00C67DF8">
      <w:pPr>
        <w:pStyle w:val="SingleTxt"/>
        <w:tabs>
          <w:tab w:val="clear" w:pos="1930"/>
          <w:tab w:val="left" w:pos="2125"/>
        </w:tabs>
        <w:rPr>
          <w:rFonts w:hint="cs"/>
          <w:rtl/>
        </w:rPr>
      </w:pPr>
      <w:r>
        <w:rPr>
          <w:rFonts w:hint="cs"/>
          <w:rtl/>
        </w:rPr>
        <w:t>391 -</w:t>
      </w:r>
      <w:r>
        <w:rPr>
          <w:rFonts w:hint="cs"/>
          <w:rtl/>
        </w:rPr>
        <w:tab/>
        <w:t>ويرد الإطار الشامل لسياق المساواة الاقتصادية والاجتماعية في المادة 25 التي تكفل مساواة جميع المواطنين أمام القانون وتمنح حق الحماية المتساوية للقانون لجميع المواطنين.</w:t>
      </w:r>
    </w:p>
    <w:p w:rsidR="00C67DF8" w:rsidRDefault="00C67DF8" w:rsidP="00C67DF8">
      <w:pPr>
        <w:pStyle w:val="SingleTxt"/>
        <w:tabs>
          <w:tab w:val="clear" w:pos="1930"/>
          <w:tab w:val="left" w:pos="2125"/>
        </w:tabs>
        <w:rPr>
          <w:rFonts w:hint="cs"/>
          <w:rtl/>
        </w:rPr>
      </w:pPr>
      <w:r>
        <w:rPr>
          <w:rFonts w:hint="cs"/>
          <w:rtl/>
        </w:rPr>
        <w:t>392 -</w:t>
      </w:r>
      <w:r>
        <w:rPr>
          <w:rFonts w:hint="cs"/>
          <w:rtl/>
        </w:rPr>
        <w:tab/>
        <w:t xml:space="preserve">وتنص المادة 26 (1) من الدستور على أنه </w:t>
      </w:r>
      <w:r>
        <w:rPr>
          <w:rFonts w:hint="eastAsia"/>
          <w:rtl/>
        </w:rPr>
        <w:t xml:space="preserve">”لا يجوز التمييز ضد أي مواطن على أساس العرق أو الديانة أو الطائفة أو الجنس أو محل الإقامة أو محل الميلاد بالنسبة لحرية الوصول إلى أماكن الترفيه والمنتجات العامة غير المخصصة للأغراض الدينية. </w:t>
      </w:r>
      <w:r>
        <w:rPr>
          <w:rFonts w:hint="cs"/>
          <w:rtl/>
        </w:rPr>
        <w:t>(2) ليس في الفقرة (1) ما يمنع الدولة من وضع أحكام خاصة للنساء والأطفال.</w:t>
      </w:r>
    </w:p>
    <w:p w:rsidR="00C67DF8" w:rsidRDefault="00C67DF8" w:rsidP="00C67DF8">
      <w:pPr>
        <w:pStyle w:val="SingleTxt"/>
        <w:tabs>
          <w:tab w:val="clear" w:pos="1930"/>
          <w:tab w:val="left" w:pos="2125"/>
        </w:tabs>
        <w:rPr>
          <w:rFonts w:hint="cs"/>
          <w:rtl/>
        </w:rPr>
      </w:pPr>
      <w:r>
        <w:rPr>
          <w:rFonts w:hint="cs"/>
          <w:rtl/>
        </w:rPr>
        <w:t>393 -</w:t>
      </w:r>
      <w:r>
        <w:rPr>
          <w:rFonts w:hint="cs"/>
          <w:rtl/>
        </w:rPr>
        <w:tab/>
        <w:t>وبذلك، لا يوجد تمييز بين الرجل والمرأة في المجال الاقتصادي والاجتماعي، من الناحية الدستورية.</w:t>
      </w:r>
    </w:p>
    <w:p w:rsidR="00C67DF8" w:rsidRPr="005719B9"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الإداري</w:t>
      </w:r>
    </w:p>
    <w:p w:rsidR="00C67DF8" w:rsidRDefault="00C67DF8" w:rsidP="00C67DF8">
      <w:pPr>
        <w:pStyle w:val="SingleTxt"/>
        <w:rPr>
          <w:rFonts w:hint="cs"/>
          <w:rtl/>
        </w:rPr>
      </w:pPr>
      <w:r>
        <w:rPr>
          <w:rFonts w:hint="cs"/>
          <w:rtl/>
        </w:rPr>
        <w:t>394-</w:t>
      </w:r>
      <w:r>
        <w:rPr>
          <w:rFonts w:hint="cs"/>
          <w:rtl/>
        </w:rPr>
        <w:tab/>
        <w:t xml:space="preserve">يتألف الجهاز الإداري الرئيسي لباكستان، في المجال الاقتصادي، من وزارة المالية وشعبة التخطيط. ولا يوجد جهاز إداري للدولة مخصص </w:t>
      </w:r>
      <w:r>
        <w:rPr>
          <w:rFonts w:hint="eastAsia"/>
          <w:rtl/>
        </w:rPr>
        <w:t>”</w:t>
      </w:r>
      <w:r>
        <w:rPr>
          <w:rFonts w:hint="cs"/>
          <w:rtl/>
        </w:rPr>
        <w:t>للحياة الاجتماعية</w:t>
      </w:r>
      <w:r>
        <w:rPr>
          <w:rFonts w:hint="eastAsia"/>
          <w:rtl/>
        </w:rPr>
        <w:t>“</w:t>
      </w:r>
      <w:r>
        <w:rPr>
          <w:rFonts w:hint="cs"/>
          <w:rtl/>
        </w:rPr>
        <w:t xml:space="preserve"> في البلد، على وجه الحصر. غير أنه يمكن القول بأن وزارة تنمية المرأة تؤدي بعض المهام المتوخاة في المادة 13 من الاتفاقية. وتعتبر وزارة الأقليات والسياحة والشباب والثقافة والرياضة الجهاز المعني بالأنشطة الثقافية والترفيهية في باكستان.</w:t>
      </w:r>
    </w:p>
    <w:p w:rsidR="00C67DF8" w:rsidRPr="00B07173" w:rsidRDefault="00C67DF8" w:rsidP="00C67DF8">
      <w:pPr>
        <w:pStyle w:val="SingleTxt"/>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الحالة على أرض الواقع</w:t>
      </w:r>
    </w:p>
    <w:p w:rsidR="00C67DF8" w:rsidRDefault="00C67DF8" w:rsidP="00C67DF8">
      <w:pPr>
        <w:pStyle w:val="SingleTxt"/>
        <w:tabs>
          <w:tab w:val="clear" w:pos="1930"/>
          <w:tab w:val="left" w:pos="2125"/>
        </w:tabs>
        <w:rPr>
          <w:rFonts w:hint="cs"/>
          <w:rtl/>
        </w:rPr>
      </w:pPr>
      <w:r>
        <w:rPr>
          <w:rFonts w:hint="cs"/>
          <w:rtl/>
        </w:rPr>
        <w:t>395 -</w:t>
      </w:r>
      <w:r>
        <w:rPr>
          <w:rFonts w:hint="cs"/>
          <w:rtl/>
        </w:rPr>
        <w:tab/>
        <w:t>تتمتع المرأة في باكستان، بحكم القانون، بنفس الحقوق التي يتمتع بها الرجل في الاستحقاقات الاجتماعية والاقتصادية.</w:t>
      </w:r>
    </w:p>
    <w:p w:rsidR="00C67DF8" w:rsidRDefault="00C67DF8" w:rsidP="00C67DF8">
      <w:pPr>
        <w:pStyle w:val="SingleTxt"/>
        <w:tabs>
          <w:tab w:val="clear" w:pos="1930"/>
          <w:tab w:val="left" w:pos="2125"/>
        </w:tabs>
        <w:rPr>
          <w:rFonts w:hint="cs"/>
          <w:rtl/>
        </w:rPr>
      </w:pPr>
      <w:r>
        <w:rPr>
          <w:rFonts w:hint="cs"/>
          <w:rtl/>
        </w:rPr>
        <w:t>396 -</w:t>
      </w:r>
      <w:r>
        <w:rPr>
          <w:rFonts w:hint="cs"/>
          <w:rtl/>
        </w:rPr>
        <w:tab/>
        <w:t>ويحق للنساء والرجال العاملين بأجر الحصول على بعض الاستحقاقات العائلية التي يمكن أن يطالب بها الزوج أو الزوجة. وتشمل: علاوة الإسكان، وعلاوة الانتقال، والعلاوة الطبية واستحقاقات التأمين الاجتماعي، وهذه الاستحقاقات متاحة لجميع العاملين بأجر، بصرف النظر عن نوع الجنس.</w:t>
      </w:r>
    </w:p>
    <w:p w:rsidR="00C67DF8" w:rsidRDefault="00C67DF8" w:rsidP="00C67DF8">
      <w:pPr>
        <w:pStyle w:val="SingleTxt"/>
        <w:tabs>
          <w:tab w:val="clear" w:pos="1930"/>
          <w:tab w:val="left" w:pos="2125"/>
        </w:tabs>
        <w:rPr>
          <w:rFonts w:hint="cs"/>
          <w:rtl/>
        </w:rPr>
      </w:pPr>
      <w:r>
        <w:rPr>
          <w:rFonts w:hint="cs"/>
          <w:rtl/>
        </w:rPr>
        <w:t>397 -</w:t>
      </w:r>
      <w:r>
        <w:rPr>
          <w:rFonts w:hint="cs"/>
          <w:rtl/>
        </w:rPr>
        <w:tab/>
        <w:t>ومن ناحية التعليم، نجد أن جميع المدارس الحكومية للبنين والبنات مجانية، أو برسوم رمزية. والتعليم العالي مدعوم بقدر كبير في المؤسسات الحكومية وليس هناك تمييز بين الرجال والنساء.</w:t>
      </w:r>
    </w:p>
    <w:p w:rsidR="00C67DF8" w:rsidRPr="00646B1D"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الضرائب والمعاشات التقاعدية والمكافآت</w:t>
      </w:r>
    </w:p>
    <w:p w:rsidR="00C67DF8" w:rsidRDefault="00C67DF8" w:rsidP="00C67DF8">
      <w:pPr>
        <w:pStyle w:val="SingleTxt"/>
        <w:tabs>
          <w:tab w:val="clear" w:pos="1930"/>
          <w:tab w:val="left" w:pos="2125"/>
        </w:tabs>
        <w:rPr>
          <w:rFonts w:hint="cs"/>
          <w:rtl/>
        </w:rPr>
      </w:pPr>
      <w:r>
        <w:rPr>
          <w:rFonts w:hint="cs"/>
          <w:rtl/>
        </w:rPr>
        <w:t>398 -</w:t>
      </w:r>
      <w:r>
        <w:rPr>
          <w:rFonts w:hint="cs"/>
          <w:rtl/>
        </w:rPr>
        <w:tab/>
        <w:t>لا توجد صلة مباشرة أو غير مباشرة بين الضرائب/الإعفاءات الضريبية وطبيعة الأسرة وحجمها، في النظام الضريبي لباكستان. وتستند ترتيبات المعاشات التقاعدية والمكافآت والتأمين الاجتماعي إلى خصومات من مرتبات العاملين ومساهمات من أرباب العمل. ولا يوجد تمييز بين الجنسين في هذه الترتيبات.</w:t>
      </w:r>
    </w:p>
    <w:p w:rsidR="00C67DF8" w:rsidRDefault="00C67DF8" w:rsidP="00C67DF8">
      <w:pPr>
        <w:pStyle w:val="SingleTxt"/>
        <w:tabs>
          <w:tab w:val="clear" w:pos="1930"/>
          <w:tab w:val="left" w:pos="2125"/>
        </w:tabs>
        <w:rPr>
          <w:rFonts w:hint="cs"/>
          <w:rtl/>
        </w:rPr>
      </w:pPr>
      <w:r>
        <w:rPr>
          <w:rFonts w:hint="cs"/>
          <w:rtl/>
        </w:rPr>
        <w:t>399 -</w:t>
      </w:r>
      <w:r>
        <w:rPr>
          <w:rFonts w:hint="cs"/>
          <w:rtl/>
        </w:rPr>
        <w:tab/>
        <w:t xml:space="preserve">وإلى جانب العلاوات التي تمثل جزءا من كل مرتب (والمستحقة للرجال والنساء على السواء)، لا يوجد نظام ”للاستحقاقات العائلية“ أو المساعدات العائلية بالمعنى المفهوم في السياق الأوروبي. ولا تخصص </w:t>
      </w:r>
      <w:proofErr w:type="spellStart"/>
      <w:r>
        <w:rPr>
          <w:rFonts w:hint="cs"/>
          <w:rtl/>
        </w:rPr>
        <w:t>اعتمادات</w:t>
      </w:r>
      <w:proofErr w:type="spellEnd"/>
      <w:r>
        <w:rPr>
          <w:rFonts w:hint="cs"/>
          <w:rtl/>
        </w:rPr>
        <w:t xml:space="preserve"> للمنح أو المنح الدراسية أو التخفيضات الضريبية على أساس عدد الأطفال.</w:t>
      </w:r>
    </w:p>
    <w:p w:rsidR="00C67DF8" w:rsidRPr="005344B0"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حيازة الممتلكات والحصول عليها</w:t>
      </w:r>
    </w:p>
    <w:p w:rsidR="00C67DF8" w:rsidRDefault="00C67DF8" w:rsidP="00C67DF8">
      <w:pPr>
        <w:pStyle w:val="SingleTxt"/>
        <w:tabs>
          <w:tab w:val="clear" w:pos="1930"/>
          <w:tab w:val="left" w:pos="2125"/>
        </w:tabs>
        <w:rPr>
          <w:rFonts w:hint="cs"/>
          <w:rtl/>
        </w:rPr>
      </w:pPr>
      <w:r>
        <w:rPr>
          <w:rFonts w:hint="cs"/>
          <w:rtl/>
        </w:rPr>
        <w:t>400 -</w:t>
      </w:r>
      <w:r>
        <w:rPr>
          <w:rFonts w:hint="cs"/>
          <w:rtl/>
        </w:rPr>
        <w:tab/>
        <w:t>تنص المادة 23 من دستور باكستان على أن ”لكل مواطن الحق في اقتناء الممتلكات والاحتفاظ بها والتصرف فيها في أي جزء من باكستان</w:t>
      </w:r>
      <w:r>
        <w:rPr>
          <w:rFonts w:hint="cs"/>
          <w:rtl/>
          <w:lang w:bidi="fa-IR"/>
        </w:rPr>
        <w:t>“</w:t>
      </w:r>
      <w:r>
        <w:rPr>
          <w:rFonts w:hint="cs"/>
          <w:rtl/>
        </w:rPr>
        <w:t>. وتمتلك المرأة الباكستانية الممتلكات والحلي وغير ذلك وتحتفظ بحسابها المصرفي الخاص. ولا تتوفر بيانات عن النسبة المئوية للنساء اللاتي يحزن ممتلكات مقارنة بالرجل. وقد طلبت وزارة ت</w:t>
      </w:r>
      <w:r w:rsidR="00854F5D">
        <w:rPr>
          <w:rFonts w:hint="cs"/>
          <w:rtl/>
        </w:rPr>
        <w:t>نمية المرأة من شعبة الإحصاءات أن</w:t>
      </w:r>
      <w:r>
        <w:rPr>
          <w:rFonts w:hint="cs"/>
          <w:rtl/>
        </w:rPr>
        <w:t xml:space="preserve"> تدرس إمكانية تعديل نماذج واستبيانات الإحصاء الخاصة بالدراسة الاستقصائية المتكاملة للإحصاءات المنزلية في باكستان، بالشكل الملائم، للحصول على هذه المعلومات.</w:t>
      </w:r>
    </w:p>
    <w:p w:rsidR="00C67DF8" w:rsidRPr="00972147"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القروض المصرفية والديون العقارية والائتمانات</w:t>
      </w:r>
    </w:p>
    <w:p w:rsidR="00C67DF8" w:rsidRDefault="00C67DF8" w:rsidP="00C67DF8">
      <w:pPr>
        <w:pStyle w:val="SingleTxt"/>
        <w:tabs>
          <w:tab w:val="clear" w:pos="1930"/>
          <w:tab w:val="left" w:pos="2228"/>
        </w:tabs>
        <w:rPr>
          <w:rFonts w:hint="cs"/>
          <w:rtl/>
        </w:rPr>
      </w:pPr>
      <w:r>
        <w:rPr>
          <w:rFonts w:hint="cs"/>
          <w:rtl/>
        </w:rPr>
        <w:t>401 -</w:t>
      </w:r>
      <w:r>
        <w:rPr>
          <w:rFonts w:hint="cs"/>
          <w:rtl/>
        </w:rPr>
        <w:tab/>
        <w:t>تتاح الائتمانات للرجال والنساء، على السواء، في باكستان. وتقدم مؤسسات مالية من قبيل مصرف التنمية الزراعية لباكستان، ومصرف المرأة الأول المحدود وغيرهما من المصارف التجارية والمؤسسات المالية الائتمانات للمرأة.</w:t>
      </w:r>
    </w:p>
    <w:p w:rsidR="00C67DF8" w:rsidRPr="008B5790" w:rsidRDefault="00C67DF8" w:rsidP="00C67DF8">
      <w:pPr>
        <w:pStyle w:val="SingleTxt"/>
        <w:tabs>
          <w:tab w:val="clear" w:pos="1930"/>
          <w:tab w:val="left" w:pos="2228"/>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مصرف المرأة الأول</w:t>
      </w:r>
    </w:p>
    <w:p w:rsidR="00C67DF8" w:rsidRDefault="00C67DF8" w:rsidP="00C67DF8">
      <w:pPr>
        <w:pStyle w:val="SingleTxt"/>
        <w:tabs>
          <w:tab w:val="clear" w:pos="1930"/>
          <w:tab w:val="left" w:pos="2125"/>
        </w:tabs>
        <w:rPr>
          <w:rFonts w:hint="cs"/>
          <w:rtl/>
        </w:rPr>
      </w:pPr>
      <w:r>
        <w:rPr>
          <w:rFonts w:hint="cs"/>
          <w:rtl/>
        </w:rPr>
        <w:t>402 -</w:t>
      </w:r>
      <w:r>
        <w:rPr>
          <w:rFonts w:hint="cs"/>
          <w:rtl/>
        </w:rPr>
        <w:tab/>
        <w:t xml:space="preserve">أنشئ مصرف المرأة الأول المحدود في سنة 1989. وهو مؤسسة مالية فريدة </w:t>
      </w:r>
      <w:r>
        <w:rPr>
          <w:rtl/>
        </w:rPr>
        <w:t>–</w:t>
      </w:r>
      <w:r>
        <w:rPr>
          <w:rFonts w:hint="cs"/>
          <w:rtl/>
        </w:rPr>
        <w:t xml:space="preserve"> تجمع بين المصرف التجاري ومؤسسة التمويل الإنمائي، وتخدم الاحتياجات الاجتماعية والاقتصادية للمرأة الباكستانية </w:t>
      </w:r>
      <w:r>
        <w:rPr>
          <w:rtl/>
        </w:rPr>
        <w:t>–</w:t>
      </w:r>
      <w:r>
        <w:rPr>
          <w:rFonts w:hint="cs"/>
          <w:rtl/>
        </w:rPr>
        <w:t xml:space="preserve"> لتشجيع ومساعدة المرأة على تعزيز التجارة والصناعة وتصريفهما، وعلى ممارسة مهنة. وللمصرف 38 فرعا، مركزة في المناطق الحضرية وشبه الحضرية، أساسا. وقام بتمويل عدد من الصناعات المتوسطة الحجم التي تملكها المرأة وقامت بإنشائها. ويشترط المصرف أن يكون أي مشروع يطلب القروض منه مملوكا للمرأة بنسبة 50 في المائة. وجميع الموظفين الفنيين في المصرف من النساء.</w:t>
      </w:r>
    </w:p>
    <w:p w:rsidR="00C67DF8" w:rsidRDefault="00C67DF8" w:rsidP="00C67DF8">
      <w:pPr>
        <w:pStyle w:val="SingleTxt"/>
        <w:tabs>
          <w:tab w:val="clear" w:pos="1930"/>
          <w:tab w:val="left" w:pos="2125"/>
        </w:tabs>
        <w:rPr>
          <w:rFonts w:hint="cs"/>
          <w:rtl/>
        </w:rPr>
      </w:pPr>
      <w:r>
        <w:rPr>
          <w:rFonts w:hint="cs"/>
          <w:rtl/>
        </w:rPr>
        <w:t>403 -</w:t>
      </w:r>
      <w:r>
        <w:rPr>
          <w:rFonts w:hint="cs"/>
          <w:rtl/>
        </w:rPr>
        <w:tab/>
        <w:t xml:space="preserve">وتشمل الخدمات المصرفية غير التقليدية التي يقدمها مصرف المرأة الأول المحدود الخدمات الإرشادية والاستشارية المتعلقة بالاستثمار وبتحديد المشاريع، وتحديد الأسواق وتنميتها، وتشجيع ورعاية أعمال النساء منظمات المشاريع ومراكز عرض المنتجات الخاصة بالنساء منظمات المشاريع. ولا يشترط تقديم ضمان من مقدمة الطلب في أغلب الحالات وبالنسبة للقروض التي لا تتجاوز قيمتها 000 25 روبية، غير </w:t>
      </w:r>
      <w:proofErr w:type="spellStart"/>
      <w:r>
        <w:rPr>
          <w:rFonts w:hint="cs"/>
          <w:rtl/>
        </w:rPr>
        <w:t>ضمانتين</w:t>
      </w:r>
      <w:proofErr w:type="spellEnd"/>
      <w:r>
        <w:rPr>
          <w:rFonts w:hint="cs"/>
          <w:rtl/>
        </w:rPr>
        <w:t xml:space="preserve"> شخصيتين. أما بالنسبة للقروض التي تزيد قيمتها عن 000 25 </w:t>
      </w:r>
      <w:r w:rsidR="00854F5D">
        <w:rPr>
          <w:rFonts w:hint="cs"/>
          <w:rtl/>
        </w:rPr>
        <w:t xml:space="preserve">روبية </w:t>
      </w:r>
      <w:r>
        <w:rPr>
          <w:rFonts w:hint="cs"/>
          <w:rtl/>
        </w:rPr>
        <w:t>يطلب المصرف ضمانا ملموسا.</w:t>
      </w:r>
    </w:p>
    <w:p w:rsidR="00C67DF8" w:rsidRDefault="00C67DF8" w:rsidP="00854F5D">
      <w:pPr>
        <w:pStyle w:val="SingleTxt"/>
        <w:tabs>
          <w:tab w:val="clear" w:pos="1930"/>
          <w:tab w:val="left" w:pos="2125"/>
        </w:tabs>
        <w:rPr>
          <w:rFonts w:hint="cs"/>
          <w:rtl/>
        </w:rPr>
      </w:pPr>
      <w:r>
        <w:rPr>
          <w:rFonts w:hint="cs"/>
          <w:rtl/>
        </w:rPr>
        <w:t>404 -</w:t>
      </w:r>
      <w:r>
        <w:rPr>
          <w:rFonts w:hint="cs"/>
          <w:rtl/>
        </w:rPr>
        <w:tab/>
        <w:t xml:space="preserve">وقام المصرف، حتى الآن، بتقديم ائتمانات قيمتها 6.67 بليون روبية ومساعدة 226 25 من النساء منظمات المشاريع على إنشاء مشاريعهن التجارية. وبالنسبة لتفاصيل المبالغ المقدمة من حافظة المصرف، نجد أن 9.6 في المائة كانت </w:t>
      </w:r>
      <w:r w:rsidR="00854F5D">
        <w:rPr>
          <w:rFonts w:hint="cs"/>
          <w:rtl/>
        </w:rPr>
        <w:t>ل</w:t>
      </w:r>
      <w:r>
        <w:rPr>
          <w:rFonts w:hint="cs"/>
          <w:rtl/>
        </w:rPr>
        <w:t>ائتمانات صغيرة جدا، و77 في المائة للمشاريع التجارية الصغيرة والمتوسطة، والباقي لعملاء الشركات. وتم صرف 525 19 ق</w:t>
      </w:r>
      <w:r w:rsidR="00854F5D">
        <w:rPr>
          <w:rFonts w:hint="cs"/>
          <w:rtl/>
        </w:rPr>
        <w:t xml:space="preserve">رضا </w:t>
      </w:r>
      <w:proofErr w:type="spellStart"/>
      <w:r w:rsidR="00854F5D">
        <w:rPr>
          <w:rFonts w:hint="cs"/>
          <w:rtl/>
        </w:rPr>
        <w:t>للائتمانات</w:t>
      </w:r>
      <w:proofErr w:type="spellEnd"/>
      <w:r w:rsidR="00854F5D">
        <w:rPr>
          <w:rFonts w:hint="cs"/>
          <w:rtl/>
        </w:rPr>
        <w:t xml:space="preserve"> الصغيرة جدا من أد</w:t>
      </w:r>
      <w:r>
        <w:rPr>
          <w:rFonts w:hint="cs"/>
          <w:rtl/>
        </w:rPr>
        <w:t>ل المرأة، حتى الآن.</w:t>
      </w:r>
    </w:p>
    <w:p w:rsidR="00C67DF8" w:rsidRPr="00522137"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تخفيف حدة الفقر</w:t>
      </w:r>
    </w:p>
    <w:p w:rsidR="00C67DF8" w:rsidRDefault="00C67DF8" w:rsidP="00C67DF8">
      <w:pPr>
        <w:pStyle w:val="SingleTxt"/>
        <w:tabs>
          <w:tab w:val="clear" w:pos="1930"/>
          <w:tab w:val="left" w:pos="2228"/>
        </w:tabs>
        <w:rPr>
          <w:rFonts w:hint="cs"/>
          <w:rtl/>
        </w:rPr>
      </w:pPr>
      <w:r>
        <w:rPr>
          <w:rFonts w:hint="cs"/>
          <w:rtl/>
        </w:rPr>
        <w:t>405 -</w:t>
      </w:r>
      <w:r>
        <w:rPr>
          <w:rFonts w:hint="cs"/>
          <w:rtl/>
        </w:rPr>
        <w:tab/>
        <w:t>يعتبر تخفيف حدة الفقر أولوية عالية بالنسبة لحكومة باكستان. ومع التسليم المتزايد بأن الفقر يتصاعد في باكستان، اعتمدت حكومة باكستان استراتيجية شاملة في تشرين الثاني/نوفمبر 2001. وتعبر ورقة استراتيجية تخفيف حدة الفقر الناتجة عن ذلك عن إطار شامل يضم سياسات للتنمية الريفية، وقضايا المرأة والتوظيف والبيئة. واعتبرت التنمية الريفية جز</w:t>
      </w:r>
      <w:r w:rsidR="00854F5D">
        <w:rPr>
          <w:rFonts w:hint="cs"/>
          <w:rtl/>
        </w:rPr>
        <w:t>ء</w:t>
      </w:r>
      <w:r>
        <w:rPr>
          <w:rFonts w:hint="cs"/>
          <w:rtl/>
        </w:rPr>
        <w:t>ا أساسيا من عماد التدخل الهادف للاستراتيجية. ويشمل هذا النهج أيضا استراتيجية أكثر تركيزا للتنمية البشرية تعترف بالدور المركزي للمقاطعات والحكومات المحلية في تحقيق أهداف التنمية البشرية.</w:t>
      </w:r>
    </w:p>
    <w:p w:rsidR="00C67DF8" w:rsidRDefault="00C67DF8" w:rsidP="00C67DF8">
      <w:pPr>
        <w:pStyle w:val="SingleTxt"/>
        <w:tabs>
          <w:tab w:val="clear" w:pos="1930"/>
          <w:tab w:val="left" w:pos="2228"/>
        </w:tabs>
        <w:rPr>
          <w:rFonts w:hint="cs"/>
          <w:rtl/>
        </w:rPr>
      </w:pPr>
      <w:r>
        <w:rPr>
          <w:rFonts w:hint="cs"/>
          <w:rtl/>
        </w:rPr>
        <w:t>406 -</w:t>
      </w:r>
      <w:r>
        <w:rPr>
          <w:rFonts w:hint="cs"/>
          <w:rtl/>
        </w:rPr>
        <w:tab/>
        <w:t>والحكومة ملتزمة بزيادة نفقات الميزانية بنسبة 0.2 في المائة على الأقل من الناتج القومي الإجمالي السنوي اعتبارا من السنة المالية 2001-2002. وهذا يعبر عن تحول هام عن الأداء السابق للميزانية حيث انخفضت النفقات العامة لمناهضة الفقر من 0.25 في المائة من الناتج القومي الإجمالي السنوي خلال الفترة 1995-2000. ويعتبر ضمان ارتفاع هذه النفقات في الأجل المتوسط أثناء إجراء التعديل المالي، تحديا هاما. وسوف تنفق الحكومة 161 بليون روبية لصالح الفقراء خلال السنة المالية الجارية 2003-2004.</w:t>
      </w:r>
    </w:p>
    <w:p w:rsidR="00C67DF8" w:rsidRPr="00594737" w:rsidRDefault="00C67DF8" w:rsidP="00C67DF8">
      <w:pPr>
        <w:pStyle w:val="SingleTxt"/>
        <w:tabs>
          <w:tab w:val="clear" w:pos="1930"/>
          <w:tab w:val="left" w:pos="2228"/>
        </w:tabs>
        <w:spacing w:after="0" w:line="120" w:lineRule="exact"/>
        <w:rPr>
          <w:rFonts w:hint="cs"/>
          <w:sz w:val="12"/>
          <w:rtl/>
        </w:rPr>
      </w:pPr>
    </w:p>
    <w:p w:rsidR="00C67DF8" w:rsidRDefault="00C67DF8" w:rsidP="00C67DF8">
      <w:pPr>
        <w:pStyle w:val="SingleTxt"/>
        <w:tabs>
          <w:tab w:val="clear" w:pos="1930"/>
          <w:tab w:val="left" w:pos="2228"/>
        </w:tabs>
        <w:spacing w:after="0"/>
        <w:rPr>
          <w:rFonts w:hint="cs"/>
          <w:rtl/>
        </w:rPr>
      </w:pPr>
      <w:r>
        <w:rPr>
          <w:rFonts w:hint="cs"/>
          <w:rtl/>
        </w:rPr>
        <w:t>الجدول 13-1</w:t>
      </w:r>
    </w:p>
    <w:p w:rsidR="00C67DF8" w:rsidRPr="00437A34" w:rsidRDefault="00C67DF8" w:rsidP="00C67DF8">
      <w:pPr>
        <w:pStyle w:val="SingleTxt"/>
        <w:tabs>
          <w:tab w:val="clear" w:pos="1930"/>
          <w:tab w:val="left" w:pos="2228"/>
        </w:tabs>
        <w:rPr>
          <w:rFonts w:hint="cs"/>
          <w:b/>
          <w:bCs/>
          <w:rtl/>
        </w:rPr>
      </w:pPr>
      <w:r w:rsidRPr="00437A34">
        <w:rPr>
          <w:rFonts w:hint="cs"/>
          <w:b/>
          <w:bCs/>
          <w:rtl/>
        </w:rPr>
        <w:t>النفقات المخصصة لصالح الفقراء في الميزانية</w:t>
      </w:r>
    </w:p>
    <w:p w:rsidR="00C67DF8" w:rsidRPr="00437A34" w:rsidRDefault="00C67DF8" w:rsidP="00C67DF8">
      <w:pPr>
        <w:pStyle w:val="SingleTxt"/>
        <w:tabs>
          <w:tab w:val="clear" w:pos="1930"/>
          <w:tab w:val="left" w:pos="2228"/>
        </w:tabs>
        <w:rPr>
          <w:rFonts w:hint="cs"/>
          <w:i/>
          <w:iCs/>
          <w:rtl/>
        </w:rPr>
      </w:pPr>
      <w:r w:rsidRPr="00437A34">
        <w:rPr>
          <w:rFonts w:hint="cs"/>
          <w:i/>
          <w:iCs/>
          <w:sz w:val="16"/>
          <w:szCs w:val="26"/>
          <w:rtl/>
        </w:rPr>
        <w:t>(ملايين الروبيات)</w:t>
      </w:r>
    </w:p>
    <w:p w:rsidR="00C67DF8" w:rsidRPr="00437A34" w:rsidRDefault="00C67DF8" w:rsidP="00C67DF8">
      <w:pPr>
        <w:pStyle w:val="SingleTxt"/>
        <w:tabs>
          <w:tab w:val="clear" w:pos="1930"/>
          <w:tab w:val="left" w:pos="2228"/>
        </w:tabs>
        <w:spacing w:after="0" w:line="120" w:lineRule="exact"/>
        <w:rPr>
          <w:rFonts w:hint="cs"/>
          <w:sz w:val="10"/>
          <w:rtl/>
        </w:rPr>
      </w:pPr>
    </w:p>
    <w:tbl>
      <w:tblPr>
        <w:bidiVisual/>
        <w:tblW w:w="0" w:type="auto"/>
        <w:jc w:val="center"/>
        <w:tblInd w:w="379" w:type="dxa"/>
        <w:tblLayout w:type="fixed"/>
        <w:tblLook w:val="01E0" w:firstRow="1" w:lastRow="1" w:firstColumn="1" w:lastColumn="1" w:noHBand="0" w:noVBand="0"/>
      </w:tblPr>
      <w:tblGrid>
        <w:gridCol w:w="2472"/>
        <w:gridCol w:w="1236"/>
        <w:gridCol w:w="1114"/>
        <w:gridCol w:w="1152"/>
        <w:gridCol w:w="1442"/>
      </w:tblGrid>
      <w:tr w:rsidR="00C67DF8" w:rsidRPr="005860C5">
        <w:trPr>
          <w:cantSplit/>
          <w:tblHeader/>
          <w:jc w:val="center"/>
        </w:trPr>
        <w:tc>
          <w:tcPr>
            <w:tcW w:w="2472" w:type="dxa"/>
            <w:tcBorders>
              <w:top w:val="single" w:sz="4" w:space="0" w:color="auto"/>
              <w:bottom w:val="single" w:sz="12" w:space="0" w:color="auto"/>
            </w:tcBorders>
            <w:shd w:val="clear" w:color="auto" w:fill="auto"/>
            <w:vAlign w:val="bottom"/>
          </w:tcPr>
          <w:p w:rsidR="00C67DF8" w:rsidRPr="005860C5" w:rsidRDefault="00C67DF8" w:rsidP="00C67DF8">
            <w:pPr>
              <w:pStyle w:val="DualTxt"/>
              <w:spacing w:before="80" w:after="80" w:line="240" w:lineRule="exact"/>
              <w:rPr>
                <w:rFonts w:hint="cs"/>
                <w:i/>
                <w:iCs/>
                <w:sz w:val="16"/>
                <w:szCs w:val="24"/>
                <w:rtl/>
              </w:rPr>
            </w:pPr>
          </w:p>
        </w:tc>
        <w:tc>
          <w:tcPr>
            <w:tcW w:w="1236" w:type="dxa"/>
            <w:tcBorders>
              <w:top w:val="single" w:sz="4" w:space="0" w:color="auto"/>
              <w:bottom w:val="single" w:sz="12" w:space="0" w:color="auto"/>
            </w:tcBorders>
            <w:shd w:val="clear" w:color="auto" w:fill="auto"/>
            <w:vAlign w:val="bottom"/>
          </w:tcPr>
          <w:p w:rsidR="00C67DF8" w:rsidRPr="005860C5" w:rsidRDefault="00C67DF8" w:rsidP="00C67DF8">
            <w:pPr>
              <w:pStyle w:val="DualTxt"/>
              <w:spacing w:before="80" w:after="80" w:line="240" w:lineRule="exact"/>
              <w:ind w:right="144"/>
              <w:rPr>
                <w:rFonts w:hint="cs"/>
                <w:i/>
                <w:iCs/>
                <w:sz w:val="16"/>
                <w:szCs w:val="24"/>
                <w:rtl/>
              </w:rPr>
            </w:pPr>
            <w:r>
              <w:rPr>
                <w:rFonts w:hint="cs"/>
                <w:i/>
                <w:iCs/>
                <w:sz w:val="16"/>
                <w:szCs w:val="24"/>
                <w:rtl/>
              </w:rPr>
              <w:t>الميزانية الفعلية</w:t>
            </w:r>
            <w:r>
              <w:rPr>
                <w:i/>
                <w:iCs/>
                <w:sz w:val="16"/>
                <w:szCs w:val="24"/>
                <w:rtl/>
              </w:rPr>
              <w:br/>
            </w:r>
            <w:r>
              <w:rPr>
                <w:rFonts w:hint="cs"/>
                <w:i/>
                <w:iCs/>
                <w:sz w:val="16"/>
                <w:szCs w:val="24"/>
                <w:rtl/>
              </w:rPr>
              <w:t>2001-2002</w:t>
            </w:r>
          </w:p>
        </w:tc>
        <w:tc>
          <w:tcPr>
            <w:tcW w:w="1114" w:type="dxa"/>
            <w:tcBorders>
              <w:top w:val="single" w:sz="4" w:space="0" w:color="auto"/>
              <w:bottom w:val="single" w:sz="12" w:space="0" w:color="auto"/>
            </w:tcBorders>
            <w:shd w:val="clear" w:color="auto" w:fill="auto"/>
            <w:vAlign w:val="bottom"/>
          </w:tcPr>
          <w:p w:rsidR="00C67DF8" w:rsidRPr="005860C5" w:rsidRDefault="00C67DF8" w:rsidP="00C67DF8">
            <w:pPr>
              <w:pStyle w:val="DualTxt"/>
              <w:spacing w:before="80" w:after="80" w:line="240" w:lineRule="exact"/>
              <w:ind w:right="144"/>
              <w:rPr>
                <w:rFonts w:hint="cs"/>
                <w:i/>
                <w:iCs/>
                <w:sz w:val="16"/>
                <w:szCs w:val="24"/>
                <w:rtl/>
              </w:rPr>
            </w:pPr>
            <w:r>
              <w:rPr>
                <w:rFonts w:hint="cs"/>
                <w:i/>
                <w:iCs/>
                <w:sz w:val="16"/>
                <w:szCs w:val="24"/>
                <w:rtl/>
              </w:rPr>
              <w:t>الميزانية الفعلية</w:t>
            </w:r>
            <w:r>
              <w:rPr>
                <w:i/>
                <w:iCs/>
                <w:sz w:val="16"/>
                <w:szCs w:val="24"/>
                <w:rtl/>
              </w:rPr>
              <w:br/>
            </w:r>
            <w:r>
              <w:rPr>
                <w:rFonts w:hint="cs"/>
                <w:i/>
                <w:iCs/>
                <w:sz w:val="16"/>
                <w:szCs w:val="24"/>
                <w:rtl/>
              </w:rPr>
              <w:t>2002-2003</w:t>
            </w:r>
          </w:p>
        </w:tc>
        <w:tc>
          <w:tcPr>
            <w:tcW w:w="1152" w:type="dxa"/>
            <w:tcBorders>
              <w:top w:val="single" w:sz="4" w:space="0" w:color="auto"/>
              <w:bottom w:val="single" w:sz="12" w:space="0" w:color="auto"/>
            </w:tcBorders>
            <w:shd w:val="clear" w:color="auto" w:fill="auto"/>
            <w:vAlign w:val="bottom"/>
          </w:tcPr>
          <w:p w:rsidR="00C67DF8" w:rsidRPr="005860C5" w:rsidRDefault="00C67DF8" w:rsidP="00C67DF8">
            <w:pPr>
              <w:pStyle w:val="DualTxt"/>
              <w:spacing w:before="80" w:after="80" w:line="240" w:lineRule="exact"/>
              <w:ind w:right="144"/>
              <w:rPr>
                <w:rFonts w:hint="cs"/>
                <w:i/>
                <w:iCs/>
                <w:sz w:val="16"/>
                <w:szCs w:val="24"/>
                <w:rtl/>
              </w:rPr>
            </w:pPr>
            <w:r>
              <w:rPr>
                <w:rFonts w:hint="cs"/>
                <w:i/>
                <w:iCs/>
                <w:sz w:val="16"/>
                <w:szCs w:val="24"/>
                <w:rtl/>
              </w:rPr>
              <w:t>الميزانية</w:t>
            </w:r>
            <w:r>
              <w:rPr>
                <w:i/>
                <w:iCs/>
                <w:sz w:val="16"/>
                <w:szCs w:val="24"/>
                <w:rtl/>
              </w:rPr>
              <w:br/>
            </w:r>
            <w:r>
              <w:rPr>
                <w:rFonts w:hint="cs"/>
                <w:i/>
                <w:iCs/>
                <w:sz w:val="16"/>
                <w:szCs w:val="24"/>
                <w:rtl/>
              </w:rPr>
              <w:t>2003-2004</w:t>
            </w:r>
          </w:p>
        </w:tc>
        <w:tc>
          <w:tcPr>
            <w:tcW w:w="1442" w:type="dxa"/>
            <w:tcBorders>
              <w:top w:val="single" w:sz="4" w:space="0" w:color="auto"/>
              <w:bottom w:val="single" w:sz="12" w:space="0" w:color="auto"/>
            </w:tcBorders>
            <w:shd w:val="clear" w:color="auto" w:fill="auto"/>
            <w:vAlign w:val="bottom"/>
          </w:tcPr>
          <w:p w:rsidR="00C67DF8" w:rsidRPr="005860C5" w:rsidRDefault="00C67DF8" w:rsidP="00C67DF8">
            <w:pPr>
              <w:pStyle w:val="DualTxt"/>
              <w:spacing w:before="80" w:after="80" w:line="240" w:lineRule="exact"/>
              <w:ind w:right="144"/>
              <w:rPr>
                <w:rFonts w:hint="cs"/>
                <w:i/>
                <w:iCs/>
                <w:sz w:val="16"/>
                <w:szCs w:val="24"/>
                <w:rtl/>
              </w:rPr>
            </w:pPr>
            <w:r>
              <w:rPr>
                <w:rFonts w:hint="cs"/>
                <w:i/>
                <w:iCs/>
                <w:sz w:val="16"/>
                <w:szCs w:val="24"/>
                <w:rtl/>
              </w:rPr>
              <w:t>الميزانيـة المسقطة 2004-2005</w:t>
            </w:r>
          </w:p>
        </w:tc>
      </w:tr>
      <w:tr w:rsidR="00C67DF8" w:rsidRPr="005860C5">
        <w:trPr>
          <w:cantSplit/>
          <w:trHeight w:hRule="exact" w:val="115"/>
          <w:tblHeader/>
          <w:jc w:val="center"/>
        </w:trPr>
        <w:tc>
          <w:tcPr>
            <w:tcW w:w="2472" w:type="dxa"/>
            <w:tcBorders>
              <w:top w:val="single" w:sz="12" w:space="0" w:color="auto"/>
            </w:tcBorders>
            <w:shd w:val="clear" w:color="auto" w:fill="auto"/>
            <w:vAlign w:val="bottom"/>
          </w:tcPr>
          <w:p w:rsidR="00C67DF8" w:rsidRPr="005860C5" w:rsidRDefault="00C67DF8" w:rsidP="00C67DF8">
            <w:pPr>
              <w:pStyle w:val="DualTxt"/>
              <w:spacing w:before="40" w:after="80" w:line="240" w:lineRule="exact"/>
              <w:rPr>
                <w:rFonts w:hint="cs"/>
                <w:sz w:val="16"/>
                <w:szCs w:val="24"/>
                <w:rtl/>
              </w:rPr>
            </w:pPr>
            <w:proofErr w:type="spellStart"/>
            <w:r>
              <w:rPr>
                <w:rFonts w:hint="cs"/>
                <w:sz w:val="16"/>
                <w:szCs w:val="24"/>
                <w:rtl/>
              </w:rPr>
              <w:t>ال</w:t>
            </w:r>
            <w:proofErr w:type="spellEnd"/>
          </w:p>
        </w:tc>
        <w:tc>
          <w:tcPr>
            <w:tcW w:w="1236" w:type="dxa"/>
            <w:tcBorders>
              <w:top w:val="single" w:sz="12" w:space="0" w:color="auto"/>
            </w:tcBorders>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p>
        </w:tc>
        <w:tc>
          <w:tcPr>
            <w:tcW w:w="1114" w:type="dxa"/>
            <w:tcBorders>
              <w:top w:val="single" w:sz="12" w:space="0" w:color="auto"/>
            </w:tcBorders>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p>
        </w:tc>
        <w:tc>
          <w:tcPr>
            <w:tcW w:w="1152" w:type="dxa"/>
            <w:tcBorders>
              <w:top w:val="single" w:sz="12" w:space="0" w:color="auto"/>
            </w:tcBorders>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p>
        </w:tc>
        <w:tc>
          <w:tcPr>
            <w:tcW w:w="1442" w:type="dxa"/>
            <w:tcBorders>
              <w:top w:val="single" w:sz="12" w:space="0" w:color="auto"/>
            </w:tcBorders>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p>
        </w:tc>
      </w:tr>
      <w:tr w:rsidR="00C67DF8" w:rsidRPr="005860C5">
        <w:trPr>
          <w:cantSplit/>
          <w:jc w:val="center"/>
        </w:trPr>
        <w:tc>
          <w:tcPr>
            <w:tcW w:w="2472" w:type="dxa"/>
            <w:shd w:val="clear" w:color="auto" w:fill="auto"/>
            <w:vAlign w:val="bottom"/>
          </w:tcPr>
          <w:p w:rsidR="00C67DF8" w:rsidRPr="005860C5" w:rsidRDefault="00C67DF8" w:rsidP="00C67DF8">
            <w:pPr>
              <w:pStyle w:val="DualTxt"/>
              <w:spacing w:before="40" w:after="80" w:line="240" w:lineRule="exact"/>
              <w:rPr>
                <w:rFonts w:hint="cs"/>
                <w:sz w:val="16"/>
                <w:szCs w:val="24"/>
                <w:rtl/>
              </w:rPr>
            </w:pPr>
            <w:r>
              <w:rPr>
                <w:rFonts w:hint="cs"/>
                <w:sz w:val="16"/>
                <w:szCs w:val="24"/>
                <w:rtl/>
              </w:rPr>
              <w:t>الخدمات المجتمعية</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10.98</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16.57</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18.57</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21.46</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tabs>
                <w:tab w:val="clear" w:pos="662"/>
                <w:tab w:val="left" w:pos="407"/>
              </w:tabs>
              <w:spacing w:before="40" w:after="80" w:line="240" w:lineRule="exact"/>
              <w:ind w:left="407" w:hanging="407"/>
              <w:rPr>
                <w:rFonts w:hint="cs"/>
                <w:sz w:val="16"/>
                <w:szCs w:val="24"/>
                <w:rtl/>
              </w:rPr>
            </w:pPr>
            <w:r>
              <w:rPr>
                <w:rFonts w:hint="cs"/>
                <w:sz w:val="16"/>
                <w:szCs w:val="24"/>
                <w:rtl/>
              </w:rPr>
              <w:t>1 -</w:t>
            </w:r>
            <w:r>
              <w:rPr>
                <w:sz w:val="16"/>
                <w:szCs w:val="24"/>
                <w:rtl/>
              </w:rPr>
              <w:tab/>
            </w:r>
            <w:r>
              <w:rPr>
                <w:rFonts w:hint="cs"/>
                <w:sz w:val="16"/>
                <w:szCs w:val="24"/>
                <w:rtl/>
              </w:rPr>
              <w:t>الطرق والطرق السريعة والمباني</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6.34</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13.15</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14.59</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16.58</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tabs>
                <w:tab w:val="clear" w:pos="662"/>
                <w:tab w:val="left" w:pos="407"/>
              </w:tabs>
              <w:spacing w:before="40" w:after="80" w:line="240" w:lineRule="exact"/>
              <w:ind w:left="407" w:hanging="407"/>
              <w:rPr>
                <w:rFonts w:hint="cs"/>
                <w:sz w:val="16"/>
                <w:szCs w:val="24"/>
                <w:rtl/>
              </w:rPr>
            </w:pPr>
            <w:r>
              <w:rPr>
                <w:rFonts w:hint="cs"/>
                <w:sz w:val="16"/>
                <w:szCs w:val="24"/>
                <w:rtl/>
              </w:rPr>
              <w:t>2 -</w:t>
            </w:r>
            <w:r>
              <w:rPr>
                <w:sz w:val="16"/>
                <w:szCs w:val="24"/>
                <w:rtl/>
              </w:rPr>
              <w:tab/>
            </w:r>
            <w:r>
              <w:rPr>
                <w:rFonts w:hint="cs"/>
                <w:sz w:val="16"/>
                <w:szCs w:val="24"/>
                <w:rtl/>
              </w:rPr>
              <w:t>إمدادات المياه والمرافق الصحية</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4.64</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3.42</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3.98</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4.88</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spacing w:before="40" w:after="80" w:line="240" w:lineRule="exact"/>
              <w:rPr>
                <w:rFonts w:hint="cs"/>
                <w:sz w:val="16"/>
                <w:szCs w:val="24"/>
                <w:rtl/>
              </w:rPr>
            </w:pPr>
            <w:r>
              <w:rPr>
                <w:rFonts w:hint="cs"/>
                <w:sz w:val="16"/>
                <w:szCs w:val="24"/>
                <w:rtl/>
              </w:rPr>
              <w:t>التنمية البشرية</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90.67</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105.81</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126.56</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147.73</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tabs>
                <w:tab w:val="clear" w:pos="662"/>
                <w:tab w:val="left" w:pos="407"/>
              </w:tabs>
              <w:spacing w:before="40" w:after="80" w:line="240" w:lineRule="exact"/>
              <w:rPr>
                <w:rFonts w:hint="cs"/>
                <w:sz w:val="16"/>
                <w:szCs w:val="24"/>
                <w:rtl/>
              </w:rPr>
            </w:pPr>
            <w:r>
              <w:rPr>
                <w:rFonts w:hint="cs"/>
                <w:sz w:val="16"/>
                <w:szCs w:val="24"/>
                <w:rtl/>
              </w:rPr>
              <w:t>1 -</w:t>
            </w:r>
            <w:r>
              <w:rPr>
                <w:sz w:val="16"/>
                <w:szCs w:val="24"/>
                <w:rtl/>
              </w:rPr>
              <w:tab/>
            </w:r>
            <w:r>
              <w:rPr>
                <w:rFonts w:hint="cs"/>
                <w:sz w:val="16"/>
                <w:szCs w:val="24"/>
                <w:rtl/>
              </w:rPr>
              <w:t>التعليم</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66.29</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78.61</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88.84</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102.38</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spacing w:before="40" w:after="80" w:line="240" w:lineRule="exact"/>
              <w:rPr>
                <w:rFonts w:hint="cs"/>
                <w:sz w:val="16"/>
                <w:szCs w:val="24"/>
                <w:rtl/>
              </w:rPr>
            </w:pPr>
            <w:r>
              <w:rPr>
                <w:rFonts w:hint="cs"/>
                <w:sz w:val="16"/>
                <w:szCs w:val="24"/>
                <w:rtl/>
              </w:rPr>
              <w:t>2- الصحة</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19.21</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22.37</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29.17</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36.08</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spacing w:before="40" w:after="80" w:line="240" w:lineRule="exact"/>
              <w:rPr>
                <w:rFonts w:hint="cs"/>
                <w:sz w:val="16"/>
                <w:szCs w:val="24"/>
                <w:rtl/>
              </w:rPr>
            </w:pPr>
            <w:r>
              <w:rPr>
                <w:rFonts w:hint="cs"/>
                <w:sz w:val="16"/>
                <w:szCs w:val="24"/>
                <w:rtl/>
              </w:rPr>
              <w:t>3- تخطيط السكان</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1.33</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3.12</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4.60</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4.88</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tabs>
                <w:tab w:val="clear" w:pos="662"/>
                <w:tab w:val="left" w:pos="407"/>
              </w:tabs>
              <w:spacing w:before="40" w:after="80" w:line="240" w:lineRule="exact"/>
              <w:ind w:left="407" w:hanging="407"/>
              <w:rPr>
                <w:rFonts w:hint="cs"/>
                <w:sz w:val="16"/>
                <w:szCs w:val="24"/>
                <w:rtl/>
              </w:rPr>
            </w:pPr>
            <w:r>
              <w:rPr>
                <w:rFonts w:hint="cs"/>
                <w:sz w:val="16"/>
                <w:szCs w:val="24"/>
                <w:rtl/>
              </w:rPr>
              <w:t>4 -</w:t>
            </w:r>
            <w:r>
              <w:rPr>
                <w:sz w:val="16"/>
                <w:szCs w:val="24"/>
                <w:rtl/>
              </w:rPr>
              <w:tab/>
            </w:r>
            <w:r>
              <w:rPr>
                <w:rFonts w:hint="cs"/>
                <w:sz w:val="16"/>
                <w:szCs w:val="24"/>
                <w:rtl/>
              </w:rPr>
              <w:t>التأمين الاجتماعي والرعاية الاجتماعية</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3.66</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1.30</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3.68</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3.90</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tabs>
                <w:tab w:val="clear" w:pos="662"/>
                <w:tab w:val="left" w:pos="407"/>
              </w:tabs>
              <w:spacing w:before="40" w:after="80" w:line="240" w:lineRule="exact"/>
              <w:ind w:left="407" w:hanging="407"/>
              <w:rPr>
                <w:rFonts w:hint="cs"/>
                <w:sz w:val="16"/>
                <w:szCs w:val="24"/>
                <w:rtl/>
              </w:rPr>
            </w:pPr>
            <w:r>
              <w:rPr>
                <w:rFonts w:hint="cs"/>
                <w:sz w:val="16"/>
                <w:szCs w:val="24"/>
                <w:rtl/>
              </w:rPr>
              <w:t>5 -</w:t>
            </w:r>
            <w:r>
              <w:rPr>
                <w:sz w:val="16"/>
                <w:szCs w:val="24"/>
                <w:rtl/>
              </w:rPr>
              <w:tab/>
            </w:r>
            <w:r>
              <w:rPr>
                <w:rFonts w:hint="cs"/>
                <w:sz w:val="16"/>
                <w:szCs w:val="24"/>
                <w:rtl/>
              </w:rPr>
              <w:t>الكوارث الطبيعية</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0.19</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0.41</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0.27</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0.49</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spacing w:before="40" w:after="80" w:line="240" w:lineRule="exact"/>
              <w:rPr>
                <w:rFonts w:hint="cs"/>
                <w:sz w:val="16"/>
                <w:szCs w:val="24"/>
                <w:rtl/>
              </w:rPr>
            </w:pPr>
            <w:r>
              <w:rPr>
                <w:rFonts w:hint="cs"/>
                <w:sz w:val="16"/>
                <w:szCs w:val="24"/>
                <w:rtl/>
              </w:rPr>
              <w:t>التنمية الريفية</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24.30</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34.18</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34.15</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43.04</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tabs>
                <w:tab w:val="clear" w:pos="662"/>
                <w:tab w:val="left" w:pos="407"/>
              </w:tabs>
              <w:spacing w:before="40" w:after="80" w:line="240" w:lineRule="exact"/>
              <w:ind w:left="407" w:hanging="407"/>
              <w:rPr>
                <w:rFonts w:hint="cs"/>
                <w:sz w:val="16"/>
                <w:szCs w:val="24"/>
                <w:rtl/>
              </w:rPr>
            </w:pPr>
            <w:r>
              <w:rPr>
                <w:rFonts w:hint="cs"/>
                <w:sz w:val="16"/>
                <w:szCs w:val="24"/>
                <w:rtl/>
              </w:rPr>
              <w:t>1 -</w:t>
            </w:r>
            <w:r>
              <w:rPr>
                <w:sz w:val="16"/>
                <w:szCs w:val="24"/>
                <w:rtl/>
              </w:rPr>
              <w:tab/>
            </w:r>
            <w:r>
              <w:rPr>
                <w:rFonts w:hint="cs"/>
                <w:sz w:val="16"/>
                <w:szCs w:val="24"/>
                <w:rtl/>
              </w:rPr>
              <w:t>الري</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10.13</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15.54</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25.19</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32.37</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tabs>
                <w:tab w:val="clear" w:pos="662"/>
                <w:tab w:val="left" w:pos="407"/>
              </w:tabs>
              <w:spacing w:before="40" w:after="80" w:line="240" w:lineRule="exact"/>
              <w:ind w:left="407" w:hanging="407"/>
              <w:rPr>
                <w:rFonts w:hint="cs"/>
                <w:sz w:val="16"/>
                <w:szCs w:val="24"/>
                <w:rtl/>
              </w:rPr>
            </w:pPr>
            <w:r>
              <w:rPr>
                <w:rFonts w:hint="cs"/>
                <w:sz w:val="16"/>
                <w:szCs w:val="24"/>
                <w:rtl/>
              </w:rPr>
              <w:t>2 -</w:t>
            </w:r>
            <w:r>
              <w:rPr>
                <w:sz w:val="16"/>
                <w:szCs w:val="24"/>
                <w:rtl/>
              </w:rPr>
              <w:tab/>
            </w:r>
            <w:r>
              <w:rPr>
                <w:rFonts w:hint="cs"/>
                <w:sz w:val="16"/>
                <w:szCs w:val="24"/>
                <w:rtl/>
              </w:rPr>
              <w:t>استصلاح الأراضي</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1.84</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1.76</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1.77</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2.44</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tabs>
                <w:tab w:val="clear" w:pos="662"/>
                <w:tab w:val="left" w:pos="407"/>
              </w:tabs>
              <w:spacing w:before="40" w:after="80" w:line="240" w:lineRule="exact"/>
              <w:ind w:left="407" w:hanging="407"/>
              <w:rPr>
                <w:rFonts w:hint="cs"/>
                <w:sz w:val="16"/>
                <w:szCs w:val="24"/>
                <w:rtl/>
              </w:rPr>
            </w:pPr>
            <w:r>
              <w:rPr>
                <w:rFonts w:hint="cs"/>
                <w:sz w:val="16"/>
                <w:szCs w:val="24"/>
                <w:rtl/>
              </w:rPr>
              <w:t>3 -</w:t>
            </w:r>
            <w:r>
              <w:rPr>
                <w:sz w:val="16"/>
                <w:szCs w:val="24"/>
                <w:rtl/>
              </w:rPr>
              <w:tab/>
            </w:r>
            <w:r>
              <w:rPr>
                <w:rFonts w:hint="cs"/>
                <w:sz w:val="16"/>
                <w:szCs w:val="24"/>
                <w:rtl/>
              </w:rPr>
              <w:t>التنمية الريفية</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12.33</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16.88</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6.19</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7.23</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tabs>
                <w:tab w:val="clear" w:pos="662"/>
                <w:tab w:val="left" w:pos="407"/>
              </w:tabs>
              <w:spacing w:before="40" w:after="80" w:line="240" w:lineRule="exact"/>
              <w:ind w:left="407" w:hanging="407"/>
              <w:rPr>
                <w:rFonts w:hint="cs"/>
                <w:sz w:val="16"/>
                <w:szCs w:val="24"/>
                <w:rtl/>
              </w:rPr>
            </w:pPr>
            <w:r>
              <w:rPr>
                <w:rFonts w:hint="cs"/>
                <w:sz w:val="16"/>
                <w:szCs w:val="24"/>
                <w:rtl/>
              </w:rPr>
              <w:t>4 -</w:t>
            </w:r>
            <w:r>
              <w:rPr>
                <w:sz w:val="16"/>
                <w:szCs w:val="24"/>
                <w:rtl/>
              </w:rPr>
              <w:tab/>
            </w:r>
            <w:r>
              <w:rPr>
                <w:rFonts w:hint="cs"/>
                <w:sz w:val="16"/>
                <w:szCs w:val="24"/>
                <w:rtl/>
              </w:rPr>
              <w:t>كهربة الريف</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1.00</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1.00</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spacing w:before="40" w:after="80" w:line="240" w:lineRule="exact"/>
              <w:rPr>
                <w:rFonts w:hint="cs"/>
                <w:sz w:val="16"/>
                <w:szCs w:val="24"/>
                <w:rtl/>
              </w:rPr>
            </w:pPr>
            <w:r>
              <w:rPr>
                <w:rFonts w:hint="cs"/>
                <w:sz w:val="16"/>
                <w:szCs w:val="24"/>
                <w:rtl/>
              </w:rPr>
              <w:t>شبكات الأمان</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8.33</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13.75</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17.67</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19.03</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tabs>
                <w:tab w:val="clear" w:pos="662"/>
                <w:tab w:val="left" w:pos="407"/>
              </w:tabs>
              <w:spacing w:before="40" w:after="80" w:line="240" w:lineRule="exact"/>
              <w:ind w:left="407" w:hanging="407"/>
              <w:rPr>
                <w:rFonts w:hint="cs"/>
                <w:sz w:val="16"/>
                <w:szCs w:val="24"/>
                <w:rtl/>
              </w:rPr>
            </w:pPr>
            <w:r>
              <w:rPr>
                <w:rFonts w:hint="cs"/>
                <w:sz w:val="16"/>
                <w:szCs w:val="24"/>
                <w:rtl/>
              </w:rPr>
              <w:t>1 -</w:t>
            </w:r>
            <w:r>
              <w:rPr>
                <w:sz w:val="16"/>
                <w:szCs w:val="24"/>
                <w:rtl/>
              </w:rPr>
              <w:tab/>
            </w:r>
            <w:r>
              <w:rPr>
                <w:rFonts w:hint="cs"/>
                <w:sz w:val="16"/>
                <w:szCs w:val="24"/>
                <w:rtl/>
              </w:rPr>
              <w:t>الإعانات الغذائية</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5.51</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10.86</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13.26</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14.63</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tabs>
                <w:tab w:val="clear" w:pos="662"/>
                <w:tab w:val="left" w:pos="407"/>
              </w:tabs>
              <w:spacing w:before="40" w:after="80" w:line="240" w:lineRule="exact"/>
              <w:ind w:left="407" w:hanging="407"/>
              <w:rPr>
                <w:rFonts w:hint="cs"/>
                <w:sz w:val="16"/>
                <w:szCs w:val="24"/>
                <w:rtl/>
              </w:rPr>
            </w:pPr>
            <w:r>
              <w:rPr>
                <w:rFonts w:hint="cs"/>
                <w:sz w:val="16"/>
                <w:szCs w:val="24"/>
                <w:rtl/>
              </w:rPr>
              <w:t>2 -</w:t>
            </w:r>
            <w:r>
              <w:rPr>
                <w:sz w:val="16"/>
                <w:szCs w:val="24"/>
                <w:rtl/>
              </w:rPr>
              <w:tab/>
            </w:r>
            <w:r>
              <w:rPr>
                <w:rFonts w:hint="cs"/>
                <w:sz w:val="16"/>
                <w:szCs w:val="24"/>
                <w:rtl/>
              </w:rPr>
              <w:t>برنامج الدعم الغذائي</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2.02</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2.24</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3.54</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3.90</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tabs>
                <w:tab w:val="clear" w:pos="662"/>
                <w:tab w:val="left" w:pos="407"/>
              </w:tabs>
              <w:spacing w:before="40" w:after="80" w:line="240" w:lineRule="exact"/>
              <w:ind w:left="407" w:hanging="407"/>
              <w:rPr>
                <w:rFonts w:hint="cs"/>
                <w:sz w:val="16"/>
                <w:szCs w:val="24"/>
                <w:rtl/>
              </w:rPr>
            </w:pPr>
            <w:r>
              <w:rPr>
                <w:rFonts w:hint="cs"/>
                <w:sz w:val="16"/>
                <w:szCs w:val="24"/>
                <w:rtl/>
              </w:rPr>
              <w:t>3 -</w:t>
            </w:r>
            <w:r>
              <w:rPr>
                <w:sz w:val="16"/>
                <w:szCs w:val="24"/>
                <w:rtl/>
              </w:rPr>
              <w:tab/>
            </w:r>
            <w:proofErr w:type="spellStart"/>
            <w:r>
              <w:rPr>
                <w:rFonts w:hint="cs"/>
                <w:sz w:val="16"/>
                <w:szCs w:val="24"/>
                <w:rtl/>
              </w:rPr>
              <w:t>تاوانا</w:t>
            </w:r>
            <w:proofErr w:type="spellEnd"/>
            <w:r>
              <w:rPr>
                <w:rFonts w:hint="cs"/>
                <w:sz w:val="16"/>
                <w:szCs w:val="24"/>
                <w:rtl/>
              </w:rPr>
              <w:t xml:space="preserve"> باكستان</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0.80</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0.59</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0.70</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0.50</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tabs>
                <w:tab w:val="clear" w:pos="662"/>
                <w:tab w:val="left" w:pos="407"/>
              </w:tabs>
              <w:spacing w:before="40" w:after="80" w:line="240" w:lineRule="exact"/>
              <w:ind w:left="407" w:hanging="407"/>
              <w:rPr>
                <w:rFonts w:hint="cs"/>
                <w:sz w:val="16"/>
                <w:szCs w:val="24"/>
                <w:rtl/>
              </w:rPr>
            </w:pPr>
            <w:r>
              <w:rPr>
                <w:rFonts w:hint="cs"/>
                <w:sz w:val="16"/>
                <w:szCs w:val="24"/>
                <w:rtl/>
              </w:rPr>
              <w:t>4 -</w:t>
            </w:r>
            <w:r>
              <w:rPr>
                <w:sz w:val="16"/>
                <w:szCs w:val="24"/>
                <w:rtl/>
              </w:rPr>
              <w:tab/>
            </w:r>
            <w:r>
              <w:rPr>
                <w:rFonts w:hint="cs"/>
                <w:sz w:val="16"/>
                <w:szCs w:val="24"/>
                <w:rtl/>
              </w:rPr>
              <w:t>الإسكان المنخفض التكلفة</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0.06</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0.17</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p>
        </w:tc>
      </w:tr>
      <w:tr w:rsidR="00C67DF8" w:rsidRPr="005860C5">
        <w:trPr>
          <w:cantSplit/>
          <w:jc w:val="center"/>
        </w:trPr>
        <w:tc>
          <w:tcPr>
            <w:tcW w:w="2472" w:type="dxa"/>
            <w:shd w:val="clear" w:color="auto" w:fill="auto"/>
            <w:vAlign w:val="bottom"/>
          </w:tcPr>
          <w:p w:rsidR="00C67DF8" w:rsidRPr="005860C5" w:rsidRDefault="00C67DF8" w:rsidP="00C67DF8">
            <w:pPr>
              <w:pStyle w:val="DualTxt"/>
              <w:spacing w:before="40" w:after="80" w:line="240" w:lineRule="exact"/>
              <w:rPr>
                <w:rFonts w:hint="cs"/>
                <w:sz w:val="16"/>
                <w:szCs w:val="24"/>
                <w:rtl/>
              </w:rPr>
            </w:pPr>
            <w:r>
              <w:rPr>
                <w:rFonts w:hint="cs"/>
                <w:sz w:val="16"/>
                <w:szCs w:val="24"/>
                <w:rtl/>
              </w:rPr>
              <w:t>الحكــــــم</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32.98</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38.54</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41.86</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46.80</w:t>
            </w:r>
          </w:p>
        </w:tc>
      </w:tr>
      <w:tr w:rsidR="00C67DF8" w:rsidRPr="005860C5">
        <w:trPr>
          <w:cantSplit/>
          <w:jc w:val="center"/>
        </w:trPr>
        <w:tc>
          <w:tcPr>
            <w:tcW w:w="2472" w:type="dxa"/>
            <w:shd w:val="clear" w:color="auto" w:fill="auto"/>
            <w:vAlign w:val="bottom"/>
          </w:tcPr>
          <w:p w:rsidR="00C67DF8" w:rsidRPr="005860C5" w:rsidRDefault="00C67DF8" w:rsidP="00C67DF8">
            <w:pPr>
              <w:pStyle w:val="DualTxt"/>
              <w:tabs>
                <w:tab w:val="clear" w:pos="662"/>
                <w:tab w:val="left" w:pos="407"/>
              </w:tabs>
              <w:spacing w:before="40" w:after="80" w:line="240" w:lineRule="exact"/>
              <w:ind w:left="407" w:hanging="407"/>
              <w:rPr>
                <w:rFonts w:hint="cs"/>
                <w:sz w:val="16"/>
                <w:szCs w:val="24"/>
                <w:rtl/>
              </w:rPr>
            </w:pPr>
            <w:r>
              <w:rPr>
                <w:rFonts w:hint="cs"/>
                <w:sz w:val="16"/>
                <w:szCs w:val="24"/>
                <w:rtl/>
              </w:rPr>
              <w:t>1 -</w:t>
            </w:r>
            <w:r>
              <w:rPr>
                <w:sz w:val="16"/>
                <w:szCs w:val="24"/>
                <w:rtl/>
              </w:rPr>
              <w:tab/>
            </w:r>
            <w:r>
              <w:rPr>
                <w:rFonts w:hint="cs"/>
                <w:sz w:val="16"/>
                <w:szCs w:val="24"/>
                <w:rtl/>
              </w:rPr>
              <w:t>إقامة العدل</w:t>
            </w:r>
          </w:p>
        </w:tc>
        <w:tc>
          <w:tcPr>
            <w:tcW w:w="1236"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1.98</w:t>
            </w:r>
          </w:p>
        </w:tc>
        <w:tc>
          <w:tcPr>
            <w:tcW w:w="1114"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2.25</w:t>
            </w:r>
          </w:p>
        </w:tc>
        <w:tc>
          <w:tcPr>
            <w:tcW w:w="115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2.65</w:t>
            </w:r>
          </w:p>
        </w:tc>
        <w:tc>
          <w:tcPr>
            <w:tcW w:w="1442" w:type="dxa"/>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3.41</w:t>
            </w:r>
          </w:p>
        </w:tc>
      </w:tr>
      <w:tr w:rsidR="00C67DF8" w:rsidRPr="005860C5">
        <w:trPr>
          <w:cantSplit/>
          <w:jc w:val="center"/>
        </w:trPr>
        <w:tc>
          <w:tcPr>
            <w:tcW w:w="2472" w:type="dxa"/>
            <w:tcBorders>
              <w:bottom w:val="single" w:sz="4" w:space="0" w:color="auto"/>
            </w:tcBorders>
            <w:shd w:val="clear" w:color="auto" w:fill="auto"/>
            <w:vAlign w:val="bottom"/>
          </w:tcPr>
          <w:p w:rsidR="00C67DF8" w:rsidRPr="005860C5" w:rsidRDefault="00C67DF8" w:rsidP="00C67DF8">
            <w:pPr>
              <w:pStyle w:val="DualTxt"/>
              <w:tabs>
                <w:tab w:val="clear" w:pos="662"/>
                <w:tab w:val="left" w:pos="407"/>
              </w:tabs>
              <w:spacing w:before="40" w:after="80" w:line="240" w:lineRule="exact"/>
              <w:ind w:left="407" w:hanging="407"/>
              <w:rPr>
                <w:rFonts w:hint="cs"/>
                <w:sz w:val="16"/>
                <w:szCs w:val="24"/>
                <w:rtl/>
              </w:rPr>
            </w:pPr>
            <w:r>
              <w:rPr>
                <w:rFonts w:hint="cs"/>
                <w:sz w:val="16"/>
                <w:szCs w:val="24"/>
                <w:rtl/>
              </w:rPr>
              <w:t>2 -</w:t>
            </w:r>
            <w:r>
              <w:rPr>
                <w:sz w:val="16"/>
                <w:szCs w:val="24"/>
                <w:rtl/>
              </w:rPr>
              <w:tab/>
            </w:r>
            <w:r>
              <w:rPr>
                <w:rFonts w:hint="cs"/>
                <w:sz w:val="16"/>
                <w:szCs w:val="24"/>
                <w:rtl/>
              </w:rPr>
              <w:t>القانون والنظام</w:t>
            </w:r>
          </w:p>
        </w:tc>
        <w:tc>
          <w:tcPr>
            <w:tcW w:w="1236" w:type="dxa"/>
            <w:tcBorders>
              <w:bottom w:val="single" w:sz="4" w:space="0" w:color="auto"/>
            </w:tcBorders>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31.00</w:t>
            </w:r>
          </w:p>
        </w:tc>
        <w:tc>
          <w:tcPr>
            <w:tcW w:w="1114" w:type="dxa"/>
            <w:tcBorders>
              <w:bottom w:val="single" w:sz="4" w:space="0" w:color="auto"/>
            </w:tcBorders>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38.29</w:t>
            </w:r>
          </w:p>
        </w:tc>
        <w:tc>
          <w:tcPr>
            <w:tcW w:w="1152" w:type="dxa"/>
            <w:tcBorders>
              <w:bottom w:val="single" w:sz="4" w:space="0" w:color="auto"/>
            </w:tcBorders>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39.21</w:t>
            </w:r>
          </w:p>
        </w:tc>
        <w:tc>
          <w:tcPr>
            <w:tcW w:w="1442" w:type="dxa"/>
            <w:tcBorders>
              <w:bottom w:val="single" w:sz="4" w:space="0" w:color="auto"/>
            </w:tcBorders>
            <w:shd w:val="clear" w:color="auto" w:fill="auto"/>
            <w:vAlign w:val="bottom"/>
          </w:tcPr>
          <w:p w:rsidR="00C67DF8" w:rsidRPr="005860C5" w:rsidRDefault="00C67DF8" w:rsidP="00C67DF8">
            <w:pPr>
              <w:pStyle w:val="DualTxt"/>
              <w:spacing w:before="40" w:after="80" w:line="240" w:lineRule="exact"/>
              <w:ind w:right="144"/>
              <w:rPr>
                <w:rFonts w:hint="cs"/>
                <w:sz w:val="16"/>
                <w:szCs w:val="24"/>
                <w:rtl/>
              </w:rPr>
            </w:pPr>
            <w:r>
              <w:rPr>
                <w:rFonts w:hint="cs"/>
                <w:sz w:val="16"/>
                <w:szCs w:val="24"/>
                <w:rtl/>
              </w:rPr>
              <w:t>43.39</w:t>
            </w:r>
          </w:p>
        </w:tc>
      </w:tr>
      <w:tr w:rsidR="00C67DF8" w:rsidRPr="0054218D">
        <w:trPr>
          <w:cantSplit/>
          <w:jc w:val="center"/>
        </w:trPr>
        <w:tc>
          <w:tcPr>
            <w:tcW w:w="2472" w:type="dxa"/>
            <w:tcBorders>
              <w:top w:val="single" w:sz="4" w:space="0" w:color="auto"/>
              <w:bottom w:val="single" w:sz="12" w:space="0" w:color="auto"/>
            </w:tcBorders>
            <w:shd w:val="clear" w:color="auto" w:fill="auto"/>
            <w:vAlign w:val="bottom"/>
          </w:tcPr>
          <w:p w:rsidR="00C67DF8" w:rsidRPr="0054218D" w:rsidRDefault="00C67DF8" w:rsidP="00C67DF8">
            <w:pPr>
              <w:pStyle w:val="DualTxt"/>
              <w:spacing w:before="60" w:after="60" w:line="240" w:lineRule="exact"/>
              <w:rPr>
                <w:rFonts w:hint="cs"/>
                <w:bCs/>
                <w:sz w:val="16"/>
                <w:szCs w:val="24"/>
                <w:rtl/>
              </w:rPr>
            </w:pPr>
            <w:r w:rsidRPr="0054218D">
              <w:rPr>
                <w:bCs/>
                <w:sz w:val="16"/>
                <w:szCs w:val="24"/>
                <w:rtl/>
              </w:rPr>
              <w:tab/>
            </w:r>
            <w:r w:rsidRPr="0054218D">
              <w:rPr>
                <w:rFonts w:hint="cs"/>
                <w:bCs/>
                <w:sz w:val="16"/>
                <w:szCs w:val="24"/>
                <w:rtl/>
              </w:rPr>
              <w:t>المجموع</w:t>
            </w:r>
          </w:p>
        </w:tc>
        <w:tc>
          <w:tcPr>
            <w:tcW w:w="1236" w:type="dxa"/>
            <w:tcBorders>
              <w:top w:val="single" w:sz="4" w:space="0" w:color="auto"/>
              <w:bottom w:val="single" w:sz="12" w:space="0" w:color="auto"/>
            </w:tcBorders>
            <w:shd w:val="clear" w:color="auto" w:fill="auto"/>
            <w:vAlign w:val="bottom"/>
          </w:tcPr>
          <w:p w:rsidR="00C67DF8" w:rsidRPr="0054218D" w:rsidRDefault="00C67DF8" w:rsidP="00C67DF8">
            <w:pPr>
              <w:pStyle w:val="DualTxt"/>
              <w:spacing w:before="60" w:after="60" w:line="240" w:lineRule="exact"/>
              <w:ind w:right="144"/>
              <w:rPr>
                <w:rFonts w:hint="cs"/>
                <w:bCs/>
                <w:sz w:val="16"/>
                <w:szCs w:val="24"/>
                <w:rtl/>
              </w:rPr>
            </w:pPr>
            <w:r w:rsidRPr="0054218D">
              <w:rPr>
                <w:rFonts w:hint="cs"/>
                <w:bCs/>
                <w:sz w:val="16"/>
                <w:szCs w:val="24"/>
                <w:rtl/>
              </w:rPr>
              <w:t>167.25</w:t>
            </w:r>
          </w:p>
        </w:tc>
        <w:tc>
          <w:tcPr>
            <w:tcW w:w="1114" w:type="dxa"/>
            <w:tcBorders>
              <w:top w:val="single" w:sz="4" w:space="0" w:color="auto"/>
              <w:bottom w:val="single" w:sz="12" w:space="0" w:color="auto"/>
            </w:tcBorders>
            <w:shd w:val="clear" w:color="auto" w:fill="auto"/>
            <w:vAlign w:val="bottom"/>
          </w:tcPr>
          <w:p w:rsidR="00C67DF8" w:rsidRPr="0054218D" w:rsidRDefault="00C67DF8" w:rsidP="00C67DF8">
            <w:pPr>
              <w:pStyle w:val="DualTxt"/>
              <w:spacing w:before="60" w:after="60" w:line="240" w:lineRule="exact"/>
              <w:ind w:right="144"/>
              <w:rPr>
                <w:rFonts w:hint="cs"/>
                <w:bCs/>
                <w:sz w:val="16"/>
                <w:szCs w:val="24"/>
                <w:rtl/>
              </w:rPr>
            </w:pPr>
            <w:r w:rsidRPr="0054218D">
              <w:rPr>
                <w:rFonts w:hint="cs"/>
                <w:bCs/>
                <w:sz w:val="16"/>
                <w:szCs w:val="24"/>
                <w:rtl/>
              </w:rPr>
              <w:t>208.84</w:t>
            </w:r>
          </w:p>
        </w:tc>
        <w:tc>
          <w:tcPr>
            <w:tcW w:w="1152" w:type="dxa"/>
            <w:tcBorders>
              <w:top w:val="single" w:sz="4" w:space="0" w:color="auto"/>
              <w:bottom w:val="single" w:sz="12" w:space="0" w:color="auto"/>
            </w:tcBorders>
            <w:shd w:val="clear" w:color="auto" w:fill="auto"/>
            <w:vAlign w:val="bottom"/>
          </w:tcPr>
          <w:p w:rsidR="00C67DF8" w:rsidRPr="0054218D" w:rsidRDefault="00C67DF8" w:rsidP="00C67DF8">
            <w:pPr>
              <w:pStyle w:val="DualTxt"/>
              <w:spacing w:before="60" w:after="60" w:line="240" w:lineRule="exact"/>
              <w:ind w:right="144"/>
              <w:rPr>
                <w:rFonts w:hint="cs"/>
                <w:bCs/>
                <w:sz w:val="16"/>
                <w:szCs w:val="24"/>
                <w:rtl/>
              </w:rPr>
            </w:pPr>
            <w:r w:rsidRPr="0054218D">
              <w:rPr>
                <w:rFonts w:hint="cs"/>
                <w:bCs/>
                <w:sz w:val="16"/>
                <w:szCs w:val="24"/>
                <w:rtl/>
              </w:rPr>
              <w:t>238.80</w:t>
            </w:r>
          </w:p>
        </w:tc>
        <w:tc>
          <w:tcPr>
            <w:tcW w:w="1442" w:type="dxa"/>
            <w:tcBorders>
              <w:top w:val="single" w:sz="4" w:space="0" w:color="auto"/>
              <w:bottom w:val="single" w:sz="12" w:space="0" w:color="auto"/>
            </w:tcBorders>
            <w:shd w:val="clear" w:color="auto" w:fill="auto"/>
            <w:vAlign w:val="bottom"/>
          </w:tcPr>
          <w:p w:rsidR="00C67DF8" w:rsidRPr="0054218D" w:rsidRDefault="00C67DF8" w:rsidP="00C67DF8">
            <w:pPr>
              <w:pStyle w:val="DualTxt"/>
              <w:spacing w:before="60" w:after="60" w:line="240" w:lineRule="exact"/>
              <w:ind w:right="144"/>
              <w:rPr>
                <w:rFonts w:hint="cs"/>
                <w:bCs/>
                <w:sz w:val="16"/>
                <w:szCs w:val="24"/>
                <w:rtl/>
              </w:rPr>
            </w:pPr>
            <w:r w:rsidRPr="0054218D">
              <w:rPr>
                <w:rFonts w:hint="cs"/>
                <w:bCs/>
                <w:sz w:val="16"/>
                <w:szCs w:val="24"/>
                <w:rtl/>
              </w:rPr>
              <w:t>278.02</w:t>
            </w:r>
          </w:p>
        </w:tc>
      </w:tr>
    </w:tbl>
    <w:p w:rsidR="00C67DF8" w:rsidRPr="0054218D" w:rsidRDefault="00C67DF8" w:rsidP="00C67DF8">
      <w:pPr>
        <w:pStyle w:val="SingleTxt"/>
        <w:spacing w:after="0" w:line="120" w:lineRule="exact"/>
        <w:rPr>
          <w:rFonts w:hint="cs"/>
          <w:sz w:val="10"/>
          <w:rtl/>
        </w:rPr>
      </w:pPr>
    </w:p>
    <w:p w:rsidR="00C67DF8" w:rsidRDefault="00C67DF8" w:rsidP="00C67DF8">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Pr>
          <w:rFonts w:hint="cs"/>
          <w:rtl/>
        </w:rPr>
        <w:tab/>
      </w:r>
      <w:r w:rsidRPr="0054218D">
        <w:rPr>
          <w:rFonts w:hint="cs"/>
          <w:i/>
          <w:iCs/>
          <w:rtl/>
        </w:rPr>
        <w:t>المصدر</w:t>
      </w:r>
      <w:r>
        <w:rPr>
          <w:rFonts w:hint="cs"/>
          <w:rtl/>
        </w:rPr>
        <w:t xml:space="preserve">: </w:t>
      </w:r>
      <w:r w:rsidR="00854F5D">
        <w:rPr>
          <w:rFonts w:hint="cs"/>
          <w:rtl/>
        </w:rPr>
        <w:t xml:space="preserve">الحسابات الدنية الشهرية، </w:t>
      </w:r>
      <w:r>
        <w:rPr>
          <w:rFonts w:hint="cs"/>
          <w:rtl/>
        </w:rPr>
        <w:t>الدراسة الاستقصائية لاقتصاد باكستان.</w:t>
      </w:r>
    </w:p>
    <w:p w:rsidR="00C67DF8" w:rsidRDefault="00C67DF8" w:rsidP="00C67DF8">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2"/>
          <w:rtl/>
        </w:rPr>
      </w:pPr>
    </w:p>
    <w:p w:rsidR="00C67DF8" w:rsidRDefault="00C67DF8" w:rsidP="00C67DF8">
      <w:pPr>
        <w:pStyle w:val="SingleTxt"/>
        <w:tabs>
          <w:tab w:val="clear" w:pos="1930"/>
          <w:tab w:val="left" w:pos="2125"/>
        </w:tabs>
        <w:rPr>
          <w:rFonts w:hint="cs"/>
          <w:rtl/>
        </w:rPr>
      </w:pPr>
      <w:r>
        <w:rPr>
          <w:rFonts w:hint="cs"/>
          <w:rtl/>
        </w:rPr>
        <w:t>407 -</w:t>
      </w:r>
      <w:r>
        <w:rPr>
          <w:rFonts w:hint="cs"/>
          <w:rtl/>
        </w:rPr>
        <w:tab/>
        <w:t xml:space="preserve">وبالإضافة للنفقات الحكومية لمكافحة الفقر، يهدف قدر كبير من الموارد العامة إلى توفير الحماية الاجتماعية لأفقر قطاعات المجتمع، وخاصة النساء. وقامت الحكومة بزيادة المساعدة المقدمة إلى من هم أشد حاجة، بصورة ملحوظة، من خلال مبادرات حكومية حديثة، منها برنامج دعم الأغذية، وبرنامج </w:t>
      </w:r>
      <w:proofErr w:type="spellStart"/>
      <w:r>
        <w:rPr>
          <w:rFonts w:hint="cs"/>
          <w:rtl/>
        </w:rPr>
        <w:t>خوشهال</w:t>
      </w:r>
      <w:proofErr w:type="spellEnd"/>
      <w:r>
        <w:rPr>
          <w:rFonts w:hint="cs"/>
          <w:rtl/>
        </w:rPr>
        <w:t xml:space="preserve"> باكستان، وعمليات تحويل الأراضي الحكومية. وتقسم تحويلات الأمان الاجتماعي التي قامت بها الحكومة إلى ثلاث فئات واسعة، وتشمل: التحويلات النقدية والتحويلات العينية، وبرامج الأشغال العامة. ومن البرامج الحكومية المنفذة في هذا المجال، الزكاة وبرنامج الدعم الغذائي، ومؤسسات استحقاقات الشيخوخة للموظفين، ومدفوعات الائتمانات الصغيرة المقدمة من مصرف </w:t>
      </w:r>
      <w:proofErr w:type="spellStart"/>
      <w:r>
        <w:rPr>
          <w:rFonts w:hint="cs"/>
          <w:rtl/>
        </w:rPr>
        <w:t>خوشهالي</w:t>
      </w:r>
      <w:proofErr w:type="spellEnd"/>
      <w:r>
        <w:rPr>
          <w:rFonts w:hint="cs"/>
          <w:rtl/>
        </w:rPr>
        <w:t>، والصندوق الباكستاني لتخفيف حدة الفقر ومصرف التنمية الزراعية لباكستان.</w:t>
      </w:r>
    </w:p>
    <w:p w:rsidR="00C67DF8" w:rsidRPr="002D0098"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SingleTxt"/>
        <w:spacing w:after="0"/>
        <w:rPr>
          <w:rFonts w:hint="cs"/>
          <w:rtl/>
        </w:rPr>
      </w:pPr>
      <w:r>
        <w:rPr>
          <w:rFonts w:hint="cs"/>
          <w:rtl/>
        </w:rPr>
        <w:t>الجدول 13-2</w:t>
      </w:r>
    </w:p>
    <w:p w:rsidR="00C67DF8" w:rsidRPr="007F515A" w:rsidRDefault="00C67DF8" w:rsidP="00C67DF8">
      <w:pPr>
        <w:pStyle w:val="SingleTxt"/>
        <w:rPr>
          <w:rFonts w:hint="cs"/>
          <w:b/>
          <w:bCs/>
          <w:rtl/>
        </w:rPr>
      </w:pPr>
      <w:r w:rsidRPr="007F515A">
        <w:rPr>
          <w:rFonts w:hint="cs"/>
          <w:b/>
          <w:bCs/>
          <w:rtl/>
        </w:rPr>
        <w:t>النف</w:t>
      </w:r>
      <w:r w:rsidR="00B668D5">
        <w:rPr>
          <w:rFonts w:hint="cs"/>
          <w:b/>
          <w:bCs/>
          <w:rtl/>
        </w:rPr>
        <w:t>ق</w:t>
      </w:r>
      <w:r w:rsidRPr="007F515A">
        <w:rPr>
          <w:rFonts w:hint="cs"/>
          <w:b/>
          <w:bCs/>
          <w:rtl/>
        </w:rPr>
        <w:t>ات الخارجة عن الميزانية المخصصة لصالح الفقراء</w:t>
      </w:r>
    </w:p>
    <w:p w:rsidR="00C67DF8" w:rsidRPr="007F515A" w:rsidRDefault="00C67DF8" w:rsidP="00C67DF8">
      <w:pPr>
        <w:pStyle w:val="SingleTxt"/>
        <w:rPr>
          <w:rFonts w:hint="cs"/>
          <w:i/>
          <w:iCs/>
          <w:rtl/>
        </w:rPr>
      </w:pPr>
      <w:r w:rsidRPr="007F515A">
        <w:rPr>
          <w:rFonts w:hint="cs"/>
          <w:i/>
          <w:iCs/>
          <w:sz w:val="16"/>
          <w:szCs w:val="26"/>
          <w:rtl/>
        </w:rPr>
        <w:t>(ملايين الروبيات)</w:t>
      </w:r>
    </w:p>
    <w:p w:rsidR="00C67DF8" w:rsidRPr="007F515A" w:rsidRDefault="00C67DF8" w:rsidP="00C67DF8">
      <w:pPr>
        <w:pStyle w:val="SingleTxt"/>
        <w:spacing w:after="0" w:line="120" w:lineRule="exact"/>
        <w:rPr>
          <w:rFonts w:hint="cs"/>
          <w:sz w:val="10"/>
          <w:rtl/>
        </w:rPr>
      </w:pPr>
    </w:p>
    <w:tbl>
      <w:tblPr>
        <w:bidiVisual/>
        <w:tblW w:w="0" w:type="auto"/>
        <w:tblInd w:w="1409" w:type="dxa"/>
        <w:tblLayout w:type="fixed"/>
        <w:tblLook w:val="01E0" w:firstRow="1" w:lastRow="1" w:firstColumn="1" w:lastColumn="1" w:noHBand="0" w:noVBand="0"/>
      </w:tblPr>
      <w:tblGrid>
        <w:gridCol w:w="2678"/>
        <w:gridCol w:w="1442"/>
        <w:gridCol w:w="1442"/>
        <w:gridCol w:w="1648"/>
      </w:tblGrid>
      <w:tr w:rsidR="00C67DF8" w:rsidRPr="00ED34F0">
        <w:trPr>
          <w:cantSplit/>
          <w:tblHeader/>
        </w:trPr>
        <w:tc>
          <w:tcPr>
            <w:tcW w:w="2678" w:type="dxa"/>
            <w:tcBorders>
              <w:bottom w:val="single" w:sz="12" w:space="0" w:color="auto"/>
            </w:tcBorders>
            <w:shd w:val="clear" w:color="auto" w:fill="auto"/>
            <w:vAlign w:val="bottom"/>
          </w:tcPr>
          <w:p w:rsidR="00C67DF8" w:rsidRPr="00ED34F0" w:rsidRDefault="00C67DF8" w:rsidP="00C67DF8">
            <w:pPr>
              <w:pStyle w:val="DualTxt"/>
              <w:spacing w:after="80" w:line="240" w:lineRule="exact"/>
              <w:jc w:val="center"/>
              <w:rPr>
                <w:rFonts w:hint="cs"/>
                <w:i/>
                <w:iCs/>
                <w:sz w:val="16"/>
                <w:szCs w:val="24"/>
                <w:rtl/>
              </w:rPr>
            </w:pPr>
            <w:r>
              <w:rPr>
                <w:rFonts w:hint="cs"/>
                <w:i/>
                <w:iCs/>
                <w:sz w:val="16"/>
                <w:szCs w:val="24"/>
                <w:rtl/>
              </w:rPr>
              <w:t>القطاعات</w:t>
            </w:r>
          </w:p>
        </w:tc>
        <w:tc>
          <w:tcPr>
            <w:tcW w:w="1442" w:type="dxa"/>
            <w:tcBorders>
              <w:bottom w:val="single" w:sz="12" w:space="0" w:color="auto"/>
            </w:tcBorders>
            <w:shd w:val="clear" w:color="auto" w:fill="auto"/>
            <w:vAlign w:val="bottom"/>
          </w:tcPr>
          <w:p w:rsidR="00C67DF8" w:rsidRDefault="00C67DF8" w:rsidP="00C67DF8">
            <w:pPr>
              <w:pStyle w:val="DualTxt"/>
              <w:spacing w:after="80" w:line="240" w:lineRule="exact"/>
              <w:ind w:right="144"/>
              <w:jc w:val="center"/>
              <w:rPr>
                <w:rFonts w:hint="cs"/>
                <w:i/>
                <w:iCs/>
                <w:sz w:val="16"/>
                <w:szCs w:val="24"/>
                <w:rtl/>
              </w:rPr>
            </w:pPr>
            <w:r>
              <w:rPr>
                <w:rFonts w:hint="cs"/>
                <w:i/>
                <w:iCs/>
                <w:sz w:val="16"/>
                <w:szCs w:val="24"/>
                <w:rtl/>
              </w:rPr>
              <w:t>السنة المالية</w:t>
            </w:r>
          </w:p>
          <w:p w:rsidR="00C67DF8" w:rsidRPr="00ED34F0" w:rsidRDefault="00C67DF8" w:rsidP="00C67DF8">
            <w:pPr>
              <w:pStyle w:val="DualTxt"/>
              <w:spacing w:after="80" w:line="240" w:lineRule="exact"/>
              <w:ind w:right="144"/>
              <w:jc w:val="center"/>
              <w:rPr>
                <w:rFonts w:hint="cs"/>
                <w:i/>
                <w:iCs/>
                <w:sz w:val="16"/>
                <w:szCs w:val="24"/>
                <w:rtl/>
              </w:rPr>
            </w:pPr>
            <w:r>
              <w:rPr>
                <w:rFonts w:hint="cs"/>
                <w:i/>
                <w:iCs/>
                <w:sz w:val="16"/>
                <w:szCs w:val="24"/>
                <w:rtl/>
              </w:rPr>
              <w:t>2000-2001</w:t>
            </w:r>
          </w:p>
        </w:tc>
        <w:tc>
          <w:tcPr>
            <w:tcW w:w="1442" w:type="dxa"/>
            <w:tcBorders>
              <w:bottom w:val="single" w:sz="12" w:space="0" w:color="auto"/>
            </w:tcBorders>
            <w:shd w:val="clear" w:color="auto" w:fill="auto"/>
            <w:vAlign w:val="bottom"/>
          </w:tcPr>
          <w:p w:rsidR="00C67DF8" w:rsidRDefault="00C67DF8" w:rsidP="00C67DF8">
            <w:pPr>
              <w:pStyle w:val="DualTxt"/>
              <w:spacing w:after="80" w:line="240" w:lineRule="exact"/>
              <w:ind w:right="144"/>
              <w:jc w:val="center"/>
              <w:rPr>
                <w:rFonts w:hint="cs"/>
                <w:i/>
                <w:iCs/>
                <w:sz w:val="16"/>
                <w:szCs w:val="24"/>
                <w:rtl/>
              </w:rPr>
            </w:pPr>
            <w:r>
              <w:rPr>
                <w:rFonts w:hint="cs"/>
                <w:i/>
                <w:iCs/>
                <w:sz w:val="16"/>
                <w:szCs w:val="24"/>
                <w:rtl/>
              </w:rPr>
              <w:t>السنة المالية</w:t>
            </w:r>
          </w:p>
          <w:p w:rsidR="00C67DF8" w:rsidRPr="00ED34F0" w:rsidRDefault="00C67DF8" w:rsidP="00C67DF8">
            <w:pPr>
              <w:pStyle w:val="DualTxt"/>
              <w:spacing w:after="80" w:line="240" w:lineRule="exact"/>
              <w:ind w:right="144"/>
              <w:jc w:val="center"/>
              <w:rPr>
                <w:rFonts w:hint="cs"/>
                <w:i/>
                <w:iCs/>
                <w:sz w:val="16"/>
                <w:szCs w:val="24"/>
                <w:rtl/>
              </w:rPr>
            </w:pPr>
            <w:r>
              <w:rPr>
                <w:rFonts w:hint="cs"/>
                <w:i/>
                <w:iCs/>
                <w:sz w:val="16"/>
                <w:szCs w:val="24"/>
                <w:rtl/>
              </w:rPr>
              <w:t>2001-2002</w:t>
            </w:r>
          </w:p>
        </w:tc>
        <w:tc>
          <w:tcPr>
            <w:tcW w:w="1648" w:type="dxa"/>
            <w:tcBorders>
              <w:bottom w:val="single" w:sz="12" w:space="0" w:color="auto"/>
            </w:tcBorders>
            <w:shd w:val="clear" w:color="auto" w:fill="auto"/>
            <w:vAlign w:val="bottom"/>
          </w:tcPr>
          <w:p w:rsidR="00C67DF8" w:rsidRDefault="00C67DF8" w:rsidP="00C67DF8">
            <w:pPr>
              <w:pStyle w:val="DualTxt"/>
              <w:spacing w:after="80" w:line="240" w:lineRule="exact"/>
              <w:ind w:right="144"/>
              <w:jc w:val="center"/>
              <w:rPr>
                <w:rFonts w:hint="cs"/>
                <w:i/>
                <w:iCs/>
                <w:sz w:val="16"/>
                <w:szCs w:val="24"/>
                <w:rtl/>
              </w:rPr>
            </w:pPr>
            <w:r>
              <w:rPr>
                <w:rFonts w:hint="cs"/>
                <w:i/>
                <w:iCs/>
                <w:sz w:val="16"/>
                <w:szCs w:val="24"/>
                <w:rtl/>
              </w:rPr>
              <w:t xml:space="preserve">تموز/يوليه </w:t>
            </w:r>
            <w:r>
              <w:rPr>
                <w:i/>
                <w:iCs/>
                <w:sz w:val="16"/>
                <w:szCs w:val="24"/>
                <w:rtl/>
              </w:rPr>
              <w:t>–</w:t>
            </w:r>
            <w:r>
              <w:rPr>
                <w:rFonts w:hint="cs"/>
                <w:i/>
                <w:iCs/>
                <w:sz w:val="16"/>
                <w:szCs w:val="24"/>
                <w:rtl/>
              </w:rPr>
              <w:t>كانون الأول/ديسمبر</w:t>
            </w:r>
          </w:p>
          <w:p w:rsidR="00C67DF8" w:rsidRPr="00ED34F0" w:rsidRDefault="00C67DF8" w:rsidP="00C67DF8">
            <w:pPr>
              <w:pStyle w:val="DualTxt"/>
              <w:spacing w:after="80" w:line="240" w:lineRule="exact"/>
              <w:ind w:right="144"/>
              <w:jc w:val="center"/>
              <w:rPr>
                <w:rFonts w:hint="cs"/>
                <w:i/>
                <w:iCs/>
                <w:sz w:val="16"/>
                <w:szCs w:val="24"/>
                <w:rtl/>
              </w:rPr>
            </w:pPr>
            <w:r>
              <w:rPr>
                <w:rFonts w:hint="cs"/>
                <w:i/>
                <w:iCs/>
                <w:sz w:val="16"/>
                <w:szCs w:val="24"/>
                <w:rtl/>
              </w:rPr>
              <w:t>2002-2003</w:t>
            </w:r>
          </w:p>
        </w:tc>
      </w:tr>
      <w:tr w:rsidR="00C67DF8" w:rsidRPr="00ED34F0">
        <w:trPr>
          <w:cantSplit/>
          <w:trHeight w:hRule="exact" w:val="115"/>
          <w:tblHeader/>
        </w:trPr>
        <w:tc>
          <w:tcPr>
            <w:tcW w:w="2678" w:type="dxa"/>
            <w:tcBorders>
              <w:top w:val="single" w:sz="12" w:space="0" w:color="auto"/>
            </w:tcBorders>
            <w:shd w:val="clear" w:color="auto" w:fill="auto"/>
            <w:vAlign w:val="bottom"/>
          </w:tcPr>
          <w:p w:rsidR="00C67DF8" w:rsidRPr="00ED34F0" w:rsidRDefault="00C67DF8" w:rsidP="00C67DF8">
            <w:pPr>
              <w:pStyle w:val="DualTxt"/>
              <w:spacing w:before="40" w:after="80" w:line="240" w:lineRule="exact"/>
              <w:rPr>
                <w:rFonts w:hint="cs"/>
                <w:sz w:val="16"/>
                <w:szCs w:val="24"/>
                <w:rtl/>
              </w:rPr>
            </w:pPr>
          </w:p>
        </w:tc>
        <w:tc>
          <w:tcPr>
            <w:tcW w:w="1442" w:type="dxa"/>
            <w:tcBorders>
              <w:top w:val="single" w:sz="12" w:space="0" w:color="auto"/>
            </w:tcBorders>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p>
        </w:tc>
        <w:tc>
          <w:tcPr>
            <w:tcW w:w="1442" w:type="dxa"/>
            <w:tcBorders>
              <w:top w:val="single" w:sz="12" w:space="0" w:color="auto"/>
            </w:tcBorders>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p>
        </w:tc>
        <w:tc>
          <w:tcPr>
            <w:tcW w:w="1648" w:type="dxa"/>
            <w:tcBorders>
              <w:top w:val="single" w:sz="12" w:space="0" w:color="auto"/>
            </w:tcBorders>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p>
        </w:tc>
      </w:tr>
      <w:tr w:rsidR="00C67DF8" w:rsidRPr="00ED34F0">
        <w:trPr>
          <w:cantSplit/>
        </w:trPr>
        <w:tc>
          <w:tcPr>
            <w:tcW w:w="2678" w:type="dxa"/>
            <w:shd w:val="clear" w:color="auto" w:fill="auto"/>
            <w:vAlign w:val="bottom"/>
          </w:tcPr>
          <w:p w:rsidR="00C67DF8" w:rsidRPr="00ED34F0" w:rsidRDefault="00C67DF8" w:rsidP="00C67DF8">
            <w:pPr>
              <w:pStyle w:val="DualTxt"/>
              <w:spacing w:before="40" w:after="80" w:line="240" w:lineRule="exact"/>
              <w:rPr>
                <w:rFonts w:hint="cs"/>
                <w:sz w:val="16"/>
                <w:szCs w:val="24"/>
                <w:rtl/>
              </w:rPr>
            </w:pPr>
            <w:r>
              <w:rPr>
                <w:rFonts w:hint="cs"/>
                <w:sz w:val="16"/>
                <w:szCs w:val="24"/>
                <w:rtl/>
              </w:rPr>
              <w:t>مدفوعات الزكاة</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829 1</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169 5</w:t>
            </w:r>
          </w:p>
        </w:tc>
        <w:tc>
          <w:tcPr>
            <w:tcW w:w="1648"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731 2</w:t>
            </w:r>
          </w:p>
        </w:tc>
      </w:tr>
      <w:tr w:rsidR="00C67DF8" w:rsidRPr="00ED34F0">
        <w:trPr>
          <w:cantSplit/>
        </w:trPr>
        <w:tc>
          <w:tcPr>
            <w:tcW w:w="2678" w:type="dxa"/>
            <w:shd w:val="clear" w:color="auto" w:fill="auto"/>
            <w:vAlign w:val="bottom"/>
          </w:tcPr>
          <w:p w:rsidR="00C67DF8" w:rsidRPr="00ED34F0" w:rsidRDefault="00C67DF8" w:rsidP="00C67DF8">
            <w:pPr>
              <w:pStyle w:val="DualTxt"/>
              <w:spacing w:before="40" w:after="80" w:line="240" w:lineRule="exact"/>
              <w:rPr>
                <w:rFonts w:hint="cs"/>
                <w:sz w:val="16"/>
                <w:szCs w:val="24"/>
                <w:rtl/>
              </w:rPr>
            </w:pPr>
            <w:r>
              <w:rPr>
                <w:rFonts w:hint="cs"/>
                <w:sz w:val="16"/>
                <w:szCs w:val="24"/>
                <w:rtl/>
              </w:rPr>
              <w:t>مدفوعات مؤسسات استحقاقات الشيخوخة للموظفين</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261 1</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366 1</w:t>
            </w:r>
          </w:p>
        </w:tc>
        <w:tc>
          <w:tcPr>
            <w:tcW w:w="1648"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777</w:t>
            </w:r>
          </w:p>
        </w:tc>
      </w:tr>
      <w:tr w:rsidR="00C67DF8" w:rsidRPr="00ED34F0">
        <w:trPr>
          <w:cantSplit/>
        </w:trPr>
        <w:tc>
          <w:tcPr>
            <w:tcW w:w="2678" w:type="dxa"/>
            <w:shd w:val="clear" w:color="auto" w:fill="auto"/>
            <w:vAlign w:val="bottom"/>
          </w:tcPr>
          <w:p w:rsidR="00C67DF8" w:rsidRDefault="00C67DF8" w:rsidP="00C67DF8">
            <w:pPr>
              <w:pStyle w:val="DualTxt"/>
              <w:spacing w:before="40" w:after="80" w:line="240" w:lineRule="exact"/>
              <w:rPr>
                <w:rFonts w:hint="cs"/>
                <w:sz w:val="16"/>
                <w:szCs w:val="24"/>
                <w:rtl/>
              </w:rPr>
            </w:pPr>
            <w:r>
              <w:rPr>
                <w:rFonts w:hint="cs"/>
                <w:sz w:val="16"/>
                <w:szCs w:val="24"/>
                <w:rtl/>
              </w:rPr>
              <w:t>مدفوعات الائتمانات الصغيرة</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577</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215 1</w:t>
            </w:r>
          </w:p>
        </w:tc>
        <w:tc>
          <w:tcPr>
            <w:tcW w:w="1648"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986 1</w:t>
            </w:r>
          </w:p>
        </w:tc>
      </w:tr>
      <w:tr w:rsidR="00C67DF8" w:rsidRPr="00ED34F0">
        <w:trPr>
          <w:cantSplit/>
        </w:trPr>
        <w:tc>
          <w:tcPr>
            <w:tcW w:w="2678" w:type="dxa"/>
            <w:shd w:val="clear" w:color="auto" w:fill="auto"/>
            <w:vAlign w:val="bottom"/>
          </w:tcPr>
          <w:p w:rsidR="00C67DF8" w:rsidRPr="00ED34F0" w:rsidRDefault="00C67DF8" w:rsidP="00C67DF8">
            <w:pPr>
              <w:pStyle w:val="DualTxt"/>
              <w:spacing w:before="40" w:after="80" w:line="240" w:lineRule="exact"/>
              <w:rPr>
                <w:rFonts w:hint="cs"/>
                <w:sz w:val="16"/>
                <w:szCs w:val="24"/>
                <w:rtl/>
              </w:rPr>
            </w:pPr>
            <w:r>
              <w:rPr>
                <w:rFonts w:hint="cs"/>
                <w:sz w:val="16"/>
                <w:szCs w:val="24"/>
                <w:rtl/>
              </w:rPr>
              <w:t>المجموع</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667 3</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750 7</w:t>
            </w:r>
          </w:p>
        </w:tc>
        <w:tc>
          <w:tcPr>
            <w:tcW w:w="1648"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494 5</w:t>
            </w:r>
          </w:p>
        </w:tc>
      </w:tr>
      <w:tr w:rsidR="00C67DF8" w:rsidRPr="00ED34F0">
        <w:trPr>
          <w:cantSplit/>
        </w:trPr>
        <w:tc>
          <w:tcPr>
            <w:tcW w:w="2678" w:type="dxa"/>
            <w:shd w:val="clear" w:color="auto" w:fill="auto"/>
            <w:vAlign w:val="bottom"/>
          </w:tcPr>
          <w:p w:rsidR="00C67DF8" w:rsidRPr="00ED34F0" w:rsidRDefault="00C67DF8" w:rsidP="00C67DF8">
            <w:pPr>
              <w:pStyle w:val="DualTxt"/>
              <w:spacing w:before="40" w:after="80" w:line="240" w:lineRule="exact"/>
              <w:rPr>
                <w:rFonts w:hint="cs"/>
                <w:sz w:val="16"/>
                <w:szCs w:val="24"/>
                <w:rtl/>
              </w:rPr>
            </w:pPr>
            <w:r>
              <w:rPr>
                <w:rFonts w:hint="cs"/>
                <w:sz w:val="16"/>
                <w:szCs w:val="24"/>
                <w:rtl/>
              </w:rPr>
              <w:t>الأراضي الموزعة (بالفدان)</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197 153</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803 53</w:t>
            </w:r>
          </w:p>
        </w:tc>
        <w:tc>
          <w:tcPr>
            <w:tcW w:w="1648"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538 2</w:t>
            </w:r>
          </w:p>
        </w:tc>
      </w:tr>
      <w:tr w:rsidR="00C67DF8" w:rsidRPr="00ED34F0">
        <w:trPr>
          <w:cantSplit/>
        </w:trPr>
        <w:tc>
          <w:tcPr>
            <w:tcW w:w="7210" w:type="dxa"/>
            <w:gridSpan w:val="4"/>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شبكات الأمان الاجتماعي (عدد المستفيدين)</w:t>
            </w:r>
          </w:p>
        </w:tc>
      </w:tr>
      <w:tr w:rsidR="00C67DF8" w:rsidRPr="00ED34F0">
        <w:trPr>
          <w:cantSplit/>
        </w:trPr>
        <w:tc>
          <w:tcPr>
            <w:tcW w:w="2678" w:type="dxa"/>
            <w:shd w:val="clear" w:color="auto" w:fill="auto"/>
            <w:vAlign w:val="bottom"/>
          </w:tcPr>
          <w:p w:rsidR="00C67DF8" w:rsidRPr="00ED34F0" w:rsidRDefault="00C67DF8" w:rsidP="00C67DF8">
            <w:pPr>
              <w:pStyle w:val="DualTxt"/>
              <w:spacing w:before="40" w:after="80" w:line="240" w:lineRule="exact"/>
              <w:rPr>
                <w:rFonts w:hint="cs"/>
                <w:sz w:val="16"/>
                <w:szCs w:val="24"/>
                <w:rtl/>
              </w:rPr>
            </w:pPr>
            <w:r>
              <w:rPr>
                <w:rFonts w:hint="cs"/>
                <w:sz w:val="16"/>
                <w:szCs w:val="24"/>
                <w:rtl/>
              </w:rPr>
              <w:t>برنامج دعم الأغذية</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136.46 1</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916 200 2</w:t>
            </w:r>
          </w:p>
        </w:tc>
        <w:tc>
          <w:tcPr>
            <w:tcW w:w="1648"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330 009 1</w:t>
            </w:r>
          </w:p>
        </w:tc>
      </w:tr>
      <w:tr w:rsidR="00C67DF8" w:rsidRPr="00ED34F0">
        <w:trPr>
          <w:cantSplit/>
        </w:trPr>
        <w:tc>
          <w:tcPr>
            <w:tcW w:w="2678" w:type="dxa"/>
            <w:shd w:val="clear" w:color="auto" w:fill="auto"/>
            <w:vAlign w:val="bottom"/>
          </w:tcPr>
          <w:p w:rsidR="00C67DF8" w:rsidRPr="00ED34F0" w:rsidRDefault="00C67DF8" w:rsidP="00C67DF8">
            <w:pPr>
              <w:pStyle w:val="DualTxt"/>
              <w:spacing w:before="40" w:after="80" w:line="240" w:lineRule="exact"/>
              <w:rPr>
                <w:rFonts w:hint="cs"/>
                <w:sz w:val="16"/>
                <w:szCs w:val="24"/>
                <w:rtl/>
              </w:rPr>
            </w:pPr>
            <w:r>
              <w:rPr>
                <w:rFonts w:hint="cs"/>
                <w:sz w:val="16"/>
                <w:szCs w:val="24"/>
                <w:rtl/>
              </w:rPr>
              <w:t>الزكاة</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223 930</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189 700 1</w:t>
            </w:r>
          </w:p>
        </w:tc>
        <w:tc>
          <w:tcPr>
            <w:tcW w:w="1648"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000 617</w:t>
            </w:r>
          </w:p>
        </w:tc>
      </w:tr>
      <w:tr w:rsidR="00C67DF8" w:rsidRPr="00ED34F0">
        <w:trPr>
          <w:cantSplit/>
        </w:trPr>
        <w:tc>
          <w:tcPr>
            <w:tcW w:w="2678" w:type="dxa"/>
            <w:shd w:val="clear" w:color="auto" w:fill="auto"/>
            <w:vAlign w:val="bottom"/>
          </w:tcPr>
          <w:p w:rsidR="00C67DF8" w:rsidRPr="00ED34F0" w:rsidRDefault="00C67DF8" w:rsidP="00C67DF8">
            <w:pPr>
              <w:pStyle w:val="DualTxt"/>
              <w:spacing w:before="40" w:after="80" w:line="240" w:lineRule="exact"/>
              <w:rPr>
                <w:rFonts w:hint="cs"/>
                <w:sz w:val="16"/>
                <w:szCs w:val="24"/>
                <w:rtl/>
              </w:rPr>
            </w:pPr>
            <w:r>
              <w:rPr>
                <w:rFonts w:hint="cs"/>
                <w:sz w:val="16"/>
                <w:szCs w:val="24"/>
                <w:rtl/>
              </w:rPr>
              <w:t>مؤسسات استحقاقات الشيخوخة للموظفين</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384 100</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231 103</w:t>
            </w:r>
          </w:p>
        </w:tc>
        <w:tc>
          <w:tcPr>
            <w:tcW w:w="1648"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000 132</w:t>
            </w:r>
          </w:p>
        </w:tc>
      </w:tr>
      <w:tr w:rsidR="00C67DF8" w:rsidRPr="00ED34F0">
        <w:trPr>
          <w:cantSplit/>
        </w:trPr>
        <w:tc>
          <w:tcPr>
            <w:tcW w:w="2678" w:type="dxa"/>
            <w:shd w:val="clear" w:color="auto" w:fill="auto"/>
            <w:vAlign w:val="bottom"/>
          </w:tcPr>
          <w:p w:rsidR="00C67DF8" w:rsidRPr="00ED34F0" w:rsidRDefault="00C67DF8" w:rsidP="00C67DF8">
            <w:pPr>
              <w:pStyle w:val="DualTxt"/>
              <w:spacing w:before="40" w:after="80" w:line="240" w:lineRule="exact"/>
              <w:rPr>
                <w:rFonts w:hint="cs"/>
                <w:sz w:val="16"/>
                <w:szCs w:val="24"/>
                <w:rtl/>
              </w:rPr>
            </w:pPr>
            <w:r>
              <w:rPr>
                <w:rFonts w:hint="cs"/>
                <w:sz w:val="16"/>
                <w:szCs w:val="24"/>
                <w:rtl/>
              </w:rPr>
              <w:t>الائتمانات الصغيرة</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252 48</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728 148</w:t>
            </w:r>
          </w:p>
        </w:tc>
        <w:tc>
          <w:tcPr>
            <w:tcW w:w="1648"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000 225</w:t>
            </w:r>
          </w:p>
        </w:tc>
      </w:tr>
      <w:tr w:rsidR="00C67DF8" w:rsidRPr="00ED34F0">
        <w:trPr>
          <w:cantSplit/>
        </w:trPr>
        <w:tc>
          <w:tcPr>
            <w:tcW w:w="2678" w:type="dxa"/>
            <w:shd w:val="clear" w:color="auto" w:fill="auto"/>
            <w:vAlign w:val="bottom"/>
          </w:tcPr>
          <w:p w:rsidR="00C67DF8" w:rsidRPr="00ED34F0" w:rsidRDefault="00C67DF8" w:rsidP="00C67DF8">
            <w:pPr>
              <w:pStyle w:val="DualTxt"/>
              <w:spacing w:before="40" w:after="80" w:line="240" w:lineRule="exact"/>
              <w:rPr>
                <w:rFonts w:hint="cs"/>
                <w:sz w:val="16"/>
                <w:szCs w:val="24"/>
                <w:rtl/>
              </w:rPr>
            </w:pPr>
            <w:r>
              <w:rPr>
                <w:rFonts w:hint="cs"/>
                <w:sz w:val="16"/>
                <w:szCs w:val="24"/>
                <w:rtl/>
              </w:rPr>
              <w:t>التوظيف المؤقت</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916 400</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333 270</w:t>
            </w:r>
          </w:p>
        </w:tc>
        <w:tc>
          <w:tcPr>
            <w:tcW w:w="1648"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089 318</w:t>
            </w:r>
          </w:p>
        </w:tc>
      </w:tr>
      <w:tr w:rsidR="00C67DF8" w:rsidRPr="00ED34F0">
        <w:trPr>
          <w:cantSplit/>
        </w:trPr>
        <w:tc>
          <w:tcPr>
            <w:tcW w:w="2678" w:type="dxa"/>
            <w:shd w:val="clear" w:color="auto" w:fill="auto"/>
            <w:vAlign w:val="bottom"/>
          </w:tcPr>
          <w:p w:rsidR="00C67DF8" w:rsidRPr="00ED34F0" w:rsidRDefault="00C67DF8" w:rsidP="00C67DF8">
            <w:pPr>
              <w:pStyle w:val="DualTxt"/>
              <w:spacing w:before="40" w:after="80" w:line="240" w:lineRule="exact"/>
              <w:rPr>
                <w:rFonts w:hint="cs"/>
                <w:sz w:val="16"/>
                <w:szCs w:val="24"/>
                <w:rtl/>
              </w:rPr>
            </w:pPr>
            <w:proofErr w:type="spellStart"/>
            <w:r>
              <w:rPr>
                <w:rFonts w:hint="cs"/>
                <w:sz w:val="16"/>
                <w:szCs w:val="24"/>
                <w:rtl/>
              </w:rPr>
              <w:t>الحاصلون</w:t>
            </w:r>
            <w:proofErr w:type="spellEnd"/>
            <w:r>
              <w:rPr>
                <w:rFonts w:hint="cs"/>
                <w:sz w:val="16"/>
                <w:szCs w:val="24"/>
                <w:rtl/>
              </w:rPr>
              <w:t xml:space="preserve"> على أراضي الدولة</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419 14</w:t>
            </w:r>
          </w:p>
        </w:tc>
        <w:tc>
          <w:tcPr>
            <w:tcW w:w="1442"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144 3</w:t>
            </w:r>
          </w:p>
        </w:tc>
        <w:tc>
          <w:tcPr>
            <w:tcW w:w="1648" w:type="dxa"/>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310</w:t>
            </w:r>
          </w:p>
        </w:tc>
      </w:tr>
      <w:tr w:rsidR="00C67DF8" w:rsidRPr="00ED34F0">
        <w:trPr>
          <w:cantSplit/>
        </w:trPr>
        <w:tc>
          <w:tcPr>
            <w:tcW w:w="2678" w:type="dxa"/>
            <w:tcBorders>
              <w:bottom w:val="single" w:sz="12" w:space="0" w:color="auto"/>
            </w:tcBorders>
            <w:shd w:val="clear" w:color="auto" w:fill="auto"/>
            <w:vAlign w:val="bottom"/>
          </w:tcPr>
          <w:p w:rsidR="00C67DF8" w:rsidRPr="00ED34F0" w:rsidRDefault="00C67DF8" w:rsidP="00C67DF8">
            <w:pPr>
              <w:pStyle w:val="DualTxt"/>
              <w:spacing w:before="40" w:after="80" w:line="240" w:lineRule="exact"/>
              <w:rPr>
                <w:rFonts w:hint="cs"/>
                <w:sz w:val="16"/>
                <w:szCs w:val="24"/>
                <w:rtl/>
              </w:rPr>
            </w:pPr>
            <w:r>
              <w:rPr>
                <w:rFonts w:hint="cs"/>
                <w:sz w:val="16"/>
                <w:szCs w:val="24"/>
                <w:rtl/>
              </w:rPr>
              <w:t>مجموع عدد المستفيدين</w:t>
            </w:r>
          </w:p>
        </w:tc>
        <w:tc>
          <w:tcPr>
            <w:tcW w:w="1442" w:type="dxa"/>
            <w:tcBorders>
              <w:bottom w:val="single" w:sz="12" w:space="0" w:color="auto"/>
            </w:tcBorders>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445 606 2</w:t>
            </w:r>
          </w:p>
        </w:tc>
        <w:tc>
          <w:tcPr>
            <w:tcW w:w="1442" w:type="dxa"/>
            <w:tcBorders>
              <w:bottom w:val="single" w:sz="12" w:space="0" w:color="auto"/>
            </w:tcBorders>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657 365 4</w:t>
            </w:r>
          </w:p>
        </w:tc>
        <w:tc>
          <w:tcPr>
            <w:tcW w:w="1648" w:type="dxa"/>
            <w:tcBorders>
              <w:bottom w:val="single" w:sz="12" w:space="0" w:color="auto"/>
            </w:tcBorders>
            <w:shd w:val="clear" w:color="auto" w:fill="auto"/>
            <w:vAlign w:val="bottom"/>
          </w:tcPr>
          <w:p w:rsidR="00C67DF8" w:rsidRPr="00ED34F0" w:rsidRDefault="00C67DF8" w:rsidP="00C67DF8">
            <w:pPr>
              <w:pStyle w:val="DualTxt"/>
              <w:spacing w:before="40" w:after="80" w:line="240" w:lineRule="exact"/>
              <w:ind w:right="144"/>
              <w:rPr>
                <w:rFonts w:hint="cs"/>
                <w:sz w:val="16"/>
                <w:szCs w:val="24"/>
                <w:rtl/>
              </w:rPr>
            </w:pPr>
            <w:r>
              <w:rPr>
                <w:rFonts w:hint="cs"/>
                <w:sz w:val="16"/>
                <w:szCs w:val="24"/>
                <w:rtl/>
              </w:rPr>
              <w:t>932 010 1</w:t>
            </w:r>
          </w:p>
        </w:tc>
      </w:tr>
    </w:tbl>
    <w:p w:rsidR="00C67DF8" w:rsidRPr="00FA5104" w:rsidRDefault="00C67DF8" w:rsidP="00C67DF8">
      <w:pPr>
        <w:pStyle w:val="SingleTxt"/>
        <w:spacing w:after="0" w:line="120" w:lineRule="exact"/>
        <w:rPr>
          <w:rFonts w:hint="cs"/>
          <w:sz w:val="10"/>
          <w:rtl/>
        </w:rPr>
      </w:pPr>
    </w:p>
    <w:p w:rsidR="00C67DF8" w:rsidRPr="00ED34F0" w:rsidRDefault="00C67DF8" w:rsidP="00C67DF8">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tl/>
        </w:rPr>
        <w:tab/>
      </w:r>
      <w:r w:rsidRPr="00FA5104">
        <w:rPr>
          <w:rFonts w:hint="cs"/>
          <w:i/>
          <w:iCs/>
          <w:rtl/>
        </w:rPr>
        <w:t>المصدر</w:t>
      </w:r>
      <w:r>
        <w:rPr>
          <w:rFonts w:hint="cs"/>
          <w:rtl/>
        </w:rPr>
        <w:t>: الدراسة الاستقصائية لاقتصاد باكستان.</w:t>
      </w:r>
    </w:p>
    <w:p w:rsidR="00C67DF8" w:rsidRPr="00CC0EDD"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SingleTxt"/>
        <w:tabs>
          <w:tab w:val="clear" w:pos="1930"/>
          <w:tab w:val="left" w:pos="2125"/>
        </w:tabs>
        <w:rPr>
          <w:rFonts w:hint="cs"/>
          <w:rtl/>
        </w:rPr>
      </w:pPr>
      <w:r>
        <w:rPr>
          <w:rFonts w:hint="cs"/>
          <w:rtl/>
        </w:rPr>
        <w:t>408 -</w:t>
      </w:r>
      <w:r>
        <w:rPr>
          <w:rFonts w:hint="cs"/>
          <w:rtl/>
        </w:rPr>
        <w:tab/>
        <w:t xml:space="preserve">وعلى الرغم من أن ورقة استراتيجية تخفيف حدة الفقر قد شددت بشكل ما على البعد </w:t>
      </w:r>
      <w:proofErr w:type="spellStart"/>
      <w:r>
        <w:rPr>
          <w:rFonts w:hint="cs"/>
          <w:rtl/>
        </w:rPr>
        <w:t>الجنساني</w:t>
      </w:r>
      <w:proofErr w:type="spellEnd"/>
      <w:r>
        <w:rPr>
          <w:rFonts w:hint="cs"/>
          <w:rtl/>
        </w:rPr>
        <w:t xml:space="preserve">، شعرت وزارة تنمية المرأة أنه من المناسب أن تجري مراجعة </w:t>
      </w:r>
      <w:proofErr w:type="spellStart"/>
      <w:r>
        <w:rPr>
          <w:rFonts w:hint="cs"/>
          <w:rtl/>
        </w:rPr>
        <w:t>جنسانية</w:t>
      </w:r>
      <w:proofErr w:type="spellEnd"/>
      <w:r>
        <w:rPr>
          <w:rFonts w:hint="cs"/>
          <w:rtl/>
        </w:rPr>
        <w:t xml:space="preserve"> للوثيقة. وبذلك، أجريت دراسة لورقة استراتيجية تخفيف حدة الفقر وقدمت عدة اقتراحات لجعل الوثيقة أكثر استجابة للاحتياجات الخاصة لنساء البلد. ومن نتائج هذه الدراسة إ</w:t>
      </w:r>
      <w:r w:rsidR="00E21D00">
        <w:rPr>
          <w:rFonts w:hint="cs"/>
          <w:rtl/>
        </w:rPr>
        <w:t>دراج برنامج رائد عن وضع ميزانية تستجيب للجنسين، بصورة مؤقتة، في ورقة استراتيجية تخفيف حدة الفقر.</w:t>
      </w:r>
    </w:p>
    <w:p w:rsidR="00C67DF8" w:rsidRPr="00A81EE3"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تدابير محددة لتخفيف حدة الفقر</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الزكاة</w:t>
      </w:r>
    </w:p>
    <w:p w:rsidR="00C67DF8" w:rsidRDefault="00C67DF8" w:rsidP="005F5FD5">
      <w:pPr>
        <w:pStyle w:val="SingleTxt"/>
        <w:tabs>
          <w:tab w:val="clear" w:pos="1930"/>
          <w:tab w:val="left" w:pos="2125"/>
        </w:tabs>
        <w:rPr>
          <w:rFonts w:hint="cs"/>
          <w:rtl/>
        </w:rPr>
      </w:pPr>
      <w:r>
        <w:rPr>
          <w:rFonts w:hint="cs"/>
          <w:rtl/>
        </w:rPr>
        <w:t>409 -</w:t>
      </w:r>
      <w:r>
        <w:rPr>
          <w:rFonts w:hint="cs"/>
          <w:rtl/>
        </w:rPr>
        <w:tab/>
        <w:t xml:space="preserve">نظام الزكاة الإسلامي (ضريبة نسبتها 2.5 في المائة سنويا من كل الثروة غير المنفقة والممتلكات) موضوع لإفادة الأرامل والأيتام والفقراء والذين في حاجة شديدة. وأغلب المتيسرين في باكستان يدفعون هذه الضريبة طوعيا (بالإضافة إلى الاستقطاعات التي تتقاضاها الحكومة من جميع حسابات التوفير الخاصة بالمسلمين، مرة في السنة). وتقدم هذه الأموال الطوعية، عامة، إلى </w:t>
      </w:r>
      <w:proofErr w:type="spellStart"/>
      <w:r>
        <w:rPr>
          <w:rFonts w:hint="cs"/>
          <w:rtl/>
        </w:rPr>
        <w:t>المحتاجات</w:t>
      </w:r>
      <w:proofErr w:type="spellEnd"/>
      <w:r>
        <w:rPr>
          <w:rFonts w:hint="cs"/>
          <w:rtl/>
        </w:rPr>
        <w:t xml:space="preserve"> مباشرة (الأرامل والمطلقات واليتيمات والمسنات). وتوزع أموال الزكاة التي تقوم الحكومة بجمعها بشكل أساسي بين النساء الفقيرات والأرامل وما شابه ذلك من خلال لجان الزكاة المحلية التي أنشئت في جميع أنحاء البلد، على مستوى المنطقة والقرية والحي. وبلغت مدفوعات الزكاة 829 1 مليون روبية في الفترة 2000-2001، و169 5 مليون روبية، في الفترة 2001-2002، و731 2 مليون روبية، في الفترة من تموز/يوليه إلى كانون الأول/ديسمبر 2002-2003. وتشكل المرأة أغلبية المستفيدين من الزكاة.</w:t>
      </w:r>
    </w:p>
    <w:p w:rsidR="00C67DF8" w:rsidRDefault="00C67DF8" w:rsidP="005F5FD5">
      <w:pPr>
        <w:pStyle w:val="SingleTxt"/>
        <w:tabs>
          <w:tab w:val="clear" w:pos="1930"/>
          <w:tab w:val="left" w:pos="2125"/>
        </w:tabs>
        <w:rPr>
          <w:rFonts w:hint="cs"/>
          <w:rtl/>
        </w:rPr>
      </w:pPr>
      <w:r>
        <w:rPr>
          <w:rFonts w:hint="cs"/>
          <w:rtl/>
        </w:rPr>
        <w:t>410 -</w:t>
      </w:r>
      <w:r>
        <w:rPr>
          <w:rFonts w:hint="cs"/>
          <w:rtl/>
        </w:rPr>
        <w:tab/>
        <w:t>ويقدم مجلس الزكاة ومؤسسات الزكاة المساعدة، أساسا</w:t>
      </w:r>
      <w:r w:rsidR="005F5FD5">
        <w:rPr>
          <w:rFonts w:hint="cs"/>
          <w:rtl/>
        </w:rPr>
        <w:t>،</w:t>
      </w:r>
      <w:r>
        <w:rPr>
          <w:rFonts w:hint="cs"/>
          <w:rtl/>
        </w:rPr>
        <w:t xml:space="preserve"> إلى النساء الفقيرات والمعو</w:t>
      </w:r>
      <w:r w:rsidR="005F5FD5">
        <w:rPr>
          <w:rFonts w:hint="cs"/>
          <w:rtl/>
        </w:rPr>
        <w:t>ز</w:t>
      </w:r>
      <w:r>
        <w:rPr>
          <w:rFonts w:hint="cs"/>
          <w:rtl/>
        </w:rPr>
        <w:t>ات والأطفال في إطار مشاريع مختلفة.</w:t>
      </w:r>
    </w:p>
    <w:p w:rsidR="00C67DF8" w:rsidRDefault="00C67DF8" w:rsidP="00C67DF8">
      <w:pPr>
        <w:pStyle w:val="SingleTxt"/>
        <w:tabs>
          <w:tab w:val="clear" w:pos="1930"/>
          <w:tab w:val="left" w:pos="2125"/>
        </w:tabs>
        <w:rPr>
          <w:rFonts w:hint="cs"/>
          <w:rtl/>
        </w:rPr>
      </w:pPr>
      <w:r>
        <w:rPr>
          <w:rFonts w:hint="cs"/>
          <w:rtl/>
        </w:rPr>
        <w:tab/>
        <w:t>(أ)</w:t>
      </w:r>
      <w:r>
        <w:rPr>
          <w:rFonts w:hint="cs"/>
          <w:rtl/>
        </w:rPr>
        <w:tab/>
        <w:t xml:space="preserve">منحة </w:t>
      </w:r>
      <w:proofErr w:type="spellStart"/>
      <w:r>
        <w:rPr>
          <w:rFonts w:hint="cs"/>
          <w:rtl/>
        </w:rPr>
        <w:t>غوزارا</w:t>
      </w:r>
      <w:proofErr w:type="spellEnd"/>
      <w:r>
        <w:rPr>
          <w:rFonts w:hint="cs"/>
          <w:rtl/>
        </w:rPr>
        <w:t xml:space="preserve"> المقدمة إلى 70 في المائة من النساء والأطفال.</w:t>
      </w:r>
    </w:p>
    <w:p w:rsidR="00C67DF8" w:rsidRDefault="00C67DF8" w:rsidP="00C67DF8">
      <w:pPr>
        <w:pStyle w:val="SingleTxt"/>
        <w:tabs>
          <w:tab w:val="clear" w:pos="1930"/>
          <w:tab w:val="left" w:pos="2125"/>
        </w:tabs>
        <w:rPr>
          <w:rFonts w:hint="cs"/>
          <w:rtl/>
        </w:rPr>
      </w:pPr>
      <w:r>
        <w:rPr>
          <w:rFonts w:hint="cs"/>
          <w:rtl/>
        </w:rPr>
        <w:tab/>
        <w:t>(ب)</w:t>
      </w:r>
      <w:r>
        <w:rPr>
          <w:rFonts w:hint="cs"/>
          <w:rtl/>
        </w:rPr>
        <w:tab/>
        <w:t>تم إنعاش برنامج الدعم الغذائي من أجل أفقر القطاعات في المجتمع. وتمثل المرأة 75 في المائة من المستفيدين في 1.2 مليون من الأسر المعيشية التي يخدمها هذا البرنامج.</w:t>
      </w:r>
    </w:p>
    <w:p w:rsidR="00C67DF8" w:rsidRPr="00C54E97"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بيت المال الباكستاني</w:t>
      </w:r>
    </w:p>
    <w:p w:rsidR="00C67DF8" w:rsidRDefault="00C67DF8" w:rsidP="00C67DF8">
      <w:pPr>
        <w:pStyle w:val="SingleTxt"/>
        <w:tabs>
          <w:tab w:val="clear" w:pos="1930"/>
          <w:tab w:val="left" w:pos="2125"/>
        </w:tabs>
        <w:rPr>
          <w:rFonts w:hint="cs"/>
          <w:rtl/>
        </w:rPr>
      </w:pPr>
      <w:r>
        <w:rPr>
          <w:rFonts w:hint="cs"/>
          <w:rtl/>
        </w:rPr>
        <w:t>411 -</w:t>
      </w:r>
      <w:r>
        <w:rPr>
          <w:rFonts w:hint="cs"/>
          <w:rtl/>
        </w:rPr>
        <w:tab/>
        <w:t>إن مؤسسة بيت المال الباكستانية هيئة اعتبارية، أنشئت بموجب قانون بيت المال الباكستاني لسنة 1991، وبدأت نشاطها في شباط/فبراير 1992. وتعمل هذه الهيئة على رعاية الأرامل والأيتام والمعوقين والمحتاجين والفقراء، بصرف النظر عن نوع جنسهم أو طائفتهم، أو معتقداتهم أو دينهم.</w:t>
      </w:r>
    </w:p>
    <w:p w:rsidR="00C67DF8" w:rsidRDefault="00B668D5" w:rsidP="00B668D5">
      <w:pPr>
        <w:pStyle w:val="SingleTxt"/>
        <w:tabs>
          <w:tab w:val="clear" w:pos="1930"/>
          <w:tab w:val="left" w:pos="2125"/>
        </w:tabs>
        <w:rPr>
          <w:rFonts w:hint="cs"/>
          <w:rtl/>
        </w:rPr>
      </w:pPr>
      <w:r>
        <w:rPr>
          <w:rtl/>
        </w:rPr>
        <w:br w:type="page"/>
      </w:r>
      <w:r w:rsidR="00C67DF8">
        <w:rPr>
          <w:rFonts w:hint="cs"/>
          <w:rtl/>
        </w:rPr>
        <w:t>412 -</w:t>
      </w:r>
      <w:r w:rsidR="00C67DF8">
        <w:rPr>
          <w:rFonts w:hint="cs"/>
          <w:rtl/>
        </w:rPr>
        <w:tab/>
        <w:t>ويمول بيت المال من تحويل حصيلة الضريبة المفروضة لهذا الغرض، والمنح المقدمة من الحكومة الاتحادية، والحكومــات الإقليميـــة، والسلطـــات المحليــــة، والمنظمــــات الوطنيــــة والوكالات الدولية والتبرعات الطوعية، بما في ذلك الصدقات</w:t>
      </w:r>
      <w:r w:rsidR="00C67DF8" w:rsidRPr="00B802D5">
        <w:rPr>
          <w:vertAlign w:val="superscript"/>
          <w:rtl/>
        </w:rPr>
        <w:t>(</w:t>
      </w:r>
      <w:r w:rsidR="00C67DF8">
        <w:rPr>
          <w:rStyle w:val="FootnoteReference"/>
          <w:rtl/>
        </w:rPr>
        <w:footnoteReference w:id="21"/>
      </w:r>
      <w:r w:rsidR="00C67DF8" w:rsidRPr="00B802D5">
        <w:rPr>
          <w:vertAlign w:val="superscript"/>
          <w:rtl/>
        </w:rPr>
        <w:t>)</w:t>
      </w:r>
      <w:r w:rsidR="00C67DF8">
        <w:rPr>
          <w:rFonts w:hint="cs"/>
          <w:rtl/>
        </w:rPr>
        <w:t xml:space="preserve"> والعطايا</w:t>
      </w:r>
      <w:r w:rsidR="00C67DF8" w:rsidRPr="00B802D5">
        <w:rPr>
          <w:vertAlign w:val="superscript"/>
          <w:rtl/>
        </w:rPr>
        <w:t>(</w:t>
      </w:r>
      <w:r w:rsidR="00C67DF8">
        <w:rPr>
          <w:rStyle w:val="FootnoteReference"/>
          <w:rtl/>
        </w:rPr>
        <w:footnoteReference w:id="22"/>
      </w:r>
      <w:r w:rsidR="00C67DF8" w:rsidRPr="00B802D5">
        <w:rPr>
          <w:vertAlign w:val="superscript"/>
          <w:rtl/>
        </w:rPr>
        <w:t>)</w:t>
      </w:r>
      <w:r w:rsidR="00C67DF8">
        <w:rPr>
          <w:rFonts w:hint="cs"/>
          <w:rtl/>
        </w:rPr>
        <w:t>. المقدمة من الأفراد والجمعيات والهيئات والمؤسسات أو المنظمات، وبيع أملاك بيت المال، المنقولة وغير المنقولة، وريع هذه الأملاك، والاستثمارات والموجودات الأخرى.</w:t>
      </w:r>
    </w:p>
    <w:p w:rsidR="00C67DF8" w:rsidRDefault="00C67DF8" w:rsidP="00C67DF8">
      <w:pPr>
        <w:pStyle w:val="SingleTxt"/>
        <w:tabs>
          <w:tab w:val="clear" w:pos="1930"/>
          <w:tab w:val="left" w:pos="2125"/>
        </w:tabs>
        <w:rPr>
          <w:rFonts w:hint="cs"/>
          <w:rtl/>
        </w:rPr>
      </w:pPr>
      <w:r>
        <w:rPr>
          <w:rFonts w:hint="cs"/>
          <w:rtl/>
        </w:rPr>
        <w:t>413 -</w:t>
      </w:r>
      <w:r>
        <w:rPr>
          <w:rFonts w:hint="cs"/>
          <w:rtl/>
        </w:rPr>
        <w:tab/>
        <w:t>وأهم أهداف بيت المال الباكستاني هو تقديم المساعدة المالية إلى الأرامل المعدمات والمعوزات، والأيتام والمرضى والعجزة وغيرهم من المحتاجين، ومساعدة هؤلاء الأشخاص لإعادة تأهيلهم للمهن أو الوظائف المختلفة، وتوفير المساعدة لأبناء هؤلاء في الحصول على التعليم؛ وتوفير أماكن الإقامة والتسهيلات المختلفة لهؤلاء الأشخاص.</w:t>
      </w:r>
    </w:p>
    <w:p w:rsidR="00C67DF8" w:rsidRDefault="00C67DF8" w:rsidP="00C67DF8">
      <w:pPr>
        <w:pStyle w:val="SingleTxt"/>
        <w:tabs>
          <w:tab w:val="clear" w:pos="1930"/>
          <w:tab w:val="left" w:pos="2125"/>
        </w:tabs>
        <w:rPr>
          <w:rFonts w:hint="cs"/>
          <w:rtl/>
        </w:rPr>
      </w:pPr>
      <w:r>
        <w:rPr>
          <w:rFonts w:hint="cs"/>
          <w:rtl/>
        </w:rPr>
        <w:t>414 -</w:t>
      </w:r>
      <w:r>
        <w:rPr>
          <w:rFonts w:hint="cs"/>
          <w:rtl/>
        </w:rPr>
        <w:tab/>
        <w:t>ويدير بيت المال الباكستاني عدد من الخطط المشاريع وأبرزها نحو 700 مدرسة للتطريز ومدارس التدريب المهني للنساء المعدمات، تقدم دورات دراسية في تفصيل الملابس ورسمها وحياكتها، والتطريز اليدوي وأشغال الإبرة والتطريز الآلي.</w:t>
      </w:r>
    </w:p>
    <w:p w:rsidR="00C67DF8" w:rsidRDefault="00C67DF8" w:rsidP="00C67DF8">
      <w:pPr>
        <w:pStyle w:val="SingleTxt"/>
        <w:tabs>
          <w:tab w:val="clear" w:pos="1930"/>
          <w:tab w:val="left" w:pos="2125"/>
        </w:tabs>
        <w:rPr>
          <w:rFonts w:hint="cs"/>
          <w:rtl/>
        </w:rPr>
      </w:pPr>
      <w:r>
        <w:rPr>
          <w:rFonts w:hint="cs"/>
          <w:rtl/>
        </w:rPr>
        <w:t>415 -</w:t>
      </w:r>
      <w:r>
        <w:rPr>
          <w:rFonts w:hint="cs"/>
          <w:rtl/>
        </w:rPr>
        <w:tab/>
        <w:t xml:space="preserve">وتستمر الدورات الدراسية لمدة ستة أشهر وتقدم دورتان في السنة. وتعمل المدارس على فترتين، ولا يتجاوز عدد المتدربين في كل فترة 30 متدربا. ويجب أن يكون المتدربون من عائلات تعيش تحت خط الفقر وأن يكون أغلبهم من أسر معيشية ترأسها امرأة. ويتلقى </w:t>
      </w:r>
      <w:proofErr w:type="spellStart"/>
      <w:r>
        <w:rPr>
          <w:rFonts w:hint="cs"/>
          <w:rtl/>
        </w:rPr>
        <w:t>المندبون</w:t>
      </w:r>
      <w:proofErr w:type="spellEnd"/>
      <w:r>
        <w:rPr>
          <w:rFonts w:hint="cs"/>
          <w:rtl/>
        </w:rPr>
        <w:t xml:space="preserve"> راتبا يوميا قدره 10 روبيات ويعتبر تكلفة إتاحة فرصة للفتيات للالتحاق بتلك المدارس. ويمنح الطلبة ذوو الأداء المتميز وغيرهم من غير القادرين ماكينة حياكة عند إنهاء الدورة الدراسية بنجاح.</w:t>
      </w:r>
    </w:p>
    <w:p w:rsidR="00C67DF8" w:rsidRDefault="00C67DF8" w:rsidP="00C67DF8">
      <w:pPr>
        <w:pStyle w:val="SingleTxt"/>
        <w:tabs>
          <w:tab w:val="clear" w:pos="1930"/>
          <w:tab w:val="left" w:pos="2125"/>
        </w:tabs>
        <w:rPr>
          <w:rFonts w:hint="cs"/>
          <w:rtl/>
        </w:rPr>
      </w:pPr>
      <w:r>
        <w:rPr>
          <w:rFonts w:hint="cs"/>
          <w:rtl/>
        </w:rPr>
        <w:t>416 -</w:t>
      </w:r>
      <w:r>
        <w:rPr>
          <w:rFonts w:hint="cs"/>
          <w:rtl/>
        </w:rPr>
        <w:tab/>
        <w:t>وبالإضافة إلى ذلك، ينظم بيت المال برنامجا طموحا للدعم الغذائي تستفيد منه المرأة، في المقام الأول. ويوفر البرنامج شبكة أمان فعالة لنحو 1.25 مليون من أفقر الأسر المعيشية، وهو مصمم لتلبية الاحتياجات الغذائية الأساسية للفقراء، ويغطي المناطق الحضرية والمناطق الريفية، ويعترف بالمرأة بوصفها المستفيدة في الأسرة المعيشية، قدر الإمكان. وبموجب نظام الدعم الغذائي، تتلقى كل أسرة معيشية مستحقة مبلغ 000 1 روبية، مرتان في السنة، كتعويض عن ارتفاع أسعار القمح. ومن السمات البارزة لبرنامج الدعم الغذائي، معيار اختيار وتحديد المستفيدين الحقيقيين. وقد استعيض عن عنصر الاستغلال السياسي الذي أضعف نسيج المجتمع باختيار أفقر الفقراء كمستفيدين لتلقي الإعانة من برنامج الدعم الغذائي والتوصية بها. وخصص مبلغ 2.5 مليون روبية لكل من الفترتين 2000-2001 و2001-2002، خصصت 3 في المائة منها كنصيب للأقليات.</w:t>
      </w:r>
    </w:p>
    <w:p w:rsidR="00C67DF8" w:rsidRPr="00FA5104" w:rsidRDefault="00C67DF8" w:rsidP="00C67DF8">
      <w:pPr>
        <w:pStyle w:val="SingleTxt"/>
        <w:tabs>
          <w:tab w:val="clear" w:pos="1930"/>
          <w:tab w:val="left" w:pos="2125"/>
        </w:tabs>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شبكات الأمان</w:t>
      </w:r>
    </w:p>
    <w:p w:rsidR="00C67DF8" w:rsidRDefault="00C67DF8" w:rsidP="00C67DF8">
      <w:pPr>
        <w:pStyle w:val="SingleTxt"/>
        <w:tabs>
          <w:tab w:val="clear" w:pos="1930"/>
          <w:tab w:val="right" w:pos="2125"/>
        </w:tabs>
        <w:rPr>
          <w:rFonts w:hint="cs"/>
          <w:rtl/>
        </w:rPr>
      </w:pPr>
      <w:r>
        <w:rPr>
          <w:rFonts w:hint="cs"/>
          <w:rtl/>
        </w:rPr>
        <w:t>417 -</w:t>
      </w:r>
      <w:r>
        <w:rPr>
          <w:rFonts w:hint="cs"/>
          <w:rtl/>
        </w:rPr>
        <w:tab/>
        <w:t xml:space="preserve">تشمل برامج شبكات الأمان الحكومية الإعانات الغذائية وبرامج الدعم الغذائي </w:t>
      </w:r>
      <w:proofErr w:type="spellStart"/>
      <w:r>
        <w:rPr>
          <w:rFonts w:hint="cs"/>
          <w:rtl/>
        </w:rPr>
        <w:t>وتاوانا</w:t>
      </w:r>
      <w:proofErr w:type="spellEnd"/>
      <w:r>
        <w:rPr>
          <w:rFonts w:hint="cs"/>
          <w:rtl/>
        </w:rPr>
        <w:t xml:space="preserve"> باكستان، والإسكان المنخفض التكاليف، وبيت المال الباكستاني، وما إلى ذلك. وهذه البرامج متصلة بأفقر قطاعات المجتمع، بصورة مباشرة. وتقوم الحكومة بزيادة الاعتمادات المخصصة لها في الميزانية، كل سنة، وعلى سبيل المثال، نجد أن </w:t>
      </w:r>
      <w:proofErr w:type="spellStart"/>
      <w:r>
        <w:rPr>
          <w:rFonts w:hint="cs"/>
          <w:rtl/>
        </w:rPr>
        <w:t>اعتمادات</w:t>
      </w:r>
      <w:proofErr w:type="spellEnd"/>
      <w:r>
        <w:rPr>
          <w:rFonts w:hint="cs"/>
          <w:rtl/>
        </w:rPr>
        <w:t xml:space="preserve"> الميزانية المخصصة لشبكات الأمان الحكومية تبلغ 17.67 بليون روبية، منها 13.27 بليون روبية للإعانات الغذائية فقط في السنة المالية الجارية، مقابل 13.75 بليون روبية في السنة المالية 2002-2003.</w:t>
      </w:r>
    </w:p>
    <w:p w:rsidR="00C67DF8" w:rsidRPr="00747D06" w:rsidRDefault="00C67DF8" w:rsidP="00C67DF8">
      <w:pPr>
        <w:pStyle w:val="SingleTxt"/>
        <w:tabs>
          <w:tab w:val="clear" w:pos="1930"/>
          <w:tab w:val="righ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مشاريع الائتمانات الصغيرة</w:t>
      </w:r>
    </w:p>
    <w:p w:rsidR="00C67DF8" w:rsidRDefault="00C67DF8" w:rsidP="00C67DF8">
      <w:pPr>
        <w:pStyle w:val="SingleTxt"/>
        <w:tabs>
          <w:tab w:val="clear" w:pos="1930"/>
          <w:tab w:val="left" w:pos="2125"/>
        </w:tabs>
        <w:rPr>
          <w:rFonts w:hint="cs"/>
          <w:rtl/>
        </w:rPr>
      </w:pPr>
      <w:r>
        <w:rPr>
          <w:rFonts w:hint="cs"/>
          <w:rtl/>
        </w:rPr>
        <w:t>418 -</w:t>
      </w:r>
      <w:r>
        <w:rPr>
          <w:rFonts w:hint="cs"/>
          <w:rtl/>
        </w:rPr>
        <w:tab/>
        <w:t xml:space="preserve">اتخذت الحكومة أيضا عدة مبادرات لمكافحة الفقر على مستوى المجتمع المحلي. فأنشأت الحكومة مؤسسة متخصصة هي مصرف </w:t>
      </w:r>
      <w:proofErr w:type="spellStart"/>
      <w:r>
        <w:rPr>
          <w:rFonts w:hint="cs"/>
          <w:rtl/>
        </w:rPr>
        <w:t>خوشهالي</w:t>
      </w:r>
      <w:proofErr w:type="spellEnd"/>
      <w:r>
        <w:rPr>
          <w:rFonts w:hint="cs"/>
          <w:rtl/>
        </w:rPr>
        <w:t>. وقام المصرف بصرف أكثر من 000 100 قرض. أغلبها في المناطق الريفية. و40 في المائة تقريبا من عملاء المصرف من النساء، ويتجاوز معدل الاسترداد 95 في المائة. ومتوسط حجم القرض هو 000 10 روبية (180 دولار من دولارات الولايات المتحدة)، وتستخدم القروض عادة في بدء مشاريع صغيرة.</w:t>
      </w:r>
    </w:p>
    <w:p w:rsidR="00C67DF8" w:rsidRDefault="00C67DF8" w:rsidP="00C67DF8">
      <w:pPr>
        <w:pStyle w:val="SingleTxt"/>
        <w:tabs>
          <w:tab w:val="clear" w:pos="1930"/>
          <w:tab w:val="left" w:pos="2125"/>
        </w:tabs>
        <w:rPr>
          <w:rFonts w:hint="cs"/>
          <w:rtl/>
        </w:rPr>
      </w:pPr>
      <w:r>
        <w:rPr>
          <w:rFonts w:hint="cs"/>
          <w:rtl/>
        </w:rPr>
        <w:t>419 -</w:t>
      </w:r>
      <w:r>
        <w:rPr>
          <w:rFonts w:hint="cs"/>
          <w:rtl/>
        </w:rPr>
        <w:tab/>
        <w:t>ويعتبر صندوق تخفيف حدة الفقر في باكستان مبادرة أخرى من الحكومة لتوفير تسهيلات الائتمانات الصغيرة من أجل سكان الريف، وخاصة النساء. ويسعى الصندوق إلى تخفيف حدة الفقر وتمكين فقراء الريف والحضر، بإتاحة لهم فرصة الوصول إلى الموارد والخدمات والمساعدة في بناء الهياكل الأساسية على صعيد المجتمعات المحلية.</w:t>
      </w:r>
    </w:p>
    <w:p w:rsidR="00C67DF8" w:rsidRDefault="00C67DF8" w:rsidP="00C67DF8">
      <w:pPr>
        <w:pStyle w:val="SingleTxt"/>
        <w:tabs>
          <w:tab w:val="clear" w:pos="1930"/>
          <w:tab w:val="left" w:pos="2125"/>
        </w:tabs>
        <w:rPr>
          <w:rFonts w:hint="cs"/>
          <w:rtl/>
        </w:rPr>
      </w:pPr>
      <w:r>
        <w:rPr>
          <w:rFonts w:hint="cs"/>
          <w:rtl/>
        </w:rPr>
        <w:t>420 -</w:t>
      </w:r>
      <w:r>
        <w:rPr>
          <w:rFonts w:hint="cs"/>
          <w:rtl/>
        </w:rPr>
        <w:tab/>
        <w:t>وفيما يلي عناصر المشروع:</w:t>
      </w:r>
    </w:p>
    <w:p w:rsidR="00C67DF8" w:rsidRDefault="00C67DF8" w:rsidP="00C67DF8">
      <w:pPr>
        <w:pStyle w:val="SingleTxt"/>
        <w:tabs>
          <w:tab w:val="clear" w:pos="1930"/>
          <w:tab w:val="left" w:pos="2125"/>
        </w:tabs>
        <w:rPr>
          <w:rFonts w:hint="cs"/>
          <w:rtl/>
        </w:rPr>
      </w:pPr>
      <w:r>
        <w:rPr>
          <w:rFonts w:hint="cs"/>
          <w:rtl/>
        </w:rPr>
        <w:tab/>
        <w:t>(أ)</w:t>
      </w:r>
      <w:r>
        <w:rPr>
          <w:rFonts w:hint="cs"/>
          <w:rtl/>
        </w:rPr>
        <w:tab/>
        <w:t xml:space="preserve">تقدم الائتمانات الصغيرة القروض إلى المنظمات الشريكة التي تقرضها للأفراد أو مجموعات الأفراد المستوفين لمعايير الأهلية لصندوق تخفيف حدة الفقر في باكستان بأسعار تغطي التكاليف الإدارية </w:t>
      </w:r>
      <w:proofErr w:type="spellStart"/>
      <w:r>
        <w:rPr>
          <w:rFonts w:hint="cs"/>
          <w:rtl/>
        </w:rPr>
        <w:t>للائتمانات</w:t>
      </w:r>
      <w:proofErr w:type="spellEnd"/>
      <w:r>
        <w:rPr>
          <w:rFonts w:hint="cs"/>
          <w:rtl/>
        </w:rPr>
        <w:t>، وفقدان القروض وتكاليف الأموال وربح معقول للاحتفاظ بالقيمة الحقيقية لرأس المال، في نهاية المطاف.</w:t>
      </w:r>
    </w:p>
    <w:p w:rsidR="00C67DF8" w:rsidRDefault="00C67DF8" w:rsidP="00C67DF8">
      <w:pPr>
        <w:pStyle w:val="SingleTxt"/>
        <w:tabs>
          <w:tab w:val="clear" w:pos="1930"/>
          <w:tab w:val="left" w:pos="2125"/>
        </w:tabs>
        <w:rPr>
          <w:rFonts w:hint="cs"/>
          <w:rtl/>
        </w:rPr>
      </w:pPr>
      <w:r>
        <w:rPr>
          <w:rFonts w:hint="cs"/>
          <w:rtl/>
        </w:rPr>
        <w:tab/>
        <w:t>(ب)</w:t>
      </w:r>
      <w:r>
        <w:rPr>
          <w:rFonts w:hint="cs"/>
          <w:rtl/>
        </w:rPr>
        <w:tab/>
        <w:t>تقدم الهياكل الأساسية المجتمعية الدعم للمشاريع الفرعية للهياكل الأساسية المجتمعية الصغيرة، في شكل منح على أساس تخفيض التكاليف، من أجل تحسين نوعية الحياة للفقراء. وسيتم دعم بناء قدرات المنظمات الشريكة، في شكل منح وبناء القدرات المجتمعية ودعم المنظمات الشريكة. لتحسين فعاليتها في مجال تنفيذ برامج تخفيف حدة الفقر.</w:t>
      </w:r>
    </w:p>
    <w:p w:rsidR="00C67DF8" w:rsidRDefault="00C67DF8" w:rsidP="00C67DF8">
      <w:pPr>
        <w:pStyle w:val="SingleTxt"/>
        <w:tabs>
          <w:tab w:val="clear" w:pos="1930"/>
          <w:tab w:val="left" w:pos="2125"/>
        </w:tabs>
        <w:rPr>
          <w:rFonts w:hint="cs"/>
          <w:rtl/>
        </w:rPr>
      </w:pPr>
      <w:r>
        <w:rPr>
          <w:rFonts w:hint="cs"/>
          <w:rtl/>
        </w:rPr>
        <w:tab/>
        <w:t>(ج)</w:t>
      </w:r>
      <w:r>
        <w:rPr>
          <w:rFonts w:hint="cs"/>
          <w:rtl/>
        </w:rPr>
        <w:tab/>
        <w:t>يدعم بناء القدرات لصندوق تخفيف حدة الفقر في باكستان تكاليف التشغيل وتدريب الموظفين والمساعدة التقنية المقدمة لدراسات مختلفة وتكاليف الموجودات الثابتة.</w:t>
      </w:r>
    </w:p>
    <w:p w:rsidR="00C67DF8" w:rsidRDefault="00C67DF8" w:rsidP="00C67DF8">
      <w:pPr>
        <w:pStyle w:val="SingleTxt"/>
        <w:tabs>
          <w:tab w:val="clear" w:pos="1930"/>
          <w:tab w:val="left" w:pos="2125"/>
        </w:tabs>
        <w:rPr>
          <w:rFonts w:hint="cs"/>
          <w:rtl/>
        </w:rPr>
      </w:pPr>
      <w:r>
        <w:rPr>
          <w:rFonts w:hint="cs"/>
          <w:rtl/>
        </w:rPr>
        <w:t>421 -</w:t>
      </w:r>
      <w:r>
        <w:rPr>
          <w:rFonts w:hint="cs"/>
          <w:rtl/>
        </w:rPr>
        <w:tab/>
        <w:t>يركز الصندوق تركيزا خاصا على المرأة، حيث تشكل المرأة 36 في المائة من موظفيه ونحو 40 في المائة من المستفيدين منه. وتبلغ نسبة استرداد القروض 100 في المائة تقريبا.</w:t>
      </w:r>
    </w:p>
    <w:p w:rsidR="00C67DF8" w:rsidRPr="00BA2F1E"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التحديـــات</w:t>
      </w:r>
    </w:p>
    <w:p w:rsidR="00C67DF8" w:rsidRDefault="00C67DF8" w:rsidP="005F5FD5">
      <w:pPr>
        <w:pStyle w:val="SingleTxt"/>
        <w:tabs>
          <w:tab w:val="clear" w:pos="1930"/>
          <w:tab w:val="left" w:pos="2125"/>
        </w:tabs>
        <w:rPr>
          <w:rFonts w:hint="cs"/>
          <w:rtl/>
        </w:rPr>
      </w:pPr>
      <w:r>
        <w:rPr>
          <w:rFonts w:hint="cs"/>
          <w:rtl/>
        </w:rPr>
        <w:t>422 -</w:t>
      </w:r>
      <w:r>
        <w:rPr>
          <w:rFonts w:hint="cs"/>
          <w:rtl/>
        </w:rPr>
        <w:tab/>
        <w:t xml:space="preserve">للفقر وجه نسائي في باكستان، كما هو الحال في عدد كبير من البلدان النامية الأخرى. وقد زاد مستوى الفقر بشكل عنيف على مدى </w:t>
      </w:r>
      <w:proofErr w:type="spellStart"/>
      <w:r>
        <w:rPr>
          <w:rFonts w:hint="cs"/>
          <w:rtl/>
        </w:rPr>
        <w:t>الـ</w:t>
      </w:r>
      <w:proofErr w:type="spellEnd"/>
      <w:r>
        <w:rPr>
          <w:rFonts w:hint="cs"/>
          <w:rtl/>
        </w:rPr>
        <w:t xml:space="preserve"> 15 سنة الأخيرة تقريبا، وقد تحملت المرأة أشد وطأته. ولكن تبشر المبادرات الأخيرة المتخذة من الحكومة والمجتمع المدني بإمكانية مكافحة هذا الخطر، إلى حد ما. وفي الوقت نفسه، يلزم توسيع هذه المبادرات بدرجة كبيرة، من أجل وقف انتشار الفقر والسيطرة عليه، بصورة فعالة. ووفقا لآخر الأرقام التي نشرتها الدراسة الاستقصائية لاقتصاد باكستان 2002-2003، سجل انخفاض في حالات وجود الفقر</w:t>
      </w:r>
      <w:r w:rsidRPr="009F024B">
        <w:rPr>
          <w:vertAlign w:val="superscript"/>
          <w:rtl/>
        </w:rPr>
        <w:t>(</w:t>
      </w:r>
      <w:r>
        <w:rPr>
          <w:rStyle w:val="FootnoteReference"/>
          <w:rtl/>
        </w:rPr>
        <w:footnoteReference w:id="23"/>
      </w:r>
      <w:r w:rsidRPr="009F024B">
        <w:rPr>
          <w:vertAlign w:val="superscript"/>
          <w:rtl/>
        </w:rPr>
        <w:t>)</w:t>
      </w:r>
      <w:r>
        <w:rPr>
          <w:rFonts w:hint="cs"/>
          <w:rtl/>
        </w:rPr>
        <w:t xml:space="preserve"> بنسبة 4.2 في المائة. ويقدر أن 28.35 في المائة من السكان يعيشون في حالة فقر، في الوقت الحالي.</w:t>
      </w:r>
    </w:p>
    <w:p w:rsidR="00C67DF8" w:rsidRPr="00A7371A"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الرابع عشر</w:t>
      </w:r>
    </w:p>
    <w:p w:rsidR="00C67DF8" w:rsidRPr="00FA5104" w:rsidRDefault="00C67DF8" w:rsidP="00C67DF8">
      <w:pPr>
        <w:pStyle w:val="HCh"/>
        <w:tabs>
          <w:tab w:val="left" w:pos="662"/>
          <w:tab w:val="left" w:pos="1325"/>
          <w:tab w:val="left" w:pos="1987"/>
          <w:tab w:val="left" w:pos="2650"/>
          <w:tab w:val="left" w:pos="3312"/>
          <w:tab w:val="left" w:pos="3974"/>
          <w:tab w:val="left" w:pos="4637"/>
        </w:tabs>
        <w:ind w:left="662" w:hanging="662"/>
        <w:rPr>
          <w:rFonts w:hint="cs"/>
          <w:szCs w:val="36"/>
          <w:rtl/>
        </w:rPr>
      </w:pPr>
      <w:r w:rsidRPr="00FA5104">
        <w:rPr>
          <w:rFonts w:hint="cs"/>
          <w:szCs w:val="36"/>
          <w:rtl/>
        </w:rPr>
        <w:tab/>
      </w:r>
      <w:r w:rsidRPr="00FA5104">
        <w:rPr>
          <w:rFonts w:hint="cs"/>
          <w:szCs w:val="36"/>
          <w:rtl/>
        </w:rPr>
        <w:tab/>
        <w:t>المادة 14</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الريفية)</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الدستوري</w:t>
      </w:r>
    </w:p>
    <w:p w:rsidR="00C67DF8" w:rsidRDefault="00C67DF8" w:rsidP="00C67DF8">
      <w:pPr>
        <w:pStyle w:val="SingleTxt"/>
        <w:tabs>
          <w:tab w:val="clear" w:pos="1930"/>
          <w:tab w:val="left" w:pos="2125"/>
        </w:tabs>
        <w:rPr>
          <w:rFonts w:hint="eastAsia"/>
          <w:rtl/>
        </w:rPr>
      </w:pPr>
      <w:r>
        <w:rPr>
          <w:rFonts w:hint="cs"/>
          <w:rtl/>
        </w:rPr>
        <w:t>423 -</w:t>
      </w:r>
      <w:r>
        <w:rPr>
          <w:rFonts w:hint="cs"/>
          <w:rtl/>
        </w:rPr>
        <w:tab/>
        <w:t xml:space="preserve">يكفل دستور باكستان المساواة للمرأة، في المناطق الحضرية والريفية على السواء. وهذا أمر واضح من المواد 25 و26 و27 و32 و34 و35 و37. وبالإضافة إلى ذلك، تنص المادة 32 على أن: </w:t>
      </w:r>
      <w:r>
        <w:rPr>
          <w:rFonts w:hint="eastAsia"/>
          <w:rtl/>
        </w:rPr>
        <w:t>”تشجع الدولة مؤسسات الحكم المحلي المؤلفة من الممثلين المنتخبين للمناطق المعنية وتمنح للفلاحين والعمال والمرأة تمثيلا خاصا في هذه</w:t>
      </w:r>
      <w:r>
        <w:rPr>
          <w:rFonts w:hint="cs"/>
          <w:rtl/>
        </w:rPr>
        <w:t xml:space="preserve"> المؤسسات</w:t>
      </w:r>
      <w:r>
        <w:rPr>
          <w:rFonts w:hint="eastAsia"/>
          <w:rtl/>
        </w:rPr>
        <w:t>“.</w:t>
      </w:r>
    </w:p>
    <w:p w:rsidR="00C67DF8" w:rsidRDefault="00C67DF8" w:rsidP="00C67DF8">
      <w:pPr>
        <w:pStyle w:val="SingleTxt"/>
        <w:tabs>
          <w:tab w:val="clear" w:pos="1930"/>
          <w:tab w:val="left" w:pos="2125"/>
        </w:tabs>
        <w:rPr>
          <w:rFonts w:hint="cs"/>
          <w:rtl/>
        </w:rPr>
      </w:pPr>
      <w:r>
        <w:rPr>
          <w:rFonts w:hint="cs"/>
          <w:rtl/>
        </w:rPr>
        <w:t>424 -</w:t>
      </w:r>
      <w:r>
        <w:rPr>
          <w:rFonts w:hint="cs"/>
          <w:rtl/>
        </w:rPr>
        <w:tab/>
        <w:t xml:space="preserve">وتنص المادة 37 (و) على أن </w:t>
      </w:r>
      <w:r>
        <w:rPr>
          <w:rFonts w:hint="eastAsia"/>
          <w:rtl/>
        </w:rPr>
        <w:t xml:space="preserve">”على الدولة أن .... </w:t>
      </w:r>
      <w:r>
        <w:rPr>
          <w:rFonts w:hint="cs"/>
          <w:rtl/>
        </w:rPr>
        <w:t>تمكن الشعب في المناطق المختلفة من المشاركة الكاملة في جميع أشكال الأنشطة الوطنية، بما ذلك العمل في خدمة باكستان، وذلك من خلال التعليم والتدريب والتنمية الزراعية والصناعية، وغير ذلك من أساليب.</w:t>
      </w:r>
    </w:p>
    <w:p w:rsidR="00C67DF8" w:rsidRDefault="00C67DF8" w:rsidP="00C67DF8">
      <w:pPr>
        <w:pStyle w:val="SingleTxt"/>
        <w:tabs>
          <w:tab w:val="clear" w:pos="1930"/>
          <w:tab w:val="left" w:pos="2125"/>
        </w:tabs>
        <w:rPr>
          <w:rFonts w:hint="cs"/>
          <w:rtl/>
        </w:rPr>
      </w:pPr>
      <w:r>
        <w:rPr>
          <w:rFonts w:hint="cs"/>
          <w:rtl/>
        </w:rPr>
        <w:t>425 -</w:t>
      </w:r>
      <w:r>
        <w:rPr>
          <w:rFonts w:hint="cs"/>
          <w:rtl/>
        </w:rPr>
        <w:tab/>
        <w:t>وقد تم توضيح المواد 25 و26 و27 و34 في فصول سابقة. وتدل هذه المواد مجتمعة على التركيز الشديد على حقوق المرأة الريفية.</w:t>
      </w:r>
    </w:p>
    <w:p w:rsidR="00C67DF8" w:rsidRPr="003010BD"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الإداري</w:t>
      </w:r>
    </w:p>
    <w:p w:rsidR="00C67DF8" w:rsidRDefault="00C67DF8" w:rsidP="00C67DF8">
      <w:pPr>
        <w:pStyle w:val="SingleTxt"/>
        <w:tabs>
          <w:tab w:val="clear" w:pos="1930"/>
          <w:tab w:val="left" w:pos="2125"/>
        </w:tabs>
        <w:rPr>
          <w:rFonts w:hint="cs"/>
          <w:rtl/>
        </w:rPr>
      </w:pPr>
      <w:r>
        <w:rPr>
          <w:rFonts w:hint="cs"/>
          <w:rtl/>
        </w:rPr>
        <w:t>426 -</w:t>
      </w:r>
      <w:r>
        <w:rPr>
          <w:rFonts w:hint="cs"/>
          <w:rtl/>
        </w:rPr>
        <w:tab/>
        <w:t xml:space="preserve">على الصعيد الاتحادي، هناك وزارة الحكم المحلي والتنمية الريفية. وبموجب قواعد العمل، تشمل مهام هذه الوزارة برامج التنمية الريفية المتكاملة </w:t>
      </w:r>
      <w:r>
        <w:rPr>
          <w:rtl/>
        </w:rPr>
        <w:t>–</w:t>
      </w:r>
      <w:r>
        <w:rPr>
          <w:rFonts w:hint="cs"/>
          <w:rtl/>
        </w:rPr>
        <w:t xml:space="preserve"> السياسية، والإرشاد، وإجراءات  المتابعة والتنسيق والمساعدة الأجنبية والتقييم. وتشكل إدارات الحكم المحلي والزراعة الإطار الإداري الخاص بالمادة 14 على الصعيد الإقليمي.</w:t>
      </w:r>
    </w:p>
    <w:p w:rsidR="00C67DF8" w:rsidRDefault="00C67DF8" w:rsidP="00C67DF8">
      <w:pPr>
        <w:pStyle w:val="SingleTxt"/>
        <w:tabs>
          <w:tab w:val="clear" w:pos="1930"/>
          <w:tab w:val="left" w:pos="2125"/>
        </w:tabs>
        <w:rPr>
          <w:rFonts w:hint="cs"/>
          <w:rtl/>
        </w:rPr>
      </w:pPr>
      <w:r>
        <w:rPr>
          <w:rFonts w:hint="cs"/>
          <w:rtl/>
        </w:rPr>
        <w:t>427 -</w:t>
      </w:r>
      <w:r>
        <w:rPr>
          <w:rFonts w:hint="cs"/>
          <w:rtl/>
        </w:rPr>
        <w:tab/>
        <w:t>وإضافة إلى وزارة الحكم المحلي والتنمية الريفية، تعتبر وزارة الأغذية والماشية والزراعة، معنية أيضا بالمادة 14. فالزراعة هي مركز النشاط الاقتصادي في باكستان، وتساهم بنسبة 25 في المائة من الناتج القومي الإجمالي، بصورة مباشرة وتوفر العمل لنحو 44 في المائة من القوة العاملة الإجمالية للبلد. وتساهم الزراعة بنسبة مرتفعة من حصيلة الصادرات، المباشرة وغير المباشرة. وتعتمد نسبة كبيرة من السكان على حصيلة الزراعة، بصورة كاملة أو جزئية.</w:t>
      </w:r>
    </w:p>
    <w:p w:rsidR="00C67DF8" w:rsidRDefault="00C67DF8" w:rsidP="00C67DF8">
      <w:pPr>
        <w:pStyle w:val="SingleTxt"/>
        <w:tabs>
          <w:tab w:val="clear" w:pos="1930"/>
          <w:tab w:val="left" w:pos="2125"/>
        </w:tabs>
        <w:rPr>
          <w:rFonts w:hint="cs"/>
          <w:rtl/>
        </w:rPr>
      </w:pPr>
      <w:r>
        <w:rPr>
          <w:rFonts w:hint="cs"/>
          <w:rtl/>
        </w:rPr>
        <w:t>428 -</w:t>
      </w:r>
      <w:r>
        <w:rPr>
          <w:rFonts w:hint="cs"/>
          <w:rtl/>
        </w:rPr>
        <w:tab/>
        <w:t>وهناك أيضا منظمة التعداد الزراعية التي تقوم بتجميع الإحصاءات المتصلة بجوانب مختلفة من الزراعة.</w:t>
      </w:r>
    </w:p>
    <w:p w:rsidR="00C67DF8" w:rsidRDefault="00C67DF8" w:rsidP="00C67DF8">
      <w:pPr>
        <w:pStyle w:val="SingleTxt"/>
        <w:tabs>
          <w:tab w:val="clear" w:pos="1930"/>
          <w:tab w:val="left" w:pos="2125"/>
        </w:tabs>
        <w:rPr>
          <w:rFonts w:hint="cs"/>
          <w:rtl/>
        </w:rPr>
      </w:pPr>
      <w:r>
        <w:rPr>
          <w:rFonts w:hint="cs"/>
          <w:rtl/>
        </w:rPr>
        <w:t>429 -</w:t>
      </w:r>
      <w:r>
        <w:rPr>
          <w:rFonts w:hint="cs"/>
          <w:rtl/>
        </w:rPr>
        <w:tab/>
        <w:t xml:space="preserve">وخصصت </w:t>
      </w:r>
      <w:proofErr w:type="spellStart"/>
      <w:r>
        <w:rPr>
          <w:rFonts w:hint="cs"/>
          <w:rtl/>
        </w:rPr>
        <w:t>اعتمادات</w:t>
      </w:r>
      <w:proofErr w:type="spellEnd"/>
      <w:r>
        <w:rPr>
          <w:rFonts w:hint="cs"/>
          <w:rtl/>
        </w:rPr>
        <w:t xml:space="preserve"> قيمتها 34.15 بليون روبية في الميزانية من أجل أنشطة التنمية الزراعية، على وجه الحصر؛ للري (25.19 بليون روبية)؛ واستصلاح الأراضي (1.77 بليون روبية)؛ والتنمية الريفية (6.19 بليون روبية)؛ وكهربة الريف (1 بليون روبية)، خلال الفترة 2003-2004.</w:t>
      </w:r>
    </w:p>
    <w:p w:rsidR="00C67DF8" w:rsidRDefault="00C67DF8" w:rsidP="00C67DF8">
      <w:pPr>
        <w:pStyle w:val="SingleTxt"/>
        <w:tabs>
          <w:tab w:val="clear" w:pos="1930"/>
          <w:tab w:val="left" w:pos="2125"/>
        </w:tabs>
        <w:rPr>
          <w:rFonts w:hint="cs"/>
          <w:rtl/>
        </w:rPr>
      </w:pPr>
      <w:r>
        <w:rPr>
          <w:rFonts w:hint="cs"/>
          <w:rtl/>
        </w:rPr>
        <w:t>430 -</w:t>
      </w:r>
      <w:r>
        <w:rPr>
          <w:rFonts w:hint="cs"/>
          <w:rtl/>
        </w:rPr>
        <w:tab/>
        <w:t xml:space="preserve">وكانت سيدة باكستان الأولى رئيسة اللجنة التوجيهية الإقليمية للنهوض بالمرأة الريفية </w:t>
      </w:r>
      <w:proofErr w:type="spellStart"/>
      <w:r>
        <w:rPr>
          <w:rFonts w:hint="cs"/>
          <w:rtl/>
        </w:rPr>
        <w:t>والجزرية</w:t>
      </w:r>
      <w:proofErr w:type="spellEnd"/>
      <w:r>
        <w:rPr>
          <w:rFonts w:hint="cs"/>
          <w:rtl/>
        </w:rPr>
        <w:t>، من تشرين الثاني/نوفمبر 2001 إلى تشرين الثاني/نوفمبر 2004. وعقد مؤتمر قمة للسيدات الأول للدول الأعضاء في إسلام أباد، في شباط/فبراير 2004. وأعلن رئيس باكستان عن تخصيص مبلغ 100 مليون روبية للنهوض بالمرأة الريفية في باكستان. وتشمل الميزانية الوطنية للفترة 2004-2005 هذا المبلغ.</w:t>
      </w:r>
    </w:p>
    <w:p w:rsidR="00C67DF8" w:rsidRDefault="00C67DF8" w:rsidP="00C67DF8">
      <w:pPr>
        <w:pStyle w:val="SingleTxt"/>
        <w:tabs>
          <w:tab w:val="clear" w:pos="1930"/>
          <w:tab w:val="left" w:pos="2125"/>
        </w:tabs>
        <w:rPr>
          <w:rFonts w:hint="cs"/>
          <w:rtl/>
        </w:rPr>
      </w:pPr>
      <w:r>
        <w:rPr>
          <w:rFonts w:hint="cs"/>
          <w:rtl/>
        </w:rPr>
        <w:t>431 -</w:t>
      </w:r>
      <w:r>
        <w:rPr>
          <w:rFonts w:hint="cs"/>
          <w:rtl/>
        </w:rPr>
        <w:tab/>
        <w:t>تنطبق جميع الحقوق الواردة في الاتفاقية على المرأة الريفية والمرأة الحضرية، بصورة متساوية، من الناحية النظرية. ويشهد على ذلك الدستور وأحكامه وإنشاء جهاز إداري موسع يتصل بالتنمية الريفية والزراعة.</w:t>
      </w:r>
    </w:p>
    <w:p w:rsidR="00C67DF8" w:rsidRDefault="00C67DF8" w:rsidP="00C67DF8">
      <w:pPr>
        <w:pStyle w:val="SingleTxt"/>
        <w:tabs>
          <w:tab w:val="clear" w:pos="1930"/>
          <w:tab w:val="left" w:pos="2125"/>
        </w:tabs>
        <w:rPr>
          <w:rFonts w:hint="cs"/>
          <w:rtl/>
        </w:rPr>
      </w:pPr>
      <w:r>
        <w:rPr>
          <w:rFonts w:hint="cs"/>
          <w:rtl/>
        </w:rPr>
        <w:t>432 -</w:t>
      </w:r>
      <w:r>
        <w:rPr>
          <w:rFonts w:hint="cs"/>
          <w:rtl/>
        </w:rPr>
        <w:tab/>
        <w:t xml:space="preserve">ويبلغ إجمالي السكان من النساء في المناطق الريفية نحو 43 مليون امرأة وفقا للتعداد الأخير (1998). </w:t>
      </w:r>
    </w:p>
    <w:p w:rsidR="00C67DF8" w:rsidRDefault="00C67DF8" w:rsidP="00C67DF8">
      <w:pPr>
        <w:pStyle w:val="SingleTxt"/>
        <w:tabs>
          <w:tab w:val="clear" w:pos="1930"/>
          <w:tab w:val="left" w:pos="2125"/>
        </w:tabs>
        <w:rPr>
          <w:rFonts w:hint="cs"/>
          <w:rtl/>
        </w:rPr>
      </w:pPr>
      <w:r>
        <w:rPr>
          <w:rFonts w:hint="cs"/>
          <w:rtl/>
        </w:rPr>
        <w:t>433 -</w:t>
      </w:r>
      <w:r>
        <w:rPr>
          <w:rFonts w:hint="cs"/>
          <w:rtl/>
        </w:rPr>
        <w:tab/>
        <w:t xml:space="preserve">ونسبة النساء الريفيات غير الأميات 20.8 في المائة فقط (تقرير التنمية البشرية لجنوب آسيا، 2001). وتمثل المرأة 42 في المائة من مجموع الأشخاص الناشطين اقتصاديا في الأسر المعيشية الزراعية. والمرأة الريفية الباكستانية </w:t>
      </w:r>
      <w:proofErr w:type="spellStart"/>
      <w:r>
        <w:rPr>
          <w:rFonts w:hint="cs"/>
          <w:rtl/>
        </w:rPr>
        <w:t>مسؤولة</w:t>
      </w:r>
      <w:proofErr w:type="spellEnd"/>
      <w:r>
        <w:rPr>
          <w:rFonts w:hint="cs"/>
          <w:rtl/>
        </w:rPr>
        <w:t xml:space="preserve"> عن المهام المنزلية التي تتطلب كثيرا من الوقت والجهد وتساهم أيضا في الاقتصاد الريفي بقدر كبير في ثلاثة قطاعات فرعية وهي: إنتاج المحاصيل وإنتاج الماشية والصناعات المنزلية.</w:t>
      </w:r>
    </w:p>
    <w:p w:rsidR="00C67DF8" w:rsidRDefault="00C67DF8" w:rsidP="00C67DF8">
      <w:pPr>
        <w:pStyle w:val="SingleTxt"/>
        <w:tabs>
          <w:tab w:val="clear" w:pos="1930"/>
          <w:tab w:val="left" w:pos="2125"/>
        </w:tabs>
        <w:rPr>
          <w:rFonts w:hint="cs"/>
          <w:rtl/>
        </w:rPr>
      </w:pPr>
      <w:r>
        <w:rPr>
          <w:rFonts w:hint="cs"/>
          <w:rtl/>
        </w:rPr>
        <w:t>434 -</w:t>
      </w:r>
      <w:r>
        <w:rPr>
          <w:rFonts w:hint="cs"/>
          <w:rtl/>
        </w:rPr>
        <w:tab/>
        <w:t xml:space="preserve">وفي بعض المناطق الريفية، تشارك 82 في المائة من النساء في أعمال الزراعة. وتبين بعض الدراسات أن المرأة </w:t>
      </w:r>
      <w:proofErr w:type="spellStart"/>
      <w:r>
        <w:rPr>
          <w:rFonts w:hint="cs"/>
          <w:rtl/>
        </w:rPr>
        <w:t>مسؤولة</w:t>
      </w:r>
      <w:proofErr w:type="spellEnd"/>
      <w:r>
        <w:rPr>
          <w:rFonts w:hint="cs"/>
          <w:rtl/>
        </w:rPr>
        <w:t xml:space="preserve"> عن 25 في المائة من إنتاج المحاصيل الرئيسية و30 في المائة من إنتاج الأغذية. وفي قطاع إنتاج الماشية وتربيتها، تتحمل المرأة المسؤولية الرئيسية عن 8 من 14 عملية وهي أيضا نشطة في الأنشطة الستة الباقية وبينما تعتبر الزراعة والماشية أهم مصادر عمل المرأة، تعتبر الأنشطة المدرة للدخل التي تقوم بها في المنزل مهمة أيضا. إذ تعمل 15.7 في المائة من النساء المشاركات في القوى العاملة في أنشطة منزلية مدرة للدخل. وتنحصر المسؤولية عن أعمال من قبيل التطريز والحياكة والنسيج والأشغال الجلدية وصناعات الفخار والخزف وتجهيز الأغذية على المرأة الباكستانية.</w:t>
      </w:r>
    </w:p>
    <w:p w:rsidR="00C67DF8" w:rsidRDefault="00C67DF8" w:rsidP="00C67DF8">
      <w:pPr>
        <w:pStyle w:val="SingleTxt"/>
        <w:tabs>
          <w:tab w:val="clear" w:pos="1930"/>
          <w:tab w:val="left" w:pos="2125"/>
        </w:tabs>
        <w:rPr>
          <w:rFonts w:hint="cs"/>
          <w:rtl/>
        </w:rPr>
      </w:pPr>
      <w:r>
        <w:rPr>
          <w:rFonts w:hint="cs"/>
          <w:rtl/>
        </w:rPr>
        <w:t>435 -</w:t>
      </w:r>
      <w:r>
        <w:rPr>
          <w:rFonts w:hint="cs"/>
          <w:rtl/>
        </w:rPr>
        <w:tab/>
        <w:t>وفيما يتصل بالمؤشرات الرئيسية (انظر أدناه) يعاني سكان الريف من نقص في الخدمات المماثلة للنوعية وربما الكمية المتاحة لسكان الحضر. ولا يعد التمييز بين سكان الريف والحضر، بما في ذلك المرأة، أهم الاعتبارات، بل قدرة الحكومة على كفالة الحصول على هذه الحقوق والتمسك بها في جميع البيئات، سواء كانت ريفية أو حضرية. وتتمتع المجتمعات الريفية بنفس نوعية الخدمات التي تتمتع بها المناطق الحضرية في مجالي التعليم والصحة، في البلدان النامية، بصورة عامة. وليست باكستان مستثناة من ذلك، ولكن تشدد جميع الوثائق السياسية الأخيرة للحكومة من قبيل برنامج إصلاحات قطاع التعليم والسياسة الوطنية للصحة وما إلى ذلك، بصورة خاصة، على المناطق الريفية. ويرجى أن تتناقص الفروق بين سكان الريف والحضر، مع تحول هذا التشديد إلى عمل.</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تكفل الدول الأطراف للمرأة الريفية المشاركة في وضع وتنفيذ التخطيط الإنمائي، على جميع المستويات</w:t>
      </w:r>
    </w:p>
    <w:p w:rsidR="00C67DF8" w:rsidRDefault="00C67DF8" w:rsidP="00C67DF8">
      <w:pPr>
        <w:pStyle w:val="SingleTxt"/>
        <w:tabs>
          <w:tab w:val="clear" w:pos="1930"/>
          <w:tab w:val="left" w:pos="2125"/>
        </w:tabs>
        <w:rPr>
          <w:rFonts w:hint="cs"/>
          <w:rtl/>
        </w:rPr>
      </w:pPr>
      <w:r>
        <w:rPr>
          <w:rFonts w:hint="cs"/>
          <w:rtl/>
        </w:rPr>
        <w:t>436 -</w:t>
      </w:r>
      <w:r>
        <w:rPr>
          <w:rFonts w:hint="cs"/>
          <w:rtl/>
        </w:rPr>
        <w:tab/>
        <w:t>أتاحت الزيادة الأخيرة في عدد النساء المشرِّعات مجالا للمرأة ليكون لها رأي في اتخاذ القرارات وتحديد الأولويات على أعلى المستويات السياسية. ويأتي عدد كبير من النساء المشرِّعات من المناطق الريفية ولذلك يمكن أن تنعكس اهتماماتهن وأولياتهن في الخطة التشريعية.</w:t>
      </w:r>
    </w:p>
    <w:p w:rsidR="00C67DF8" w:rsidRDefault="00C67DF8" w:rsidP="00C67DF8">
      <w:pPr>
        <w:pStyle w:val="SingleTxt"/>
        <w:tabs>
          <w:tab w:val="clear" w:pos="1930"/>
          <w:tab w:val="left" w:pos="2125"/>
        </w:tabs>
        <w:rPr>
          <w:rFonts w:hint="cs"/>
          <w:rtl/>
        </w:rPr>
      </w:pPr>
      <w:r>
        <w:rPr>
          <w:rFonts w:hint="cs"/>
          <w:rtl/>
        </w:rPr>
        <w:t>437 -</w:t>
      </w:r>
      <w:r>
        <w:rPr>
          <w:rFonts w:hint="cs"/>
          <w:rtl/>
        </w:rPr>
        <w:tab/>
        <w:t>وتعتبر خطة نقل السلطة من التطورات الأخرى الهامة (نوقشت الخطة، تفصيليا، في الفصل السابع، الفقرات 133-136). وبموجب هذه الخطة، منحت المجتمعات المحلية سلطات لتصريف أمورها من خلال مجالس النقابات والقرى والمناطق. ولهذه الهيئات ميزانيات موحدة ولها حرية إنفاق هذه الاعتمادات وفقا لاحتياجات مجتمعاتهم المحلية. وتمثل المرأة نسبة 33 في المائة من أعضاء تلك الهيئات، وتستطيع أن تعبر عن أولوياتها واهتماماتها في التخطيط الإنمائي على  المستوى المحلي.</w:t>
      </w:r>
    </w:p>
    <w:p w:rsidR="00C67DF8" w:rsidRDefault="00C67DF8" w:rsidP="00C67DF8">
      <w:pPr>
        <w:pStyle w:val="SingleTxt"/>
        <w:tabs>
          <w:tab w:val="clear" w:pos="1930"/>
          <w:tab w:val="left" w:pos="2125"/>
        </w:tabs>
        <w:rPr>
          <w:rFonts w:hint="cs"/>
          <w:rtl/>
        </w:rPr>
      </w:pPr>
      <w:r>
        <w:rPr>
          <w:rFonts w:hint="cs"/>
          <w:rtl/>
        </w:rPr>
        <w:t>438 -</w:t>
      </w:r>
      <w:r>
        <w:rPr>
          <w:rFonts w:hint="cs"/>
          <w:rtl/>
        </w:rPr>
        <w:tab/>
        <w:t>وعملية التخطيط الإنمائي تدرك الاحتياجات الخاصة لسكان الريف في باكستان. غير أنه لا يوجد جهاز مؤسس</w:t>
      </w:r>
      <w:r w:rsidR="005F5FD5">
        <w:rPr>
          <w:rFonts w:hint="cs"/>
          <w:rtl/>
        </w:rPr>
        <w:t>ي</w:t>
      </w:r>
      <w:r>
        <w:rPr>
          <w:rFonts w:hint="cs"/>
          <w:rtl/>
        </w:rPr>
        <w:t xml:space="preserve"> تشارك المرأة الريفية من خلاله في إعداد وتنفيذ التخطيط الإنمائي على المستوى الكلي عن طريق ممثليها المنتخبين في الجمعيات.</w:t>
      </w:r>
    </w:p>
    <w:p w:rsidR="00C67DF8" w:rsidRDefault="00C67DF8" w:rsidP="00C67DF8">
      <w:pPr>
        <w:pStyle w:val="SingleTxt"/>
        <w:tabs>
          <w:tab w:val="clear" w:pos="1930"/>
          <w:tab w:val="left" w:pos="2125"/>
        </w:tabs>
        <w:rPr>
          <w:rFonts w:hint="cs"/>
          <w:rtl/>
        </w:rPr>
      </w:pPr>
      <w:r>
        <w:rPr>
          <w:rFonts w:hint="cs"/>
          <w:rtl/>
        </w:rPr>
        <w:t>439 -</w:t>
      </w:r>
      <w:r>
        <w:rPr>
          <w:rFonts w:hint="cs"/>
          <w:rtl/>
        </w:rPr>
        <w:tab/>
        <w:t>وكما سبق ذكره، فبموجب خطة نقل السلطة تتمتع حكومات المناطق بسلطة إعداد الميزانيات ووضع الخطط الإنمائية. وتقتضي القواعد المالية الصادرة من أجل الحكومات المحلية أن يتشاور العمدة مع المجموعات النسائية، والمنظمات غير الحكومية وعضوات المجالس قبل صياغة الميزانية ويجب أن تنشر وثيقة الميزانية للجمهور قبل اعتمادها بثلاثة شهور من أجل إتاحة فرصة للمناقشة والتعديل.</w:t>
      </w:r>
    </w:p>
    <w:p w:rsidR="00C67DF8" w:rsidRPr="00BF273A"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الحصول على تسهيلات العناية الصحية الملائمة، بما في ذلك المعلومات والإرشادات والخدمات المتعلقة بتنظيم الأسرة</w:t>
      </w:r>
    </w:p>
    <w:p w:rsidR="00C67DF8" w:rsidRDefault="00C67DF8" w:rsidP="00C67DF8">
      <w:pPr>
        <w:pStyle w:val="SingleTxt"/>
        <w:tabs>
          <w:tab w:val="clear" w:pos="1930"/>
          <w:tab w:val="left" w:pos="2125"/>
        </w:tabs>
        <w:rPr>
          <w:rFonts w:hint="cs"/>
          <w:rtl/>
        </w:rPr>
      </w:pPr>
      <w:r>
        <w:rPr>
          <w:rFonts w:hint="cs"/>
          <w:rtl/>
        </w:rPr>
        <w:t>440 -</w:t>
      </w:r>
      <w:r>
        <w:rPr>
          <w:rFonts w:hint="cs"/>
          <w:rtl/>
        </w:rPr>
        <w:tab/>
        <w:t>وردت معلومات تفصيلية عن الجوانب الصحية في إطار المادة 12. ويرد أدناه ملخص لأهم الجوانب.</w:t>
      </w:r>
    </w:p>
    <w:p w:rsidR="00C67DF8" w:rsidRDefault="00C67DF8" w:rsidP="00C67DF8">
      <w:pPr>
        <w:pStyle w:val="SingleTxt"/>
        <w:tabs>
          <w:tab w:val="clear" w:pos="1930"/>
          <w:tab w:val="left" w:pos="2125"/>
        </w:tabs>
        <w:rPr>
          <w:rFonts w:hint="cs"/>
          <w:rtl/>
        </w:rPr>
      </w:pPr>
      <w:r>
        <w:rPr>
          <w:rFonts w:hint="cs"/>
          <w:rtl/>
        </w:rPr>
        <w:t>441 -</w:t>
      </w:r>
      <w:r>
        <w:rPr>
          <w:rFonts w:hint="cs"/>
          <w:rtl/>
        </w:rPr>
        <w:tab/>
        <w:t>كان معدل وفيات الأطفال الإناث في المناطق الحضرية 70 وفي المناطق الريفية 81 (الدراسة الاستقصائية المتكاملة للإحصاءات المنزلية 2001-2002). وكان هذان الرقمان 80 و91 على التوالي للفترة 1998-1999. وكان معدل وفيات الأطفال الذكور لنفس الفترتين 67 و60 في المناطق الحضرية و98 و92 في المناطق الريفية. وبذلك كان معدل وفيات الأطفال الذكور أفضل في المناطق الحضرية، بينما كان معدل وفيات الأطفال الإناث أفضل في المناطق الريفية.</w:t>
      </w:r>
    </w:p>
    <w:p w:rsidR="00C67DF8" w:rsidRDefault="00C67DF8" w:rsidP="00C67DF8">
      <w:pPr>
        <w:pStyle w:val="SingleTxt"/>
        <w:tabs>
          <w:tab w:val="clear" w:pos="1930"/>
          <w:tab w:val="left" w:pos="2125"/>
        </w:tabs>
        <w:rPr>
          <w:rFonts w:hint="cs"/>
          <w:rtl/>
        </w:rPr>
      </w:pPr>
      <w:r>
        <w:rPr>
          <w:rFonts w:hint="cs"/>
          <w:rtl/>
        </w:rPr>
        <w:t>442 -</w:t>
      </w:r>
      <w:r>
        <w:rPr>
          <w:rFonts w:hint="cs"/>
          <w:rtl/>
        </w:rPr>
        <w:tab/>
        <w:t xml:space="preserve">وبالنسبة لتوزيع المرافق الصحية، كانت مراكز الرعاية من المرتبة الثالثة (المستشفيات أكثر تركيزا في المناطق الحضرية </w:t>
      </w:r>
      <w:r>
        <w:rPr>
          <w:rtl/>
        </w:rPr>
        <w:t>–</w:t>
      </w:r>
      <w:r>
        <w:rPr>
          <w:rFonts w:hint="cs"/>
          <w:rtl/>
        </w:rPr>
        <w:t xml:space="preserve"> 721 مستشفى بها 437 68 سريرا مقابل 144 مستشفى بها 112 5 سريرا، في المناطق الريفية. وهذا يتفق مع الاتجاه السائد في العالم. وهو توفر عناية أكثر تخصصا في المراكز الحضرية عن المناطق الحضرية نظرا لوجود تسهيلات داعمة أفضل في المراكز الحضرية. بيد أنه، إذا انتقلنا من مرافق الرعاية من المرتبة الثالثة إلى مرافق الرعاية الأولية، نجد أن عدد المرافق الموجودة في المناطق الريفية يفوق عددها في المناطق الحضرية. وبذلك نجد أن هناك 804 2 </w:t>
      </w:r>
      <w:proofErr w:type="spellStart"/>
      <w:r>
        <w:rPr>
          <w:rFonts w:hint="cs"/>
          <w:rtl/>
        </w:rPr>
        <w:t>مستوصفات</w:t>
      </w:r>
      <w:proofErr w:type="spellEnd"/>
      <w:r>
        <w:rPr>
          <w:rFonts w:hint="cs"/>
          <w:rtl/>
        </w:rPr>
        <w:t xml:space="preserve"> بها 2006 أسرَّة في المناطق الحضرية. ويفوق عدد مراكز السل في المناطق الحضرية العدد الموجودة في المناطق الريفية. كذلك، يفوق عدد مراكز صحة الأم والطفل الموجودة في المناطق الحضرية، العدد الموجود في المناطق الريفية (635 مقابل 218). ومن البديهي أن مراكز الصحة الريفية أكثر تركيزا في المناطق الريفية (378 مركزا بها 636 5 سريرا في المناطق الريفية مقابل 135 مركزا بها 250 2 سريرا في المناطق الحضرية. وكان مجموع عدد الوحدات الصحية الأساسية 329 5 وحدة، منها 073 5 في المناطق الريفية</w:t>
      </w:r>
      <w:r w:rsidRPr="0055123D">
        <w:rPr>
          <w:vertAlign w:val="superscript"/>
          <w:rtl/>
        </w:rPr>
        <w:t>(</w:t>
      </w:r>
      <w:r>
        <w:rPr>
          <w:rStyle w:val="FootnoteReference"/>
          <w:rtl/>
        </w:rPr>
        <w:footnoteReference w:id="24"/>
      </w:r>
      <w:r w:rsidRPr="0055123D">
        <w:rPr>
          <w:vertAlign w:val="superscript"/>
          <w:rtl/>
        </w:rPr>
        <w:t>)</w:t>
      </w:r>
      <w:r>
        <w:rPr>
          <w:rFonts w:hint="cs"/>
          <w:rtl/>
        </w:rPr>
        <w:t>.</w:t>
      </w:r>
    </w:p>
    <w:p w:rsidR="00C67DF8" w:rsidRDefault="00C67DF8" w:rsidP="00C67DF8">
      <w:pPr>
        <w:pStyle w:val="SingleTxt"/>
        <w:tabs>
          <w:tab w:val="clear" w:pos="1930"/>
          <w:tab w:val="left" w:pos="2125"/>
        </w:tabs>
        <w:rPr>
          <w:rFonts w:hint="cs"/>
          <w:rtl/>
        </w:rPr>
      </w:pPr>
      <w:r>
        <w:rPr>
          <w:rFonts w:hint="cs"/>
          <w:rtl/>
        </w:rPr>
        <w:t>443 -</w:t>
      </w:r>
      <w:r>
        <w:rPr>
          <w:rFonts w:hint="cs"/>
          <w:rtl/>
        </w:rPr>
        <w:tab/>
        <w:t xml:space="preserve">وبالنسبة للرعاية قبل الولادة، وقياسها بالحقن </w:t>
      </w:r>
      <w:proofErr w:type="spellStart"/>
      <w:r>
        <w:rPr>
          <w:rFonts w:hint="cs"/>
          <w:rtl/>
        </w:rPr>
        <w:t>بتوكسويد</w:t>
      </w:r>
      <w:proofErr w:type="spellEnd"/>
      <w:r>
        <w:rPr>
          <w:rFonts w:hint="cs"/>
          <w:rtl/>
        </w:rPr>
        <w:t xml:space="preserve"> الكزاز، تلقت 69 في المائة من النساء الحوامل في المناطق الريفية هذه الحقنة مقارنة </w:t>
      </w:r>
      <w:proofErr w:type="spellStart"/>
      <w:r>
        <w:rPr>
          <w:rFonts w:hint="cs"/>
          <w:rtl/>
        </w:rPr>
        <w:t>بـ</w:t>
      </w:r>
      <w:proofErr w:type="spellEnd"/>
      <w:r>
        <w:rPr>
          <w:rFonts w:hint="cs"/>
          <w:rtl/>
        </w:rPr>
        <w:t xml:space="preserve"> 38 في المائة من النساء الريفيات وذلك وفقا للدراسة الاستقصائية للإحصاءات المنزلية في باكستان للفترة 2001-2002. وكانت الأرقام الخاصة بالفترة 1998-1999، 66 في المائة و31 في المائة، بزيادة طفيفة بالنسبة لحصول النساء الريفيات على العناية قبل الولادة.</w:t>
      </w:r>
    </w:p>
    <w:p w:rsidR="00C67DF8" w:rsidRDefault="00C67DF8" w:rsidP="00C67DF8">
      <w:pPr>
        <w:pStyle w:val="SingleTxt"/>
        <w:tabs>
          <w:tab w:val="clear" w:pos="1930"/>
          <w:tab w:val="left" w:pos="2125"/>
        </w:tabs>
        <w:rPr>
          <w:rFonts w:hint="cs"/>
          <w:rtl/>
        </w:rPr>
      </w:pPr>
      <w:r>
        <w:rPr>
          <w:rFonts w:hint="cs"/>
          <w:rtl/>
        </w:rPr>
        <w:t>444 -</w:t>
      </w:r>
      <w:r>
        <w:rPr>
          <w:rFonts w:hint="cs"/>
          <w:rtl/>
        </w:rPr>
        <w:tab/>
        <w:t>وحدثت 86 في المائة من حالات الولادة في المنازل، في المناطق الريفية في الفترة 2001-2002، مقابل 55 في المائة منها في المناطق الحضرية. وكانت النسب الخاصة بالفترة 1998-1999 89 في المائة و61 في المائة، على التوالي، مما يوضح معدل زيادة أكبر في معدل النساء الحضريات من حيث إمكانية أو تفضيل الولادة في المستشفيات. وقامت مولِّدة مدربة بمساعدة 21 في المائة من النساء الريفيات مقابل 12 في المائة من النساء الحضريات. وبالمثل حصلت 40 في المائة من النساء الريفيات على مساعدة قابلة مدربة مقابل 31 في المائة من النساء الحضريات. وعلى عكس ذلك، حصلت 40 في المائة من النساء الحضريات على مساعدة طبيب مقابل 11 في المائة من النساء الريفيات. وتلقت 16 في المائة من النساء الحضريات على استشارة بعد الولادة، في غضون 6 أسابيع من الولادة، مقابل 6 في المائة من النساء الريفيات</w:t>
      </w:r>
      <w:r w:rsidRPr="00B142F8">
        <w:rPr>
          <w:vertAlign w:val="superscript"/>
          <w:rtl/>
        </w:rPr>
        <w:t>(</w:t>
      </w:r>
      <w:r>
        <w:rPr>
          <w:rStyle w:val="FootnoteReference"/>
          <w:rtl/>
        </w:rPr>
        <w:footnoteReference w:id="25"/>
      </w:r>
      <w:r w:rsidRPr="00B142F8">
        <w:rPr>
          <w:vertAlign w:val="superscript"/>
          <w:rtl/>
        </w:rPr>
        <w:t>)</w:t>
      </w:r>
      <w:r>
        <w:rPr>
          <w:rFonts w:hint="cs"/>
          <w:rtl/>
        </w:rPr>
        <w:t>.</w:t>
      </w:r>
    </w:p>
    <w:p w:rsidR="00C67DF8" w:rsidRDefault="00C67DF8" w:rsidP="00C67DF8">
      <w:pPr>
        <w:pStyle w:val="SingleTxt"/>
        <w:tabs>
          <w:tab w:val="clear" w:pos="1930"/>
          <w:tab w:val="left" w:pos="2125"/>
        </w:tabs>
        <w:rPr>
          <w:rFonts w:hint="cs"/>
          <w:rtl/>
        </w:rPr>
      </w:pPr>
      <w:r>
        <w:rPr>
          <w:rFonts w:hint="cs"/>
          <w:rtl/>
        </w:rPr>
        <w:t>445 -</w:t>
      </w:r>
      <w:r>
        <w:rPr>
          <w:rFonts w:hint="cs"/>
          <w:rtl/>
        </w:rPr>
        <w:tab/>
        <w:t xml:space="preserve">وقدمت معلومات عن خدمات تنظيم الأسرة، تفصيليا، في إطار المادة 12. وفيما يلي بعض المعلومات ذات الصلة مقدمة مرة أخرى. والنتيجة الأساسية هي أن معدل شيوع وسائل منع الحمل أدنى بين النساء الريفيات، مقارنة بالنساء الحضريات. غير أن مستوى الارتياح للخدمات المقدمة مماثل تقريبا بين المجموعتين النسائيتين (98 في المائة للنساء الحضريات و93 في المائة للنساء الريفيات). ويتوفر لأغلبية النساء في المناطق الريفية في باكستان، مرفق لتنظيم الأسرة على مسافة لا تزيد عن كيلومترين اثنين من محل إقامتهن. وفي بنجاب، يعيش 74 في المائة من النساء الريفيات من سن الإنجاب على مسافة لا تتجاوز كيلومترين اثنين من مرفق لتنظيم الأسرة. وكانت هذه النسبة 55 في المائة في السند و81 في المائة في مقاطعة الحدود الشمالية الغربية، و37 في المائة في </w:t>
      </w:r>
      <w:proofErr w:type="spellStart"/>
      <w:r>
        <w:rPr>
          <w:rFonts w:hint="cs"/>
          <w:rtl/>
        </w:rPr>
        <w:t>بالوشستان</w:t>
      </w:r>
      <w:proofErr w:type="spellEnd"/>
      <w:r>
        <w:rPr>
          <w:rFonts w:hint="cs"/>
          <w:rtl/>
        </w:rPr>
        <w:t>. وتبلغ نسبة النساء الحضريات المطلعات على وسائل منع الحمل 99 في المائة، ومارست 40 في المائة من هؤلاء تنظيم الأسرة مرة واحدة على الأقل، وكانت نسبة ممارسات تنظيم الأسرة وقت تجميع بيانات الدراسة الاستقصائية المتكاملة للإحصاءات المنزلية في باكستان للفترة 2001-2002، 31 في المائة. وكانت الأرقام المقابلة لها بالنسبة للمرأة الريفية 95 في المائة و21 في المائة و14 في المائة.</w:t>
      </w:r>
    </w:p>
    <w:p w:rsidR="00C67DF8" w:rsidRDefault="00C67DF8" w:rsidP="00C67DF8">
      <w:pPr>
        <w:pStyle w:val="SingleTxt"/>
        <w:tabs>
          <w:tab w:val="clear" w:pos="1930"/>
          <w:tab w:val="left" w:pos="2125"/>
        </w:tabs>
        <w:rPr>
          <w:rFonts w:hint="cs"/>
          <w:rtl/>
        </w:rPr>
      </w:pPr>
      <w:r>
        <w:rPr>
          <w:rFonts w:hint="cs"/>
          <w:rtl/>
        </w:rPr>
        <w:t>446 -</w:t>
      </w:r>
      <w:r>
        <w:rPr>
          <w:rFonts w:hint="cs"/>
          <w:rtl/>
        </w:rPr>
        <w:tab/>
        <w:t>وتشدد السياسة الوطنية للصحة، مجددا على المناطق الريفية. وسيشترط على كل كلية من كليات الطب في القطاعين العام والخاص أن تتبنى إحدى المستشفيات أو مرفقا للرعاية الصحية الأولية في المنطقة/القرية، بالإضافة إلى المستشفى التعليمي المنتمي إليها. وسيشمل هذا الزيارات الإلزامية من أساتذة/طلبة الطب، على أساس التناوب، لقضاء وقت أطول في المناطق الريفية مع المساعدة على توفير التغطية المتخصصة الانتقائية للسكان المستفيدين. وسيلزم الخريجون الجدد لكليات الطب بالخدمة في المناطق الريفية. وستمنح الأفضلية في الالتحاق ببرامج الدراسات العليا للذين أكملوا سنتين من الخدمة الطبية في الريف، كحافز لهم. ستتولى المقاطعات تحسين مستشفيات المناطق/القرى في إطار خطة مرحلية. وستوفر 6 تخصصات على الأقل (الطب العام، الجراحة، طب الأطفال، أمراض النساء، الأنف والأذن والحنجرة وطب العيون) في هذه المرافق.</w:t>
      </w:r>
    </w:p>
    <w:p w:rsidR="00C67DF8" w:rsidRPr="005D639C"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الاستفادة من برامج التأمين الاجتماعي</w:t>
      </w:r>
    </w:p>
    <w:p w:rsidR="00C67DF8" w:rsidRDefault="00C67DF8" w:rsidP="00C67DF8">
      <w:pPr>
        <w:pStyle w:val="SingleTxt"/>
        <w:tabs>
          <w:tab w:val="clear" w:pos="1930"/>
          <w:tab w:val="left" w:pos="2125"/>
        </w:tabs>
        <w:rPr>
          <w:rFonts w:hint="cs"/>
          <w:rtl/>
        </w:rPr>
      </w:pPr>
      <w:r>
        <w:rPr>
          <w:rFonts w:hint="cs"/>
          <w:rtl/>
        </w:rPr>
        <w:t>447 -</w:t>
      </w:r>
      <w:r>
        <w:rPr>
          <w:rFonts w:hint="cs"/>
          <w:rtl/>
        </w:rPr>
        <w:tab/>
        <w:t xml:space="preserve">كما سبق ذكره في إطار المادة 11، لا يعتبر نظام التأمين الاجتماعي متطورا بالشكل الكافي، في باكستان. ولا تغطي قوانين العمل القطاعين الزراعي وغير الرسمي حتى الآن. وهذا يعني، مع الأسف، أن العاملات الريفيات ليس لهن حق في التأمين الاجتماعي، في الوقت الراهن، إلا في حالة عملهن في وحدات زراعية </w:t>
      </w:r>
      <w:r>
        <w:rPr>
          <w:rtl/>
        </w:rPr>
        <w:t>–</w:t>
      </w:r>
      <w:r>
        <w:rPr>
          <w:rFonts w:hint="cs"/>
          <w:rtl/>
        </w:rPr>
        <w:t xml:space="preserve"> صناعية كبيرة.</w:t>
      </w:r>
    </w:p>
    <w:p w:rsidR="00C67DF8" w:rsidRDefault="00C67DF8" w:rsidP="00C67DF8">
      <w:pPr>
        <w:pStyle w:val="SingleTxt"/>
        <w:tabs>
          <w:tab w:val="clear" w:pos="1930"/>
          <w:tab w:val="left" w:pos="2125"/>
        </w:tabs>
        <w:rPr>
          <w:rFonts w:hint="cs"/>
          <w:rtl/>
        </w:rPr>
      </w:pPr>
      <w:r>
        <w:rPr>
          <w:rFonts w:hint="cs"/>
          <w:rtl/>
        </w:rPr>
        <w:t>448 -</w:t>
      </w:r>
      <w:r>
        <w:rPr>
          <w:rFonts w:hint="cs"/>
          <w:rtl/>
        </w:rPr>
        <w:tab/>
        <w:t>غير أن المرأة الريفية أهم المستفيدين من صندوق الزكاة. وهو يساهم بالفعل في دخل أفقر قطاعات المجتمع، وخاصة النساء الريفيات، رغم عدم كونه بديل للتأمين الاجتماعي وهو يشكل شبكة بدائية للأمان الاجتماعي (للاطلاع على تفاصيل مدفوعات الزكاة، انظر الفصل الثالث عشر، الفقرتان 409-410).</w:t>
      </w:r>
    </w:p>
    <w:p w:rsidR="00C67DF8" w:rsidRPr="00ED65B5"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الحصول على جميع أنواع التدريب والتعليم، الرسمي وغير الرسمي، بما في ذلك، ما يتصل بمحو الأمية الوظيفية، والحصول كذلك، في جملة أمور، على فوائد كافة الخدمات المجتمعية والإرشادية، وذلك لزيادة كفاءتها التقنية.</w:t>
      </w:r>
    </w:p>
    <w:p w:rsidR="00C67DF8" w:rsidRDefault="00C67DF8" w:rsidP="00C67DF8">
      <w:pPr>
        <w:pStyle w:val="SingleTxt"/>
        <w:tabs>
          <w:tab w:val="clear" w:pos="1930"/>
          <w:tab w:val="left" w:pos="2125"/>
        </w:tabs>
        <w:rPr>
          <w:rFonts w:hint="cs"/>
          <w:rtl/>
        </w:rPr>
      </w:pPr>
      <w:r>
        <w:rPr>
          <w:rFonts w:hint="cs"/>
          <w:rtl/>
        </w:rPr>
        <w:t>449 -</w:t>
      </w:r>
      <w:r>
        <w:rPr>
          <w:rFonts w:hint="cs"/>
          <w:rtl/>
        </w:rPr>
        <w:tab/>
        <w:t>ترد البيانات الخاصة بالتعليم، بما في ذلك ما يخص القطاعات الريفية من السكان، في إطار المادة 10. ووفقا للدراسة الاستقصائية المتكاملة للإحصاءات المنزلية في باكستان، 2001-2002، يتبين أن 61 في المائة من الإناث اللائي يزيد سنهن عن 10 سنوات، في المناطق الحضرية التحقن بالمدرسة لفترة على الأقل. وكانت النسبة المقابلة في نساء وبنات الريف، 25 في المائة. وكانت المؤشرات نفسها الخاصة بالرجال والبنين، 78 في المائة و60 في المائة. وبتحديد أكبر، نجد أن 50 في المائة من الإناث من سن 10 سنوات فما فوق أكملن المرحلة الابتدائية أو ما فوقها مقابل 10 في المائة في المناطق الريفية. وكانت الأرقام المقابلة للذكور 64 في المائة و42 في المائة. وكان معدل التسجيل الإجمالي للفتيات الحضريات في المرحلة الابتدائية 87 في المائة مقابل 52 في المائة للفتيات الريفيات. وبلغت الأرقام المقابلة للذكور 94 في المائة و80 في المائة على التوالي. وكان معدل التسجيل الإجمالي في المرحلة الإعدادية 68 في المائة للفتيات الحضريات و21 في المائة للفتيات الريفيات وكانت الأرقام المقابلة للذكور 58 في المائة و21 في المائة.</w:t>
      </w:r>
    </w:p>
    <w:p w:rsidR="00C67DF8" w:rsidRDefault="00C67DF8" w:rsidP="00C67DF8">
      <w:pPr>
        <w:pStyle w:val="SingleTxt"/>
        <w:tabs>
          <w:tab w:val="clear" w:pos="1930"/>
          <w:tab w:val="left" w:pos="2125"/>
        </w:tabs>
        <w:rPr>
          <w:rFonts w:hint="cs"/>
          <w:rtl/>
        </w:rPr>
      </w:pPr>
      <w:r>
        <w:rPr>
          <w:rFonts w:hint="cs"/>
          <w:rtl/>
        </w:rPr>
        <w:t>450 -</w:t>
      </w:r>
      <w:r>
        <w:rPr>
          <w:rFonts w:hint="cs"/>
          <w:rtl/>
        </w:rPr>
        <w:tab/>
        <w:t>ولا يوجد تمييز ضد المرأة الريفية في مجال التعليم من الناحيتين الدستورية والقانونية. ولها نفس الحق في التعليم الرسمي وغير الرسمي. ومع ذلك نجد أن مؤشرات التعليم للمرأة الريفية متخلفة عن مؤشرات رجال ونساء الحضر، لعدة أسباب. فسبل الوصول تعد مشكلة. وتعتبر مرافق التعليم أقل من ناحيتي الجودة والهياكل الأساسية. وهناك تردد بالنسبة لإرسال الفتيات إلى المدرسة في بعض المناطق الريفية.</w:t>
      </w:r>
    </w:p>
    <w:p w:rsidR="00C67DF8" w:rsidRDefault="00C67DF8" w:rsidP="00C67DF8">
      <w:pPr>
        <w:pStyle w:val="SingleTxt"/>
        <w:tabs>
          <w:tab w:val="clear" w:pos="1930"/>
          <w:tab w:val="left" w:pos="2125"/>
        </w:tabs>
        <w:rPr>
          <w:rFonts w:hint="cs"/>
          <w:rtl/>
        </w:rPr>
      </w:pPr>
      <w:r>
        <w:rPr>
          <w:rFonts w:hint="cs"/>
          <w:rtl/>
        </w:rPr>
        <w:t>451 -</w:t>
      </w:r>
      <w:r>
        <w:rPr>
          <w:rFonts w:hint="cs"/>
          <w:rtl/>
        </w:rPr>
        <w:tab/>
        <w:t>وبصورة عامة، لا يوجد في المناطق الريفية مرافق للتعليم العالي من نفس النوعية المتوفرة في المناطق الحضرية. وتقع أغلب الجامعات في المناطق الحضرية. وهذا صحيح أيضا بالنسبة لأغلب الكليات المهنية والجيدة. ولكن ليس هناك تمييز بين النساء الحضريات والوفيات في السعي إلى القبول في هذه المؤسسات، التي توفر الإقامة في بيوت الطالبات، للفتيات القادمات من المناطق النائية أو المدن الأخرى، بصورة عامة. وتظل المشكلة في أن نوعية التعليم المتاحة للفتيات في المناطق الريفية، عامة، ليست مكافئة للنوعية المتاحة في المدارس الحضرية أو الخاصة (وأغلبها أيضا في المناطق الحضرية)، حتى الآن. وهذا يعني أن الفتيات والنساء الريفيات يحصلن، في المتوسط، على درجات أقل في الامتحانات الهامة التي تعتبر معايير للقبول في الكليات المهنية والتي تمنح درجات علمية أفضل. وتهدف إصلاحات قطاع التعليم إلى معالجة هذه القضايا.</w:t>
      </w:r>
    </w:p>
    <w:p w:rsidR="00C67DF8" w:rsidRPr="001B6287"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تنظيم جماعات المساعدة الذاتية والتعاونيات من أجل الحصول على فرص اقتصادية متكافئة عن طريق العمل لدى الغير أو العمل لحسابهن الخاص</w:t>
      </w:r>
    </w:p>
    <w:p w:rsidR="00C67DF8" w:rsidRDefault="00C67DF8" w:rsidP="00C67DF8">
      <w:pPr>
        <w:pStyle w:val="SingleTxt"/>
        <w:tabs>
          <w:tab w:val="clear" w:pos="1930"/>
          <w:tab w:val="left" w:pos="2125"/>
        </w:tabs>
        <w:rPr>
          <w:rFonts w:hint="cs"/>
          <w:rtl/>
        </w:rPr>
      </w:pPr>
      <w:r>
        <w:rPr>
          <w:rFonts w:hint="cs"/>
          <w:rtl/>
        </w:rPr>
        <w:t>452 -</w:t>
      </w:r>
      <w:r>
        <w:rPr>
          <w:rFonts w:hint="cs"/>
          <w:rtl/>
        </w:rPr>
        <w:tab/>
        <w:t xml:space="preserve">لا يوجد حاجز أمام تكوين النساء الريفيات للتعاونيات، وقد تزايد الاتجاه إلى تكوين التعاونيات في المناطق الريفية في باكستان عقب طفرة في نمو مؤسسات إقراض الائتمانات الصغيرة مثل مصرف </w:t>
      </w:r>
      <w:proofErr w:type="spellStart"/>
      <w:r>
        <w:rPr>
          <w:rFonts w:hint="cs"/>
          <w:rtl/>
        </w:rPr>
        <w:t>خوشهالي</w:t>
      </w:r>
      <w:proofErr w:type="spellEnd"/>
      <w:r>
        <w:rPr>
          <w:rFonts w:hint="cs"/>
          <w:rtl/>
        </w:rPr>
        <w:t xml:space="preserve"> وصندوق تخفيف حدة الفقر في باكستان. ويمكن الإطلاع على بعض البيانات الخاصة بالمنظمات المجتمعية للمرأة في الجدول 14-1.</w:t>
      </w:r>
    </w:p>
    <w:p w:rsidR="00C67DF8" w:rsidRDefault="00C67DF8" w:rsidP="00C67DF8">
      <w:pPr>
        <w:pStyle w:val="SingleTxt"/>
        <w:tabs>
          <w:tab w:val="clear" w:pos="1930"/>
          <w:tab w:val="left" w:pos="2125"/>
        </w:tabs>
        <w:rPr>
          <w:rFonts w:hint="cs"/>
          <w:rtl/>
        </w:rPr>
      </w:pPr>
      <w:r>
        <w:rPr>
          <w:rFonts w:hint="cs"/>
          <w:rtl/>
        </w:rPr>
        <w:t>453 -</w:t>
      </w:r>
      <w:r>
        <w:rPr>
          <w:rFonts w:hint="cs"/>
          <w:rtl/>
        </w:rPr>
        <w:tab/>
        <w:t xml:space="preserve">ولا توجد حواجز أمام المرأة في السعي إلى وظيفة أو ممارسة مهنة، كما سبق ذكره في المادة 11. وأهم مشكلة هي الوصول إلى فرص التوظيف. وتتزايد معدلات مشاركة المرأة في القوة العاملة، كما سبق ذكره. وبالإضافة إلى ذلك، تتزايد النسبة المئوية للمرأة في فئة </w:t>
      </w:r>
      <w:r>
        <w:rPr>
          <w:rFonts w:hint="eastAsia"/>
          <w:rtl/>
        </w:rPr>
        <w:t>”العاملون لحساب الذات</w:t>
      </w:r>
      <w:r>
        <w:rPr>
          <w:rFonts w:hint="cs"/>
          <w:rtl/>
        </w:rPr>
        <w:t>“. وكانت هذه النسبة 11.7 في المائة في الفترة 1997-1998 فأصبحت 15.7 في المائة في الفترة 2001-2002.</w:t>
      </w:r>
    </w:p>
    <w:p w:rsidR="00C67DF8" w:rsidRDefault="00C67DF8" w:rsidP="00C67DF8">
      <w:pPr>
        <w:pStyle w:val="SingleTxt"/>
        <w:tabs>
          <w:tab w:val="clear" w:pos="1930"/>
          <w:tab w:val="left" w:pos="2125"/>
        </w:tabs>
        <w:rPr>
          <w:rFonts w:hint="cs"/>
          <w:rtl/>
        </w:rPr>
      </w:pPr>
      <w:r>
        <w:rPr>
          <w:rFonts w:hint="cs"/>
          <w:rtl/>
        </w:rPr>
        <w:t>454 -</w:t>
      </w:r>
      <w:r>
        <w:rPr>
          <w:rFonts w:hint="cs"/>
          <w:rtl/>
        </w:rPr>
        <w:tab/>
        <w:t>وتدعم حكومة باكستان عدة مبادرات تهدف إلى زيادة القدرات المدرة للدخل للنساء الباكستانيات. وتوفر الحكومة الدعم المالي والتقني لإنشاء الآليات اللازمة لتشجيع المرأة على تنظيم المشاريع. وفيما يلي أمثلة لبعض هذه المبادرات:</w:t>
      </w:r>
    </w:p>
    <w:p w:rsidR="00C67DF8" w:rsidRDefault="00C67DF8" w:rsidP="00326E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’1‘</w:t>
      </w:r>
      <w:r>
        <w:rPr>
          <w:rFonts w:hint="cs"/>
          <w:rtl/>
        </w:rPr>
        <w:tab/>
      </w:r>
      <w:r w:rsidRPr="00516795">
        <w:rPr>
          <w:rFonts w:hint="cs"/>
          <w:i/>
          <w:iCs/>
          <w:rtl/>
        </w:rPr>
        <w:t>تشجيع إقامة برامج دعم الريف</w:t>
      </w:r>
      <w:r>
        <w:rPr>
          <w:rFonts w:hint="cs"/>
          <w:rtl/>
        </w:rPr>
        <w:t xml:space="preserve">: قدمت الحكومة الأموال الابتدائية لإنشاء البرنامج الوطني لدعم الريف، وبرنامج بنجاب لدعم الريف، وبرنامج السند لدعم الريف. وشجعت أيضا برنامج </w:t>
      </w:r>
      <w:proofErr w:type="spellStart"/>
      <w:r>
        <w:rPr>
          <w:rFonts w:hint="cs"/>
          <w:rtl/>
        </w:rPr>
        <w:t>سرهاد</w:t>
      </w:r>
      <w:proofErr w:type="spellEnd"/>
      <w:r>
        <w:rPr>
          <w:rFonts w:hint="cs"/>
          <w:rtl/>
        </w:rPr>
        <w:t xml:space="preserve"> لدعم الريف من خلال تمويل المشاريع. وجميع برامج دعم الريف المذكورة تركز الاهتمام على بناء قدرات النساء الباكستانيات الريفيات، عن طريق خدمات التعبئة المجتمعية، والمساعدة التقنية وتوفير التمويل الصغير. ويساعد البرنامج المتكامل لبرامج دعم الريف النساء الريفيات في التغلب على الحواجز في سبيل الفرص الاقتصادية. وهذه البرامج موجودة في 17 منطقة من باكستان، في الوقت الراهن.</w:t>
      </w:r>
    </w:p>
    <w:p w:rsidR="00C67DF8" w:rsidRDefault="00C67DF8" w:rsidP="005F5F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’2‘</w:t>
      </w:r>
      <w:r>
        <w:rPr>
          <w:rFonts w:hint="cs"/>
          <w:rtl/>
        </w:rPr>
        <w:tab/>
      </w:r>
      <w:r w:rsidRPr="00516795">
        <w:rPr>
          <w:rFonts w:hint="cs"/>
          <w:i/>
          <w:iCs/>
          <w:rtl/>
        </w:rPr>
        <w:t>الدعم من خلال منظمات تخفيف حدة الفقر</w:t>
      </w:r>
      <w:r>
        <w:rPr>
          <w:rFonts w:hint="cs"/>
          <w:rtl/>
        </w:rPr>
        <w:t xml:space="preserve">: أنشأت الحكومة الاتحادية أيضا صندوق تخفيف حدة الفقر في باكستان والصندوق </w:t>
      </w:r>
      <w:proofErr w:type="spellStart"/>
      <w:r>
        <w:rPr>
          <w:rFonts w:hint="cs"/>
          <w:rtl/>
        </w:rPr>
        <w:t>الاستئماني</w:t>
      </w:r>
      <w:proofErr w:type="spellEnd"/>
      <w:r>
        <w:rPr>
          <w:rFonts w:hint="cs"/>
          <w:rtl/>
        </w:rPr>
        <w:t xml:space="preserve"> للمنظمات الطوعية. وأهم أهداف هذه المؤسسات هو تقديم الخدمات للسكان الفقراء في باكستان عن طريق المنظمات غير الحكومية المحلية. ويوفر صندوق تخفيف حدة الفقر في باكستان المساعدة المالية لأهم المنظمات غير الحكومية وبرامج دعم الريف لبناء قدراتها وتقديم خدمات التمويل الصغير للسكان الفقراء، مع تركيز الاهتمام على المرأة، بصورة خاصة. ويقوم صندوق تخفيف حدة الفقر، كذلك.بدعم المنظمات غير الحكومة الصغيرة الحجم، بغية إيجاد مزيد من المنافذ على الصعيد الشعبي، وزيادة التنافس من أجل تحسين إيصال الخدمات المقدمة للفئات المستهدفة.</w:t>
      </w:r>
    </w:p>
    <w:p w:rsidR="00C67DF8" w:rsidRDefault="00C67DF8" w:rsidP="005F5F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’3‘</w:t>
      </w:r>
      <w:r>
        <w:rPr>
          <w:rFonts w:hint="cs"/>
          <w:rtl/>
        </w:rPr>
        <w:tab/>
      </w:r>
      <w:r w:rsidRPr="00516795">
        <w:rPr>
          <w:rFonts w:hint="cs"/>
          <w:i/>
          <w:iCs/>
          <w:rtl/>
        </w:rPr>
        <w:t>اللجنة الوطنية للتنمية البشرية</w:t>
      </w:r>
      <w:r>
        <w:rPr>
          <w:rFonts w:hint="cs"/>
          <w:b/>
          <w:bCs/>
          <w:rtl/>
        </w:rPr>
        <w:t>:</w:t>
      </w:r>
      <w:r>
        <w:rPr>
          <w:rFonts w:hint="cs"/>
          <w:rtl/>
        </w:rPr>
        <w:t xml:space="preserve"> أنشأت الحكومة أيضا منظمة وطنية مهمتها زيادة مستويات محو الأمية، وتحسين الأحوال الصحية الأساسية وتنمية منظمي المشاريع. وبدأت هذه اللجنة عملياتها في 16 منطقة من مناطق باكستان. ومن المنتظر أن يؤدي إدماج عمليات القطاع الاجتماعي مع توليد الدخل إلى تعزيز أثر المبادرات الإنمائية.</w:t>
      </w:r>
    </w:p>
    <w:p w:rsidR="00C67DF8" w:rsidRDefault="00C67DF8" w:rsidP="00326EB5">
      <w:pPr>
        <w:pStyle w:val="SingleTxt"/>
        <w:tabs>
          <w:tab w:val="clear" w:pos="1930"/>
          <w:tab w:val="left" w:pos="2125"/>
        </w:tabs>
        <w:rPr>
          <w:rFonts w:hint="cs"/>
          <w:rtl/>
        </w:rPr>
      </w:pPr>
      <w:r>
        <w:rPr>
          <w:rFonts w:hint="cs"/>
          <w:rtl/>
        </w:rPr>
        <w:t>455 -</w:t>
      </w:r>
      <w:r>
        <w:rPr>
          <w:rFonts w:hint="cs"/>
          <w:rtl/>
        </w:rPr>
        <w:tab/>
        <w:t>وتعتبر برامج دعم الريف أهم العناصر من حيث توفير الخدمات المالية والتقنية للمجتمعات الفقيرة، وخاصة النساء الريفيات، من أجل تعزيز قدراتهن على توليد الدخل. وتتبع برامج دعم الريف نهجا متكاملا وتوفر مجموعة متنوعة من الخدمات لع</w:t>
      </w:r>
      <w:r w:rsidR="00326EB5">
        <w:rPr>
          <w:rFonts w:hint="cs"/>
          <w:rtl/>
        </w:rPr>
        <w:t>م</w:t>
      </w:r>
      <w:r>
        <w:rPr>
          <w:rFonts w:hint="cs"/>
          <w:rtl/>
        </w:rPr>
        <w:t>يلاتها. وتقوم برامج دعم الريف بتنظيم النساء الريفيات في منظمات مجتمعية نسائية، قبل أن ت</w:t>
      </w:r>
      <w:r w:rsidR="00326EB5">
        <w:rPr>
          <w:rFonts w:hint="cs"/>
          <w:rtl/>
        </w:rPr>
        <w:t>ق</w:t>
      </w:r>
      <w:r>
        <w:rPr>
          <w:rFonts w:hint="cs"/>
          <w:rtl/>
        </w:rPr>
        <w:t xml:space="preserve">دم لهن أي خدمات. وتنتخب المنظمات المجتمعية النسائية أعضاء المكتب الذين يتلقون التدريب في المهارات الإدارية والقيادية من موظفي برامج دعم الريف. ويمكِّن هذا التدريب أعضاء مكاتب المنظمات المجتمعية النسائية من إدارة شؤون هذه المنظمات بما في ذلك الإدارة المالية لموارد المنظمة. وتجتمع المنظمة بصورة منتظمة ويقوم كل عضو بوفورات طوعية. وتودع هذه الوفورات في حساب مصرفي للجمعية. وتساعد عملية الاجتماعات التي تعقدها المنظمات المجتمعية النسائية </w:t>
      </w:r>
      <w:proofErr w:type="spellStart"/>
      <w:r>
        <w:rPr>
          <w:rFonts w:hint="cs"/>
          <w:rtl/>
        </w:rPr>
        <w:t>والوفورات</w:t>
      </w:r>
      <w:proofErr w:type="spellEnd"/>
      <w:r>
        <w:rPr>
          <w:rFonts w:hint="cs"/>
          <w:rtl/>
        </w:rPr>
        <w:t xml:space="preserve"> التي تقدمها على غرس قواعد النظام في المنظمة، مما يعمل على المساعدة في تنمية قدرات عضوات الجمعيات في مجال تنظيم المشاريع. وتمكِّن عملية التعبئة المجتمعية من تحقيق أشياء كثيرة، مثلا، تجري أيضا مناقشة مشكلة قد</w:t>
      </w:r>
      <w:r w:rsidR="00326EB5">
        <w:rPr>
          <w:rFonts w:hint="cs"/>
          <w:rtl/>
        </w:rPr>
        <w:t>ر</w:t>
      </w:r>
      <w:r>
        <w:rPr>
          <w:rFonts w:hint="cs"/>
          <w:rtl/>
        </w:rPr>
        <w:t>ة المرأة على التحرك أو توزيع الدخل بصورة غير مناسبة في الأسرة المعيشة ويتم حل هذه المشاكل في اجتماعات المنظمة. وتساعد المنظمات أيضا على تحديد الاستعداد لتنظيم المشاريع والجدية في الحصول على الائتمانات الصغيرة بين العضوات، مما يخفض من تكاليف تشغيل برامج دعم الريف.</w:t>
      </w:r>
    </w:p>
    <w:p w:rsidR="00C67DF8" w:rsidRDefault="00C67DF8" w:rsidP="00C67DF8">
      <w:pPr>
        <w:pStyle w:val="SingleTxt"/>
        <w:tabs>
          <w:tab w:val="clear" w:pos="1930"/>
          <w:tab w:val="left" w:pos="2125"/>
        </w:tabs>
        <w:rPr>
          <w:rFonts w:hint="cs"/>
          <w:rtl/>
        </w:rPr>
      </w:pPr>
      <w:r>
        <w:rPr>
          <w:rFonts w:hint="cs"/>
          <w:rtl/>
        </w:rPr>
        <w:t>456 -</w:t>
      </w:r>
      <w:r>
        <w:rPr>
          <w:rFonts w:hint="cs"/>
          <w:rtl/>
        </w:rPr>
        <w:tab/>
        <w:t>ويوضح الجدول التالي، بعض الإنجازات الكمية لبرامج دعم الريف وما حققته في مجال النساء منظمات المشاريع:</w:t>
      </w:r>
    </w:p>
    <w:p w:rsidR="00C67DF8" w:rsidRPr="00A17B11" w:rsidRDefault="00C67DF8" w:rsidP="00C67DF8">
      <w:pPr>
        <w:pStyle w:val="SingleTxt"/>
        <w:tabs>
          <w:tab w:val="clear" w:pos="1930"/>
          <w:tab w:val="left" w:pos="2125"/>
        </w:tabs>
        <w:spacing w:after="0" w:line="120" w:lineRule="exact"/>
        <w:rPr>
          <w:rFonts w:hint="cs"/>
          <w:sz w:val="12"/>
          <w:rtl/>
        </w:rPr>
      </w:pPr>
    </w:p>
    <w:p w:rsidR="00C67DF8" w:rsidRDefault="00B668D5" w:rsidP="00C67DF8">
      <w:pPr>
        <w:pStyle w:val="SingleTxt"/>
        <w:spacing w:after="0"/>
        <w:rPr>
          <w:rFonts w:hint="cs"/>
          <w:rtl/>
        </w:rPr>
      </w:pPr>
      <w:r>
        <w:rPr>
          <w:rFonts w:hint="cs"/>
          <w:rtl/>
        </w:rPr>
        <w:t>الجدول 14-1</w:t>
      </w:r>
    </w:p>
    <w:p w:rsidR="00C67DF8" w:rsidRPr="00FA5104" w:rsidRDefault="00C67DF8" w:rsidP="00C67DF8">
      <w:pPr>
        <w:pStyle w:val="SingleTxt"/>
        <w:rPr>
          <w:rFonts w:hint="cs"/>
          <w:b/>
          <w:bCs/>
          <w:rtl/>
        </w:rPr>
      </w:pPr>
      <w:r w:rsidRPr="00FA5104">
        <w:rPr>
          <w:rFonts w:hint="cs"/>
          <w:b/>
          <w:bCs/>
          <w:rtl/>
        </w:rPr>
        <w:t>المنظمات النسائية المكونة في إطار برنامج دعم الريف</w:t>
      </w:r>
    </w:p>
    <w:p w:rsidR="00C67DF8" w:rsidRPr="00FA5104" w:rsidRDefault="00C67DF8" w:rsidP="00C67DF8">
      <w:pPr>
        <w:pStyle w:val="SingleTxt"/>
        <w:spacing w:after="0" w:line="120" w:lineRule="exact"/>
        <w:rPr>
          <w:rFonts w:hint="cs"/>
          <w:sz w:val="10"/>
          <w:rtl/>
        </w:rPr>
      </w:pPr>
    </w:p>
    <w:tbl>
      <w:tblPr>
        <w:bidiVisual/>
        <w:tblW w:w="0" w:type="auto"/>
        <w:tblInd w:w="1306" w:type="dxa"/>
        <w:tblLook w:val="01E0" w:firstRow="1" w:lastRow="1" w:firstColumn="1" w:lastColumn="1" w:noHBand="0" w:noVBand="0"/>
      </w:tblPr>
      <w:tblGrid>
        <w:gridCol w:w="5356"/>
        <w:gridCol w:w="2060"/>
      </w:tblGrid>
      <w:tr w:rsidR="00C67DF8">
        <w:tc>
          <w:tcPr>
            <w:tcW w:w="5356" w:type="dxa"/>
          </w:tcPr>
          <w:p w:rsidR="00C67DF8" w:rsidRDefault="00C67DF8" w:rsidP="00C67DF8">
            <w:pPr>
              <w:pStyle w:val="DualTxt"/>
              <w:rPr>
                <w:rFonts w:hint="cs"/>
                <w:rtl/>
              </w:rPr>
            </w:pPr>
            <w:r>
              <w:rPr>
                <w:rFonts w:hint="cs"/>
                <w:rtl/>
              </w:rPr>
              <w:t>المنظمات المجتمعية النسائية المكونة</w:t>
            </w:r>
          </w:p>
        </w:tc>
        <w:tc>
          <w:tcPr>
            <w:tcW w:w="2060" w:type="dxa"/>
          </w:tcPr>
          <w:p w:rsidR="00C67DF8" w:rsidRDefault="00C67DF8" w:rsidP="00C67DF8">
            <w:pPr>
              <w:pStyle w:val="DualTxt"/>
              <w:rPr>
                <w:rFonts w:hint="cs"/>
                <w:rtl/>
              </w:rPr>
            </w:pPr>
            <w:r>
              <w:rPr>
                <w:rFonts w:hint="cs"/>
                <w:rtl/>
              </w:rPr>
              <w:t>000 19</w:t>
            </w:r>
          </w:p>
        </w:tc>
      </w:tr>
      <w:tr w:rsidR="00C67DF8">
        <w:tc>
          <w:tcPr>
            <w:tcW w:w="5356" w:type="dxa"/>
          </w:tcPr>
          <w:p w:rsidR="00C67DF8" w:rsidRDefault="00C67DF8" w:rsidP="00C67DF8">
            <w:pPr>
              <w:pStyle w:val="DualTxt"/>
              <w:rPr>
                <w:rFonts w:hint="cs"/>
                <w:rtl/>
              </w:rPr>
            </w:pPr>
            <w:r>
              <w:rPr>
                <w:rFonts w:hint="cs"/>
                <w:rtl/>
              </w:rPr>
              <w:t>أعضاء المنظمات المجتمعية النسائية</w:t>
            </w:r>
          </w:p>
        </w:tc>
        <w:tc>
          <w:tcPr>
            <w:tcW w:w="2060" w:type="dxa"/>
          </w:tcPr>
          <w:p w:rsidR="00C67DF8" w:rsidRDefault="00C67DF8" w:rsidP="00C67DF8">
            <w:pPr>
              <w:pStyle w:val="DualTxt"/>
              <w:rPr>
                <w:rFonts w:hint="cs"/>
                <w:rtl/>
              </w:rPr>
            </w:pPr>
            <w:r>
              <w:rPr>
                <w:rFonts w:hint="cs"/>
                <w:rtl/>
              </w:rPr>
              <w:t>000 180</w:t>
            </w:r>
          </w:p>
        </w:tc>
      </w:tr>
      <w:tr w:rsidR="00C67DF8">
        <w:tc>
          <w:tcPr>
            <w:tcW w:w="5356" w:type="dxa"/>
          </w:tcPr>
          <w:p w:rsidR="00C67DF8" w:rsidRDefault="00C67DF8" w:rsidP="00C67DF8">
            <w:pPr>
              <w:pStyle w:val="DualTxt"/>
              <w:rPr>
                <w:rFonts w:hint="cs"/>
                <w:rtl/>
              </w:rPr>
            </w:pPr>
            <w:r>
              <w:rPr>
                <w:rFonts w:hint="cs"/>
                <w:rtl/>
              </w:rPr>
              <w:t>الوفورات التي حققتها أعضاء المنظمات المجتمعية النسائية</w:t>
            </w:r>
          </w:p>
        </w:tc>
        <w:tc>
          <w:tcPr>
            <w:tcW w:w="2060" w:type="dxa"/>
          </w:tcPr>
          <w:p w:rsidR="00C67DF8" w:rsidRDefault="00C67DF8" w:rsidP="00C67DF8">
            <w:pPr>
              <w:pStyle w:val="DualTxt"/>
              <w:rPr>
                <w:rFonts w:hint="cs"/>
                <w:rtl/>
              </w:rPr>
            </w:pPr>
            <w:r>
              <w:rPr>
                <w:rFonts w:hint="cs"/>
                <w:rtl/>
              </w:rPr>
              <w:t>270 مليون روبية</w:t>
            </w:r>
          </w:p>
        </w:tc>
      </w:tr>
      <w:tr w:rsidR="00C67DF8">
        <w:tc>
          <w:tcPr>
            <w:tcW w:w="5356" w:type="dxa"/>
          </w:tcPr>
          <w:p w:rsidR="00C67DF8" w:rsidRDefault="00C67DF8" w:rsidP="00C67DF8">
            <w:pPr>
              <w:pStyle w:val="DualTxt"/>
              <w:rPr>
                <w:rFonts w:hint="cs"/>
                <w:rtl/>
              </w:rPr>
            </w:pPr>
            <w:r>
              <w:rPr>
                <w:rFonts w:hint="cs"/>
                <w:rtl/>
              </w:rPr>
              <w:t>عضوات المنظمات المدربات في الإدارة المجتمعية والمهارات المهنية</w:t>
            </w:r>
          </w:p>
        </w:tc>
        <w:tc>
          <w:tcPr>
            <w:tcW w:w="2060" w:type="dxa"/>
          </w:tcPr>
          <w:p w:rsidR="00C67DF8" w:rsidRDefault="00C67DF8" w:rsidP="00C67DF8">
            <w:pPr>
              <w:pStyle w:val="DualTxt"/>
              <w:rPr>
                <w:rFonts w:hint="cs"/>
                <w:rtl/>
              </w:rPr>
            </w:pPr>
            <w:r>
              <w:rPr>
                <w:rFonts w:hint="cs"/>
                <w:rtl/>
              </w:rPr>
              <w:t>000 180</w:t>
            </w:r>
          </w:p>
        </w:tc>
      </w:tr>
      <w:tr w:rsidR="00C67DF8">
        <w:tc>
          <w:tcPr>
            <w:tcW w:w="5356" w:type="dxa"/>
          </w:tcPr>
          <w:p w:rsidR="00C67DF8" w:rsidRDefault="00C67DF8" w:rsidP="00C67DF8">
            <w:pPr>
              <w:pStyle w:val="DualTxt"/>
              <w:rPr>
                <w:rFonts w:hint="cs"/>
                <w:rtl/>
              </w:rPr>
            </w:pPr>
            <w:r>
              <w:rPr>
                <w:rFonts w:hint="cs"/>
                <w:rtl/>
              </w:rPr>
              <w:t>الائتمانات المقدمة إلى عضوات المنظمات</w:t>
            </w:r>
          </w:p>
        </w:tc>
        <w:tc>
          <w:tcPr>
            <w:tcW w:w="2060" w:type="dxa"/>
          </w:tcPr>
          <w:p w:rsidR="00C67DF8" w:rsidRDefault="00C67DF8" w:rsidP="00C67DF8">
            <w:pPr>
              <w:pStyle w:val="DualTxt"/>
              <w:rPr>
                <w:rFonts w:hint="cs"/>
                <w:rtl/>
              </w:rPr>
            </w:pPr>
            <w:r>
              <w:rPr>
                <w:rFonts w:hint="cs"/>
                <w:rtl/>
              </w:rPr>
              <w:t>100 1 مليون روبية</w:t>
            </w:r>
          </w:p>
        </w:tc>
      </w:tr>
      <w:tr w:rsidR="00C67DF8">
        <w:tc>
          <w:tcPr>
            <w:tcW w:w="5356" w:type="dxa"/>
          </w:tcPr>
          <w:p w:rsidR="00C67DF8" w:rsidRDefault="00C67DF8" w:rsidP="00C67DF8">
            <w:pPr>
              <w:pStyle w:val="DualTxt"/>
              <w:rPr>
                <w:rFonts w:hint="cs"/>
                <w:rtl/>
              </w:rPr>
            </w:pPr>
            <w:r>
              <w:rPr>
                <w:rFonts w:hint="cs"/>
                <w:rtl/>
              </w:rPr>
              <w:t>عدد القروض</w:t>
            </w:r>
          </w:p>
        </w:tc>
        <w:tc>
          <w:tcPr>
            <w:tcW w:w="2060" w:type="dxa"/>
          </w:tcPr>
          <w:p w:rsidR="00C67DF8" w:rsidRDefault="00C67DF8" w:rsidP="00C67DF8">
            <w:pPr>
              <w:pStyle w:val="DualTxt"/>
              <w:rPr>
                <w:rFonts w:hint="cs"/>
                <w:rtl/>
              </w:rPr>
            </w:pPr>
            <w:r>
              <w:rPr>
                <w:rFonts w:hint="cs"/>
                <w:rtl/>
              </w:rPr>
              <w:t>000 137</w:t>
            </w:r>
          </w:p>
        </w:tc>
      </w:tr>
    </w:tbl>
    <w:p w:rsidR="00C67DF8" w:rsidRPr="007B352A"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في الأنشطة المجتمعية</w:t>
      </w:r>
    </w:p>
    <w:p w:rsidR="00C67DF8" w:rsidRDefault="00C67DF8" w:rsidP="00C67DF8">
      <w:pPr>
        <w:pStyle w:val="SingleTxt"/>
        <w:tabs>
          <w:tab w:val="clear" w:pos="1930"/>
          <w:tab w:val="left" w:pos="2125"/>
        </w:tabs>
        <w:rPr>
          <w:rFonts w:hint="cs"/>
          <w:rtl/>
        </w:rPr>
      </w:pPr>
      <w:r>
        <w:rPr>
          <w:rFonts w:hint="cs"/>
          <w:rtl/>
        </w:rPr>
        <w:t>457 -</w:t>
      </w:r>
      <w:r>
        <w:rPr>
          <w:rFonts w:hint="cs"/>
          <w:rtl/>
        </w:rPr>
        <w:tab/>
        <w:t>يمكن اعتبار المادة 34 من الدستور التي تنص على أن ”تتخذ تدابير لضمان مشاركة المرأة في جميع مجالات الحياة العامة، بصورة كاملة“ المادة النافذة في هذا السياق. وقد كفلت خطة نقل السلطة مشاركة المرأة كعنصر جوهري في جميع الأنشطة المجتمعية من خلال حجز 33 في المائة من مقاعد الهيئات المحلية للمرأة.</w:t>
      </w:r>
    </w:p>
    <w:p w:rsidR="00C67DF8" w:rsidRPr="00D11DBF"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فرصة الحصول على الائتمانات والقروض الزراعية، وتسهيلات التسويق والتكنولوجيا المناسبة، والمساواة في المعاملة في مشاريع الإصلاح الزراعي وكذلك في مشاريع التوطين الريفي</w:t>
      </w:r>
    </w:p>
    <w:p w:rsidR="00C67DF8" w:rsidRDefault="00C67DF8" w:rsidP="00326EB5">
      <w:pPr>
        <w:pStyle w:val="SingleTxt"/>
        <w:tabs>
          <w:tab w:val="clear" w:pos="1930"/>
          <w:tab w:val="left" w:pos="2125"/>
        </w:tabs>
        <w:rPr>
          <w:rFonts w:hint="cs"/>
          <w:rtl/>
        </w:rPr>
      </w:pPr>
      <w:r>
        <w:rPr>
          <w:rFonts w:hint="cs"/>
          <w:rtl/>
        </w:rPr>
        <w:t>458 -</w:t>
      </w:r>
      <w:r>
        <w:rPr>
          <w:rFonts w:hint="cs"/>
          <w:rtl/>
        </w:rPr>
        <w:tab/>
        <w:t xml:space="preserve">لا يوجد حاجز تقني أمام المرأة في سعيها إلى الحصول على الائتمانات والقروض وما إلى ذلك. وكانت المشكلة راجعة إلى أن تخلف الوضع الاقتصادي للمرأة لا يمكِّنها من تقديم الضمان اللازم للحصول على قرض. وقد تحسنت الحالة بصورة ملحوظة، في الوقت الحالي. وأنشأت الحكومة مؤسسة متخصصة </w:t>
      </w:r>
      <w:proofErr w:type="spellStart"/>
      <w:r>
        <w:rPr>
          <w:rFonts w:hint="cs"/>
          <w:rtl/>
        </w:rPr>
        <w:t>للائتمانات</w:t>
      </w:r>
      <w:proofErr w:type="spellEnd"/>
      <w:r>
        <w:rPr>
          <w:rFonts w:hint="cs"/>
          <w:rtl/>
        </w:rPr>
        <w:t xml:space="preserve"> الصغيرة، في شكل مصرف </w:t>
      </w:r>
      <w:proofErr w:type="spellStart"/>
      <w:r>
        <w:rPr>
          <w:rFonts w:hint="cs"/>
          <w:rtl/>
        </w:rPr>
        <w:t>خو</w:t>
      </w:r>
      <w:r w:rsidR="00326EB5">
        <w:rPr>
          <w:rFonts w:hint="cs"/>
          <w:rtl/>
        </w:rPr>
        <w:t>ش</w:t>
      </w:r>
      <w:r>
        <w:rPr>
          <w:rFonts w:hint="cs"/>
          <w:rtl/>
        </w:rPr>
        <w:t>هالي</w:t>
      </w:r>
      <w:proofErr w:type="spellEnd"/>
      <w:r>
        <w:rPr>
          <w:rFonts w:hint="cs"/>
          <w:rtl/>
        </w:rPr>
        <w:t xml:space="preserve"> الذي قام بصرف أكثر من 000 170 قرض شهريا، أغلبها في المناطق الريفية. ويبلغ إجمالي ما تم صرفه 1.7 بليون روبية، و40 في المائة من عملاء المصرف، من النساء، وتزيد نسبة استرداد القروض عن 95 في المائة. ومتوسط قيمة القرض الواحد 000 10 روبية (180 من دولارات الولايات المتحدة). وتستخدم القروض عادة، لبدء مشروع تجاري صغير. ومن الصعوبات التي تواجهها المرأة أنه يلزم وجود بطاقة هوية وطنية للحصول على قرض. وتواجه المرأة صعوبة أكبر في الحصول على هذه البطاقة نظرا لزيادة نسبة الأمية ومسائل إمكانية التحرك.</w:t>
      </w:r>
    </w:p>
    <w:p w:rsidR="00C67DF8" w:rsidRDefault="00C67DF8" w:rsidP="00C67DF8">
      <w:pPr>
        <w:pStyle w:val="SingleTxt"/>
        <w:tabs>
          <w:tab w:val="clear" w:pos="1930"/>
          <w:tab w:val="left" w:pos="2125"/>
        </w:tabs>
        <w:rPr>
          <w:rFonts w:hint="cs"/>
          <w:rtl/>
        </w:rPr>
      </w:pPr>
      <w:r>
        <w:rPr>
          <w:rFonts w:hint="cs"/>
          <w:rtl/>
        </w:rPr>
        <w:t>459 -</w:t>
      </w:r>
      <w:r>
        <w:rPr>
          <w:rFonts w:hint="cs"/>
          <w:rtl/>
        </w:rPr>
        <w:tab/>
        <w:t>ويخدم صندوق تخفيف حدة الفقر في باكستان المجتمعات الريفية في المقام الأول. وقد وردت تفاصيل عن هذه المسألة في الفصل الثالث عشر، الفقرات 419-421.</w:t>
      </w:r>
    </w:p>
    <w:p w:rsidR="00C67DF8" w:rsidRPr="008C59B4"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التمتع بظروف معيشية ملائمة، ولا سيما فيما يتعلق بالإسكان والإصحاح والإمداد بالكهرباء والماء والنقل والاتصالات</w:t>
      </w:r>
    </w:p>
    <w:p w:rsidR="00C67DF8" w:rsidRDefault="00C67DF8" w:rsidP="00326EB5">
      <w:pPr>
        <w:pStyle w:val="SingleTxt"/>
        <w:tabs>
          <w:tab w:val="clear" w:pos="1930"/>
          <w:tab w:val="left" w:pos="2125"/>
        </w:tabs>
        <w:rPr>
          <w:rFonts w:hint="cs"/>
          <w:rtl/>
        </w:rPr>
      </w:pPr>
      <w:r>
        <w:rPr>
          <w:rFonts w:hint="cs"/>
          <w:rtl/>
        </w:rPr>
        <w:t>460 -</w:t>
      </w:r>
      <w:r>
        <w:rPr>
          <w:rFonts w:hint="cs"/>
          <w:rtl/>
        </w:rPr>
        <w:tab/>
        <w:t>إن مستوى المعيشة في الريف أقل، عادة، منه في المناطق الحضرية. ولم تصل الكهرباء إلى جميع المناطق الريفية حتى الآن. وتنخفض الأرقام الخاصة بالمياه الجارية وأعمال الصرف الداخلي في المناطق الريفية عنها في المناطق الحضرية بدرجة أكبر. وتظل إمكانية الوصول إلى مراحيض منخفضة في المناطق الريفية، مع وجود دلائل تشير إلى حدوث تحسن في هذ</w:t>
      </w:r>
      <w:r w:rsidR="00326EB5">
        <w:rPr>
          <w:rFonts w:hint="cs"/>
          <w:rtl/>
        </w:rPr>
        <w:t>ا</w:t>
      </w:r>
      <w:r>
        <w:rPr>
          <w:rFonts w:hint="cs"/>
          <w:rtl/>
        </w:rPr>
        <w:t xml:space="preserve"> الميدان في الفترة ما بين 1995-1997 و2001-2002. ويتركز التحسن، على ما يبدو، في بنجاب وفي مقاطعة الحدود الشمالية الغربية.</w:t>
      </w:r>
    </w:p>
    <w:p w:rsidR="00C67DF8" w:rsidRDefault="00C67DF8" w:rsidP="00C67DF8">
      <w:pPr>
        <w:pStyle w:val="SingleTxt"/>
        <w:tabs>
          <w:tab w:val="clear" w:pos="1930"/>
          <w:tab w:val="left" w:pos="2125"/>
        </w:tabs>
        <w:rPr>
          <w:rFonts w:hint="cs"/>
          <w:rtl/>
        </w:rPr>
      </w:pPr>
      <w:r>
        <w:rPr>
          <w:rFonts w:hint="cs"/>
          <w:rtl/>
        </w:rPr>
        <w:t>461 -</w:t>
      </w:r>
      <w:r>
        <w:rPr>
          <w:rFonts w:hint="cs"/>
          <w:rtl/>
        </w:rPr>
        <w:tab/>
        <w:t>ويرجى أن يؤدي انتشار التثقيف وزيادة وعي سكان الريف بأهمية المرافق الصحية إلى تحسن الحالة.</w:t>
      </w:r>
    </w:p>
    <w:p w:rsidR="00C67DF8" w:rsidRPr="00E47E3C" w:rsidRDefault="00C67DF8" w:rsidP="00C67DF8">
      <w:pPr>
        <w:pStyle w:val="SingleTxt"/>
        <w:tabs>
          <w:tab w:val="clear" w:pos="1930"/>
          <w:tab w:val="left" w:pos="2125"/>
        </w:tabs>
        <w:spacing w:after="0" w:line="120" w:lineRule="exact"/>
        <w:rPr>
          <w:rFonts w:hint="cs"/>
          <w:sz w:val="12"/>
          <w:rtl/>
        </w:rPr>
      </w:pPr>
    </w:p>
    <w:p w:rsidR="00C67DF8" w:rsidRDefault="00B668D5" w:rsidP="00C67DF8">
      <w:pPr>
        <w:pStyle w:val="SingleTxt"/>
        <w:spacing w:after="0"/>
        <w:rPr>
          <w:rFonts w:hint="cs"/>
          <w:rtl/>
        </w:rPr>
      </w:pPr>
      <w:r>
        <w:rPr>
          <w:rtl/>
        </w:rPr>
        <w:br w:type="page"/>
      </w:r>
      <w:r w:rsidR="00C67DF8">
        <w:rPr>
          <w:rFonts w:hint="cs"/>
          <w:rtl/>
        </w:rPr>
        <w:t>الجدول 14-2</w:t>
      </w:r>
    </w:p>
    <w:p w:rsidR="00C67DF8" w:rsidRPr="00612664" w:rsidRDefault="00C67DF8" w:rsidP="00C67DF8">
      <w:pPr>
        <w:pStyle w:val="SingleTxt"/>
        <w:rPr>
          <w:rFonts w:hint="cs"/>
          <w:b/>
          <w:bCs/>
          <w:rtl/>
        </w:rPr>
      </w:pPr>
      <w:r w:rsidRPr="00612664">
        <w:rPr>
          <w:rFonts w:hint="cs"/>
          <w:b/>
          <w:bCs/>
          <w:rtl/>
        </w:rPr>
        <w:t>توفير المرافق الصحية للسكان</w:t>
      </w:r>
    </w:p>
    <w:p w:rsidR="00C67DF8" w:rsidRPr="00612664" w:rsidRDefault="00C67DF8" w:rsidP="00C67DF8">
      <w:pPr>
        <w:pStyle w:val="SingleTxt"/>
        <w:spacing w:after="0" w:line="120" w:lineRule="exact"/>
        <w:rPr>
          <w:rFonts w:hint="cs"/>
          <w:sz w:val="10"/>
          <w:rtl/>
        </w:rPr>
      </w:pPr>
    </w:p>
    <w:tbl>
      <w:tblPr>
        <w:bidiVisual/>
        <w:tblW w:w="0" w:type="auto"/>
        <w:tblInd w:w="1158" w:type="dxa"/>
        <w:tblLayout w:type="fixed"/>
        <w:tblLook w:val="01E0" w:firstRow="1" w:lastRow="1" w:firstColumn="1" w:lastColumn="1" w:noHBand="0" w:noVBand="0"/>
      </w:tblPr>
      <w:tblGrid>
        <w:gridCol w:w="2002"/>
        <w:gridCol w:w="618"/>
        <w:gridCol w:w="618"/>
        <w:gridCol w:w="682"/>
        <w:gridCol w:w="640"/>
        <w:gridCol w:w="640"/>
        <w:gridCol w:w="720"/>
        <w:gridCol w:w="640"/>
        <w:gridCol w:w="640"/>
        <w:gridCol w:w="720"/>
      </w:tblGrid>
      <w:tr w:rsidR="00C67DF8" w:rsidRPr="00E47E3C">
        <w:trPr>
          <w:cantSplit/>
          <w:tblHeader/>
        </w:trPr>
        <w:tc>
          <w:tcPr>
            <w:tcW w:w="7920" w:type="dxa"/>
            <w:gridSpan w:val="10"/>
            <w:tcBorders>
              <w:top w:val="single" w:sz="4" w:space="0" w:color="auto"/>
              <w:bottom w:val="single" w:sz="4" w:space="0" w:color="auto"/>
            </w:tcBorders>
            <w:shd w:val="clear" w:color="auto" w:fill="auto"/>
            <w:vAlign w:val="bottom"/>
          </w:tcPr>
          <w:p w:rsidR="00C67DF8" w:rsidRPr="00E47E3C" w:rsidRDefault="00C67DF8" w:rsidP="00C67DF8">
            <w:pPr>
              <w:pStyle w:val="DualTxt"/>
              <w:spacing w:after="80" w:line="240" w:lineRule="exact"/>
              <w:jc w:val="center"/>
              <w:rPr>
                <w:rFonts w:hint="cs"/>
                <w:i/>
                <w:iCs/>
                <w:sz w:val="16"/>
                <w:szCs w:val="24"/>
                <w:rtl/>
              </w:rPr>
            </w:pPr>
            <w:r>
              <w:rPr>
                <w:rFonts w:hint="cs"/>
                <w:i/>
                <w:iCs/>
                <w:sz w:val="16"/>
                <w:szCs w:val="24"/>
                <w:rtl/>
              </w:rPr>
              <w:t>المؤشرات الرئيسية: إمدادات المياه والمرافق الصحية في الريف</w:t>
            </w:r>
          </w:p>
        </w:tc>
      </w:tr>
      <w:tr w:rsidR="00C67DF8" w:rsidRPr="00E47E3C">
        <w:trPr>
          <w:cantSplit/>
          <w:tblHeader/>
        </w:trPr>
        <w:tc>
          <w:tcPr>
            <w:tcW w:w="2002" w:type="dxa"/>
            <w:tcBorders>
              <w:top w:val="single" w:sz="4" w:space="0" w:color="auto"/>
              <w:bottom w:val="single" w:sz="12" w:space="0" w:color="auto"/>
            </w:tcBorders>
            <w:shd w:val="clear" w:color="auto" w:fill="auto"/>
            <w:vAlign w:val="bottom"/>
          </w:tcPr>
          <w:p w:rsidR="00C67DF8" w:rsidRPr="00E47E3C" w:rsidRDefault="00C67DF8" w:rsidP="00C67DF8">
            <w:pPr>
              <w:pStyle w:val="DualTxt"/>
              <w:spacing w:after="80" w:line="240" w:lineRule="exact"/>
              <w:jc w:val="center"/>
              <w:rPr>
                <w:rFonts w:hint="cs"/>
                <w:i/>
                <w:iCs/>
                <w:sz w:val="16"/>
                <w:szCs w:val="24"/>
                <w:rtl/>
              </w:rPr>
            </w:pPr>
          </w:p>
        </w:tc>
        <w:tc>
          <w:tcPr>
            <w:tcW w:w="1918" w:type="dxa"/>
            <w:gridSpan w:val="3"/>
            <w:tcBorders>
              <w:top w:val="single" w:sz="4" w:space="0" w:color="auto"/>
              <w:bottom w:val="single" w:sz="12" w:space="0" w:color="auto"/>
            </w:tcBorders>
            <w:shd w:val="clear" w:color="auto" w:fill="auto"/>
            <w:vAlign w:val="bottom"/>
          </w:tcPr>
          <w:p w:rsidR="00C67DF8" w:rsidRPr="00E47E3C" w:rsidRDefault="00C67DF8" w:rsidP="00C67DF8">
            <w:pPr>
              <w:pStyle w:val="DualTxt"/>
              <w:spacing w:after="80" w:line="240" w:lineRule="exact"/>
              <w:jc w:val="center"/>
              <w:rPr>
                <w:rFonts w:hint="cs"/>
                <w:i/>
                <w:iCs/>
                <w:sz w:val="16"/>
                <w:szCs w:val="24"/>
                <w:rtl/>
              </w:rPr>
            </w:pPr>
            <w:r>
              <w:rPr>
                <w:rFonts w:hint="cs"/>
                <w:i/>
                <w:iCs/>
                <w:sz w:val="16"/>
                <w:szCs w:val="24"/>
                <w:rtl/>
              </w:rPr>
              <w:t>1995-1996</w:t>
            </w:r>
          </w:p>
        </w:tc>
        <w:tc>
          <w:tcPr>
            <w:tcW w:w="2000" w:type="dxa"/>
            <w:gridSpan w:val="3"/>
            <w:tcBorders>
              <w:top w:val="single" w:sz="4" w:space="0" w:color="auto"/>
              <w:bottom w:val="single" w:sz="12" w:space="0" w:color="auto"/>
            </w:tcBorders>
            <w:shd w:val="clear" w:color="auto" w:fill="auto"/>
            <w:vAlign w:val="bottom"/>
          </w:tcPr>
          <w:p w:rsidR="00C67DF8" w:rsidRPr="00E47E3C" w:rsidRDefault="00C67DF8" w:rsidP="00C67DF8">
            <w:pPr>
              <w:pStyle w:val="DualTxt"/>
              <w:spacing w:after="80" w:line="240" w:lineRule="exact"/>
              <w:jc w:val="center"/>
              <w:rPr>
                <w:rFonts w:hint="cs"/>
                <w:i/>
                <w:iCs/>
                <w:sz w:val="16"/>
                <w:szCs w:val="24"/>
                <w:rtl/>
              </w:rPr>
            </w:pPr>
            <w:r>
              <w:rPr>
                <w:rFonts w:hint="cs"/>
                <w:i/>
                <w:iCs/>
                <w:sz w:val="16"/>
                <w:szCs w:val="24"/>
                <w:rtl/>
              </w:rPr>
              <w:t>1998-1999</w:t>
            </w:r>
          </w:p>
        </w:tc>
        <w:tc>
          <w:tcPr>
            <w:tcW w:w="2000" w:type="dxa"/>
            <w:gridSpan w:val="3"/>
            <w:tcBorders>
              <w:top w:val="single" w:sz="4" w:space="0" w:color="auto"/>
              <w:bottom w:val="single" w:sz="12" w:space="0" w:color="auto"/>
            </w:tcBorders>
            <w:shd w:val="clear" w:color="auto" w:fill="auto"/>
            <w:vAlign w:val="bottom"/>
          </w:tcPr>
          <w:p w:rsidR="00C67DF8" w:rsidRPr="00E47E3C" w:rsidRDefault="00C67DF8" w:rsidP="00C67DF8">
            <w:pPr>
              <w:pStyle w:val="DualTxt"/>
              <w:spacing w:after="80" w:line="240" w:lineRule="exact"/>
              <w:jc w:val="center"/>
              <w:rPr>
                <w:rFonts w:hint="cs"/>
                <w:i/>
                <w:iCs/>
                <w:sz w:val="16"/>
                <w:szCs w:val="24"/>
                <w:rtl/>
              </w:rPr>
            </w:pPr>
            <w:r>
              <w:rPr>
                <w:rFonts w:hint="cs"/>
                <w:i/>
                <w:iCs/>
                <w:sz w:val="16"/>
                <w:szCs w:val="24"/>
                <w:rtl/>
              </w:rPr>
              <w:t>2001-2002</w:t>
            </w:r>
          </w:p>
        </w:tc>
      </w:tr>
      <w:tr w:rsidR="00C67DF8" w:rsidRPr="00E47E3C">
        <w:trPr>
          <w:cantSplit/>
          <w:trHeight w:hRule="exact" w:val="115"/>
          <w:tblHeader/>
        </w:trPr>
        <w:tc>
          <w:tcPr>
            <w:tcW w:w="2002" w:type="dxa"/>
            <w:tcBorders>
              <w:top w:val="single" w:sz="12" w:space="0" w:color="auto"/>
            </w:tcBorders>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618" w:type="dxa"/>
            <w:tcBorders>
              <w:top w:val="single" w:sz="12" w:space="0" w:color="auto"/>
            </w:tcBorders>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618" w:type="dxa"/>
            <w:tcBorders>
              <w:top w:val="single" w:sz="12" w:space="0" w:color="auto"/>
            </w:tcBorders>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682" w:type="dxa"/>
            <w:tcBorders>
              <w:top w:val="single" w:sz="12" w:space="0" w:color="auto"/>
            </w:tcBorders>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640" w:type="dxa"/>
            <w:tcBorders>
              <w:top w:val="single" w:sz="12" w:space="0" w:color="auto"/>
            </w:tcBorders>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640" w:type="dxa"/>
            <w:tcBorders>
              <w:top w:val="single" w:sz="12" w:space="0" w:color="auto"/>
            </w:tcBorders>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720" w:type="dxa"/>
            <w:tcBorders>
              <w:top w:val="single" w:sz="12" w:space="0" w:color="auto"/>
            </w:tcBorders>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640" w:type="dxa"/>
            <w:tcBorders>
              <w:top w:val="single" w:sz="12" w:space="0" w:color="auto"/>
            </w:tcBorders>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640" w:type="dxa"/>
            <w:tcBorders>
              <w:top w:val="single" w:sz="12" w:space="0" w:color="auto"/>
            </w:tcBorders>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720" w:type="dxa"/>
            <w:tcBorders>
              <w:top w:val="single" w:sz="12" w:space="0" w:color="auto"/>
            </w:tcBorders>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618"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الحضر</w:t>
            </w:r>
          </w:p>
        </w:tc>
        <w:tc>
          <w:tcPr>
            <w:tcW w:w="618"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الريف</w:t>
            </w:r>
          </w:p>
        </w:tc>
        <w:tc>
          <w:tcPr>
            <w:tcW w:w="682"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المجموع</w:t>
            </w:r>
          </w:p>
        </w:tc>
        <w:tc>
          <w:tcPr>
            <w:tcW w:w="64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الحضر</w:t>
            </w:r>
          </w:p>
        </w:tc>
        <w:tc>
          <w:tcPr>
            <w:tcW w:w="64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الريف</w:t>
            </w:r>
          </w:p>
        </w:tc>
        <w:tc>
          <w:tcPr>
            <w:tcW w:w="72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المجموع</w:t>
            </w:r>
          </w:p>
        </w:tc>
        <w:tc>
          <w:tcPr>
            <w:tcW w:w="64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الحضر</w:t>
            </w:r>
          </w:p>
        </w:tc>
        <w:tc>
          <w:tcPr>
            <w:tcW w:w="64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الريف</w:t>
            </w:r>
          </w:p>
        </w:tc>
        <w:tc>
          <w:tcPr>
            <w:tcW w:w="72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المجموع</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المصدر الرئيسي لمياه الشرب</w:t>
            </w:r>
            <w:r w:rsidR="00A710B9">
              <w:rPr>
                <w:sz w:val="16"/>
                <w:szCs w:val="24"/>
                <w:rtl/>
              </w:rPr>
              <w:br/>
            </w:r>
            <w:r>
              <w:rPr>
                <w:rFonts w:hint="cs"/>
                <w:sz w:val="16"/>
                <w:szCs w:val="24"/>
                <w:rtl/>
              </w:rPr>
              <w:t>(النسبة المئوية من الأسر المعيشية)</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صنبور في المنزل</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56</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11</w:t>
            </w: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25</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50</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9</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22</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53</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8</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22</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صنبور خارج المنزل</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4</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2</w:t>
            </w: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5</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4</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5</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2</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طلمبة يدوي</w:t>
            </w:r>
            <w:r w:rsidR="009F3C71">
              <w:rPr>
                <w:rFonts w:hint="cs"/>
                <w:sz w:val="16"/>
                <w:szCs w:val="24"/>
                <w:rtl/>
              </w:rPr>
              <w:t>ة</w:t>
            </w:r>
            <w:r>
              <w:rPr>
                <w:rFonts w:hint="cs"/>
                <w:sz w:val="16"/>
                <w:szCs w:val="24"/>
                <w:rtl/>
              </w:rPr>
              <w:t>/آلية</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34</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66</w:t>
            </w: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56</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38</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65</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57</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36</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70</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61</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بئر محفور</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11</w:t>
            </w: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8</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2</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11</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8</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2</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7</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نهر/قناة/جدول</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صفر</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5</w:t>
            </w: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صفر</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12</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8</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صفر</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9</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6</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مصدر آخر</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6</w:t>
            </w: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5</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2</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المجموع</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نوع المراحيض</w:t>
            </w:r>
            <w:r w:rsidR="00A710B9">
              <w:rPr>
                <w:sz w:val="16"/>
                <w:szCs w:val="24"/>
                <w:rtl/>
              </w:rPr>
              <w:br/>
            </w:r>
            <w:r>
              <w:rPr>
                <w:rFonts w:hint="cs"/>
                <w:sz w:val="16"/>
                <w:szCs w:val="24"/>
                <w:rtl/>
              </w:rPr>
              <w:t>(النسبة المئوية من الأسر المعيشية)</w:t>
            </w:r>
          </w:p>
        </w:tc>
        <w:tc>
          <w:tcPr>
            <w:tcW w:w="618"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الحضر</w:t>
            </w:r>
          </w:p>
        </w:tc>
        <w:tc>
          <w:tcPr>
            <w:tcW w:w="618"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الريف</w:t>
            </w:r>
          </w:p>
        </w:tc>
        <w:tc>
          <w:tcPr>
            <w:tcW w:w="682"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المجموع</w:t>
            </w:r>
          </w:p>
        </w:tc>
        <w:tc>
          <w:tcPr>
            <w:tcW w:w="64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الحضر</w:t>
            </w:r>
          </w:p>
        </w:tc>
        <w:tc>
          <w:tcPr>
            <w:tcW w:w="64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الريف</w:t>
            </w:r>
          </w:p>
        </w:tc>
        <w:tc>
          <w:tcPr>
            <w:tcW w:w="72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المجموع</w:t>
            </w:r>
          </w:p>
        </w:tc>
        <w:tc>
          <w:tcPr>
            <w:tcW w:w="64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الحضر</w:t>
            </w:r>
          </w:p>
        </w:tc>
        <w:tc>
          <w:tcPr>
            <w:tcW w:w="64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الريف</w:t>
            </w:r>
          </w:p>
        </w:tc>
        <w:tc>
          <w:tcPr>
            <w:tcW w:w="72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المجموع</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طرد مائي داخلي</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75</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17</w:t>
            </w: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34</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88</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22</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41</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89</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26</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45</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لا يوجد طرد مائي</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13</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14</w:t>
            </w: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14</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6</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15</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12</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5</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15</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12</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طرد مائي جماعي</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4</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w:t>
            </w: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لا يوجد مرحاض</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9</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66</w:t>
            </w: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48</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6</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63</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46</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5</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59</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43</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المجموع</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100</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نوع نظام المرافق الصحية</w:t>
            </w:r>
            <w:r w:rsidR="00A710B9">
              <w:rPr>
                <w:sz w:val="16"/>
                <w:szCs w:val="24"/>
                <w:rtl/>
              </w:rPr>
              <w:br/>
            </w:r>
            <w:r>
              <w:rPr>
                <w:rFonts w:hint="cs"/>
                <w:sz w:val="16"/>
                <w:szCs w:val="24"/>
                <w:rtl/>
              </w:rPr>
              <w:t>(النسبة المئوية للأسر المعيشية)</w:t>
            </w:r>
          </w:p>
        </w:tc>
        <w:tc>
          <w:tcPr>
            <w:tcW w:w="618"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الحضر</w:t>
            </w:r>
          </w:p>
        </w:tc>
        <w:tc>
          <w:tcPr>
            <w:tcW w:w="618"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الريف</w:t>
            </w:r>
          </w:p>
        </w:tc>
        <w:tc>
          <w:tcPr>
            <w:tcW w:w="682"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المجموع</w:t>
            </w:r>
          </w:p>
        </w:tc>
        <w:tc>
          <w:tcPr>
            <w:tcW w:w="64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الحضر</w:t>
            </w:r>
          </w:p>
        </w:tc>
        <w:tc>
          <w:tcPr>
            <w:tcW w:w="64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الريف</w:t>
            </w:r>
          </w:p>
        </w:tc>
        <w:tc>
          <w:tcPr>
            <w:tcW w:w="72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المجموع</w:t>
            </w:r>
          </w:p>
        </w:tc>
        <w:tc>
          <w:tcPr>
            <w:tcW w:w="64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الحضر</w:t>
            </w:r>
          </w:p>
        </w:tc>
        <w:tc>
          <w:tcPr>
            <w:tcW w:w="64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الريف</w:t>
            </w:r>
          </w:p>
        </w:tc>
        <w:tc>
          <w:tcPr>
            <w:tcW w:w="720" w:type="dxa"/>
            <w:shd w:val="clear" w:color="auto" w:fill="auto"/>
            <w:vAlign w:val="bottom"/>
          </w:tcPr>
          <w:p w:rsidR="00C67DF8" w:rsidRPr="00E47E3C" w:rsidRDefault="00326EB5" w:rsidP="00C67DF8">
            <w:pPr>
              <w:pStyle w:val="DualTxt"/>
              <w:spacing w:before="40" w:after="80" w:line="240" w:lineRule="exact"/>
              <w:rPr>
                <w:rFonts w:hint="cs"/>
                <w:sz w:val="16"/>
                <w:szCs w:val="24"/>
                <w:rtl/>
              </w:rPr>
            </w:pPr>
            <w:r>
              <w:rPr>
                <w:rFonts w:hint="cs"/>
                <w:sz w:val="16"/>
                <w:szCs w:val="24"/>
                <w:rtl/>
              </w:rPr>
              <w:t>المجموع</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مصارف تحت الأرض</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42</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2</w:t>
            </w: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14</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44</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14</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45</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14</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مصارف مغطاة</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w:t>
            </w: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5</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2</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5</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2</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مصارف مفتوحة</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48</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43</w:t>
            </w: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45</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41</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31</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32</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40</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33</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35</w:t>
            </w:r>
          </w:p>
        </w:tc>
      </w:tr>
      <w:tr w:rsidR="00C67DF8" w:rsidRPr="00E47E3C">
        <w:trPr>
          <w:cantSplit/>
        </w:trPr>
        <w:tc>
          <w:tcPr>
            <w:tcW w:w="200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صندوق تصريف</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3</w:t>
            </w:r>
          </w:p>
        </w:tc>
        <w:tc>
          <w:tcPr>
            <w:tcW w:w="618"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10</w:t>
            </w:r>
          </w:p>
        </w:tc>
        <w:tc>
          <w:tcPr>
            <w:tcW w:w="682"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8</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w:t>
            </w:r>
          </w:p>
        </w:tc>
        <w:tc>
          <w:tcPr>
            <w:tcW w:w="64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w:t>
            </w:r>
          </w:p>
        </w:tc>
        <w:tc>
          <w:tcPr>
            <w:tcW w:w="720" w:type="dxa"/>
            <w:shd w:val="clear" w:color="auto" w:fill="auto"/>
            <w:vAlign w:val="bottom"/>
          </w:tcPr>
          <w:p w:rsidR="00C67DF8" w:rsidRPr="00E47E3C" w:rsidRDefault="00C67DF8" w:rsidP="00C67DF8">
            <w:pPr>
              <w:pStyle w:val="DualTxt"/>
              <w:spacing w:before="40" w:after="80" w:line="240" w:lineRule="exact"/>
              <w:rPr>
                <w:rFonts w:hint="cs"/>
                <w:sz w:val="16"/>
                <w:szCs w:val="24"/>
                <w:rtl/>
              </w:rPr>
            </w:pPr>
            <w:r>
              <w:rPr>
                <w:rFonts w:hint="cs"/>
                <w:sz w:val="16"/>
                <w:szCs w:val="24"/>
                <w:rtl/>
              </w:rPr>
              <w:t>-</w:t>
            </w:r>
          </w:p>
        </w:tc>
      </w:tr>
      <w:tr w:rsidR="00C67DF8" w:rsidRPr="00E47E3C">
        <w:trPr>
          <w:cantSplit/>
        </w:trPr>
        <w:tc>
          <w:tcPr>
            <w:tcW w:w="2002" w:type="dxa"/>
            <w:tcBorders>
              <w:bottom w:val="single" w:sz="4" w:space="0" w:color="auto"/>
            </w:tcBorders>
            <w:shd w:val="clear" w:color="auto" w:fill="auto"/>
            <w:vAlign w:val="bottom"/>
          </w:tcPr>
          <w:p w:rsidR="00C67DF8" w:rsidRPr="00E47E3C" w:rsidRDefault="00C67DF8" w:rsidP="00326EB5">
            <w:pPr>
              <w:pStyle w:val="DualTxt"/>
              <w:spacing w:before="40" w:after="80" w:line="240" w:lineRule="exact"/>
              <w:rPr>
                <w:rFonts w:hint="cs"/>
                <w:sz w:val="16"/>
                <w:szCs w:val="24"/>
                <w:rtl/>
              </w:rPr>
            </w:pPr>
            <w:r>
              <w:rPr>
                <w:rFonts w:hint="cs"/>
                <w:sz w:val="16"/>
                <w:szCs w:val="24"/>
                <w:rtl/>
              </w:rPr>
              <w:t>لا يوجد نظام</w:t>
            </w:r>
          </w:p>
        </w:tc>
        <w:tc>
          <w:tcPr>
            <w:tcW w:w="618" w:type="dxa"/>
            <w:tcBorders>
              <w:bottom w:val="single" w:sz="4" w:space="0" w:color="auto"/>
            </w:tcBorders>
            <w:shd w:val="clear" w:color="auto" w:fill="auto"/>
            <w:vAlign w:val="bottom"/>
          </w:tcPr>
          <w:p w:rsidR="00C67DF8" w:rsidRPr="00E47E3C" w:rsidRDefault="00C67DF8" w:rsidP="00326EB5">
            <w:pPr>
              <w:pStyle w:val="DualTxt"/>
              <w:spacing w:before="40" w:after="80" w:line="240" w:lineRule="exact"/>
              <w:rPr>
                <w:rFonts w:hint="cs"/>
                <w:sz w:val="16"/>
                <w:szCs w:val="24"/>
                <w:rtl/>
              </w:rPr>
            </w:pPr>
            <w:r>
              <w:rPr>
                <w:rFonts w:hint="cs"/>
                <w:sz w:val="16"/>
                <w:szCs w:val="24"/>
                <w:rtl/>
              </w:rPr>
              <w:t>7</w:t>
            </w:r>
          </w:p>
        </w:tc>
        <w:tc>
          <w:tcPr>
            <w:tcW w:w="618" w:type="dxa"/>
            <w:tcBorders>
              <w:bottom w:val="single" w:sz="4" w:space="0" w:color="auto"/>
            </w:tcBorders>
            <w:shd w:val="clear" w:color="auto" w:fill="auto"/>
            <w:vAlign w:val="bottom"/>
          </w:tcPr>
          <w:p w:rsidR="00C67DF8" w:rsidRPr="00E47E3C" w:rsidRDefault="00C67DF8" w:rsidP="00326EB5">
            <w:pPr>
              <w:pStyle w:val="DualTxt"/>
              <w:spacing w:before="40" w:after="80" w:line="240" w:lineRule="exact"/>
              <w:rPr>
                <w:rFonts w:hint="cs"/>
                <w:sz w:val="16"/>
                <w:szCs w:val="24"/>
                <w:rtl/>
              </w:rPr>
            </w:pPr>
            <w:r>
              <w:rPr>
                <w:rFonts w:hint="cs"/>
                <w:sz w:val="16"/>
                <w:szCs w:val="24"/>
                <w:rtl/>
              </w:rPr>
              <w:t>46</w:t>
            </w:r>
          </w:p>
        </w:tc>
        <w:tc>
          <w:tcPr>
            <w:tcW w:w="682" w:type="dxa"/>
            <w:tcBorders>
              <w:bottom w:val="single" w:sz="4" w:space="0" w:color="auto"/>
            </w:tcBorders>
            <w:shd w:val="clear" w:color="auto" w:fill="auto"/>
            <w:vAlign w:val="bottom"/>
          </w:tcPr>
          <w:p w:rsidR="00C67DF8" w:rsidRPr="00E47E3C" w:rsidRDefault="00C67DF8" w:rsidP="00326EB5">
            <w:pPr>
              <w:pStyle w:val="DualTxt"/>
              <w:spacing w:before="40" w:after="80" w:line="240" w:lineRule="exact"/>
              <w:rPr>
                <w:rFonts w:hint="cs"/>
                <w:sz w:val="16"/>
                <w:szCs w:val="24"/>
                <w:rtl/>
              </w:rPr>
            </w:pPr>
            <w:r>
              <w:rPr>
                <w:rFonts w:hint="cs"/>
                <w:sz w:val="16"/>
                <w:szCs w:val="24"/>
                <w:rtl/>
              </w:rPr>
              <w:t>34</w:t>
            </w:r>
          </w:p>
        </w:tc>
        <w:tc>
          <w:tcPr>
            <w:tcW w:w="640" w:type="dxa"/>
            <w:tcBorders>
              <w:bottom w:val="single" w:sz="4" w:space="0" w:color="auto"/>
            </w:tcBorders>
            <w:shd w:val="clear" w:color="auto" w:fill="auto"/>
            <w:vAlign w:val="bottom"/>
          </w:tcPr>
          <w:p w:rsidR="00C67DF8" w:rsidRPr="00E47E3C" w:rsidRDefault="00C67DF8" w:rsidP="00326EB5">
            <w:pPr>
              <w:pStyle w:val="DualTxt"/>
              <w:spacing w:before="40" w:after="80" w:line="240" w:lineRule="exact"/>
              <w:rPr>
                <w:rFonts w:hint="cs"/>
                <w:sz w:val="16"/>
                <w:szCs w:val="24"/>
                <w:rtl/>
              </w:rPr>
            </w:pPr>
            <w:r>
              <w:rPr>
                <w:rFonts w:hint="cs"/>
                <w:sz w:val="16"/>
                <w:szCs w:val="24"/>
                <w:rtl/>
              </w:rPr>
              <w:t>10</w:t>
            </w:r>
          </w:p>
        </w:tc>
        <w:tc>
          <w:tcPr>
            <w:tcW w:w="640" w:type="dxa"/>
            <w:tcBorders>
              <w:bottom w:val="single" w:sz="4" w:space="0" w:color="auto"/>
            </w:tcBorders>
            <w:shd w:val="clear" w:color="auto" w:fill="auto"/>
            <w:vAlign w:val="bottom"/>
          </w:tcPr>
          <w:p w:rsidR="00C67DF8" w:rsidRPr="00E47E3C" w:rsidRDefault="00C67DF8" w:rsidP="00326EB5">
            <w:pPr>
              <w:pStyle w:val="DualTxt"/>
              <w:spacing w:before="40" w:after="80" w:line="240" w:lineRule="exact"/>
              <w:rPr>
                <w:rFonts w:hint="cs"/>
                <w:sz w:val="16"/>
                <w:szCs w:val="24"/>
                <w:rtl/>
              </w:rPr>
            </w:pPr>
            <w:r>
              <w:rPr>
                <w:rFonts w:hint="cs"/>
                <w:sz w:val="16"/>
                <w:szCs w:val="24"/>
                <w:rtl/>
              </w:rPr>
              <w:t>68</w:t>
            </w:r>
          </w:p>
        </w:tc>
        <w:tc>
          <w:tcPr>
            <w:tcW w:w="720" w:type="dxa"/>
            <w:tcBorders>
              <w:bottom w:val="single" w:sz="4" w:space="0" w:color="auto"/>
            </w:tcBorders>
            <w:shd w:val="clear" w:color="auto" w:fill="auto"/>
            <w:vAlign w:val="bottom"/>
          </w:tcPr>
          <w:p w:rsidR="00C67DF8" w:rsidRPr="00E47E3C" w:rsidRDefault="00C67DF8" w:rsidP="00326EB5">
            <w:pPr>
              <w:pStyle w:val="DualTxt"/>
              <w:spacing w:before="40" w:after="80" w:line="240" w:lineRule="exact"/>
              <w:rPr>
                <w:rFonts w:hint="cs"/>
                <w:sz w:val="16"/>
                <w:szCs w:val="24"/>
                <w:rtl/>
              </w:rPr>
            </w:pPr>
            <w:r>
              <w:rPr>
                <w:rFonts w:hint="cs"/>
                <w:sz w:val="16"/>
                <w:szCs w:val="24"/>
                <w:rtl/>
              </w:rPr>
              <w:t>50</w:t>
            </w:r>
          </w:p>
        </w:tc>
        <w:tc>
          <w:tcPr>
            <w:tcW w:w="640" w:type="dxa"/>
            <w:tcBorders>
              <w:bottom w:val="single" w:sz="4" w:space="0" w:color="auto"/>
            </w:tcBorders>
            <w:shd w:val="clear" w:color="auto" w:fill="auto"/>
            <w:vAlign w:val="bottom"/>
          </w:tcPr>
          <w:p w:rsidR="00C67DF8" w:rsidRPr="00E47E3C" w:rsidRDefault="00C67DF8" w:rsidP="00326EB5">
            <w:pPr>
              <w:pStyle w:val="DualTxt"/>
              <w:spacing w:before="40" w:after="80" w:line="240" w:lineRule="exact"/>
              <w:rPr>
                <w:rFonts w:hint="cs"/>
                <w:sz w:val="16"/>
                <w:szCs w:val="24"/>
                <w:rtl/>
              </w:rPr>
            </w:pPr>
            <w:r>
              <w:rPr>
                <w:rFonts w:hint="cs"/>
                <w:sz w:val="16"/>
                <w:szCs w:val="24"/>
                <w:rtl/>
              </w:rPr>
              <w:t>10</w:t>
            </w:r>
          </w:p>
        </w:tc>
        <w:tc>
          <w:tcPr>
            <w:tcW w:w="640" w:type="dxa"/>
            <w:tcBorders>
              <w:bottom w:val="single" w:sz="4" w:space="0" w:color="auto"/>
            </w:tcBorders>
            <w:shd w:val="clear" w:color="auto" w:fill="auto"/>
            <w:vAlign w:val="bottom"/>
          </w:tcPr>
          <w:p w:rsidR="00C67DF8" w:rsidRPr="00E47E3C" w:rsidRDefault="00C67DF8" w:rsidP="00326EB5">
            <w:pPr>
              <w:pStyle w:val="DualTxt"/>
              <w:spacing w:before="40" w:after="80" w:line="240" w:lineRule="exact"/>
              <w:rPr>
                <w:rFonts w:hint="cs"/>
                <w:sz w:val="16"/>
                <w:szCs w:val="24"/>
                <w:rtl/>
              </w:rPr>
            </w:pPr>
            <w:r>
              <w:rPr>
                <w:rFonts w:hint="cs"/>
                <w:sz w:val="16"/>
                <w:szCs w:val="24"/>
                <w:rtl/>
              </w:rPr>
              <w:t>66</w:t>
            </w:r>
          </w:p>
        </w:tc>
        <w:tc>
          <w:tcPr>
            <w:tcW w:w="720" w:type="dxa"/>
            <w:tcBorders>
              <w:bottom w:val="single" w:sz="4" w:space="0" w:color="auto"/>
            </w:tcBorders>
            <w:shd w:val="clear" w:color="auto" w:fill="auto"/>
            <w:vAlign w:val="bottom"/>
          </w:tcPr>
          <w:p w:rsidR="00C67DF8" w:rsidRPr="00E47E3C" w:rsidRDefault="00C67DF8" w:rsidP="00326EB5">
            <w:pPr>
              <w:pStyle w:val="DualTxt"/>
              <w:spacing w:before="40" w:after="80" w:line="240" w:lineRule="exact"/>
              <w:rPr>
                <w:rFonts w:hint="cs"/>
                <w:sz w:val="16"/>
                <w:szCs w:val="24"/>
                <w:rtl/>
              </w:rPr>
            </w:pPr>
            <w:r>
              <w:rPr>
                <w:rFonts w:hint="cs"/>
                <w:sz w:val="16"/>
                <w:szCs w:val="24"/>
                <w:rtl/>
              </w:rPr>
              <w:t>49</w:t>
            </w:r>
          </w:p>
        </w:tc>
      </w:tr>
      <w:tr w:rsidR="00C67DF8" w:rsidRPr="00326EB5">
        <w:trPr>
          <w:cantSplit/>
        </w:trPr>
        <w:tc>
          <w:tcPr>
            <w:tcW w:w="2002" w:type="dxa"/>
            <w:tcBorders>
              <w:top w:val="single" w:sz="4" w:space="0" w:color="auto"/>
              <w:bottom w:val="single" w:sz="12" w:space="0" w:color="auto"/>
            </w:tcBorders>
            <w:shd w:val="clear" w:color="auto" w:fill="auto"/>
            <w:vAlign w:val="bottom"/>
          </w:tcPr>
          <w:p w:rsidR="00C67DF8" w:rsidRPr="00326EB5" w:rsidRDefault="00C67DF8" w:rsidP="00326EB5">
            <w:pPr>
              <w:pStyle w:val="DualTxt"/>
              <w:spacing w:before="60" w:after="60" w:line="240" w:lineRule="exact"/>
              <w:rPr>
                <w:rFonts w:hint="cs"/>
                <w:bCs/>
                <w:sz w:val="16"/>
                <w:szCs w:val="24"/>
                <w:rtl/>
              </w:rPr>
            </w:pPr>
            <w:r w:rsidRPr="00326EB5">
              <w:rPr>
                <w:rFonts w:hint="cs"/>
                <w:bCs/>
                <w:sz w:val="16"/>
                <w:szCs w:val="24"/>
                <w:rtl/>
              </w:rPr>
              <w:t>المجموع</w:t>
            </w:r>
          </w:p>
        </w:tc>
        <w:tc>
          <w:tcPr>
            <w:tcW w:w="618" w:type="dxa"/>
            <w:tcBorders>
              <w:top w:val="single" w:sz="4" w:space="0" w:color="auto"/>
              <w:bottom w:val="single" w:sz="12" w:space="0" w:color="auto"/>
            </w:tcBorders>
            <w:shd w:val="clear" w:color="auto" w:fill="auto"/>
            <w:vAlign w:val="bottom"/>
          </w:tcPr>
          <w:p w:rsidR="00C67DF8" w:rsidRPr="00326EB5" w:rsidRDefault="00C67DF8" w:rsidP="00326EB5">
            <w:pPr>
              <w:pStyle w:val="DualTxt"/>
              <w:spacing w:before="60" w:after="60" w:line="240" w:lineRule="exact"/>
              <w:rPr>
                <w:rFonts w:hint="cs"/>
                <w:bCs/>
                <w:sz w:val="16"/>
                <w:szCs w:val="24"/>
                <w:rtl/>
              </w:rPr>
            </w:pPr>
            <w:r w:rsidRPr="00326EB5">
              <w:rPr>
                <w:rFonts w:hint="cs"/>
                <w:bCs/>
                <w:sz w:val="16"/>
                <w:szCs w:val="24"/>
                <w:rtl/>
              </w:rPr>
              <w:t>100</w:t>
            </w:r>
          </w:p>
        </w:tc>
        <w:tc>
          <w:tcPr>
            <w:tcW w:w="618" w:type="dxa"/>
            <w:tcBorders>
              <w:top w:val="single" w:sz="4" w:space="0" w:color="auto"/>
              <w:bottom w:val="single" w:sz="12" w:space="0" w:color="auto"/>
            </w:tcBorders>
            <w:shd w:val="clear" w:color="auto" w:fill="auto"/>
            <w:vAlign w:val="bottom"/>
          </w:tcPr>
          <w:p w:rsidR="00C67DF8" w:rsidRPr="00326EB5" w:rsidRDefault="00C67DF8" w:rsidP="00326EB5">
            <w:pPr>
              <w:pStyle w:val="DualTxt"/>
              <w:spacing w:before="60" w:after="60" w:line="240" w:lineRule="exact"/>
              <w:rPr>
                <w:rFonts w:hint="cs"/>
                <w:bCs/>
                <w:sz w:val="16"/>
                <w:szCs w:val="24"/>
                <w:rtl/>
              </w:rPr>
            </w:pPr>
            <w:r w:rsidRPr="00326EB5">
              <w:rPr>
                <w:rFonts w:hint="cs"/>
                <w:bCs/>
                <w:sz w:val="16"/>
                <w:szCs w:val="24"/>
                <w:rtl/>
              </w:rPr>
              <w:t>100</w:t>
            </w:r>
          </w:p>
        </w:tc>
        <w:tc>
          <w:tcPr>
            <w:tcW w:w="682" w:type="dxa"/>
            <w:tcBorders>
              <w:top w:val="single" w:sz="4" w:space="0" w:color="auto"/>
              <w:bottom w:val="single" w:sz="12" w:space="0" w:color="auto"/>
            </w:tcBorders>
            <w:shd w:val="clear" w:color="auto" w:fill="auto"/>
            <w:vAlign w:val="bottom"/>
          </w:tcPr>
          <w:p w:rsidR="00C67DF8" w:rsidRPr="00326EB5" w:rsidRDefault="00C67DF8" w:rsidP="00326EB5">
            <w:pPr>
              <w:pStyle w:val="DualTxt"/>
              <w:spacing w:before="60" w:after="60" w:line="240" w:lineRule="exact"/>
              <w:rPr>
                <w:rFonts w:hint="cs"/>
                <w:bCs/>
                <w:sz w:val="16"/>
                <w:szCs w:val="24"/>
                <w:rtl/>
              </w:rPr>
            </w:pPr>
            <w:r w:rsidRPr="00326EB5">
              <w:rPr>
                <w:rFonts w:hint="cs"/>
                <w:bCs/>
                <w:sz w:val="16"/>
                <w:szCs w:val="24"/>
                <w:rtl/>
              </w:rPr>
              <w:t>100</w:t>
            </w:r>
          </w:p>
        </w:tc>
        <w:tc>
          <w:tcPr>
            <w:tcW w:w="640" w:type="dxa"/>
            <w:tcBorders>
              <w:top w:val="single" w:sz="4" w:space="0" w:color="auto"/>
              <w:bottom w:val="single" w:sz="12" w:space="0" w:color="auto"/>
            </w:tcBorders>
            <w:shd w:val="clear" w:color="auto" w:fill="auto"/>
            <w:vAlign w:val="bottom"/>
          </w:tcPr>
          <w:p w:rsidR="00C67DF8" w:rsidRPr="00326EB5" w:rsidRDefault="00C67DF8" w:rsidP="00326EB5">
            <w:pPr>
              <w:pStyle w:val="DualTxt"/>
              <w:spacing w:before="60" w:after="60" w:line="240" w:lineRule="exact"/>
              <w:rPr>
                <w:rFonts w:hint="cs"/>
                <w:bCs/>
                <w:sz w:val="16"/>
                <w:szCs w:val="24"/>
                <w:rtl/>
              </w:rPr>
            </w:pPr>
            <w:r w:rsidRPr="00326EB5">
              <w:rPr>
                <w:rFonts w:hint="cs"/>
                <w:bCs/>
                <w:sz w:val="16"/>
                <w:szCs w:val="24"/>
                <w:rtl/>
              </w:rPr>
              <w:t>100</w:t>
            </w:r>
          </w:p>
        </w:tc>
        <w:tc>
          <w:tcPr>
            <w:tcW w:w="640" w:type="dxa"/>
            <w:tcBorders>
              <w:top w:val="single" w:sz="4" w:space="0" w:color="auto"/>
              <w:bottom w:val="single" w:sz="12" w:space="0" w:color="auto"/>
            </w:tcBorders>
            <w:shd w:val="clear" w:color="auto" w:fill="auto"/>
            <w:vAlign w:val="bottom"/>
          </w:tcPr>
          <w:p w:rsidR="00C67DF8" w:rsidRPr="00326EB5" w:rsidRDefault="00C67DF8" w:rsidP="00326EB5">
            <w:pPr>
              <w:pStyle w:val="DualTxt"/>
              <w:spacing w:before="60" w:after="60" w:line="240" w:lineRule="exact"/>
              <w:rPr>
                <w:rFonts w:hint="cs"/>
                <w:bCs/>
                <w:sz w:val="16"/>
                <w:szCs w:val="24"/>
                <w:rtl/>
              </w:rPr>
            </w:pPr>
            <w:r w:rsidRPr="00326EB5">
              <w:rPr>
                <w:rFonts w:hint="cs"/>
                <w:bCs/>
                <w:sz w:val="16"/>
                <w:szCs w:val="24"/>
                <w:rtl/>
              </w:rPr>
              <w:t>100</w:t>
            </w:r>
          </w:p>
        </w:tc>
        <w:tc>
          <w:tcPr>
            <w:tcW w:w="720" w:type="dxa"/>
            <w:tcBorders>
              <w:top w:val="single" w:sz="4" w:space="0" w:color="auto"/>
              <w:bottom w:val="single" w:sz="12" w:space="0" w:color="auto"/>
            </w:tcBorders>
            <w:shd w:val="clear" w:color="auto" w:fill="auto"/>
            <w:vAlign w:val="bottom"/>
          </w:tcPr>
          <w:p w:rsidR="00C67DF8" w:rsidRPr="00326EB5" w:rsidRDefault="00C67DF8" w:rsidP="00326EB5">
            <w:pPr>
              <w:pStyle w:val="DualTxt"/>
              <w:spacing w:before="60" w:after="60" w:line="240" w:lineRule="exact"/>
              <w:rPr>
                <w:rFonts w:hint="cs"/>
                <w:bCs/>
                <w:sz w:val="16"/>
                <w:szCs w:val="24"/>
                <w:rtl/>
              </w:rPr>
            </w:pPr>
            <w:r w:rsidRPr="00326EB5">
              <w:rPr>
                <w:rFonts w:hint="cs"/>
                <w:bCs/>
                <w:sz w:val="16"/>
                <w:szCs w:val="24"/>
                <w:rtl/>
              </w:rPr>
              <w:t>100</w:t>
            </w:r>
          </w:p>
        </w:tc>
        <w:tc>
          <w:tcPr>
            <w:tcW w:w="640" w:type="dxa"/>
            <w:tcBorders>
              <w:top w:val="single" w:sz="4" w:space="0" w:color="auto"/>
              <w:bottom w:val="single" w:sz="12" w:space="0" w:color="auto"/>
            </w:tcBorders>
            <w:shd w:val="clear" w:color="auto" w:fill="auto"/>
            <w:vAlign w:val="bottom"/>
          </w:tcPr>
          <w:p w:rsidR="00C67DF8" w:rsidRPr="00326EB5" w:rsidRDefault="00C67DF8" w:rsidP="00326EB5">
            <w:pPr>
              <w:pStyle w:val="DualTxt"/>
              <w:spacing w:before="60" w:after="60" w:line="240" w:lineRule="exact"/>
              <w:rPr>
                <w:rFonts w:hint="cs"/>
                <w:bCs/>
                <w:sz w:val="16"/>
                <w:szCs w:val="24"/>
                <w:rtl/>
              </w:rPr>
            </w:pPr>
            <w:r w:rsidRPr="00326EB5">
              <w:rPr>
                <w:rFonts w:hint="cs"/>
                <w:bCs/>
                <w:sz w:val="16"/>
                <w:szCs w:val="24"/>
                <w:rtl/>
              </w:rPr>
              <w:t>100</w:t>
            </w:r>
          </w:p>
        </w:tc>
        <w:tc>
          <w:tcPr>
            <w:tcW w:w="640" w:type="dxa"/>
            <w:tcBorders>
              <w:top w:val="single" w:sz="4" w:space="0" w:color="auto"/>
              <w:bottom w:val="single" w:sz="12" w:space="0" w:color="auto"/>
            </w:tcBorders>
            <w:shd w:val="clear" w:color="auto" w:fill="auto"/>
            <w:vAlign w:val="bottom"/>
          </w:tcPr>
          <w:p w:rsidR="00C67DF8" w:rsidRPr="00326EB5" w:rsidRDefault="00C67DF8" w:rsidP="00326EB5">
            <w:pPr>
              <w:pStyle w:val="DualTxt"/>
              <w:spacing w:before="60" w:after="60" w:line="240" w:lineRule="exact"/>
              <w:rPr>
                <w:rFonts w:hint="cs"/>
                <w:bCs/>
                <w:sz w:val="16"/>
                <w:szCs w:val="24"/>
                <w:rtl/>
              </w:rPr>
            </w:pPr>
            <w:r w:rsidRPr="00326EB5">
              <w:rPr>
                <w:rFonts w:hint="cs"/>
                <w:bCs/>
                <w:sz w:val="16"/>
                <w:szCs w:val="24"/>
                <w:rtl/>
              </w:rPr>
              <w:t>100</w:t>
            </w:r>
          </w:p>
        </w:tc>
        <w:tc>
          <w:tcPr>
            <w:tcW w:w="720" w:type="dxa"/>
            <w:tcBorders>
              <w:top w:val="single" w:sz="4" w:space="0" w:color="auto"/>
              <w:bottom w:val="single" w:sz="12" w:space="0" w:color="auto"/>
            </w:tcBorders>
            <w:shd w:val="clear" w:color="auto" w:fill="auto"/>
            <w:vAlign w:val="bottom"/>
          </w:tcPr>
          <w:p w:rsidR="00C67DF8" w:rsidRPr="00326EB5" w:rsidRDefault="00C67DF8" w:rsidP="00326EB5">
            <w:pPr>
              <w:pStyle w:val="DualTxt"/>
              <w:spacing w:before="60" w:after="60" w:line="240" w:lineRule="exact"/>
              <w:rPr>
                <w:rFonts w:hint="cs"/>
                <w:bCs/>
                <w:sz w:val="16"/>
                <w:szCs w:val="24"/>
                <w:rtl/>
              </w:rPr>
            </w:pPr>
            <w:r w:rsidRPr="00326EB5">
              <w:rPr>
                <w:rFonts w:hint="cs"/>
                <w:bCs/>
                <w:sz w:val="16"/>
                <w:szCs w:val="24"/>
                <w:rtl/>
              </w:rPr>
              <w:t>100</w:t>
            </w:r>
          </w:p>
        </w:tc>
      </w:tr>
    </w:tbl>
    <w:p w:rsidR="00C67DF8" w:rsidRPr="00612664" w:rsidRDefault="00C67DF8" w:rsidP="00C67DF8">
      <w:pPr>
        <w:pStyle w:val="SingleTxt"/>
        <w:spacing w:after="0" w:line="120" w:lineRule="exact"/>
        <w:rPr>
          <w:rFonts w:hint="cs"/>
          <w:sz w:val="10"/>
          <w:rtl/>
        </w:rPr>
      </w:pPr>
    </w:p>
    <w:p w:rsidR="00C67DF8" w:rsidRPr="00E47E3C" w:rsidRDefault="00C67DF8" w:rsidP="00C67DF8">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Pr>
          <w:rFonts w:hint="cs"/>
          <w:rtl/>
        </w:rPr>
        <w:tab/>
      </w:r>
      <w:r w:rsidRPr="00612664">
        <w:rPr>
          <w:rFonts w:hint="cs"/>
          <w:i/>
          <w:iCs/>
          <w:rtl/>
        </w:rPr>
        <w:t>المصدر</w:t>
      </w:r>
      <w:r>
        <w:rPr>
          <w:rFonts w:hint="cs"/>
          <w:rtl/>
        </w:rPr>
        <w:t>: الدراسة الاستقصائية للإحصاءات المنزلية في باكستان، 2001-2002، كما وردت على الموقع الشبكي لمكتب الإحصاءات الاتحادي.</w:t>
      </w:r>
    </w:p>
    <w:p w:rsidR="00C67DF8" w:rsidRDefault="00C67DF8" w:rsidP="00C67DF8">
      <w:pPr>
        <w:pStyle w:val="SingleTxt"/>
        <w:tabs>
          <w:tab w:val="clear" w:pos="1930"/>
          <w:tab w:val="left" w:pos="2125"/>
        </w:tabs>
        <w:rPr>
          <w:rFonts w:hint="cs"/>
          <w:rtl/>
        </w:rPr>
      </w:pPr>
      <w:r>
        <w:rPr>
          <w:rFonts w:hint="cs"/>
          <w:rtl/>
        </w:rPr>
        <w:t>462 -</w:t>
      </w:r>
      <w:r>
        <w:rPr>
          <w:rFonts w:hint="cs"/>
          <w:rtl/>
        </w:rPr>
        <w:tab/>
        <w:t xml:space="preserve">يعتبر برنامج كهربة الريف/القرية جزء جوهري من التنمية الشاملة لقطاع الطاقة في باكستان من أجل زيادة القدرة الإنتاجية والمستوى الاجتماعي والاقتصادي لـ 70 في المائة من السكان المقيمين في المناطق الريفية. وقد زاد عدد القرى التي دخلتها الكهرباء إلى 063 73 قرية في آذار/مارس 2003. ويستفيد الرجال والنساء على السواء من برنامج كهربة الريف. </w:t>
      </w:r>
    </w:p>
    <w:p w:rsidR="00C67DF8" w:rsidRDefault="00C67DF8" w:rsidP="00C67DF8">
      <w:pPr>
        <w:pStyle w:val="SingleTxt"/>
        <w:tabs>
          <w:tab w:val="clear" w:pos="1930"/>
          <w:tab w:val="left" w:pos="2125"/>
        </w:tabs>
        <w:rPr>
          <w:rFonts w:hint="cs"/>
          <w:rtl/>
        </w:rPr>
      </w:pPr>
      <w:r>
        <w:rPr>
          <w:rFonts w:hint="cs"/>
          <w:rtl/>
        </w:rPr>
        <w:t>463 -</w:t>
      </w:r>
      <w:r>
        <w:rPr>
          <w:rFonts w:hint="cs"/>
          <w:rtl/>
        </w:rPr>
        <w:tab/>
        <w:t xml:space="preserve">ولدى باكستان شبكة طرق تغطي 845 251 كيلومترا منها 028 151 من الطرق العليا و817 100 من الطرق السفلى. وقد زاد مجموع الطرق الذي كان 823 17 كم في الفترة 1990-1991 إلى 661 251 كم في الفترة 2001-2002 ثم إلى 845 251 كم في الفترة 2002-2003، أي بزيادة بنسبتها 47.4 في المائة. وخلال السنة المالية المنتهية، زادت الطرق العليا بنسبة 1.5 في المائة عن السنة السابقة، وانخفض طول الطرق السفلى بنسبة 1.9 في المائة. وبعبارة أخرى، تحولت الطرق السفلى إلى طرق عليا. وقد تم ذلك في إطار برنامج </w:t>
      </w:r>
      <w:proofErr w:type="spellStart"/>
      <w:r>
        <w:rPr>
          <w:rFonts w:hint="cs"/>
          <w:rtl/>
        </w:rPr>
        <w:t>خوشهال</w:t>
      </w:r>
      <w:proofErr w:type="spellEnd"/>
      <w:r>
        <w:rPr>
          <w:rFonts w:hint="cs"/>
          <w:rtl/>
        </w:rPr>
        <w:t xml:space="preserve"> باكستان. ومرة أخرى، كان الرجال والنساء مستفيدين بالتساوي من الطرق التي تخدم مناطقهم.</w:t>
      </w:r>
    </w:p>
    <w:p w:rsidR="00C67DF8" w:rsidRPr="000E5BF6"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المعلومات المقدمة بموجب التوصية العامة 16</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الوضع القانوني والاجتماعي للنساء العاملات بلا أجر في المشاريع الأسرية</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جمع بيانات إحصائية عن النساء اللاتي يعملن بلا أجر، ودون تأمين اجتماعي، ودون استحقاقات اجتماعية، في المشاريع التي يمتلكها أحد أفراد الأسرة، وإدراج هذه البيانات في تقرير الدولة المقدم إلى اللجنة</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اتخاذ الخطوات اللازمة لضمان دفع الأجر والتأمين الاجتماعي والاستحقاقات الاجتماعية للنساء اللاتي يعملن دون الحصول على هذه الاستحقاقات في المشاريع التي يملكها أحد أفراد الأسرة</w:t>
      </w:r>
    </w:p>
    <w:p w:rsidR="00C67DF8" w:rsidRDefault="00C67DF8" w:rsidP="009F3C71">
      <w:pPr>
        <w:pStyle w:val="SingleTxt"/>
        <w:tabs>
          <w:tab w:val="clear" w:pos="1930"/>
          <w:tab w:val="left" w:pos="2125"/>
        </w:tabs>
        <w:rPr>
          <w:rFonts w:hint="cs"/>
          <w:rtl/>
        </w:rPr>
      </w:pPr>
      <w:r>
        <w:rPr>
          <w:rFonts w:hint="cs"/>
          <w:rtl/>
        </w:rPr>
        <w:t>464 -</w:t>
      </w:r>
      <w:r>
        <w:rPr>
          <w:rFonts w:hint="cs"/>
          <w:rtl/>
        </w:rPr>
        <w:tab/>
        <w:t xml:space="preserve">انخفضت نسبة النساء كمساعدات للأسرة بلا أجر من 63.3 في المائة في الفترة 1997-1998 إلى 46.8 في المائة في الفترة 2001-2002. ولا يوجد قانون بشأن النساء العاملات بلا أجر في المشاريع التي تملكها الأسرة. ويعمل عدد كبير من الأسر الريفية بالقطعة لتكميل دخلها. ويشعر المعالون لرجل يملك مزرعة ويعمل بها بأن من واجبهم مساعدته، ومن غير المحتمل أن تصر الزوجة أو </w:t>
      </w:r>
      <w:proofErr w:type="spellStart"/>
      <w:r>
        <w:rPr>
          <w:rFonts w:hint="cs"/>
          <w:rtl/>
        </w:rPr>
        <w:t>الإبنة</w:t>
      </w:r>
      <w:proofErr w:type="spellEnd"/>
      <w:r>
        <w:rPr>
          <w:rFonts w:hint="cs"/>
          <w:rtl/>
        </w:rPr>
        <w:t xml:space="preserve"> المعالة أو الأخت على تقاضي أجر مقابل مساعدتها. وإذا كانت </w:t>
      </w:r>
      <w:proofErr w:type="spellStart"/>
      <w:r>
        <w:rPr>
          <w:rFonts w:hint="cs"/>
          <w:rtl/>
        </w:rPr>
        <w:t>الإبنة</w:t>
      </w:r>
      <w:proofErr w:type="spellEnd"/>
      <w:r>
        <w:rPr>
          <w:rFonts w:hint="cs"/>
          <w:rtl/>
        </w:rPr>
        <w:t xml:space="preserve"> أو الأخت غير معالة، فمن غير المحتمل أن تعمل على أساس الوقت الكامل بغير أجر في مزرعة أخيها أو أبيها أو مشروعه التجاري. فإنها تساعد زوجها، على الأرجح. وهذا المفهوم للمساعدة المتبادلة يشكل رابطة قوية توحِّد المجتمعات الريفية. غير أنه لا يوجد قانون عمل تستطيع المرأة التي تعمل في مشروع تجاري للأسرة أن تطالب بأجر بموجبه: وإن كانت تستطيع اللجوء إلى المحاكم لطلب تعويض. وهذه عملية طويلة وباهظة التكاليف ونتائجها غير مؤكدة.</w:t>
      </w:r>
    </w:p>
    <w:p w:rsidR="00C67DF8" w:rsidRPr="00EC0BAF"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التحديات</w:t>
      </w:r>
    </w:p>
    <w:p w:rsidR="00C67DF8" w:rsidRDefault="00C67DF8" w:rsidP="00C67DF8">
      <w:pPr>
        <w:pStyle w:val="SingleTxt"/>
        <w:tabs>
          <w:tab w:val="clear" w:pos="1930"/>
          <w:tab w:val="left" w:pos="2125"/>
        </w:tabs>
        <w:rPr>
          <w:rFonts w:hint="cs"/>
          <w:rtl/>
        </w:rPr>
      </w:pPr>
      <w:r>
        <w:rPr>
          <w:rFonts w:hint="cs"/>
          <w:rtl/>
        </w:rPr>
        <w:t>465 -</w:t>
      </w:r>
      <w:r>
        <w:rPr>
          <w:rFonts w:hint="cs"/>
          <w:rtl/>
        </w:rPr>
        <w:tab/>
        <w:t>لا يتمتع سكان الريف في باكستان، حاليا، بنفس المرافق والتسهيلات المتاحة لنظرائهم سكان الحضر، في مجال التعليم والصحة والتوظيف وما إلى ذلك. وبينما لا تنفرد باكستان بهذه الحالة، ليس هناك ما يحول دون بذل جهود جادة للحد من الفجوة الموجودة. وتركز وثائق السياسات الجديدة لوزارتي التعليم والصحة، صراحة، على المناطق الريفية، كما تؤكد أهم المؤسسات التي تقدم الائتمانات الصغيرة على المناطق الريفية. ولكن لم يحقق ذلك أثر إيجابي وملحوظ في مجال الحد من التفاوت الموجود بين المناطق الريفية والمناطق الحضرية.</w:t>
      </w:r>
    </w:p>
    <w:p w:rsidR="00C67DF8" w:rsidRPr="00F47242" w:rsidRDefault="00C67DF8" w:rsidP="00C67DF8">
      <w:pPr>
        <w:pStyle w:val="SingleTxt"/>
        <w:tabs>
          <w:tab w:val="clear" w:pos="1930"/>
          <w:tab w:val="left" w:pos="2125"/>
        </w:tabs>
        <w:spacing w:after="0" w:line="120" w:lineRule="exact"/>
        <w:rPr>
          <w:rFonts w:hint="cs"/>
          <w:sz w:val="12"/>
          <w:rtl/>
        </w:rPr>
      </w:pPr>
    </w:p>
    <w:p w:rsidR="00C67DF8" w:rsidRPr="00F36254" w:rsidRDefault="00C67DF8" w:rsidP="00C67DF8">
      <w:pPr>
        <w:pStyle w:val="HCh"/>
        <w:tabs>
          <w:tab w:val="left" w:pos="662"/>
          <w:tab w:val="left" w:pos="1325"/>
          <w:tab w:val="left" w:pos="1987"/>
          <w:tab w:val="left" w:pos="2650"/>
          <w:tab w:val="left" w:pos="3312"/>
          <w:tab w:val="left" w:pos="3974"/>
          <w:tab w:val="left" w:pos="4637"/>
        </w:tabs>
        <w:ind w:left="662" w:hanging="662"/>
        <w:rPr>
          <w:rFonts w:hint="cs"/>
          <w:szCs w:val="36"/>
          <w:rtl/>
        </w:rPr>
      </w:pPr>
      <w:r w:rsidRPr="00F36254">
        <w:rPr>
          <w:rFonts w:hint="cs"/>
          <w:szCs w:val="36"/>
          <w:rtl/>
        </w:rPr>
        <w:t>الفصل الخامس عشر</w:t>
      </w:r>
    </w:p>
    <w:p w:rsidR="00C67DF8" w:rsidRDefault="00C67DF8" w:rsidP="00C67DF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15</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المساواة أمام القانون</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الأحكام الدستورية</w:t>
      </w:r>
    </w:p>
    <w:p w:rsidR="00C67DF8" w:rsidRDefault="00C67DF8" w:rsidP="00C67DF8">
      <w:pPr>
        <w:pStyle w:val="SingleTxt"/>
        <w:tabs>
          <w:tab w:val="clear" w:pos="1930"/>
          <w:tab w:val="left" w:pos="2125"/>
        </w:tabs>
        <w:rPr>
          <w:rFonts w:hint="eastAsia"/>
          <w:rtl/>
        </w:rPr>
      </w:pPr>
      <w:r>
        <w:rPr>
          <w:rFonts w:hint="cs"/>
          <w:rtl/>
        </w:rPr>
        <w:t>466 -</w:t>
      </w:r>
      <w:r>
        <w:rPr>
          <w:rFonts w:hint="cs"/>
          <w:rtl/>
        </w:rPr>
        <w:tab/>
        <w:t xml:space="preserve">تقدم المعلومات الواردة  في إطار المواد السابقة صورة تفصيلية واضحة لنص الدستور وروحه فيما يتصل بمسألة المساواة بين جميع مواطني باكستان. ويرد الإطار الشامل في المادة 25 من الدستور: </w:t>
      </w:r>
      <w:r>
        <w:rPr>
          <w:rFonts w:hint="eastAsia"/>
          <w:rtl/>
        </w:rPr>
        <w:t xml:space="preserve">”يعتبر جميع المواطنين متساوون أمام القانون ولهم الحق في الحماية القانونية المتساوية. </w:t>
      </w:r>
      <w:r>
        <w:rPr>
          <w:rFonts w:hint="cs"/>
          <w:rtl/>
        </w:rPr>
        <w:t>ولا يجوز التمييز على أساس نوع الجنس وحده. وليس في هذه المادة ما يحول دون قيام الدولة بوضع أحكام خاصة لحماية النساء والأطفال</w:t>
      </w:r>
      <w:r>
        <w:rPr>
          <w:rFonts w:hint="eastAsia"/>
          <w:rtl/>
        </w:rPr>
        <w:t>“.</w:t>
      </w:r>
    </w:p>
    <w:p w:rsidR="00C67DF8" w:rsidRDefault="00C67DF8" w:rsidP="00C67DF8">
      <w:pPr>
        <w:pStyle w:val="SingleTxt"/>
        <w:tabs>
          <w:tab w:val="clear" w:pos="1930"/>
          <w:tab w:val="left" w:pos="2125"/>
        </w:tabs>
        <w:rPr>
          <w:rFonts w:hint="cs"/>
          <w:rtl/>
        </w:rPr>
      </w:pPr>
      <w:r>
        <w:rPr>
          <w:rFonts w:hint="cs"/>
          <w:rtl/>
        </w:rPr>
        <w:t>467 -</w:t>
      </w:r>
      <w:r>
        <w:rPr>
          <w:rFonts w:hint="cs"/>
          <w:rtl/>
        </w:rPr>
        <w:tab/>
        <w:t xml:space="preserve">وكانت المادة 25 التي تقرر مبدأ المساواة لجميع المواطنين أمام القانون ثم تمنع التمييز على أساس نوع الجنس وحده وتسمح للدولة بوضع أحكام خاصة لحماية النساء والأطفال تفي وحدها بمتطلبات المادة 15 من الاتفاقية. بيد أن الدستور يتضمن مواد أخرى كذلك تدعم أحكام الدستور المتصلة بعدم التمييز، بدرجة كبيرة. وتشمل المواد التالية: </w:t>
      </w:r>
    </w:p>
    <w:p w:rsidR="00C67DF8" w:rsidRDefault="00C67DF8" w:rsidP="009F3C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’1‘</w:t>
      </w:r>
      <w:r>
        <w:rPr>
          <w:rFonts w:hint="cs"/>
          <w:rtl/>
        </w:rPr>
        <w:tab/>
        <w:t>المادة 3: تكفل الدولة القضاء على جميع أشكال الاستغلال والأعمال التدريجي لهذا المبدأ الأساسي، من جانب كل إنسان على قدر طاقته ووفقا لعمله.</w:t>
      </w:r>
    </w:p>
    <w:p w:rsidR="00C67DF8" w:rsidRDefault="00C67DF8" w:rsidP="009F3C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’2‘</w:t>
      </w:r>
      <w:r>
        <w:rPr>
          <w:rFonts w:hint="cs"/>
          <w:rtl/>
        </w:rPr>
        <w:tab/>
        <w:t xml:space="preserve">المادة 4: </w:t>
      </w:r>
      <w:r>
        <w:rPr>
          <w:rFonts w:hint="eastAsia"/>
          <w:rtl/>
        </w:rPr>
        <w:t>”إن التمتع بحماية القانون والمعاملة وفقا للقانون حقا لا يمكن التصرف فيه لكل مواطن، أينما كان، ولكل شخص آخر يكون مو</w:t>
      </w:r>
      <w:r>
        <w:rPr>
          <w:rFonts w:hint="cs"/>
          <w:rtl/>
        </w:rPr>
        <w:t>ج</w:t>
      </w:r>
      <w:r>
        <w:rPr>
          <w:rFonts w:hint="eastAsia"/>
          <w:rtl/>
        </w:rPr>
        <w:t xml:space="preserve">ودا في باكستان، في ذلك الوقت... </w:t>
      </w:r>
      <w:r>
        <w:rPr>
          <w:rFonts w:hint="cs"/>
          <w:rtl/>
        </w:rPr>
        <w:t xml:space="preserve">ولا يتخذ، على وجه الخصوص، أي إجراء يضر بحياة أي شخص أو حريته أو بدنه أو سمعته أو ممتلكاته إلا وفقا للقانون، ولا يمنع أي شخص من القيام بما لا يحظره القانون، ولا </w:t>
      </w:r>
      <w:r w:rsidR="009F3C71">
        <w:rPr>
          <w:rFonts w:hint="cs"/>
          <w:rtl/>
        </w:rPr>
        <w:t xml:space="preserve">يجبر </w:t>
      </w:r>
      <w:r>
        <w:rPr>
          <w:rFonts w:hint="cs"/>
          <w:rtl/>
        </w:rPr>
        <w:t xml:space="preserve">أي شخص على القيام بغير ما يتطلبه القانون الذي ينص على حق الأفراد في التمتع بالحماية الكاملة من القانون وفي الحصول على معاملة تتفق مع القانون. وهو حكم يعادل مبدأ </w:t>
      </w:r>
      <w:r>
        <w:rPr>
          <w:rFonts w:hint="eastAsia"/>
          <w:rtl/>
        </w:rPr>
        <w:t>”حكم القانون</w:t>
      </w:r>
      <w:r>
        <w:rPr>
          <w:rFonts w:hint="cs"/>
          <w:rtl/>
        </w:rPr>
        <w:t>“، وفقا لملاحظة المحكمة العليا.</w:t>
      </w:r>
    </w:p>
    <w:p w:rsidR="00C67DF8" w:rsidRDefault="00C67DF8" w:rsidP="00C67DF8">
      <w:pPr>
        <w:pStyle w:val="SingleTxt"/>
        <w:tabs>
          <w:tab w:val="clear" w:pos="1930"/>
          <w:tab w:val="left" w:pos="2125"/>
        </w:tabs>
        <w:rPr>
          <w:rFonts w:hint="cs"/>
          <w:rtl/>
        </w:rPr>
      </w:pPr>
      <w:r>
        <w:rPr>
          <w:rFonts w:hint="cs"/>
          <w:rtl/>
        </w:rPr>
        <w:t>468 -</w:t>
      </w:r>
      <w:r>
        <w:rPr>
          <w:rFonts w:hint="cs"/>
          <w:rtl/>
        </w:rPr>
        <w:tab/>
        <w:t>ويدعم الإطار الوارد في المواد 3 و4 و25، موادا محددة تقرر مبدأ عدم التمييز في مسائل من قبيل حيازة الممتلكات، والاختيار الحر للمهنة، وعدم التمييز في العمل الحكومي وما إلى ذلك. وقد تمت مناقشة هذه المواد في فصول سابقة من هذا التقرير.</w:t>
      </w:r>
    </w:p>
    <w:p w:rsidR="00C67DF8" w:rsidRDefault="00C67DF8" w:rsidP="00C67DF8">
      <w:pPr>
        <w:pStyle w:val="SingleTxt"/>
        <w:tabs>
          <w:tab w:val="clear" w:pos="1930"/>
          <w:tab w:val="left" w:pos="2125"/>
        </w:tabs>
        <w:rPr>
          <w:rFonts w:hint="cs"/>
          <w:rtl/>
        </w:rPr>
      </w:pPr>
      <w:r>
        <w:rPr>
          <w:rFonts w:hint="cs"/>
          <w:rtl/>
        </w:rPr>
        <w:t>469 -</w:t>
      </w:r>
      <w:r>
        <w:rPr>
          <w:rFonts w:hint="cs"/>
          <w:rtl/>
        </w:rPr>
        <w:tab/>
        <w:t>وتمثل المادتان 27 و34 الجزء الأخير من نظام عدم التمييز، فيما يتصل بالمرأة، وتسمح هاتان المادتان بالعمل الإيجابي لصالح المرأة، والمادة 35 التي تمنح حماية خاصة للأسرة والزواج والأم والطفل. وبصورة عامة، يمكن القول بأن الدستور يضع نظاما شاملا لعدم التمييز.</w:t>
      </w:r>
    </w:p>
    <w:p w:rsidR="00C67DF8" w:rsidRDefault="00C67DF8" w:rsidP="00C67DF8">
      <w:pPr>
        <w:pStyle w:val="SingleTxt"/>
        <w:tabs>
          <w:tab w:val="clear" w:pos="1930"/>
          <w:tab w:val="left" w:pos="2125"/>
        </w:tabs>
        <w:rPr>
          <w:rFonts w:hint="cs"/>
          <w:rtl/>
        </w:rPr>
      </w:pPr>
      <w:r>
        <w:rPr>
          <w:rFonts w:hint="cs"/>
          <w:rtl/>
        </w:rPr>
        <w:t>470 -</w:t>
      </w:r>
      <w:r>
        <w:rPr>
          <w:rFonts w:hint="cs"/>
          <w:rtl/>
        </w:rPr>
        <w:tab/>
        <w:t>ولاحظت المحكمة العليا لباكستان أن الحقوق والمبادئ المجسدة في الديباجة وفي الفصل الخاص بمبادئ السياسة توسع نطاق الحقوق والحريات الأساسية المكفولة في الدستور وتدعمها.</w:t>
      </w:r>
    </w:p>
    <w:p w:rsidR="00C67DF8" w:rsidRDefault="00C67DF8" w:rsidP="00C67DF8">
      <w:pPr>
        <w:pStyle w:val="SingleTxt"/>
        <w:tabs>
          <w:tab w:val="clear" w:pos="1930"/>
          <w:tab w:val="left" w:pos="2125"/>
        </w:tabs>
        <w:rPr>
          <w:rFonts w:hint="cs"/>
          <w:rtl/>
        </w:rPr>
      </w:pPr>
      <w:r>
        <w:rPr>
          <w:rFonts w:hint="cs"/>
          <w:rtl/>
        </w:rPr>
        <w:t>471 -</w:t>
      </w:r>
      <w:r>
        <w:rPr>
          <w:rFonts w:hint="cs"/>
          <w:rtl/>
        </w:rPr>
        <w:tab/>
        <w:t>ويتمتع النساء والرجال بالمساواة في المسائل القانونية والمدنية، سواء كانت متصلة بإبرام العقود أو إدارة الممتلكات أو العمل في المحاكم أو إقامة العدل. وهناك عدد كبير من النساء في وظائف المحاميات وقضاة الصلح والقضاة. وتستطيع أي امرأة أن تقيم دعوى أو أن تقام دعوى ضدها.</w:t>
      </w:r>
    </w:p>
    <w:p w:rsidR="00C67DF8" w:rsidRPr="00EA001E"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تمنح الدول الأطراف المرأة، في الشؤون القانونية،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C67DF8" w:rsidRDefault="00C67DF8" w:rsidP="00C67DF8">
      <w:pPr>
        <w:pStyle w:val="SingleTxt"/>
        <w:tabs>
          <w:tab w:val="clear" w:pos="1930"/>
          <w:tab w:val="left" w:pos="2125"/>
        </w:tabs>
        <w:rPr>
          <w:rFonts w:hint="cs"/>
          <w:rtl/>
        </w:rPr>
      </w:pPr>
      <w:r>
        <w:rPr>
          <w:rFonts w:hint="cs"/>
          <w:rtl/>
        </w:rPr>
        <w:t>472 -</w:t>
      </w:r>
      <w:r>
        <w:rPr>
          <w:rFonts w:hint="cs"/>
          <w:rtl/>
        </w:rPr>
        <w:tab/>
        <w:t>للمرأة أهلية قانونية مساوية لأهلية الرجل وتتمتع بنفس الفرص لممارسة هذه الأهلية.</w:t>
      </w:r>
    </w:p>
    <w:p w:rsidR="00C67DF8" w:rsidRDefault="00C67DF8" w:rsidP="00C67DF8">
      <w:pPr>
        <w:pStyle w:val="SingleTxt"/>
        <w:tabs>
          <w:tab w:val="clear" w:pos="1930"/>
          <w:tab w:val="left" w:pos="2125"/>
        </w:tabs>
        <w:rPr>
          <w:rFonts w:hint="cs"/>
          <w:rtl/>
        </w:rPr>
      </w:pPr>
      <w:r>
        <w:rPr>
          <w:rFonts w:hint="cs"/>
          <w:rtl/>
        </w:rPr>
        <w:t>473 -</w:t>
      </w:r>
      <w:r>
        <w:rPr>
          <w:rFonts w:hint="cs"/>
          <w:rtl/>
        </w:rPr>
        <w:tab/>
        <w:t xml:space="preserve">ووفقا لقانون ملكية المرأة المتزوجة، لسنة 1874، للمرأة المتزوجة الحق في الملكية المنفصلة وفي اتخاذ إجراءات قانونية باسمها. وتعتبر المرأة المتزوجة </w:t>
      </w:r>
      <w:proofErr w:type="spellStart"/>
      <w:r>
        <w:rPr>
          <w:rFonts w:hint="cs"/>
          <w:rtl/>
        </w:rPr>
        <w:t>مسؤولة</w:t>
      </w:r>
      <w:proofErr w:type="spellEnd"/>
      <w:r>
        <w:rPr>
          <w:rFonts w:hint="cs"/>
          <w:rtl/>
        </w:rPr>
        <w:t xml:space="preserve"> عن العقود التي تبرمها بشأن ممتلكاتها. ومن الناحية القانونية تتمتع المرأة، وفقا للشريعة الإسلامية، بنفس الحقوق التي للرجل في ملكية وحيازة الممتلكات وإدارتها والتصرف فيها.</w:t>
      </w:r>
    </w:p>
    <w:p w:rsidR="00C67DF8" w:rsidRDefault="00C67DF8" w:rsidP="009F3C71">
      <w:pPr>
        <w:pStyle w:val="SingleTxt"/>
        <w:tabs>
          <w:tab w:val="clear" w:pos="1930"/>
          <w:tab w:val="left" w:pos="2125"/>
        </w:tabs>
        <w:rPr>
          <w:rFonts w:hint="cs"/>
          <w:rtl/>
        </w:rPr>
      </w:pPr>
      <w:r>
        <w:rPr>
          <w:rFonts w:hint="cs"/>
          <w:rtl/>
        </w:rPr>
        <w:t>474 -</w:t>
      </w:r>
      <w:r>
        <w:rPr>
          <w:rFonts w:hint="cs"/>
          <w:rtl/>
        </w:rPr>
        <w:tab/>
        <w:t>وفي حالات مثول المرأة في المحاكم، يمكن أن تعيِّن ممثليها القانونيين الخاصين. ويحق للمحامي</w:t>
      </w:r>
      <w:r w:rsidR="009F3C71">
        <w:rPr>
          <w:rFonts w:hint="cs"/>
          <w:rtl/>
        </w:rPr>
        <w:t>ة</w:t>
      </w:r>
      <w:r>
        <w:rPr>
          <w:rFonts w:hint="cs"/>
          <w:rtl/>
        </w:rPr>
        <w:t xml:space="preserve"> تمثيل موكليها أمام المحاكم ومحاكم الاستئناف. وتعيَّن المرأة في مناصب القضاء. ويوجد، حاليا، قاضيات على جميع مستويات السلطة التشريعية، باستثناء المحكمة العليا. ولا يوجد حاجز أمام تعيين المرأة كقاضية في المحكمة العليا. ولكن لم تعين امرأة في هذا المنصب بعد. وقامت حكومة باكستان، مؤخرا، بترشيح قاضية في محكمة </w:t>
      </w:r>
      <w:proofErr w:type="spellStart"/>
      <w:r>
        <w:rPr>
          <w:rFonts w:hint="cs"/>
          <w:rtl/>
        </w:rPr>
        <w:t>بشاور</w:t>
      </w:r>
      <w:proofErr w:type="spellEnd"/>
      <w:r>
        <w:rPr>
          <w:rFonts w:hint="cs"/>
          <w:rtl/>
        </w:rPr>
        <w:t xml:space="preserve"> العليا لعضوية المحكمة </w:t>
      </w:r>
      <w:r w:rsidR="009F3C71">
        <w:rPr>
          <w:rFonts w:hint="cs"/>
          <w:rtl/>
        </w:rPr>
        <w:t xml:space="preserve">الجنائية </w:t>
      </w:r>
      <w:r>
        <w:rPr>
          <w:rFonts w:hint="cs"/>
          <w:rtl/>
        </w:rPr>
        <w:t>الدولية لرواندا.</w:t>
      </w:r>
    </w:p>
    <w:p w:rsidR="00C67DF8" w:rsidRDefault="00C67DF8" w:rsidP="009F3C71">
      <w:pPr>
        <w:pStyle w:val="SingleTxt"/>
        <w:tabs>
          <w:tab w:val="clear" w:pos="1930"/>
          <w:tab w:val="left" w:pos="2125"/>
        </w:tabs>
        <w:rPr>
          <w:rFonts w:hint="cs"/>
          <w:rtl/>
        </w:rPr>
      </w:pPr>
      <w:r>
        <w:rPr>
          <w:rFonts w:hint="cs"/>
          <w:rtl/>
        </w:rPr>
        <w:t>475 -</w:t>
      </w:r>
      <w:r>
        <w:rPr>
          <w:rFonts w:hint="cs"/>
          <w:rtl/>
        </w:rPr>
        <w:tab/>
        <w:t>ويتمتع الرجل والمرأة بنفس الحقوق فيما يتصل بإبرام العقود الخاصة بجميع المسائل المدنية، باستثناء تمييز ثانوي فيما يتصل بالشهادة في عقد قانوني، بموجب المادة 17-2 من قانون الشهادة ال</w:t>
      </w:r>
      <w:r w:rsidR="009F3C71">
        <w:rPr>
          <w:rFonts w:hint="cs"/>
          <w:rtl/>
        </w:rPr>
        <w:t>ت</w:t>
      </w:r>
      <w:r>
        <w:rPr>
          <w:rFonts w:hint="cs"/>
          <w:rtl/>
        </w:rPr>
        <w:t xml:space="preserve">ي </w:t>
      </w:r>
      <w:r w:rsidR="009F3C71">
        <w:rPr>
          <w:rFonts w:hint="cs"/>
          <w:rtl/>
        </w:rPr>
        <w:t>ت</w:t>
      </w:r>
      <w:r>
        <w:rPr>
          <w:rFonts w:hint="cs"/>
          <w:rtl/>
        </w:rPr>
        <w:t>تطلب وجود شاهد ذكر.</w:t>
      </w:r>
    </w:p>
    <w:p w:rsidR="00C67DF8" w:rsidRPr="002C4A57"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C67DF8" w:rsidRDefault="00C67DF8" w:rsidP="00C67DF8">
      <w:pPr>
        <w:pStyle w:val="SingleTxt"/>
        <w:tabs>
          <w:tab w:val="clear" w:pos="1930"/>
          <w:tab w:val="left" w:pos="2125"/>
        </w:tabs>
        <w:rPr>
          <w:rFonts w:hint="cs"/>
          <w:rtl/>
        </w:rPr>
      </w:pPr>
      <w:r>
        <w:rPr>
          <w:rFonts w:hint="cs"/>
          <w:rtl/>
        </w:rPr>
        <w:t>476 -</w:t>
      </w:r>
      <w:r>
        <w:rPr>
          <w:rFonts w:hint="cs"/>
          <w:rtl/>
        </w:rPr>
        <w:tab/>
        <w:t>المسألة التي يتم التطرق لها هنا هي العقود والصكوك الأخرى الخاصة الرامية إلى الحد من الأهلية القانونية للمرأة. وهذه العقود والصكوك ليست لها سلطة تنفيذية قانونية وليس لها مقام. غير أنه يمكن ملاحظة أن العقود التي يسمح فيها طرف، رجلا كان أو امرأة، لطرف آخر بممارسة بعض الحقوق القانونية نيابة عنه/عنها، لا تدخل في نطاق هذه المادة. وبذلك لا تعاني الزوجة التي تسمح لزوجها بإدارة ممتلكاتها نيابة عنها من انتقاص في أهليتها القانونية.</w:t>
      </w:r>
    </w:p>
    <w:p w:rsidR="00C67DF8" w:rsidRPr="00E13F6C"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تمنح الدول الأطراف الرجل والمرأة نفس الحقوق فيما يتعلق بالقانون المتصل بحركة الأشخاص وحرية اختيار محل سكناهم وإقامتهم</w:t>
      </w:r>
    </w:p>
    <w:p w:rsidR="00C67DF8" w:rsidRDefault="00C67DF8" w:rsidP="009F3C71">
      <w:pPr>
        <w:pStyle w:val="SingleTxt"/>
        <w:tabs>
          <w:tab w:val="clear" w:pos="1930"/>
          <w:tab w:val="left" w:pos="2125"/>
        </w:tabs>
        <w:rPr>
          <w:rFonts w:hint="cs"/>
          <w:rtl/>
        </w:rPr>
      </w:pPr>
      <w:r>
        <w:rPr>
          <w:rFonts w:hint="cs"/>
          <w:rtl/>
        </w:rPr>
        <w:t>477 -</w:t>
      </w:r>
      <w:r>
        <w:rPr>
          <w:rFonts w:hint="cs"/>
          <w:rtl/>
        </w:rPr>
        <w:tab/>
        <w:t>حرية الحركة كاملة في باكستان. ولجميع مواطني باكستان الحق في اختيار محل سكناهم وإقامتهم، بصرف النظر عن نوع جنسهم. وليس هناك تمييز بين الرجال والنساء في هذا المجال. ويحظر، أحيانا، دخول شخص معين في منطقة معينة ل</w:t>
      </w:r>
      <w:r w:rsidR="009F3C71">
        <w:rPr>
          <w:rFonts w:hint="cs"/>
          <w:rtl/>
        </w:rPr>
        <w:t>غ</w:t>
      </w:r>
      <w:r>
        <w:rPr>
          <w:rFonts w:hint="cs"/>
          <w:rtl/>
        </w:rPr>
        <w:t xml:space="preserve">رض المحافظة على القانون والنظام. وعلى سبيل المثال، قد يمنع دخول قادة سياسيين معينين لفترة محددة، إلى منطقة يسودها التوتر السياسي مع </w:t>
      </w:r>
      <w:r w:rsidR="009F3C71">
        <w:rPr>
          <w:rFonts w:hint="cs"/>
          <w:rtl/>
        </w:rPr>
        <w:t>خط</w:t>
      </w:r>
      <w:r>
        <w:rPr>
          <w:rFonts w:hint="cs"/>
          <w:rtl/>
        </w:rPr>
        <w:t xml:space="preserve">ر استعمال العنف ولكن إذا كانت المنطقة المذكورة هي منطقة إقامة الشخص المعني، لا يجوز منعه من دخولها. </w:t>
      </w:r>
    </w:p>
    <w:p w:rsidR="00C67DF8" w:rsidRPr="002673E7"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قوانين الحدود والقصاص والدية الإسلامية</w:t>
      </w:r>
    </w:p>
    <w:p w:rsidR="00C67DF8" w:rsidRDefault="00C67DF8" w:rsidP="00C67DF8">
      <w:pPr>
        <w:pStyle w:val="SingleTxt"/>
        <w:tabs>
          <w:tab w:val="clear" w:pos="1930"/>
          <w:tab w:val="left" w:pos="2125"/>
        </w:tabs>
        <w:rPr>
          <w:rFonts w:hint="cs"/>
          <w:rtl/>
        </w:rPr>
      </w:pPr>
      <w:r>
        <w:rPr>
          <w:rFonts w:hint="cs"/>
          <w:rtl/>
        </w:rPr>
        <w:t>478 -</w:t>
      </w:r>
      <w:r>
        <w:rPr>
          <w:rFonts w:hint="cs"/>
          <w:rtl/>
        </w:rPr>
        <w:tab/>
        <w:t xml:space="preserve">صدرت قوانين الحدود الإسلامية في سنة 1979 وأدرجت في القانون الجنائي الباكستاني. وتشمل هذه القوانين: قانون الجرائم المرتكبة ضد الممتلكات (إقامة الحدود)، لسنة 1979؛ وقانون (إقامة حد) جرائم </w:t>
      </w:r>
      <w:proofErr w:type="spellStart"/>
      <w:r>
        <w:rPr>
          <w:rFonts w:hint="cs"/>
          <w:rtl/>
        </w:rPr>
        <w:t>الزنى</w:t>
      </w:r>
      <w:proofErr w:type="spellEnd"/>
      <w:r>
        <w:rPr>
          <w:rFonts w:hint="cs"/>
          <w:rtl/>
        </w:rPr>
        <w:t>، لسنة 1979؛ وقانون (إقامة حد) جرائم القذف؛ لسنة 1979؛ وقانون تنفيذ عقوبة الجلد لسنة 1979.</w:t>
      </w:r>
    </w:p>
    <w:p w:rsidR="00C67DF8" w:rsidRDefault="00C67DF8" w:rsidP="00C67DF8">
      <w:pPr>
        <w:pStyle w:val="SingleTxt"/>
        <w:tabs>
          <w:tab w:val="clear" w:pos="1930"/>
          <w:tab w:val="left" w:pos="2125"/>
        </w:tabs>
        <w:rPr>
          <w:rFonts w:hint="cs"/>
          <w:rtl/>
        </w:rPr>
      </w:pPr>
      <w:r>
        <w:rPr>
          <w:rFonts w:hint="cs"/>
          <w:rtl/>
        </w:rPr>
        <w:t>479 -</w:t>
      </w:r>
      <w:r>
        <w:rPr>
          <w:rFonts w:hint="cs"/>
          <w:rtl/>
        </w:rPr>
        <w:tab/>
        <w:t xml:space="preserve">ويرى قطاع كبير من السكان، وخاصة منظمات حقوق الإنسان وحقوق المرأة الناشطون فيها، إن هذه القوانين، وخاصة قانون (إقامة حدود) جرائم </w:t>
      </w:r>
      <w:proofErr w:type="spellStart"/>
      <w:r>
        <w:rPr>
          <w:rFonts w:hint="cs"/>
          <w:rtl/>
        </w:rPr>
        <w:t>الزنى</w:t>
      </w:r>
      <w:proofErr w:type="spellEnd"/>
      <w:r>
        <w:rPr>
          <w:rFonts w:hint="cs"/>
          <w:rtl/>
        </w:rPr>
        <w:t>، تعتبر تمييزية ضد المرأة. غير أن قطاعا هاما م</w:t>
      </w:r>
      <w:r w:rsidR="009F3C71">
        <w:rPr>
          <w:rFonts w:hint="cs"/>
          <w:rtl/>
        </w:rPr>
        <w:t>ن</w:t>
      </w:r>
      <w:r>
        <w:rPr>
          <w:rFonts w:hint="cs"/>
          <w:rtl/>
        </w:rPr>
        <w:t xml:space="preserve"> السكان، يشمل عدد كبير من النساء، يعتقد أيضا أن هذه القوانين مرغوبة ولا عيب فيها.</w:t>
      </w:r>
    </w:p>
    <w:p w:rsidR="00C67DF8" w:rsidRDefault="00C67DF8" w:rsidP="00C67DF8">
      <w:pPr>
        <w:pStyle w:val="SingleTxt"/>
        <w:tabs>
          <w:tab w:val="clear" w:pos="1930"/>
          <w:tab w:val="left" w:pos="2125"/>
        </w:tabs>
        <w:rPr>
          <w:rFonts w:hint="cs"/>
          <w:rtl/>
        </w:rPr>
      </w:pPr>
      <w:r>
        <w:rPr>
          <w:rFonts w:hint="cs"/>
          <w:rtl/>
        </w:rPr>
        <w:t>480 -</w:t>
      </w:r>
      <w:r>
        <w:rPr>
          <w:rFonts w:hint="cs"/>
          <w:rtl/>
        </w:rPr>
        <w:tab/>
        <w:t>ويعتقد الذين يساورهم القلق إزاء هذا القانون أنه يوفر لمرتكبي العنف الجنسي ضد المرأة حصانة من المحاكمة والعقاب أو يزيد من صعوبة هذين الأمرين. وينص القانون على أنه لا يمكن تحديد جريمة الاغتصاب إلا بحضور 4 شهود من المسلمين الذكور أو في حالة اعتراف المتهم نفسه بالجريمة. فإذا اتهمت امرأة شخصا بالاغتصاب ولم تستطع استيفاء وقائع الإثبات، تعرضت للمقاضاة عن ممارسة الاتصال الجنسي غير المشروع برضاها.</w:t>
      </w:r>
    </w:p>
    <w:p w:rsidR="00C67DF8" w:rsidRDefault="00C67DF8" w:rsidP="00C67DF8">
      <w:pPr>
        <w:pStyle w:val="SingleTxt"/>
        <w:tabs>
          <w:tab w:val="clear" w:pos="1930"/>
          <w:tab w:val="left" w:pos="2125"/>
        </w:tabs>
        <w:rPr>
          <w:rFonts w:hint="cs"/>
          <w:rtl/>
        </w:rPr>
      </w:pPr>
      <w:r>
        <w:rPr>
          <w:rFonts w:hint="cs"/>
          <w:rtl/>
        </w:rPr>
        <w:t>481 -</w:t>
      </w:r>
      <w:r>
        <w:rPr>
          <w:rFonts w:hint="cs"/>
          <w:rtl/>
        </w:rPr>
        <w:tab/>
        <w:t xml:space="preserve">ونظرا لوعي اللجنة الوطنية لوضع المرأة بالخلاف المحيط بقوانين الحدود، قامت بدراسة </w:t>
      </w:r>
      <w:proofErr w:type="spellStart"/>
      <w:r>
        <w:rPr>
          <w:rFonts w:hint="cs"/>
          <w:rtl/>
        </w:rPr>
        <w:t>مستفيضه</w:t>
      </w:r>
      <w:proofErr w:type="spellEnd"/>
      <w:r>
        <w:rPr>
          <w:rFonts w:hint="cs"/>
          <w:rtl/>
        </w:rPr>
        <w:t xml:space="preserve"> لهذه القوانين، في الفترة 2002-2003. وبعد النظر في المسألة لمدة تزيد عن سنة، ودراسة جميع جوانب القوانين الأربعة، أوصت اللجنة بضرورة إلغائها، في آب/أغسطس 2003. وصوّت عضوان من أعضاء اللجنة العشرين ضد هذه التوصية.</w:t>
      </w:r>
    </w:p>
    <w:p w:rsidR="00C67DF8" w:rsidRDefault="00C67DF8" w:rsidP="00C67DF8">
      <w:pPr>
        <w:pStyle w:val="SingleTxt"/>
        <w:tabs>
          <w:tab w:val="clear" w:pos="1930"/>
          <w:tab w:val="left" w:pos="2125"/>
        </w:tabs>
        <w:rPr>
          <w:rFonts w:hint="cs"/>
          <w:rtl/>
        </w:rPr>
      </w:pPr>
      <w:r>
        <w:rPr>
          <w:rFonts w:hint="cs"/>
          <w:rtl/>
        </w:rPr>
        <w:t>482 -</w:t>
      </w:r>
      <w:r>
        <w:rPr>
          <w:rFonts w:hint="cs"/>
          <w:rtl/>
        </w:rPr>
        <w:tab/>
        <w:t>وكما سبق ذكره، تختلف الآراء حول قوانين الحدود والقصاص والدية (انظر أدناه) وتستند إلى اقتناع شديد. وتجري مناقشة نشطة حول هذه المسائل، في الوقت الحالي، وبخاصة قوانين الحدود الإسلامية، على إثر التوصيات الخاصة بضرورة إلغائها والمقدمة من اللجنة الوطنية لوضع المرأة. وقد نظمت مظاهرات مؤيدة لهذه القوانين ومناهضة لها.</w:t>
      </w:r>
    </w:p>
    <w:p w:rsidR="00C67DF8" w:rsidRDefault="00C67DF8" w:rsidP="00C67DF8">
      <w:pPr>
        <w:pStyle w:val="SingleTxt"/>
        <w:tabs>
          <w:tab w:val="clear" w:pos="1930"/>
          <w:tab w:val="left" w:pos="2125"/>
        </w:tabs>
        <w:rPr>
          <w:rFonts w:hint="cs"/>
          <w:rtl/>
        </w:rPr>
      </w:pPr>
      <w:r>
        <w:rPr>
          <w:rFonts w:hint="cs"/>
          <w:rtl/>
        </w:rPr>
        <w:t>483 -</w:t>
      </w:r>
      <w:r>
        <w:rPr>
          <w:rFonts w:hint="cs"/>
          <w:rtl/>
        </w:rPr>
        <w:tab/>
        <w:t>ومن الصعب التصدي لمسألة الحدود الإسلامية دون التوصل إلى توافق في الآراء في المجتمع. وتجري مناقشة هذه المسألة في الصحافة، بتفصيل كبير، وخاصة بعد التقرير المقدم من اللجنة الوطنية لوضع المرأة. ويؤمل أن تساعد المناقشة المستفيضة لأوجه القصور في القانون على تمهيد الطريق لتسوية المسألة بما يرضي جميع الأطراف المعنية.</w:t>
      </w:r>
    </w:p>
    <w:p w:rsidR="00C67DF8" w:rsidRDefault="00C67DF8" w:rsidP="00C67DF8">
      <w:pPr>
        <w:pStyle w:val="SingleTxt"/>
        <w:tabs>
          <w:tab w:val="clear" w:pos="1930"/>
          <w:tab w:val="left" w:pos="2125"/>
        </w:tabs>
        <w:rPr>
          <w:rFonts w:hint="cs"/>
          <w:rtl/>
        </w:rPr>
      </w:pPr>
      <w:r>
        <w:rPr>
          <w:rFonts w:hint="cs"/>
          <w:rtl/>
        </w:rPr>
        <w:t>484 -</w:t>
      </w:r>
      <w:r>
        <w:rPr>
          <w:rFonts w:hint="cs"/>
          <w:rtl/>
        </w:rPr>
        <w:tab/>
        <w:t xml:space="preserve">وبالإضافة إلى قوانين الحدود الإسلامية، يخضع قانون القصاص </w:t>
      </w:r>
      <w:r w:rsidR="009F3C71">
        <w:rPr>
          <w:rFonts w:hint="cs"/>
          <w:rtl/>
        </w:rPr>
        <w:t>(</w:t>
      </w:r>
      <w:r>
        <w:rPr>
          <w:rFonts w:hint="cs"/>
          <w:rtl/>
        </w:rPr>
        <w:t>التكفير من الذنب</w:t>
      </w:r>
      <w:r w:rsidR="009F3C71">
        <w:rPr>
          <w:rFonts w:hint="cs"/>
          <w:rtl/>
        </w:rPr>
        <w:t>)</w:t>
      </w:r>
      <w:r>
        <w:rPr>
          <w:rFonts w:hint="cs"/>
          <w:rtl/>
        </w:rPr>
        <w:t xml:space="preserve"> والدية (التعويض) أيضا للمناقشة.</w:t>
      </w:r>
    </w:p>
    <w:p w:rsidR="00C67DF8" w:rsidRDefault="00C67DF8" w:rsidP="009F3C71">
      <w:pPr>
        <w:pStyle w:val="SingleTxt"/>
        <w:tabs>
          <w:tab w:val="clear" w:pos="1930"/>
          <w:tab w:val="left" w:pos="2125"/>
        </w:tabs>
        <w:rPr>
          <w:rFonts w:hint="cs"/>
          <w:rtl/>
        </w:rPr>
      </w:pPr>
      <w:r>
        <w:rPr>
          <w:rFonts w:hint="cs"/>
          <w:rtl/>
        </w:rPr>
        <w:t>485 -</w:t>
      </w:r>
      <w:r>
        <w:rPr>
          <w:rFonts w:hint="cs"/>
          <w:rtl/>
        </w:rPr>
        <w:tab/>
        <w:t xml:space="preserve">وبموجب قانون القصاص والدية، يحق للضحية أو لورثتها تحديد طلب القصاص أو الدية أو العفو عن المتهم. فإذا تنازلت الضحية أو وليها عن القصاص أو قرر القضاء عدم انطباقه، يخضع المذنب </w:t>
      </w:r>
      <w:proofErr w:type="spellStart"/>
      <w:r>
        <w:rPr>
          <w:rFonts w:hint="cs"/>
          <w:rtl/>
        </w:rPr>
        <w:t>ل</w:t>
      </w:r>
      <w:r w:rsidR="009F3C71">
        <w:rPr>
          <w:rFonts w:hint="cs"/>
          <w:rtl/>
        </w:rPr>
        <w:t>ل</w:t>
      </w:r>
      <w:r>
        <w:rPr>
          <w:rFonts w:hint="cs"/>
          <w:rtl/>
        </w:rPr>
        <w:t>تعزي</w:t>
      </w:r>
      <w:r w:rsidR="009F3C71">
        <w:rPr>
          <w:rFonts w:hint="cs"/>
          <w:rtl/>
        </w:rPr>
        <w:t>ر</w:t>
      </w:r>
      <w:proofErr w:type="spellEnd"/>
      <w:r>
        <w:rPr>
          <w:rFonts w:hint="cs"/>
          <w:rtl/>
        </w:rPr>
        <w:t xml:space="preserve"> أو العقوبة التقديرية، من قبيل السجن. ويقال إن القضاة لهم سلطة تحديد مدى العقوبة وكذلك تقرير معاقبة المجرم من عدمه.</w:t>
      </w:r>
    </w:p>
    <w:p w:rsidR="00C67DF8" w:rsidRDefault="00C67DF8" w:rsidP="009F3C71">
      <w:pPr>
        <w:pStyle w:val="SingleTxt"/>
        <w:tabs>
          <w:tab w:val="clear" w:pos="1930"/>
          <w:tab w:val="left" w:pos="2125"/>
        </w:tabs>
        <w:rPr>
          <w:rFonts w:hint="cs"/>
          <w:rtl/>
        </w:rPr>
      </w:pPr>
      <w:r>
        <w:rPr>
          <w:rFonts w:hint="cs"/>
          <w:rtl/>
        </w:rPr>
        <w:t>486 -</w:t>
      </w:r>
      <w:r>
        <w:rPr>
          <w:rFonts w:hint="cs"/>
          <w:rtl/>
        </w:rPr>
        <w:tab/>
        <w:t>وبموجب قانون القصاص والدية، لا يخضع القتل العمد للقصاص عندما يكون أحد ولاة الضحية سليلا مباشرا للمذنب</w:t>
      </w:r>
      <w:r>
        <w:rPr>
          <w:rFonts w:hint="eastAsia"/>
          <w:rtl/>
        </w:rPr>
        <w:t xml:space="preserve">“. </w:t>
      </w:r>
      <w:r>
        <w:rPr>
          <w:rFonts w:hint="cs"/>
          <w:rtl/>
        </w:rPr>
        <w:t xml:space="preserve">وبذلك تعفى الحالات التي يقوم فيها الزوج بقتل زوجته من القصاص أو العقوبة القصوى (أي الإعدام) عن القتل، إذا كان للزوجين أبناء، حيث أن </w:t>
      </w:r>
      <w:proofErr w:type="spellStart"/>
      <w:r>
        <w:rPr>
          <w:rFonts w:hint="cs"/>
          <w:rtl/>
        </w:rPr>
        <w:t>الإبن</w:t>
      </w:r>
      <w:proofErr w:type="spellEnd"/>
      <w:r>
        <w:rPr>
          <w:rFonts w:hint="cs"/>
          <w:rtl/>
        </w:rPr>
        <w:t xml:space="preserve"> أو ولي الضحية سليل مباشر للمذنب. غير أن المحكمة يمكنها في هذه الحالة فرض عقوبة </w:t>
      </w:r>
      <w:proofErr w:type="spellStart"/>
      <w:r>
        <w:rPr>
          <w:rFonts w:hint="cs"/>
          <w:rtl/>
        </w:rPr>
        <w:t>التعزي</w:t>
      </w:r>
      <w:r w:rsidR="009F3C71">
        <w:rPr>
          <w:rFonts w:hint="cs"/>
          <w:rtl/>
        </w:rPr>
        <w:t>ر</w:t>
      </w:r>
      <w:proofErr w:type="spellEnd"/>
      <w:r>
        <w:rPr>
          <w:rFonts w:hint="cs"/>
          <w:rtl/>
        </w:rPr>
        <w:t xml:space="preserve"> وأقصاها السجن لمدة 14 سنة.</w:t>
      </w:r>
    </w:p>
    <w:p w:rsidR="00C67DF8" w:rsidRDefault="00C67DF8" w:rsidP="00C67DF8">
      <w:pPr>
        <w:pStyle w:val="SingleTxt"/>
        <w:tabs>
          <w:tab w:val="clear" w:pos="1930"/>
          <w:tab w:val="left" w:pos="2125"/>
        </w:tabs>
        <w:rPr>
          <w:rFonts w:hint="cs"/>
          <w:rtl/>
        </w:rPr>
      </w:pPr>
      <w:r>
        <w:rPr>
          <w:rFonts w:hint="cs"/>
          <w:rtl/>
        </w:rPr>
        <w:t>487 -</w:t>
      </w:r>
      <w:r>
        <w:rPr>
          <w:rFonts w:hint="cs"/>
          <w:rtl/>
        </w:rPr>
        <w:tab/>
        <w:t>ولذلك، يقال إن قانون القصاص والدية يعمل على إفلات المذنبين من العقاب في بعض حالات العنف ضد المرأة، بما في ذلك حالات القتل دفاعا عن الشرف، أو على صعوبة مقاضاة مرتكبي هذا العنف أو إدانتهم.</w:t>
      </w:r>
    </w:p>
    <w:p w:rsidR="00C67DF8" w:rsidRDefault="00C67DF8" w:rsidP="00C67DF8">
      <w:pPr>
        <w:pStyle w:val="SingleTxt"/>
        <w:tabs>
          <w:tab w:val="clear" w:pos="1930"/>
          <w:tab w:val="left" w:pos="2125"/>
        </w:tabs>
        <w:rPr>
          <w:rFonts w:hint="cs"/>
          <w:rtl/>
        </w:rPr>
      </w:pPr>
      <w:r>
        <w:rPr>
          <w:rFonts w:hint="cs"/>
          <w:rtl/>
        </w:rPr>
        <w:t>488 -</w:t>
      </w:r>
      <w:r>
        <w:rPr>
          <w:rFonts w:hint="cs"/>
          <w:rtl/>
        </w:rPr>
        <w:tab/>
        <w:t xml:space="preserve">ويرى بعض الناشطين في مجال حقوق الإنسان أن موادا معينة من القانون الجنائي الباكستاني المتصلة بالقصاص والدية تعتبر تمييزية ضد المرأة، ومنها المادة 310 (1) التي تتناول بدل الصلح، ويعني </w:t>
      </w:r>
      <w:r>
        <w:rPr>
          <w:rFonts w:hint="eastAsia"/>
          <w:rtl/>
        </w:rPr>
        <w:t>”التعويض المتفق عليه بين الطرفين</w:t>
      </w:r>
      <w:r>
        <w:rPr>
          <w:rFonts w:hint="cs"/>
          <w:rtl/>
        </w:rPr>
        <w:t xml:space="preserve">“ الذي يدفعه القاتل لأقرب أقارب الضحية للحصول على العفو. وتنص الفقرة 2 من المادة 310 (أ) على شرط </w:t>
      </w:r>
      <w:r>
        <w:rPr>
          <w:rFonts w:hint="eastAsia"/>
          <w:rtl/>
        </w:rPr>
        <w:t>”ألا يعتبر تزويج إحدى النساء بدل صلح سليم</w:t>
      </w:r>
      <w:r>
        <w:rPr>
          <w:rFonts w:hint="cs"/>
          <w:rtl/>
        </w:rPr>
        <w:t>“.</w:t>
      </w:r>
    </w:p>
    <w:p w:rsidR="00C67DF8" w:rsidRDefault="00C67DF8" w:rsidP="00C67DF8">
      <w:pPr>
        <w:pStyle w:val="SingleTxt"/>
        <w:tabs>
          <w:tab w:val="clear" w:pos="1930"/>
          <w:tab w:val="left" w:pos="2125"/>
        </w:tabs>
        <w:rPr>
          <w:rFonts w:hint="cs"/>
          <w:rtl/>
        </w:rPr>
      </w:pPr>
      <w:r>
        <w:rPr>
          <w:rFonts w:hint="cs"/>
          <w:rtl/>
        </w:rPr>
        <w:t>489 -</w:t>
      </w:r>
      <w:r>
        <w:rPr>
          <w:rFonts w:hint="cs"/>
          <w:rtl/>
        </w:rPr>
        <w:tab/>
        <w:t>وكان القصد الحقيقي للمشرعين هو عدم تشجيع تزويج النساء كتعويض (بدل صلح). بيد أن الصيغة تبدو وكأنها تحلِّل تزويج النساء وتقول في الوقت نفسه إن هذا لا يكفي، في حد ذاته، بل ينبغي تقديم تعويض إضافي نقدا أو عينا أو الاثنين معا.</w:t>
      </w:r>
    </w:p>
    <w:p w:rsidR="00C67DF8" w:rsidRDefault="00C67DF8" w:rsidP="00C67DF8">
      <w:pPr>
        <w:pStyle w:val="SingleTxt"/>
        <w:tabs>
          <w:tab w:val="clear" w:pos="1930"/>
          <w:tab w:val="left" w:pos="2125"/>
        </w:tabs>
        <w:rPr>
          <w:rFonts w:hint="cs"/>
          <w:rtl/>
        </w:rPr>
      </w:pPr>
      <w:r>
        <w:rPr>
          <w:rFonts w:hint="cs"/>
          <w:rtl/>
        </w:rPr>
        <w:t>490 -</w:t>
      </w:r>
      <w:r>
        <w:rPr>
          <w:rFonts w:hint="cs"/>
          <w:rtl/>
        </w:rPr>
        <w:tab/>
        <w:t>وقد أزي</w:t>
      </w:r>
      <w:r w:rsidR="009F3C71">
        <w:rPr>
          <w:rFonts w:hint="cs"/>
          <w:rtl/>
        </w:rPr>
        <w:t>ل</w:t>
      </w:r>
      <w:r>
        <w:rPr>
          <w:rFonts w:hint="cs"/>
          <w:rtl/>
        </w:rPr>
        <w:t>ت الثغرات الموجودة في قانون القصاص والدية، إلى حد كبير، عن خلال إصدار قانون (تعديل) القانون الجنائي لسنة 2004. ويعدل قانون (تعديل) القانون الجنائي المواد 299 و302 و305 و308 و310 و311 و316 و324 و337 و338 من قانون العقوبات الباكستاني، والمادتين 345 و401 من قانون الإجراءات الجنائية، لضمان زيادة فعالية الملاح</w:t>
      </w:r>
      <w:r w:rsidR="009F3C71">
        <w:rPr>
          <w:rFonts w:hint="cs"/>
          <w:rtl/>
        </w:rPr>
        <w:t>ق</w:t>
      </w:r>
      <w:r>
        <w:rPr>
          <w:rFonts w:hint="cs"/>
          <w:rtl/>
        </w:rPr>
        <w:t>ة القانونية لقضايا ما يسمى بالقتل لدواعي الشرف. ويدرج القانون مادة جديدة (المادة 310 ألف)، التي تفرض عقوبة صارمة على تزويج النساء كجزء من حل توافقي لتسوية أي نزاع بين أسرتين أو قبيلتين، وقد تصل هذه العقوبة إلى 10 سنوات ولا تقل عن 3 سنوات. كما أضيفت مادتان لقانون الإجراءات الجنائية.</w:t>
      </w:r>
    </w:p>
    <w:p w:rsidR="00C67DF8" w:rsidRDefault="00C67DF8" w:rsidP="009F3C71">
      <w:pPr>
        <w:pStyle w:val="SingleTxt"/>
        <w:tabs>
          <w:tab w:val="clear" w:pos="1930"/>
          <w:tab w:val="left" w:pos="2125"/>
        </w:tabs>
        <w:rPr>
          <w:rFonts w:hint="cs"/>
          <w:rtl/>
        </w:rPr>
      </w:pPr>
      <w:r>
        <w:rPr>
          <w:rFonts w:hint="cs"/>
          <w:rtl/>
        </w:rPr>
        <w:t>491 -</w:t>
      </w:r>
      <w:r>
        <w:rPr>
          <w:rFonts w:hint="cs"/>
          <w:rtl/>
        </w:rPr>
        <w:tab/>
        <w:t xml:space="preserve">غير أن عددا كبيرا من الناشطين </w:t>
      </w:r>
      <w:r w:rsidR="009F3C71">
        <w:rPr>
          <w:rFonts w:hint="cs"/>
          <w:rtl/>
        </w:rPr>
        <w:t>ي</w:t>
      </w:r>
      <w:r>
        <w:rPr>
          <w:rFonts w:hint="cs"/>
          <w:rtl/>
        </w:rPr>
        <w:t>عتقد أن القانون الجديد لا يعتبر كافيا لإزالة الثغرات القانونية حيث أنه لا يمكن فرض عقوبة كاملة على بعض مرتكبي العنف ضد المرأة.</w:t>
      </w:r>
    </w:p>
    <w:p w:rsidR="00C67DF8" w:rsidRPr="002B5CEC"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السادس عشر</w:t>
      </w:r>
    </w:p>
    <w:p w:rsidR="00C67DF8" w:rsidRDefault="00C67DF8" w:rsidP="00C67DF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16</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(المساواة في المسائل العائلية)</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الأحكام الدستورية</w:t>
      </w:r>
    </w:p>
    <w:p w:rsidR="00C67DF8" w:rsidRDefault="00C67DF8" w:rsidP="00C67DF8">
      <w:pPr>
        <w:pStyle w:val="SingleTxt"/>
        <w:tabs>
          <w:tab w:val="clear" w:pos="1930"/>
          <w:tab w:val="right" w:pos="2125"/>
        </w:tabs>
        <w:rPr>
          <w:rFonts w:hint="cs"/>
          <w:rtl/>
        </w:rPr>
      </w:pPr>
      <w:r>
        <w:rPr>
          <w:rFonts w:hint="cs"/>
          <w:rtl/>
        </w:rPr>
        <w:t>492 -</w:t>
      </w:r>
      <w:r>
        <w:rPr>
          <w:rFonts w:hint="cs"/>
          <w:rtl/>
        </w:rPr>
        <w:tab/>
        <w:t>تعتبر المادة 25 من الدستور، المادة النافذة في هذا المجال. وتعزز المادة 35 (تقوم الدولة بحماية الزواج، والأسرة، والأم والطفل) أحكام المادة 25.</w:t>
      </w:r>
    </w:p>
    <w:p w:rsidR="00C67DF8" w:rsidRPr="00F36254" w:rsidRDefault="00C67DF8" w:rsidP="00C67DF8">
      <w:pPr>
        <w:pStyle w:val="SingleTxt"/>
        <w:tabs>
          <w:tab w:val="clear" w:pos="1930"/>
          <w:tab w:val="right" w:pos="2125"/>
        </w:tabs>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الأحكام القانونية</w:t>
      </w:r>
    </w:p>
    <w:p w:rsidR="00C67DF8" w:rsidRDefault="00C67DF8" w:rsidP="00C67DF8">
      <w:pPr>
        <w:pStyle w:val="SingleTxt"/>
        <w:tabs>
          <w:tab w:val="clear" w:pos="1930"/>
          <w:tab w:val="left" w:pos="2125"/>
        </w:tabs>
        <w:rPr>
          <w:rFonts w:hint="cs"/>
          <w:rtl/>
        </w:rPr>
      </w:pPr>
      <w:r>
        <w:rPr>
          <w:rFonts w:hint="cs"/>
          <w:rtl/>
        </w:rPr>
        <w:t>493 -</w:t>
      </w:r>
      <w:r>
        <w:rPr>
          <w:rFonts w:hint="cs"/>
          <w:rtl/>
        </w:rPr>
        <w:tab/>
        <w:t>تحكم مسائل الأحوال الشخصية في باكستان أحكاما قانونيا منفصلة لكل طائفة دينية وهذه الأحكام سابقة لتاريخ إنشاء باكستان. وتنص المادة 227 (3) على ألا يؤثر قانون الأغلبية على وضع الأقليات.</w:t>
      </w:r>
    </w:p>
    <w:p w:rsidR="00C67DF8" w:rsidRPr="00746C80"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نفس الحق في عقد الزواج</w:t>
      </w:r>
    </w:p>
    <w:p w:rsidR="00C67DF8" w:rsidRDefault="00C67DF8" w:rsidP="00C67DF8">
      <w:pPr>
        <w:pStyle w:val="SingleTxt"/>
        <w:tabs>
          <w:tab w:val="clear" w:pos="1930"/>
          <w:tab w:val="left" w:pos="2125"/>
        </w:tabs>
        <w:rPr>
          <w:rFonts w:hint="cs"/>
          <w:rtl/>
        </w:rPr>
      </w:pPr>
      <w:r>
        <w:rPr>
          <w:rFonts w:hint="cs"/>
          <w:rtl/>
        </w:rPr>
        <w:t>494 -</w:t>
      </w:r>
      <w:r>
        <w:rPr>
          <w:rFonts w:hint="cs"/>
          <w:rtl/>
        </w:rPr>
        <w:tab/>
        <w:t>تكفل قوانين شخصية متنوعة نفس الحق للرجال والنساء في عقد الزواج. وللرجال والنساء حرية عقد الزواج والزواج من أشخاص من اختيارهم. ويقوم الآباء، أحيانا، باختيار الأزواج لأولادهم، في الواقع، وخاصة البنات. وفي أغلب هذه الأحوال، يكون عنصر الإكراه غير موجود من جانب الآباء، بل نجد مراعاة من الأبناء لرغبات آبائهم. ولكن تمارس درجات مختلفة من الضغط، في بعض الحالات. وليس من السهل إثبات ذلك، في كثير من الحالات، مع الأسف. ولا يتقدم أغلب النساء اللاتي يتعرضن لهذا الضغط أو الإكراه بشكوى إلى السلطات بل يفضلن الإذعان لطلب الآباء. وهناك مسألة أخرى هامة وهي أن الآباء لا يمنحون  أبناءهم حق اختيار الزوج، في بعض الأحيان. وينطبق ذلك على البنات. بدرجة أكبر. وفي المناطق المتخلفة من البلد فعندما تصر الفتاة أحيانا على المضي في مخالفة رغبات أسرتها، تنبذ، وتجبر على طلب الطلاق، بل قد تقتل دفاعا عن الشرف في حالات نادرة (نوقشت هذه المسألة في الفصل السابع عشر). ويلقي الزوج الذي اختارته الفتاة أو حبيبها نفس المصير، في بعض الأحيان. ويهدف قانون (تعديل) القانون الجنائي، لسنة 2004، إلى مكافحة هذه الحالات. فإذا سعى هؤلاء الأشخاص إلى الحصول على حماية القانون، تحكم المحاكم دائما لصالح المرأة وتقر حقها في اختيار زوجها.</w:t>
      </w:r>
    </w:p>
    <w:p w:rsidR="00C67DF8" w:rsidRPr="00E40D67"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نفس الحقوق والمسؤوليات أثناء الزواج وعند فسخه</w:t>
      </w:r>
    </w:p>
    <w:p w:rsidR="00C67DF8" w:rsidRDefault="00C67DF8" w:rsidP="00C67DF8">
      <w:pPr>
        <w:pStyle w:val="SingleTxt"/>
        <w:tabs>
          <w:tab w:val="clear" w:pos="1930"/>
          <w:tab w:val="left" w:pos="2125"/>
        </w:tabs>
        <w:rPr>
          <w:rFonts w:hint="cs"/>
          <w:rtl/>
        </w:rPr>
      </w:pPr>
      <w:r>
        <w:rPr>
          <w:rFonts w:hint="cs"/>
          <w:rtl/>
        </w:rPr>
        <w:t>495 -</w:t>
      </w:r>
      <w:r>
        <w:rPr>
          <w:rFonts w:hint="cs"/>
          <w:rtl/>
        </w:rPr>
        <w:tab/>
        <w:t xml:space="preserve">تكفل القوانين هذا الحق أيضا. غير أن هناك فرق في المصطلحات في حالة المسلمين. فالرجل المسلم يطلق زوجته. والزوجة لها حق </w:t>
      </w:r>
      <w:r>
        <w:rPr>
          <w:rFonts w:hint="eastAsia"/>
          <w:rtl/>
        </w:rPr>
        <w:t>”الخلع</w:t>
      </w:r>
      <w:r>
        <w:rPr>
          <w:rFonts w:hint="cs"/>
          <w:rtl/>
        </w:rPr>
        <w:t xml:space="preserve">“. ويتعرض قانون فسخ الزواج الإسلامي، لسنة 1939، لدواعي الحكم في قرار بفسخ الزواج الإسلامي، وترد هذه الدواعي بالتفصيل وتشمل، عموما، الحق في </w:t>
      </w:r>
      <w:r>
        <w:rPr>
          <w:rFonts w:hint="eastAsia"/>
          <w:rtl/>
        </w:rPr>
        <w:t>”الخلع</w:t>
      </w:r>
      <w:r>
        <w:rPr>
          <w:rFonts w:hint="cs"/>
          <w:rtl/>
        </w:rPr>
        <w:t xml:space="preserve">“ </w:t>
      </w:r>
      <w:r>
        <w:rPr>
          <w:rtl/>
        </w:rPr>
        <w:t>–</w:t>
      </w:r>
      <w:r>
        <w:rPr>
          <w:rFonts w:hint="cs"/>
          <w:rtl/>
        </w:rPr>
        <w:t xml:space="preserve"> وهو حق الطلاق، بالنسبة للمرأة، على النحو المنصوص عليه في الشريعة الإسلامية. ويعطي الزوج</w:t>
      </w:r>
      <w:r w:rsidR="009F3C71">
        <w:rPr>
          <w:rFonts w:hint="cs"/>
          <w:rtl/>
        </w:rPr>
        <w:t>ة</w:t>
      </w:r>
      <w:r>
        <w:rPr>
          <w:rFonts w:hint="cs"/>
          <w:rtl/>
        </w:rPr>
        <w:t xml:space="preserve"> الحق في طلب فسخ الزواج حتى على أساس أنها لا تحب زوجها ولا تستطيع العيش معه. وهذا حق شامل ومطلق ويعتبر المصدر الرئيسي لقرار فسخ الزواج الذي تصدره المحاكم لصالح الزوجة عند تقديمها طلب بذلك ومبرر هذا القرار.</w:t>
      </w:r>
    </w:p>
    <w:p w:rsidR="00C67DF8" w:rsidRDefault="00C67DF8" w:rsidP="00C67DF8">
      <w:pPr>
        <w:pStyle w:val="SingleTxt"/>
        <w:tabs>
          <w:tab w:val="clear" w:pos="1930"/>
          <w:tab w:val="left" w:pos="2125"/>
        </w:tabs>
        <w:rPr>
          <w:rFonts w:hint="cs"/>
          <w:rtl/>
        </w:rPr>
      </w:pPr>
      <w:r>
        <w:rPr>
          <w:rFonts w:hint="cs"/>
          <w:rtl/>
        </w:rPr>
        <w:t>496 -</w:t>
      </w:r>
      <w:r>
        <w:rPr>
          <w:rFonts w:hint="cs"/>
          <w:rtl/>
        </w:rPr>
        <w:tab/>
        <w:t xml:space="preserve">وفي الواقع، تقابل المرأة، مع ذلك، صعوبات. فالخلع يتطلب تدخلا من المحكمة، وبالنظر إلى حالة المرأة العامة، وقدرتها على الحركة وما إلى ذلك، يصعب عليها الحصول على هذا الحق. وأحيانا لا يوفر الأزواج الوثائق المطلوبة التي تقرر فسخ الزواج للزوجات السابقات، مما يوجد المرأة في وضع حرج، إذا تزوجت مرة أخرى حيث أنه يمكن اتهامها </w:t>
      </w:r>
      <w:proofErr w:type="spellStart"/>
      <w:r>
        <w:rPr>
          <w:rFonts w:hint="cs"/>
          <w:rtl/>
        </w:rPr>
        <w:t>بالزنى</w:t>
      </w:r>
      <w:proofErr w:type="spellEnd"/>
      <w:r>
        <w:rPr>
          <w:rFonts w:hint="cs"/>
          <w:rtl/>
        </w:rPr>
        <w:t>، لعدم توفر الوثائق اللازمة.</w:t>
      </w:r>
    </w:p>
    <w:p w:rsidR="00C67DF8" w:rsidRDefault="00C67DF8" w:rsidP="00C67DF8">
      <w:pPr>
        <w:pStyle w:val="SingleTxt"/>
        <w:tabs>
          <w:tab w:val="clear" w:pos="1930"/>
          <w:tab w:val="left" w:pos="2125"/>
        </w:tabs>
        <w:rPr>
          <w:rFonts w:hint="cs"/>
          <w:rtl/>
        </w:rPr>
      </w:pPr>
      <w:r>
        <w:rPr>
          <w:rFonts w:hint="cs"/>
          <w:rtl/>
        </w:rPr>
        <w:t>497 -</w:t>
      </w:r>
      <w:r>
        <w:rPr>
          <w:rFonts w:hint="cs"/>
          <w:rtl/>
        </w:rPr>
        <w:tab/>
        <w:t>ووفقا للقانون الباكستاني، من حق الزوجة، عند فسخ الزواج، الحصول على جميع الممتلكات التي اكتسبتها بنفسها وتستفيد أيضا من ممتلكات الزوج، الصداق والنفقة أثناء العدة، أي فترة 130 يوما، أو في حالة الزوجة الحامل، حتى ولادة الطفل، مع نفقة الأولاد الموجودين في حضانة الزوجة.</w:t>
      </w:r>
    </w:p>
    <w:p w:rsidR="00C67DF8" w:rsidRDefault="00C67DF8" w:rsidP="00C67DF8">
      <w:pPr>
        <w:pStyle w:val="SingleTxt"/>
        <w:tabs>
          <w:tab w:val="clear" w:pos="1930"/>
          <w:tab w:val="left" w:pos="2125"/>
        </w:tabs>
        <w:rPr>
          <w:rFonts w:hint="cs"/>
          <w:rtl/>
        </w:rPr>
      </w:pPr>
      <w:r>
        <w:rPr>
          <w:rFonts w:hint="cs"/>
          <w:rtl/>
        </w:rPr>
        <w:t>498 -</w:t>
      </w:r>
      <w:r>
        <w:rPr>
          <w:rFonts w:hint="cs"/>
          <w:rtl/>
        </w:rPr>
        <w:tab/>
        <w:t>فإذا طلبت الزوجة فسخ الزواج، لا يحق لها الحصول على الصداق. ولكن ليس للزوج حق في ممتلكات الزوجة.</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نفس الحقوق والمسؤوليات كوالدة، بغض النظر عن حالتها الزوجية، في الأمور المتعلقة بأطفالها، وفي جميع الأحوال، تكون مصالح الأطفال هي الراجحة</w:t>
      </w:r>
    </w:p>
    <w:p w:rsidR="00C67DF8" w:rsidRDefault="007977D9" w:rsidP="00C67DF8">
      <w:pPr>
        <w:pStyle w:val="SingleTxt"/>
        <w:tabs>
          <w:tab w:val="clear" w:pos="1930"/>
          <w:tab w:val="left" w:pos="2125"/>
        </w:tabs>
        <w:rPr>
          <w:rFonts w:hint="cs"/>
          <w:rtl/>
        </w:rPr>
      </w:pPr>
      <w:r>
        <w:rPr>
          <w:rFonts w:hint="cs"/>
          <w:rtl/>
        </w:rPr>
        <w:t>499-</w:t>
      </w:r>
      <w:r>
        <w:rPr>
          <w:rFonts w:hint="cs"/>
          <w:rtl/>
        </w:rPr>
        <w:tab/>
      </w:r>
      <w:r w:rsidR="00C67DF8">
        <w:rPr>
          <w:rFonts w:hint="cs"/>
          <w:rtl/>
        </w:rPr>
        <w:t>يتمتع الأبوان، من الناحية النظرية، بنفس الحقوق والمسؤوليات بالنسبة للمسائل المتعلقة بالأبناء. غير أن الوالد يعتبر رأس الأسرة، بصورة عامة، ويتخذ القرارات النهائية فيما يتصل بالأبناء وبالأسرة كذلك.</w:t>
      </w:r>
    </w:p>
    <w:p w:rsidR="00C67DF8" w:rsidRDefault="00C67DF8" w:rsidP="00C67DF8">
      <w:pPr>
        <w:pStyle w:val="SingleTxt"/>
        <w:tabs>
          <w:tab w:val="clear" w:pos="1930"/>
          <w:tab w:val="left" w:pos="2125"/>
        </w:tabs>
        <w:rPr>
          <w:rFonts w:hint="cs"/>
          <w:rtl/>
        </w:rPr>
      </w:pPr>
      <w:r>
        <w:rPr>
          <w:rFonts w:hint="cs"/>
          <w:rtl/>
        </w:rPr>
        <w:t>500 -</w:t>
      </w:r>
      <w:r>
        <w:rPr>
          <w:rFonts w:hint="cs"/>
          <w:rtl/>
        </w:rPr>
        <w:tab/>
        <w:t xml:space="preserve">ولا يعترف القانون الباكستاني بأي علاقة زوجية بين الطرفين إلا ما يتم في إطار الدين، أي بالزواج. ويعتبر أي شكل آخر من أشكال المعاشرة (غير الزواج) تمارس فيها العلاقات الجنسية بين شخصين جريمة وتعاقب وفقا للقانون. ولذلك، لا تنشأ مسألة تمتع الآباء بنفس الحقوق والواجبات، </w:t>
      </w:r>
      <w:r>
        <w:rPr>
          <w:rFonts w:hint="eastAsia"/>
          <w:rtl/>
        </w:rPr>
        <w:t>”بغض النظر عن الحالة الزوجية</w:t>
      </w:r>
      <w:r>
        <w:rPr>
          <w:rFonts w:hint="cs"/>
          <w:rtl/>
        </w:rPr>
        <w:t>“.</w:t>
      </w:r>
    </w:p>
    <w:p w:rsidR="00C67DF8" w:rsidRPr="007F27D7"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C67DF8" w:rsidRDefault="00C67DF8" w:rsidP="00C67DF8">
      <w:pPr>
        <w:pStyle w:val="SingleTxt"/>
        <w:tabs>
          <w:tab w:val="clear" w:pos="1930"/>
          <w:tab w:val="left" w:pos="2125"/>
        </w:tabs>
        <w:rPr>
          <w:rFonts w:hint="cs"/>
          <w:rtl/>
        </w:rPr>
      </w:pPr>
      <w:r>
        <w:rPr>
          <w:rFonts w:hint="cs"/>
          <w:rtl/>
        </w:rPr>
        <w:t>501 -</w:t>
      </w:r>
      <w:r>
        <w:rPr>
          <w:rFonts w:hint="cs"/>
          <w:rtl/>
        </w:rPr>
        <w:tab/>
        <w:t>لا توجد بيانات موثقة عن مدى اتفاق الزوجين معا على بدء تكوين أسرة أو زيادة أفراد الأسرة. وفي حالة الأزواج الأكثر تعليما، يبدأ الحمل، عادة، بعد التشاور فيما بين</w:t>
      </w:r>
      <w:r w:rsidR="009F3C71">
        <w:rPr>
          <w:rFonts w:hint="cs"/>
          <w:rtl/>
        </w:rPr>
        <w:t>ه</w:t>
      </w:r>
      <w:r>
        <w:rPr>
          <w:rFonts w:hint="cs"/>
          <w:rtl/>
        </w:rPr>
        <w:t xml:space="preserve">ما. ولكن من المرجح أن هذا التشاور لا يحدث كثيرا، في القطاعات الأقل تعليما من السكان، والنتيجة أن كثيرا من النساء يحملن خلافا لرغبتهن. ولا تتوفر بيانات </w:t>
      </w:r>
      <w:proofErr w:type="spellStart"/>
      <w:r>
        <w:rPr>
          <w:rFonts w:hint="cs"/>
          <w:rtl/>
        </w:rPr>
        <w:t>موثوقة</w:t>
      </w:r>
      <w:proofErr w:type="spellEnd"/>
      <w:r>
        <w:rPr>
          <w:rFonts w:hint="cs"/>
          <w:rtl/>
        </w:rPr>
        <w:t xml:space="preserve"> بشأن هذه المسألة.</w:t>
      </w:r>
    </w:p>
    <w:p w:rsidR="00C67DF8" w:rsidRDefault="00C67DF8" w:rsidP="00C67DF8">
      <w:pPr>
        <w:pStyle w:val="SingleTxt"/>
        <w:tabs>
          <w:tab w:val="clear" w:pos="1930"/>
          <w:tab w:val="left" w:pos="2125"/>
        </w:tabs>
        <w:rPr>
          <w:rFonts w:hint="cs"/>
          <w:rtl/>
        </w:rPr>
      </w:pPr>
      <w:r>
        <w:rPr>
          <w:rFonts w:hint="cs"/>
          <w:rtl/>
        </w:rPr>
        <w:t>502 -</w:t>
      </w:r>
      <w:r>
        <w:rPr>
          <w:rFonts w:hint="cs"/>
          <w:rtl/>
        </w:rPr>
        <w:tab/>
        <w:t xml:space="preserve">وحل هذه المشكلة وكثير من المشاكل الأخرى هو انتشار التعليم </w:t>
      </w:r>
      <w:r>
        <w:rPr>
          <w:rtl/>
        </w:rPr>
        <w:t>–</w:t>
      </w:r>
      <w:r>
        <w:rPr>
          <w:rFonts w:hint="cs"/>
          <w:rtl/>
        </w:rPr>
        <w:t xml:space="preserve"> وسيؤدي الاستعمال المتزايد لوسائل منع الحمل إلى الحد من عدد</w:t>
      </w:r>
      <w:r w:rsidR="009F3C71">
        <w:rPr>
          <w:rFonts w:hint="cs"/>
          <w:rtl/>
        </w:rPr>
        <w:t xml:space="preserve"> النساء اللاتي يحملن رغم إرادتهن</w:t>
      </w:r>
      <w:r>
        <w:rPr>
          <w:rFonts w:hint="cs"/>
          <w:rtl/>
        </w:rPr>
        <w:t>. وقد وردت تفاصيل عن مرافق تحديد النسل في باكستان في الفصل الثاني عشر، الفقرات 340-349.</w:t>
      </w:r>
    </w:p>
    <w:p w:rsidR="00C67DF8" w:rsidRPr="00887D62"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نفس الحقوق والمسؤوليات فيما يتعلق بالولاية والقوامة والوصاية على الأطفال وتبنيهم، أو ما شابه ذلك من الأنماط المؤسسية الاجتماعية، حين توجد هذه المفاهيم في التشريع الوطني؛ وفي جميع الأحوال تكون مصلحة الأطفال هي الراجحة</w:t>
      </w:r>
    </w:p>
    <w:p w:rsidR="00C67DF8" w:rsidRDefault="00C67DF8" w:rsidP="00C67DF8">
      <w:pPr>
        <w:pStyle w:val="SingleTxt"/>
        <w:tabs>
          <w:tab w:val="clear" w:pos="1930"/>
          <w:tab w:val="left" w:pos="2125"/>
        </w:tabs>
        <w:rPr>
          <w:rFonts w:hint="cs"/>
          <w:rtl/>
        </w:rPr>
      </w:pPr>
      <w:r>
        <w:rPr>
          <w:rFonts w:hint="cs"/>
          <w:rtl/>
        </w:rPr>
        <w:t>503 -</w:t>
      </w:r>
      <w:r>
        <w:rPr>
          <w:rFonts w:hint="cs"/>
          <w:rtl/>
        </w:rPr>
        <w:tab/>
        <w:t>يحكم هذا المسألة قانون الأوصياء والموصى عليهم لسنة 1890. ويوفر المبادئ التوجيهية والظروف الخاصة للوصاية على الأطفال وحضانتهم في حالة فسخ الزواج.</w:t>
      </w:r>
    </w:p>
    <w:p w:rsidR="00C67DF8" w:rsidRDefault="00C67DF8" w:rsidP="00C67DF8">
      <w:pPr>
        <w:pStyle w:val="SingleTxt"/>
        <w:tabs>
          <w:tab w:val="clear" w:pos="1930"/>
          <w:tab w:val="left" w:pos="2125"/>
        </w:tabs>
        <w:rPr>
          <w:rFonts w:hint="cs"/>
          <w:rtl/>
        </w:rPr>
      </w:pPr>
      <w:r>
        <w:rPr>
          <w:rFonts w:hint="cs"/>
          <w:rtl/>
        </w:rPr>
        <w:t>504 -</w:t>
      </w:r>
      <w:r>
        <w:rPr>
          <w:rFonts w:hint="cs"/>
          <w:rtl/>
        </w:rPr>
        <w:tab/>
        <w:t>ويعتمد حق حضانة الأطفال بعد فسخ الزواج على الديانة أو الطائفة التي ينتمي إليها الزوجان. ويتأثر هذا الحق بزواج الأم أو الأب مرة ثانية. غير أن رفاه ال</w:t>
      </w:r>
      <w:r w:rsidR="009F3C71">
        <w:rPr>
          <w:rFonts w:hint="cs"/>
          <w:rtl/>
        </w:rPr>
        <w:t>طفل هو</w:t>
      </w:r>
      <w:r>
        <w:rPr>
          <w:rFonts w:hint="cs"/>
          <w:rtl/>
        </w:rPr>
        <w:t xml:space="preserve"> المبدأ الراجح، في جميع الحالات.</w:t>
      </w:r>
    </w:p>
    <w:p w:rsidR="00C67DF8" w:rsidRDefault="00C67DF8" w:rsidP="00C67DF8">
      <w:pPr>
        <w:pStyle w:val="SingleTxt"/>
        <w:tabs>
          <w:tab w:val="clear" w:pos="1930"/>
          <w:tab w:val="left" w:pos="2125"/>
        </w:tabs>
        <w:rPr>
          <w:rFonts w:hint="cs"/>
          <w:rtl/>
        </w:rPr>
      </w:pPr>
      <w:r>
        <w:rPr>
          <w:rFonts w:hint="cs"/>
          <w:rtl/>
        </w:rPr>
        <w:t>505 -</w:t>
      </w:r>
      <w:r>
        <w:rPr>
          <w:rFonts w:hint="cs"/>
          <w:rtl/>
        </w:rPr>
        <w:tab/>
        <w:t>ويعتبر الأب الوصي الطبيعي على الطفل بينما تعتبر الأم الحاضنة الطبيعية. وللأم الامتياز في حق الحضانة، بينما يكون الأب أحق بالنسبة للوصاية. وتحصل الأم عادة على حق حضانة الأطفال القصَّر في حالة الطلاق أو وفاة الزوج.</w:t>
      </w:r>
    </w:p>
    <w:p w:rsidR="00C67DF8" w:rsidRPr="00F36254" w:rsidRDefault="00C67DF8" w:rsidP="00C67DF8">
      <w:pPr>
        <w:pStyle w:val="SingleTxt"/>
        <w:tabs>
          <w:tab w:val="clear" w:pos="1930"/>
          <w:tab w:val="left" w:pos="2125"/>
        </w:tabs>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نفس الحقوق الشخصية للزوج والزوجة، بما في ذلك الحق في اختيار اسم الأسرة والمهنة والوظيفة.</w:t>
      </w:r>
    </w:p>
    <w:p w:rsidR="00C67DF8" w:rsidRDefault="00C67DF8" w:rsidP="00C67DF8">
      <w:pPr>
        <w:pStyle w:val="SingleTxt"/>
        <w:tabs>
          <w:tab w:val="clear" w:pos="1930"/>
          <w:tab w:val="left" w:pos="2125"/>
        </w:tabs>
        <w:rPr>
          <w:rFonts w:hint="cs"/>
          <w:rtl/>
        </w:rPr>
      </w:pPr>
      <w:r>
        <w:rPr>
          <w:rFonts w:hint="cs"/>
          <w:rtl/>
        </w:rPr>
        <w:t>506 -</w:t>
      </w:r>
      <w:r>
        <w:rPr>
          <w:rFonts w:hint="cs"/>
          <w:rtl/>
        </w:rPr>
        <w:tab/>
        <w:t>إن المرأة لها نفس حق الرجل في اختيار المهنة والوظيفة، من الناحية القانونية، وليس هناك حاجز قانوني يحول دون هذا الاختيار. وبعد الزواج، يتأثر اختيار المهنة، عموما، بالقيم الثقافية للزوج وأسرته. ولا يوجد حاجز قانوني على المرأة المتزوجة، بالنسبة لاختيار المرأة لاسم الأسرة أو المهنة أو الوظيفة. ولا يقتضي الإسلام أن تغير المرأة اسمها بعد الزواج، في الواقع. بل إن هذا الأمر تقليد غربي أصبح راسخا في المجتمع الباكستاني. وتتشاور الزوجة، عادة، مع زوجها قبل اختيار المهنة أو الوظيفة. وأحيانا، لا يوافق الزوج على أن تتخذ الزوجة مهنة. ولا توجد عقوبة قانونية على ذلك. فإذا تمسكت الزوجة بحقها وعرضت الأمر على المحكمة، فسوف تؤيد المحكمة هذا الحق.</w:t>
      </w:r>
    </w:p>
    <w:p w:rsidR="00C67DF8" w:rsidRPr="006724EF"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نفس الحقوق لكلا الزوجين فيما يتعلق بملكية وحيازة الممتلكات، والإشراف عليها وإدارتها والتمتع بها، والتصرف فيها، سواء بلا مقابل أو مقابل عوض ذي قيمة</w:t>
      </w:r>
    </w:p>
    <w:p w:rsidR="00C67DF8" w:rsidRDefault="00C67DF8" w:rsidP="00C67DF8">
      <w:pPr>
        <w:pStyle w:val="SingleTxt"/>
        <w:tabs>
          <w:tab w:val="clear" w:pos="1930"/>
          <w:tab w:val="left" w:pos="2125"/>
        </w:tabs>
        <w:rPr>
          <w:rFonts w:hint="cs"/>
          <w:rtl/>
        </w:rPr>
      </w:pPr>
      <w:r>
        <w:rPr>
          <w:rFonts w:hint="cs"/>
          <w:rtl/>
        </w:rPr>
        <w:t>507 -</w:t>
      </w:r>
      <w:r>
        <w:rPr>
          <w:rFonts w:hint="cs"/>
          <w:rtl/>
        </w:rPr>
        <w:tab/>
        <w:t xml:space="preserve">يكفل القانون حقوق الزوجين فيما يتعلق بملكية وحيازة الممتلكات، والإشراف عليها </w:t>
      </w:r>
      <w:r w:rsidR="009F3C71">
        <w:rPr>
          <w:rFonts w:hint="cs"/>
          <w:rtl/>
        </w:rPr>
        <w:t>و</w:t>
      </w:r>
      <w:r>
        <w:rPr>
          <w:rFonts w:hint="cs"/>
          <w:rtl/>
        </w:rPr>
        <w:t xml:space="preserve">إدارتها والتمتع بها والتصرف فيها، سواء بلا مقابل أو مقابل عوض. ووفقا للشريعة الإسلامية تتمتع المرأة، قانونا، بنفس حقوق الرجل فيما يتعلق بملكية وحيازة الممتلكات والإشراف عليها وإدارتها والتصرف فيها. وبالمثل يعتبر دخل الزوج ودخل الزوجة مصدرين منفصلين، وبالتالي يصنفان كممتلكات مستقلة لكل من الزوجين. وهذا القانون يستند إلى نص القرآن الكريم الذي يقرر أن لكلا الزوجين حق مستقل في إدارة الممتلكات والتصرف فيها. ولا يستطيع أحد التدخل في هذا الحق من الناحية القانونية. وتدع المرأة إدارة ممتلكاتها لزوجها، في الممارسة. </w:t>
      </w:r>
    </w:p>
    <w:p w:rsidR="00C67DF8" w:rsidRDefault="00C67DF8" w:rsidP="00C67DF8">
      <w:pPr>
        <w:pStyle w:val="SingleTxt"/>
        <w:tabs>
          <w:tab w:val="clear" w:pos="1930"/>
          <w:tab w:val="left" w:pos="2125"/>
        </w:tabs>
        <w:rPr>
          <w:rFonts w:hint="cs"/>
          <w:rtl/>
        </w:rPr>
      </w:pPr>
      <w:r>
        <w:rPr>
          <w:rFonts w:hint="cs"/>
          <w:rtl/>
        </w:rPr>
        <w:t>508 -</w:t>
      </w:r>
      <w:r>
        <w:rPr>
          <w:rFonts w:hint="cs"/>
          <w:rtl/>
        </w:rPr>
        <w:tab/>
        <w:t>ويتحمل الزوج وحده مسؤولية إعالة الزوجة والأولاد، طوال فترة الزواج.</w:t>
      </w:r>
    </w:p>
    <w:p w:rsidR="00C67DF8" w:rsidRPr="00CB3A03"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لا يكون لخطوبة الطفل أو زواجه أي أثر قانوني، وتتخذ جميع الإجراءات الضرورية بما فيها التشريع، لتحديد سن أدنى للزواج ولجعل تسجيل الزواج في سجل رسمي أمرا إلزاميا</w:t>
      </w:r>
    </w:p>
    <w:p w:rsidR="00C67DF8" w:rsidRDefault="00C67DF8" w:rsidP="009F3C71">
      <w:pPr>
        <w:pStyle w:val="SingleTxt"/>
        <w:tabs>
          <w:tab w:val="clear" w:pos="1930"/>
          <w:tab w:val="left" w:pos="2125"/>
        </w:tabs>
        <w:rPr>
          <w:rFonts w:hint="cs"/>
          <w:rtl/>
        </w:rPr>
      </w:pPr>
      <w:r>
        <w:rPr>
          <w:rFonts w:hint="cs"/>
          <w:rtl/>
        </w:rPr>
        <w:t>509 -</w:t>
      </w:r>
      <w:r>
        <w:rPr>
          <w:rFonts w:hint="cs"/>
          <w:rtl/>
        </w:rPr>
        <w:tab/>
        <w:t>يحظر قانون قيد زواج الأطفال لسنة 1929، زواج الأطفال. وينص القانون على معاقبة كل من يقوم بعقد زواج الأطفال أو إجرائه أو توجيهه بالسجن لمدة أقصاها شهر، أو بالغرامة أو بالعقوبتين معا. ويحدد السن الأدنى لزواج الرجل عند 18 سنة والمرأة عند 16 سنة.</w:t>
      </w:r>
    </w:p>
    <w:p w:rsidR="00C67DF8" w:rsidRDefault="00C67DF8" w:rsidP="00C67DF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السابع عشر</w:t>
      </w:r>
    </w:p>
    <w:p w:rsidR="00C67DF8" w:rsidRDefault="00C67DF8" w:rsidP="00C67DF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العنف ضد المرأة</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proofErr w:type="spellStart"/>
      <w:r>
        <w:rPr>
          <w:rFonts w:hint="cs"/>
          <w:rtl/>
        </w:rPr>
        <w:t>التوصيتان</w:t>
      </w:r>
      <w:proofErr w:type="spellEnd"/>
      <w:r>
        <w:rPr>
          <w:rFonts w:hint="cs"/>
          <w:rtl/>
        </w:rPr>
        <w:t xml:space="preserve"> العامتان 12 و19</w:t>
      </w:r>
    </w:p>
    <w:p w:rsidR="00C67DF8" w:rsidRDefault="00C67DF8" w:rsidP="009F3C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التشريع النافذ بشأن حماية المرأة من كافة أشكال العنف التي تمارس عليها في الحياة اليومية </w:t>
      </w:r>
      <w:r w:rsidR="009F3C71">
        <w:rPr>
          <w:rFonts w:hint="cs"/>
          <w:rtl/>
        </w:rPr>
        <w:t>ب</w:t>
      </w:r>
      <w:r>
        <w:rPr>
          <w:rFonts w:hint="cs"/>
          <w:rtl/>
        </w:rPr>
        <w:t xml:space="preserve">ما في ذلك العنف الجنسي، والإيذاء داخل الأسرة، والتحرش الجنسي في مكان العمل، </w:t>
      </w:r>
      <w:proofErr w:type="spellStart"/>
      <w:r>
        <w:rPr>
          <w:rFonts w:hint="cs"/>
          <w:rtl/>
        </w:rPr>
        <w:t>إلخ</w:t>
      </w:r>
      <w:proofErr w:type="spellEnd"/>
      <w:r>
        <w:rPr>
          <w:rFonts w:hint="cs"/>
          <w:rtl/>
        </w:rPr>
        <w:t>)</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ينبغي أن تتخذ الدول الأطراف جميع التدابير القانونية وغيرها من التدابير اللازمة لتوفير حماية فعالة للنساء من العنف القائم على أساس نوع الجنس.</w:t>
      </w:r>
    </w:p>
    <w:p w:rsidR="00C67DF8" w:rsidRDefault="00C67DF8" w:rsidP="00C67DF8">
      <w:pPr>
        <w:pStyle w:val="SingleTxt"/>
        <w:tabs>
          <w:tab w:val="clear" w:pos="1930"/>
          <w:tab w:val="left" w:pos="2125"/>
        </w:tabs>
        <w:rPr>
          <w:rFonts w:hint="cs"/>
          <w:rtl/>
        </w:rPr>
      </w:pPr>
      <w:r>
        <w:rPr>
          <w:rFonts w:hint="cs"/>
          <w:rtl/>
        </w:rPr>
        <w:t xml:space="preserve">510 </w:t>
      </w:r>
      <w:r>
        <w:rPr>
          <w:rtl/>
        </w:rPr>
        <w:t>–</w:t>
      </w:r>
      <w:r>
        <w:rPr>
          <w:rFonts w:hint="cs"/>
          <w:rtl/>
        </w:rPr>
        <w:tab/>
        <w:t>يتضمن القانون الجنائي الباكستاني أحكاما تفصيلية تتصل بجميع أفعال العنف تقريبا. وتكفل هذه الأحكام الحماية لجميع المواطنين، بغض النظر عن نوع الجنس، بموجب المادة 25 من الدستور.</w:t>
      </w:r>
    </w:p>
    <w:p w:rsidR="00C67DF8" w:rsidRDefault="00C67DF8" w:rsidP="00C67DF8">
      <w:pPr>
        <w:pStyle w:val="SingleTxt"/>
        <w:tabs>
          <w:tab w:val="clear" w:pos="1930"/>
          <w:tab w:val="left" w:pos="2125"/>
        </w:tabs>
        <w:rPr>
          <w:rFonts w:hint="cs"/>
          <w:rtl/>
        </w:rPr>
      </w:pPr>
      <w:r>
        <w:rPr>
          <w:rFonts w:hint="cs"/>
          <w:rtl/>
        </w:rPr>
        <w:t>511 -</w:t>
      </w:r>
      <w:r>
        <w:rPr>
          <w:rFonts w:hint="cs"/>
          <w:rtl/>
        </w:rPr>
        <w:tab/>
        <w:t xml:space="preserve">وتم تناول موضوع الاتجار، </w:t>
      </w:r>
      <w:proofErr w:type="spellStart"/>
      <w:r>
        <w:rPr>
          <w:rFonts w:hint="cs"/>
          <w:rtl/>
        </w:rPr>
        <w:t>بشئ</w:t>
      </w:r>
      <w:proofErr w:type="spellEnd"/>
      <w:r>
        <w:rPr>
          <w:rFonts w:hint="cs"/>
          <w:rtl/>
        </w:rPr>
        <w:t xml:space="preserve"> من التفصيل، في الفصل السادس.</w:t>
      </w:r>
    </w:p>
    <w:p w:rsidR="00C67DF8" w:rsidRDefault="00C67DF8" w:rsidP="00C67DF8">
      <w:pPr>
        <w:pStyle w:val="SingleTxt"/>
        <w:tabs>
          <w:tab w:val="clear" w:pos="1930"/>
          <w:tab w:val="left" w:pos="2125"/>
        </w:tabs>
        <w:rPr>
          <w:rFonts w:hint="cs"/>
          <w:rtl/>
        </w:rPr>
      </w:pPr>
      <w:r>
        <w:rPr>
          <w:rFonts w:hint="cs"/>
          <w:rtl/>
        </w:rPr>
        <w:t>512 -</w:t>
      </w:r>
      <w:r>
        <w:rPr>
          <w:rFonts w:hint="cs"/>
          <w:rtl/>
        </w:rPr>
        <w:tab/>
        <w:t>ويمكن أن نقول إن التحرش الجنس</w:t>
      </w:r>
      <w:r w:rsidR="009F3C71">
        <w:rPr>
          <w:rFonts w:hint="cs"/>
          <w:rtl/>
        </w:rPr>
        <w:t>ي</w:t>
      </w:r>
      <w:r>
        <w:rPr>
          <w:rFonts w:hint="cs"/>
          <w:rtl/>
        </w:rPr>
        <w:t xml:space="preserve"> مشمول في المادة 294 من القانون الجنائي الباكستاني التي تنص على أن ”يعاقب كل من (أ) يقوم بفعل فاحش في مكان عام أو (ب) يغني أغنية أو قصيدة أو ألفاظ فاحشة أو يلقيها أو يتلفظ بها في مكان عام أو بالقرب منه، بشكل يضايق الآخرين، بالسجن لفترة قد تمتد إلى ثلاثة شهور أو بالغرامة أو بالعقوبتين معا“.</w:t>
      </w:r>
    </w:p>
    <w:p w:rsidR="00C67DF8" w:rsidRDefault="00C67DF8" w:rsidP="00C67DF8">
      <w:pPr>
        <w:pStyle w:val="SingleTxt"/>
        <w:tabs>
          <w:tab w:val="clear" w:pos="1930"/>
          <w:tab w:val="left" w:pos="2125"/>
        </w:tabs>
        <w:rPr>
          <w:rFonts w:hint="cs"/>
          <w:rtl/>
        </w:rPr>
      </w:pPr>
      <w:r>
        <w:rPr>
          <w:rFonts w:hint="cs"/>
          <w:rtl/>
        </w:rPr>
        <w:t>513 -</w:t>
      </w:r>
      <w:r>
        <w:rPr>
          <w:rFonts w:hint="cs"/>
          <w:rtl/>
        </w:rPr>
        <w:tab/>
        <w:t>وليس هناك بيانات وثائقية لمدى الاحتجاج بهذا الحكم. وتشير دلا</w:t>
      </w:r>
      <w:r w:rsidR="009F3C71">
        <w:rPr>
          <w:rFonts w:hint="cs"/>
          <w:rtl/>
        </w:rPr>
        <w:t>ئ</w:t>
      </w:r>
      <w:r>
        <w:rPr>
          <w:rFonts w:hint="cs"/>
          <w:rtl/>
        </w:rPr>
        <w:t>ل ما يروى إلى أن هذا لا يحدث بشكل متواتر.</w:t>
      </w:r>
    </w:p>
    <w:p w:rsidR="00C67DF8" w:rsidRDefault="00C67DF8" w:rsidP="00C67DF8">
      <w:pPr>
        <w:pStyle w:val="SingleTxt"/>
        <w:tabs>
          <w:tab w:val="clear" w:pos="1930"/>
          <w:tab w:val="left" w:pos="2125"/>
        </w:tabs>
        <w:rPr>
          <w:rFonts w:hint="cs"/>
          <w:rtl/>
        </w:rPr>
      </w:pPr>
      <w:r>
        <w:rPr>
          <w:rFonts w:hint="cs"/>
          <w:rtl/>
        </w:rPr>
        <w:t>514 -</w:t>
      </w:r>
      <w:r>
        <w:rPr>
          <w:rFonts w:hint="cs"/>
          <w:rtl/>
        </w:rPr>
        <w:tab/>
        <w:t xml:space="preserve">وتسمح المادة 545 من قانون الإجراءات الجنائية للمحكمة بالحكم بتعويض ضحية الجريمة من الغرامات المفروضة على مرتكب الجريمة </w:t>
      </w:r>
    </w:p>
    <w:p w:rsidR="00C67DF8" w:rsidRDefault="00C67DF8" w:rsidP="00C67DF8">
      <w:pPr>
        <w:pStyle w:val="SingleTxt"/>
        <w:tabs>
          <w:tab w:val="clear" w:pos="1930"/>
          <w:tab w:val="left" w:pos="2125"/>
        </w:tabs>
        <w:rPr>
          <w:rFonts w:hint="cs"/>
          <w:rtl/>
        </w:rPr>
      </w:pPr>
      <w:r>
        <w:rPr>
          <w:rFonts w:hint="cs"/>
          <w:rtl/>
        </w:rPr>
        <w:t>515 -</w:t>
      </w:r>
      <w:r>
        <w:rPr>
          <w:rFonts w:hint="cs"/>
          <w:rtl/>
        </w:rPr>
        <w:tab/>
        <w:t>وهناك قوانين محددة تتصل بالعنف الجنسي في شكل قوانين الحدود الإسلامية. ويعتقد جزء من المجتمع أن هذه القوانين تحمي القائمين بالعنف، في بعض الحالات، بدلا من مكافحة العنف ضد المرأة. وقد عولجت هذه المسألة بشيء من التفصيل في الفصل الخامس عشر من هذا التقرير.</w:t>
      </w:r>
    </w:p>
    <w:p w:rsidR="00C67DF8" w:rsidRDefault="00C67DF8" w:rsidP="009F3C71">
      <w:pPr>
        <w:pStyle w:val="SingleTxt"/>
        <w:tabs>
          <w:tab w:val="clear" w:pos="1930"/>
          <w:tab w:val="left" w:pos="2125"/>
        </w:tabs>
        <w:rPr>
          <w:rFonts w:hint="cs"/>
          <w:rtl/>
        </w:rPr>
      </w:pPr>
      <w:r>
        <w:rPr>
          <w:rFonts w:hint="cs"/>
          <w:rtl/>
        </w:rPr>
        <w:t>516 -</w:t>
      </w:r>
      <w:r>
        <w:rPr>
          <w:rFonts w:hint="cs"/>
          <w:rtl/>
        </w:rPr>
        <w:tab/>
        <w:t xml:space="preserve">ولا </w:t>
      </w:r>
      <w:r w:rsidR="009F3C71">
        <w:rPr>
          <w:rFonts w:hint="cs"/>
          <w:rtl/>
        </w:rPr>
        <w:t>ت</w:t>
      </w:r>
      <w:r>
        <w:rPr>
          <w:rFonts w:hint="cs"/>
          <w:rtl/>
        </w:rPr>
        <w:t xml:space="preserve">وجد حاليا مادة محددة في القانون الجنائي تتناول </w:t>
      </w:r>
      <w:r>
        <w:rPr>
          <w:rFonts w:hint="eastAsia"/>
          <w:rtl/>
        </w:rPr>
        <w:t>”حالات سوء المعاملة في الأسرة</w:t>
      </w:r>
      <w:r>
        <w:rPr>
          <w:rFonts w:hint="cs"/>
          <w:rtl/>
        </w:rPr>
        <w:t>“. ومن المفروض أن يتصدى القانون الجنائي لهذا الشكل من أشكال العنف كذلك.</w:t>
      </w:r>
    </w:p>
    <w:p w:rsidR="00C67DF8" w:rsidRDefault="00C67DF8" w:rsidP="00C67DF8">
      <w:pPr>
        <w:pStyle w:val="SingleTxt"/>
        <w:tabs>
          <w:tab w:val="clear" w:pos="1930"/>
          <w:tab w:val="left" w:pos="2125"/>
        </w:tabs>
        <w:rPr>
          <w:rFonts w:hint="cs"/>
          <w:rtl/>
        </w:rPr>
      </w:pPr>
      <w:r>
        <w:rPr>
          <w:rFonts w:hint="cs"/>
          <w:rtl/>
        </w:rPr>
        <w:t>517 -</w:t>
      </w:r>
      <w:r>
        <w:rPr>
          <w:rFonts w:hint="cs"/>
          <w:rtl/>
        </w:rPr>
        <w:tab/>
        <w:t>وإذا أدى العنف إلى حدوث إيذاء بدني خطير، يطبق قانون القصاص والدية. ويرى كثيرون أن هذا القانون يحمي الجاني، في بعض الحالات. وينقسم الرأي العام حول هذا القانون أيضا (نوقشت هذه المسألة أيضا في الفصل الخامس عشر، الفقرات</w:t>
      </w:r>
      <w:r>
        <w:rPr>
          <w:rtl/>
        </w:rPr>
        <w:br/>
      </w:r>
      <w:r>
        <w:rPr>
          <w:rFonts w:hint="cs"/>
          <w:rtl/>
        </w:rPr>
        <w:t xml:space="preserve">484-491). </w:t>
      </w:r>
    </w:p>
    <w:p w:rsidR="00C67DF8" w:rsidRPr="00B02416"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الأخرى المتخذة للقضاء على العنف ضد المرأة</w:t>
      </w:r>
    </w:p>
    <w:p w:rsidR="00C67DF8" w:rsidRDefault="00C67DF8" w:rsidP="00C67DF8">
      <w:pPr>
        <w:pStyle w:val="SingleTxt"/>
        <w:tabs>
          <w:tab w:val="clear" w:pos="1930"/>
          <w:tab w:val="left" w:pos="2125"/>
        </w:tabs>
        <w:rPr>
          <w:rFonts w:hint="cs"/>
          <w:rtl/>
        </w:rPr>
      </w:pPr>
      <w:r>
        <w:rPr>
          <w:rFonts w:hint="cs"/>
          <w:rtl/>
        </w:rPr>
        <w:t>518 -</w:t>
      </w:r>
      <w:r>
        <w:rPr>
          <w:rFonts w:hint="cs"/>
          <w:rtl/>
        </w:rPr>
        <w:tab/>
        <w:t>يدرك شعب باكستان وحكومته أن العنف ضد المرأة مسألة خطيرة.</w:t>
      </w:r>
    </w:p>
    <w:p w:rsidR="00C67DF8" w:rsidRDefault="00C67DF8" w:rsidP="00C67DF8">
      <w:pPr>
        <w:pStyle w:val="SingleTxt"/>
        <w:tabs>
          <w:tab w:val="clear" w:pos="1930"/>
          <w:tab w:val="left" w:pos="2125"/>
        </w:tabs>
        <w:rPr>
          <w:rFonts w:hint="cs"/>
          <w:rtl/>
        </w:rPr>
      </w:pPr>
      <w:r>
        <w:rPr>
          <w:rFonts w:hint="cs"/>
          <w:rtl/>
        </w:rPr>
        <w:t>519 -</w:t>
      </w:r>
      <w:r>
        <w:rPr>
          <w:rFonts w:hint="cs"/>
          <w:rtl/>
        </w:rPr>
        <w:tab/>
        <w:t>ويبرز العنف ضد المرأة وتنشر تقارير عنه في وسائط الإعلام، بصورة روتينية، مما يؤدي إلى تزايد الوعي بهذه المشكلة الخطيرة.</w:t>
      </w:r>
    </w:p>
    <w:p w:rsidR="00C67DF8" w:rsidRDefault="00C67DF8" w:rsidP="00C67DF8">
      <w:pPr>
        <w:pStyle w:val="SingleTxt"/>
        <w:tabs>
          <w:tab w:val="clear" w:pos="1930"/>
          <w:tab w:val="left" w:pos="2125"/>
        </w:tabs>
        <w:rPr>
          <w:rFonts w:hint="cs"/>
          <w:rtl/>
        </w:rPr>
      </w:pPr>
      <w:r>
        <w:rPr>
          <w:rFonts w:hint="cs"/>
          <w:rtl/>
        </w:rPr>
        <w:t>520 -</w:t>
      </w:r>
      <w:r>
        <w:rPr>
          <w:rFonts w:hint="cs"/>
          <w:rtl/>
        </w:rPr>
        <w:tab/>
        <w:t>وقد قام القضاء بدور استباقي وبناء في مكافحة العنف ضد المرأة. وقام تلقائيا بملاحظة عدد الحوادث التي تنطوي على العنف ضد المرأة.</w:t>
      </w:r>
    </w:p>
    <w:p w:rsidR="00C67DF8" w:rsidRDefault="00C67DF8" w:rsidP="009F3C71">
      <w:pPr>
        <w:pStyle w:val="SingleTxt"/>
        <w:tabs>
          <w:tab w:val="clear" w:pos="1930"/>
          <w:tab w:val="left" w:pos="2125"/>
        </w:tabs>
        <w:rPr>
          <w:rFonts w:hint="cs"/>
          <w:rtl/>
        </w:rPr>
      </w:pPr>
      <w:r>
        <w:rPr>
          <w:rFonts w:hint="cs"/>
          <w:rtl/>
        </w:rPr>
        <w:t>521 -</w:t>
      </w:r>
      <w:r>
        <w:rPr>
          <w:rFonts w:hint="cs"/>
          <w:rtl/>
        </w:rPr>
        <w:tab/>
        <w:t>وأهم مشكلة تشارك فيها باكستان مع البلدان النامية الأخرى ه</w:t>
      </w:r>
      <w:r w:rsidR="009F3C71">
        <w:rPr>
          <w:rFonts w:hint="cs"/>
          <w:rtl/>
        </w:rPr>
        <w:t>ي</w:t>
      </w:r>
      <w:r>
        <w:rPr>
          <w:rFonts w:hint="cs"/>
          <w:rtl/>
        </w:rPr>
        <w:t xml:space="preserve"> ضعف مستوى تنفيذ القوانين. ويرجع ذلك، في أغلب الأحيان، إلى نقص في التدريب الكافي للتصدي للحالة، بالشكل المناسب، وتطبيق الأحكام المناسبة من القانون. وقد يكون ذلك بسبب إغفال متعمد من جانب موظفي إنفاذ القانون، أحيانا.</w:t>
      </w:r>
    </w:p>
    <w:p w:rsidR="00C67DF8" w:rsidRDefault="00C67DF8" w:rsidP="009F3C71">
      <w:pPr>
        <w:pStyle w:val="SingleTxt"/>
        <w:tabs>
          <w:tab w:val="clear" w:pos="1930"/>
          <w:tab w:val="left" w:pos="2125"/>
        </w:tabs>
        <w:rPr>
          <w:rFonts w:hint="cs"/>
          <w:rtl/>
        </w:rPr>
      </w:pPr>
      <w:r>
        <w:rPr>
          <w:rFonts w:hint="cs"/>
          <w:rtl/>
        </w:rPr>
        <w:t>522 -</w:t>
      </w:r>
      <w:r>
        <w:rPr>
          <w:rFonts w:hint="cs"/>
          <w:rtl/>
        </w:rPr>
        <w:tab/>
        <w:t>واتخذت عدة تدابير إدارية لمكافحة العنف ضد المرأة. وأضيفت مادة جديدة، هي المادة 174- ألف، إلى قانون الإجراءات الجنائية لسنة 1898، وذلك في سنة 2001. وهي المادة الرامية إلى كبح العنف المرتبط بالمهر. وبموجب هذا الحكم، يتعين أن يبلغ جميع الممارسين الطبيين المسجلين المعينين من الحكومة الإقليمية والمسؤولين في مخافر الشرطة عن جميع حالات الحرق. وعلى الممارس الطبي أن يسجل أقوال ضحية الحرق فور وصولها. وتقبل هذه الأقوال بوصفها إقرار محتضر</w:t>
      </w:r>
      <w:r w:rsidR="009F3C71">
        <w:rPr>
          <w:rFonts w:hint="cs"/>
          <w:rtl/>
        </w:rPr>
        <w:t>،</w:t>
      </w:r>
      <w:r>
        <w:rPr>
          <w:rFonts w:hint="cs"/>
          <w:rtl/>
        </w:rPr>
        <w:t xml:space="preserve"> في حالة وفاة الضحية.</w:t>
      </w:r>
    </w:p>
    <w:p w:rsidR="00C67DF8" w:rsidRDefault="00C67DF8" w:rsidP="009F3C71">
      <w:pPr>
        <w:pStyle w:val="SingleTxt"/>
        <w:tabs>
          <w:tab w:val="clear" w:pos="1930"/>
          <w:tab w:val="left" w:pos="2125"/>
        </w:tabs>
        <w:rPr>
          <w:rFonts w:hint="cs"/>
          <w:rtl/>
        </w:rPr>
      </w:pPr>
      <w:r>
        <w:rPr>
          <w:rFonts w:hint="cs"/>
          <w:rtl/>
        </w:rPr>
        <w:t>523 -</w:t>
      </w:r>
      <w:r>
        <w:rPr>
          <w:rFonts w:hint="cs"/>
          <w:rtl/>
        </w:rPr>
        <w:tab/>
        <w:t>ويرى البعض أن عدم تيسر حصول المرأة على المعلومات والمساعدة والحماية القانونية يساهم في العنف ضد</w:t>
      </w:r>
      <w:r w:rsidR="009F3C71">
        <w:rPr>
          <w:rFonts w:hint="cs"/>
          <w:rtl/>
        </w:rPr>
        <w:t>ها</w:t>
      </w:r>
      <w:r>
        <w:rPr>
          <w:rFonts w:hint="cs"/>
          <w:rtl/>
        </w:rPr>
        <w:t>. ولذلك وضعت الحكومة برنامج الوصول إلى العدالة الذي تبلغ قيمته 350 مليون من دولارات الولايات المتحدة، بمساعدة مصرف التنمية الآسيوي. وكانت المرأة من المنتفعين الر</w:t>
      </w:r>
      <w:r w:rsidR="009F3C71">
        <w:rPr>
          <w:rFonts w:hint="cs"/>
          <w:rtl/>
        </w:rPr>
        <w:t xml:space="preserve">ئيسيين من البرنامج إذ يسر تقدمها </w:t>
      </w:r>
      <w:r>
        <w:rPr>
          <w:rFonts w:hint="cs"/>
          <w:rtl/>
        </w:rPr>
        <w:t>إلى المحاكم كمدعي</w:t>
      </w:r>
      <w:r w:rsidR="009F3C71">
        <w:rPr>
          <w:rFonts w:hint="cs"/>
          <w:rtl/>
        </w:rPr>
        <w:t>ة</w:t>
      </w:r>
      <w:r>
        <w:rPr>
          <w:rFonts w:hint="cs"/>
          <w:rtl/>
        </w:rPr>
        <w:t xml:space="preserve">. وعلى نطاق أوسع، </w:t>
      </w:r>
      <w:r w:rsidR="009F3C71">
        <w:rPr>
          <w:rFonts w:hint="cs"/>
          <w:rtl/>
        </w:rPr>
        <w:t xml:space="preserve">يحاول </w:t>
      </w:r>
      <w:r>
        <w:rPr>
          <w:rFonts w:hint="cs"/>
          <w:rtl/>
        </w:rPr>
        <w:t>البرنامج أيضا تيسير دخول المرأة في مهنة القانون.</w:t>
      </w:r>
    </w:p>
    <w:p w:rsidR="00C67DF8" w:rsidRDefault="00C67DF8" w:rsidP="00C67DF8">
      <w:pPr>
        <w:pStyle w:val="SingleTxt"/>
        <w:tabs>
          <w:tab w:val="clear" w:pos="1930"/>
          <w:tab w:val="left" w:pos="2125"/>
        </w:tabs>
        <w:rPr>
          <w:rFonts w:hint="cs"/>
          <w:rtl/>
        </w:rPr>
      </w:pPr>
      <w:r>
        <w:rPr>
          <w:rFonts w:hint="cs"/>
          <w:rtl/>
        </w:rPr>
        <w:t>524 -</w:t>
      </w:r>
      <w:r>
        <w:rPr>
          <w:rFonts w:hint="cs"/>
          <w:rtl/>
        </w:rPr>
        <w:tab/>
        <w:t>ووقعت باكستان مشروع البروتوكول الاختياري لاتفاقية حقوق الطفل بشأن بيع الأطفال واستغلالهم في البغاء وفي إنتاج المواد الإباحية (أيلول/سبتمبر 2001). وصدقت على اتفاقية رابطة جنوب آسيا للتعاون الإقليمي المتعلقة بمنع ومكافحة الاتجار بالنساء والأطفال لأغراض البغاء، في تشرين الثاني/نوفمبر 2002.</w:t>
      </w:r>
    </w:p>
    <w:p w:rsidR="00C67DF8" w:rsidRDefault="00C67DF8" w:rsidP="009F3C71">
      <w:pPr>
        <w:pStyle w:val="SingleTxt"/>
        <w:tabs>
          <w:tab w:val="clear" w:pos="1930"/>
          <w:tab w:val="left" w:pos="2125"/>
        </w:tabs>
        <w:rPr>
          <w:rFonts w:hint="cs"/>
          <w:rtl/>
        </w:rPr>
      </w:pPr>
      <w:r>
        <w:rPr>
          <w:rFonts w:hint="cs"/>
          <w:rtl/>
        </w:rPr>
        <w:t>525 -</w:t>
      </w:r>
      <w:r>
        <w:rPr>
          <w:rFonts w:hint="cs"/>
          <w:rtl/>
        </w:rPr>
        <w:tab/>
        <w:t>وأصدرت الحكومة أيضا مرسوم منع الاتجار بالأشخاص ومكافحته في تشرين الثاني/نوفمبر 2002. واعتبر أن هذا التدبير قد حان وقته وهو يزود قانون موظفي الإنفاذ ب</w:t>
      </w:r>
      <w:r w:rsidR="009F3C71">
        <w:rPr>
          <w:rFonts w:hint="cs"/>
          <w:rtl/>
        </w:rPr>
        <w:t>أ</w:t>
      </w:r>
      <w:r>
        <w:rPr>
          <w:rFonts w:hint="cs"/>
          <w:rtl/>
        </w:rPr>
        <w:t>داة قوية لمكافحة تهريب الأشخاص.</w:t>
      </w:r>
    </w:p>
    <w:p w:rsidR="00C67DF8" w:rsidRDefault="00C67DF8" w:rsidP="00C67DF8">
      <w:pPr>
        <w:pStyle w:val="SingleTxt"/>
        <w:tabs>
          <w:tab w:val="clear" w:pos="1930"/>
          <w:tab w:val="left" w:pos="2125"/>
        </w:tabs>
        <w:rPr>
          <w:rFonts w:hint="cs"/>
          <w:rtl/>
        </w:rPr>
      </w:pPr>
      <w:r>
        <w:rPr>
          <w:rFonts w:hint="cs"/>
          <w:rtl/>
        </w:rPr>
        <w:t>526 -</w:t>
      </w:r>
      <w:r>
        <w:rPr>
          <w:rFonts w:hint="cs"/>
          <w:rtl/>
        </w:rPr>
        <w:tab/>
        <w:t>واتخذت بعض التدابير الأخرى لمكافحة العنف ضد المرأة، ومنها:</w:t>
      </w:r>
    </w:p>
    <w:p w:rsidR="00C67DF8" w:rsidRDefault="00C67DF8" w:rsidP="00C67DF8">
      <w:pPr>
        <w:pStyle w:val="SingleTxt"/>
        <w:tabs>
          <w:tab w:val="clear" w:pos="1930"/>
          <w:tab w:val="left" w:pos="2125"/>
        </w:tabs>
        <w:rPr>
          <w:rFonts w:hint="cs"/>
          <w:rtl/>
        </w:rPr>
      </w:pPr>
      <w:r>
        <w:rPr>
          <w:rFonts w:hint="cs"/>
          <w:rtl/>
        </w:rPr>
        <w:tab/>
        <w:t>(أ)</w:t>
      </w:r>
      <w:r>
        <w:rPr>
          <w:rFonts w:hint="cs"/>
          <w:rtl/>
        </w:rPr>
        <w:tab/>
        <w:t>أنشئت مخافر للشرطة في 10 مدن في البلد.</w:t>
      </w:r>
    </w:p>
    <w:p w:rsidR="00C67DF8" w:rsidRDefault="00C67DF8" w:rsidP="00C67DF8">
      <w:pPr>
        <w:pStyle w:val="SingleTxt"/>
        <w:tabs>
          <w:tab w:val="clear" w:pos="1930"/>
          <w:tab w:val="left" w:pos="2125"/>
        </w:tabs>
        <w:rPr>
          <w:rFonts w:hint="cs"/>
          <w:rtl/>
        </w:rPr>
      </w:pPr>
      <w:r>
        <w:rPr>
          <w:rFonts w:hint="cs"/>
          <w:rtl/>
        </w:rPr>
        <w:tab/>
        <w:t>(ب)</w:t>
      </w:r>
      <w:r>
        <w:rPr>
          <w:rFonts w:hint="cs"/>
          <w:rtl/>
        </w:rPr>
        <w:tab/>
        <w:t>اتخذ نهج جديد يتمثل في إنشاء مكاتب لشكاوى المرأة في مخافر الشرطة الموجودة. وهي مخصصة لمقدمات الشكاوى وتعمل بها ضابطات للشرطة.</w:t>
      </w:r>
    </w:p>
    <w:p w:rsidR="00C67DF8" w:rsidRDefault="00C67DF8" w:rsidP="00C67DF8">
      <w:pPr>
        <w:pStyle w:val="SingleTxt"/>
        <w:tabs>
          <w:tab w:val="clear" w:pos="1930"/>
          <w:tab w:val="left" w:pos="2125"/>
        </w:tabs>
        <w:rPr>
          <w:rFonts w:hint="cs"/>
          <w:rtl/>
        </w:rPr>
      </w:pPr>
      <w:r>
        <w:rPr>
          <w:rFonts w:hint="cs"/>
          <w:rtl/>
        </w:rPr>
        <w:tab/>
        <w:t>(ج)</w:t>
      </w:r>
      <w:r>
        <w:rPr>
          <w:rFonts w:hint="cs"/>
          <w:rtl/>
        </w:rPr>
        <w:tab/>
        <w:t xml:space="preserve">يوجد بالفعل ثلاثة مراكز للأزمات تديرها المرأة في البلد. وتقدم المساعدات القانونية والطبية المجانية والمأوى المؤقت للنساء ضحايا العنف، بما في ذلك العنف المنزلي، في هذه المراكز التي قدمت المساعدة إلى نحو 000 5 امرأة خلال السنوات الأربع الماضية. وتجري زيادة عدد هذه المراكز إلى 10. وستكون المراكز الإضافية السبعة في كاراتشي </w:t>
      </w:r>
      <w:proofErr w:type="spellStart"/>
      <w:r>
        <w:rPr>
          <w:rFonts w:hint="cs"/>
          <w:rtl/>
        </w:rPr>
        <w:t>وميانوالي</w:t>
      </w:r>
      <w:proofErr w:type="spellEnd"/>
      <w:r>
        <w:rPr>
          <w:rFonts w:hint="cs"/>
          <w:rtl/>
        </w:rPr>
        <w:t xml:space="preserve">، </w:t>
      </w:r>
      <w:proofErr w:type="spellStart"/>
      <w:r>
        <w:rPr>
          <w:rFonts w:hint="cs"/>
          <w:rtl/>
        </w:rPr>
        <w:t>وكوهات</w:t>
      </w:r>
      <w:proofErr w:type="spellEnd"/>
      <w:r>
        <w:rPr>
          <w:rFonts w:hint="cs"/>
          <w:rtl/>
        </w:rPr>
        <w:t xml:space="preserve">، </w:t>
      </w:r>
      <w:proofErr w:type="spellStart"/>
      <w:r>
        <w:rPr>
          <w:rFonts w:hint="cs"/>
          <w:rtl/>
        </w:rPr>
        <w:t>وراولبندي</w:t>
      </w:r>
      <w:proofErr w:type="spellEnd"/>
      <w:r>
        <w:rPr>
          <w:rFonts w:hint="cs"/>
          <w:rtl/>
        </w:rPr>
        <w:t xml:space="preserve">، وكيتا، </w:t>
      </w:r>
      <w:proofErr w:type="spellStart"/>
      <w:r>
        <w:rPr>
          <w:rFonts w:hint="cs"/>
          <w:rtl/>
        </w:rPr>
        <w:t>وبشاور</w:t>
      </w:r>
      <w:proofErr w:type="spellEnd"/>
      <w:r>
        <w:rPr>
          <w:rFonts w:hint="cs"/>
          <w:rtl/>
        </w:rPr>
        <w:t>، ولاهور. ومن المنتظر أن تبدأ عملها في 30 حزيران/يونيه 2005.</w:t>
      </w:r>
    </w:p>
    <w:p w:rsidR="00C67DF8" w:rsidRDefault="00C67DF8" w:rsidP="00C67DF8">
      <w:pPr>
        <w:pStyle w:val="SingleTxt"/>
        <w:tabs>
          <w:tab w:val="clear" w:pos="1930"/>
          <w:tab w:val="left" w:pos="2125"/>
        </w:tabs>
        <w:rPr>
          <w:rFonts w:hint="cs"/>
          <w:rtl/>
        </w:rPr>
      </w:pPr>
      <w:r>
        <w:rPr>
          <w:rFonts w:hint="cs"/>
          <w:rtl/>
        </w:rPr>
        <w:tab/>
        <w:t>(د)</w:t>
      </w:r>
      <w:r>
        <w:rPr>
          <w:rFonts w:hint="cs"/>
          <w:rtl/>
        </w:rPr>
        <w:tab/>
        <w:t>وأصدرت الحكومة قانون النساء في الحبس والاحتجاز لسنة 1996. ووضعت القواعد الخاصة بهذا القانون في سنة 1999. وهو ينشئ صندوقا لمساعدة المرأة المخالفة للقانون.</w:t>
      </w:r>
    </w:p>
    <w:p w:rsidR="00C67DF8" w:rsidRDefault="00C67DF8" w:rsidP="007977D9">
      <w:pPr>
        <w:pStyle w:val="SingleTxt"/>
        <w:tabs>
          <w:tab w:val="clear" w:pos="1930"/>
          <w:tab w:val="left" w:pos="2125"/>
        </w:tabs>
        <w:rPr>
          <w:rFonts w:hint="cs"/>
          <w:rtl/>
        </w:rPr>
      </w:pPr>
      <w:r>
        <w:rPr>
          <w:rFonts w:hint="cs"/>
          <w:rtl/>
        </w:rPr>
        <w:tab/>
        <w:t>(هـ)</w:t>
      </w:r>
      <w:r>
        <w:rPr>
          <w:rFonts w:hint="cs"/>
          <w:rtl/>
        </w:rPr>
        <w:tab/>
        <w:t xml:space="preserve">قامت ولاية بنجاب بتحديث النظام الطبي </w:t>
      </w:r>
      <w:r>
        <w:rPr>
          <w:rtl/>
        </w:rPr>
        <w:t>–</w:t>
      </w:r>
      <w:r>
        <w:rPr>
          <w:rFonts w:hint="cs"/>
          <w:rtl/>
        </w:rPr>
        <w:t xml:space="preserve"> القانوني لتيسير متابعة أسرع للحالات التي تنطوي على العنف ضد المرأة. وأنشأت 15 مركزا طبيا </w:t>
      </w:r>
      <w:r>
        <w:rPr>
          <w:rtl/>
        </w:rPr>
        <w:t>–</w:t>
      </w:r>
      <w:r>
        <w:rPr>
          <w:rFonts w:hint="cs"/>
          <w:rtl/>
        </w:rPr>
        <w:t xml:space="preserve"> قانونيا لزيادة تسهيل الوصول إلى المساعدة الطبية </w:t>
      </w:r>
      <w:r w:rsidR="007977D9">
        <w:rPr>
          <w:rFonts w:hint="cs"/>
          <w:rtl/>
        </w:rPr>
        <w:t>-</w:t>
      </w:r>
      <w:r>
        <w:rPr>
          <w:rFonts w:hint="cs"/>
          <w:rtl/>
        </w:rPr>
        <w:t xml:space="preserve"> القانونية.</w:t>
      </w:r>
    </w:p>
    <w:p w:rsidR="00C67DF8" w:rsidRDefault="00C67DF8" w:rsidP="009F3C71">
      <w:pPr>
        <w:pStyle w:val="SingleTxt"/>
        <w:tabs>
          <w:tab w:val="clear" w:pos="1930"/>
          <w:tab w:val="left" w:pos="2125"/>
        </w:tabs>
        <w:rPr>
          <w:rFonts w:hint="cs"/>
          <w:rtl/>
        </w:rPr>
      </w:pPr>
      <w:r>
        <w:rPr>
          <w:rFonts w:hint="cs"/>
          <w:rtl/>
        </w:rPr>
        <w:t>527 -</w:t>
      </w:r>
      <w:r>
        <w:rPr>
          <w:rFonts w:hint="cs"/>
          <w:rtl/>
        </w:rPr>
        <w:tab/>
        <w:t xml:space="preserve">وتجري إصلاحات في مجال الشرطة كجزء من برنامج الوصول إلى العدالة. وتشمل الملامح البارزة لهذه الإصلاحات </w:t>
      </w:r>
      <w:r w:rsidR="009F3C71">
        <w:rPr>
          <w:rFonts w:hint="cs"/>
          <w:rtl/>
        </w:rPr>
        <w:t>تشجيع وجود علاقات أفضل بين الشرطة</w:t>
      </w:r>
      <w:r>
        <w:rPr>
          <w:rFonts w:hint="cs"/>
          <w:rtl/>
        </w:rPr>
        <w:t xml:space="preserve"> والمواطنين وزيادة الوعي </w:t>
      </w:r>
      <w:proofErr w:type="spellStart"/>
      <w:r>
        <w:rPr>
          <w:rFonts w:hint="cs"/>
          <w:rtl/>
        </w:rPr>
        <w:t>الجنساني</w:t>
      </w:r>
      <w:proofErr w:type="spellEnd"/>
      <w:r>
        <w:rPr>
          <w:rFonts w:hint="cs"/>
          <w:rtl/>
        </w:rPr>
        <w:t xml:space="preserve"> والتوعية في مجال حقوق الإنسان.</w:t>
      </w:r>
    </w:p>
    <w:p w:rsidR="00C67DF8" w:rsidRPr="005031DD"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وجود خدمات الدعم للنساء ضحايا العنف وسوء المعاملة</w:t>
      </w:r>
    </w:p>
    <w:p w:rsidR="00C67DF8" w:rsidRDefault="00C67DF8" w:rsidP="00C67DF8">
      <w:pPr>
        <w:pStyle w:val="SingleTxt"/>
        <w:tabs>
          <w:tab w:val="clear" w:pos="1930"/>
          <w:tab w:val="left" w:pos="2125"/>
        </w:tabs>
        <w:rPr>
          <w:rFonts w:hint="cs"/>
          <w:rtl/>
        </w:rPr>
      </w:pPr>
      <w:r>
        <w:rPr>
          <w:rFonts w:hint="cs"/>
          <w:rtl/>
        </w:rPr>
        <w:t xml:space="preserve">528 </w:t>
      </w:r>
      <w:r>
        <w:rPr>
          <w:rtl/>
        </w:rPr>
        <w:t>–</w:t>
      </w:r>
      <w:r>
        <w:rPr>
          <w:rFonts w:hint="cs"/>
          <w:rtl/>
        </w:rPr>
        <w:t xml:space="preserve">أنشئت مراكز للمرأة في الحبس في إسلام أباد </w:t>
      </w:r>
      <w:proofErr w:type="spellStart"/>
      <w:r>
        <w:rPr>
          <w:rFonts w:hint="cs"/>
          <w:rtl/>
        </w:rPr>
        <w:t>وفيهاري</w:t>
      </w:r>
      <w:proofErr w:type="spellEnd"/>
      <w:r>
        <w:rPr>
          <w:rFonts w:hint="cs"/>
          <w:rtl/>
        </w:rPr>
        <w:t xml:space="preserve"> </w:t>
      </w:r>
      <w:proofErr w:type="spellStart"/>
      <w:r>
        <w:rPr>
          <w:rFonts w:hint="cs"/>
          <w:rtl/>
        </w:rPr>
        <w:t>وساهيوال</w:t>
      </w:r>
      <w:proofErr w:type="spellEnd"/>
      <w:r>
        <w:rPr>
          <w:rFonts w:hint="cs"/>
          <w:rtl/>
        </w:rPr>
        <w:t>. وتعتزم الحكومة إقامة هذه المراكز في جميع المدن الكبرى. وتوفر المساعدة الطبية والقانونية المجانية والمأوى المؤقت للنساء ضحايا العنف، بما في ذلك العنف العائلي، في جميع هذه المراكز.</w:t>
      </w:r>
    </w:p>
    <w:p w:rsidR="00C67DF8" w:rsidRPr="001107B8"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توفير بيانات إحصائية عن حدوث العنف بجميع أشكاله ضد المرأة وعن النساء ضحايا العنف</w:t>
      </w:r>
    </w:p>
    <w:p w:rsidR="00C67DF8" w:rsidRDefault="00C67DF8" w:rsidP="00C67DF8">
      <w:pPr>
        <w:pStyle w:val="SingleTxt"/>
        <w:tabs>
          <w:tab w:val="clear" w:pos="1930"/>
          <w:tab w:val="left" w:pos="2125"/>
        </w:tabs>
        <w:rPr>
          <w:rFonts w:hint="cs"/>
          <w:rtl/>
        </w:rPr>
      </w:pPr>
      <w:r>
        <w:rPr>
          <w:rFonts w:hint="cs"/>
          <w:rtl/>
        </w:rPr>
        <w:t>529 -</w:t>
      </w:r>
      <w:r>
        <w:rPr>
          <w:rFonts w:hint="cs"/>
          <w:rtl/>
        </w:rPr>
        <w:tab/>
        <w:t xml:space="preserve">إن الحصول بسهولة إلى بيانات مفصلة حسب نوع الجنس بالنسبة لجميع أشكال العنف ضد المرأة والنساء ضحايا العنف في باكستان غير متاح بعد. ويعتبر هذا عائقا هاما في سبيل معالجة هذه المسألة. وتعمل وزارة تنمية المرأة مع الإدارات المعنية لضمان تصحيح هذا الجانب من جوانب القصور. وتقوم بعض المنظمات غير الحكومية بتجميع البيانات الخاصة بالعنف ضد المرأة، وخاصة ما يسمى بالقتل دفاعا عن الشرف. وليست الحكومة في وضع يسمح لها باعتماد هذه البيانات أو رفضها. </w:t>
      </w:r>
    </w:p>
    <w:p w:rsidR="00C67DF8" w:rsidRDefault="00C67DF8" w:rsidP="009F3C71">
      <w:pPr>
        <w:pStyle w:val="SingleTxt"/>
        <w:tabs>
          <w:tab w:val="clear" w:pos="1930"/>
          <w:tab w:val="left" w:pos="2125"/>
        </w:tabs>
        <w:rPr>
          <w:rFonts w:hint="cs"/>
          <w:rtl/>
        </w:rPr>
      </w:pPr>
      <w:r>
        <w:rPr>
          <w:rFonts w:hint="cs"/>
          <w:rtl/>
        </w:rPr>
        <w:t>530 -</w:t>
      </w:r>
      <w:r>
        <w:rPr>
          <w:rFonts w:hint="cs"/>
          <w:rtl/>
        </w:rPr>
        <w:tab/>
        <w:t>وفي 8 تموز/يوليه 2004، أبلغ الوزراء مجلس الشيوخ، إجابة على سؤال موجه من السيدة عايدة سيف، عضو المجلس، أن عدد ضحايا القتل دفاعا عن الشرف بلغ 000 4 من الرجال والنساء، في البلد، خلال السنوات الست السابقة. وكان عدد النساء ضحايا القتل دفاعا عن الشرف ضعف عدد الرجال المقتولين، خلال الفترة من كانون الثاني/يناير 1998 وحتى كانون الأول/ديسمبر 2003. وفي خلال المناقشة، وصف أعضاء مجلس الشيوخ المعنيين بالمسائل المالية، هذه العملية بأنها لا تنتمي إلى الشرف بصلة. وكان أ</w:t>
      </w:r>
      <w:r w:rsidR="009F3C71">
        <w:rPr>
          <w:rFonts w:hint="cs"/>
          <w:rtl/>
        </w:rPr>
        <w:t>ك</w:t>
      </w:r>
      <w:r>
        <w:rPr>
          <w:rFonts w:hint="cs"/>
          <w:rtl/>
        </w:rPr>
        <w:t xml:space="preserve">بر عدد من حوادث </w:t>
      </w:r>
      <w:r>
        <w:rPr>
          <w:rFonts w:hint="eastAsia"/>
          <w:rtl/>
        </w:rPr>
        <w:t>”القتل دفاعا عن  الشرف</w:t>
      </w:r>
      <w:r>
        <w:rPr>
          <w:rFonts w:hint="cs"/>
          <w:rtl/>
        </w:rPr>
        <w:t xml:space="preserve">“ في بنجاب، يليها السند ومقاطعة الحدود الشمالية الغربية </w:t>
      </w:r>
      <w:proofErr w:type="spellStart"/>
      <w:r>
        <w:rPr>
          <w:rFonts w:hint="cs"/>
          <w:rtl/>
        </w:rPr>
        <w:t>وبالوسشتان</w:t>
      </w:r>
      <w:proofErr w:type="spellEnd"/>
      <w:r>
        <w:rPr>
          <w:rFonts w:hint="cs"/>
          <w:rtl/>
        </w:rPr>
        <w:t xml:space="preserve">. فمن مجموع القتيلات البالغ عددهن 774 2، قتل 578 1 في بنجاب، و751 في السند، و260 في مقاطعة الحدود الشمالية الغربية، و185 في </w:t>
      </w:r>
      <w:proofErr w:type="spellStart"/>
      <w:r>
        <w:rPr>
          <w:rFonts w:hint="cs"/>
          <w:rtl/>
        </w:rPr>
        <w:t>بالوسشتان</w:t>
      </w:r>
      <w:proofErr w:type="spellEnd"/>
      <w:r>
        <w:rPr>
          <w:rFonts w:hint="cs"/>
          <w:rtl/>
        </w:rPr>
        <w:t xml:space="preserve">. وكان العدد المقابل للرجال، 675 قتيلا في بنجاب، و348 في السند، و188 في مقاطعة الحدود الشمالية الغربية، و116 في </w:t>
      </w:r>
      <w:proofErr w:type="spellStart"/>
      <w:r>
        <w:rPr>
          <w:rFonts w:hint="cs"/>
          <w:rtl/>
        </w:rPr>
        <w:t>بالوشستان</w:t>
      </w:r>
      <w:proofErr w:type="spellEnd"/>
      <w:r>
        <w:rPr>
          <w:rFonts w:hint="cs"/>
          <w:rtl/>
        </w:rPr>
        <w:t xml:space="preserve">. وسجلت 451 3 حالة في البلد </w:t>
      </w:r>
      <w:r>
        <w:rPr>
          <w:rtl/>
        </w:rPr>
        <w:t>–</w:t>
      </w:r>
      <w:r>
        <w:rPr>
          <w:rFonts w:hint="cs"/>
          <w:rtl/>
        </w:rPr>
        <w:t xml:space="preserve"> منها 834 1 حالة في بنجاب، و980 حالة مسجلة في السند، لم يبت في 609 حالات، بينما اتخذت إجراءات بالنسبة لـ 231 حالة. وفي مقاطعة الحدود الشمالية الغربية، كانت هناك 167 حالة لم يبت فيها بعد من بين مجموع 316 حالة سجلت خلال السنوات الست. واتخذ قرار بالنسبة لـ 185 حالة. ومن مجموع 76 حالة مسجلة في </w:t>
      </w:r>
      <w:proofErr w:type="spellStart"/>
      <w:r>
        <w:rPr>
          <w:rFonts w:hint="cs"/>
          <w:rtl/>
        </w:rPr>
        <w:t>بالوسشتان</w:t>
      </w:r>
      <w:proofErr w:type="spellEnd"/>
      <w:r>
        <w:rPr>
          <w:rFonts w:hint="cs"/>
          <w:rtl/>
        </w:rPr>
        <w:t>، كانت هناك 23 حالة لم يبت فيها بعد، في نهاية سنة 2003. بينما اتخذ قرار بالنسبة لـ 41 حالة.</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وحكمت محاكم القضاء الدنيا على 52 متهما بالإعدام وعلى 59 متهما بالسجن المؤبد في 160 حالة تم اتخاذ قرار بشأنها في بنجاب. وحكم على باقي المتهمين بعقوبات أقل. ينبغي أن تتخذ الدول الأطراف تدابير مناسبة وفعالة للتغلب على جميع أشكال العنف القائم على أساس نوع الجنس، سواء كان عملا عاما أو خاصا</w:t>
      </w:r>
    </w:p>
    <w:p w:rsidR="00C67DF8" w:rsidRDefault="00C67DF8" w:rsidP="00C67DF8">
      <w:pPr>
        <w:pStyle w:val="SingleTxt"/>
        <w:tabs>
          <w:tab w:val="clear" w:pos="1930"/>
          <w:tab w:val="left" w:pos="2125"/>
        </w:tabs>
        <w:rPr>
          <w:rFonts w:hint="cs"/>
          <w:rtl/>
        </w:rPr>
      </w:pPr>
      <w:r>
        <w:rPr>
          <w:rFonts w:hint="cs"/>
          <w:rtl/>
        </w:rPr>
        <w:t>531 -</w:t>
      </w:r>
      <w:r>
        <w:rPr>
          <w:rFonts w:hint="cs"/>
          <w:rtl/>
        </w:rPr>
        <w:tab/>
        <w:t xml:space="preserve">تسعى الحكومة إلى إيجاد بيئة لا تتسامح في العنف ضد المرأة بتاتا. وقد ورد أعلاه ذكر التدابير التي اتخذتها الحكومة. غير أن تغطية هذه التدابير </w:t>
      </w:r>
      <w:r>
        <w:rPr>
          <w:rFonts w:hint="eastAsia"/>
          <w:rtl/>
        </w:rPr>
        <w:t xml:space="preserve">”لجميع </w:t>
      </w:r>
      <w:r>
        <w:rPr>
          <w:rFonts w:hint="cs"/>
          <w:rtl/>
        </w:rPr>
        <w:t>أشكال العنف القائم على أساس نوع الجنس</w:t>
      </w:r>
      <w:r>
        <w:rPr>
          <w:rFonts w:hint="eastAsia"/>
          <w:rtl/>
        </w:rPr>
        <w:t xml:space="preserve">“ محل نقاش. </w:t>
      </w:r>
      <w:r>
        <w:rPr>
          <w:rFonts w:hint="cs"/>
          <w:rtl/>
        </w:rPr>
        <w:t>فمازالت بعض المسائل حساسة جدا. وعلى سبيل المثال، هناك اتجاه إلى عدم ملاحقة حالات العنف المنزلي إلا إذا كانت خطيرة جدا. ومن المحتمل اعتبار أن القانون الجنائي يشمل أغلب حالات العنف ضد المرأة، غير أن هناك ميل عام إلى أن تعمل سلطات إنفاذ القوانين على تحقيق المصالحة بين الزوجين.</w:t>
      </w:r>
    </w:p>
    <w:p w:rsidR="00C67DF8" w:rsidRPr="00A70D13" w:rsidRDefault="00C67DF8" w:rsidP="00C67DF8">
      <w:pPr>
        <w:pStyle w:val="SingleTxt"/>
        <w:tabs>
          <w:tab w:val="clear" w:pos="1930"/>
          <w:tab w:val="left" w:pos="2125"/>
        </w:tabs>
        <w:spacing w:after="0" w:line="120" w:lineRule="exact"/>
        <w:rPr>
          <w:rFonts w:hint="cs"/>
          <w:sz w:val="12"/>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ينبغي أن تضمن الدول الأطراف أن تتيح القوانين التي تناهض العنف وإساءة المعاملة في الأسرة، والاغتصاب، والاعتداء الجنسي وغيره من أشكال العنف القائم على أساس نوع الجنس، حماية كافية لجميع النساء، واحترام سلامتهن وكرامتهن. وينبغي توفير خدمات الوقاية والدعم المناسب للضحايا. كما أن تدريب العاملين في القضاء وفي إنفاذ القوانين وغيرهم من الموظفين الحكوميين على الإحساس بتمايز الجنسين أمر أساسي لفعالية تنفي</w:t>
      </w:r>
      <w:r w:rsidR="009F3C71">
        <w:rPr>
          <w:rFonts w:hint="cs"/>
          <w:rtl/>
        </w:rPr>
        <w:t>ذ</w:t>
      </w:r>
      <w:r>
        <w:rPr>
          <w:rFonts w:hint="cs"/>
          <w:rtl/>
        </w:rPr>
        <w:t xml:space="preserve"> الاتفاقية</w:t>
      </w:r>
    </w:p>
    <w:p w:rsidR="00C67DF8" w:rsidRDefault="00C67DF8" w:rsidP="00C67DF8">
      <w:pPr>
        <w:pStyle w:val="SingleTxt"/>
        <w:tabs>
          <w:tab w:val="clear" w:pos="1930"/>
          <w:tab w:val="left" w:pos="2125"/>
        </w:tabs>
        <w:rPr>
          <w:rFonts w:hint="cs"/>
          <w:rtl/>
        </w:rPr>
      </w:pPr>
      <w:r>
        <w:rPr>
          <w:rFonts w:hint="cs"/>
          <w:rtl/>
        </w:rPr>
        <w:t>532 -</w:t>
      </w:r>
      <w:r>
        <w:rPr>
          <w:rFonts w:hint="cs"/>
          <w:rtl/>
        </w:rPr>
        <w:tab/>
        <w:t>كما ورد ذكره أعلاه، لا يوجد في باكستان قانون محدد لمكافحة العنف العائلي. وتكفل جميع الأحكام الخاصة بالعنف في القانون الجنائي حماية متساوية لجميع المواطنين، بما في ذلك المرأة. وقد نوقشت مسألة قوانين الحدود الإسلامية في الفصل الخامس عشر، الفقرات 478-482. وتبذل الجهود لحماية سلامة وكرامة جميع النساء ضحايا العنف. غير أن الناشطين في مجال حقوق الإنسان يرون أن رجال الشرطة والقضاء لا يتوفر لديهم الإحساس الكافي بمحنة النساء ضحايا العنف، في بعض الأحيان.</w:t>
      </w:r>
    </w:p>
    <w:p w:rsidR="00C67DF8" w:rsidRDefault="00C67DF8" w:rsidP="00C67DF8">
      <w:pPr>
        <w:pStyle w:val="SingleTxt"/>
        <w:tabs>
          <w:tab w:val="clear" w:pos="1930"/>
          <w:tab w:val="left" w:pos="2125"/>
        </w:tabs>
        <w:rPr>
          <w:rFonts w:hint="cs"/>
          <w:rtl/>
        </w:rPr>
      </w:pPr>
      <w:r>
        <w:rPr>
          <w:rFonts w:hint="cs"/>
          <w:rtl/>
        </w:rPr>
        <w:t>533 -</w:t>
      </w:r>
      <w:r>
        <w:rPr>
          <w:rFonts w:hint="cs"/>
          <w:rtl/>
        </w:rPr>
        <w:tab/>
        <w:t>وقد تمت معالجة مسألة خدمات الدعم والتدريب الواعي بالفروق بين الجنسين للعاملين في الشرطة في الفقرة 525 أعلاه.</w:t>
      </w:r>
    </w:p>
    <w:p w:rsidR="00C67DF8" w:rsidRPr="00F36254" w:rsidRDefault="00C67DF8" w:rsidP="00C67DF8">
      <w:pPr>
        <w:pStyle w:val="SingleTxt"/>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ينبغي اتخاذ تدابير فعالة تكفل احترام وسائط الإعلام الجماهيري للمرأة وتشجيع احترامها</w:t>
      </w:r>
    </w:p>
    <w:p w:rsidR="00C67DF8" w:rsidRDefault="00C67DF8" w:rsidP="00C67DF8">
      <w:pPr>
        <w:pStyle w:val="SingleTxt"/>
        <w:tabs>
          <w:tab w:val="clear" w:pos="1930"/>
          <w:tab w:val="left" w:pos="2125"/>
        </w:tabs>
        <w:rPr>
          <w:rFonts w:hint="cs"/>
          <w:rtl/>
        </w:rPr>
      </w:pPr>
      <w:r>
        <w:rPr>
          <w:rFonts w:hint="cs"/>
          <w:rtl/>
        </w:rPr>
        <w:t>534 -</w:t>
      </w:r>
      <w:r>
        <w:rPr>
          <w:rFonts w:hint="cs"/>
          <w:rtl/>
        </w:rPr>
        <w:tab/>
        <w:t>قامت وسائط الإعلام بدور إيجابي في مجال إبراز حوادث العنف ضد المرأة، بصورة عامة. ويرجع لها الفضل، جزئيا، لإيجاد وعي بحقوق المرأة وبانتهاك هذه الحقوق، وخاصة، العنف ضد المرأة. وقد أبدت وسائط الإعلام، بصورة عامة، والجرائد اليومية الكبرى، بصورة خاصة، وعيا كبيرا في تصوير النساء ضحايا العنف.</w:t>
      </w:r>
    </w:p>
    <w:p w:rsidR="00C67DF8" w:rsidRPr="00F36254" w:rsidRDefault="00C67DF8" w:rsidP="00C67DF8">
      <w:pPr>
        <w:pStyle w:val="SingleTxt"/>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ينبغي أن تحدد الدول الأطراف، في تقاريرها، طبيعة ونطاق المواقف والأعراف والممارسات التي تديم العنف ضد المرأة. وتبين نوع العنف الذي تسببه. وينبغي أن تبلغ عن التدابير المتخذة للتغلب على العنف وأثر هذه التدابير</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ينبغي اتخاذ تدابير فعالة للتغلب على هذه المواقف والممارسات. وينبغي أن تستحدث الدول برامج للتثقيف والإعلام الجماهيري للمساعدة في القضاء على أوجه التحامل التي تعرقل مساواة المرأة</w:t>
      </w:r>
    </w:p>
    <w:p w:rsidR="00C67DF8" w:rsidRPr="009F3C71" w:rsidRDefault="009F3C71" w:rsidP="009F3C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67DF8" w:rsidRPr="009F3C71">
        <w:rPr>
          <w:rFonts w:hint="cs"/>
          <w:rtl/>
        </w:rPr>
        <w:t>يعني المستوى المنخفض لمحو الأمية أن المواطنين، رجالا ونساء، ليس لديهم وعي بحقوقهم، بصورة عامة. ومازالت هناك مواقف تؤكد أن مكان المرأة هو البيت بينما ترى أن كسب العيش هو وظيفة الرج</w:t>
      </w:r>
      <w:r>
        <w:rPr>
          <w:rFonts w:hint="cs"/>
          <w:rtl/>
        </w:rPr>
        <w:t>ل. وهذه المواقف آخذه في التغير</w:t>
      </w:r>
    </w:p>
    <w:p w:rsidR="00C67DF8" w:rsidRDefault="00C67DF8" w:rsidP="00C67DF8">
      <w:pPr>
        <w:pStyle w:val="SingleTxt"/>
        <w:tabs>
          <w:tab w:val="clear" w:pos="1930"/>
          <w:tab w:val="left" w:pos="2125"/>
        </w:tabs>
        <w:rPr>
          <w:rFonts w:hint="cs"/>
          <w:rtl/>
        </w:rPr>
      </w:pPr>
      <w:r>
        <w:rPr>
          <w:rFonts w:hint="cs"/>
          <w:rtl/>
        </w:rPr>
        <w:t>535 -</w:t>
      </w:r>
      <w:r>
        <w:rPr>
          <w:rFonts w:hint="cs"/>
          <w:rtl/>
        </w:rPr>
        <w:tab/>
        <w:t xml:space="preserve">هناك تعارض في نظرة بعض قطاعات من السكان للمرأة. وتوجد ثقافة تقدس الأدوار التقليدية للمرأة، وخاصة دورها </w:t>
      </w:r>
      <w:proofErr w:type="spellStart"/>
      <w:r>
        <w:rPr>
          <w:rFonts w:hint="cs"/>
          <w:rtl/>
        </w:rPr>
        <w:t>كام</w:t>
      </w:r>
      <w:proofErr w:type="spellEnd"/>
      <w:r>
        <w:rPr>
          <w:rFonts w:hint="cs"/>
          <w:rtl/>
        </w:rPr>
        <w:t>، إلى أقصى الحدود. وتعتبر المرأة شرف الأسرة وترى أن عدم قدرة الرجل على حماية نساء الأسرة أمر شائن.</w:t>
      </w:r>
    </w:p>
    <w:p w:rsidR="00C67DF8" w:rsidRDefault="00C67DF8" w:rsidP="009F3C71">
      <w:pPr>
        <w:pStyle w:val="SingleTxt"/>
        <w:tabs>
          <w:tab w:val="clear" w:pos="1930"/>
          <w:tab w:val="left" w:pos="2125"/>
        </w:tabs>
        <w:rPr>
          <w:rFonts w:hint="cs"/>
          <w:rtl/>
        </w:rPr>
      </w:pPr>
      <w:r>
        <w:rPr>
          <w:rFonts w:hint="cs"/>
          <w:rtl/>
        </w:rPr>
        <w:t>536 -</w:t>
      </w:r>
      <w:r>
        <w:rPr>
          <w:rFonts w:hint="cs"/>
          <w:rtl/>
        </w:rPr>
        <w:tab/>
        <w:t xml:space="preserve">ويترتب على هذا الشعور بالشرف. في غير محله، عواقب خطيرة، في بعض الأحيان، مثلما يحدث القتل </w:t>
      </w:r>
      <w:r w:rsidR="009F3C71">
        <w:rPr>
          <w:rFonts w:hint="cs"/>
          <w:rtl/>
        </w:rPr>
        <w:t xml:space="preserve">دفاعا عن </w:t>
      </w:r>
      <w:r>
        <w:rPr>
          <w:rFonts w:hint="cs"/>
          <w:rtl/>
        </w:rPr>
        <w:t>الشرف، عندما تؤكد المرأة استقلالها وتعارض رغبات الأسرة.</w:t>
      </w:r>
    </w:p>
    <w:p w:rsidR="00C67DF8" w:rsidRDefault="00C67DF8" w:rsidP="00C67DF8">
      <w:pPr>
        <w:pStyle w:val="SingleTxt"/>
        <w:tabs>
          <w:tab w:val="clear" w:pos="1930"/>
          <w:tab w:val="left" w:pos="2125"/>
        </w:tabs>
        <w:rPr>
          <w:rFonts w:hint="cs"/>
          <w:rtl/>
        </w:rPr>
      </w:pPr>
      <w:r>
        <w:rPr>
          <w:rFonts w:hint="cs"/>
          <w:rtl/>
        </w:rPr>
        <w:t>537 -</w:t>
      </w:r>
      <w:r>
        <w:rPr>
          <w:rFonts w:hint="cs"/>
          <w:rtl/>
        </w:rPr>
        <w:tab/>
        <w:t xml:space="preserve">ومازالت القبائل والعشائر تلعب دورا في المجتمع الباكستاني، خاصة في المناطق الريفية. ولا تعتبر العداوات أمرا غير عادي فيما بينها. وتعقد أحيانا زيجات بين أعضاء العشائر لتحقيق التوفيق وختم </w:t>
      </w:r>
      <w:r>
        <w:rPr>
          <w:rFonts w:hint="eastAsia"/>
          <w:rtl/>
        </w:rPr>
        <w:t>”السلام</w:t>
      </w:r>
      <w:r>
        <w:rPr>
          <w:rFonts w:hint="cs"/>
          <w:rtl/>
        </w:rPr>
        <w:t>“. ولا يتم، بالضرورة، استشارة النساء المطلوب منهن الدخول في زيجات من هذا القبيل، ولا يعار رأيهن الأهمية  الواجبة. وقد حر</w:t>
      </w:r>
      <w:r w:rsidR="009F3C71">
        <w:rPr>
          <w:rFonts w:hint="cs"/>
          <w:rtl/>
        </w:rPr>
        <w:t>َّ</w:t>
      </w:r>
      <w:r>
        <w:rPr>
          <w:rFonts w:hint="cs"/>
          <w:rtl/>
        </w:rPr>
        <w:t xml:space="preserve">م حكم صادر عن المحكمة العالمية في </w:t>
      </w:r>
      <w:proofErr w:type="spellStart"/>
      <w:r>
        <w:rPr>
          <w:rFonts w:hint="cs"/>
          <w:rtl/>
        </w:rPr>
        <w:t>بشاور</w:t>
      </w:r>
      <w:proofErr w:type="spellEnd"/>
      <w:r>
        <w:rPr>
          <w:rFonts w:hint="cs"/>
          <w:rtl/>
        </w:rPr>
        <w:t xml:space="preserve"> هذه الحالات.</w:t>
      </w:r>
    </w:p>
    <w:p w:rsidR="00C67DF8" w:rsidRDefault="00C67DF8" w:rsidP="009F3C71">
      <w:pPr>
        <w:pStyle w:val="SingleTxt"/>
        <w:tabs>
          <w:tab w:val="clear" w:pos="1930"/>
          <w:tab w:val="left" w:pos="2125"/>
        </w:tabs>
        <w:rPr>
          <w:rFonts w:hint="cs"/>
          <w:rtl/>
        </w:rPr>
      </w:pPr>
      <w:r>
        <w:rPr>
          <w:rFonts w:hint="cs"/>
          <w:rtl/>
        </w:rPr>
        <w:t>538 -</w:t>
      </w:r>
      <w:r>
        <w:rPr>
          <w:rFonts w:hint="cs"/>
          <w:rtl/>
        </w:rPr>
        <w:tab/>
        <w:t xml:space="preserve">ويحتاج جهاز الدولة إلى تعاون من المجتمع من أجل مكافحة هذه المشاكل بصورة كاملة. ولا يمكن أن تنجح التدابير القانونية والعقابية، تماما، إلا بتغير مواقف المجتمع. وهذا يتطلب انتشار التعليم وجهد مطرد من جانب صانعي الرأي لإدانة جميع هذه المواقف والأفكار التي تحرم المرأة من حقوقها. ويلزم تحسين كفاءة جهاز إنفاذ القوانين وقدرته على التصرف في ملاحقة حالات العنف ضد المرأة، وخاصة القتل </w:t>
      </w:r>
      <w:r w:rsidR="009F3C71">
        <w:rPr>
          <w:rFonts w:hint="cs"/>
          <w:rtl/>
        </w:rPr>
        <w:t xml:space="preserve">دفاعا عن </w:t>
      </w:r>
      <w:r>
        <w:rPr>
          <w:rFonts w:hint="cs"/>
          <w:rtl/>
        </w:rPr>
        <w:t>الشرف. ويرجى أن تعمل هذه العناصر معا وتنخفض حالات العنف ضد المرأة، بصورة كبيرة.</w:t>
      </w:r>
    </w:p>
    <w:p w:rsidR="00C67DF8" w:rsidRPr="00F36254" w:rsidRDefault="00C67DF8" w:rsidP="00C67DF8">
      <w:pPr>
        <w:pStyle w:val="SingleTxt"/>
        <w:tabs>
          <w:tab w:val="clear" w:pos="1930"/>
          <w:tab w:val="left" w:pos="2125"/>
        </w:tabs>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من الضروري اتخاذ تدابير وقائية وعقابية محددة للتغلب على الاتجار بالمرأة واستغلالها الجنسي</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ينبغي أن تصف تقارير الدول الأطراف نطاق جميع هذه المشاكل وتدابير الوقاية وإعادة التأهيل - بما في ذلك الأحكام الجزائية - المتخذة لحماية المرأة التي تعمل في البغاء وتتعرض للاتجار والأشكال الأخرى من الاستغلال الجنسي، كما ينبغي وصف فعالية هذه التدابير</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ينبغي إتاحة إجراءات التظلم وسبل الانتصاف الفعالة بما في ذلك التعويض</w:t>
      </w:r>
    </w:p>
    <w:p w:rsidR="00C67DF8" w:rsidRDefault="009F3C71" w:rsidP="009F3C71">
      <w:pPr>
        <w:pStyle w:val="SingleTxt"/>
        <w:rPr>
          <w:rFonts w:hint="cs"/>
          <w:rtl/>
        </w:rPr>
      </w:pPr>
      <w:r>
        <w:rPr>
          <w:rFonts w:hint="cs"/>
          <w:rtl/>
        </w:rPr>
        <w:t>(</w:t>
      </w:r>
      <w:r w:rsidR="00C67DF8">
        <w:rPr>
          <w:rFonts w:hint="cs"/>
          <w:rtl/>
        </w:rPr>
        <w:t>وردت معلومات تفصيلية عن الاتجار في الفصل السادس من هذا التقرير</w:t>
      </w:r>
      <w:r>
        <w:rPr>
          <w:rFonts w:hint="cs"/>
          <w:rtl/>
        </w:rPr>
        <w:t>)</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ينبغي للدول الأطراف أن تضمِّن تقاريرها معلومات عن المضايقة الجنسية، وعن التدابير المتخذة لحماية المرأة من المضايقة الجنسية وغير ذلك من أشكال العنف والإكراه في مكان العمل</w:t>
      </w:r>
    </w:p>
    <w:p w:rsidR="00C67DF8" w:rsidRDefault="00C67DF8" w:rsidP="00C67DF8">
      <w:pPr>
        <w:pStyle w:val="SingleTxt"/>
        <w:tabs>
          <w:tab w:val="clear" w:pos="1930"/>
          <w:tab w:val="left" w:pos="2125"/>
        </w:tabs>
        <w:rPr>
          <w:rFonts w:hint="cs"/>
          <w:rtl/>
        </w:rPr>
      </w:pPr>
      <w:r>
        <w:rPr>
          <w:rFonts w:hint="cs"/>
          <w:rtl/>
        </w:rPr>
        <w:t>539 -</w:t>
      </w:r>
      <w:r>
        <w:rPr>
          <w:rFonts w:hint="cs"/>
          <w:rtl/>
        </w:rPr>
        <w:tab/>
        <w:t>لا يجمع الجهاز الحكومي إحصاءات عن المضايقة الجنسية في مكان العمل، بصورة روتينية.</w:t>
      </w:r>
    </w:p>
    <w:p w:rsidR="00C67DF8" w:rsidRDefault="00C67DF8" w:rsidP="00C67DF8">
      <w:pPr>
        <w:pStyle w:val="SingleTxt"/>
        <w:tabs>
          <w:tab w:val="clear" w:pos="1930"/>
          <w:tab w:val="left" w:pos="2125"/>
        </w:tabs>
        <w:rPr>
          <w:rFonts w:hint="cs"/>
          <w:rtl/>
        </w:rPr>
      </w:pPr>
      <w:r>
        <w:rPr>
          <w:rFonts w:hint="cs"/>
          <w:rtl/>
        </w:rPr>
        <w:t>540 -</w:t>
      </w:r>
      <w:r>
        <w:rPr>
          <w:rFonts w:hint="cs"/>
          <w:rtl/>
        </w:rPr>
        <w:tab/>
        <w:t>وتبين دراسة أجرتها منظمة غير حكومية أن المضايقة الجنسية في مكان العمل منتشرة، ولا تفلت منها أية مهنة. وتذكر أن 58 في المائة من الأطباء والعاملين بالتمريض الذين جرت مقابلات معهم اعترفوا بأنهم تعرضوا للمضايقة الجنسية، عادة، من قبل غيرهم من الأطباء والممرضين والمساعدين والمرضى والزوار. وتزيد النسبة المئوية من العاملات في الخدمة المنزلية اللاتي يدعين تعرضهن للمضايقة الجنسية عن ذلك (91 في المائة). ويذكر التقرير البحثي في وضع توظيف المرأة لسنة 2003، والذي كلفت بإجرائه اللجنة الوطنية لوضع المرأة أن نحو 50 في المائة من النساء العاملات في القطاع العام اللاتي أجرت مقابلات معهن يدَّعون أنهن تعرضن لشيء من المضايقة الجنسية.</w:t>
      </w:r>
    </w:p>
    <w:p w:rsidR="00C67DF8" w:rsidRDefault="00C67DF8" w:rsidP="00C67DF8">
      <w:pPr>
        <w:pStyle w:val="SingleTxt"/>
        <w:tabs>
          <w:tab w:val="clear" w:pos="1930"/>
          <w:tab w:val="left" w:pos="2125"/>
        </w:tabs>
        <w:rPr>
          <w:rFonts w:hint="cs"/>
          <w:rtl/>
        </w:rPr>
      </w:pPr>
      <w:r>
        <w:rPr>
          <w:rFonts w:hint="cs"/>
          <w:rtl/>
        </w:rPr>
        <w:t>541 -</w:t>
      </w:r>
      <w:r>
        <w:rPr>
          <w:rFonts w:hint="cs"/>
          <w:rtl/>
        </w:rPr>
        <w:tab/>
        <w:t>وكما سبق أن ذكرنا، يفترض أن المادة 294 من القانون الجنائي الباكستاني توفر قدرا من التغطية. ولكن لا يجري الاحتجاج بها يشكل متواتر، على ما يبدو.</w:t>
      </w:r>
    </w:p>
    <w:p w:rsidR="00C67DF8" w:rsidRDefault="00C67DF8" w:rsidP="00C67DF8">
      <w:pPr>
        <w:pStyle w:val="SingleTxt"/>
        <w:tabs>
          <w:tab w:val="clear" w:pos="1930"/>
          <w:tab w:val="left" w:pos="2125"/>
        </w:tabs>
        <w:rPr>
          <w:rFonts w:hint="cs"/>
          <w:rtl/>
        </w:rPr>
      </w:pPr>
      <w:r>
        <w:rPr>
          <w:rFonts w:hint="cs"/>
          <w:rtl/>
        </w:rPr>
        <w:t>542 -</w:t>
      </w:r>
      <w:r>
        <w:rPr>
          <w:rFonts w:hint="cs"/>
          <w:rtl/>
        </w:rPr>
        <w:tab/>
        <w:t xml:space="preserve">ومرة أخرى، فإن مسألة المضايقة الجنسية، مسألة معقدة وحساسة تماما. وتقرر المنظمات المحترمة التستر عليها. وفي كانون الأول/ديسمبر 1997، أقامت 11 امرأة من العاملات في مكتب برنامج الأمم المتحدة الإنمائي بإسلام أباد دعوى ضد عضو أقدم في الإدارة بتهمة المضايقة الجنسية. وتقدمن إلى مقر الأمم المتحدة بالولايات المتحدة، الذي أوفد فرقة لتقصي الحقائق من أجل التحقيق في الأمر. ووجدت الفرقة أدلة واضحة لحدوث مضايقة جنسية في 4 من الحالات </w:t>
      </w:r>
      <w:proofErr w:type="spellStart"/>
      <w:r>
        <w:rPr>
          <w:rFonts w:hint="cs"/>
          <w:rtl/>
        </w:rPr>
        <w:t>الـ</w:t>
      </w:r>
      <w:proofErr w:type="spellEnd"/>
      <w:r>
        <w:rPr>
          <w:rFonts w:hint="cs"/>
          <w:rtl/>
        </w:rPr>
        <w:t xml:space="preserve"> 11. وأقامت النساء دعوى أمام  المحاكم، تصميما منهن على أن يلقى المتهم جزاء </w:t>
      </w:r>
      <w:r>
        <w:rPr>
          <w:rFonts w:hint="eastAsia"/>
          <w:rtl/>
        </w:rPr>
        <w:t>”ان</w:t>
      </w:r>
      <w:r>
        <w:rPr>
          <w:rFonts w:hint="cs"/>
          <w:rtl/>
        </w:rPr>
        <w:t>د</w:t>
      </w:r>
      <w:r>
        <w:rPr>
          <w:rFonts w:hint="eastAsia"/>
          <w:rtl/>
        </w:rPr>
        <w:t>فاعه في أهوائه</w:t>
      </w:r>
      <w:r>
        <w:rPr>
          <w:rFonts w:hint="cs"/>
          <w:rtl/>
        </w:rPr>
        <w:t>“. وكللت جهودهن بانتصار تاريخي، في آب/أغسطس 1999 وأنهيت خدمات المدير. وتعتبر هذه القضية من المعالم الهامة في الجهود المستمرة للتصدي للمضايقة الجنسية في باكستان.</w:t>
      </w:r>
    </w:p>
    <w:p w:rsidR="00C67DF8" w:rsidRDefault="00C67DF8" w:rsidP="00C67DF8">
      <w:pPr>
        <w:pStyle w:val="SingleTxt"/>
        <w:tabs>
          <w:tab w:val="clear" w:pos="1930"/>
          <w:tab w:val="left" w:pos="2125"/>
        </w:tabs>
        <w:rPr>
          <w:rFonts w:hint="cs"/>
          <w:rtl/>
        </w:rPr>
      </w:pPr>
      <w:r>
        <w:rPr>
          <w:rFonts w:hint="cs"/>
          <w:rtl/>
        </w:rPr>
        <w:t>543 -</w:t>
      </w:r>
      <w:r>
        <w:rPr>
          <w:rFonts w:hint="cs"/>
          <w:rtl/>
        </w:rPr>
        <w:tab/>
        <w:t>وقد بادرت وزارة تنمية المرأة، من جانبها، بالعمل على إعداد مدونة لقواعد السلوك من أجل تحقيق العدالة بين الجنسين في مكان العمل. وتهدف إلى إنشاء بيئة خالية من المضايقة للمرأة العاملة.</w:t>
      </w:r>
    </w:p>
    <w:p w:rsidR="00C67DF8" w:rsidRPr="00F36254" w:rsidRDefault="00C67DF8" w:rsidP="00C67DF8">
      <w:pPr>
        <w:pStyle w:val="SingleTxt"/>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ينبغي للدول الأطراف أن تنشئ أو تدعم الخدمات التي تقدم لضحايا العنف العائلي وا</w:t>
      </w:r>
      <w:r w:rsidR="009F3C71">
        <w:rPr>
          <w:rFonts w:hint="cs"/>
          <w:rtl/>
        </w:rPr>
        <w:t>لا</w:t>
      </w:r>
      <w:r>
        <w:rPr>
          <w:rFonts w:hint="cs"/>
          <w:rtl/>
        </w:rPr>
        <w:t>غتصاب والاعتداء الجنسي وغير ذلك من أشكال العنف القائم على أساس نوع الجنس، بما فيها خدمات المأوى، وتدريب موظفي الصحة تدريبا خاصا، وإعادة التأهيل، وتقديم المشورة</w:t>
      </w: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تقديم الخدمات التي تكفل سلامة وأمن ضحايا العنف العائلي، بما فيها المأوى وبرامج الإرشاد وإعادة التأهيل</w:t>
      </w:r>
    </w:p>
    <w:p w:rsidR="00C67DF8" w:rsidRDefault="00C67DF8" w:rsidP="009F3C71">
      <w:pPr>
        <w:pStyle w:val="SingleTxt"/>
        <w:tabs>
          <w:tab w:val="clear" w:pos="1930"/>
          <w:tab w:val="left" w:pos="2125"/>
        </w:tabs>
        <w:rPr>
          <w:rFonts w:hint="cs"/>
          <w:rtl/>
        </w:rPr>
      </w:pPr>
      <w:r>
        <w:rPr>
          <w:rFonts w:hint="cs"/>
          <w:rtl/>
        </w:rPr>
        <w:t>544 -</w:t>
      </w:r>
      <w:r>
        <w:rPr>
          <w:rFonts w:hint="cs"/>
          <w:rtl/>
        </w:rPr>
        <w:tab/>
        <w:t>مازالت فكرة إعادة تأهيل ضحايا العنف العائلي وتقديم الدعم النفسي لهم جديدة بالنسبة لباكستان. وكانت استجابة الحكومة لذلك إنشاء مركز الأزمات الخاصة بالمرأة (انظر الفقرة 525 أعلاه). و</w:t>
      </w:r>
      <w:r w:rsidR="009F3C71">
        <w:rPr>
          <w:rFonts w:hint="cs"/>
          <w:rtl/>
        </w:rPr>
        <w:t>ي</w:t>
      </w:r>
      <w:r>
        <w:rPr>
          <w:rFonts w:hint="cs"/>
          <w:rtl/>
        </w:rPr>
        <w:t>جري تحسين نوعية الرعاية المقدمة في هذه المراكز مع إنشاء دور الإيواء فيها لتوفير المأوى للنساء ضحايا العنف وأبنائهم القصر إلى أن يتمكن هؤلاء من إيجاد ترتيبات بديلة.</w:t>
      </w:r>
    </w:p>
    <w:p w:rsidR="00C67DF8" w:rsidRDefault="00C67DF8" w:rsidP="00C67DF8">
      <w:pPr>
        <w:pStyle w:val="SingleTxt"/>
        <w:tabs>
          <w:tab w:val="clear" w:pos="1930"/>
          <w:tab w:val="left" w:pos="2125"/>
        </w:tabs>
        <w:rPr>
          <w:rFonts w:hint="cs"/>
          <w:rtl/>
        </w:rPr>
      </w:pPr>
      <w:r>
        <w:rPr>
          <w:rFonts w:hint="cs"/>
          <w:rtl/>
        </w:rPr>
        <w:t>545 -</w:t>
      </w:r>
      <w:r>
        <w:rPr>
          <w:rFonts w:hint="cs"/>
          <w:rtl/>
        </w:rPr>
        <w:tab/>
        <w:t xml:space="preserve">ويعتبر موظفو هؤلاء المكاتب أكفاء، ولكن لا يمكن القول بأنهم </w:t>
      </w:r>
      <w:r>
        <w:rPr>
          <w:rFonts w:hint="eastAsia"/>
          <w:rtl/>
        </w:rPr>
        <w:t>”مدربون تدريبا خاصا</w:t>
      </w:r>
      <w:r>
        <w:rPr>
          <w:rFonts w:hint="cs"/>
          <w:rtl/>
        </w:rPr>
        <w:t>“ في مجال إعادة التأهيل وتقديم الإرشاد. ويعتبر عدم توفر الموارد المالية والمدربين الملائمين من القيود الأساسية.</w:t>
      </w:r>
    </w:p>
    <w:p w:rsidR="00C67DF8" w:rsidRDefault="00C67DF8" w:rsidP="00C67DF8">
      <w:pPr>
        <w:pStyle w:val="SingleTxt"/>
        <w:tabs>
          <w:tab w:val="clear" w:pos="1930"/>
          <w:tab w:val="left" w:pos="2125"/>
        </w:tabs>
        <w:rPr>
          <w:rFonts w:hint="cs"/>
          <w:rtl/>
        </w:rPr>
      </w:pPr>
      <w:r>
        <w:rPr>
          <w:rFonts w:hint="cs"/>
          <w:rtl/>
        </w:rPr>
        <w:t>546 -</w:t>
      </w:r>
      <w:r>
        <w:rPr>
          <w:rFonts w:hint="cs"/>
          <w:rtl/>
        </w:rPr>
        <w:tab/>
        <w:t>وتقوم الحكومة الإقليمية و</w:t>
      </w:r>
      <w:r w:rsidR="009F3C71">
        <w:rPr>
          <w:rFonts w:hint="cs"/>
          <w:rtl/>
        </w:rPr>
        <w:t>ال</w:t>
      </w:r>
      <w:r>
        <w:rPr>
          <w:rFonts w:hint="cs"/>
          <w:rtl/>
        </w:rPr>
        <w:t>منظمات غير الحكومية بتشغيل عدد من دور الإيواء واللجوء.</w:t>
      </w:r>
    </w:p>
    <w:p w:rsidR="007977D9" w:rsidRPr="007977D9" w:rsidRDefault="007977D9" w:rsidP="007977D9">
      <w:pPr>
        <w:pStyle w:val="SingleTxt"/>
        <w:tabs>
          <w:tab w:val="clear" w:pos="1930"/>
          <w:tab w:val="left" w:pos="2125"/>
        </w:tabs>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ينبغي للدول الأطراف أن تكفل اتخاذ تدابير لمنع ممارسة الإكراه فيما يتعلق بالخصوبة والإنجاب، وأن تكفل عدم اضطرار المرأة إلى اللجوء إلى الإجراءات الطبية غير المأمونة كالإجهاض غير المشروع بسبب الافتقار إلى الخدمات المناسبة فيما يتعلق بالتحكم في الخصوبة</w:t>
      </w:r>
    </w:p>
    <w:p w:rsidR="00C67DF8" w:rsidRDefault="00C67DF8" w:rsidP="009F3C71">
      <w:pPr>
        <w:pStyle w:val="SingleTxt"/>
        <w:tabs>
          <w:tab w:val="clear" w:pos="1930"/>
          <w:tab w:val="left" w:pos="2125"/>
        </w:tabs>
        <w:rPr>
          <w:rFonts w:hint="cs"/>
          <w:rtl/>
        </w:rPr>
      </w:pPr>
      <w:r>
        <w:rPr>
          <w:rFonts w:hint="cs"/>
          <w:rtl/>
        </w:rPr>
        <w:t>547 -</w:t>
      </w:r>
      <w:r>
        <w:rPr>
          <w:rFonts w:hint="cs"/>
          <w:rtl/>
        </w:rPr>
        <w:tab/>
        <w:t xml:space="preserve">لا يوجد ما يثبت مدى اتفاق الأزواج فيما بينهم على بدء تكوين الأسرة أو الإضافة إليها. وبصورة عامة، يبدأ الأزواج الأكثر تعليما الحمل بعد التشاور فيما بينهم. غير أن هذا التشاور لا يحدث بكثرة في القطاعات الأقل تعليما. مما يترتب عليه أن بعض النساء، على الأقل، تحملن بغير رغبتهن. ولا تتوفر بيانات </w:t>
      </w:r>
      <w:proofErr w:type="spellStart"/>
      <w:r>
        <w:rPr>
          <w:rFonts w:hint="cs"/>
          <w:rtl/>
        </w:rPr>
        <w:t>موثوقة</w:t>
      </w:r>
      <w:proofErr w:type="spellEnd"/>
      <w:r>
        <w:rPr>
          <w:rFonts w:hint="cs"/>
          <w:rtl/>
        </w:rPr>
        <w:t xml:space="preserve"> بشأن هذه المسألة. ويتمثل حل</w:t>
      </w:r>
      <w:r w:rsidR="009F3C71">
        <w:rPr>
          <w:rFonts w:hint="cs"/>
          <w:rtl/>
        </w:rPr>
        <w:t>ها</w:t>
      </w:r>
      <w:r>
        <w:rPr>
          <w:rFonts w:hint="cs"/>
          <w:rtl/>
        </w:rPr>
        <w:t>، أسوة بكثير غيرها، في انتشار التعليم. وسوف يؤدي تزايد استخدام وسائل منع الحمل أيضا إلى الحد من عدد النساء اللاتي يحملن بغير رغبتهن. وترد تفاصيل عن مرافق التحكم في الخصوبة في الفصل الثاني عشر، الفقرات 340-349.</w:t>
      </w:r>
    </w:p>
    <w:p w:rsidR="00C67DF8" w:rsidRDefault="00C67DF8" w:rsidP="00C67DF8">
      <w:pPr>
        <w:pStyle w:val="SingleTxt"/>
        <w:tabs>
          <w:tab w:val="clear" w:pos="1930"/>
          <w:tab w:val="left" w:pos="2125"/>
        </w:tabs>
        <w:rPr>
          <w:rFonts w:hint="cs"/>
          <w:rtl/>
        </w:rPr>
      </w:pPr>
      <w:r>
        <w:rPr>
          <w:rFonts w:hint="cs"/>
          <w:rtl/>
        </w:rPr>
        <w:t>548 -</w:t>
      </w:r>
      <w:r>
        <w:rPr>
          <w:rFonts w:hint="cs"/>
          <w:rtl/>
        </w:rPr>
        <w:tab/>
        <w:t xml:space="preserve">وبموجب قوانين باكستان، لا يجوز إنهاء الحمل عن طريق الإجهاض إلا في حالة تعرض حياة الأم للخطر. </w:t>
      </w:r>
    </w:p>
    <w:p w:rsidR="00C67DF8" w:rsidRPr="00F36254" w:rsidRDefault="00C67DF8" w:rsidP="00C67DF8">
      <w:pPr>
        <w:pStyle w:val="SingleTxt"/>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ينبغي للدول الأطراف أن تكفل وضع الخدمات المقدمة لضحايا العنف في متناول المرأة الريفية وأن توفر، عند الاقتضاء، خدمات خاصة للمجتمعات المنعزلة</w:t>
      </w:r>
    </w:p>
    <w:p w:rsidR="00C67DF8" w:rsidRDefault="00C67DF8" w:rsidP="00C67DF8">
      <w:pPr>
        <w:pStyle w:val="SingleTxt"/>
        <w:tabs>
          <w:tab w:val="clear" w:pos="1930"/>
          <w:tab w:val="left" w:pos="2125"/>
        </w:tabs>
        <w:rPr>
          <w:rFonts w:hint="cs"/>
          <w:rtl/>
        </w:rPr>
      </w:pPr>
      <w:r>
        <w:rPr>
          <w:rFonts w:hint="cs"/>
          <w:rtl/>
        </w:rPr>
        <w:t>549 -</w:t>
      </w:r>
      <w:r>
        <w:rPr>
          <w:rFonts w:hint="cs"/>
          <w:rtl/>
        </w:rPr>
        <w:tab/>
        <w:t>يوجد مركزان من مراكز الأزمات الثلاثة الموجودة حاليا، في المناطق الريفية. وتستطيع المرأة الريفية أيضا أن تسعى إلى الحصول على المساعدة من مراكز الأزمات في المناطق الحضرية.</w:t>
      </w:r>
    </w:p>
    <w:p w:rsidR="00C67DF8" w:rsidRPr="00F36254" w:rsidRDefault="00C67DF8" w:rsidP="00C67DF8">
      <w:pPr>
        <w:pStyle w:val="SingleTxt"/>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ينبغي أن تشتمل تدابير الحماية من العنف على توفير فرص التدريب والعمالة ورصد ظروف العمالة بالنسبة للعاملات في المنازل</w:t>
      </w:r>
    </w:p>
    <w:p w:rsidR="00C67DF8" w:rsidRDefault="00C67DF8" w:rsidP="009F3C71">
      <w:pPr>
        <w:pStyle w:val="SingleTxt"/>
        <w:tabs>
          <w:tab w:val="clear" w:pos="1930"/>
          <w:tab w:val="left" w:pos="2125"/>
        </w:tabs>
        <w:rPr>
          <w:rFonts w:hint="cs"/>
          <w:rtl/>
        </w:rPr>
      </w:pPr>
      <w:r>
        <w:rPr>
          <w:rFonts w:hint="cs"/>
          <w:rtl/>
        </w:rPr>
        <w:t>550 -</w:t>
      </w:r>
      <w:r>
        <w:rPr>
          <w:rFonts w:hint="cs"/>
          <w:rtl/>
        </w:rPr>
        <w:tab/>
        <w:t>لا يوجد جهاز لرصد حالة العاملات في المنازل، في الوقت الحالي. وتعتبر العاملات في المنازل من أضعف الفئات وأكثرها تعرضا للاستغلال في البلدان النامية، بما في ذلك باكستان. ويمكن لهؤلاء، من الناحية النظرية، السعي إلى الانتصاف بموجب أحكام مختلفة من القانون الجزائي الباكستاني، في حالة تعرضهن لسوء المعاملة. غير أن اتباع هذا المسار مكلف و</w:t>
      </w:r>
      <w:r w:rsidR="009F3C71">
        <w:rPr>
          <w:rFonts w:hint="cs"/>
          <w:rtl/>
        </w:rPr>
        <w:t>ص</w:t>
      </w:r>
      <w:r>
        <w:rPr>
          <w:rFonts w:hint="cs"/>
          <w:rtl/>
        </w:rPr>
        <w:t>ع</w:t>
      </w:r>
      <w:r w:rsidR="009F3C71">
        <w:rPr>
          <w:rFonts w:hint="cs"/>
          <w:rtl/>
        </w:rPr>
        <w:t>ب</w:t>
      </w:r>
      <w:r>
        <w:rPr>
          <w:rFonts w:hint="cs"/>
          <w:rtl/>
        </w:rPr>
        <w:t>، في الممارسة. ويوفر مرسوم التأمين الاجتماعي قدرا من الحماية للعاملة في المنازل  وتقرر المادة 55- ألف مسؤولية رب العمل عن العناية الطبية للعاملة بالمنزل وتشمل الرعاية الصحية، العناية من قبل ممارس عام، والعناية المتخصصة بالمستشفيات، الإمدادات الصيدلانية الأساسية. والعلاج بالمستشفى عند الضرورة، بما في ذلك، في حالات الحمل والولادة والعناية قبل الولادة وبعدها. وليس من المؤكد أن العاملات بالمنازل أو أرباب عملهن على دراية بهذه الحقوق.</w:t>
      </w:r>
    </w:p>
    <w:p w:rsidR="00C67DF8" w:rsidRPr="00F36254" w:rsidRDefault="00C67DF8" w:rsidP="00C67DF8">
      <w:pPr>
        <w:pStyle w:val="SingleTxt"/>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ينبغي أن تبلغ الدول الأطراف عن الأخطار التي تتعرض لها المرأة الريفية، ومدى وطبيعة العنف والإساءة اللذين يتعرضن لهما، وحاجتهن للدعم وغيره من الخدمات وقدرتهن على الحصول عليها، وعن فعالية التدابير الرامية إلى التغلب على العنف</w:t>
      </w:r>
    </w:p>
    <w:p w:rsidR="00C67DF8" w:rsidRDefault="00C67DF8" w:rsidP="00C67DF8">
      <w:pPr>
        <w:pStyle w:val="SingleTxt"/>
        <w:tabs>
          <w:tab w:val="clear" w:pos="1930"/>
          <w:tab w:val="left" w:pos="2125"/>
        </w:tabs>
        <w:rPr>
          <w:rFonts w:hint="cs"/>
          <w:rtl/>
        </w:rPr>
      </w:pPr>
      <w:r>
        <w:rPr>
          <w:rFonts w:hint="cs"/>
          <w:rtl/>
        </w:rPr>
        <w:t>551 -</w:t>
      </w:r>
      <w:r>
        <w:rPr>
          <w:rFonts w:hint="cs"/>
          <w:rtl/>
        </w:rPr>
        <w:tab/>
        <w:t>مازالت باكستان بلدا ذا طابع ريفي إلى حد كبير. إذ يعيش نحو 68 في المائة من السكان في المناطق الريفية. وتبدي المؤشرات الاجتماعية لسكان الريف تخلفا عن مثيلاتها الخاصة بسكان الحضر. ولذلك تحدث أغلب الجرائم، بما في ذلك الجرائم المرتكبة ضد المرأة، في أماكن ريفية. ولكن لا يوجد، حاليا، جهاز يسجل حوادث العنف ضد المرأة الريفية وطبيعة هذه الحوادث، بصورة منتظمة وكما سبق ذكره، فإن وزارة تنمية المرأة في سبيل تصويب أوجه القصور في جمع البيانات.</w:t>
      </w:r>
    </w:p>
    <w:p w:rsidR="00C67DF8" w:rsidRPr="00F36254" w:rsidRDefault="00C67DF8" w:rsidP="00C67DF8">
      <w:pPr>
        <w:pStyle w:val="SingleTxt"/>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فرض العقوبات الجنائية وإتاحة سبل الانتصاف المدنية في حالات العنف المنزلي</w:t>
      </w:r>
    </w:p>
    <w:p w:rsidR="00C67DF8" w:rsidRDefault="00C67DF8" w:rsidP="00C67DF8">
      <w:pPr>
        <w:pStyle w:val="SingleTxt"/>
        <w:tabs>
          <w:tab w:val="clear" w:pos="1930"/>
          <w:tab w:val="left" w:pos="2125"/>
        </w:tabs>
        <w:rPr>
          <w:rFonts w:hint="cs"/>
          <w:rtl/>
        </w:rPr>
      </w:pPr>
      <w:r>
        <w:rPr>
          <w:rFonts w:hint="cs"/>
          <w:rtl/>
        </w:rPr>
        <w:t>552 -</w:t>
      </w:r>
      <w:r>
        <w:rPr>
          <w:rFonts w:hint="cs"/>
          <w:rtl/>
        </w:rPr>
        <w:tab/>
        <w:t xml:space="preserve">لا توجد مادة محددة في القانون الجنائي تتناول </w:t>
      </w:r>
      <w:r>
        <w:rPr>
          <w:rFonts w:hint="eastAsia"/>
          <w:rtl/>
        </w:rPr>
        <w:t>”حالات سوء المعاملة داخل الأسرة</w:t>
      </w:r>
      <w:r>
        <w:rPr>
          <w:rFonts w:hint="cs"/>
          <w:rtl/>
        </w:rPr>
        <w:t>“ أو العنف المنزلي، في الوقت الراهن. ويمكن القول بأن القانون الجنائي يوفر الحماية في جميع الحالات وجميع الأماكن، بما في ذلك، الأسرة. غير أن وزارة تنمية المرأة ستتناول هذه المسألة مع الوزارات المعنية في الحكومة للنظر فيما إذا كان من الممكن التصدي لها على نحو أفضل من خلال الإجراءات الإدارية أو عن طريق القوانين.</w:t>
      </w:r>
    </w:p>
    <w:p w:rsidR="00C67DF8" w:rsidRPr="00F36254" w:rsidRDefault="00C67DF8" w:rsidP="00C67DF8">
      <w:pPr>
        <w:pStyle w:val="SingleTxt"/>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سن تشريعات لإبطال الاحتجاج بالدفاع عن الشرف فيما يتعلق بالاعتداء على إحدى الإناث من أفراد الأسرة أو قتلها</w:t>
      </w:r>
    </w:p>
    <w:p w:rsidR="00C67DF8" w:rsidRDefault="00C67DF8" w:rsidP="00C67DF8">
      <w:pPr>
        <w:pStyle w:val="SingleTxt"/>
        <w:tabs>
          <w:tab w:val="clear" w:pos="1930"/>
          <w:tab w:val="left" w:pos="2125"/>
        </w:tabs>
        <w:rPr>
          <w:rFonts w:hint="cs"/>
          <w:rtl/>
        </w:rPr>
      </w:pPr>
      <w:r>
        <w:rPr>
          <w:rFonts w:hint="cs"/>
          <w:rtl/>
        </w:rPr>
        <w:t>553 -</w:t>
      </w:r>
      <w:r>
        <w:rPr>
          <w:rFonts w:hint="cs"/>
          <w:rtl/>
        </w:rPr>
        <w:tab/>
        <w:t>صدر قانون (تعديل) القانون الجنائي لسنة 2004، لمكافحة ما يسمى بالقتل دفاعا عن الشرف (انظر الفقرة 490، الفصل الخامس عشر).</w:t>
      </w:r>
    </w:p>
    <w:p w:rsidR="00C67DF8" w:rsidRPr="00F36254" w:rsidRDefault="00C67DF8" w:rsidP="00C67DF8">
      <w:pPr>
        <w:pStyle w:val="SingleTxt"/>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وضع برامج لإعادة التأهيل الخاصة بمرتكبي جرائم العنف المنزلي</w:t>
      </w:r>
    </w:p>
    <w:p w:rsidR="00C67DF8" w:rsidRDefault="00C67DF8" w:rsidP="00C67DF8">
      <w:pPr>
        <w:pStyle w:val="SingleTxt"/>
        <w:rPr>
          <w:rFonts w:hint="cs"/>
          <w:rtl/>
        </w:rPr>
      </w:pPr>
      <w:r>
        <w:rPr>
          <w:rFonts w:hint="cs"/>
          <w:rtl/>
        </w:rPr>
        <w:t>554 -</w:t>
      </w:r>
      <w:r>
        <w:rPr>
          <w:rFonts w:hint="cs"/>
          <w:rtl/>
        </w:rPr>
        <w:tab/>
        <w:t>لا تقوم الحكومة بأية برامج لإعادة التأهيل من أجل مرتكبي جرائم العنف المنزلي، في الوقت الحاضر لأسباب من بينها عدم توفر الموارد. هناك أيضا تقدير غير كاف لقيمة تقديم الدعم النفسي لمرتكبي العنف المنزلي، ويوجد نقص حاد في الأطباء النفسيين المدربين في باكستان، على أي حال.</w:t>
      </w:r>
    </w:p>
    <w:p w:rsidR="00C67DF8" w:rsidRPr="00F36254" w:rsidRDefault="00C67DF8" w:rsidP="00C67DF8">
      <w:pPr>
        <w:pStyle w:val="SingleTxt"/>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تقديم خدمات الدعم للأسر التي تتعرض لحوادث السفاح أو الاعتداء الجنسي</w:t>
      </w:r>
    </w:p>
    <w:p w:rsidR="00C67DF8" w:rsidRDefault="00C67DF8" w:rsidP="00C67DF8">
      <w:pPr>
        <w:pStyle w:val="SingleTxt"/>
        <w:tabs>
          <w:tab w:val="clear" w:pos="1930"/>
          <w:tab w:val="left" w:pos="2125"/>
        </w:tabs>
        <w:rPr>
          <w:rFonts w:hint="cs"/>
          <w:rtl/>
        </w:rPr>
      </w:pPr>
      <w:r>
        <w:rPr>
          <w:rFonts w:hint="cs"/>
          <w:rtl/>
        </w:rPr>
        <w:t>555 -</w:t>
      </w:r>
      <w:r>
        <w:rPr>
          <w:rFonts w:hint="cs"/>
          <w:rtl/>
        </w:rPr>
        <w:tab/>
        <w:t>تعتبر مناقشة الاعتداء الجنسي داخل الأسرة مسألة محرمة في باكستان، شأنها في ذلك شأن أغلب المجتمعات. ويتم عادة التستر على هذه الجرائم. ولا يحتمل أن تتقدم الأسر التي تعرضت لسوء المعاملة سعيا إلى الدعم. ومما لا شك فيه، مع ذلك أن مراكز الأزمات ودور الإيواء المختلفة التي تديرها الحكومة، وعلى الأخص، المنظمات غير الحكومية، ستقدم الدعم لتلك الأسر أو لأعضائها إذا لجأت إليها.</w:t>
      </w:r>
    </w:p>
    <w:p w:rsidR="00C67DF8" w:rsidRPr="00F36254" w:rsidRDefault="00C67DF8" w:rsidP="00C67DF8">
      <w:pPr>
        <w:pStyle w:val="SingleTxt"/>
        <w:tabs>
          <w:tab w:val="clear" w:pos="1930"/>
          <w:tab w:val="left" w:pos="2125"/>
        </w:tabs>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الوقائية، بما في ذلك برامج الإعلام الجماهيري والتثقيف الرامية إلى تغيير المواقف بشأن دور الرجل والمرأة ومركز كل منهما.</w:t>
      </w:r>
    </w:p>
    <w:p w:rsidR="00C67DF8" w:rsidRDefault="00C67DF8" w:rsidP="00C67DF8">
      <w:pPr>
        <w:pStyle w:val="SingleTxt"/>
        <w:tabs>
          <w:tab w:val="clear" w:pos="1930"/>
          <w:tab w:val="left" w:pos="2125"/>
        </w:tabs>
        <w:rPr>
          <w:rFonts w:hint="cs"/>
          <w:rtl/>
        </w:rPr>
      </w:pPr>
      <w:r>
        <w:rPr>
          <w:rFonts w:hint="cs"/>
          <w:rtl/>
        </w:rPr>
        <w:t>556 -</w:t>
      </w:r>
      <w:r>
        <w:rPr>
          <w:rFonts w:hint="cs"/>
          <w:rtl/>
        </w:rPr>
        <w:tab/>
        <w:t>كانت إدانة رئيس جمهورية باكستان الصريحة لجرائم القتل دفاعا عن الشرف في نيسان/أبريل 2000 وشباط/فبراير 2004، من أهم التصريحات العامة وأوسعها انتشارا. وتبرز الصحافة، بانتظام، حوادث العنف ضد المرأة، وهذا يخدم غرضين، إذ يوجد الوعي من ناحية، وينمي البغض تجاه هذه الظاهرة. وتعكف الأجهزة الحكومية المعنية، على محاولة إحداث تغيير إيجابي في المواقف الاجتماعية المتعلقة بالأدوار التي يقوم بها الرجل والمرأة في المجتمع ومركز كل منه</w:t>
      </w:r>
      <w:r w:rsidR="009F3C71">
        <w:rPr>
          <w:rFonts w:hint="cs"/>
          <w:rtl/>
        </w:rPr>
        <w:t>م</w:t>
      </w:r>
      <w:r>
        <w:rPr>
          <w:rFonts w:hint="cs"/>
          <w:rtl/>
        </w:rPr>
        <w:t>ا، وبوجه خاص، وزارة الإعلام وتطوير وسائطه، من خلال برامجها الإذاعية والتلفزيونية، ووزارة التعليم، عن طريق مناهجها الدراسية.</w:t>
      </w:r>
    </w:p>
    <w:p w:rsidR="00C67DF8" w:rsidRPr="00F36254" w:rsidRDefault="00C67DF8" w:rsidP="00C67DF8">
      <w:pPr>
        <w:pStyle w:val="SingleTxt"/>
        <w:tabs>
          <w:tab w:val="clear" w:pos="1930"/>
          <w:tab w:val="left" w:pos="2125"/>
        </w:tabs>
        <w:spacing w:after="0" w:line="120" w:lineRule="exact"/>
        <w:rPr>
          <w:rFonts w:hint="cs"/>
          <w:sz w:val="10"/>
          <w:rtl/>
        </w:rPr>
      </w:pPr>
    </w:p>
    <w:p w:rsidR="00C67DF8" w:rsidRDefault="00C67DF8" w:rsidP="00C67D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ينبغي أن تحتوي تقارير الدول الأطراف على معلومات عن التدابير القانونية وتدابير الوقاية والحماية التي اتخذت للقضاء على العنف ضد المرأة وعن مدى فعالية هذه التدابير</w:t>
      </w:r>
    </w:p>
    <w:p w:rsidR="00FC740A" w:rsidRDefault="00C67DF8" w:rsidP="00C67DF8">
      <w:pPr>
        <w:pStyle w:val="SingleTxt"/>
        <w:rPr>
          <w:rFonts w:hint="cs"/>
          <w:rtl/>
        </w:rPr>
      </w:pPr>
      <w:r>
        <w:rPr>
          <w:rFonts w:hint="cs"/>
          <w:rtl/>
        </w:rPr>
        <w:t>557 -</w:t>
      </w:r>
      <w:r>
        <w:rPr>
          <w:rFonts w:hint="cs"/>
          <w:rtl/>
        </w:rPr>
        <w:tab/>
        <w:t>تمت تغطية مسألة التدابير القانونية وتدابير الوقاية والحماية قبل ذلك. ويلزم هنا التصدي لمسألة الفعالية. ويبدو أن التدابير التي اتخذتها الحكومة لمكافحة العنف ضد المرأة لم يبدأ تأثيرها بعد. وهناك عدة أسباب لذلك. فعلى الحكومة القيام بالمزيد ويلزم أن تبقى التدابير لفترة أكبر. ويتعين تعزيز مقدرة الشرطة والقضاء على معالجة هذه المشكلة. كما يلزم تغيير موقف المجتمع، بما في ذلك، موقف المرأة ذاتها. فهناك عدد كبير من النساء يقبلن سوء المعاملة التي يتعرضن لها في مكان العمل وفي المنزل دون اعتراض. ويرجع هذا جزئيا إلى عدم الوعي بما لهن من حقوق، وإن كان السبب الأهم هو عدم الثقة في توفير الانتصاف من جانب الشرطة والوكالات المعنية.</w:t>
      </w:r>
    </w:p>
    <w:p w:rsidR="00C67DF8" w:rsidRPr="00296724" w:rsidRDefault="00296724" w:rsidP="00296724">
      <w:pPr>
        <w:pStyle w:val="SingleTxt"/>
        <w:spacing w:after="0" w:line="240" w:lineRule="auto"/>
        <w:rPr>
          <w:rFonts w:hint="cs"/>
          <w:rtl/>
        </w:rPr>
      </w:pPr>
      <w:r>
        <w:rPr>
          <w:noProof/>
          <w:w w:val="100"/>
          <w:rtl/>
        </w:rPr>
        <w:pict>
          <v:line id="_x0000_s2051" style="position:absolute;left:0;text-align:left;z-index:2" from="206.6pt,24pt" to="278.6pt,24pt" strokeweight=".25pt"/>
        </w:pict>
      </w:r>
    </w:p>
    <w:sectPr w:rsidR="00C67DF8" w:rsidRPr="00296724" w:rsidSect="00F012CA">
      <w:endnotePr>
        <w:numFmt w:val="decimal"/>
      </w:endnotePr>
      <w:type w:val="continuous"/>
      <w:pgSz w:w="12240" w:h="15840" w:code="1"/>
      <w:pgMar w:top="1742" w:right="1195" w:bottom="1898" w:left="1195" w:header="576" w:footer="1030" w:gutter="0"/>
      <w:cols w:space="72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1-12T16:29:00Z" w:initials="Start">
    <w:p w:rsidR="00326EB5" w:rsidRDefault="00326EB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NO&gt;&gt;N0545435A&lt;&lt;ODS JOB NO</w:t>
      </w:r>
      <w:r>
        <w:rPr>
          <w:rtl/>
        </w:rPr>
        <w:t>&gt;&gt;</w:t>
      </w:r>
    </w:p>
    <w:p w:rsidR="00326EB5" w:rsidRDefault="00326EB5">
      <w:pPr>
        <w:pStyle w:val="CommentText"/>
        <w:rPr>
          <w:rtl/>
        </w:rPr>
      </w:pPr>
      <w:r>
        <w:rPr>
          <w:rtl/>
        </w:rPr>
        <w:t>&lt;&lt;</w:t>
      </w:r>
      <w:r>
        <w:t>ODS DOC SYMBOL1&gt;&gt;CEDAW/C/PAK/1-3&lt;&lt;ODS DOC SYMBOL1</w:t>
      </w:r>
      <w:r>
        <w:rPr>
          <w:rtl/>
        </w:rPr>
        <w:t>&gt;&gt;</w:t>
      </w:r>
    </w:p>
    <w:p w:rsidR="00326EB5" w:rsidRDefault="00326EB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1AE" w:rsidRDefault="000B41AE">
      <w:r>
        <w:separator/>
      </w:r>
    </w:p>
  </w:endnote>
  <w:endnote w:type="continuationSeparator" w:id="0">
    <w:p w:rsidR="000B41AE" w:rsidRDefault="000B4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6EB5">
      <w:tblPrEx>
        <w:tblCellMar>
          <w:top w:w="0" w:type="dxa"/>
          <w:bottom w:w="0" w:type="dxa"/>
        </w:tblCellMar>
      </w:tblPrEx>
      <w:tc>
        <w:tcPr>
          <w:tcW w:w="5033" w:type="dxa"/>
          <w:shd w:val="clear" w:color="auto" w:fill="auto"/>
        </w:tcPr>
        <w:p w:rsidR="00326EB5" w:rsidRPr="002B6E11" w:rsidRDefault="00326EB5" w:rsidP="002B6E11">
          <w:pPr>
            <w:pStyle w:val="Footer"/>
            <w:jc w:val="right"/>
            <w:rPr>
              <w:w w:val="103"/>
            </w:rPr>
          </w:pPr>
          <w:r>
            <w:rPr>
              <w:w w:val="103"/>
            </w:rPr>
            <w:fldChar w:fldCharType="begin"/>
          </w:r>
          <w:r>
            <w:rPr>
              <w:w w:val="103"/>
            </w:rPr>
            <w:instrText xml:space="preserve"> PAGE  \* MERGEFORMAT </w:instrText>
          </w:r>
          <w:r>
            <w:rPr>
              <w:w w:val="103"/>
            </w:rPr>
            <w:fldChar w:fldCharType="separate"/>
          </w:r>
          <w:r w:rsidR="00CF2509">
            <w:rPr>
              <w:w w:val="103"/>
            </w:rPr>
            <w:t>154</w:t>
          </w:r>
          <w:r>
            <w:rPr>
              <w:w w:val="103"/>
            </w:rPr>
            <w:fldChar w:fldCharType="end"/>
          </w:r>
        </w:p>
      </w:tc>
      <w:tc>
        <w:tcPr>
          <w:tcW w:w="5033" w:type="dxa"/>
          <w:shd w:val="clear" w:color="auto" w:fill="auto"/>
        </w:tcPr>
        <w:p w:rsidR="00326EB5" w:rsidRPr="002B6E11" w:rsidRDefault="00326EB5" w:rsidP="002B6E11">
          <w:pPr>
            <w:pStyle w:val="Footer"/>
            <w:rPr>
              <w:b w:val="0"/>
              <w:w w:val="103"/>
            </w:rPr>
          </w:pPr>
          <w:r>
            <w:rPr>
              <w:b w:val="0"/>
              <w:w w:val="103"/>
            </w:rPr>
            <w:t>05-45435A</w:t>
          </w:r>
        </w:p>
      </w:tc>
    </w:tr>
  </w:tbl>
  <w:p w:rsidR="00326EB5" w:rsidRPr="002B6E11" w:rsidRDefault="00326EB5" w:rsidP="002B6E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6EB5">
      <w:tblPrEx>
        <w:tblCellMar>
          <w:top w:w="0" w:type="dxa"/>
          <w:bottom w:w="0" w:type="dxa"/>
        </w:tblCellMar>
      </w:tblPrEx>
      <w:tc>
        <w:tcPr>
          <w:tcW w:w="5033" w:type="dxa"/>
          <w:shd w:val="clear" w:color="auto" w:fill="auto"/>
        </w:tcPr>
        <w:p w:rsidR="00326EB5" w:rsidRPr="002B6E11" w:rsidRDefault="00326EB5" w:rsidP="002B6E11">
          <w:pPr>
            <w:pStyle w:val="Footer"/>
            <w:jc w:val="right"/>
            <w:rPr>
              <w:b w:val="0"/>
              <w:w w:val="103"/>
            </w:rPr>
          </w:pPr>
          <w:r>
            <w:rPr>
              <w:b w:val="0"/>
              <w:w w:val="103"/>
            </w:rPr>
            <w:t>05-45435A</w:t>
          </w:r>
        </w:p>
      </w:tc>
      <w:tc>
        <w:tcPr>
          <w:tcW w:w="5033" w:type="dxa"/>
          <w:shd w:val="clear" w:color="auto" w:fill="auto"/>
        </w:tcPr>
        <w:p w:rsidR="00326EB5" w:rsidRPr="002B6E11" w:rsidRDefault="00326EB5" w:rsidP="002B6E11">
          <w:pPr>
            <w:pStyle w:val="Footer"/>
            <w:rPr>
              <w:w w:val="103"/>
            </w:rPr>
          </w:pPr>
          <w:r>
            <w:rPr>
              <w:w w:val="103"/>
            </w:rPr>
            <w:fldChar w:fldCharType="begin"/>
          </w:r>
          <w:r>
            <w:rPr>
              <w:w w:val="103"/>
            </w:rPr>
            <w:instrText xml:space="preserve"> PAGE  \* MERGEFORMAT </w:instrText>
          </w:r>
          <w:r>
            <w:rPr>
              <w:w w:val="103"/>
            </w:rPr>
            <w:fldChar w:fldCharType="separate"/>
          </w:r>
          <w:r w:rsidR="00CF2509">
            <w:rPr>
              <w:w w:val="103"/>
            </w:rPr>
            <w:t>153</w:t>
          </w:r>
          <w:r>
            <w:rPr>
              <w:w w:val="103"/>
            </w:rPr>
            <w:fldChar w:fldCharType="end"/>
          </w:r>
        </w:p>
      </w:tc>
    </w:tr>
  </w:tbl>
  <w:p w:rsidR="00326EB5" w:rsidRPr="002B6E11" w:rsidRDefault="00326EB5" w:rsidP="002B6E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EB5" w:rsidRDefault="00326EB5">
    <w:pPr>
      <w:pStyle w:val="Footer"/>
    </w:pPr>
  </w:p>
  <w:p w:rsidR="00326EB5" w:rsidRDefault="00326EB5" w:rsidP="002B6E11">
    <w:pPr>
      <w:pStyle w:val="Footer"/>
      <w:jc w:val="right"/>
      <w:rPr>
        <w:rFonts w:cs="Times New Roman"/>
        <w:b w:val="0"/>
        <w:w w:val="103"/>
        <w:sz w:val="20"/>
      </w:rPr>
    </w:pPr>
    <w:r>
      <w:rPr>
        <w:rFonts w:cs="Times New Roman"/>
        <w:b w:val="0"/>
        <w:w w:val="103"/>
        <w:sz w:val="20"/>
      </w:rPr>
      <w:t>05-45435 (A)</w:t>
    </w:r>
  </w:p>
  <w:p w:rsidR="00326EB5" w:rsidRPr="002B6E11" w:rsidRDefault="00326EB5" w:rsidP="002B6E11">
    <w:pPr>
      <w:pStyle w:val="Footer"/>
      <w:spacing w:before="60" w:line="200" w:lineRule="exact"/>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*0545435*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EB5" w:rsidRPr="001E4D4B" w:rsidRDefault="00326EB5" w:rsidP="001E4D4B">
      <w:pPr>
        <w:pStyle w:val="Footer"/>
        <w:bidi/>
        <w:spacing w:after="80"/>
        <w:ind w:left="792"/>
        <w:rPr>
          <w:sz w:val="16"/>
        </w:rPr>
      </w:pPr>
      <w:r w:rsidRPr="001E4D4B">
        <w:rPr>
          <w:sz w:val="16"/>
          <w:rtl/>
        </w:rPr>
        <w:t>__________</w:t>
      </w:r>
    </w:p>
  </w:footnote>
  <w:footnote w:type="continuationSeparator" w:id="0">
    <w:p w:rsidR="00326EB5" w:rsidRPr="001E4D4B" w:rsidRDefault="00326EB5" w:rsidP="001E4D4B">
      <w:pPr>
        <w:pStyle w:val="Footer"/>
        <w:spacing w:after="80"/>
        <w:ind w:left="792"/>
        <w:rPr>
          <w:sz w:val="16"/>
        </w:rPr>
      </w:pPr>
      <w:r w:rsidRPr="001E4D4B">
        <w:rPr>
          <w:sz w:val="16"/>
        </w:rPr>
        <w:t>__________</w:t>
      </w:r>
    </w:p>
  </w:footnote>
  <w:footnote w:id="1">
    <w:p w:rsidR="00326EB5" w:rsidRPr="00CA5D1D" w:rsidRDefault="00326EB5" w:rsidP="00CA5D1D">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CA5D1D">
        <w:rPr>
          <w:spacing w:val="-5"/>
          <w:w w:val="103"/>
          <w:rtl/>
        </w:rPr>
        <w:t>(</w:t>
      </w:r>
      <w:r w:rsidRPr="00CA5D1D">
        <w:rPr>
          <w:rStyle w:val="FootnoteReference"/>
          <w:w w:val="103"/>
          <w:vertAlign w:val="baseline"/>
          <w:rtl/>
        </w:rPr>
        <w:footnoteRef/>
      </w:r>
      <w:r w:rsidRPr="00CA5D1D">
        <w:rPr>
          <w:spacing w:val="-5"/>
          <w:w w:val="103"/>
          <w:rtl/>
        </w:rPr>
        <w:t>)</w:t>
      </w:r>
      <w:r w:rsidRPr="00CA5D1D">
        <w:rPr>
          <w:spacing w:val="-5"/>
          <w:w w:val="103"/>
          <w:rtl/>
        </w:rPr>
        <w:tab/>
      </w:r>
      <w:r>
        <w:rPr>
          <w:rFonts w:hint="cs"/>
          <w:spacing w:val="-5"/>
          <w:w w:val="103"/>
          <w:rtl/>
        </w:rPr>
        <w:t>الدراسة الاستقصائية للاقتصاد في باكستان، 2003-2004.</w:t>
      </w:r>
    </w:p>
  </w:footnote>
  <w:footnote w:id="2">
    <w:p w:rsidR="00326EB5" w:rsidRPr="00CA5D1D" w:rsidRDefault="00326EB5" w:rsidP="00CA5D1D">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CA5D1D">
        <w:rPr>
          <w:spacing w:val="-5"/>
          <w:w w:val="103"/>
          <w:rtl/>
        </w:rPr>
        <w:t>(</w:t>
      </w:r>
      <w:r w:rsidRPr="00CA5D1D">
        <w:rPr>
          <w:rStyle w:val="FootnoteReference"/>
          <w:w w:val="103"/>
          <w:vertAlign w:val="baseline"/>
          <w:rtl/>
        </w:rPr>
        <w:footnoteRef/>
      </w:r>
      <w:r w:rsidRPr="00CA5D1D">
        <w:rPr>
          <w:spacing w:val="-5"/>
          <w:w w:val="103"/>
          <w:rtl/>
        </w:rPr>
        <w:t>)</w:t>
      </w:r>
      <w:r w:rsidRPr="00CA5D1D">
        <w:rPr>
          <w:spacing w:val="-5"/>
          <w:w w:val="103"/>
          <w:rtl/>
        </w:rPr>
        <w:tab/>
      </w:r>
      <w:r>
        <w:rPr>
          <w:rFonts w:hint="cs"/>
          <w:spacing w:val="-5"/>
          <w:w w:val="103"/>
          <w:rtl/>
        </w:rPr>
        <w:t>الدراسة الاستقصائية للقوة العاملة في باكستان 2001-2002، نشرت في أوائل سنة 2003.</w:t>
      </w:r>
    </w:p>
  </w:footnote>
  <w:footnote w:id="3">
    <w:p w:rsidR="00326EB5" w:rsidRPr="00CA5D1D" w:rsidRDefault="00326EB5" w:rsidP="00CA5D1D">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CA5D1D">
        <w:rPr>
          <w:spacing w:val="-5"/>
          <w:w w:val="103"/>
          <w:rtl/>
        </w:rPr>
        <w:t>(</w:t>
      </w:r>
      <w:r w:rsidRPr="00CA5D1D">
        <w:rPr>
          <w:rStyle w:val="FootnoteReference"/>
          <w:w w:val="103"/>
          <w:vertAlign w:val="baseline"/>
          <w:rtl/>
        </w:rPr>
        <w:footnoteRef/>
      </w:r>
      <w:r w:rsidRPr="00CA5D1D">
        <w:rPr>
          <w:spacing w:val="-5"/>
          <w:w w:val="103"/>
          <w:rtl/>
        </w:rPr>
        <w:t>)</w:t>
      </w:r>
      <w:r w:rsidRPr="00CA5D1D">
        <w:rPr>
          <w:spacing w:val="-5"/>
          <w:w w:val="103"/>
          <w:rtl/>
        </w:rPr>
        <w:tab/>
      </w:r>
      <w:r>
        <w:rPr>
          <w:rFonts w:hint="cs"/>
          <w:spacing w:val="-5"/>
          <w:w w:val="103"/>
          <w:rtl/>
        </w:rPr>
        <w:t>محسوبة على أساس البالغين الذين يحصلون على أقل من 350 2 من السعرات الحرارية/يوميا.</w:t>
      </w:r>
    </w:p>
  </w:footnote>
  <w:footnote w:id="4">
    <w:p w:rsidR="00326EB5" w:rsidRPr="008E7A5E" w:rsidRDefault="00326EB5" w:rsidP="008E7A5E">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8E7A5E">
        <w:rPr>
          <w:spacing w:val="-5"/>
          <w:w w:val="103"/>
          <w:rtl/>
        </w:rPr>
        <w:t>(</w:t>
      </w:r>
      <w:r w:rsidRPr="008E7A5E">
        <w:rPr>
          <w:rStyle w:val="FootnoteReference"/>
          <w:w w:val="103"/>
          <w:vertAlign w:val="baseline"/>
          <w:rtl/>
        </w:rPr>
        <w:footnoteRef/>
      </w:r>
      <w:r w:rsidRPr="008E7A5E">
        <w:rPr>
          <w:spacing w:val="-5"/>
          <w:w w:val="103"/>
          <w:rtl/>
        </w:rPr>
        <w:t>)</w:t>
      </w:r>
      <w:r w:rsidRPr="008E7A5E">
        <w:rPr>
          <w:spacing w:val="-5"/>
          <w:w w:val="103"/>
          <w:rtl/>
        </w:rPr>
        <w:tab/>
      </w:r>
      <w:r>
        <w:rPr>
          <w:spacing w:val="-5"/>
          <w:w w:val="103"/>
        </w:rPr>
        <w:t>http:// Pakistan.gov.pk/women-development-division/informationandservices/report.html</w:t>
      </w:r>
      <w:r>
        <w:rPr>
          <w:rFonts w:hint="cs"/>
          <w:spacing w:val="-5"/>
          <w:w w:val="103"/>
          <w:rtl/>
        </w:rPr>
        <w:t>.</w:t>
      </w:r>
    </w:p>
  </w:footnote>
  <w:footnote w:id="5">
    <w:p w:rsidR="00326EB5" w:rsidRPr="00CD4568" w:rsidRDefault="00326EB5" w:rsidP="00CD4568">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CD4568">
        <w:rPr>
          <w:spacing w:val="-5"/>
          <w:w w:val="103"/>
          <w:rtl/>
        </w:rPr>
        <w:t>(</w:t>
      </w:r>
      <w:r w:rsidRPr="00CD4568">
        <w:rPr>
          <w:rStyle w:val="FootnoteReference"/>
          <w:w w:val="103"/>
          <w:vertAlign w:val="baseline"/>
          <w:rtl/>
        </w:rPr>
        <w:footnoteRef/>
      </w:r>
      <w:r w:rsidRPr="00CD4568">
        <w:rPr>
          <w:spacing w:val="-5"/>
          <w:w w:val="103"/>
          <w:rtl/>
        </w:rPr>
        <w:t>)</w:t>
      </w:r>
      <w:r w:rsidRPr="00CD4568">
        <w:rPr>
          <w:spacing w:val="-5"/>
          <w:w w:val="103"/>
          <w:rtl/>
        </w:rPr>
        <w:tab/>
      </w:r>
      <w:r>
        <w:rPr>
          <w:rFonts w:hint="cs"/>
          <w:spacing w:val="-5"/>
          <w:w w:val="103"/>
          <w:rtl/>
        </w:rPr>
        <w:t>الفصل الخامس عشر، الفقرة 478 و ما بعدها.</w:t>
      </w:r>
    </w:p>
  </w:footnote>
  <w:footnote w:id="6">
    <w:p w:rsidR="00326EB5" w:rsidRPr="00A52687" w:rsidRDefault="00326EB5" w:rsidP="00A52687">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A52687">
        <w:rPr>
          <w:spacing w:val="-5"/>
          <w:w w:val="103"/>
          <w:rtl/>
        </w:rPr>
        <w:t>(</w:t>
      </w:r>
      <w:r w:rsidRPr="00A52687">
        <w:rPr>
          <w:rStyle w:val="FootnoteReference"/>
          <w:w w:val="103"/>
          <w:vertAlign w:val="baseline"/>
          <w:rtl/>
        </w:rPr>
        <w:footnoteRef/>
      </w:r>
      <w:r w:rsidRPr="00A52687">
        <w:rPr>
          <w:spacing w:val="-5"/>
          <w:w w:val="103"/>
          <w:rtl/>
        </w:rPr>
        <w:t>)</w:t>
      </w:r>
      <w:r w:rsidRPr="00A52687">
        <w:rPr>
          <w:spacing w:val="-5"/>
          <w:w w:val="103"/>
          <w:rtl/>
        </w:rPr>
        <w:tab/>
      </w:r>
      <w:r>
        <w:rPr>
          <w:rFonts w:hint="cs"/>
          <w:spacing w:val="-5"/>
          <w:w w:val="103"/>
          <w:rtl/>
        </w:rPr>
        <w:t>لا توجد كليات طب مخصصة للذكور في باكستان. بيد أن هناك كلية طب واحدة، وهي كلية طب فاطمة جناح، في لوهور، مخصصة للمرأة. وتتعلق المسألة التي تجري مناقشتها هنا بكليات الطب التي بها تعليم مشترك للجنسين.</w:t>
      </w:r>
    </w:p>
  </w:footnote>
  <w:footnote w:id="7">
    <w:p w:rsidR="00326EB5" w:rsidRPr="004136A1" w:rsidRDefault="00326EB5" w:rsidP="004136A1">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4136A1">
        <w:rPr>
          <w:spacing w:val="-5"/>
          <w:w w:val="103"/>
          <w:rtl/>
        </w:rPr>
        <w:t>(</w:t>
      </w:r>
      <w:r w:rsidRPr="004136A1">
        <w:rPr>
          <w:rStyle w:val="FootnoteReference"/>
          <w:w w:val="103"/>
          <w:vertAlign w:val="baseline"/>
          <w:rtl/>
        </w:rPr>
        <w:footnoteRef/>
      </w:r>
      <w:r w:rsidRPr="004136A1">
        <w:rPr>
          <w:spacing w:val="-5"/>
          <w:w w:val="103"/>
          <w:rtl/>
        </w:rPr>
        <w:t>)</w:t>
      </w:r>
      <w:r w:rsidRPr="004136A1">
        <w:rPr>
          <w:spacing w:val="-5"/>
          <w:w w:val="103"/>
          <w:rtl/>
        </w:rPr>
        <w:tab/>
      </w:r>
      <w:r>
        <w:rPr>
          <w:rFonts w:hint="cs"/>
          <w:spacing w:val="-5"/>
          <w:w w:val="103"/>
          <w:rtl/>
        </w:rPr>
        <w:t xml:space="preserve">بيانات مستقاة من </w:t>
      </w:r>
      <w:r>
        <w:rPr>
          <w:rFonts w:hint="eastAsia"/>
          <w:spacing w:val="-5"/>
          <w:w w:val="103"/>
          <w:rtl/>
        </w:rPr>
        <w:t>”تقرير خط الأساس لمشاركة المرأة في الحياة العامة والسياسية في باكستان، مؤسسة أورات، تشرين الأول/أكتوبر، 1</w:t>
      </w:r>
      <w:r>
        <w:rPr>
          <w:rFonts w:hint="cs"/>
          <w:spacing w:val="-5"/>
          <w:w w:val="103"/>
          <w:rtl/>
        </w:rPr>
        <w:t>999.</w:t>
      </w:r>
    </w:p>
  </w:footnote>
  <w:footnote w:id="8">
    <w:p w:rsidR="00326EB5" w:rsidRPr="00831A0F" w:rsidRDefault="00326EB5" w:rsidP="00831A0F">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831A0F">
        <w:rPr>
          <w:spacing w:val="-5"/>
          <w:w w:val="103"/>
          <w:sz w:val="16"/>
          <w:rtl/>
        </w:rPr>
        <w:t>(</w:t>
      </w:r>
      <w:r w:rsidRPr="00831A0F">
        <w:rPr>
          <w:rStyle w:val="FootnoteReference"/>
          <w:w w:val="103"/>
          <w:vertAlign w:val="baseline"/>
          <w:rtl/>
        </w:rPr>
        <w:footnoteRef/>
      </w:r>
      <w:r w:rsidRPr="00831A0F">
        <w:rPr>
          <w:spacing w:val="-5"/>
          <w:w w:val="103"/>
          <w:sz w:val="16"/>
          <w:rtl/>
        </w:rPr>
        <w:t>)</w:t>
      </w:r>
      <w:r w:rsidRPr="00831A0F">
        <w:rPr>
          <w:spacing w:val="-5"/>
          <w:w w:val="103"/>
          <w:rtl/>
        </w:rPr>
        <w:tab/>
      </w:r>
      <w:r>
        <w:rPr>
          <w:rFonts w:hint="cs"/>
          <w:rtl/>
        </w:rPr>
        <w:t>انتُخبت امرأة كعضوة فنية، بالإضافة إلى 17 امرأة تم انتخابهن للمقاعد المحجوزة.</w:t>
      </w:r>
    </w:p>
  </w:footnote>
  <w:footnote w:id="9">
    <w:p w:rsidR="00326EB5" w:rsidRPr="00831A0F" w:rsidRDefault="00326EB5" w:rsidP="00831A0F">
      <w:pPr>
        <w:pStyle w:val="FootnoteText"/>
        <w:tabs>
          <w:tab w:val="clear" w:pos="418"/>
          <w:tab w:val="right" w:pos="1195"/>
          <w:tab w:val="left" w:pos="1267"/>
          <w:tab w:val="left" w:pos="1656"/>
          <w:tab w:val="left" w:pos="2088"/>
        </w:tabs>
        <w:spacing w:after="80"/>
        <w:ind w:left="1267" w:right="1267" w:hanging="547"/>
        <w:rPr>
          <w:rFonts w:hint="eastAsia"/>
          <w:spacing w:val="-5"/>
          <w:w w:val="103"/>
        </w:rPr>
      </w:pPr>
      <w:r>
        <w:rPr>
          <w:rtl/>
        </w:rPr>
        <w:tab/>
      </w:r>
      <w:r w:rsidRPr="00831A0F">
        <w:rPr>
          <w:spacing w:val="-5"/>
          <w:w w:val="103"/>
          <w:rtl/>
        </w:rPr>
        <w:t>(</w:t>
      </w:r>
      <w:r w:rsidRPr="00831A0F">
        <w:rPr>
          <w:rStyle w:val="FootnoteReference"/>
          <w:w w:val="103"/>
          <w:vertAlign w:val="baseline"/>
          <w:rtl/>
        </w:rPr>
        <w:footnoteRef/>
      </w:r>
      <w:r w:rsidRPr="00831A0F">
        <w:rPr>
          <w:spacing w:val="-5"/>
          <w:w w:val="103"/>
          <w:rtl/>
        </w:rPr>
        <w:t>)</w:t>
      </w:r>
      <w:r w:rsidRPr="00831A0F">
        <w:rPr>
          <w:spacing w:val="-5"/>
          <w:w w:val="103"/>
          <w:rtl/>
        </w:rPr>
        <w:tab/>
      </w:r>
      <w:r>
        <w:rPr>
          <w:rFonts w:hint="cs"/>
          <w:spacing w:val="-5"/>
          <w:w w:val="103"/>
          <w:rtl/>
        </w:rPr>
        <w:t xml:space="preserve">معلومات مستقاة من </w:t>
      </w:r>
      <w:r>
        <w:rPr>
          <w:rFonts w:hint="eastAsia"/>
          <w:spacing w:val="-5"/>
          <w:w w:val="103"/>
          <w:rtl/>
        </w:rPr>
        <w:t>”بحث في أوضاع توظفي المرأة في هيئات القطاع العام، 2003، تحت رعاية مصرف التنمية الآسيوي.</w:t>
      </w:r>
    </w:p>
  </w:footnote>
  <w:footnote w:id="10">
    <w:p w:rsidR="00326EB5" w:rsidRPr="00555612" w:rsidRDefault="00326EB5" w:rsidP="00B821AB">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555612">
        <w:rPr>
          <w:spacing w:val="-5"/>
          <w:w w:val="103"/>
          <w:rtl/>
        </w:rPr>
        <w:t>(</w:t>
      </w:r>
      <w:r w:rsidRPr="00555612">
        <w:rPr>
          <w:rStyle w:val="FootnoteReference"/>
          <w:w w:val="103"/>
          <w:vertAlign w:val="baseline"/>
          <w:rtl/>
        </w:rPr>
        <w:footnoteRef/>
      </w:r>
      <w:r w:rsidRPr="00555612">
        <w:rPr>
          <w:spacing w:val="-5"/>
          <w:w w:val="103"/>
          <w:rtl/>
        </w:rPr>
        <w:t>)</w:t>
      </w:r>
      <w:r w:rsidRPr="00555612">
        <w:rPr>
          <w:spacing w:val="-5"/>
          <w:w w:val="103"/>
          <w:rtl/>
        </w:rPr>
        <w:tab/>
      </w:r>
      <w:r>
        <w:rPr>
          <w:rFonts w:hint="cs"/>
          <w:spacing w:val="-5"/>
          <w:w w:val="103"/>
          <w:rtl/>
        </w:rPr>
        <w:t>الصفحة 31، تعزيز خط الأساس لمشاركة المرأة في الحياة العامة والسياسية في باكستان، مؤسسة أورات، تشرين الأول/أكتوبر 1999.</w:t>
      </w:r>
    </w:p>
  </w:footnote>
  <w:footnote w:id="11">
    <w:p w:rsidR="00326EB5" w:rsidRPr="00A71236" w:rsidRDefault="00326EB5" w:rsidP="00A71236">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A71236">
        <w:rPr>
          <w:spacing w:val="-5"/>
          <w:w w:val="103"/>
          <w:rtl/>
        </w:rPr>
        <w:t>(</w:t>
      </w:r>
      <w:r w:rsidRPr="00A71236">
        <w:rPr>
          <w:rStyle w:val="FootnoteReference"/>
          <w:w w:val="103"/>
          <w:vertAlign w:val="baseline"/>
          <w:rtl/>
        </w:rPr>
        <w:footnoteRef/>
      </w:r>
      <w:r w:rsidRPr="00A71236">
        <w:rPr>
          <w:spacing w:val="-5"/>
          <w:w w:val="103"/>
          <w:rtl/>
        </w:rPr>
        <w:t>)</w:t>
      </w:r>
      <w:r w:rsidRPr="00A71236">
        <w:rPr>
          <w:spacing w:val="-5"/>
          <w:w w:val="103"/>
          <w:rtl/>
        </w:rPr>
        <w:tab/>
      </w:r>
      <w:r>
        <w:rPr>
          <w:rFonts w:hint="cs"/>
          <w:spacing w:val="-5"/>
          <w:w w:val="103"/>
          <w:rtl/>
        </w:rPr>
        <w:t>ما قبل المدرسة الابتدائية.</w:t>
      </w:r>
    </w:p>
  </w:footnote>
  <w:footnote w:id="12">
    <w:p w:rsidR="00326EB5" w:rsidRPr="001E4D4B" w:rsidRDefault="00326EB5" w:rsidP="001E4D4B">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1E4D4B">
        <w:rPr>
          <w:spacing w:val="-5"/>
          <w:w w:val="103"/>
          <w:rtl/>
        </w:rPr>
        <w:t>(</w:t>
      </w:r>
      <w:r w:rsidRPr="001E4D4B">
        <w:rPr>
          <w:rStyle w:val="FootnoteReference"/>
          <w:w w:val="103"/>
          <w:vertAlign w:val="baseline"/>
          <w:rtl/>
        </w:rPr>
        <w:footnoteRef/>
      </w:r>
      <w:r w:rsidRPr="001E4D4B">
        <w:rPr>
          <w:spacing w:val="-5"/>
          <w:w w:val="103"/>
          <w:rtl/>
        </w:rPr>
        <w:t>)</w:t>
      </w:r>
      <w:r w:rsidRPr="001E4D4B">
        <w:rPr>
          <w:spacing w:val="-5"/>
          <w:w w:val="103"/>
          <w:rtl/>
        </w:rPr>
        <w:tab/>
      </w:r>
      <w:r>
        <w:rPr>
          <w:rFonts w:hint="cs"/>
          <w:spacing w:val="-5"/>
          <w:w w:val="103"/>
          <w:rtl/>
        </w:rPr>
        <w:t>الدراسة الاستقصائية لاقتصاد باكستان، 2002-2003، الفصل الخاص بالتعليم.</w:t>
      </w:r>
    </w:p>
  </w:footnote>
  <w:footnote w:id="13">
    <w:p w:rsidR="00326EB5" w:rsidRPr="00B906E8" w:rsidRDefault="00326EB5" w:rsidP="00C67DF8">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B906E8">
        <w:rPr>
          <w:spacing w:val="-5"/>
          <w:w w:val="103"/>
          <w:rtl/>
        </w:rPr>
        <w:t>(</w:t>
      </w:r>
      <w:r w:rsidRPr="00B906E8">
        <w:rPr>
          <w:rStyle w:val="FootnoteReference"/>
          <w:w w:val="103"/>
          <w:vertAlign w:val="baseline"/>
          <w:rtl/>
        </w:rPr>
        <w:footnoteRef/>
      </w:r>
      <w:r w:rsidRPr="00B906E8">
        <w:rPr>
          <w:spacing w:val="-5"/>
          <w:w w:val="103"/>
          <w:rtl/>
        </w:rPr>
        <w:t>)</w:t>
      </w:r>
      <w:r w:rsidRPr="00B906E8">
        <w:rPr>
          <w:spacing w:val="-5"/>
          <w:w w:val="103"/>
          <w:rtl/>
        </w:rPr>
        <w:tab/>
      </w:r>
      <w:r>
        <w:rPr>
          <w:rFonts w:hint="cs"/>
          <w:spacing w:val="-5"/>
          <w:w w:val="103"/>
          <w:rtl/>
        </w:rPr>
        <w:t>السياسة الوطنية للصحة، 2001، طريق التقدم، خطة إصلاح قطاع الصحة.</w:t>
      </w:r>
    </w:p>
  </w:footnote>
  <w:footnote w:id="14">
    <w:p w:rsidR="00326EB5" w:rsidRPr="00A40A9D" w:rsidRDefault="00326EB5" w:rsidP="00C67DF8">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A40A9D">
        <w:rPr>
          <w:spacing w:val="-5"/>
          <w:w w:val="103"/>
          <w:rtl/>
        </w:rPr>
        <w:t>(</w:t>
      </w:r>
      <w:r w:rsidRPr="00A40A9D">
        <w:rPr>
          <w:rStyle w:val="FootnoteReference"/>
          <w:w w:val="103"/>
          <w:vertAlign w:val="baseline"/>
          <w:rtl/>
        </w:rPr>
        <w:footnoteRef/>
      </w:r>
      <w:r w:rsidRPr="00A40A9D">
        <w:rPr>
          <w:spacing w:val="-5"/>
          <w:w w:val="103"/>
          <w:rtl/>
        </w:rPr>
        <w:t>)</w:t>
      </w:r>
      <w:r w:rsidRPr="00A40A9D">
        <w:rPr>
          <w:spacing w:val="-5"/>
          <w:w w:val="103"/>
          <w:rtl/>
        </w:rPr>
        <w:tab/>
      </w:r>
      <w:r>
        <w:rPr>
          <w:rFonts w:hint="cs"/>
          <w:spacing w:val="-5"/>
          <w:w w:val="103"/>
          <w:rtl/>
        </w:rPr>
        <w:t>الموقع الشبكي للمجلس الباكستاني للطب وطب الأسنان، 2003.</w:t>
      </w:r>
    </w:p>
  </w:footnote>
  <w:footnote w:id="15">
    <w:p w:rsidR="00326EB5" w:rsidRPr="002E4620" w:rsidRDefault="00326EB5" w:rsidP="00C67DF8">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2E4620">
        <w:rPr>
          <w:spacing w:val="-5"/>
          <w:w w:val="103"/>
          <w:rtl/>
        </w:rPr>
        <w:t>(</w:t>
      </w:r>
      <w:r w:rsidRPr="002E4620">
        <w:rPr>
          <w:rStyle w:val="FootnoteReference"/>
          <w:w w:val="103"/>
          <w:vertAlign w:val="baseline"/>
          <w:rtl/>
        </w:rPr>
        <w:footnoteRef/>
      </w:r>
      <w:r w:rsidRPr="002E4620">
        <w:rPr>
          <w:spacing w:val="-5"/>
          <w:w w:val="103"/>
          <w:rtl/>
        </w:rPr>
        <w:t>)</w:t>
      </w:r>
      <w:r w:rsidRPr="002E4620">
        <w:rPr>
          <w:spacing w:val="-5"/>
          <w:w w:val="103"/>
          <w:rtl/>
        </w:rPr>
        <w:tab/>
      </w:r>
      <w:r>
        <w:rPr>
          <w:rFonts w:hint="cs"/>
          <w:spacing w:val="-5"/>
          <w:w w:val="103"/>
          <w:rtl/>
        </w:rPr>
        <w:t>الدراسة الاستقصائية المتكاملة للإحصاءات المنزلية في باكستان، 2000-2002.</w:t>
      </w:r>
    </w:p>
  </w:footnote>
  <w:footnote w:id="16">
    <w:p w:rsidR="00326EB5" w:rsidRPr="00C362C6" w:rsidRDefault="00326EB5" w:rsidP="00C67DF8">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C362C6">
        <w:rPr>
          <w:spacing w:val="-5"/>
          <w:w w:val="103"/>
          <w:rtl/>
        </w:rPr>
        <w:t>(</w:t>
      </w:r>
      <w:r w:rsidRPr="00C362C6">
        <w:rPr>
          <w:rStyle w:val="FootnoteReference"/>
          <w:w w:val="103"/>
          <w:vertAlign w:val="baseline"/>
          <w:rtl/>
        </w:rPr>
        <w:footnoteRef/>
      </w:r>
      <w:r w:rsidRPr="00C362C6">
        <w:rPr>
          <w:spacing w:val="-5"/>
          <w:w w:val="103"/>
          <w:rtl/>
        </w:rPr>
        <w:t>)</w:t>
      </w:r>
      <w:r w:rsidRPr="00C362C6">
        <w:rPr>
          <w:spacing w:val="-5"/>
          <w:w w:val="103"/>
          <w:rtl/>
        </w:rPr>
        <w:tab/>
      </w:r>
      <w:r>
        <w:rPr>
          <w:rFonts w:hint="cs"/>
          <w:spacing w:val="-5"/>
          <w:w w:val="103"/>
          <w:rtl/>
        </w:rPr>
        <w:t>الدراسة الاستقصائية لاقتصاد باكستان، 2003، الفصل الخاص بالصحة.</w:t>
      </w:r>
    </w:p>
  </w:footnote>
  <w:footnote w:id="17">
    <w:p w:rsidR="00326EB5" w:rsidRPr="00FF16FF" w:rsidRDefault="00326EB5" w:rsidP="00C67DF8">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FF16FF">
        <w:rPr>
          <w:spacing w:val="-5"/>
          <w:w w:val="103"/>
          <w:rtl/>
        </w:rPr>
        <w:t>(</w:t>
      </w:r>
      <w:r w:rsidRPr="00FF16FF">
        <w:rPr>
          <w:rStyle w:val="FootnoteReference"/>
          <w:w w:val="103"/>
          <w:vertAlign w:val="baseline"/>
          <w:rtl/>
        </w:rPr>
        <w:footnoteRef/>
      </w:r>
      <w:r w:rsidRPr="00FF16FF">
        <w:rPr>
          <w:spacing w:val="-5"/>
          <w:w w:val="103"/>
          <w:rtl/>
        </w:rPr>
        <w:t>)</w:t>
      </w:r>
      <w:r w:rsidRPr="00FF16FF">
        <w:rPr>
          <w:spacing w:val="-5"/>
          <w:w w:val="103"/>
          <w:rtl/>
        </w:rPr>
        <w:tab/>
      </w:r>
      <w:r>
        <w:rPr>
          <w:rFonts w:hint="cs"/>
          <w:spacing w:val="-5"/>
          <w:w w:val="103"/>
          <w:rtl/>
        </w:rPr>
        <w:t>تقييم سكان باكستان، 2003، تقرير صندوق الأمم المتحدة للسكان.</w:t>
      </w:r>
    </w:p>
  </w:footnote>
  <w:footnote w:id="18">
    <w:p w:rsidR="00326EB5" w:rsidRPr="00996004" w:rsidRDefault="00326EB5" w:rsidP="00C67DF8">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996004">
        <w:rPr>
          <w:spacing w:val="-5"/>
          <w:w w:val="103"/>
          <w:rtl/>
        </w:rPr>
        <w:t>(</w:t>
      </w:r>
      <w:r w:rsidRPr="00996004">
        <w:rPr>
          <w:rStyle w:val="FootnoteReference"/>
          <w:w w:val="103"/>
          <w:vertAlign w:val="baseline"/>
          <w:rtl/>
        </w:rPr>
        <w:footnoteRef/>
      </w:r>
      <w:r w:rsidRPr="00996004">
        <w:rPr>
          <w:spacing w:val="-5"/>
          <w:w w:val="103"/>
          <w:rtl/>
        </w:rPr>
        <w:t>)</w:t>
      </w:r>
      <w:r w:rsidRPr="00996004">
        <w:rPr>
          <w:spacing w:val="-5"/>
          <w:w w:val="103"/>
          <w:rtl/>
        </w:rPr>
        <w:tab/>
      </w:r>
      <w:r>
        <w:rPr>
          <w:rFonts w:hint="cs"/>
          <w:spacing w:val="-5"/>
          <w:w w:val="103"/>
          <w:rtl/>
        </w:rPr>
        <w:t>المقاطعة (الاستبيان المجتمعي للدراسة الاستقصائية المتكاملة للإحصاءات المنزلية في باكستان، 2001-2002).</w:t>
      </w:r>
    </w:p>
  </w:footnote>
  <w:footnote w:id="19">
    <w:p w:rsidR="00326EB5" w:rsidRPr="00F15698" w:rsidRDefault="00326EB5" w:rsidP="00C67DF8">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F15698">
        <w:rPr>
          <w:spacing w:val="-5"/>
          <w:w w:val="103"/>
          <w:rtl/>
        </w:rPr>
        <w:t>(</w:t>
      </w:r>
      <w:r w:rsidRPr="00F15698">
        <w:rPr>
          <w:rStyle w:val="FootnoteReference"/>
          <w:w w:val="103"/>
          <w:vertAlign w:val="baseline"/>
          <w:rtl/>
        </w:rPr>
        <w:footnoteRef/>
      </w:r>
      <w:r w:rsidRPr="00F15698">
        <w:rPr>
          <w:spacing w:val="-5"/>
          <w:w w:val="103"/>
          <w:rtl/>
        </w:rPr>
        <w:t>)</w:t>
      </w:r>
      <w:r w:rsidRPr="00F15698">
        <w:rPr>
          <w:spacing w:val="-5"/>
          <w:w w:val="103"/>
          <w:rtl/>
        </w:rPr>
        <w:tab/>
      </w:r>
      <w:r>
        <w:rPr>
          <w:rFonts w:hint="cs"/>
          <w:spacing w:val="-5"/>
          <w:w w:val="103"/>
          <w:rtl/>
        </w:rPr>
        <w:t>انظر الدراسة الاستقصائية المتكاملة للإحصاءات المنزلية في باكستان.</w:t>
      </w:r>
    </w:p>
  </w:footnote>
  <w:footnote w:id="20">
    <w:p w:rsidR="00326EB5" w:rsidRPr="007160D8" w:rsidRDefault="00326EB5" w:rsidP="00C67DF8">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7160D8">
        <w:rPr>
          <w:spacing w:val="-5"/>
          <w:w w:val="103"/>
          <w:rtl/>
        </w:rPr>
        <w:t>(</w:t>
      </w:r>
      <w:r w:rsidRPr="007160D8">
        <w:rPr>
          <w:rStyle w:val="FootnoteReference"/>
          <w:w w:val="103"/>
          <w:vertAlign w:val="baseline"/>
          <w:rtl/>
        </w:rPr>
        <w:footnoteRef/>
      </w:r>
      <w:r w:rsidRPr="007160D8">
        <w:rPr>
          <w:spacing w:val="-5"/>
          <w:w w:val="103"/>
          <w:rtl/>
        </w:rPr>
        <w:t>)</w:t>
      </w:r>
      <w:r w:rsidRPr="007160D8">
        <w:rPr>
          <w:spacing w:val="-5"/>
          <w:w w:val="103"/>
          <w:rtl/>
        </w:rPr>
        <w:tab/>
      </w:r>
      <w:r w:rsidRPr="007160D8">
        <w:rPr>
          <w:rFonts w:hint="cs"/>
          <w:spacing w:val="-5"/>
          <w:w w:val="103"/>
          <w:sz w:val="24"/>
          <w:szCs w:val="24"/>
          <w:rtl/>
        </w:rPr>
        <w:t>الموقع الشبكي لمجلس شؤون السكان</w:t>
      </w:r>
      <w:r>
        <w:rPr>
          <w:rFonts w:hint="cs"/>
          <w:spacing w:val="-5"/>
          <w:w w:val="103"/>
          <w:rtl/>
        </w:rPr>
        <w:t xml:space="preserve"> </w:t>
      </w:r>
      <w:r>
        <w:rPr>
          <w:spacing w:val="-5"/>
          <w:w w:val="103"/>
        </w:rPr>
        <w:t>“http:/www.popcouncil.org/publications/popbriefs/pb7%282%29_3.html”</w:t>
      </w:r>
      <w:r>
        <w:rPr>
          <w:rFonts w:hint="cs"/>
          <w:spacing w:val="-5"/>
          <w:w w:val="103"/>
          <w:rtl/>
        </w:rPr>
        <w:t>.</w:t>
      </w:r>
    </w:p>
  </w:footnote>
  <w:footnote w:id="21">
    <w:p w:rsidR="00326EB5" w:rsidRPr="00B802D5" w:rsidRDefault="00326EB5" w:rsidP="00C67DF8">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B802D5">
        <w:rPr>
          <w:spacing w:val="-5"/>
          <w:w w:val="103"/>
          <w:rtl/>
        </w:rPr>
        <w:t>(</w:t>
      </w:r>
      <w:r w:rsidRPr="00B802D5">
        <w:rPr>
          <w:rStyle w:val="FootnoteReference"/>
          <w:w w:val="103"/>
          <w:vertAlign w:val="baseline"/>
          <w:rtl/>
        </w:rPr>
        <w:footnoteRef/>
      </w:r>
      <w:r w:rsidRPr="00B802D5">
        <w:rPr>
          <w:spacing w:val="-5"/>
          <w:w w:val="103"/>
          <w:rtl/>
        </w:rPr>
        <w:t>)</w:t>
      </w:r>
      <w:r w:rsidRPr="00B802D5">
        <w:rPr>
          <w:spacing w:val="-5"/>
          <w:w w:val="103"/>
          <w:rtl/>
        </w:rPr>
        <w:tab/>
      </w:r>
      <w:r>
        <w:rPr>
          <w:rFonts w:hint="cs"/>
          <w:spacing w:val="-5"/>
          <w:w w:val="103"/>
          <w:rtl/>
        </w:rPr>
        <w:t>أموال الصدقة.</w:t>
      </w:r>
    </w:p>
  </w:footnote>
  <w:footnote w:id="22">
    <w:p w:rsidR="00326EB5" w:rsidRPr="00B802D5" w:rsidRDefault="00326EB5" w:rsidP="00C67DF8">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B802D5">
        <w:rPr>
          <w:spacing w:val="-5"/>
          <w:w w:val="103"/>
          <w:rtl/>
        </w:rPr>
        <w:t>(</w:t>
      </w:r>
      <w:r w:rsidRPr="00B802D5">
        <w:rPr>
          <w:rStyle w:val="FootnoteReference"/>
          <w:w w:val="103"/>
          <w:vertAlign w:val="baseline"/>
          <w:rtl/>
        </w:rPr>
        <w:footnoteRef/>
      </w:r>
      <w:r w:rsidRPr="00B802D5">
        <w:rPr>
          <w:spacing w:val="-5"/>
          <w:w w:val="103"/>
          <w:rtl/>
        </w:rPr>
        <w:t>)</w:t>
      </w:r>
      <w:r w:rsidRPr="00B802D5">
        <w:rPr>
          <w:spacing w:val="-5"/>
          <w:w w:val="103"/>
          <w:rtl/>
        </w:rPr>
        <w:tab/>
      </w:r>
      <w:r>
        <w:rPr>
          <w:rFonts w:hint="cs"/>
          <w:spacing w:val="-5"/>
          <w:w w:val="103"/>
          <w:rtl/>
        </w:rPr>
        <w:t>أموال العطايا.</w:t>
      </w:r>
    </w:p>
  </w:footnote>
  <w:footnote w:id="23">
    <w:p w:rsidR="00326EB5" w:rsidRPr="009F024B" w:rsidRDefault="00326EB5" w:rsidP="00C67DF8">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9F024B">
        <w:rPr>
          <w:spacing w:val="-5"/>
          <w:w w:val="103"/>
          <w:rtl/>
        </w:rPr>
        <w:t>(</w:t>
      </w:r>
      <w:r w:rsidRPr="009F024B">
        <w:rPr>
          <w:rStyle w:val="FootnoteReference"/>
          <w:w w:val="103"/>
          <w:vertAlign w:val="baseline"/>
          <w:rtl/>
        </w:rPr>
        <w:footnoteRef/>
      </w:r>
      <w:r w:rsidRPr="009F024B">
        <w:rPr>
          <w:spacing w:val="-5"/>
          <w:w w:val="103"/>
          <w:rtl/>
        </w:rPr>
        <w:t>)</w:t>
      </w:r>
      <w:r w:rsidRPr="009F024B">
        <w:rPr>
          <w:spacing w:val="-5"/>
          <w:w w:val="103"/>
          <w:rtl/>
        </w:rPr>
        <w:tab/>
      </w:r>
      <w:r>
        <w:rPr>
          <w:rFonts w:hint="cs"/>
          <w:spacing w:val="-5"/>
          <w:w w:val="103"/>
          <w:rtl/>
        </w:rPr>
        <w:t>حسب على أساس البالغين الحاصلين على أقل من 350 2 من السعرات الحرارية، يوميا، أو ما يعادل 748.56 روبية للشخص البالغ شهريا.</w:t>
      </w:r>
    </w:p>
  </w:footnote>
  <w:footnote w:id="24">
    <w:p w:rsidR="00326EB5" w:rsidRPr="0055123D" w:rsidRDefault="00326EB5" w:rsidP="00C67DF8">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55123D">
        <w:rPr>
          <w:spacing w:val="-5"/>
          <w:w w:val="103"/>
          <w:rtl/>
        </w:rPr>
        <w:t>(</w:t>
      </w:r>
      <w:r w:rsidRPr="0055123D">
        <w:rPr>
          <w:rStyle w:val="FootnoteReference"/>
          <w:w w:val="103"/>
          <w:vertAlign w:val="baseline"/>
          <w:rtl/>
        </w:rPr>
        <w:footnoteRef/>
      </w:r>
      <w:r w:rsidRPr="0055123D">
        <w:rPr>
          <w:spacing w:val="-5"/>
          <w:w w:val="103"/>
          <w:rtl/>
        </w:rPr>
        <w:t>)</w:t>
      </w:r>
      <w:r w:rsidRPr="0055123D">
        <w:rPr>
          <w:spacing w:val="-5"/>
          <w:w w:val="103"/>
          <w:rtl/>
        </w:rPr>
        <w:tab/>
      </w:r>
      <w:r>
        <w:rPr>
          <w:rFonts w:hint="cs"/>
          <w:spacing w:val="-5"/>
          <w:w w:val="103"/>
          <w:rtl/>
        </w:rPr>
        <w:t>بيانات سنة 1997 مقدمة من وزارة الصحة.</w:t>
      </w:r>
    </w:p>
  </w:footnote>
  <w:footnote w:id="25">
    <w:p w:rsidR="00326EB5" w:rsidRPr="00B142F8" w:rsidRDefault="00326EB5" w:rsidP="00C67DF8">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sidRPr="00B142F8">
        <w:rPr>
          <w:spacing w:val="-5"/>
          <w:w w:val="103"/>
          <w:rtl/>
        </w:rPr>
        <w:t>(</w:t>
      </w:r>
      <w:r w:rsidRPr="00B142F8">
        <w:rPr>
          <w:rStyle w:val="FootnoteReference"/>
          <w:w w:val="103"/>
          <w:vertAlign w:val="baseline"/>
          <w:rtl/>
        </w:rPr>
        <w:footnoteRef/>
      </w:r>
      <w:r w:rsidRPr="00B142F8">
        <w:rPr>
          <w:spacing w:val="-5"/>
          <w:w w:val="103"/>
          <w:rtl/>
        </w:rPr>
        <w:t>)</w:t>
      </w:r>
      <w:r w:rsidRPr="00B142F8">
        <w:rPr>
          <w:spacing w:val="-5"/>
          <w:w w:val="103"/>
          <w:rtl/>
        </w:rPr>
        <w:tab/>
      </w:r>
      <w:r>
        <w:rPr>
          <w:rFonts w:hint="cs"/>
          <w:spacing w:val="-5"/>
          <w:w w:val="103"/>
          <w:rtl/>
        </w:rPr>
        <w:t>بيانات من الدراسة الاستقصائية المتكاملة للإحصاءات المنزلية في باكستان، 2001-2002.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EB5" w:rsidRPr="002B6E11" w:rsidRDefault="00326EB5" w:rsidP="002B6E11">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326EB5">
                  <w:tblPrEx>
                    <w:tblCellMar>
                      <w:top w:w="0" w:type="dxa"/>
                      <w:bottom w:w="0" w:type="dxa"/>
                    </w:tblCellMar>
                  </w:tblPrEx>
                  <w:trPr>
                    <w:trHeight w:hRule="exact" w:val="864"/>
                    <w:jc w:val="center"/>
                  </w:trPr>
                  <w:tc>
                    <w:tcPr>
                      <w:tcW w:w="4932" w:type="dxa"/>
                      <w:shd w:val="clear" w:color="auto" w:fill="auto"/>
                      <w:vAlign w:val="bottom"/>
                    </w:tcPr>
                    <w:p w:rsidR="00326EB5" w:rsidRDefault="00326EB5" w:rsidP="002B6E11">
                      <w:pPr>
                        <w:pStyle w:val="Header"/>
                        <w:bidi/>
                        <w:jc w:val="right"/>
                      </w:pPr>
                    </w:p>
                  </w:tc>
                  <w:tc>
                    <w:tcPr>
                      <w:tcW w:w="4933" w:type="dxa"/>
                      <w:shd w:val="clear" w:color="auto" w:fill="auto"/>
                      <w:vAlign w:val="bottom"/>
                    </w:tcPr>
                    <w:p w:rsidR="00326EB5" w:rsidRPr="002B6E11" w:rsidRDefault="00326EB5" w:rsidP="002B6E11">
                      <w:pPr>
                        <w:pStyle w:val="Header"/>
                        <w:spacing w:after="80"/>
                        <w:jc w:val="right"/>
                        <w:rPr>
                          <w:w w:val="103"/>
                        </w:rPr>
                      </w:pPr>
                      <w:r>
                        <w:rPr>
                          <w:w w:val="103"/>
                        </w:rPr>
                        <w:t>CEDAW/C/PAK/1-3</w:t>
                      </w:r>
                    </w:p>
                  </w:tc>
                </w:tr>
              </w:tbl>
              <w:p w:rsidR="00326EB5" w:rsidRDefault="00326EB5" w:rsidP="002B6E11">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EB5" w:rsidRPr="002B6E11" w:rsidRDefault="00326EB5" w:rsidP="002B6E11">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326EB5">
                  <w:tblPrEx>
                    <w:tblCellMar>
                      <w:top w:w="0" w:type="dxa"/>
                      <w:bottom w:w="0" w:type="dxa"/>
                    </w:tblCellMar>
                  </w:tblPrEx>
                  <w:trPr>
                    <w:trHeight w:hRule="exact" w:val="864"/>
                    <w:jc w:val="center"/>
                  </w:trPr>
                  <w:tc>
                    <w:tcPr>
                      <w:tcW w:w="4932" w:type="dxa"/>
                      <w:shd w:val="clear" w:color="auto" w:fill="auto"/>
                      <w:vAlign w:val="bottom"/>
                    </w:tcPr>
                    <w:p w:rsidR="00326EB5" w:rsidRPr="002B6E11" w:rsidRDefault="00326EB5" w:rsidP="002B6E11">
                      <w:pPr>
                        <w:pStyle w:val="Header"/>
                        <w:spacing w:after="80"/>
                        <w:rPr>
                          <w:w w:val="103"/>
                        </w:rPr>
                      </w:pPr>
                      <w:r>
                        <w:rPr>
                          <w:w w:val="103"/>
                        </w:rPr>
                        <w:t>CEDAW/C/PAK/1-3</w:t>
                      </w:r>
                    </w:p>
                  </w:tc>
                  <w:tc>
                    <w:tcPr>
                      <w:tcW w:w="4933" w:type="dxa"/>
                      <w:shd w:val="clear" w:color="auto" w:fill="auto"/>
                      <w:vAlign w:val="bottom"/>
                    </w:tcPr>
                    <w:p w:rsidR="00326EB5" w:rsidRDefault="00326EB5" w:rsidP="002B6E11">
                      <w:pPr>
                        <w:pStyle w:val="Header"/>
                      </w:pPr>
                    </w:p>
                  </w:tc>
                </w:tr>
              </w:tbl>
              <w:p w:rsidR="00326EB5" w:rsidRDefault="00326EB5" w:rsidP="002B6E11">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26EB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26EB5" w:rsidRDefault="00326EB5" w:rsidP="00F012CA">
          <w:pPr>
            <w:pStyle w:val="Header"/>
            <w:spacing w:after="120"/>
          </w:pPr>
        </w:p>
      </w:tc>
      <w:tc>
        <w:tcPr>
          <w:tcW w:w="1786" w:type="dxa"/>
          <w:tcBorders>
            <w:bottom w:val="single" w:sz="4" w:space="0" w:color="auto"/>
          </w:tcBorders>
          <w:shd w:val="clear" w:color="auto" w:fill="auto"/>
          <w:vAlign w:val="bottom"/>
        </w:tcPr>
        <w:p w:rsidR="00326EB5" w:rsidRPr="00F012CA" w:rsidRDefault="00326EB5" w:rsidP="00F012C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26EB5" w:rsidRDefault="00326EB5" w:rsidP="00F012CA">
          <w:pPr>
            <w:pStyle w:val="Header"/>
            <w:spacing w:after="120"/>
          </w:pPr>
        </w:p>
      </w:tc>
      <w:tc>
        <w:tcPr>
          <w:tcW w:w="6523" w:type="dxa"/>
          <w:gridSpan w:val="3"/>
          <w:tcBorders>
            <w:bottom w:val="single" w:sz="4" w:space="0" w:color="auto"/>
          </w:tcBorders>
          <w:shd w:val="clear" w:color="auto" w:fill="auto"/>
          <w:vAlign w:val="bottom"/>
        </w:tcPr>
        <w:p w:rsidR="00326EB5" w:rsidRPr="00F012CA" w:rsidRDefault="00326EB5" w:rsidP="00F012CA">
          <w:pPr>
            <w:spacing w:line="380" w:lineRule="exact"/>
            <w:jc w:val="right"/>
          </w:pPr>
          <w:r>
            <w:rPr>
              <w:sz w:val="40"/>
            </w:rPr>
            <w:t>CEDAW</w:t>
          </w:r>
          <w:r>
            <w:t>/C/PAK/1-3</w:t>
          </w:r>
        </w:p>
      </w:tc>
    </w:tr>
    <w:tr w:rsidR="00326EB5" w:rsidRPr="00F012C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26EB5" w:rsidRPr="00F012CA" w:rsidRDefault="00326EB5" w:rsidP="00F012C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326EB5" w:rsidRPr="00F012CA" w:rsidRDefault="00326EB5" w:rsidP="00F012C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26EB5" w:rsidRPr="00F012CA" w:rsidRDefault="00326EB5" w:rsidP="00F012CA">
          <w:pPr>
            <w:pStyle w:val="Header"/>
            <w:spacing w:before="109"/>
          </w:pPr>
        </w:p>
      </w:tc>
      <w:tc>
        <w:tcPr>
          <w:tcW w:w="3100" w:type="dxa"/>
          <w:gridSpan w:val="2"/>
          <w:tcBorders>
            <w:top w:val="single" w:sz="4" w:space="0" w:color="auto"/>
            <w:bottom w:val="single" w:sz="12" w:space="0" w:color="auto"/>
          </w:tcBorders>
          <w:shd w:val="clear" w:color="auto" w:fill="auto"/>
        </w:tcPr>
        <w:p w:rsidR="00326EB5" w:rsidRDefault="00326EB5" w:rsidP="00F012CA">
          <w:pPr>
            <w:bidi w:val="0"/>
            <w:spacing w:before="240" w:line="240" w:lineRule="exact"/>
          </w:pPr>
          <w:r>
            <w:t>Distr</w:t>
          </w:r>
          <w:r>
            <w:rPr>
              <w:rtl/>
            </w:rPr>
            <w:t xml:space="preserve"> :.</w:t>
          </w:r>
          <w:r>
            <w:t>General</w:t>
          </w:r>
        </w:p>
        <w:p w:rsidR="00326EB5" w:rsidRDefault="00326EB5" w:rsidP="00F012CA">
          <w:pPr>
            <w:bidi w:val="0"/>
            <w:spacing w:line="240" w:lineRule="exact"/>
            <w:jc w:val="left"/>
          </w:pPr>
          <w:smartTag w:uri="urn:schemas-microsoft-com:office:smarttags" w:element="date">
            <w:smartTagPr>
              <w:attr w:name="Month" w:val="8"/>
              <w:attr w:name="Day" w:val="3"/>
              <w:attr w:name="Year" w:val="2005"/>
            </w:smartTagPr>
            <w:r>
              <w:t>3 August 2005</w:t>
            </w:r>
          </w:smartTag>
        </w:p>
        <w:p w:rsidR="00326EB5" w:rsidRDefault="00326EB5" w:rsidP="00F012CA">
          <w:pPr>
            <w:bidi w:val="0"/>
            <w:spacing w:line="240" w:lineRule="exact"/>
            <w:jc w:val="left"/>
          </w:pPr>
          <w:r>
            <w:t>Arabic</w:t>
          </w:r>
        </w:p>
        <w:p w:rsidR="00326EB5" w:rsidRPr="00F012CA" w:rsidRDefault="00326EB5" w:rsidP="00F012CA">
          <w:pPr>
            <w:bidi w:val="0"/>
            <w:spacing w:line="240" w:lineRule="exact"/>
            <w:jc w:val="left"/>
          </w:pPr>
          <w:r>
            <w:t>Original: English</w:t>
          </w:r>
        </w:p>
      </w:tc>
    </w:tr>
  </w:tbl>
  <w:p w:rsidR="00326EB5" w:rsidRPr="00F012CA" w:rsidRDefault="00326EB5" w:rsidP="00F012C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5/2005 6:31: PM"/>
    <w:docVar w:name="DocCategory" w:val="Doc"/>
    <w:docVar w:name="DocType" w:val="Final"/>
    <w:docVar w:name="JobNo" w:val="0545435A"/>
    <w:docVar w:name="OandT" w:val="إبراهيم حشيش"/>
    <w:docVar w:name="Symbol1" w:val="CEDAW/C/PAK/1-3"/>
    <w:docVar w:name="Symbol2" w:val="-"/>
  </w:docVars>
  <w:rsids>
    <w:rsidRoot w:val="00CD3849"/>
    <w:rsid w:val="0003661C"/>
    <w:rsid w:val="0003774E"/>
    <w:rsid w:val="00042425"/>
    <w:rsid w:val="00046718"/>
    <w:rsid w:val="00046FE8"/>
    <w:rsid w:val="000606DA"/>
    <w:rsid w:val="00087310"/>
    <w:rsid w:val="0009732C"/>
    <w:rsid w:val="000B1462"/>
    <w:rsid w:val="000B3DE3"/>
    <w:rsid w:val="000B41AE"/>
    <w:rsid w:val="000D2CEC"/>
    <w:rsid w:val="000D5F2E"/>
    <w:rsid w:val="000F22AC"/>
    <w:rsid w:val="00101EE8"/>
    <w:rsid w:val="001147A5"/>
    <w:rsid w:val="00120E7A"/>
    <w:rsid w:val="001231BB"/>
    <w:rsid w:val="00123CAC"/>
    <w:rsid w:val="00130AD5"/>
    <w:rsid w:val="001357A2"/>
    <w:rsid w:val="00155FCB"/>
    <w:rsid w:val="00164E2F"/>
    <w:rsid w:val="001662DD"/>
    <w:rsid w:val="00166E69"/>
    <w:rsid w:val="0018681A"/>
    <w:rsid w:val="00187870"/>
    <w:rsid w:val="00190A93"/>
    <w:rsid w:val="0019711A"/>
    <w:rsid w:val="001A4809"/>
    <w:rsid w:val="001C794E"/>
    <w:rsid w:val="001D222C"/>
    <w:rsid w:val="001E4D4B"/>
    <w:rsid w:val="002360DC"/>
    <w:rsid w:val="002416C5"/>
    <w:rsid w:val="00244A4C"/>
    <w:rsid w:val="00266F42"/>
    <w:rsid w:val="00266F59"/>
    <w:rsid w:val="00272B6C"/>
    <w:rsid w:val="00290F2F"/>
    <w:rsid w:val="002937DA"/>
    <w:rsid w:val="00296724"/>
    <w:rsid w:val="002B39F3"/>
    <w:rsid w:val="002B6E11"/>
    <w:rsid w:val="002C2AF2"/>
    <w:rsid w:val="002C4E1B"/>
    <w:rsid w:val="002F098C"/>
    <w:rsid w:val="002F34EA"/>
    <w:rsid w:val="002F717C"/>
    <w:rsid w:val="00305459"/>
    <w:rsid w:val="00312162"/>
    <w:rsid w:val="00326EB5"/>
    <w:rsid w:val="003501D5"/>
    <w:rsid w:val="00351363"/>
    <w:rsid w:val="00360CD9"/>
    <w:rsid w:val="00371AC4"/>
    <w:rsid w:val="003A65ED"/>
    <w:rsid w:val="003C018F"/>
    <w:rsid w:val="003D4612"/>
    <w:rsid w:val="003F4B8C"/>
    <w:rsid w:val="003F5D8D"/>
    <w:rsid w:val="003F77BA"/>
    <w:rsid w:val="00401BDF"/>
    <w:rsid w:val="00411BBD"/>
    <w:rsid w:val="004136A1"/>
    <w:rsid w:val="00415922"/>
    <w:rsid w:val="00423BD7"/>
    <w:rsid w:val="0042757D"/>
    <w:rsid w:val="00437C14"/>
    <w:rsid w:val="004527C9"/>
    <w:rsid w:val="00453069"/>
    <w:rsid w:val="00473D48"/>
    <w:rsid w:val="00476E10"/>
    <w:rsid w:val="00482D71"/>
    <w:rsid w:val="00494EE2"/>
    <w:rsid w:val="00496E83"/>
    <w:rsid w:val="004A1C1D"/>
    <w:rsid w:val="004A2886"/>
    <w:rsid w:val="004B14A0"/>
    <w:rsid w:val="004B3B98"/>
    <w:rsid w:val="004B5DC8"/>
    <w:rsid w:val="004C6DCB"/>
    <w:rsid w:val="004D683E"/>
    <w:rsid w:val="004E283A"/>
    <w:rsid w:val="004E2B1C"/>
    <w:rsid w:val="004F1402"/>
    <w:rsid w:val="0050659B"/>
    <w:rsid w:val="00521ACC"/>
    <w:rsid w:val="00524A2E"/>
    <w:rsid w:val="005279DE"/>
    <w:rsid w:val="0053451E"/>
    <w:rsid w:val="00534772"/>
    <w:rsid w:val="00537FCD"/>
    <w:rsid w:val="00545F76"/>
    <w:rsid w:val="005539E2"/>
    <w:rsid w:val="00555612"/>
    <w:rsid w:val="00556882"/>
    <w:rsid w:val="00561E43"/>
    <w:rsid w:val="005622A1"/>
    <w:rsid w:val="00573128"/>
    <w:rsid w:val="005838F5"/>
    <w:rsid w:val="00584237"/>
    <w:rsid w:val="00591B45"/>
    <w:rsid w:val="00594A6B"/>
    <w:rsid w:val="00597152"/>
    <w:rsid w:val="005B1801"/>
    <w:rsid w:val="005F137C"/>
    <w:rsid w:val="005F4097"/>
    <w:rsid w:val="005F4AD5"/>
    <w:rsid w:val="005F5FD5"/>
    <w:rsid w:val="006218A3"/>
    <w:rsid w:val="00625F93"/>
    <w:rsid w:val="006334E9"/>
    <w:rsid w:val="0064600F"/>
    <w:rsid w:val="00654AB2"/>
    <w:rsid w:val="006564CE"/>
    <w:rsid w:val="00662916"/>
    <w:rsid w:val="00663F64"/>
    <w:rsid w:val="006715CE"/>
    <w:rsid w:val="006940F8"/>
    <w:rsid w:val="00696B7A"/>
    <w:rsid w:val="006C38EE"/>
    <w:rsid w:val="006C49CA"/>
    <w:rsid w:val="00700E06"/>
    <w:rsid w:val="00701E81"/>
    <w:rsid w:val="007111FF"/>
    <w:rsid w:val="0071531E"/>
    <w:rsid w:val="0071645B"/>
    <w:rsid w:val="00716E9D"/>
    <w:rsid w:val="00733765"/>
    <w:rsid w:val="00747B9E"/>
    <w:rsid w:val="007525FA"/>
    <w:rsid w:val="007672B4"/>
    <w:rsid w:val="00774FF0"/>
    <w:rsid w:val="007759A9"/>
    <w:rsid w:val="00784580"/>
    <w:rsid w:val="0079046D"/>
    <w:rsid w:val="00793C12"/>
    <w:rsid w:val="0079753A"/>
    <w:rsid w:val="007977D9"/>
    <w:rsid w:val="007A0673"/>
    <w:rsid w:val="007A30D0"/>
    <w:rsid w:val="007A6DD9"/>
    <w:rsid w:val="007B20CD"/>
    <w:rsid w:val="007C5C4F"/>
    <w:rsid w:val="007E1625"/>
    <w:rsid w:val="007F0285"/>
    <w:rsid w:val="007F578A"/>
    <w:rsid w:val="00800D61"/>
    <w:rsid w:val="0081284F"/>
    <w:rsid w:val="00814492"/>
    <w:rsid w:val="00814843"/>
    <w:rsid w:val="00830E32"/>
    <w:rsid w:val="0083181C"/>
    <w:rsid w:val="00831A0F"/>
    <w:rsid w:val="0084124D"/>
    <w:rsid w:val="008432A1"/>
    <w:rsid w:val="00854577"/>
    <w:rsid w:val="00854CFC"/>
    <w:rsid w:val="00854F5D"/>
    <w:rsid w:val="0086543E"/>
    <w:rsid w:val="008718BC"/>
    <w:rsid w:val="00873AF9"/>
    <w:rsid w:val="008A0344"/>
    <w:rsid w:val="008D1C04"/>
    <w:rsid w:val="008E3024"/>
    <w:rsid w:val="008E7A5E"/>
    <w:rsid w:val="008F04A0"/>
    <w:rsid w:val="008F129B"/>
    <w:rsid w:val="008F4E17"/>
    <w:rsid w:val="008F5055"/>
    <w:rsid w:val="008F64A7"/>
    <w:rsid w:val="008F7849"/>
    <w:rsid w:val="0090012B"/>
    <w:rsid w:val="00900206"/>
    <w:rsid w:val="00906F96"/>
    <w:rsid w:val="00945189"/>
    <w:rsid w:val="00955DDA"/>
    <w:rsid w:val="00970BAD"/>
    <w:rsid w:val="009825FF"/>
    <w:rsid w:val="009829B7"/>
    <w:rsid w:val="00984ECA"/>
    <w:rsid w:val="009927C0"/>
    <w:rsid w:val="009A0DC5"/>
    <w:rsid w:val="009A2C97"/>
    <w:rsid w:val="009C15F4"/>
    <w:rsid w:val="009C3D4E"/>
    <w:rsid w:val="009D02E6"/>
    <w:rsid w:val="009D15FD"/>
    <w:rsid w:val="009D62A3"/>
    <w:rsid w:val="009E10E9"/>
    <w:rsid w:val="009E2A1F"/>
    <w:rsid w:val="009F3C71"/>
    <w:rsid w:val="00A01900"/>
    <w:rsid w:val="00A01EED"/>
    <w:rsid w:val="00A1272C"/>
    <w:rsid w:val="00A1602D"/>
    <w:rsid w:val="00A167F5"/>
    <w:rsid w:val="00A26EE6"/>
    <w:rsid w:val="00A3018B"/>
    <w:rsid w:val="00A518A8"/>
    <w:rsid w:val="00A52687"/>
    <w:rsid w:val="00A56AAD"/>
    <w:rsid w:val="00A710B9"/>
    <w:rsid w:val="00A71236"/>
    <w:rsid w:val="00A71532"/>
    <w:rsid w:val="00A71AE5"/>
    <w:rsid w:val="00A731A7"/>
    <w:rsid w:val="00A83656"/>
    <w:rsid w:val="00A84055"/>
    <w:rsid w:val="00A845EB"/>
    <w:rsid w:val="00A95B12"/>
    <w:rsid w:val="00A9715E"/>
    <w:rsid w:val="00AA1E16"/>
    <w:rsid w:val="00AC002C"/>
    <w:rsid w:val="00AC6CDD"/>
    <w:rsid w:val="00AD38D0"/>
    <w:rsid w:val="00AE108C"/>
    <w:rsid w:val="00AF18D6"/>
    <w:rsid w:val="00AF1A53"/>
    <w:rsid w:val="00AF6FAC"/>
    <w:rsid w:val="00AF7AC7"/>
    <w:rsid w:val="00B05ADC"/>
    <w:rsid w:val="00B22DC4"/>
    <w:rsid w:val="00B25573"/>
    <w:rsid w:val="00B668D5"/>
    <w:rsid w:val="00B70884"/>
    <w:rsid w:val="00B821AB"/>
    <w:rsid w:val="00B95560"/>
    <w:rsid w:val="00B974D8"/>
    <w:rsid w:val="00BA7A33"/>
    <w:rsid w:val="00BA7FAB"/>
    <w:rsid w:val="00BB487D"/>
    <w:rsid w:val="00BC2F4C"/>
    <w:rsid w:val="00BC34D7"/>
    <w:rsid w:val="00BC4A05"/>
    <w:rsid w:val="00BD02B4"/>
    <w:rsid w:val="00BE383F"/>
    <w:rsid w:val="00BF0B15"/>
    <w:rsid w:val="00BF32BA"/>
    <w:rsid w:val="00BF4238"/>
    <w:rsid w:val="00C12CBB"/>
    <w:rsid w:val="00C25A2D"/>
    <w:rsid w:val="00C260F8"/>
    <w:rsid w:val="00C43FBE"/>
    <w:rsid w:val="00C449C6"/>
    <w:rsid w:val="00C564B0"/>
    <w:rsid w:val="00C6241B"/>
    <w:rsid w:val="00C67DF8"/>
    <w:rsid w:val="00C814A5"/>
    <w:rsid w:val="00C81693"/>
    <w:rsid w:val="00C82422"/>
    <w:rsid w:val="00C96573"/>
    <w:rsid w:val="00CA5D1D"/>
    <w:rsid w:val="00CA7E1F"/>
    <w:rsid w:val="00CB09A0"/>
    <w:rsid w:val="00CB773D"/>
    <w:rsid w:val="00CC484D"/>
    <w:rsid w:val="00CD0BB8"/>
    <w:rsid w:val="00CD1F6E"/>
    <w:rsid w:val="00CD3849"/>
    <w:rsid w:val="00CD4568"/>
    <w:rsid w:val="00CF2509"/>
    <w:rsid w:val="00CF7384"/>
    <w:rsid w:val="00D2343D"/>
    <w:rsid w:val="00D30EAE"/>
    <w:rsid w:val="00D318F1"/>
    <w:rsid w:val="00D3649E"/>
    <w:rsid w:val="00D40B0E"/>
    <w:rsid w:val="00D41B46"/>
    <w:rsid w:val="00D42E69"/>
    <w:rsid w:val="00D461BF"/>
    <w:rsid w:val="00DA66B7"/>
    <w:rsid w:val="00DB0865"/>
    <w:rsid w:val="00DB7BD5"/>
    <w:rsid w:val="00DC6F35"/>
    <w:rsid w:val="00DC7C24"/>
    <w:rsid w:val="00DD6BA5"/>
    <w:rsid w:val="00DE5433"/>
    <w:rsid w:val="00DF5149"/>
    <w:rsid w:val="00DF57A9"/>
    <w:rsid w:val="00DF5F38"/>
    <w:rsid w:val="00E151E0"/>
    <w:rsid w:val="00E16904"/>
    <w:rsid w:val="00E17474"/>
    <w:rsid w:val="00E174A0"/>
    <w:rsid w:val="00E21D00"/>
    <w:rsid w:val="00E23336"/>
    <w:rsid w:val="00E26084"/>
    <w:rsid w:val="00E30D08"/>
    <w:rsid w:val="00E31A5B"/>
    <w:rsid w:val="00E32B52"/>
    <w:rsid w:val="00E47EB8"/>
    <w:rsid w:val="00E674FF"/>
    <w:rsid w:val="00E75236"/>
    <w:rsid w:val="00E9114A"/>
    <w:rsid w:val="00E96AD6"/>
    <w:rsid w:val="00E974EF"/>
    <w:rsid w:val="00E97A46"/>
    <w:rsid w:val="00EA489C"/>
    <w:rsid w:val="00EB0CA7"/>
    <w:rsid w:val="00EB25A3"/>
    <w:rsid w:val="00EB4992"/>
    <w:rsid w:val="00EB67DC"/>
    <w:rsid w:val="00EC147E"/>
    <w:rsid w:val="00EE1F39"/>
    <w:rsid w:val="00EE1FF3"/>
    <w:rsid w:val="00EE2BD2"/>
    <w:rsid w:val="00EF2E52"/>
    <w:rsid w:val="00F012CA"/>
    <w:rsid w:val="00F05431"/>
    <w:rsid w:val="00F0794D"/>
    <w:rsid w:val="00F26544"/>
    <w:rsid w:val="00F32E4A"/>
    <w:rsid w:val="00F36D8C"/>
    <w:rsid w:val="00F53E4D"/>
    <w:rsid w:val="00F613DC"/>
    <w:rsid w:val="00F93545"/>
    <w:rsid w:val="00F96FBA"/>
    <w:rsid w:val="00FB4E06"/>
    <w:rsid w:val="00FB51CB"/>
    <w:rsid w:val="00FC3483"/>
    <w:rsid w:val="00FC4D68"/>
    <w:rsid w:val="00FC740A"/>
    <w:rsid w:val="00FD2ADA"/>
    <w:rsid w:val="00FE1E4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SingleTxt"/>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012CA"/>
    <w:rPr>
      <w:szCs w:val="20"/>
    </w:rPr>
  </w:style>
  <w:style w:type="paragraph" w:styleId="CommentSubject">
    <w:name w:val="annotation subject"/>
    <w:basedOn w:val="CommentText"/>
    <w:next w:val="CommentText"/>
    <w:semiHidden/>
    <w:rsid w:val="00F012CA"/>
    <w:rPr>
      <w:b/>
      <w:bCs/>
    </w:rPr>
  </w:style>
  <w:style w:type="paragraph" w:styleId="BodyText">
    <w:name w:val="Body Text"/>
    <w:basedOn w:val="Normal"/>
    <w:rsid w:val="005622A1"/>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154</Pages>
  <Words>39425</Words>
  <Characters>224723</Characters>
  <Application>Microsoft Office Word</Application>
  <DocSecurity>4</DocSecurity>
  <Lines>1872</Lines>
  <Paragraphs>527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Hashish</dc:creator>
  <cp:keywords/>
  <dc:description/>
  <cp:lastModifiedBy>Arabic User</cp:lastModifiedBy>
  <cp:revision>5</cp:revision>
  <cp:lastPrinted>2005-11-19T20:52:00Z</cp:lastPrinted>
  <dcterms:created xsi:type="dcterms:W3CDTF">2005-11-28T21:16:00Z</dcterms:created>
  <dcterms:modified xsi:type="dcterms:W3CDTF">2005-12-15T14:44:00Z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CEDAW/C/PAK/1-3</vt:lpwstr>
  </property>
  <property fmtid="{D5CDD505-2E9C-101B-9397-08002B2CF9AE}" pid="3" name="Symbol2">
    <vt:lpwstr/>
  </property>
  <property fmtid="{D5CDD505-2E9C-101B-9397-08002B2CF9AE}" pid="4" name="Translator">
    <vt:lpwstr/>
  </property>
  <property fmtid="{D5CDD505-2E9C-101B-9397-08002B2CF9AE}" pid="5" name="Operator">
    <vt:lpwstr>إبراهيم حشيش</vt:lpwstr>
  </property>
  <property fmtid="{D5CDD505-2E9C-101B-9397-08002B2CF9AE}" pid="6" name="DraftPages">
    <vt:lpwstr> </vt:lpwstr>
  </property>
  <property fmtid="{D5CDD505-2E9C-101B-9397-08002B2CF9AE}" pid="7" name="Comment">
    <vt:lpwstr/>
  </property>
  <property fmtid="{D5CDD505-2E9C-101B-9397-08002B2CF9AE}" pid="8" name="JobNo">
    <vt:lpwstr>0545435A</vt:lpwstr>
  </property>
</Properties>
</file>