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62FE20E" w14:textId="77777777" w:rsidTr="00C01462">
        <w:trPr>
          <w:cantSplit/>
          <w:trHeight w:hRule="exact" w:val="851"/>
        </w:trPr>
        <w:tc>
          <w:tcPr>
            <w:tcW w:w="1276" w:type="dxa"/>
            <w:tcBorders>
              <w:bottom w:val="single" w:sz="4" w:space="0" w:color="auto"/>
            </w:tcBorders>
            <w:vAlign w:val="bottom"/>
          </w:tcPr>
          <w:p w14:paraId="054636E0" w14:textId="77777777" w:rsidR="00307688" w:rsidRPr="007233F9" w:rsidRDefault="00307688" w:rsidP="007233F9">
            <w:pPr>
              <w:pStyle w:val="SingleTxtG"/>
            </w:pPr>
          </w:p>
        </w:tc>
        <w:tc>
          <w:tcPr>
            <w:tcW w:w="2268" w:type="dxa"/>
            <w:tcBorders>
              <w:bottom w:val="single" w:sz="4" w:space="0" w:color="auto"/>
            </w:tcBorders>
            <w:vAlign w:val="bottom"/>
          </w:tcPr>
          <w:p w14:paraId="71B3D3DD"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AD3B0BC" w14:textId="50989758" w:rsidR="00307688" w:rsidRPr="002E51B7" w:rsidRDefault="008058F9" w:rsidP="008058F9">
            <w:pPr>
              <w:suppressAutoHyphens w:val="0"/>
              <w:spacing w:after="20"/>
              <w:jc w:val="right"/>
            </w:pPr>
            <w:r w:rsidRPr="00E03618">
              <w:rPr>
                <w:sz w:val="40"/>
              </w:rPr>
              <w:t>CERD</w:t>
            </w:r>
            <w:r w:rsidRPr="00E03618">
              <w:t>/C/AZE/Q/10-12</w:t>
            </w:r>
          </w:p>
        </w:tc>
      </w:tr>
      <w:tr w:rsidR="00307688" w14:paraId="57CF667D" w14:textId="77777777" w:rsidTr="00C01462">
        <w:trPr>
          <w:cantSplit/>
          <w:trHeight w:hRule="exact" w:val="2835"/>
        </w:trPr>
        <w:tc>
          <w:tcPr>
            <w:tcW w:w="1276" w:type="dxa"/>
            <w:tcBorders>
              <w:top w:val="single" w:sz="4" w:space="0" w:color="auto"/>
              <w:bottom w:val="single" w:sz="12" w:space="0" w:color="auto"/>
            </w:tcBorders>
          </w:tcPr>
          <w:p w14:paraId="3600110C" w14:textId="77777777" w:rsidR="00307688" w:rsidRDefault="00307688" w:rsidP="00C01462">
            <w:pPr>
              <w:spacing w:before="120"/>
              <w:jc w:val="center"/>
            </w:pPr>
            <w:r>
              <w:rPr>
                <w:noProof/>
                <w:lang w:val="fr-CH" w:eastAsia="fr-CH"/>
              </w:rPr>
              <w:drawing>
                <wp:inline distT="0" distB="0" distL="0" distR="0" wp14:anchorId="31D0EBBB" wp14:editId="36F042F8">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5D6BF1" w14:textId="054110BE" w:rsidR="00307688" w:rsidRDefault="00307688" w:rsidP="00CB6C14">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57A27B15" w14:textId="77777777" w:rsidR="008058F9" w:rsidRPr="003964E9" w:rsidRDefault="008058F9" w:rsidP="008058F9">
            <w:pPr>
              <w:suppressAutoHyphens w:val="0"/>
              <w:spacing w:before="240" w:line="240" w:lineRule="exact"/>
            </w:pPr>
            <w:r w:rsidRPr="003964E9">
              <w:t>Distr.: General</w:t>
            </w:r>
          </w:p>
          <w:p w14:paraId="0F58B930" w14:textId="0B9B4BFE" w:rsidR="008058F9" w:rsidRPr="003964E9" w:rsidRDefault="008058F9" w:rsidP="008058F9">
            <w:pPr>
              <w:suppressAutoHyphens w:val="0"/>
            </w:pPr>
            <w:r>
              <w:t xml:space="preserve">23 </w:t>
            </w:r>
            <w:r w:rsidRPr="0016406D">
              <w:t>June</w:t>
            </w:r>
            <w:r w:rsidRPr="003964E9">
              <w:t xml:space="preserve"> 2022</w:t>
            </w:r>
          </w:p>
          <w:p w14:paraId="59C510C5" w14:textId="77777777" w:rsidR="008058F9" w:rsidRPr="003964E9" w:rsidRDefault="008058F9" w:rsidP="008058F9">
            <w:pPr>
              <w:suppressAutoHyphens w:val="0"/>
            </w:pPr>
          </w:p>
          <w:p w14:paraId="78214774" w14:textId="77777777" w:rsidR="008058F9" w:rsidRPr="003964E9" w:rsidRDefault="008058F9" w:rsidP="008058F9">
            <w:pPr>
              <w:suppressAutoHyphens w:val="0"/>
            </w:pPr>
            <w:r w:rsidRPr="003964E9">
              <w:t>Original: English</w:t>
            </w:r>
          </w:p>
          <w:p w14:paraId="00EB23F7" w14:textId="2FBF30F1" w:rsidR="008058F9" w:rsidRDefault="008058F9" w:rsidP="008058F9">
            <w:pPr>
              <w:suppressAutoHyphens w:val="0"/>
            </w:pPr>
            <w:r w:rsidRPr="003964E9">
              <w:t>English, French</w:t>
            </w:r>
            <w:r>
              <w:t>, Russian</w:t>
            </w:r>
            <w:r w:rsidRPr="003964E9">
              <w:t xml:space="preserve"> and Spanish only</w:t>
            </w:r>
          </w:p>
        </w:tc>
      </w:tr>
    </w:tbl>
    <w:p w14:paraId="0720D1E3" w14:textId="77777777" w:rsidR="009261A5" w:rsidRPr="003964E9" w:rsidRDefault="009261A5" w:rsidP="009261A5">
      <w:pPr>
        <w:spacing w:before="120"/>
        <w:rPr>
          <w:b/>
          <w:sz w:val="24"/>
          <w:szCs w:val="24"/>
        </w:rPr>
      </w:pPr>
      <w:r w:rsidRPr="003964E9">
        <w:rPr>
          <w:b/>
          <w:sz w:val="24"/>
          <w:szCs w:val="24"/>
        </w:rPr>
        <w:t>Committee on the Elimination of Racial Discrimination</w:t>
      </w:r>
    </w:p>
    <w:p w14:paraId="1120A82A" w14:textId="77777777" w:rsidR="009261A5" w:rsidRPr="003964E9" w:rsidRDefault="009261A5" w:rsidP="009261A5">
      <w:pPr>
        <w:rPr>
          <w:b/>
        </w:rPr>
      </w:pPr>
      <w:r w:rsidRPr="003964E9">
        <w:rPr>
          <w:b/>
        </w:rPr>
        <w:t>107th session</w:t>
      </w:r>
    </w:p>
    <w:p w14:paraId="2CE01DAA" w14:textId="77777777" w:rsidR="009261A5" w:rsidRPr="003964E9" w:rsidRDefault="009261A5" w:rsidP="009261A5">
      <w:r w:rsidRPr="003964E9">
        <w:t>8</w:t>
      </w:r>
      <w:r>
        <w:t>–</w:t>
      </w:r>
      <w:r w:rsidRPr="003964E9">
        <w:t>30 August 2022</w:t>
      </w:r>
    </w:p>
    <w:p w14:paraId="2CDEC466" w14:textId="77777777" w:rsidR="009261A5" w:rsidRPr="003964E9" w:rsidRDefault="009261A5" w:rsidP="009261A5">
      <w:r w:rsidRPr="006C3836">
        <w:t>Item 4 of</w:t>
      </w:r>
      <w:r w:rsidRPr="003964E9">
        <w:t xml:space="preserve"> the provisional agenda</w:t>
      </w:r>
    </w:p>
    <w:p w14:paraId="79213506" w14:textId="77777777" w:rsidR="009261A5" w:rsidRPr="003964E9" w:rsidRDefault="009261A5" w:rsidP="009261A5">
      <w:pPr>
        <w:rPr>
          <w:b/>
          <w:bCs/>
        </w:rPr>
      </w:pPr>
      <w:r w:rsidRPr="003964E9">
        <w:rPr>
          <w:b/>
          <w:bCs/>
        </w:rPr>
        <w:t>Consideration of reports, comments and information submitted</w:t>
      </w:r>
    </w:p>
    <w:p w14:paraId="09FC1B52" w14:textId="77777777" w:rsidR="009261A5" w:rsidRPr="003964E9" w:rsidRDefault="009261A5" w:rsidP="009261A5">
      <w:pPr>
        <w:rPr>
          <w:b/>
          <w:bCs/>
        </w:rPr>
      </w:pPr>
      <w:r w:rsidRPr="003964E9">
        <w:rPr>
          <w:b/>
          <w:bCs/>
        </w:rPr>
        <w:t>by States parties under article 9 of the Convention</w:t>
      </w:r>
    </w:p>
    <w:p w14:paraId="27B0E13F" w14:textId="77777777" w:rsidR="009261A5" w:rsidRPr="003964E9" w:rsidRDefault="009261A5" w:rsidP="009261A5">
      <w:pPr>
        <w:pStyle w:val="HChG"/>
      </w:pPr>
      <w:r w:rsidRPr="003964E9">
        <w:tab/>
      </w:r>
      <w:r w:rsidRPr="003964E9">
        <w:tab/>
        <w:t>List of themes in relation to the combined tenth to twelfth reports of Azerbaijan</w:t>
      </w:r>
    </w:p>
    <w:p w14:paraId="47BDFA2A" w14:textId="77777777" w:rsidR="009261A5" w:rsidRPr="003964E9" w:rsidRDefault="009261A5" w:rsidP="009261A5">
      <w:pPr>
        <w:pStyle w:val="H1G"/>
      </w:pPr>
      <w:r w:rsidRPr="003964E9">
        <w:tab/>
      </w:r>
      <w:r w:rsidRPr="003964E9">
        <w:tab/>
        <w:t>Note by the Country Rapporteur</w:t>
      </w:r>
    </w:p>
    <w:p w14:paraId="5E32F3A6" w14:textId="77777777" w:rsidR="009261A5" w:rsidRPr="003964E9" w:rsidRDefault="009261A5" w:rsidP="009261A5">
      <w:pPr>
        <w:pStyle w:val="SingleTxtG"/>
      </w:pPr>
      <w:r w:rsidRPr="003964E9">
        <w:t>1.</w:t>
      </w:r>
      <w:r w:rsidRPr="003964E9">
        <w:tab/>
        <w:t>The Committee on the Elimination of Racial Discrimination decided at its seventy-sixth session</w:t>
      </w:r>
      <w:r>
        <w:rPr>
          <w:rStyle w:val="FootnoteReference"/>
        </w:rPr>
        <w:footnoteReference w:id="1"/>
      </w:r>
      <w:r w:rsidRPr="003964E9">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63BA11B3" w14:textId="77777777" w:rsidR="009261A5" w:rsidRPr="003964E9" w:rsidRDefault="009261A5" w:rsidP="009261A5">
      <w:pPr>
        <w:pStyle w:val="H23G"/>
      </w:pPr>
      <w:r w:rsidRPr="003964E9">
        <w:tab/>
      </w:r>
      <w:r w:rsidRPr="003964E9">
        <w:tab/>
        <w:t>Statistics</w:t>
      </w:r>
    </w:p>
    <w:p w14:paraId="7445FD88" w14:textId="536826FE" w:rsidR="009261A5" w:rsidRPr="003964E9" w:rsidRDefault="009261A5" w:rsidP="009261A5">
      <w:pPr>
        <w:pStyle w:val="SingleTxtG"/>
      </w:pPr>
      <w:r w:rsidRPr="003964E9">
        <w:t>2.</w:t>
      </w:r>
      <w:r w:rsidRPr="003964E9">
        <w:tab/>
        <w:t>Statistics on the demographic composition of the population, disaggregated by ethnic origin, as well as on migrants, refugees, asylum</w:t>
      </w:r>
      <w:r>
        <w:t>-</w:t>
      </w:r>
      <w:r w:rsidRPr="003964E9">
        <w:t>seekers, stateless persons and internally displaced persons. Economic and social indicators o</w:t>
      </w:r>
      <w:r>
        <w:t>n</w:t>
      </w:r>
      <w:r w:rsidRPr="003964E9">
        <w:t xml:space="preserve"> various groups living in its territory</w:t>
      </w:r>
      <w:r>
        <w:t>,</w:t>
      </w:r>
      <w:r w:rsidRPr="003964E9">
        <w:t xml:space="preserve"> disaggregated by </w:t>
      </w:r>
      <w:r>
        <w:t xml:space="preserve">national or </w:t>
      </w:r>
      <w:r w:rsidRPr="003964E9">
        <w:t>ethnic origin</w:t>
      </w:r>
      <w:r>
        <w:t>,</w:t>
      </w:r>
      <w:r w:rsidRPr="003964E9">
        <w:t xml:space="preserve"> </w:t>
      </w:r>
      <w:r>
        <w:t>gender</w:t>
      </w:r>
      <w:r w:rsidRPr="003964E9">
        <w:t xml:space="preserve"> and age.</w:t>
      </w:r>
      <w:r>
        <w:rPr>
          <w:rStyle w:val="FootnoteReference"/>
        </w:rPr>
        <w:footnoteReference w:id="2"/>
      </w:r>
    </w:p>
    <w:p w14:paraId="3C1C2DC3" w14:textId="77777777" w:rsidR="009261A5" w:rsidRPr="003964E9" w:rsidRDefault="009261A5" w:rsidP="009261A5">
      <w:pPr>
        <w:pStyle w:val="H23G"/>
      </w:pPr>
      <w:r w:rsidRPr="003964E9">
        <w:tab/>
      </w:r>
      <w:r w:rsidRPr="003964E9">
        <w:tab/>
        <w:t xml:space="preserve">The Convention in domestic law and the institutional and policy framework for its implementation </w:t>
      </w:r>
      <w:r w:rsidRPr="00091BD5">
        <w:t xml:space="preserve">(arts. 1, 2, 4, 6 and 7) </w:t>
      </w:r>
    </w:p>
    <w:p w14:paraId="20146649" w14:textId="77777777" w:rsidR="009261A5" w:rsidRPr="003964E9" w:rsidRDefault="009261A5" w:rsidP="009261A5">
      <w:pPr>
        <w:pStyle w:val="SingleTxtG"/>
      </w:pPr>
      <w:r w:rsidRPr="003964E9">
        <w:t>3.</w:t>
      </w:r>
      <w:r w:rsidRPr="003964E9">
        <w:tab/>
      </w:r>
      <w:r>
        <w:t>S</w:t>
      </w:r>
      <w:r w:rsidRPr="003964E9">
        <w:t xml:space="preserve">teps taken </w:t>
      </w:r>
      <w:r>
        <w:t>to develop and adopt</w:t>
      </w:r>
      <w:r w:rsidRPr="003964E9">
        <w:t xml:space="preserve"> a comprehensive anti-discrimination law</w:t>
      </w:r>
      <w:r>
        <w:t>, which</w:t>
      </w:r>
      <w:r w:rsidRPr="003964E9">
        <w:t xml:space="preserve"> includ</w:t>
      </w:r>
      <w:r>
        <w:t xml:space="preserve">es </w:t>
      </w:r>
      <w:r w:rsidRPr="003964E9">
        <w:t>a definition of direct and indirect discrimination</w:t>
      </w:r>
      <w:r>
        <w:t>. M</w:t>
      </w:r>
      <w:r w:rsidRPr="003964E9">
        <w:t xml:space="preserve">easures </w:t>
      </w:r>
      <w:r>
        <w:t>to</w:t>
      </w:r>
      <w:r w:rsidRPr="003964E9">
        <w:t xml:space="preserve"> adopt a comprehensive strategy and a national action plan to combat racism, racial discrimination and intolerance.</w:t>
      </w:r>
      <w:r>
        <w:rPr>
          <w:rStyle w:val="FootnoteReference"/>
        </w:rPr>
        <w:footnoteReference w:id="3"/>
      </w:r>
    </w:p>
    <w:p w14:paraId="49A4CD32" w14:textId="77777777" w:rsidR="009261A5" w:rsidRDefault="009261A5" w:rsidP="009261A5">
      <w:pPr>
        <w:pStyle w:val="SingleTxtG"/>
      </w:pPr>
      <w:r>
        <w:t>4.</w:t>
      </w:r>
      <w:r>
        <w:tab/>
        <w:t xml:space="preserve">Steps </w:t>
      </w:r>
      <w:r w:rsidRPr="003964E9">
        <w:t xml:space="preserve">taken to amend its legislation with a view to allowing the </w:t>
      </w:r>
      <w:r>
        <w:t xml:space="preserve">adoption and </w:t>
      </w:r>
      <w:r w:rsidRPr="003964E9">
        <w:t>implementation of special measures for the purpose of securing adequate advancement of disadvantaged minority groups in conformity with article</w:t>
      </w:r>
      <w:r>
        <w:t>s</w:t>
      </w:r>
      <w:r w:rsidRPr="003964E9">
        <w:t xml:space="preserve"> 1 (4)</w:t>
      </w:r>
      <w:r>
        <w:t xml:space="preserve"> and 2 (2)</w:t>
      </w:r>
      <w:r w:rsidRPr="003964E9">
        <w:t xml:space="preserve"> of the Convention</w:t>
      </w:r>
      <w:r>
        <w:t>.</w:t>
      </w:r>
      <w:r>
        <w:rPr>
          <w:rStyle w:val="FootnoteReference"/>
        </w:rPr>
        <w:footnoteReference w:id="4"/>
      </w:r>
      <w:r>
        <w:t xml:space="preserve"> </w:t>
      </w:r>
    </w:p>
    <w:p w14:paraId="5260C65D" w14:textId="77777777" w:rsidR="009261A5" w:rsidRDefault="009261A5" w:rsidP="009261A5">
      <w:pPr>
        <w:pStyle w:val="SingleTxtG"/>
      </w:pPr>
      <w:r>
        <w:t>5.</w:t>
      </w:r>
      <w:r>
        <w:tab/>
        <w:t>S</w:t>
      </w:r>
      <w:r w:rsidRPr="00613D99">
        <w:t>tatistics and</w:t>
      </w:r>
      <w:r>
        <w:t xml:space="preserve"> details</w:t>
      </w:r>
      <w:r w:rsidRPr="00613D99">
        <w:t xml:space="preserve"> on registered complaints before courts</w:t>
      </w:r>
      <w:r>
        <w:t xml:space="preserve"> or any other national institution</w:t>
      </w:r>
      <w:r w:rsidRPr="00613D99">
        <w:t xml:space="preserve"> for acts of racial discrimination, racist hate speech and racist hate crimes, including over the Internet and through the media outlets, and on the number of investigations, prosecutions and convictions of perpetrators.</w:t>
      </w:r>
      <w:r>
        <w:rPr>
          <w:rStyle w:val="FootnoteReference"/>
        </w:rPr>
        <w:footnoteReference w:id="5"/>
      </w:r>
    </w:p>
    <w:p w14:paraId="65A6B766" w14:textId="77777777" w:rsidR="009261A5" w:rsidRDefault="009261A5" w:rsidP="009261A5">
      <w:pPr>
        <w:pStyle w:val="SingleTxtG"/>
      </w:pPr>
      <w:r>
        <w:lastRenderedPageBreak/>
        <w:t>6.</w:t>
      </w:r>
      <w:r>
        <w:tab/>
      </w:r>
      <w:r w:rsidRPr="00302077">
        <w:t xml:space="preserve">Measures to facilitate the lodging of complaints </w:t>
      </w:r>
      <w:r>
        <w:t>for</w:t>
      </w:r>
      <w:r w:rsidRPr="00302077">
        <w:t xml:space="preserve"> racial discrimination </w:t>
      </w:r>
      <w:r>
        <w:t>acts and a</w:t>
      </w:r>
      <w:r w:rsidRPr="00302077">
        <w:t xml:space="preserve">ctivities to raise the awareness </w:t>
      </w:r>
      <w:r>
        <w:t xml:space="preserve">on </w:t>
      </w:r>
      <w:r w:rsidRPr="00302077">
        <w:t>rights under the Convention</w:t>
      </w:r>
      <w:r>
        <w:t xml:space="preserve"> and remedies</w:t>
      </w:r>
      <w:r w:rsidRPr="00302077">
        <w:t xml:space="preserve"> and the available judicial</w:t>
      </w:r>
      <w:r>
        <w:t xml:space="preserve"> and non-judiciary</w:t>
      </w:r>
      <w:r w:rsidRPr="00302077">
        <w:t xml:space="preserve"> remedies. </w:t>
      </w:r>
      <w:r w:rsidRPr="00F17723">
        <w:t xml:space="preserve">Measures to strengthen the legal aid </w:t>
      </w:r>
      <w:r>
        <w:t>services</w:t>
      </w:r>
      <w:r w:rsidRPr="00F17723">
        <w:t xml:space="preserve"> and provide assistance to facilitate litigation in racial discrimination cases.</w:t>
      </w:r>
      <w:r>
        <w:rPr>
          <w:rStyle w:val="FootnoteReference"/>
        </w:rPr>
        <w:footnoteReference w:id="6"/>
      </w:r>
    </w:p>
    <w:p w14:paraId="47D6A72F" w14:textId="77777777" w:rsidR="009261A5" w:rsidRDefault="009261A5" w:rsidP="009261A5">
      <w:pPr>
        <w:pStyle w:val="SingleTxtG"/>
      </w:pPr>
      <w:r>
        <w:t>7.</w:t>
      </w:r>
      <w:r>
        <w:tab/>
        <w:t xml:space="preserve">Measures taken to </w:t>
      </w:r>
      <w:r w:rsidRPr="002B2F20">
        <w:t xml:space="preserve">ensure that civil society organizations, human rights defenders and journalists, including those working on the rights of ethnic minorities, are able to carry out their work effectively and without </w:t>
      </w:r>
      <w:r>
        <w:t>intimidation.</w:t>
      </w:r>
      <w:r>
        <w:rPr>
          <w:rStyle w:val="FootnoteReference"/>
        </w:rPr>
        <w:footnoteReference w:id="7"/>
      </w:r>
    </w:p>
    <w:p w14:paraId="10D89BD4" w14:textId="167CA87A" w:rsidR="009261A5" w:rsidRDefault="009261A5" w:rsidP="009261A5">
      <w:pPr>
        <w:pStyle w:val="SingleTxtG"/>
      </w:pPr>
      <w:r>
        <w:t>8.</w:t>
      </w:r>
      <w:r>
        <w:tab/>
        <w:t>M</w:t>
      </w:r>
      <w:r w:rsidRPr="00C83D8A">
        <w:t xml:space="preserve">easures to strengthen the mandate of the Human Rights Commissioner </w:t>
      </w:r>
      <w:r>
        <w:t xml:space="preserve">(Ombudsman) </w:t>
      </w:r>
      <w:r w:rsidRPr="00C83D8A">
        <w:t xml:space="preserve">to effectively promote human rights and </w:t>
      </w:r>
      <w:r>
        <w:t>to monitor and evaluate</w:t>
      </w:r>
      <w:r w:rsidRPr="00C83D8A">
        <w:t xml:space="preserve"> progress in the implementation of the Convention in an independent and transparent manner</w:t>
      </w:r>
      <w:r>
        <w:t xml:space="preserve">, while ensuring </w:t>
      </w:r>
      <w:r w:rsidRPr="00C83D8A">
        <w:t xml:space="preserve">adequate financial and human resources </w:t>
      </w:r>
      <w:r>
        <w:t>to carry out its mandate.</w:t>
      </w:r>
      <w:r>
        <w:rPr>
          <w:rStyle w:val="FootnoteReference"/>
        </w:rPr>
        <w:footnoteReference w:id="8"/>
      </w:r>
    </w:p>
    <w:p w14:paraId="60DEE11D" w14:textId="77777777" w:rsidR="009261A5" w:rsidRDefault="009261A5" w:rsidP="009261A5">
      <w:pPr>
        <w:pStyle w:val="H23G"/>
      </w:pPr>
      <w:r>
        <w:tab/>
      </w:r>
      <w:r>
        <w:tab/>
      </w:r>
      <w:r w:rsidRPr="00C83D8A">
        <w:t>Racist hate speech, incitement to racial hatred and racist hate crimes (arts. 2, 4 and 6)</w:t>
      </w:r>
    </w:p>
    <w:p w14:paraId="616F1237" w14:textId="77777777" w:rsidR="009261A5" w:rsidRDefault="009261A5" w:rsidP="009261A5">
      <w:pPr>
        <w:pStyle w:val="SingleTxtG"/>
      </w:pPr>
      <w:r>
        <w:t>9.</w:t>
      </w:r>
      <w:r>
        <w:tab/>
      </w:r>
      <w:r w:rsidRPr="00E02B03">
        <w:t>Measures to ensure that</w:t>
      </w:r>
      <w:r>
        <w:t xml:space="preserve"> </w:t>
      </w:r>
      <w:r w:rsidRPr="00E02B03">
        <w:t>the</w:t>
      </w:r>
      <w:r>
        <w:t xml:space="preserve"> provisions of the Criminal Code and other relevant legislation on</w:t>
      </w:r>
      <w:r w:rsidRPr="00E02B03">
        <w:t xml:space="preserve"> racist hate speech, incitement to racial hatred and racist hate crimes are fully in line with article 4 of the Convention</w:t>
      </w:r>
      <w:r>
        <w:t>.</w:t>
      </w:r>
      <w:r>
        <w:rPr>
          <w:rStyle w:val="FootnoteReference"/>
        </w:rPr>
        <w:footnoteReference w:id="9"/>
      </w:r>
      <w:r>
        <w:t xml:space="preserve"> </w:t>
      </w:r>
    </w:p>
    <w:p w14:paraId="7D1AAB68" w14:textId="77777777" w:rsidR="009261A5" w:rsidRDefault="009261A5" w:rsidP="009261A5">
      <w:pPr>
        <w:pStyle w:val="SingleTxtG"/>
      </w:pPr>
      <w:r>
        <w:t>10.</w:t>
      </w:r>
      <w:r>
        <w:tab/>
      </w:r>
      <w:r w:rsidRPr="00002591">
        <w:t xml:space="preserve">Specific measures </w:t>
      </w:r>
      <w:r>
        <w:t>taken</w:t>
      </w:r>
      <w:r w:rsidRPr="00002591">
        <w:t xml:space="preserve"> or envisaged to combat racist hate speech, including in political discourse</w:t>
      </w:r>
      <w:r>
        <w:t xml:space="preserve"> and over </w:t>
      </w:r>
      <w:r w:rsidRPr="00002591">
        <w:t>the media and the Internet</w:t>
      </w:r>
      <w:r>
        <w:t>.</w:t>
      </w:r>
      <w:r w:rsidRPr="00C83D8A">
        <w:t xml:space="preserve"> </w:t>
      </w:r>
      <w:r>
        <w:t xml:space="preserve">Information on measures taken to ensure that provisions of the Criminal Code, particularly article 283, </w:t>
      </w:r>
      <w:r w:rsidRPr="003F0FB8">
        <w:t xml:space="preserve">to monitor and combat racist speech </w:t>
      </w:r>
      <w:r>
        <w:t>are</w:t>
      </w:r>
      <w:r w:rsidRPr="003F0FB8">
        <w:t xml:space="preserve"> not used </w:t>
      </w:r>
      <w:r>
        <w:t xml:space="preserve">in a manner that leads </w:t>
      </w:r>
      <w:r w:rsidRPr="00486327">
        <w:t xml:space="preserve">in unnecessary or disproportionate interference with freedom of expression, including </w:t>
      </w:r>
      <w:r>
        <w:t xml:space="preserve">for those who defend the rights of </w:t>
      </w:r>
      <w:r w:rsidRPr="00486327">
        <w:t>minorit</w:t>
      </w:r>
      <w:r>
        <w:t>ies</w:t>
      </w:r>
      <w:r w:rsidRPr="00486327">
        <w:t>.</w:t>
      </w:r>
      <w:r>
        <w:rPr>
          <w:rStyle w:val="FootnoteReference"/>
        </w:rPr>
        <w:footnoteReference w:id="10"/>
      </w:r>
      <w:r>
        <w:t xml:space="preserve"> </w:t>
      </w:r>
    </w:p>
    <w:p w14:paraId="032EB669" w14:textId="77777777" w:rsidR="009261A5" w:rsidRDefault="009261A5" w:rsidP="009261A5">
      <w:pPr>
        <w:pStyle w:val="H23G"/>
      </w:pPr>
      <w:r>
        <w:tab/>
      </w:r>
      <w:r>
        <w:tab/>
      </w:r>
      <w:r w:rsidRPr="00CE576C">
        <w:t>Situation of ethnic groups (arts. 2, 5 and 7)</w:t>
      </w:r>
    </w:p>
    <w:p w14:paraId="321896EA" w14:textId="77777777" w:rsidR="009261A5" w:rsidRDefault="009261A5" w:rsidP="009261A5">
      <w:pPr>
        <w:pStyle w:val="SingleTxtG"/>
      </w:pPr>
      <w:r>
        <w:t>11.</w:t>
      </w:r>
      <w:r>
        <w:tab/>
      </w:r>
      <w:r w:rsidRPr="0000152D">
        <w:t xml:space="preserve">Information on </w:t>
      </w:r>
      <w:r>
        <w:t>the legislative framework on the rights of persons belonging to ethnic minority groups to ensure</w:t>
      </w:r>
      <w:r w:rsidRPr="005D2160">
        <w:t xml:space="preserve"> their ability to fully enjoy all the rights covered by the Convention without discrimination</w:t>
      </w:r>
      <w:r>
        <w:t xml:space="preserve">. Measures taken to </w:t>
      </w:r>
      <w:r w:rsidRPr="003B1912">
        <w:t>establish effective instruments of consultation</w:t>
      </w:r>
      <w:r>
        <w:t xml:space="preserve"> and dialogue with ethnic minority groups</w:t>
      </w:r>
      <w:r w:rsidRPr="003B1912">
        <w:t xml:space="preserve"> to ensure that their views and concerns are taken into consideration in debates on issues affecting them</w:t>
      </w:r>
      <w:r>
        <w:t>.</w:t>
      </w:r>
      <w:r>
        <w:rPr>
          <w:rStyle w:val="FootnoteReference"/>
        </w:rPr>
        <w:footnoteReference w:id="11"/>
      </w:r>
      <w:r>
        <w:t xml:space="preserve"> </w:t>
      </w:r>
    </w:p>
    <w:p w14:paraId="74624E66" w14:textId="77777777" w:rsidR="009261A5" w:rsidRDefault="009261A5" w:rsidP="009261A5">
      <w:pPr>
        <w:pStyle w:val="SingleTxtG"/>
      </w:pPr>
      <w:r>
        <w:t>12.</w:t>
      </w:r>
      <w:r>
        <w:tab/>
        <w:t>Measures taken</w:t>
      </w:r>
      <w:r w:rsidRPr="003B1912">
        <w:t xml:space="preserve"> to </w:t>
      </w:r>
      <w:r>
        <w:t>ensure</w:t>
      </w:r>
      <w:r w:rsidRPr="003B1912">
        <w:t xml:space="preserve"> the effective participation and representation of </w:t>
      </w:r>
      <w:r>
        <w:t xml:space="preserve">ethnic </w:t>
      </w:r>
      <w:r w:rsidRPr="003B1912">
        <w:t>minority groups in public and political life</w:t>
      </w:r>
      <w:r>
        <w:t>,</w:t>
      </w:r>
      <w:r w:rsidRPr="003B1912">
        <w:t xml:space="preserve"> including in State institutions and the administration at all levels</w:t>
      </w:r>
      <w:r>
        <w:t xml:space="preserve">. Information on the adoption and implementation of special measures to ensure </w:t>
      </w:r>
      <w:r w:rsidRPr="005D2160">
        <w:t>the</w:t>
      </w:r>
      <w:r>
        <w:t>ir</w:t>
      </w:r>
      <w:r w:rsidRPr="005D2160">
        <w:t xml:space="preserve"> enjoyment of economic, social and cultural rights</w:t>
      </w:r>
      <w:r>
        <w:t xml:space="preserve">. </w:t>
      </w:r>
    </w:p>
    <w:p w14:paraId="7A668328" w14:textId="77777777" w:rsidR="009261A5" w:rsidRDefault="009261A5" w:rsidP="009261A5">
      <w:pPr>
        <w:pStyle w:val="H23G"/>
      </w:pPr>
      <w:r>
        <w:tab/>
      </w:r>
      <w:r>
        <w:tab/>
      </w:r>
      <w:r w:rsidRPr="00486327">
        <w:t>Situation of migrants, asylum</w:t>
      </w:r>
      <w:r>
        <w:t>-</w:t>
      </w:r>
      <w:r w:rsidRPr="00486327">
        <w:t>seekers, refugees and stateless persons (arts. 2 and 5)</w:t>
      </w:r>
    </w:p>
    <w:p w14:paraId="49C28925" w14:textId="13109078" w:rsidR="009261A5" w:rsidRDefault="009261A5" w:rsidP="009261A5">
      <w:pPr>
        <w:pStyle w:val="SingleTxtG"/>
      </w:pPr>
      <w:r>
        <w:t>13.</w:t>
      </w:r>
      <w:r>
        <w:tab/>
        <w:t xml:space="preserve">Measures </w:t>
      </w:r>
      <w:r w:rsidRPr="001973F3">
        <w:t xml:space="preserve">to prevent and protect </w:t>
      </w:r>
      <w:r>
        <w:t xml:space="preserve">individuals </w:t>
      </w:r>
      <w:r w:rsidRPr="001973F3">
        <w:t xml:space="preserve">from statelessness, including </w:t>
      </w:r>
      <w:r>
        <w:t xml:space="preserve">information </w:t>
      </w:r>
      <w:r w:rsidRPr="001973F3">
        <w:t>on the statel</w:t>
      </w:r>
      <w:r>
        <w:t>essness determination procedure, and</w:t>
      </w:r>
      <w:r w:rsidRPr="001973F3">
        <w:t xml:space="preserve"> </w:t>
      </w:r>
      <w:r>
        <w:t xml:space="preserve">updated </w:t>
      </w:r>
      <w:r w:rsidRPr="001973F3">
        <w:t>statistics on stateless persons and those at risk of statelessness</w:t>
      </w:r>
      <w:r>
        <w:t xml:space="preserve">, including their ethnic origin. Information on additional measures to </w:t>
      </w:r>
      <w:r w:rsidRPr="001973F3">
        <w:t xml:space="preserve">address </w:t>
      </w:r>
      <w:r>
        <w:t xml:space="preserve">obstacles to birth registration and </w:t>
      </w:r>
      <w:r w:rsidRPr="001973F3">
        <w:t>c</w:t>
      </w:r>
      <w:r>
        <w:t xml:space="preserve">hildhood statelessness at birth, in line with </w:t>
      </w:r>
      <w:r w:rsidRPr="001973F3">
        <w:t>decision of the Cabinet of Ministers of 21 July 2017.</w:t>
      </w:r>
      <w:r>
        <w:rPr>
          <w:rStyle w:val="FootnoteReference"/>
        </w:rPr>
        <w:footnoteReference w:id="12"/>
      </w:r>
      <w:r w:rsidR="00A01D3A">
        <w:t xml:space="preserve"> </w:t>
      </w:r>
    </w:p>
    <w:p w14:paraId="471434C5" w14:textId="77777777" w:rsidR="009261A5" w:rsidRDefault="009261A5" w:rsidP="009261A5">
      <w:pPr>
        <w:pStyle w:val="SingleTxtG"/>
      </w:pPr>
      <w:r>
        <w:t>14.</w:t>
      </w:r>
      <w:r>
        <w:tab/>
        <w:t xml:space="preserve">Information on the legislative and policy frameworks on </w:t>
      </w:r>
      <w:r w:rsidRPr="0056594D">
        <w:t>asylum</w:t>
      </w:r>
      <w:r>
        <w:t>-</w:t>
      </w:r>
      <w:r w:rsidRPr="0056594D">
        <w:t xml:space="preserve">seekers, refugees and </w:t>
      </w:r>
      <w:r>
        <w:t>internally displaced</w:t>
      </w:r>
      <w:r w:rsidRPr="0056594D">
        <w:t xml:space="preserve"> persons</w:t>
      </w:r>
      <w:r>
        <w:t xml:space="preserve"> and measures to </w:t>
      </w:r>
      <w:r w:rsidRPr="0056594D">
        <w:t xml:space="preserve">ensure access to education, employment and health services without discrimination to all persons under </w:t>
      </w:r>
      <w:r>
        <w:t>the State party’s</w:t>
      </w:r>
      <w:r w:rsidRPr="0056594D">
        <w:t xml:space="preserve"> jurisdiction</w:t>
      </w:r>
      <w:r>
        <w:t xml:space="preserve">. </w:t>
      </w:r>
    </w:p>
    <w:p w14:paraId="6D394BB8" w14:textId="77777777" w:rsidR="009261A5" w:rsidRDefault="009261A5" w:rsidP="009261A5">
      <w:pPr>
        <w:pStyle w:val="SingleTxtG"/>
      </w:pPr>
      <w:r>
        <w:t>15.</w:t>
      </w:r>
      <w:r>
        <w:tab/>
      </w:r>
      <w:r w:rsidRPr="00262997">
        <w:t>Information on</w:t>
      </w:r>
      <w:r>
        <w:t xml:space="preserve"> the situation of migrants, particularly those who entered the State party irregularly and on</w:t>
      </w:r>
      <w:r w:rsidRPr="00262997">
        <w:t xml:space="preserve"> measures taken to improve </w:t>
      </w:r>
      <w:r>
        <w:t xml:space="preserve">their </w:t>
      </w:r>
      <w:r w:rsidRPr="00262997">
        <w:t>human rights protection</w:t>
      </w:r>
      <w:r>
        <w:t>, particularly against</w:t>
      </w:r>
      <w:r w:rsidRPr="00262997">
        <w:t xml:space="preserve"> arbitrary detention and refoulement</w:t>
      </w:r>
      <w:r>
        <w:t>.</w:t>
      </w:r>
      <w:r w:rsidRPr="00262997">
        <w:t xml:space="preserve"> </w:t>
      </w:r>
      <w:r>
        <w:t xml:space="preserve">Measures to </w:t>
      </w:r>
      <w:r w:rsidRPr="00F877AA">
        <w:t>replace the work permit</w:t>
      </w:r>
      <w:r>
        <w:t xml:space="preserve"> for migrant workers</w:t>
      </w:r>
      <w:r w:rsidRPr="00F877AA">
        <w:t xml:space="preserve"> with a residency permit or an</w:t>
      </w:r>
      <w:r>
        <w:t xml:space="preserve"> alternative system</w:t>
      </w:r>
      <w:r w:rsidRPr="00F877AA">
        <w:t xml:space="preserve"> </w:t>
      </w:r>
      <w:r w:rsidRPr="00AD408F">
        <w:t xml:space="preserve">to prevent and combat the </w:t>
      </w:r>
      <w:r w:rsidRPr="00AD408F">
        <w:lastRenderedPageBreak/>
        <w:t>exploitation and abuse of migrant workers by their employers</w:t>
      </w:r>
      <w:r>
        <w:t>,</w:t>
      </w:r>
      <w:r w:rsidRPr="00981DC7">
        <w:t xml:space="preserve"> </w:t>
      </w:r>
      <w:r>
        <w:t>and information on measures to combat such exploitation and abuses</w:t>
      </w:r>
      <w:r w:rsidRPr="00F877AA">
        <w:t>.</w:t>
      </w:r>
      <w:r>
        <w:t xml:space="preserve"> Information on the measures to facilitate the lodging of complaints by victims and statistics on </w:t>
      </w:r>
      <w:r w:rsidRPr="006C3836">
        <w:t>registered complaints and on the number of investigations, prosecutions and convictions of perpetrators</w:t>
      </w:r>
      <w:r>
        <w:t xml:space="preserve">. </w:t>
      </w:r>
      <w:r w:rsidRPr="001973F3">
        <w:t>Updated information on measures to ensure that migrant workers and their families enjoy equal acces</w:t>
      </w:r>
      <w:r>
        <w:t>s to education and health care.</w:t>
      </w:r>
      <w:r>
        <w:rPr>
          <w:rStyle w:val="FootnoteReference"/>
        </w:rPr>
        <w:footnoteReference w:id="13"/>
      </w:r>
      <w:r>
        <w:t xml:space="preserve"> </w:t>
      </w:r>
    </w:p>
    <w:p w14:paraId="4A1AD019" w14:textId="77777777" w:rsidR="009261A5" w:rsidRDefault="009261A5" w:rsidP="009261A5">
      <w:pPr>
        <w:pStyle w:val="SingleTxtG"/>
      </w:pPr>
      <w:r>
        <w:t>16.</w:t>
      </w:r>
      <w:r>
        <w:tab/>
        <w:t>I</w:t>
      </w:r>
      <w:r w:rsidRPr="00262997">
        <w:t xml:space="preserve">nformation on </w:t>
      </w:r>
      <w:r>
        <w:t xml:space="preserve">specific </w:t>
      </w:r>
      <w:r w:rsidRPr="00262997">
        <w:t xml:space="preserve">measures </w:t>
      </w:r>
      <w:r>
        <w:t xml:space="preserve">taken </w:t>
      </w:r>
      <w:r w:rsidRPr="00262997">
        <w:t xml:space="preserve">to </w:t>
      </w:r>
      <w:r>
        <w:t xml:space="preserve">prevent and </w:t>
      </w:r>
      <w:r w:rsidRPr="00262997">
        <w:t>combat trafficking in persons</w:t>
      </w:r>
      <w:r>
        <w:t xml:space="preserve">, including on their impact. </w:t>
      </w:r>
    </w:p>
    <w:p w14:paraId="01AE2B79" w14:textId="77777777" w:rsidR="009261A5" w:rsidRDefault="009261A5" w:rsidP="009261A5">
      <w:pPr>
        <w:pStyle w:val="SingleTxtG"/>
      </w:pPr>
      <w:r>
        <w:t>17.</w:t>
      </w:r>
      <w:r>
        <w:tab/>
      </w:r>
      <w:r w:rsidRPr="003C1E06">
        <w:t>Information on the impact of the coronavirus disease (COVID-19) pandemic on the persons most vulnerable to discrimination and the different groups protected by the Convention, including ethnic minority groups and non-citizens. Include measures taken: (a) to protect them against the effects of the COVID-19 pandemic; (b) to protect them against discriminatory acts, and to counter hate speech and stigmatization in connection with the COVID-19 pandemic; and (c) to mitigate the socioeconomic impact of the COVID-19 pandemic on such persons and groups.</w:t>
      </w:r>
    </w:p>
    <w:p w14:paraId="11C67303" w14:textId="77777777" w:rsidR="009261A5" w:rsidRPr="003964E9" w:rsidRDefault="009261A5" w:rsidP="009261A5">
      <w:pPr>
        <w:pStyle w:val="H23G"/>
      </w:pPr>
      <w:r>
        <w:tab/>
      </w:r>
      <w:r>
        <w:tab/>
      </w:r>
      <w:r w:rsidRPr="00BD37CB">
        <w:t>Situation of ethnic minority groups</w:t>
      </w:r>
      <w:r>
        <w:t xml:space="preserve"> in the </w:t>
      </w:r>
      <w:r w:rsidRPr="00D354B9">
        <w:t>Nagorno-Karabakh region</w:t>
      </w:r>
      <w:r>
        <w:t xml:space="preserve"> </w:t>
      </w:r>
      <w:r w:rsidRPr="00BD37CB">
        <w:t>(art</w:t>
      </w:r>
      <w:r>
        <w:t>s</w:t>
      </w:r>
      <w:r w:rsidRPr="00BD37CB">
        <w:t>.</w:t>
      </w:r>
      <w:r>
        <w:t xml:space="preserve"> 2 and</w:t>
      </w:r>
      <w:r w:rsidRPr="00BD37CB">
        <w:t xml:space="preserve"> 5)</w:t>
      </w:r>
    </w:p>
    <w:p w14:paraId="0536FA76" w14:textId="77777777" w:rsidR="009261A5" w:rsidRDefault="009261A5" w:rsidP="009261A5">
      <w:pPr>
        <w:pStyle w:val="SingleTxtG"/>
      </w:pPr>
      <w:r>
        <w:t>18.</w:t>
      </w:r>
      <w:r>
        <w:tab/>
      </w:r>
      <w:r w:rsidRPr="00BC47A3">
        <w:t>Measures to promptly and impartially investigate all human rights violations committed</w:t>
      </w:r>
      <w:r>
        <w:t xml:space="preserve">, in particular against ethnic minority groups, </w:t>
      </w:r>
      <w:r w:rsidRPr="00BC47A3">
        <w:t xml:space="preserve">in areas impacted by </w:t>
      </w:r>
      <w:r>
        <w:t>t</w:t>
      </w:r>
      <w:r w:rsidRPr="00BC47A3">
        <w:t>he Nagorno-Karabakh conflict</w:t>
      </w:r>
      <w:r>
        <w:t>,</w:t>
      </w:r>
      <w:r w:rsidRPr="00BC47A3">
        <w:t xml:space="preserve"> which erupted on 27 September 2020</w:t>
      </w:r>
      <w:r>
        <w:t xml:space="preserve"> and ended on 9 November 2020 following the ceasefire agreement</w:t>
      </w:r>
      <w:r w:rsidRPr="00BC47A3">
        <w:t>, to hold perpetrators accountable and to provide victims with effective redress and remedies</w:t>
      </w:r>
      <w:r w:rsidRPr="00D354B9">
        <w:t>.</w:t>
      </w:r>
      <w:r>
        <w:rPr>
          <w:rStyle w:val="FootnoteReference"/>
        </w:rPr>
        <w:footnoteReference w:id="14"/>
      </w:r>
      <w:r>
        <w:t xml:space="preserve"> Measures taken to promote and ensure peaceful settlement and sustainable peace in the </w:t>
      </w:r>
      <w:r w:rsidRPr="00286109">
        <w:t>Nagorno-Karabakh region</w:t>
      </w:r>
      <w:r>
        <w:t xml:space="preserve">. </w:t>
      </w:r>
    </w:p>
    <w:p w14:paraId="2933261C" w14:textId="77777777" w:rsidR="009261A5" w:rsidRDefault="009261A5" w:rsidP="009261A5">
      <w:pPr>
        <w:pStyle w:val="SingleTxtG"/>
      </w:pPr>
      <w:r>
        <w:t>19.</w:t>
      </w:r>
      <w:r>
        <w:tab/>
        <w:t>Measures</w:t>
      </w:r>
      <w:r w:rsidRPr="00BD37CB">
        <w:t xml:space="preserve"> to ensure the enjoyment of social and economic rights, particularly to health, adequate housing, education and social protection, by the </w:t>
      </w:r>
      <w:r w:rsidRPr="00BC47A3">
        <w:t xml:space="preserve">ethnic Armenians </w:t>
      </w:r>
      <w:r>
        <w:t>minority group</w:t>
      </w:r>
      <w:r w:rsidRPr="00BD37CB">
        <w:t xml:space="preserve"> in the </w:t>
      </w:r>
      <w:r w:rsidRPr="00BC47A3">
        <w:t>Nagorno-Karabakh</w:t>
      </w:r>
      <w:r>
        <w:t xml:space="preserve"> region</w:t>
      </w:r>
      <w:r w:rsidRPr="00BD37CB">
        <w:t xml:space="preserve">. Statistics on </w:t>
      </w:r>
      <w:r>
        <w:t xml:space="preserve">persons who have been made refugees and </w:t>
      </w:r>
      <w:r w:rsidRPr="00BD37CB">
        <w:t xml:space="preserve">internally displaced persons </w:t>
      </w:r>
      <w:r>
        <w:t xml:space="preserve">as a result of the conflict, </w:t>
      </w:r>
      <w:r w:rsidRPr="00BD37CB">
        <w:t>and measures to create safe conditions for their return.</w:t>
      </w:r>
    </w:p>
    <w:p w14:paraId="2A49BE37" w14:textId="77777777" w:rsidR="009261A5" w:rsidRPr="003964E9" w:rsidRDefault="009261A5" w:rsidP="009261A5">
      <w:pPr>
        <w:pStyle w:val="SingleTxtG"/>
      </w:pPr>
      <w:r w:rsidRPr="003964E9">
        <w:t>20.</w:t>
      </w:r>
      <w:r w:rsidRPr="003964E9">
        <w:tab/>
      </w:r>
      <w:r>
        <w:t xml:space="preserve">Information on </w:t>
      </w:r>
      <w:r w:rsidRPr="007902AB">
        <w:t>instruments of consultation and dialogue with ethnic minorities</w:t>
      </w:r>
      <w:r>
        <w:t xml:space="preserve"> in place</w:t>
      </w:r>
      <w:r w:rsidRPr="007902AB">
        <w:t xml:space="preserve"> to ensure that their views and concerns are taken into consideration in debates on issues affecting them</w:t>
      </w:r>
      <w:r>
        <w:t>.</w:t>
      </w:r>
      <w:r>
        <w:rPr>
          <w:rStyle w:val="FootnoteReference"/>
        </w:rPr>
        <w:footnoteReference w:id="15"/>
      </w:r>
    </w:p>
    <w:p w14:paraId="6A1306BD" w14:textId="77777777" w:rsidR="009261A5" w:rsidRDefault="009261A5" w:rsidP="009261A5">
      <w:pPr>
        <w:pStyle w:val="H23G"/>
      </w:pPr>
      <w:r>
        <w:tab/>
      </w:r>
      <w:r>
        <w:tab/>
      </w:r>
      <w:r w:rsidRPr="00FC2BAA">
        <w:t>Human rights education to combat prejudice and intolerance (art. 7)</w:t>
      </w:r>
    </w:p>
    <w:p w14:paraId="76F67ACA" w14:textId="63461511" w:rsidR="009261A5" w:rsidRDefault="009261A5" w:rsidP="009261A5">
      <w:pPr>
        <w:pStyle w:val="SingleTxtG"/>
      </w:pPr>
      <w:r w:rsidRPr="003964E9">
        <w:t>21.</w:t>
      </w:r>
      <w:r w:rsidRPr="003964E9">
        <w:tab/>
      </w:r>
      <w:r>
        <w:t>I</w:t>
      </w:r>
      <w:r w:rsidRPr="00FC2BAA">
        <w:t xml:space="preserve">nformation on measures to promote human rights education, </w:t>
      </w:r>
      <w:r>
        <w:t>including on</w:t>
      </w:r>
      <w:r w:rsidRPr="00FC2BAA">
        <w:t xml:space="preserve"> racial discrimination, in all school curricula</w:t>
      </w:r>
      <w:r>
        <w:t xml:space="preserve">, university programmes, </w:t>
      </w:r>
      <w:r w:rsidRPr="00FC2BAA">
        <w:t>teacher training and information on the impact of these measures</w:t>
      </w:r>
      <w:r>
        <w:t>. Updated i</w:t>
      </w:r>
      <w:r w:rsidRPr="00514700">
        <w:t>nformation on the activities of the Baku International Multiculturalism Centre</w:t>
      </w:r>
      <w:r w:rsidRPr="004E34EB">
        <w:t>.</w:t>
      </w:r>
      <w:r>
        <w:rPr>
          <w:rStyle w:val="FootnoteReference"/>
        </w:rPr>
        <w:footnoteReference w:id="16"/>
      </w:r>
      <w:r w:rsidRPr="004E34EB">
        <w:t xml:space="preserve"> </w:t>
      </w:r>
      <w:r w:rsidRPr="00765D09">
        <w:t xml:space="preserve">Measures taken to raise awareness </w:t>
      </w:r>
      <w:r>
        <w:t xml:space="preserve">among </w:t>
      </w:r>
      <w:r w:rsidRPr="00765D09">
        <w:t xml:space="preserve">the </w:t>
      </w:r>
      <w:r>
        <w:t xml:space="preserve">general </w:t>
      </w:r>
      <w:r w:rsidRPr="00765D09">
        <w:t>public, civil servants</w:t>
      </w:r>
      <w:r>
        <w:t>,</w:t>
      </w:r>
      <w:r w:rsidRPr="00765D09">
        <w:t xml:space="preserve"> law enforcement</w:t>
      </w:r>
      <w:r>
        <w:t xml:space="preserve"> and judicial authorities on </w:t>
      </w:r>
      <w:r w:rsidRPr="00765D09">
        <w:t>the importance of cultural diversity, tolerance and inter-ethnic understanding</w:t>
      </w:r>
      <w:r>
        <w:t>.</w:t>
      </w:r>
    </w:p>
    <w:p w14:paraId="5894CA20" w14:textId="77777777" w:rsidR="009261A5" w:rsidRPr="00BB24D8" w:rsidRDefault="009261A5" w:rsidP="00735F94">
      <w:pPr>
        <w:jc w:val="center"/>
        <w:rPr>
          <w:u w:val="single"/>
          <w:lang w:val="en-US"/>
        </w:rPr>
      </w:pPr>
      <w:r w:rsidRPr="00BB24D8">
        <w:rPr>
          <w:u w:val="single"/>
          <w:lang w:val="en-US"/>
        </w:rPr>
        <w:tab/>
      </w:r>
      <w:r w:rsidRPr="00BB24D8">
        <w:rPr>
          <w:u w:val="single"/>
          <w:lang w:val="en-US"/>
        </w:rPr>
        <w:tab/>
      </w:r>
      <w:r w:rsidRPr="00BB24D8">
        <w:rPr>
          <w:u w:val="single"/>
          <w:lang w:val="en-US"/>
        </w:rPr>
        <w:tab/>
      </w:r>
    </w:p>
    <w:sectPr w:rsidR="009261A5" w:rsidRPr="00BB24D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ADCF3" w14:textId="77777777" w:rsidR="00071C31" w:rsidRPr="00A0297D" w:rsidRDefault="00071C31" w:rsidP="00A0297D">
      <w:pPr>
        <w:pStyle w:val="Footer"/>
      </w:pPr>
    </w:p>
  </w:endnote>
  <w:endnote w:type="continuationSeparator" w:id="0">
    <w:p w14:paraId="22654855" w14:textId="77777777" w:rsidR="00071C31" w:rsidRPr="00A0297D" w:rsidRDefault="00071C3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4604C" w14:textId="60E4B034" w:rsidR="008058F9" w:rsidRDefault="008058F9" w:rsidP="008058F9">
    <w:pPr>
      <w:pStyle w:val="Footer"/>
      <w:tabs>
        <w:tab w:val="right" w:pos="9638"/>
      </w:tabs>
    </w:pPr>
    <w:r w:rsidRPr="008058F9">
      <w:rPr>
        <w:b/>
        <w:bCs/>
        <w:sz w:val="18"/>
      </w:rPr>
      <w:fldChar w:fldCharType="begin"/>
    </w:r>
    <w:r w:rsidRPr="008058F9">
      <w:rPr>
        <w:b/>
        <w:bCs/>
        <w:sz w:val="18"/>
      </w:rPr>
      <w:instrText xml:space="preserve"> PAGE  \* MERGEFORMAT </w:instrText>
    </w:r>
    <w:r w:rsidRPr="008058F9">
      <w:rPr>
        <w:b/>
        <w:bCs/>
        <w:sz w:val="18"/>
      </w:rPr>
      <w:fldChar w:fldCharType="separate"/>
    </w:r>
    <w:r w:rsidRPr="008058F9">
      <w:rPr>
        <w:b/>
        <w:bCs/>
        <w:noProof/>
        <w:sz w:val="18"/>
      </w:rPr>
      <w:t>2</w:t>
    </w:r>
    <w:r w:rsidRPr="008058F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10A5" w14:textId="2D3EE505" w:rsidR="008058F9" w:rsidRDefault="008058F9" w:rsidP="008058F9">
    <w:pPr>
      <w:pStyle w:val="Footer"/>
      <w:tabs>
        <w:tab w:val="right" w:pos="9638"/>
      </w:tabs>
    </w:pPr>
    <w:r>
      <w:tab/>
    </w:r>
    <w:r w:rsidRPr="008058F9">
      <w:rPr>
        <w:b/>
        <w:bCs/>
        <w:sz w:val="18"/>
      </w:rPr>
      <w:fldChar w:fldCharType="begin"/>
    </w:r>
    <w:r w:rsidRPr="008058F9">
      <w:rPr>
        <w:b/>
        <w:bCs/>
        <w:sz w:val="18"/>
      </w:rPr>
      <w:instrText xml:space="preserve"> PAGE  \* MERGEFORMAT </w:instrText>
    </w:r>
    <w:r w:rsidRPr="008058F9">
      <w:rPr>
        <w:b/>
        <w:bCs/>
        <w:sz w:val="18"/>
      </w:rPr>
      <w:fldChar w:fldCharType="separate"/>
    </w:r>
    <w:r w:rsidRPr="008058F9">
      <w:rPr>
        <w:b/>
        <w:bCs/>
        <w:noProof/>
        <w:sz w:val="18"/>
      </w:rPr>
      <w:t>3</w:t>
    </w:r>
    <w:r w:rsidRPr="008058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3EA61" w14:textId="75D1FAB1" w:rsidR="00BB24D8" w:rsidRDefault="00BB24D8" w:rsidP="00BB24D8">
    <w:pPr>
      <w:pStyle w:val="Footer"/>
    </w:pPr>
    <w:r w:rsidRPr="0027112F">
      <w:rPr>
        <w:noProof/>
        <w:lang w:val="en-US"/>
      </w:rPr>
      <w:drawing>
        <wp:anchor distT="0" distB="0" distL="114300" distR="114300" simplePos="0" relativeHeight="251659264" behindDoc="0" locked="1" layoutInCell="1" allowOverlap="1" wp14:anchorId="4FBE2917" wp14:editId="4D3B44F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8B4A45" w14:textId="525A876A" w:rsidR="00BB24D8" w:rsidRPr="00BB24D8" w:rsidRDefault="00BB24D8" w:rsidP="00BB24D8">
    <w:pPr>
      <w:pStyle w:val="Footer"/>
      <w:ind w:right="1134"/>
      <w:rPr>
        <w:sz w:val="20"/>
      </w:rPr>
    </w:pPr>
    <w:r>
      <w:rPr>
        <w:sz w:val="20"/>
      </w:rPr>
      <w:t>GE.22-09901(E)</w:t>
    </w:r>
    <w:r>
      <w:rPr>
        <w:noProof/>
        <w:sz w:val="20"/>
      </w:rPr>
      <w:drawing>
        <wp:anchor distT="0" distB="0" distL="114300" distR="114300" simplePos="0" relativeHeight="251660288" behindDoc="0" locked="0" layoutInCell="1" allowOverlap="1" wp14:anchorId="583B5E23" wp14:editId="1F7285D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2C992" w14:textId="77777777" w:rsidR="00071C31" w:rsidRPr="00A0297D" w:rsidRDefault="00071C31" w:rsidP="00A0297D">
      <w:pPr>
        <w:tabs>
          <w:tab w:val="right" w:pos="2155"/>
        </w:tabs>
        <w:spacing w:after="80" w:line="240" w:lineRule="auto"/>
        <w:ind w:left="680"/>
      </w:pPr>
      <w:r>
        <w:rPr>
          <w:u w:val="single"/>
        </w:rPr>
        <w:tab/>
      </w:r>
    </w:p>
  </w:footnote>
  <w:footnote w:type="continuationSeparator" w:id="0">
    <w:p w14:paraId="526CDBDB" w14:textId="77777777" w:rsidR="00071C31" w:rsidRPr="00A0297D" w:rsidRDefault="00071C31" w:rsidP="00A0297D">
      <w:pPr>
        <w:tabs>
          <w:tab w:val="right" w:pos="2155"/>
        </w:tabs>
        <w:spacing w:after="80" w:line="240" w:lineRule="auto"/>
        <w:ind w:left="680"/>
      </w:pPr>
      <w:r>
        <w:rPr>
          <w:u w:val="single"/>
        </w:rPr>
        <w:tab/>
      </w:r>
    </w:p>
  </w:footnote>
  <w:footnote w:id="1">
    <w:p w14:paraId="4C1E6253" w14:textId="349AC028" w:rsidR="009261A5" w:rsidRPr="00BB24D8" w:rsidRDefault="009261A5" w:rsidP="009261A5">
      <w:pPr>
        <w:pStyle w:val="FootnoteText"/>
        <w:rPr>
          <w:lang w:val="es-ES"/>
        </w:rPr>
      </w:pPr>
      <w:r w:rsidRPr="008867E9">
        <w:tab/>
      </w:r>
      <w:r w:rsidRPr="007D0152">
        <w:rPr>
          <w:rStyle w:val="FootnoteReference"/>
        </w:rPr>
        <w:footnoteRef/>
      </w:r>
      <w:r w:rsidRPr="00BB24D8">
        <w:rPr>
          <w:lang w:val="es-ES"/>
        </w:rPr>
        <w:tab/>
      </w:r>
      <w:hyperlink r:id="rId1" w:history="1">
        <w:r w:rsidRPr="00BB24D8">
          <w:rPr>
            <w:rStyle w:val="Hyperlink"/>
            <w:lang w:val="es-ES"/>
          </w:rPr>
          <w:t>A/65/18</w:t>
        </w:r>
      </w:hyperlink>
      <w:r w:rsidRPr="00BB24D8">
        <w:rPr>
          <w:lang w:val="es-ES"/>
        </w:rPr>
        <w:t xml:space="preserve">, para. 85. </w:t>
      </w:r>
    </w:p>
  </w:footnote>
  <w:footnote w:id="2">
    <w:p w14:paraId="44AEE75D" w14:textId="7DECD6F8" w:rsidR="009261A5" w:rsidRPr="0088297D" w:rsidRDefault="009261A5" w:rsidP="009261A5">
      <w:pPr>
        <w:pStyle w:val="FootnoteText"/>
      </w:pPr>
      <w:r w:rsidRPr="00BB24D8">
        <w:rPr>
          <w:lang w:val="es-ES"/>
        </w:rPr>
        <w:tab/>
      </w:r>
      <w:r w:rsidRPr="008867E9">
        <w:rPr>
          <w:rStyle w:val="FootnoteReference"/>
        </w:rPr>
        <w:footnoteRef/>
      </w:r>
      <w:r w:rsidRPr="00BB24D8">
        <w:rPr>
          <w:lang w:val="es-ES"/>
        </w:rPr>
        <w:tab/>
      </w:r>
      <w:hyperlink r:id="rId2" w:history="1">
        <w:r w:rsidRPr="00BB24D8">
          <w:rPr>
            <w:rStyle w:val="Hyperlink"/>
            <w:lang w:val="es-ES"/>
          </w:rPr>
          <w:t>CERD/C/AZE/CO/7-9</w:t>
        </w:r>
      </w:hyperlink>
      <w:r w:rsidRPr="00BB24D8">
        <w:rPr>
          <w:lang w:val="es-ES"/>
        </w:rPr>
        <w:t xml:space="preserve">, para. </w:t>
      </w:r>
      <w:r w:rsidRPr="0088297D">
        <w:t xml:space="preserve">24; and </w:t>
      </w:r>
      <w:hyperlink r:id="rId3" w:history="1">
        <w:r w:rsidRPr="00E03618">
          <w:rPr>
            <w:rStyle w:val="Hyperlink"/>
          </w:rPr>
          <w:t>CERD/C/AZE/10-12</w:t>
        </w:r>
      </w:hyperlink>
      <w:r w:rsidRPr="0088297D">
        <w:t>, paras. 116–126.</w:t>
      </w:r>
    </w:p>
  </w:footnote>
  <w:footnote w:id="3">
    <w:p w14:paraId="04EEB321" w14:textId="3B80EBEA" w:rsidR="009261A5" w:rsidRPr="0088297D" w:rsidRDefault="009261A5" w:rsidP="009261A5">
      <w:pPr>
        <w:pStyle w:val="FootnoteText"/>
      </w:pPr>
      <w:r w:rsidRPr="008867E9">
        <w:tab/>
      </w:r>
      <w:r w:rsidRPr="008867E9">
        <w:rPr>
          <w:rStyle w:val="FootnoteReference"/>
        </w:rPr>
        <w:footnoteRef/>
      </w:r>
      <w:r w:rsidRPr="008867E9">
        <w:tab/>
      </w:r>
      <w:hyperlink r:id="rId4" w:history="1">
        <w:r w:rsidRPr="00E03618">
          <w:rPr>
            <w:rStyle w:val="Hyperlink"/>
          </w:rPr>
          <w:t>CERD/C/AZE/CO/7-9</w:t>
        </w:r>
      </w:hyperlink>
      <w:r w:rsidRPr="008867E9">
        <w:t xml:space="preserve">, para. </w:t>
      </w:r>
      <w:r w:rsidRPr="0088297D">
        <w:t xml:space="preserve">22; and </w:t>
      </w:r>
      <w:hyperlink r:id="rId5" w:history="1">
        <w:r w:rsidRPr="00E03618">
          <w:rPr>
            <w:rStyle w:val="Hyperlink"/>
          </w:rPr>
          <w:t>CERD/C/AZE/10-12</w:t>
        </w:r>
      </w:hyperlink>
      <w:r w:rsidRPr="0088297D">
        <w:t>, paras. 101–115.</w:t>
      </w:r>
    </w:p>
  </w:footnote>
  <w:footnote w:id="4">
    <w:p w14:paraId="545AB262" w14:textId="21421766" w:rsidR="009261A5" w:rsidRPr="0088297D" w:rsidRDefault="009261A5" w:rsidP="009261A5">
      <w:pPr>
        <w:pStyle w:val="FootnoteText"/>
      </w:pPr>
      <w:r w:rsidRPr="008867E9">
        <w:tab/>
      </w:r>
      <w:r w:rsidRPr="008867E9">
        <w:rPr>
          <w:rStyle w:val="FootnoteReference"/>
        </w:rPr>
        <w:footnoteRef/>
      </w:r>
      <w:r w:rsidRPr="008867E9">
        <w:tab/>
      </w:r>
      <w:hyperlink r:id="rId6" w:history="1">
        <w:r w:rsidRPr="00E03618">
          <w:rPr>
            <w:rStyle w:val="Hyperlink"/>
          </w:rPr>
          <w:t>CERD/C/AZE/CO/7-9</w:t>
        </w:r>
      </w:hyperlink>
      <w:r w:rsidRPr="008867E9">
        <w:t xml:space="preserve">, para. </w:t>
      </w:r>
      <w:r w:rsidRPr="00662381">
        <w:rPr>
          <w:lang w:val="en-US"/>
        </w:rPr>
        <w:t xml:space="preserve">8; and </w:t>
      </w:r>
      <w:hyperlink r:id="rId7" w:history="1">
        <w:r w:rsidRPr="00662381">
          <w:rPr>
            <w:rStyle w:val="Hyperlink"/>
            <w:lang w:val="en-US"/>
          </w:rPr>
          <w:t>CERD/C/AZE/10-12</w:t>
        </w:r>
      </w:hyperlink>
      <w:r w:rsidRPr="00662381">
        <w:rPr>
          <w:lang w:val="en-US"/>
        </w:rPr>
        <w:t xml:space="preserve">, paras. </w:t>
      </w:r>
      <w:r w:rsidRPr="0088297D">
        <w:t>34–35.</w:t>
      </w:r>
    </w:p>
  </w:footnote>
  <w:footnote w:id="5">
    <w:p w14:paraId="367A38B0" w14:textId="7EEFD974" w:rsidR="009261A5" w:rsidRPr="0088297D" w:rsidRDefault="009261A5" w:rsidP="009261A5">
      <w:pPr>
        <w:pStyle w:val="FootnoteText"/>
      </w:pPr>
      <w:r w:rsidRPr="008867E9">
        <w:tab/>
      </w:r>
      <w:r w:rsidRPr="008867E9">
        <w:rPr>
          <w:rStyle w:val="FootnoteReference"/>
        </w:rPr>
        <w:footnoteRef/>
      </w:r>
      <w:r w:rsidRPr="008867E9">
        <w:tab/>
      </w:r>
      <w:hyperlink r:id="rId8" w:history="1">
        <w:r w:rsidRPr="00E03618">
          <w:rPr>
            <w:rStyle w:val="Hyperlink"/>
          </w:rPr>
          <w:t>CERD/C/AZE/CO/7-9</w:t>
        </w:r>
      </w:hyperlink>
      <w:r w:rsidRPr="008867E9">
        <w:t xml:space="preserve">, para. </w:t>
      </w:r>
      <w:r w:rsidRPr="00662381">
        <w:rPr>
          <w:lang w:val="en-US"/>
        </w:rPr>
        <w:t xml:space="preserve">20; and </w:t>
      </w:r>
      <w:hyperlink r:id="rId9" w:history="1">
        <w:r w:rsidRPr="00662381">
          <w:rPr>
            <w:rStyle w:val="Hyperlink"/>
            <w:lang w:val="en-US"/>
          </w:rPr>
          <w:t>CERD/C/AZE/10-12</w:t>
        </w:r>
      </w:hyperlink>
      <w:r w:rsidRPr="00662381">
        <w:rPr>
          <w:lang w:val="en-US"/>
        </w:rPr>
        <w:t xml:space="preserve">, paras. </w:t>
      </w:r>
      <w:r w:rsidRPr="0088297D">
        <w:t>97–98.</w:t>
      </w:r>
    </w:p>
  </w:footnote>
  <w:footnote w:id="6">
    <w:p w14:paraId="09DD7EAC" w14:textId="204A6BBF" w:rsidR="009261A5" w:rsidRPr="007D0152" w:rsidRDefault="009261A5" w:rsidP="009261A5">
      <w:pPr>
        <w:pStyle w:val="FootnoteText"/>
        <w:rPr>
          <w:lang w:val="en-US"/>
        </w:rPr>
      </w:pPr>
      <w:r w:rsidRPr="008867E9">
        <w:tab/>
      </w:r>
      <w:r w:rsidRPr="008867E9">
        <w:rPr>
          <w:rStyle w:val="FootnoteReference"/>
        </w:rPr>
        <w:footnoteRef/>
      </w:r>
      <w:r w:rsidRPr="008867E9">
        <w:tab/>
      </w:r>
      <w:hyperlink r:id="rId10" w:history="1">
        <w:r w:rsidRPr="00E03618">
          <w:rPr>
            <w:rStyle w:val="Hyperlink"/>
          </w:rPr>
          <w:t>CERD/C/AZE/CO/7-9</w:t>
        </w:r>
      </w:hyperlink>
      <w:r w:rsidRPr="008867E9">
        <w:t xml:space="preserve">, paras. 18 and 20; and </w:t>
      </w:r>
      <w:hyperlink r:id="rId11" w:history="1">
        <w:r w:rsidRPr="00E03618">
          <w:rPr>
            <w:rStyle w:val="Hyperlink"/>
          </w:rPr>
          <w:t>CERD/C/AZE/10-12</w:t>
        </w:r>
      </w:hyperlink>
      <w:r w:rsidRPr="008867E9">
        <w:t>, paras.</w:t>
      </w:r>
      <w:r>
        <w:t xml:space="preserve"> </w:t>
      </w:r>
      <w:r w:rsidRPr="007D0152">
        <w:t>71–76, 88–89 and 96.</w:t>
      </w:r>
    </w:p>
  </w:footnote>
  <w:footnote w:id="7">
    <w:p w14:paraId="115151F2" w14:textId="62CA1806" w:rsidR="009261A5" w:rsidRPr="007D0152" w:rsidRDefault="009261A5" w:rsidP="009261A5">
      <w:pPr>
        <w:pStyle w:val="FootnoteText"/>
        <w:rPr>
          <w:lang w:val="en-US"/>
        </w:rPr>
      </w:pPr>
      <w:r w:rsidRPr="008867E9">
        <w:tab/>
      </w:r>
      <w:r w:rsidRPr="008867E9">
        <w:rPr>
          <w:rStyle w:val="FootnoteReference"/>
        </w:rPr>
        <w:footnoteRef/>
      </w:r>
      <w:r w:rsidRPr="008867E9">
        <w:tab/>
      </w:r>
      <w:hyperlink r:id="rId12" w:history="1">
        <w:r w:rsidRPr="00E03618">
          <w:rPr>
            <w:rStyle w:val="Hyperlink"/>
          </w:rPr>
          <w:t>CERD/C/AZE/CO/7-9</w:t>
        </w:r>
      </w:hyperlink>
      <w:r w:rsidRPr="008867E9">
        <w:t xml:space="preserve">, paras. 10 and 36; and </w:t>
      </w:r>
      <w:hyperlink r:id="rId13" w:history="1">
        <w:r w:rsidRPr="00E03618">
          <w:rPr>
            <w:rStyle w:val="Hyperlink"/>
          </w:rPr>
          <w:t>CERD/C/AZE/10-12</w:t>
        </w:r>
      </w:hyperlink>
      <w:r w:rsidRPr="008867E9">
        <w:t>, paras.</w:t>
      </w:r>
      <w:r>
        <w:t xml:space="preserve"> </w:t>
      </w:r>
      <w:r w:rsidRPr="007D0152">
        <w:t>161–168.</w:t>
      </w:r>
    </w:p>
  </w:footnote>
  <w:footnote w:id="8">
    <w:p w14:paraId="77C172FF" w14:textId="502A8574" w:rsidR="009261A5" w:rsidRPr="008115DE" w:rsidRDefault="009261A5" w:rsidP="009261A5">
      <w:pPr>
        <w:pStyle w:val="FootnoteText"/>
        <w:rPr>
          <w:lang w:val="en-US"/>
        </w:rPr>
      </w:pPr>
      <w:r w:rsidRPr="007D0152">
        <w:tab/>
      </w:r>
      <w:r w:rsidRPr="007D0152">
        <w:rPr>
          <w:rStyle w:val="FootnoteReference"/>
        </w:rPr>
        <w:footnoteRef/>
      </w:r>
      <w:r w:rsidRPr="007D0152">
        <w:tab/>
      </w:r>
      <w:hyperlink r:id="rId14" w:history="1">
        <w:r w:rsidRPr="00E03618">
          <w:rPr>
            <w:rStyle w:val="Hyperlink"/>
          </w:rPr>
          <w:t>CERD/C/AZE/CO/7-9</w:t>
        </w:r>
      </w:hyperlink>
      <w:r w:rsidRPr="007D0152">
        <w:t>, para. 26.</w:t>
      </w:r>
    </w:p>
  </w:footnote>
  <w:footnote w:id="9">
    <w:p w14:paraId="5365A8C8" w14:textId="32EB9561" w:rsidR="009261A5" w:rsidRPr="007D0152" w:rsidRDefault="009261A5" w:rsidP="00460821">
      <w:pPr>
        <w:pStyle w:val="FootnoteText"/>
        <w:rPr>
          <w:lang w:val="en-US"/>
        </w:rPr>
      </w:pPr>
      <w:r w:rsidRPr="008867E9">
        <w:tab/>
      </w:r>
      <w:r w:rsidRPr="008867E9">
        <w:rPr>
          <w:rStyle w:val="FootnoteReference"/>
        </w:rPr>
        <w:footnoteRef/>
      </w:r>
      <w:r w:rsidRPr="008867E9">
        <w:tab/>
      </w:r>
      <w:r w:rsidRPr="00460821">
        <w:t>Ibid.,</w:t>
      </w:r>
      <w:r w:rsidRPr="008867E9">
        <w:t xml:space="preserve"> paras. 12 and 20; </w:t>
      </w:r>
      <w:r>
        <w:t xml:space="preserve">and </w:t>
      </w:r>
      <w:hyperlink r:id="rId15" w:history="1">
        <w:r w:rsidRPr="00E03618">
          <w:rPr>
            <w:rStyle w:val="Hyperlink"/>
          </w:rPr>
          <w:t>CERD/C/AZE/10-12</w:t>
        </w:r>
      </w:hyperlink>
      <w:r w:rsidRPr="007D0152">
        <w:t>, paras.</w:t>
      </w:r>
      <w:r>
        <w:t xml:space="preserve"> </w:t>
      </w:r>
      <w:r w:rsidRPr="007D0152">
        <w:t>51–60.</w:t>
      </w:r>
    </w:p>
  </w:footnote>
  <w:footnote w:id="10">
    <w:p w14:paraId="7E08DC24" w14:textId="1FA0181D" w:rsidR="009261A5" w:rsidRPr="0088297D" w:rsidRDefault="009261A5" w:rsidP="009261A5">
      <w:pPr>
        <w:pStyle w:val="FootnoteText"/>
      </w:pPr>
      <w:r w:rsidRPr="007D0152">
        <w:tab/>
      </w:r>
      <w:r w:rsidRPr="007D0152">
        <w:rPr>
          <w:rStyle w:val="FootnoteReference"/>
        </w:rPr>
        <w:footnoteRef/>
      </w:r>
      <w:r w:rsidRPr="007D0152">
        <w:tab/>
      </w:r>
      <w:hyperlink r:id="rId16" w:history="1">
        <w:r w:rsidRPr="00E03618">
          <w:rPr>
            <w:rStyle w:val="Hyperlink"/>
          </w:rPr>
          <w:t>CERD/C/AZE/CO/7-9</w:t>
        </w:r>
      </w:hyperlink>
      <w:r w:rsidRPr="007D0152">
        <w:t xml:space="preserve">, para. </w:t>
      </w:r>
      <w:r w:rsidRPr="0088297D">
        <w:t xml:space="preserve">14; and </w:t>
      </w:r>
      <w:hyperlink r:id="rId17" w:history="1">
        <w:r w:rsidRPr="00E03618">
          <w:rPr>
            <w:rStyle w:val="Hyperlink"/>
          </w:rPr>
          <w:t>CERD/C/AZE/10-12</w:t>
        </w:r>
      </w:hyperlink>
      <w:r w:rsidRPr="0088297D">
        <w:t>, paras. 61–66.</w:t>
      </w:r>
    </w:p>
  </w:footnote>
  <w:footnote w:id="11">
    <w:p w14:paraId="34F248F7" w14:textId="1CCF9E67" w:rsidR="009261A5" w:rsidRPr="0088297D" w:rsidRDefault="009261A5" w:rsidP="009261A5">
      <w:pPr>
        <w:pStyle w:val="FootnoteText"/>
      </w:pPr>
      <w:r w:rsidRPr="0088297D">
        <w:tab/>
      </w:r>
      <w:r w:rsidRPr="007D0152">
        <w:rPr>
          <w:rStyle w:val="FootnoteReference"/>
        </w:rPr>
        <w:footnoteRef/>
      </w:r>
      <w:r w:rsidRPr="0088297D">
        <w:tab/>
      </w:r>
      <w:hyperlink r:id="rId18" w:history="1">
        <w:r w:rsidRPr="00E03618">
          <w:rPr>
            <w:rStyle w:val="Hyperlink"/>
          </w:rPr>
          <w:t>CERD/C/AZE/CO/7-9</w:t>
        </w:r>
      </w:hyperlink>
      <w:r w:rsidRPr="0088297D">
        <w:t xml:space="preserve">, paras. 24 and 26; and </w:t>
      </w:r>
      <w:hyperlink r:id="rId19" w:history="1">
        <w:r w:rsidRPr="00E03618">
          <w:rPr>
            <w:rStyle w:val="Hyperlink"/>
          </w:rPr>
          <w:t>CERD/C/AZE/10-12</w:t>
        </w:r>
      </w:hyperlink>
      <w:r w:rsidRPr="0088297D">
        <w:t>, paras. 116–132.</w:t>
      </w:r>
    </w:p>
  </w:footnote>
  <w:footnote w:id="12">
    <w:p w14:paraId="4DE5F72F" w14:textId="726BD956" w:rsidR="009261A5" w:rsidRPr="0088297D" w:rsidRDefault="009261A5" w:rsidP="009261A5">
      <w:pPr>
        <w:pStyle w:val="FootnoteText"/>
      </w:pPr>
      <w:r w:rsidRPr="0088297D">
        <w:tab/>
      </w:r>
      <w:r w:rsidRPr="008115DE">
        <w:rPr>
          <w:rStyle w:val="FootnoteReference"/>
        </w:rPr>
        <w:footnoteRef/>
      </w:r>
      <w:r w:rsidRPr="0088297D">
        <w:tab/>
      </w:r>
      <w:hyperlink r:id="rId20" w:history="1">
        <w:r w:rsidRPr="00E03618">
          <w:rPr>
            <w:rStyle w:val="Hyperlink"/>
          </w:rPr>
          <w:t>CERD/C/AZE/CO/7-9</w:t>
        </w:r>
      </w:hyperlink>
      <w:r w:rsidRPr="0088297D">
        <w:t xml:space="preserve">, para. 32; and </w:t>
      </w:r>
      <w:hyperlink r:id="rId21" w:history="1">
        <w:r w:rsidRPr="00E03618">
          <w:rPr>
            <w:rStyle w:val="Hyperlink"/>
          </w:rPr>
          <w:t>CERD/C/AZE/10-12</w:t>
        </w:r>
      </w:hyperlink>
      <w:r w:rsidRPr="0088297D">
        <w:t>, paras. 145–152.</w:t>
      </w:r>
    </w:p>
  </w:footnote>
  <w:footnote w:id="13">
    <w:p w14:paraId="0A489C8C" w14:textId="2685CC8B" w:rsidR="009261A5" w:rsidRPr="008115DE" w:rsidRDefault="009261A5" w:rsidP="009261A5">
      <w:pPr>
        <w:pStyle w:val="FootnoteText"/>
        <w:rPr>
          <w:lang w:val="fr-CH"/>
        </w:rPr>
      </w:pPr>
      <w:r w:rsidRPr="007D0152">
        <w:tab/>
      </w:r>
      <w:r w:rsidRPr="008115DE">
        <w:rPr>
          <w:rStyle w:val="FootnoteReference"/>
        </w:rPr>
        <w:footnoteRef/>
      </w:r>
      <w:r w:rsidRPr="008115DE">
        <w:tab/>
      </w:r>
      <w:hyperlink r:id="rId22" w:history="1">
        <w:r w:rsidRPr="00E03618">
          <w:rPr>
            <w:rStyle w:val="Hyperlink"/>
          </w:rPr>
          <w:t>CERD/C/AZE/CO/7-9</w:t>
        </w:r>
      </w:hyperlink>
      <w:r w:rsidRPr="009C59DE">
        <w:t xml:space="preserve">, para. </w:t>
      </w:r>
      <w:r w:rsidRPr="00662381">
        <w:rPr>
          <w:lang w:val="en-US"/>
        </w:rPr>
        <w:t xml:space="preserve">34; and </w:t>
      </w:r>
      <w:hyperlink r:id="rId23" w:history="1">
        <w:r w:rsidRPr="00662381">
          <w:rPr>
            <w:rStyle w:val="Hyperlink"/>
            <w:lang w:val="en-US"/>
          </w:rPr>
          <w:t>CERD/C/AZE/10-12</w:t>
        </w:r>
      </w:hyperlink>
      <w:r w:rsidRPr="00662381">
        <w:rPr>
          <w:lang w:val="en-US"/>
        </w:rPr>
        <w:t xml:space="preserve">, paras. </w:t>
      </w:r>
      <w:r w:rsidRPr="007D0152">
        <w:rPr>
          <w:lang w:val="fr-CH"/>
        </w:rPr>
        <w:t>153–160.</w:t>
      </w:r>
    </w:p>
  </w:footnote>
  <w:footnote w:id="14">
    <w:p w14:paraId="1EAA4B80" w14:textId="14910C6B" w:rsidR="009261A5" w:rsidRPr="0088297D" w:rsidRDefault="009261A5" w:rsidP="009261A5">
      <w:pPr>
        <w:pStyle w:val="FootnoteText"/>
        <w:rPr>
          <w:lang w:val="fr-CH"/>
        </w:rPr>
      </w:pPr>
      <w:r w:rsidRPr="0088297D">
        <w:rPr>
          <w:lang w:val="fr-CH"/>
        </w:rPr>
        <w:tab/>
      </w:r>
      <w:r w:rsidRPr="008867E9">
        <w:rPr>
          <w:rStyle w:val="FootnoteReference"/>
        </w:rPr>
        <w:footnoteRef/>
      </w:r>
      <w:r w:rsidRPr="0088297D">
        <w:rPr>
          <w:lang w:val="fr-CH"/>
        </w:rPr>
        <w:tab/>
      </w:r>
      <w:hyperlink r:id="rId24" w:history="1">
        <w:r w:rsidRPr="00E03618">
          <w:rPr>
            <w:rStyle w:val="Hyperlink"/>
            <w:lang w:val="fr-CH"/>
          </w:rPr>
          <w:t>CERD/C/AZE/10-12</w:t>
        </w:r>
      </w:hyperlink>
      <w:r w:rsidRPr="0088297D">
        <w:rPr>
          <w:lang w:val="fr-CH"/>
        </w:rPr>
        <w:t>, paras. 7–19.</w:t>
      </w:r>
    </w:p>
  </w:footnote>
  <w:footnote w:id="15">
    <w:p w14:paraId="061F4086" w14:textId="331AAC5D" w:rsidR="009261A5" w:rsidRPr="007D0152" w:rsidRDefault="009261A5" w:rsidP="009261A5">
      <w:pPr>
        <w:pStyle w:val="FootnoteText"/>
        <w:rPr>
          <w:lang w:val="fr-CH"/>
        </w:rPr>
      </w:pPr>
      <w:r w:rsidRPr="0088297D">
        <w:rPr>
          <w:lang w:val="fr-CH"/>
        </w:rPr>
        <w:tab/>
      </w:r>
      <w:r w:rsidRPr="008115DE">
        <w:rPr>
          <w:rStyle w:val="FootnoteReference"/>
        </w:rPr>
        <w:footnoteRef/>
      </w:r>
      <w:r w:rsidRPr="00662381">
        <w:rPr>
          <w:lang w:val="en-US"/>
        </w:rPr>
        <w:tab/>
      </w:r>
      <w:hyperlink r:id="rId25" w:history="1">
        <w:r w:rsidRPr="00662381">
          <w:rPr>
            <w:rStyle w:val="Hyperlink"/>
            <w:lang w:val="en-US"/>
          </w:rPr>
          <w:t>CERD/C/AZE/CO/7-9</w:t>
        </w:r>
      </w:hyperlink>
      <w:r w:rsidRPr="00662381">
        <w:rPr>
          <w:lang w:val="en-US"/>
        </w:rPr>
        <w:t xml:space="preserve">, para. 26; and </w:t>
      </w:r>
      <w:hyperlink r:id="rId26" w:history="1">
        <w:r w:rsidRPr="00662381">
          <w:rPr>
            <w:rStyle w:val="Hyperlink"/>
            <w:lang w:val="en-US"/>
          </w:rPr>
          <w:t>CERD/C/AZE/10-12</w:t>
        </w:r>
      </w:hyperlink>
      <w:r w:rsidRPr="00662381">
        <w:rPr>
          <w:lang w:val="en-US"/>
        </w:rPr>
        <w:t xml:space="preserve">, paras. </w:t>
      </w:r>
      <w:r w:rsidRPr="007D0152">
        <w:rPr>
          <w:lang w:val="fr-CH"/>
        </w:rPr>
        <w:t>127–132.</w:t>
      </w:r>
    </w:p>
  </w:footnote>
  <w:footnote w:id="16">
    <w:p w14:paraId="77FB120B" w14:textId="6AE33364" w:rsidR="009261A5" w:rsidRPr="009C59DE" w:rsidRDefault="009261A5" w:rsidP="009261A5">
      <w:pPr>
        <w:pStyle w:val="FootnoteText"/>
        <w:rPr>
          <w:lang w:val="fr-CH"/>
        </w:rPr>
      </w:pPr>
      <w:r w:rsidRPr="008115DE">
        <w:rPr>
          <w:lang w:val="fr-CH"/>
        </w:rPr>
        <w:tab/>
      </w:r>
      <w:r w:rsidRPr="008115DE">
        <w:rPr>
          <w:rStyle w:val="FootnoteReference"/>
        </w:rPr>
        <w:footnoteRef/>
      </w:r>
      <w:r w:rsidRPr="009C59DE">
        <w:rPr>
          <w:lang w:val="fr-CH"/>
        </w:rPr>
        <w:tab/>
      </w:r>
      <w:hyperlink r:id="rId27" w:history="1">
        <w:r w:rsidRPr="00E03618">
          <w:rPr>
            <w:rStyle w:val="Hyperlink"/>
            <w:lang w:val="fr-CH"/>
          </w:rPr>
          <w:t>CERD/C/AZE/10-12</w:t>
        </w:r>
      </w:hyperlink>
      <w:r w:rsidRPr="009C59DE">
        <w:rPr>
          <w:lang w:val="fr-CH"/>
        </w:rPr>
        <w:t>, paras.</w:t>
      </w:r>
      <w:r>
        <w:rPr>
          <w:lang w:val="fr-CH"/>
        </w:rPr>
        <w:t xml:space="preserve"> </w:t>
      </w:r>
      <w:r w:rsidRPr="007D0152">
        <w:rPr>
          <w:lang w:val="fr-CH"/>
        </w:rPr>
        <w:t>127–132 and</w:t>
      </w:r>
      <w:r>
        <w:rPr>
          <w:lang w:val="fr-CH"/>
        </w:rPr>
        <w:t xml:space="preserve"> </w:t>
      </w:r>
      <w:r w:rsidRPr="007D0152">
        <w:rPr>
          <w:lang w:val="fr-CH"/>
        </w:rPr>
        <w:t>169</w:t>
      </w:r>
      <w:r w:rsidRPr="008115DE">
        <w:rPr>
          <w:lang w:val="fr-CH"/>
        </w:rPr>
        <w:t>–178.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98FC3" w14:textId="77777777" w:rsidR="008058F9" w:rsidRDefault="008058F9" w:rsidP="008058F9">
    <w:pPr>
      <w:pStyle w:val="Header"/>
    </w:pPr>
    <w:r>
      <w:t>CERD/C/AZE/Q/10-12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27ACC" w14:textId="77777777" w:rsidR="008058F9" w:rsidRDefault="008058F9" w:rsidP="008058F9">
    <w:pPr>
      <w:pStyle w:val="Header"/>
      <w:jc w:val="right"/>
    </w:pPr>
    <w:r>
      <w:t>CERD/C/AZE/Q/10-12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C31"/>
    <w:rsid w:val="00021C97"/>
    <w:rsid w:val="00046E92"/>
    <w:rsid w:val="00071C31"/>
    <w:rsid w:val="00170C8A"/>
    <w:rsid w:val="001C3218"/>
    <w:rsid w:val="00247E2C"/>
    <w:rsid w:val="002D6C53"/>
    <w:rsid w:val="002F5595"/>
    <w:rsid w:val="00307688"/>
    <w:rsid w:val="00334F6A"/>
    <w:rsid w:val="00342AC8"/>
    <w:rsid w:val="0039375E"/>
    <w:rsid w:val="003B4550"/>
    <w:rsid w:val="003E72EA"/>
    <w:rsid w:val="00460821"/>
    <w:rsid w:val="00461253"/>
    <w:rsid w:val="005042C2"/>
    <w:rsid w:val="00557F19"/>
    <w:rsid w:val="00662381"/>
    <w:rsid w:val="00671529"/>
    <w:rsid w:val="007233F9"/>
    <w:rsid w:val="007268F9"/>
    <w:rsid w:val="00735147"/>
    <w:rsid w:val="007C52B0"/>
    <w:rsid w:val="008058F9"/>
    <w:rsid w:val="00883988"/>
    <w:rsid w:val="008E0F96"/>
    <w:rsid w:val="009261A5"/>
    <w:rsid w:val="009411B4"/>
    <w:rsid w:val="009D0139"/>
    <w:rsid w:val="009F5CDC"/>
    <w:rsid w:val="00A01D3A"/>
    <w:rsid w:val="00A0297D"/>
    <w:rsid w:val="00A775CF"/>
    <w:rsid w:val="00A8196B"/>
    <w:rsid w:val="00B06045"/>
    <w:rsid w:val="00B65189"/>
    <w:rsid w:val="00B77442"/>
    <w:rsid w:val="00BB24D8"/>
    <w:rsid w:val="00C01462"/>
    <w:rsid w:val="00C35A27"/>
    <w:rsid w:val="00C866A9"/>
    <w:rsid w:val="00CB1FB9"/>
    <w:rsid w:val="00CB6C14"/>
    <w:rsid w:val="00D70FE1"/>
    <w:rsid w:val="00DA7116"/>
    <w:rsid w:val="00DD450F"/>
    <w:rsid w:val="00DE532E"/>
    <w:rsid w:val="00E02C2B"/>
    <w:rsid w:val="00E03618"/>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542426D2"/>
  <w15:docId w15:val="{681B316C-3538-444C-A384-972A0309F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semiHidden/>
    <w:rsid w:val="009261A5"/>
    <w:rPr>
      <w:color w:val="0000FF"/>
      <w:u w:val="none"/>
    </w:rPr>
  </w:style>
  <w:style w:type="character" w:customStyle="1" w:styleId="SingleTxtGChar">
    <w:name w:val="_ Single Txt_G Char"/>
    <w:link w:val="SingleTxtG"/>
    <w:locked/>
    <w:rsid w:val="009261A5"/>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E03618"/>
    <w:rPr>
      <w:color w:val="605E5C"/>
      <w:shd w:val="clear" w:color="auto" w:fill="E1DFDD"/>
    </w:rPr>
  </w:style>
  <w:style w:type="character" w:styleId="FollowedHyperlink">
    <w:name w:val="FollowedHyperlink"/>
    <w:basedOn w:val="DefaultParagraphFont"/>
    <w:uiPriority w:val="99"/>
    <w:semiHidden/>
    <w:unhideWhenUsed/>
    <w:rsid w:val="00C866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AZE/CO/7-9" TargetMode="External"/><Relationship Id="rId13" Type="http://schemas.openxmlformats.org/officeDocument/2006/relationships/hyperlink" Target="http://undocs.org/en/CERD/C/AZE/10-12" TargetMode="External"/><Relationship Id="rId18" Type="http://schemas.openxmlformats.org/officeDocument/2006/relationships/hyperlink" Target="http://undocs.org/en/CERD/C/AZE/CO/7-9" TargetMode="External"/><Relationship Id="rId26" Type="http://schemas.openxmlformats.org/officeDocument/2006/relationships/hyperlink" Target="http://undocs.org/en/CERD/C/AZE/10-12" TargetMode="External"/><Relationship Id="rId3" Type="http://schemas.openxmlformats.org/officeDocument/2006/relationships/hyperlink" Target="http://undocs.org/en/CERD/C/AZE/10-12" TargetMode="External"/><Relationship Id="rId21" Type="http://schemas.openxmlformats.org/officeDocument/2006/relationships/hyperlink" Target="http://undocs.org/en/CERD/C/AZE/10-12" TargetMode="External"/><Relationship Id="rId7" Type="http://schemas.openxmlformats.org/officeDocument/2006/relationships/hyperlink" Target="http://undocs.org/en/CERD/C/AZE/10-12" TargetMode="External"/><Relationship Id="rId12" Type="http://schemas.openxmlformats.org/officeDocument/2006/relationships/hyperlink" Target="http://undocs.org/en/CERD/C/AZE/CO/7-9" TargetMode="External"/><Relationship Id="rId17" Type="http://schemas.openxmlformats.org/officeDocument/2006/relationships/hyperlink" Target="http://undocs.org/en/CERD/C/AZE/10-12" TargetMode="External"/><Relationship Id="rId25" Type="http://schemas.openxmlformats.org/officeDocument/2006/relationships/hyperlink" Target="http://undocs.org/en/CERD/C/AZE/CO/7-9" TargetMode="External"/><Relationship Id="rId2" Type="http://schemas.openxmlformats.org/officeDocument/2006/relationships/hyperlink" Target="http://undocs.org/en/CERD/C/AZE/CO/7-9" TargetMode="External"/><Relationship Id="rId16" Type="http://schemas.openxmlformats.org/officeDocument/2006/relationships/hyperlink" Target="http://undocs.org/en/CERD/C/AZE/CO/7-9" TargetMode="External"/><Relationship Id="rId20" Type="http://schemas.openxmlformats.org/officeDocument/2006/relationships/hyperlink" Target="http://undocs.org/en/CERD/C/AZE/CO/7-9" TargetMode="External"/><Relationship Id="rId1" Type="http://schemas.openxmlformats.org/officeDocument/2006/relationships/hyperlink" Target="http://undocs.org/en/A/65/18" TargetMode="External"/><Relationship Id="rId6" Type="http://schemas.openxmlformats.org/officeDocument/2006/relationships/hyperlink" Target="http://undocs.org/en/CERD/C/AZE/CO/7-9" TargetMode="External"/><Relationship Id="rId11" Type="http://schemas.openxmlformats.org/officeDocument/2006/relationships/hyperlink" Target="http://undocs.org/en/CERD/C/AZE/10-12" TargetMode="External"/><Relationship Id="rId24" Type="http://schemas.openxmlformats.org/officeDocument/2006/relationships/hyperlink" Target="http://undocs.org/en/CERD/C/AZE/10-12" TargetMode="External"/><Relationship Id="rId5" Type="http://schemas.openxmlformats.org/officeDocument/2006/relationships/hyperlink" Target="http://undocs.org/en/CERD/C/AZE/10-12" TargetMode="External"/><Relationship Id="rId15" Type="http://schemas.openxmlformats.org/officeDocument/2006/relationships/hyperlink" Target="http://undocs.org/en/CERD/C/AZE/10-12" TargetMode="External"/><Relationship Id="rId23" Type="http://schemas.openxmlformats.org/officeDocument/2006/relationships/hyperlink" Target="http://undocs.org/en/CERD/C/AZE/10-12" TargetMode="External"/><Relationship Id="rId10" Type="http://schemas.openxmlformats.org/officeDocument/2006/relationships/hyperlink" Target="http://undocs.org/en/CERD/C/AZE/CO/7-9" TargetMode="External"/><Relationship Id="rId19" Type="http://schemas.openxmlformats.org/officeDocument/2006/relationships/hyperlink" Target="http://undocs.org/en/CERD/C/AZE/10-12" TargetMode="External"/><Relationship Id="rId4" Type="http://schemas.openxmlformats.org/officeDocument/2006/relationships/hyperlink" Target="http://undocs.org/en/CERD/C/AZE/CO/7-9" TargetMode="External"/><Relationship Id="rId9" Type="http://schemas.openxmlformats.org/officeDocument/2006/relationships/hyperlink" Target="http://undocs.org/en/CERD/C/AZE/10-12" TargetMode="External"/><Relationship Id="rId14" Type="http://schemas.openxmlformats.org/officeDocument/2006/relationships/hyperlink" Target="http://undocs.org/en/CERD/C/AZE/CO/7-9" TargetMode="External"/><Relationship Id="rId22" Type="http://schemas.openxmlformats.org/officeDocument/2006/relationships/hyperlink" Target="http://undocs.org/en/CERD/C/AZE/CO/7-9" TargetMode="External"/><Relationship Id="rId27" Type="http://schemas.openxmlformats.org/officeDocument/2006/relationships/hyperlink" Target="http://undocs.org/en/CERD/C/AZE/1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1306</Words>
  <Characters>7569</Characters>
  <Application>Microsoft Office Word</Application>
  <DocSecurity>0</DocSecurity>
  <Lines>128</Lines>
  <Paragraphs>43</Paragraphs>
  <ScaleCrop>false</ScaleCrop>
  <Company>DCM</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CERD/C/AZE/Q/10-12</dc:title>
  <dc:subject>2209901</dc:subject>
  <dc:creator>cg</dc:creator>
  <cp:keywords/>
  <dc:description/>
  <cp:lastModifiedBy>Edna Kay</cp:lastModifiedBy>
  <cp:revision>2</cp:revision>
  <dcterms:created xsi:type="dcterms:W3CDTF">2022-06-23T09:41:00Z</dcterms:created>
  <dcterms:modified xsi:type="dcterms:W3CDTF">2022-06-23T09:41:00Z</dcterms:modified>
</cp:coreProperties>
</file>