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6D9E" w:rsidRDefault="007A6D9E">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7A6D9E" w:rsidRDefault="007A6D9E">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1501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7A6D9E" w:rsidRDefault="007A6D9E">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7A6D9E" w:rsidRDefault="007A6D9E">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7A6D9E" w:rsidRDefault="007A6D9E">
      <w:pPr>
        <w:rPr>
          <w:lang w:val="es-ES_tradnl"/>
        </w:rPr>
      </w:pPr>
    </w:p>
    <w:p w:rsidR="007A6D9E" w:rsidRDefault="007A6D9E"/>
    <w:p w:rsidR="007A6D9E" w:rsidRDefault="007A6D9E" w:rsidP="007A6D9E">
      <w:pPr>
        <w:tabs>
          <w:tab w:val="left" w:pos="7200"/>
        </w:tabs>
        <w:spacing w:after="240"/>
      </w:pPr>
      <w:r>
        <w:tab/>
        <w:t>Distr.</w:t>
      </w:r>
      <w:r>
        <w:br/>
      </w:r>
      <w:r>
        <w:tab/>
        <w:t>GENERAL</w:t>
      </w:r>
    </w:p>
    <w:p w:rsidR="007A6D9E" w:rsidRDefault="007A6D9E" w:rsidP="007A6D9E">
      <w:pPr>
        <w:tabs>
          <w:tab w:val="left" w:pos="7200"/>
        </w:tabs>
        <w:spacing w:after="240"/>
      </w:pPr>
      <w:r>
        <w:tab/>
        <w:t>CAT/C/ISR/Q/4</w:t>
      </w:r>
      <w:r>
        <w:br/>
      </w:r>
      <w:r>
        <w:tab/>
        <w:t>12 de febrero de 2009</w:t>
      </w:r>
    </w:p>
    <w:p w:rsidR="007A6D9E" w:rsidRDefault="007A6D9E" w:rsidP="007A6D9E">
      <w:pPr>
        <w:tabs>
          <w:tab w:val="left" w:pos="7200"/>
        </w:tabs>
        <w:spacing w:after="480"/>
      </w:pPr>
      <w:r>
        <w:tab/>
        <w:t>ESPAÑOL</w:t>
      </w:r>
      <w:r>
        <w:br/>
      </w:r>
      <w:r>
        <w:tab/>
        <w:t>Original:  INGLÉS</w:t>
      </w:r>
    </w:p>
    <w:p w:rsidR="007A6D9E" w:rsidRPr="00CF3ADE" w:rsidRDefault="007A6D9E" w:rsidP="007A6D9E">
      <w:pPr>
        <w:spacing w:after="840"/>
      </w:pPr>
      <w:r w:rsidRPr="00CF3ADE">
        <w:t>COMITÉ CONTRA LA TORTURA</w:t>
      </w:r>
      <w:r>
        <w:br/>
      </w:r>
      <w:r w:rsidRPr="00CF3ADE">
        <w:t>4</w:t>
      </w:r>
      <w:r>
        <w:t>2</w:t>
      </w:r>
      <w:r w:rsidRPr="00CF3ADE">
        <w:t>º período de sesiones</w:t>
      </w:r>
      <w:r>
        <w:br/>
        <w:t xml:space="preserve">27 de abril a 15 de mayo </w:t>
      </w:r>
      <w:r w:rsidRPr="00CF3ADE">
        <w:t>de 200</w:t>
      </w:r>
      <w:r>
        <w:t>9</w:t>
      </w:r>
    </w:p>
    <w:p w:rsidR="007A6D9E" w:rsidRPr="00CF3ADE" w:rsidRDefault="007A6D9E" w:rsidP="007A6D9E">
      <w:pPr>
        <w:spacing w:after="240"/>
        <w:jc w:val="center"/>
      </w:pPr>
      <w:r w:rsidRPr="00852B4F">
        <w:rPr>
          <w:b/>
        </w:rPr>
        <w:t>LISTA DE CUESTIONES QUE DEBEN ABORDARSE AL EXAMINAR</w:t>
      </w:r>
      <w:r w:rsidRPr="00852B4F">
        <w:rPr>
          <w:b/>
        </w:rPr>
        <w:br/>
        <w:t>EL CUARTO INFORME PERIÓDICO DE ISRAEL (CAT/C/ISR/4)</w:t>
      </w:r>
    </w:p>
    <w:p w:rsidR="007A6D9E" w:rsidRPr="008D07F2" w:rsidRDefault="007A6D9E" w:rsidP="007A6D9E">
      <w:pPr>
        <w:spacing w:after="240"/>
        <w:rPr>
          <w:b/>
        </w:rPr>
      </w:pPr>
      <w:r w:rsidRPr="008D07F2">
        <w:rPr>
          <w:b/>
        </w:rPr>
        <w:t>Artículos 1 y 4</w:t>
      </w:r>
    </w:p>
    <w:p w:rsidR="007A6D9E" w:rsidRPr="00CF3ADE" w:rsidRDefault="007A6D9E" w:rsidP="007A6D9E">
      <w:pPr>
        <w:spacing w:after="240"/>
        <w:ind w:left="567" w:hanging="567"/>
      </w:pPr>
      <w:r>
        <w:t>1.</w:t>
      </w:r>
      <w:r>
        <w:tab/>
      </w:r>
      <w:r w:rsidRPr="00CF3ADE">
        <w:t xml:space="preserve">En sus observaciones finales anteriores sobre el tercer informe periódico presentado por el </w:t>
      </w:r>
      <w:r>
        <w:t>Estado parte</w:t>
      </w:r>
      <w:r>
        <w:rPr>
          <w:rStyle w:val="FootnoteReference"/>
        </w:rPr>
        <w:footnoteReference w:id="1"/>
      </w:r>
      <w:r w:rsidRPr="00CF3ADE">
        <w:t>, el Comité recomendó que las disposiciones de la Convención se incorporaran en el ordenamiento jurídico de Israel, en particular que se tipificara el delito de tortura según la definición contenida en el artículo 1 de la Convención</w:t>
      </w:r>
      <w:r>
        <w:t>.  Si bien el Estado parte</w:t>
      </w:r>
      <w:r w:rsidRPr="00CF3ADE">
        <w:t xml:space="preserve"> aclaró que </w:t>
      </w:r>
      <w:r>
        <w:t>"</w:t>
      </w:r>
      <w:r w:rsidRPr="00CF3ADE">
        <w:t>todos los actos de tortura (…) eran delitos</w:t>
      </w:r>
      <w:r>
        <w:t>"</w:t>
      </w:r>
      <w:r w:rsidRPr="00CF3ADE">
        <w:t xml:space="preserve"> con arreglo a la legislación israelí, sírvanse indicar qu</w:t>
      </w:r>
      <w:r>
        <w:t>é</w:t>
      </w:r>
      <w:r w:rsidRPr="00CF3ADE">
        <w:t xml:space="preserve"> medidas se han adoptado para aplicar la recomendación de que todas las disposiciones de la Convención se incorporaran </w:t>
      </w:r>
      <w:r>
        <w:t xml:space="preserve">expresamente </w:t>
      </w:r>
      <w:r w:rsidRPr="00CF3ADE">
        <w:t>en el derecho de Israel</w:t>
      </w:r>
      <w:r w:rsidRPr="00CF3ADE">
        <w:rPr>
          <w:b/>
          <w:vertAlign w:val="superscript"/>
        </w:rPr>
        <w:footnoteReference w:id="2"/>
      </w:r>
      <w:r>
        <w:t xml:space="preserve">.  </w:t>
      </w:r>
      <w:r w:rsidRPr="00CF3ADE">
        <w:t xml:space="preserve">Según la información </w:t>
      </w:r>
      <w:r>
        <w:t xml:space="preserve">de </w:t>
      </w:r>
      <w:r w:rsidRPr="00CF3ADE">
        <w:t xml:space="preserve">que </w:t>
      </w:r>
      <w:r>
        <w:t xml:space="preserve">dispone el </w:t>
      </w:r>
      <w:r w:rsidRPr="00CF3ADE">
        <w:t xml:space="preserve">Comité, el Comité de Constitución, Legislación y Derecho del </w:t>
      </w:r>
      <w:r w:rsidRPr="00013F0A">
        <w:rPr>
          <w:i/>
        </w:rPr>
        <w:t>Knesset</w:t>
      </w:r>
      <w:r w:rsidRPr="00CF3ADE">
        <w:t xml:space="preserve"> examinó en 2007 una propuesta sobre la inclusión de una prohibición de la tortura en su proyecto de Constitución</w:t>
      </w:r>
      <w:r>
        <w:t xml:space="preserve">.  </w:t>
      </w:r>
      <w:r w:rsidRPr="00CF3ADE">
        <w:t xml:space="preserve">Sírvanse describir el contenido de la propuesta e indicar </w:t>
      </w:r>
      <w:r>
        <w:t xml:space="preserve">el estado actual </w:t>
      </w:r>
      <w:r w:rsidRPr="00CF3ADE">
        <w:t xml:space="preserve">de </w:t>
      </w:r>
      <w:r>
        <w:t>su tramit</w:t>
      </w:r>
      <w:r w:rsidRPr="00CF3ADE">
        <w:t>ación.</w:t>
      </w:r>
    </w:p>
    <w:p w:rsidR="007A6D9E" w:rsidRPr="008D07F2" w:rsidRDefault="007A6D9E" w:rsidP="007A6D9E">
      <w:pPr>
        <w:keepNext/>
        <w:keepLines/>
        <w:spacing w:after="240"/>
        <w:rPr>
          <w:b/>
        </w:rPr>
      </w:pPr>
      <w:r w:rsidRPr="008D07F2">
        <w:rPr>
          <w:b/>
        </w:rPr>
        <w:t>Artículo 2</w:t>
      </w:r>
    </w:p>
    <w:p w:rsidR="007A6D9E" w:rsidRPr="00CF3ADE" w:rsidRDefault="007A6D9E" w:rsidP="007A6D9E">
      <w:pPr>
        <w:spacing w:after="240"/>
        <w:ind w:left="567" w:hanging="567"/>
      </w:pPr>
      <w:r>
        <w:t>2.</w:t>
      </w:r>
      <w:r>
        <w:tab/>
      </w:r>
      <w:r w:rsidRPr="00CF3ADE">
        <w:t>Sírvanse explicar qué</w:t>
      </w:r>
      <w:r>
        <w:t xml:space="preserve"> medidas ha adoptado el Estado parte</w:t>
      </w:r>
      <w:r w:rsidRPr="00CF3ADE">
        <w:t xml:space="preserve"> para aplicar la an</w:t>
      </w:r>
      <w:r>
        <w:t>terior recomendación del Comité</w:t>
      </w:r>
      <w:r w:rsidRPr="00CF3ADE">
        <w:t xml:space="preserve"> de eliminar de su legislación la necesidad como posible justificación del delito de tortura</w:t>
      </w:r>
      <w:r>
        <w:rPr>
          <w:rStyle w:val="FootnoteReference"/>
        </w:rPr>
        <w:footnoteReference w:id="3"/>
      </w:r>
      <w:r w:rsidRPr="00CF3ADE">
        <w:t>.</w:t>
      </w:r>
    </w:p>
    <w:p w:rsidR="007A6D9E" w:rsidRPr="00CF3ADE" w:rsidRDefault="007A6D9E" w:rsidP="007A6D9E">
      <w:pPr>
        <w:spacing w:after="240"/>
        <w:ind w:left="567" w:hanging="567"/>
      </w:pPr>
      <w:r>
        <w:t>3.</w:t>
      </w:r>
      <w:r>
        <w:tab/>
      </w:r>
      <w:r w:rsidRPr="00CF3ADE">
        <w:t xml:space="preserve">En el informe se señala que sólo puede recurrirse a la detención administrativa como medida excepcional </w:t>
      </w:r>
      <w:r>
        <w:t>"</w:t>
      </w:r>
      <w:r w:rsidRPr="00CF3ADE">
        <w:t>cuando se dispone de pruebas claras, concretas y fiables que, por razones de confidencialidad y para proteger las fuentes de información, no pueden ser presentadas en procedimientos judiciales ordinarios</w:t>
      </w:r>
      <w:r>
        <w:t>"</w:t>
      </w:r>
      <w:r w:rsidRPr="00CF3ADE">
        <w:rPr>
          <w:b/>
          <w:vertAlign w:val="superscript"/>
        </w:rPr>
        <w:footnoteReference w:id="4"/>
      </w:r>
      <w:r>
        <w:t>.</w:t>
      </w:r>
      <w:r w:rsidRPr="00CF3ADE">
        <w:t xml:space="preserve"> </w:t>
      </w:r>
      <w:r>
        <w:t xml:space="preserve"> </w:t>
      </w:r>
      <w:r w:rsidRPr="00CF3ADE">
        <w:t xml:space="preserve">El Comité expresó preocupación por </w:t>
      </w:r>
      <w:r>
        <w:t>el hecho de que l</w:t>
      </w:r>
      <w:r w:rsidRPr="00CF3ADE">
        <w:t xml:space="preserve">a práctica de la detención administrativa </w:t>
      </w:r>
      <w:r>
        <w:t xml:space="preserve">no fuera conforme </w:t>
      </w:r>
      <w:r w:rsidRPr="00CF3ADE">
        <w:t>con el artículo 16 de la Convención</w:t>
      </w:r>
      <w:r>
        <w:rPr>
          <w:rStyle w:val="FootnoteReference"/>
        </w:rPr>
        <w:footnoteReference w:id="5"/>
      </w:r>
      <w:r>
        <w:t>.  El Estado parte</w:t>
      </w:r>
      <w:r w:rsidRPr="00CF3ADE">
        <w:t xml:space="preserve"> explica que esta práctica se revisa sistemáticamente</w:t>
      </w:r>
      <w:r>
        <w:rPr>
          <w:rStyle w:val="FootnoteReference"/>
        </w:rPr>
        <w:footnoteReference w:id="6"/>
      </w:r>
      <w:r w:rsidRPr="00CF3ADE">
        <w:t xml:space="preserve"> y se utiliza solamente con carácter excepcional cuando la confidencialidad y la protección de las fuentes de información impide que se presenten pruebas en los procedimientos penales.  Sírvanse aclarar qué medidas se han adoptado para </w:t>
      </w:r>
      <w:r>
        <w:t xml:space="preserve">impedir </w:t>
      </w:r>
      <w:r w:rsidRPr="00CF3ADE">
        <w:t>que se recurra a esa práctica</w:t>
      </w:r>
      <w:r>
        <w:t xml:space="preserve">.  </w:t>
      </w:r>
      <w:r w:rsidRPr="00CF3ADE">
        <w:t xml:space="preserve">¿Cómo respalda el Gobierno su declaración de que se trata de una práctica de carácter excepcional, teniendo en cuenta </w:t>
      </w:r>
      <w:r>
        <w:t>que, según información transmitida al Comité,</w:t>
      </w:r>
      <w:r w:rsidRPr="00CF3ADE">
        <w:t xml:space="preserve"> en</w:t>
      </w:r>
      <w:r>
        <w:t> </w:t>
      </w:r>
      <w:r w:rsidRPr="00CF3ADE">
        <w:t xml:space="preserve">2007 se mantuvo </w:t>
      </w:r>
      <w:r>
        <w:t xml:space="preserve">en </w:t>
      </w:r>
      <w:r w:rsidRPr="00CF3ADE">
        <w:t xml:space="preserve">detención administrativa a 900 palestinos, y que algunos, </w:t>
      </w:r>
      <w:r>
        <w:t xml:space="preserve">entre ellos </w:t>
      </w:r>
      <w:r w:rsidRPr="00CF3ADE">
        <w:t>ex ministros de Hamás,</w:t>
      </w:r>
      <w:r>
        <w:t xml:space="preserve"> </w:t>
      </w:r>
      <w:r w:rsidRPr="00CF3ADE">
        <w:t>parecían haber sido recluidos con objeto de ejercer presión sobre Hamás para que liberara a Gilad Shalit, soldado israelí</w:t>
      </w:r>
      <w:r>
        <w:t xml:space="preserve">. </w:t>
      </w:r>
      <w:r w:rsidRPr="00CF3ADE">
        <w:t xml:space="preserve"> El</w:t>
      </w:r>
      <w:r>
        <w:t> Estado parte</w:t>
      </w:r>
      <w:r w:rsidRPr="00CF3ADE">
        <w:t xml:space="preserve"> debería explicar también en qué medida </w:t>
      </w:r>
      <w:r>
        <w:t xml:space="preserve">son </w:t>
      </w:r>
      <w:r w:rsidRPr="00CF3ADE">
        <w:t>compatible</w:t>
      </w:r>
      <w:r>
        <w:t>s</w:t>
      </w:r>
      <w:r w:rsidRPr="00CF3ADE">
        <w:t xml:space="preserve"> con el artículo 16 de la Convención </w:t>
      </w:r>
      <w:r>
        <w:t xml:space="preserve">tanto </w:t>
      </w:r>
      <w:r w:rsidRPr="00CF3ADE">
        <w:t xml:space="preserve">la Orden militar </w:t>
      </w:r>
      <w:r>
        <w:t xml:space="preserve">Nº </w:t>
      </w:r>
      <w:r w:rsidRPr="00CF3ADE">
        <w:t>1226</w:t>
      </w:r>
      <w:r>
        <w:t xml:space="preserve"> (1988)</w:t>
      </w:r>
      <w:r w:rsidRPr="00CF3ADE">
        <w:t xml:space="preserve">, que permite a los comandantes militares </w:t>
      </w:r>
      <w:r>
        <w:t xml:space="preserve">israelíes </w:t>
      </w:r>
      <w:r w:rsidRPr="00CF3ADE">
        <w:t xml:space="preserve">mantener detenidos a ciudadanos palestinos hasta seis meses cuando existen </w:t>
      </w:r>
      <w:r>
        <w:t>"</w:t>
      </w:r>
      <w:r w:rsidRPr="00CF3ADE">
        <w:t>argumentos razonables para suponer que la detención es necesaria para la seguridad de la zona o la seguridad pública</w:t>
      </w:r>
      <w:r>
        <w:t>"</w:t>
      </w:r>
      <w:r>
        <w:rPr>
          <w:rStyle w:val="FootnoteReference"/>
        </w:rPr>
        <w:footnoteReference w:id="7"/>
      </w:r>
      <w:r>
        <w:t xml:space="preserve">, como </w:t>
      </w:r>
      <w:r w:rsidRPr="00CF3ADE">
        <w:t xml:space="preserve">la Ley de detención de combatientes ilegales, de 2002, que permite que un </w:t>
      </w:r>
      <w:r>
        <w:t>"</w:t>
      </w:r>
      <w:r w:rsidRPr="00CF3ADE">
        <w:t>combatiente ilegal</w:t>
      </w:r>
      <w:r>
        <w:t>"</w:t>
      </w:r>
      <w:r w:rsidRPr="00CF3ADE">
        <w:t xml:space="preserve"> esté detenido </w:t>
      </w:r>
      <w:r>
        <w:t xml:space="preserve">durante </w:t>
      </w:r>
      <w:r w:rsidRPr="00CF3ADE">
        <w:t>un plazo de hasta 14 días antes de presentarlo ante un juez competente.</w:t>
      </w:r>
    </w:p>
    <w:p w:rsidR="007A6D9E" w:rsidRPr="00CF3ADE" w:rsidRDefault="007A6D9E" w:rsidP="007A6D9E">
      <w:pPr>
        <w:spacing w:after="240"/>
        <w:ind w:left="567" w:hanging="567"/>
      </w:pPr>
      <w:r>
        <w:t>4.</w:t>
      </w:r>
      <w:r>
        <w:tab/>
      </w:r>
      <w:r w:rsidRPr="00CF3ADE">
        <w:t>En relación con la recomendación anterior del Comité</w:t>
      </w:r>
      <w:r w:rsidRPr="00CF3ADE">
        <w:rPr>
          <w:b/>
          <w:vertAlign w:val="superscript"/>
        </w:rPr>
        <w:footnoteReference w:id="8"/>
      </w:r>
      <w:r w:rsidRPr="00CF3ADE">
        <w:t>, sírvanse ex</w:t>
      </w:r>
      <w:r>
        <w:t>plicar de qué manera el Estado parte</w:t>
      </w:r>
      <w:r w:rsidRPr="00CF3ADE">
        <w:t xml:space="preserve"> ha</w:t>
      </w:r>
      <w:r>
        <w:t>ce</w:t>
      </w:r>
      <w:r w:rsidRPr="00CF3ADE">
        <w:t xml:space="preserve"> que todos los detenidos</w:t>
      </w:r>
      <w:r>
        <w:t>,</w:t>
      </w:r>
      <w:r w:rsidRPr="00CF3ADE">
        <w:t xml:space="preserve"> sin excepción</w:t>
      </w:r>
      <w:r>
        <w:t>,</w:t>
      </w:r>
      <w:r w:rsidRPr="00CF3ADE">
        <w:t xml:space="preserve"> </w:t>
      </w:r>
      <w:r>
        <w:t xml:space="preserve">comparezcan rápidamente ante </w:t>
      </w:r>
      <w:r w:rsidRPr="00CF3ADE">
        <w:t xml:space="preserve">un juez y </w:t>
      </w:r>
      <w:r>
        <w:t xml:space="preserve">tengan rápido acceso </w:t>
      </w:r>
      <w:r w:rsidRPr="00CF3ADE">
        <w:t>a un abogado</w:t>
      </w:r>
      <w:r>
        <w:t xml:space="preserve">.  </w:t>
      </w:r>
      <w:r w:rsidRPr="00CF3ADE">
        <w:t>Sírvanse explicar, en part</w:t>
      </w:r>
      <w:r>
        <w:t>icular, de qué modo el Estado parte</w:t>
      </w:r>
      <w:r w:rsidRPr="00CF3ADE">
        <w:t xml:space="preserve"> </w:t>
      </w:r>
      <w:r>
        <w:t xml:space="preserve">da </w:t>
      </w:r>
      <w:r w:rsidRPr="00CF3ADE">
        <w:t xml:space="preserve">salvaguardias adecuadas para erradicar </w:t>
      </w:r>
      <w:r>
        <w:t>la</w:t>
      </w:r>
      <w:r w:rsidRPr="00CF3ADE">
        <w:t xml:space="preserve"> detención </w:t>
      </w:r>
      <w:r>
        <w:t>incomunicada prolongada</w:t>
      </w:r>
      <w:r w:rsidRPr="00CF3ADE">
        <w:t xml:space="preserve"> de los </w:t>
      </w:r>
      <w:r>
        <w:t xml:space="preserve">detenidos por motivos </w:t>
      </w:r>
      <w:r w:rsidRPr="00CF3ADE">
        <w:t>de seguridad</w:t>
      </w:r>
      <w:r>
        <w:t>.</w:t>
      </w:r>
    </w:p>
    <w:p w:rsidR="007A6D9E" w:rsidRPr="00CF3ADE" w:rsidRDefault="007A6D9E" w:rsidP="007A6D9E">
      <w:pPr>
        <w:spacing w:after="240"/>
        <w:ind w:left="567" w:hanging="567"/>
      </w:pPr>
      <w:r>
        <w:t>5.</w:t>
      </w:r>
      <w:r>
        <w:tab/>
        <w:t>En el informe del Estado parte</w:t>
      </w:r>
      <w:r w:rsidRPr="00CF3ADE">
        <w:t xml:space="preserve"> se mencionan varias disposiciones de la </w:t>
      </w:r>
      <w:bookmarkStart w:id="0" w:name="_Hlk213578798"/>
      <w:r w:rsidRPr="00CF3ADE">
        <w:t xml:space="preserve">Ley de </w:t>
      </w:r>
      <w:r>
        <w:t>p</w:t>
      </w:r>
      <w:r w:rsidRPr="00CF3ADE">
        <w:t xml:space="preserve">rocedimiento </w:t>
      </w:r>
      <w:r>
        <w:t>p</w:t>
      </w:r>
      <w:r w:rsidRPr="00CF3ADE">
        <w:t>enal (facultades de detención</w:t>
      </w:r>
      <w:r>
        <w:t xml:space="preserve"> y medidas coactivas</w:t>
      </w:r>
      <w:r w:rsidRPr="00CF3ADE">
        <w:t>)</w:t>
      </w:r>
      <w:bookmarkEnd w:id="0"/>
      <w:r w:rsidRPr="00CF3ADE">
        <w:t xml:space="preserve"> en la</w:t>
      </w:r>
      <w:r>
        <w:t>s</w:t>
      </w:r>
      <w:r w:rsidRPr="00CF3ADE">
        <w:t xml:space="preserve"> que se establecen las condiciones de </w:t>
      </w:r>
      <w:r>
        <w:t>privación de libertad de los d</w:t>
      </w:r>
      <w:r w:rsidRPr="00CF3ADE">
        <w:t>elincuentes en Israel</w:t>
      </w:r>
      <w:r>
        <w:t xml:space="preserve">.  </w:t>
      </w:r>
      <w:r w:rsidRPr="00CF3ADE">
        <w:t xml:space="preserve">Sin embargo, la Orden militar israelí </w:t>
      </w:r>
      <w:r>
        <w:t xml:space="preserve">Nº </w:t>
      </w:r>
      <w:r w:rsidRPr="00CF3ADE">
        <w:t xml:space="preserve">378, que se aplica </w:t>
      </w:r>
      <w:r>
        <w:t xml:space="preserve">a </w:t>
      </w:r>
      <w:r w:rsidRPr="00CF3ADE">
        <w:t>l</w:t>
      </w:r>
      <w:r>
        <w:t>a Ribera Occidental,</w:t>
      </w:r>
      <w:r w:rsidRPr="00CF3ADE">
        <w:t xml:space="preserve"> permite que el período de detención</w:t>
      </w:r>
      <w:r>
        <w:t xml:space="preserve"> de los palestinos</w:t>
      </w:r>
      <w:r w:rsidRPr="00CF3ADE">
        <w:t xml:space="preserve">, incluso de niños de 12 </w:t>
      </w:r>
      <w:r>
        <w:t xml:space="preserve">o más </w:t>
      </w:r>
      <w:r w:rsidRPr="00CF3ADE">
        <w:t>años acusados o no de delitos contra la seguridad, se extienda hasta ocho días antes de que los detenidos sean puestos a disposición de un juez militar</w:t>
      </w:r>
      <w:r>
        <w:rPr>
          <w:rStyle w:val="FootnoteReference"/>
        </w:rPr>
        <w:footnoteReference w:id="9"/>
      </w:r>
      <w:r>
        <w:t xml:space="preserve">.  </w:t>
      </w:r>
      <w:r w:rsidRPr="00CF3ADE">
        <w:t xml:space="preserve">La misma ley permite </w:t>
      </w:r>
      <w:r>
        <w:t xml:space="preserve">que </w:t>
      </w:r>
      <w:r w:rsidRPr="00CF3ADE">
        <w:t xml:space="preserve">los detenidos </w:t>
      </w:r>
      <w:r>
        <w:t xml:space="preserve">sean mantenidos </w:t>
      </w:r>
      <w:r w:rsidRPr="00CF3ADE">
        <w:t xml:space="preserve">hasta 90 días sin acceso a un abogado y hasta 188 sin </w:t>
      </w:r>
      <w:r>
        <w:t>ser inculpados</w:t>
      </w:r>
      <w:r w:rsidRPr="00CF3ADE">
        <w:rPr>
          <w:b/>
          <w:vertAlign w:val="superscript"/>
        </w:rPr>
        <w:footnoteReference w:id="10"/>
      </w:r>
      <w:r>
        <w:t>.  ¿De qué manera el Estado parte</w:t>
      </w:r>
      <w:r w:rsidRPr="00CF3ADE">
        <w:t xml:space="preserve"> concilia esas disposiciones de la </w:t>
      </w:r>
      <w:r w:rsidR="003B1402">
        <w:t>o</w:t>
      </w:r>
      <w:r w:rsidRPr="00CF3ADE">
        <w:t xml:space="preserve">rden con </w:t>
      </w:r>
      <w:r>
        <w:t xml:space="preserve">la </w:t>
      </w:r>
      <w:r w:rsidRPr="00CF3ADE">
        <w:t xml:space="preserve">obligación </w:t>
      </w:r>
      <w:r>
        <w:t xml:space="preserve">que le impone el </w:t>
      </w:r>
      <w:r w:rsidRPr="00CF3ADE">
        <w:t>artículo 2 de la Convención de adoptar medidas ef</w:t>
      </w:r>
      <w:r>
        <w:t xml:space="preserve">icaces </w:t>
      </w:r>
      <w:r w:rsidRPr="00CF3ADE">
        <w:t xml:space="preserve"> para </w:t>
      </w:r>
      <w:r>
        <w:t>impedir la tortura?</w:t>
      </w:r>
    </w:p>
    <w:p w:rsidR="007A6D9E" w:rsidRPr="00CF3ADE" w:rsidRDefault="007A6D9E" w:rsidP="007A6D9E">
      <w:pPr>
        <w:spacing w:after="240"/>
        <w:ind w:left="567" w:hanging="567"/>
      </w:pPr>
      <w:r>
        <w:t>6.</w:t>
      </w:r>
      <w:r>
        <w:tab/>
        <w:t>En el informe del Estado parte</w:t>
      </w:r>
      <w:r w:rsidRPr="00CF3ADE">
        <w:t xml:space="preserve"> se señala que</w:t>
      </w:r>
      <w:r>
        <w:t>,</w:t>
      </w:r>
      <w:r w:rsidRPr="00CF3ADE">
        <w:t xml:space="preserve"> de conformidad con el artículo 3 de la Ley de procedimiento </w:t>
      </w:r>
      <w:r>
        <w:t>p</w:t>
      </w:r>
      <w:r w:rsidRPr="00CF3ADE">
        <w:t>enal (</w:t>
      </w:r>
      <w:r>
        <w:t>d</w:t>
      </w:r>
      <w:r w:rsidRPr="00CF3ADE">
        <w:t>etenido sospechoso de un delito contra la seguridad) (</w:t>
      </w:r>
      <w:r>
        <w:t>d</w:t>
      </w:r>
      <w:r w:rsidRPr="00CF3ADE">
        <w:t>isposición provisional) de 2006, los sospechosos de haber cometido delitos con</w:t>
      </w:r>
      <w:r>
        <w:t>tra</w:t>
      </w:r>
      <w:r w:rsidRPr="00CF3ADE">
        <w:t xml:space="preserve"> la seguridad pueden estar detenid</w:t>
      </w:r>
      <w:r>
        <w:t>o</w:t>
      </w:r>
      <w:r w:rsidRPr="00CF3ADE">
        <w:t xml:space="preserve">s y </w:t>
      </w:r>
      <w:r>
        <w:t xml:space="preserve">ser </w:t>
      </w:r>
      <w:r w:rsidRPr="00CF3ADE">
        <w:t xml:space="preserve">sometidos a interrogatorio </w:t>
      </w:r>
      <w:r>
        <w:t xml:space="preserve">durante </w:t>
      </w:r>
      <w:r w:rsidRPr="00CF3ADE">
        <w:t>un plazo de hasta</w:t>
      </w:r>
      <w:r>
        <w:t> </w:t>
      </w:r>
      <w:r w:rsidRPr="00CF3ADE">
        <w:t>96</w:t>
      </w:r>
      <w:r>
        <w:t> </w:t>
      </w:r>
      <w:r w:rsidRPr="00CF3ADE">
        <w:t>horas</w:t>
      </w:r>
      <w:r>
        <w:rPr>
          <w:rStyle w:val="FootnoteReference"/>
        </w:rPr>
        <w:footnoteReference w:id="11"/>
      </w:r>
      <w:r w:rsidRPr="00CF3ADE">
        <w:t xml:space="preserve"> antes de </w:t>
      </w:r>
      <w:r>
        <w:t xml:space="preserve">ser puestos a </w:t>
      </w:r>
      <w:r w:rsidRPr="00CF3ADE">
        <w:t>disposición de un juez</w:t>
      </w:r>
      <w:r>
        <w:t>; asimismo se les puede denegar el acceso a un abogado por un plazo de hasta 21 días</w:t>
      </w:r>
      <w:r>
        <w:rPr>
          <w:rStyle w:val="FootnoteReference"/>
        </w:rPr>
        <w:footnoteReference w:id="12"/>
      </w:r>
      <w:r w:rsidRPr="00CF3ADE">
        <w:t xml:space="preserve">. </w:t>
      </w:r>
      <w:r>
        <w:t xml:space="preserve"> L</w:t>
      </w:r>
      <w:r w:rsidRPr="00CF3ADE">
        <w:t xml:space="preserve">a </w:t>
      </w:r>
      <w:r>
        <w:t>le</w:t>
      </w:r>
      <w:r w:rsidRPr="00CF3ADE">
        <w:t xml:space="preserve">y </w:t>
      </w:r>
      <w:r>
        <w:t xml:space="preserve">dispone </w:t>
      </w:r>
      <w:r w:rsidRPr="00CF3ADE">
        <w:t xml:space="preserve">también que la </w:t>
      </w:r>
      <w:r>
        <w:t xml:space="preserve">posterior </w:t>
      </w:r>
      <w:r w:rsidRPr="00CF3ADE">
        <w:t>audiencia judicial sobre la detención provisional se celebr</w:t>
      </w:r>
      <w:r>
        <w:t>e</w:t>
      </w:r>
      <w:r w:rsidRPr="00CF3ADE">
        <w:t xml:space="preserve"> en ausencia del detenido </w:t>
      </w:r>
      <w:r>
        <w:t>d</w:t>
      </w:r>
      <w:r w:rsidRPr="00CF3ADE">
        <w:t>en</w:t>
      </w:r>
      <w:r>
        <w:t>tro de</w:t>
      </w:r>
      <w:r w:rsidRPr="00CF3ADE">
        <w:t xml:space="preserve"> un plazo de hasta 20 días. </w:t>
      </w:r>
      <w:r>
        <w:t xml:space="preserve"> </w:t>
      </w:r>
      <w:r w:rsidRPr="00CF3ADE">
        <w:t>Sírvanse justificar la compatibilidad de esa ley con el artículo</w:t>
      </w:r>
      <w:r>
        <w:t> </w:t>
      </w:r>
      <w:r w:rsidRPr="00CF3ADE">
        <w:t xml:space="preserve">2 de la Convención. </w:t>
      </w:r>
      <w:r>
        <w:t xml:space="preserve"> </w:t>
      </w:r>
      <w:r w:rsidRPr="00CF3ADE">
        <w:t xml:space="preserve">Sírvanse </w:t>
      </w:r>
      <w:r>
        <w:t xml:space="preserve">también explicar </w:t>
      </w:r>
      <w:r w:rsidRPr="00CF3ADE">
        <w:t>si esa ley, que se aprobó para un período inicial de 18 meses, se ha prorrogado hasta fines de 2010 con la intención de incorporar sus disposiciones en una ley contra el terrorismo.</w:t>
      </w:r>
    </w:p>
    <w:p w:rsidR="007A6D9E" w:rsidRPr="00CF3ADE" w:rsidRDefault="007A6D9E" w:rsidP="007A6D9E">
      <w:pPr>
        <w:spacing w:after="240"/>
        <w:ind w:left="567" w:hanging="567"/>
      </w:pPr>
      <w:r>
        <w:t>7.</w:t>
      </w:r>
      <w:r>
        <w:tab/>
      </w:r>
      <w:r w:rsidRPr="00CF3ADE">
        <w:t xml:space="preserve">Según la información </w:t>
      </w:r>
      <w:r>
        <w:t xml:space="preserve">de que dispone </w:t>
      </w:r>
      <w:r w:rsidRPr="00CF3ADE">
        <w:t xml:space="preserve">el Comité, la Agencia de Seguridad de Israel (ASI) </w:t>
      </w:r>
      <w:r>
        <w:t xml:space="preserve">viene </w:t>
      </w:r>
      <w:r w:rsidRPr="00CF3ADE">
        <w:t>utilizando una</w:t>
      </w:r>
      <w:r>
        <w:t>s</w:t>
      </w:r>
      <w:r w:rsidRPr="00CF3ADE">
        <w:t xml:space="preserve"> instalaci</w:t>
      </w:r>
      <w:r>
        <w:t>ones</w:t>
      </w:r>
      <w:r w:rsidRPr="00CF3ADE">
        <w:t xml:space="preserve"> secreta</w:t>
      </w:r>
      <w:r>
        <w:t>s</w:t>
      </w:r>
      <w:r w:rsidRPr="00CF3ADE">
        <w:t xml:space="preserve"> de detención e interrogatorio</w:t>
      </w:r>
      <w:r>
        <w:t>,</w:t>
      </w:r>
      <w:r w:rsidRPr="00CF3ADE">
        <w:t xml:space="preserve"> conocida como </w:t>
      </w:r>
      <w:r>
        <w:t>"</w:t>
      </w:r>
      <w:r w:rsidRPr="00CF3ADE">
        <w:t>Instalación 1391</w:t>
      </w:r>
      <w:r>
        <w:t>",</w:t>
      </w:r>
      <w:r w:rsidRPr="00CF3ADE">
        <w:t xml:space="preserve"> en un lugar no determinado de Israel </w:t>
      </w:r>
      <w:r>
        <w:t xml:space="preserve">e </w:t>
      </w:r>
      <w:r w:rsidRPr="00CF3ADE">
        <w:t>inaccesible para el Comité Internacional de la Cruz Roja y para los abogados y familiares de los detenidos.</w:t>
      </w:r>
      <w:r>
        <w:t xml:space="preserve"> </w:t>
      </w:r>
      <w:r w:rsidRPr="00CF3ADE">
        <w:t xml:space="preserve"> En</w:t>
      </w:r>
      <w:r>
        <w:t> </w:t>
      </w:r>
      <w:r w:rsidRPr="00CF3ADE">
        <w:t xml:space="preserve">respuesta a una </w:t>
      </w:r>
      <w:r>
        <w:t>petición d</w:t>
      </w:r>
      <w:r w:rsidRPr="00CF3ADE">
        <w:t xml:space="preserve">el Centro para la Defensa de la Persona </w:t>
      </w:r>
      <w:r>
        <w:t>(</w:t>
      </w:r>
      <w:r w:rsidRPr="00CF3ADE">
        <w:t>Hamoked</w:t>
      </w:r>
      <w:r>
        <w:t>)</w:t>
      </w:r>
      <w:r w:rsidRPr="00CF3ADE">
        <w:t xml:space="preserve"> para que </w:t>
      </w:r>
      <w:r>
        <w:t xml:space="preserve">se </w:t>
      </w:r>
      <w:r w:rsidRPr="00CF3ADE">
        <w:t xml:space="preserve">examinara la legalidad de </w:t>
      </w:r>
      <w:r>
        <w:t>es</w:t>
      </w:r>
      <w:r w:rsidRPr="00CF3ADE">
        <w:t>a</w:t>
      </w:r>
      <w:r>
        <w:t>s</w:t>
      </w:r>
      <w:r w:rsidRPr="00CF3ADE">
        <w:t xml:space="preserve"> instalaci</w:t>
      </w:r>
      <w:r>
        <w:t>ones</w:t>
      </w:r>
      <w:r w:rsidRPr="00CF3ADE">
        <w:t xml:space="preserve">, el Tribunal Supremo adoptó medidas provisionales para impedir que se mantuviera a detenidos en </w:t>
      </w:r>
      <w:r>
        <w:t>e</w:t>
      </w:r>
      <w:r w:rsidRPr="00CF3ADE">
        <w:t>l</w:t>
      </w:r>
      <w:r>
        <w:t>l</w:t>
      </w:r>
      <w:r w:rsidRPr="00CF3ADE">
        <w:t>a</w:t>
      </w:r>
      <w:r>
        <w:t>s</w:t>
      </w:r>
      <w:r w:rsidRPr="00CF3ADE">
        <w:t xml:space="preserve"> </w:t>
      </w:r>
      <w:r>
        <w:t xml:space="preserve">y </w:t>
      </w:r>
      <w:r w:rsidRPr="00CF3ADE">
        <w:t>exigió al Estado que l</w:t>
      </w:r>
      <w:r>
        <w:t>o</w:t>
      </w:r>
      <w:r w:rsidRPr="00CF3ADE">
        <w:t xml:space="preserve"> informara sobre cualquier persona que estuviera </w:t>
      </w:r>
      <w:r>
        <w:t xml:space="preserve">allí </w:t>
      </w:r>
      <w:r w:rsidRPr="00CF3ADE">
        <w:t>detenida.</w:t>
      </w:r>
      <w:r>
        <w:t xml:space="preserve"> </w:t>
      </w:r>
      <w:r w:rsidRPr="00CF3ADE">
        <w:t xml:space="preserve"> El fiscal militar informó posteriormente al </w:t>
      </w:r>
      <w:r>
        <w:t>Centro</w:t>
      </w:r>
      <w:r w:rsidRPr="00CF3ADE">
        <w:t xml:space="preserve"> Hamoked de que no se había realizado ninguna investigación y en 2005 el Tribunal determinó que las autoridades habían actuado de manera razonable al no </w:t>
      </w:r>
      <w:r>
        <w:t>efectuar</w:t>
      </w:r>
      <w:r w:rsidRPr="00CF3ADE">
        <w:t xml:space="preserve"> las investigaciones. </w:t>
      </w:r>
      <w:r>
        <w:t xml:space="preserve"> </w:t>
      </w:r>
      <w:r w:rsidRPr="00CF3ADE">
        <w:t xml:space="preserve">Sírvanse </w:t>
      </w:r>
      <w:r>
        <w:t>aclarar</w:t>
      </w:r>
      <w:r w:rsidRPr="00CF3ADE">
        <w:t xml:space="preserve"> de qué manera puede justificarse una decisión de no investigar y cómo esta </w:t>
      </w:r>
      <w:r>
        <w:t xml:space="preserve">medida </w:t>
      </w:r>
      <w:r w:rsidRPr="00CF3ADE">
        <w:t xml:space="preserve">se ajusta al artículo 12 de la Convención. </w:t>
      </w:r>
      <w:r>
        <w:t xml:space="preserve"> </w:t>
      </w:r>
      <w:r w:rsidRPr="00CF3ADE">
        <w:t>El</w:t>
      </w:r>
      <w:r>
        <w:t> </w:t>
      </w:r>
      <w:r w:rsidRPr="00CF3ADE">
        <w:t>Comité ha recibido denuncias sobre tortura</w:t>
      </w:r>
      <w:r>
        <w:t>s</w:t>
      </w:r>
      <w:r w:rsidRPr="00CF3ADE">
        <w:t>, malos tratos y condiciones de detención deficientes en esa</w:t>
      </w:r>
      <w:r>
        <w:t>s</w:t>
      </w:r>
      <w:r w:rsidRPr="00CF3ADE">
        <w:t xml:space="preserve"> instalaci</w:t>
      </w:r>
      <w:r>
        <w:t xml:space="preserve">ones. </w:t>
      </w:r>
      <w:r w:rsidRPr="00CF3ADE">
        <w:t xml:space="preserve"> ¿Qué medidas se han adoptado para asegurar el acceso adecuado del Comité Internacional de la Cruz Roja a todos los detenidos </w:t>
      </w:r>
      <w:r>
        <w:t>en</w:t>
      </w:r>
      <w:r w:rsidRPr="00CF3ADE">
        <w:t xml:space="preserve"> esa</w:t>
      </w:r>
      <w:r>
        <w:t>s</w:t>
      </w:r>
      <w:r w:rsidRPr="00CF3ADE">
        <w:t xml:space="preserve"> instalaci</w:t>
      </w:r>
      <w:r>
        <w:t>ones</w:t>
      </w:r>
      <w:r w:rsidRPr="00CF3ADE">
        <w:t>?</w:t>
      </w:r>
    </w:p>
    <w:p w:rsidR="007A6D9E" w:rsidRPr="00CF3ADE" w:rsidRDefault="007A6D9E" w:rsidP="007A6D9E">
      <w:pPr>
        <w:spacing w:after="240"/>
        <w:ind w:left="567" w:hanging="567"/>
      </w:pPr>
      <w:r>
        <w:t>8.</w:t>
      </w:r>
      <w:r>
        <w:tab/>
        <w:t>En el informe del Estado parte</w:t>
      </w:r>
      <w:r>
        <w:rPr>
          <w:rStyle w:val="FootnoteReference"/>
        </w:rPr>
        <w:footnoteReference w:id="13"/>
      </w:r>
      <w:r w:rsidRPr="00CF3ADE">
        <w:t xml:space="preserve"> se menciona el fallo del </w:t>
      </w:r>
      <w:r w:rsidRPr="002865D6">
        <w:rPr>
          <w:i/>
        </w:rPr>
        <w:t>High Court</w:t>
      </w:r>
      <w:r w:rsidRPr="00CF3ADE">
        <w:t xml:space="preserve"> en la causa </w:t>
      </w:r>
      <w:r w:rsidRPr="00A02220">
        <w:rPr>
          <w:i/>
        </w:rPr>
        <w:t>Centro para la Defensa de la Persona c.</w:t>
      </w:r>
      <w:r>
        <w:rPr>
          <w:i/>
        </w:rPr>
        <w:t xml:space="preserve"> </w:t>
      </w:r>
      <w:r w:rsidRPr="00A02220">
        <w:rPr>
          <w:i/>
        </w:rPr>
        <w:t>el Fiscal General</w:t>
      </w:r>
      <w:r w:rsidRPr="00CF3ADE">
        <w:rPr>
          <w:b/>
          <w:vertAlign w:val="superscript"/>
        </w:rPr>
        <w:footnoteReference w:id="14"/>
      </w:r>
      <w:r>
        <w:t xml:space="preserve"> (14 de junio de 2005)</w:t>
      </w:r>
      <w:r w:rsidRPr="00CF3ADE">
        <w:t xml:space="preserve">, en el que el Tribunal rechazó dos </w:t>
      </w:r>
      <w:r>
        <w:t xml:space="preserve">peticiones de que se procediera a una </w:t>
      </w:r>
      <w:r w:rsidRPr="00CF3ADE">
        <w:t xml:space="preserve">investigación adicional sobre presuntas torturas en la </w:t>
      </w:r>
      <w:r>
        <w:t>I</w:t>
      </w:r>
      <w:r w:rsidRPr="00CF3ADE">
        <w:t xml:space="preserve">nstalación 1391. </w:t>
      </w:r>
      <w:r>
        <w:t xml:space="preserve"> </w:t>
      </w:r>
      <w:r w:rsidRPr="00CF3ADE">
        <w:t xml:space="preserve">Sírvanse indicar qué otros casos, </w:t>
      </w:r>
      <w:r>
        <w:t>si los hay</w:t>
      </w:r>
      <w:r w:rsidRPr="00CF3ADE">
        <w:t>, se han llevado ante la justicia por actos de tortura y malos tratos en esa</w:t>
      </w:r>
      <w:r>
        <w:t>s</w:t>
      </w:r>
      <w:r w:rsidRPr="00CF3ADE">
        <w:t xml:space="preserve"> instalaci</w:t>
      </w:r>
      <w:r>
        <w:t>ones</w:t>
      </w:r>
      <w:r w:rsidRPr="00CF3ADE">
        <w:t xml:space="preserve"> y los resultados de </w:t>
      </w:r>
      <w:r>
        <w:t>l</w:t>
      </w:r>
      <w:r w:rsidRPr="00CF3ADE">
        <w:t xml:space="preserve">as investigaciones </w:t>
      </w:r>
      <w:r>
        <w:t>y actuaciones realizadas al respecto</w:t>
      </w:r>
      <w:r w:rsidRPr="00CF3ADE">
        <w:t>.</w:t>
      </w:r>
    </w:p>
    <w:p w:rsidR="007A6D9E" w:rsidRDefault="007A6D9E" w:rsidP="007A6D9E">
      <w:pPr>
        <w:spacing w:after="240"/>
        <w:ind w:left="567" w:hanging="567"/>
        <w:rPr>
          <w:snapToGrid w:val="0"/>
        </w:rPr>
      </w:pPr>
      <w:r>
        <w:t>9.</w:t>
      </w:r>
      <w:r>
        <w:tab/>
      </w:r>
      <w:r w:rsidRPr="00CF3ADE">
        <w:t xml:space="preserve">Sírvanse </w:t>
      </w:r>
      <w:r>
        <w:t xml:space="preserve">dar </w:t>
      </w:r>
      <w:r w:rsidRPr="00CF3ADE">
        <w:t xml:space="preserve">información sobre </w:t>
      </w:r>
      <w:r>
        <w:t xml:space="preserve">las </w:t>
      </w:r>
      <w:r w:rsidRPr="00CF3ADE">
        <w:t xml:space="preserve">denuncias recibidas por el Comité en el sentido de que </w:t>
      </w:r>
      <w:r>
        <w:t xml:space="preserve">algunos </w:t>
      </w:r>
      <w:r w:rsidRPr="00CF3ADE">
        <w:t>oficiales de seguridad israelíes somet</w:t>
      </w:r>
      <w:r>
        <w:t>e</w:t>
      </w:r>
      <w:r w:rsidRPr="00CF3ADE">
        <w:t xml:space="preserve">n a los detenidos palestinos a actos que </w:t>
      </w:r>
      <w:r>
        <w:t xml:space="preserve">violan </w:t>
      </w:r>
      <w:r w:rsidRPr="00CF3ADE">
        <w:t xml:space="preserve">la Convención antes, durante y después de los interrogatorios, como palizas, constreñimiento en la posición </w:t>
      </w:r>
      <w:r>
        <w:t>"</w:t>
      </w:r>
      <w:r w:rsidRPr="00EE6A31">
        <w:rPr>
          <w:i/>
        </w:rPr>
        <w:t>shabah</w:t>
      </w:r>
      <w:r>
        <w:t>"</w:t>
      </w:r>
      <w:r w:rsidRPr="00CF3ADE">
        <w:t>, negativa de la satisfacción de necesidades básicas, privación del sueño, ajuste excesivo de las esposas</w:t>
      </w:r>
      <w:r>
        <w:t xml:space="preserve">, sacudidas </w:t>
      </w:r>
      <w:r w:rsidRPr="00CF3ADE">
        <w:t>violent</w:t>
      </w:r>
      <w:r>
        <w:t>a</w:t>
      </w:r>
      <w:r w:rsidRPr="00CF3ADE">
        <w:t xml:space="preserve">s, torcimiento violento de la cabeza, mantenimiento en cuclillas (posición </w:t>
      </w:r>
      <w:r>
        <w:t>"</w:t>
      </w:r>
      <w:r w:rsidRPr="00CF3ADE">
        <w:t>rana</w:t>
      </w:r>
      <w:r>
        <w:t>"</w:t>
      </w:r>
      <w:r w:rsidRPr="00CF3ADE">
        <w:t xml:space="preserve">) y </w:t>
      </w:r>
      <w:r>
        <w:t xml:space="preserve">arqueamiento </w:t>
      </w:r>
      <w:r w:rsidRPr="00CF3ADE">
        <w:t>doloros</w:t>
      </w:r>
      <w:r>
        <w:t>o</w:t>
      </w:r>
      <w:r w:rsidRPr="00CF3ADE">
        <w:t xml:space="preserve"> de la espalda en la posición </w:t>
      </w:r>
      <w:r>
        <w:t>"</w:t>
      </w:r>
      <w:r w:rsidRPr="00CF3ADE">
        <w:t>banana</w:t>
      </w:r>
      <w:r>
        <w:t>"</w:t>
      </w:r>
      <w:r w:rsidRPr="00CF3ADE">
        <w:t xml:space="preserve">. </w:t>
      </w:r>
      <w:r>
        <w:t xml:space="preserve"> </w:t>
      </w:r>
      <w:r w:rsidRPr="00CF3ADE">
        <w:t xml:space="preserve">¿Han sido investigadas esas denuncias de torturas y malos tratos? </w:t>
      </w:r>
      <w:r>
        <w:t xml:space="preserve"> </w:t>
      </w:r>
      <w:r w:rsidRPr="00CF3ADE">
        <w:t>¿</w:t>
      </w:r>
      <w:r>
        <w:t>H</w:t>
      </w:r>
      <w:r w:rsidRPr="00CF3ADE">
        <w:t>an sido procesados</w:t>
      </w:r>
      <w:r>
        <w:t xml:space="preserve"> l</w:t>
      </w:r>
      <w:r w:rsidRPr="00CF3ADE">
        <w:t xml:space="preserve">os perpetradores ? </w:t>
      </w:r>
      <w:r>
        <w:t xml:space="preserve"> </w:t>
      </w:r>
      <w:r w:rsidRPr="00CF3ADE">
        <w:t xml:space="preserve">¿Cuántos han sido condenados y cuáles han sido las </w:t>
      </w:r>
      <w:r>
        <w:t>p</w:t>
      </w:r>
      <w:r w:rsidRPr="00CF3ADE">
        <w:t>enas impuestas?</w:t>
      </w:r>
      <w:r>
        <w:t xml:space="preserve">  </w:t>
      </w:r>
      <w:r>
        <w:rPr>
          <w:snapToGrid w:val="0"/>
        </w:rPr>
        <w:t>Sírvanse indicar en particular sus comentarios sobre las denuncias de malos tratos de los denominados "sospechosos conocedores de información sobre atentados inminentes", es decir, personas sospechosas de terrorismo o que están en posesión de información sobre ataques terroristas potenciales</w:t>
      </w:r>
      <w:r>
        <w:rPr>
          <w:rStyle w:val="FootnoteReference"/>
          <w:snapToGrid w:val="0"/>
        </w:rPr>
        <w:footnoteReference w:id="15"/>
      </w:r>
      <w:r>
        <w:rPr>
          <w:snapToGrid w:val="0"/>
        </w:rPr>
        <w:t>.</w:t>
      </w:r>
    </w:p>
    <w:p w:rsidR="007A6D9E" w:rsidRDefault="007A6D9E" w:rsidP="007A6D9E">
      <w:pPr>
        <w:adjustRightInd w:val="0"/>
        <w:snapToGrid w:val="0"/>
        <w:spacing w:after="240"/>
        <w:ind w:left="567" w:hanging="567"/>
        <w:rPr>
          <w:snapToGrid w:val="0"/>
        </w:rPr>
      </w:pPr>
      <w:r>
        <w:rPr>
          <w:snapToGrid w:val="0"/>
        </w:rPr>
        <w:t>10.</w:t>
      </w:r>
      <w:r>
        <w:rPr>
          <w:snapToGrid w:val="0"/>
        </w:rPr>
        <w:tab/>
        <w:t>Según informaciones en poder del Comité, tanto las fuerzas de seguridad de Hamás en Gaza como las autoridades del Fatah en la Ribera Occidental han llevado a cabo detenciones arbitrarias y privaciones ilegales de libertad de oponentes políticos, denegándoles el acceso a la asistencia letrada y sometiéndoles a actos de tortura y malos tratos, especialmente agravados a partir de junio de 2007.  Según dichas informaciones, las víctimas de tales actos se han visto en particular privadas de las garantías procesales básicas, así como del derecho a una investigación pronta y efectiva.  Sírvanse indicar si el Estado parte ejerce un control efectivo en esta zona, que le permita cumplir las obligaciones resultantes de la Convención, así como las medidas que el Estado parte haya podido eventualmente tomar en lo que concierne a la investigación de dichos actos y al encausamiento de sus autores.</w:t>
      </w:r>
    </w:p>
    <w:p w:rsidR="007A6D9E" w:rsidRDefault="007A6D9E" w:rsidP="007A6D9E">
      <w:pPr>
        <w:adjustRightInd w:val="0"/>
        <w:snapToGrid w:val="0"/>
        <w:spacing w:after="240"/>
        <w:ind w:left="567" w:hanging="567"/>
      </w:pPr>
      <w:r>
        <w:t>11.</w:t>
      </w:r>
      <w:r>
        <w:tab/>
      </w:r>
      <w:r w:rsidRPr="00CF3ADE">
        <w:t xml:space="preserve">Sírvanse proporcionar información sobre las </w:t>
      </w:r>
      <w:r>
        <w:t xml:space="preserve">disposiciones </w:t>
      </w:r>
      <w:r w:rsidRPr="00CF3ADE">
        <w:t xml:space="preserve">legislativas, administrativas y </w:t>
      </w:r>
      <w:r>
        <w:t xml:space="preserve">de </w:t>
      </w:r>
      <w:r w:rsidRPr="00CF3ADE">
        <w:t xml:space="preserve">otra </w:t>
      </w:r>
      <w:r>
        <w:t>naturaleza adoptadas por el Estado parte</w:t>
      </w:r>
      <w:r w:rsidRPr="00CF3ADE">
        <w:t xml:space="preserve"> para responder a las amenazas de terrorismo y</w:t>
      </w:r>
      <w:r>
        <w:t>,</w:t>
      </w:r>
      <w:r w:rsidRPr="00CF3ADE">
        <w:t xml:space="preserve"> en </w:t>
      </w:r>
      <w:r>
        <w:t xml:space="preserve">su </w:t>
      </w:r>
      <w:r w:rsidRPr="00CF3ADE">
        <w:t xml:space="preserve">caso, </w:t>
      </w:r>
      <w:r>
        <w:t xml:space="preserve">sírvanse explicar </w:t>
      </w:r>
      <w:r w:rsidRPr="00CF3ADE">
        <w:t xml:space="preserve">de qué modo esas medidas han </w:t>
      </w:r>
      <w:r>
        <w:t xml:space="preserve">afectado </w:t>
      </w:r>
      <w:r w:rsidRPr="00CF3ADE">
        <w:t>las salvaguardias de los derechos humanos en el derecho y en la práctica.</w:t>
      </w:r>
    </w:p>
    <w:p w:rsidR="007A6D9E" w:rsidRDefault="007A6D9E" w:rsidP="007A6D9E">
      <w:pPr>
        <w:spacing w:after="240"/>
        <w:ind w:left="567" w:hanging="567"/>
        <w:rPr>
          <w:snapToGrid w:val="0"/>
        </w:rPr>
      </w:pPr>
      <w:r>
        <w:rPr>
          <w:snapToGrid w:val="0"/>
        </w:rPr>
        <w:t>12.</w:t>
      </w:r>
      <w:r>
        <w:rPr>
          <w:snapToGrid w:val="0"/>
        </w:rPr>
        <w:tab/>
        <w:t xml:space="preserve">Según información </w:t>
      </w:r>
      <w:r w:rsidRPr="00176731">
        <w:t>recibida</w:t>
      </w:r>
      <w:r>
        <w:rPr>
          <w:snapToGrid w:val="0"/>
        </w:rPr>
        <w:t xml:space="preserve"> de organizaciones no gubernamentales (ONG) y recogida en el informe del Relator Especial sobre la violencia contra la mujer con inclusión de sus causas y consecuencias</w:t>
      </w:r>
      <w:r>
        <w:rPr>
          <w:rStyle w:val="FootnoteReference"/>
          <w:snapToGrid w:val="0"/>
        </w:rPr>
        <w:footnoteReference w:id="16"/>
      </w:r>
      <w:r>
        <w:rPr>
          <w:snapToGrid w:val="0"/>
        </w:rPr>
        <w:t>, se ha observado desde el año 2000 un aumento del número de mujeres palestinas detenidas y privadas de libertad en prisiones militares israelíes; de las 91 mujeres presuntamente detenidas en 2004, 86 lo fueron por razones de seguridad; en</w:t>
      </w:r>
      <w:r w:rsidR="003B1402">
        <w:rPr>
          <w:snapToGrid w:val="0"/>
        </w:rPr>
        <w:t> 4</w:t>
      </w:r>
      <w:r>
        <w:rPr>
          <w:snapToGrid w:val="0"/>
        </w:rPr>
        <w:t xml:space="preserve"> casos se trató de detención administrativa.  Por otro lado, el Relator Especial ha señalado que "se puede producir la detención de familias enteras cuando las Fuerzas de Defensa Israelíes no encuentran a un sospechoso de terrorismo, que pueden verse privadas de libertad por tiempo indefinido, con objeto de presionar al familiar en busca y captura o sometido a interrogatorio</w:t>
      </w:r>
      <w:r w:rsidR="003B1402">
        <w:rPr>
          <w:snapToGrid w:val="0"/>
        </w:rPr>
        <w:t>"</w:t>
      </w:r>
      <w:r>
        <w:rPr>
          <w:rStyle w:val="FootnoteReference"/>
          <w:snapToGrid w:val="0"/>
        </w:rPr>
        <w:footnoteReference w:id="17"/>
      </w:r>
      <w:r>
        <w:rPr>
          <w:snapToGrid w:val="0"/>
        </w:rPr>
        <w:t>.  Según el Relator Especial, la mayoría de los detenidos lo han sido por presuntos delitos contra la seguridad, por ejemplo, por tratar de dar muerte a colonos o personal militar.  Dado que algunas mujeres han recibido formación como terroristas suicidas, son ahora sospechosas de primer orden en los puntos de control, donde pueden ser sometidas a cacheos personales y a detención administrativa</w:t>
      </w:r>
      <w:r>
        <w:rPr>
          <w:rStyle w:val="FootnoteReference"/>
          <w:snapToGrid w:val="0"/>
        </w:rPr>
        <w:footnoteReference w:id="18"/>
      </w:r>
      <w:r>
        <w:rPr>
          <w:snapToGrid w:val="0"/>
        </w:rPr>
        <w:t>.  Sírvanse proporcionar información actualizada sobre el número y la situación de las mujeres palestinas detenidas y de sus hijos.  Indíquense en particular qué medidas se han adoptado para proteger su integridad física y para garantizar las condiciones adecuadas de detención, acceso a asistencia letrada independiente y visitas de familiares.  ¿Quién efectúa los cacheos personales, con qué resultados y qué protección tienen estas mujeres contra los cacheos degradantes?  Sírvanse indicar ejemplos concretos y datos estadísticos sobre el número de tales casos, los nombres y las eventuales denuncias.</w:t>
      </w:r>
    </w:p>
    <w:p w:rsidR="007A6D9E" w:rsidRPr="00C87DE5" w:rsidRDefault="007A6D9E" w:rsidP="007A6D9E">
      <w:pPr>
        <w:spacing w:after="240"/>
        <w:rPr>
          <w:b/>
        </w:rPr>
      </w:pPr>
      <w:r w:rsidRPr="00C87DE5">
        <w:rPr>
          <w:b/>
        </w:rPr>
        <w:t>Artículo 3</w:t>
      </w:r>
    </w:p>
    <w:p w:rsidR="007A6D9E" w:rsidRPr="00CF3ADE" w:rsidRDefault="007A6D9E" w:rsidP="007A6D9E">
      <w:pPr>
        <w:spacing w:after="240"/>
        <w:ind w:left="567" w:hanging="567"/>
      </w:pPr>
      <w:r>
        <w:t>13.</w:t>
      </w:r>
      <w:r>
        <w:tab/>
        <w:t>En el informe del Estado parte</w:t>
      </w:r>
      <w:r w:rsidRPr="00CF3ADE">
        <w:t xml:space="preserve"> se señala que la Ley de </w:t>
      </w:r>
      <w:r>
        <w:t>e</w:t>
      </w:r>
      <w:r w:rsidRPr="00CF3ADE">
        <w:t>xtradición prohíbe extradi</w:t>
      </w:r>
      <w:r>
        <w:t>tar a</w:t>
      </w:r>
      <w:r w:rsidRPr="00CF3ADE">
        <w:t xml:space="preserve"> </w:t>
      </w:r>
      <w:r>
        <w:t xml:space="preserve">una </w:t>
      </w:r>
      <w:r w:rsidRPr="00CF3ADE">
        <w:t xml:space="preserve">persona si </w:t>
      </w:r>
      <w:r>
        <w:t xml:space="preserve">la concesión de la extradición es </w:t>
      </w:r>
      <w:r w:rsidRPr="00CF3ADE">
        <w:t>contra</w:t>
      </w:r>
      <w:r>
        <w:t>r</w:t>
      </w:r>
      <w:r w:rsidRPr="00CF3ADE">
        <w:t>i</w:t>
      </w:r>
      <w:r>
        <w:t>a</w:t>
      </w:r>
      <w:r w:rsidRPr="00CF3ADE">
        <w:t xml:space="preserve"> al orden público o a algún interés esencial del Estado</w:t>
      </w:r>
      <w:r>
        <w:rPr>
          <w:rStyle w:val="FootnoteReference"/>
        </w:rPr>
        <w:footnoteReference w:id="19"/>
      </w:r>
      <w:r w:rsidRPr="00CF3ADE">
        <w:t>.</w:t>
      </w:r>
      <w:r>
        <w:t xml:space="preserve"> </w:t>
      </w:r>
      <w:r w:rsidRPr="00CF3ADE">
        <w:t xml:space="preserve"> Por otra parte, el Ministro de Justicia deberá proceder con prudencia en el ejercicio de su facultad </w:t>
      </w:r>
      <w:r>
        <w:t xml:space="preserve">de </w:t>
      </w:r>
      <w:r w:rsidRPr="00CF3ADE">
        <w:t>decisi</w:t>
      </w:r>
      <w:r>
        <w:t>ón</w:t>
      </w:r>
      <w:r w:rsidRPr="00CF3ADE">
        <w:t xml:space="preserve"> en materia de extrad</w:t>
      </w:r>
      <w:r>
        <w:t>ición.  ¿De qué modo el Estado parte</w:t>
      </w:r>
      <w:r w:rsidRPr="00CF3ADE">
        <w:t xml:space="preserve"> </w:t>
      </w:r>
      <w:r>
        <w:t>vela por la aplicación del</w:t>
      </w:r>
      <w:r w:rsidRPr="00CF3ADE">
        <w:t xml:space="preserve"> principio de no devolución </w:t>
      </w:r>
      <w:r>
        <w:t xml:space="preserve">enunciado </w:t>
      </w:r>
      <w:r w:rsidRPr="00CF3ADE">
        <w:t>en el artículo</w:t>
      </w:r>
      <w:r>
        <w:t> </w:t>
      </w:r>
      <w:r w:rsidRPr="00CF3ADE">
        <w:t xml:space="preserve">3 de la Convención </w:t>
      </w:r>
      <w:r>
        <w:t>cuando</w:t>
      </w:r>
      <w:r w:rsidRPr="00CF3ADE">
        <w:t xml:space="preserve"> exist</w:t>
      </w:r>
      <w:r>
        <w:t>e</w:t>
      </w:r>
      <w:r w:rsidRPr="00CF3ADE">
        <w:t xml:space="preserve">n razones de peso para creer que una persona estaría en peligro de </w:t>
      </w:r>
      <w:r>
        <w:t xml:space="preserve">ser </w:t>
      </w:r>
      <w:r w:rsidRPr="00CF3ADE">
        <w:t>someti</w:t>
      </w:r>
      <w:r>
        <w:t>da</w:t>
      </w:r>
      <w:r w:rsidRPr="00CF3ADE">
        <w:t xml:space="preserve"> a tortura?</w:t>
      </w:r>
    </w:p>
    <w:p w:rsidR="007A6D9E" w:rsidRPr="00CF3ADE" w:rsidRDefault="007A6D9E" w:rsidP="007A6D9E">
      <w:pPr>
        <w:spacing w:after="240"/>
        <w:ind w:left="567" w:hanging="567"/>
      </w:pPr>
      <w:r>
        <w:t>14.</w:t>
      </w:r>
      <w:r>
        <w:tab/>
      </w:r>
      <w:r w:rsidRPr="00CF3ADE">
        <w:t xml:space="preserve">Sírvanse </w:t>
      </w:r>
      <w:r>
        <w:t xml:space="preserve">hacer </w:t>
      </w:r>
      <w:r w:rsidRPr="00CF3ADE">
        <w:t>comentarios sobre la utilización de las seguridades diplomáticas mencionadas en el pár</w:t>
      </w:r>
      <w:r>
        <w:t>rafo 73 del informe del Estado parte,</w:t>
      </w:r>
      <w:r w:rsidRPr="00CF3ADE">
        <w:t xml:space="preserve"> </w:t>
      </w:r>
      <w:r>
        <w:t xml:space="preserve">sobre si se dieron esas seguridades </w:t>
      </w:r>
      <w:r w:rsidRPr="00CF3ADE">
        <w:t xml:space="preserve">en el caso </w:t>
      </w:r>
      <w:r w:rsidRPr="00ED7341">
        <w:rPr>
          <w:i/>
        </w:rPr>
        <w:t>Genadi Yegudayev c. el Estado de Israel</w:t>
      </w:r>
      <w:r w:rsidRPr="00CF3ADE">
        <w:t xml:space="preserve">, y </w:t>
      </w:r>
      <w:r>
        <w:t xml:space="preserve">sobre las eventuales </w:t>
      </w:r>
      <w:r w:rsidRPr="00CF3ADE">
        <w:t xml:space="preserve">medidas </w:t>
      </w:r>
      <w:r>
        <w:t>adoptadas por el Estado parte</w:t>
      </w:r>
      <w:r w:rsidRPr="00CF3ADE">
        <w:t xml:space="preserve"> para </w:t>
      </w:r>
      <w:r>
        <w:t xml:space="preserve">dar </w:t>
      </w:r>
      <w:r w:rsidRPr="00CF3ADE">
        <w:t>seguimiento</w:t>
      </w:r>
      <w:r>
        <w:t xml:space="preserve"> a este asunto</w:t>
      </w:r>
      <w:r w:rsidRPr="00CF3ADE">
        <w:t>.</w:t>
      </w:r>
      <w:r>
        <w:t xml:space="preserve"> </w:t>
      </w:r>
      <w:r w:rsidRPr="00CF3ADE">
        <w:t xml:space="preserve"> Sírvanse facilitar información </w:t>
      </w:r>
      <w:r>
        <w:t xml:space="preserve">sobre </w:t>
      </w:r>
      <w:r w:rsidRPr="00CF3ADE">
        <w:t>si es</w:t>
      </w:r>
      <w:r>
        <w:t>e</w:t>
      </w:r>
      <w:r w:rsidRPr="00CF3ADE">
        <w:t xml:space="preserve"> </w:t>
      </w:r>
      <w:r>
        <w:t xml:space="preserve">tipo de </w:t>
      </w:r>
      <w:r w:rsidRPr="00CF3ADE">
        <w:t xml:space="preserve">seguridades se han </w:t>
      </w:r>
      <w:r>
        <w:t xml:space="preserve">dado </w:t>
      </w:r>
      <w:r w:rsidRPr="00CF3ADE">
        <w:t xml:space="preserve">en otras ocasiones y </w:t>
      </w:r>
      <w:r>
        <w:t xml:space="preserve">sobre los </w:t>
      </w:r>
      <w:r w:rsidRPr="00CF3ADE">
        <w:t>resultados.</w:t>
      </w:r>
    </w:p>
    <w:p w:rsidR="007A6D9E" w:rsidRPr="00CF3ADE" w:rsidRDefault="007A6D9E" w:rsidP="007A6D9E">
      <w:pPr>
        <w:spacing w:after="240"/>
        <w:ind w:left="567" w:hanging="567"/>
      </w:pPr>
      <w:r>
        <w:t>15.</w:t>
      </w:r>
      <w:r>
        <w:tab/>
      </w:r>
      <w:r w:rsidRPr="00CF3ADE">
        <w:t xml:space="preserve">Sírvanse informar al Comité sobre la naturaleza y el alcance del </w:t>
      </w:r>
      <w:r>
        <w:t>p</w:t>
      </w:r>
      <w:r w:rsidRPr="00CF3ADE">
        <w:t xml:space="preserve">rocedimiento de </w:t>
      </w:r>
      <w:r>
        <w:t>devolución</w:t>
      </w:r>
      <w:r w:rsidRPr="00CF3ADE">
        <w:t xml:space="preserve"> </w:t>
      </w:r>
      <w:r>
        <w:t>i</w:t>
      </w:r>
      <w:r w:rsidRPr="00CF3ADE">
        <w:t>nmediat</w:t>
      </w:r>
      <w:r>
        <w:t>a c</w:t>
      </w:r>
      <w:r w:rsidRPr="00CF3ADE">
        <w:t>oordinad</w:t>
      </w:r>
      <w:r>
        <w:t>a</w:t>
      </w:r>
      <w:r w:rsidRPr="00CF3ADE">
        <w:t xml:space="preserve">, establecido </w:t>
      </w:r>
      <w:r>
        <w:t xml:space="preserve">por </w:t>
      </w:r>
      <w:r w:rsidRPr="00CF3ADE">
        <w:t xml:space="preserve">la </w:t>
      </w:r>
      <w:r>
        <w:t>O</w:t>
      </w:r>
      <w:r w:rsidRPr="00CF3ADE">
        <w:t xml:space="preserve">rden </w:t>
      </w:r>
      <w:r>
        <w:t xml:space="preserve">Nº </w:t>
      </w:r>
      <w:r w:rsidRPr="00CF3ADE">
        <w:t>1/3000</w:t>
      </w:r>
      <w:r>
        <w:t xml:space="preserve"> </w:t>
      </w:r>
      <w:r w:rsidRPr="00CF3ADE">
        <w:t xml:space="preserve">de las </w:t>
      </w:r>
      <w:r>
        <w:t>F</w:t>
      </w:r>
      <w:r w:rsidRPr="00CF3ADE">
        <w:t xml:space="preserve">uerzas de </w:t>
      </w:r>
      <w:r>
        <w:t>D</w:t>
      </w:r>
      <w:r w:rsidRPr="00CF3ADE">
        <w:t xml:space="preserve">efensa </w:t>
      </w:r>
      <w:r>
        <w:t>I</w:t>
      </w:r>
      <w:r w:rsidRPr="00CF3ADE">
        <w:t xml:space="preserve">sraelíes. </w:t>
      </w:r>
      <w:r>
        <w:t xml:space="preserve"> </w:t>
      </w:r>
      <w:r w:rsidRPr="00CF3ADE">
        <w:t xml:space="preserve">Sírvanse explicar, en particular, de qué modo ese procedimiento </w:t>
      </w:r>
      <w:r>
        <w:t xml:space="preserve">permite </w:t>
      </w:r>
      <w:r w:rsidRPr="00CF3ADE">
        <w:t>evalua</w:t>
      </w:r>
      <w:r>
        <w:t>r</w:t>
      </w:r>
      <w:r w:rsidRPr="00CF3ADE">
        <w:t xml:space="preserve"> el riesgo de tortura de las personas que solicitan protección en Israel</w:t>
      </w:r>
      <w:r>
        <w:t>.</w:t>
      </w:r>
    </w:p>
    <w:p w:rsidR="007A6D9E" w:rsidRPr="00CF3ADE" w:rsidRDefault="007A6D9E" w:rsidP="007A6D9E">
      <w:pPr>
        <w:spacing w:after="240"/>
        <w:ind w:left="567" w:hanging="567"/>
      </w:pPr>
      <w:r>
        <w:t>16.</w:t>
      </w:r>
      <w:r>
        <w:tab/>
      </w:r>
      <w:r w:rsidRPr="00CF3ADE">
        <w:t xml:space="preserve">Según la información </w:t>
      </w:r>
      <w:r>
        <w:t xml:space="preserve">de que dispone el </w:t>
      </w:r>
      <w:r w:rsidRPr="00CF3ADE">
        <w:t xml:space="preserve">Comité, el 19 de mayo de 2008 el </w:t>
      </w:r>
      <w:r w:rsidRPr="00EE6A31">
        <w:rPr>
          <w:i/>
        </w:rPr>
        <w:t>Knesset</w:t>
      </w:r>
      <w:r w:rsidRPr="00CF3ADE">
        <w:t xml:space="preserve"> aprobó en primera lectura </w:t>
      </w:r>
      <w:r>
        <w:t xml:space="preserve">el texto revisado de </w:t>
      </w:r>
      <w:r w:rsidRPr="00CF3ADE">
        <w:t xml:space="preserve">la Ley de </w:t>
      </w:r>
      <w:r>
        <w:t>p</w:t>
      </w:r>
      <w:r w:rsidRPr="00CF3ADE">
        <w:t xml:space="preserve">revención de la </w:t>
      </w:r>
      <w:r>
        <w:t>i</w:t>
      </w:r>
      <w:r w:rsidRPr="00CF3ADE">
        <w:t>nfiltración (</w:t>
      </w:r>
      <w:r>
        <w:t>j</w:t>
      </w:r>
      <w:r w:rsidRPr="00CF3ADE">
        <w:t xml:space="preserve">urisdicción y </w:t>
      </w:r>
      <w:r>
        <w:t>d</w:t>
      </w:r>
      <w:r w:rsidRPr="00CF3ADE">
        <w:t>elitos</w:t>
      </w:r>
      <w:r>
        <w:t>) de 1954</w:t>
      </w:r>
      <w:r w:rsidRPr="00CF3ADE">
        <w:t>.</w:t>
      </w:r>
      <w:r>
        <w:t xml:space="preserve"> </w:t>
      </w:r>
      <w:r w:rsidRPr="00CF3ADE">
        <w:t xml:space="preserve"> El artículo 11 </w:t>
      </w:r>
      <w:r>
        <w:t xml:space="preserve">de dicho texto autoriza a </w:t>
      </w:r>
      <w:r w:rsidRPr="00CF3ADE">
        <w:t xml:space="preserve">las Fuerzas de Defensa Israelíes </w:t>
      </w:r>
      <w:r>
        <w:t xml:space="preserve">a </w:t>
      </w:r>
      <w:r w:rsidRPr="00CF3ADE">
        <w:t>orden</w:t>
      </w:r>
      <w:r>
        <w:t>ar</w:t>
      </w:r>
      <w:r w:rsidRPr="00CF3ADE">
        <w:t xml:space="preserve"> </w:t>
      </w:r>
      <w:r>
        <w:t>l</w:t>
      </w:r>
      <w:r w:rsidR="003B1402">
        <w:t>a</w:t>
      </w:r>
      <w:r>
        <w:t xml:space="preserve"> devolución</w:t>
      </w:r>
      <w:r w:rsidRPr="00CF3ADE">
        <w:t xml:space="preserve"> de los </w:t>
      </w:r>
      <w:r>
        <w:t>"</w:t>
      </w:r>
      <w:r w:rsidRPr="00CF3ADE">
        <w:t>infiltrados</w:t>
      </w:r>
      <w:r>
        <w:t>"</w:t>
      </w:r>
      <w:r w:rsidRPr="00CF3ADE">
        <w:t xml:space="preserve"> al Estado o la zona de </w:t>
      </w:r>
      <w:r>
        <w:t xml:space="preserve">su procedencia dentro de </w:t>
      </w:r>
      <w:r w:rsidRPr="00CF3ADE">
        <w:t xml:space="preserve">un plazo de 72 horas, sin excepciones, </w:t>
      </w:r>
      <w:r>
        <w:t xml:space="preserve">tramitaciones </w:t>
      </w:r>
      <w:r w:rsidRPr="00CF3ADE">
        <w:t xml:space="preserve">ni salvaguardias. </w:t>
      </w:r>
      <w:r>
        <w:t xml:space="preserve"> </w:t>
      </w:r>
      <w:r w:rsidRPr="00CF3ADE">
        <w:t xml:space="preserve">Sírvanse informar al Comité sobre la situación de </w:t>
      </w:r>
      <w:r>
        <w:t>ese texto revisado</w:t>
      </w:r>
      <w:r w:rsidRPr="00CF3ADE">
        <w:t xml:space="preserve"> </w:t>
      </w:r>
      <w:r>
        <w:t xml:space="preserve">y sobre las </w:t>
      </w:r>
      <w:r w:rsidRPr="00CF3ADE">
        <w:t xml:space="preserve">medidas </w:t>
      </w:r>
      <w:r>
        <w:t xml:space="preserve">que </w:t>
      </w:r>
      <w:r w:rsidRPr="00CF3ADE">
        <w:t>ha</w:t>
      </w:r>
      <w:r>
        <w:t>ya</w:t>
      </w:r>
      <w:r w:rsidRPr="00CF3ADE">
        <w:t xml:space="preserve"> adoptado el poder legislativo para asegurar</w:t>
      </w:r>
      <w:r>
        <w:t xml:space="preserve"> el cumplimiento por el Estado parte</w:t>
      </w:r>
      <w:r w:rsidRPr="00CF3ADE">
        <w:t xml:space="preserve"> de las obligaciones </w:t>
      </w:r>
      <w:r>
        <w:t xml:space="preserve">impuestas por </w:t>
      </w:r>
      <w:r w:rsidRPr="00CF3ADE">
        <w:t xml:space="preserve">el artículo 3 de la Convención (y </w:t>
      </w:r>
      <w:r>
        <w:t xml:space="preserve">por la </w:t>
      </w:r>
      <w:r w:rsidRPr="00CF3ADE">
        <w:t>Convención sobre el Estatuto de los Refugiados de 1951).</w:t>
      </w:r>
    </w:p>
    <w:p w:rsidR="007A6D9E" w:rsidRPr="00CF3ADE" w:rsidRDefault="007A6D9E" w:rsidP="007A6D9E">
      <w:pPr>
        <w:spacing w:after="240"/>
        <w:ind w:left="567" w:hanging="567"/>
      </w:pPr>
      <w:r>
        <w:t>17.</w:t>
      </w:r>
      <w:r>
        <w:tab/>
      </w:r>
      <w:r w:rsidRPr="00CF3ADE">
        <w:t xml:space="preserve">Según la información </w:t>
      </w:r>
      <w:r>
        <w:t xml:space="preserve">de que dispone el </w:t>
      </w:r>
      <w:r w:rsidRPr="00CF3ADE">
        <w:t>Comité, el 19 de agosto de 2007</w:t>
      </w:r>
      <w:r>
        <w:t>,</w:t>
      </w:r>
      <w:r w:rsidRPr="00CF3ADE">
        <w:t xml:space="preserve"> 48 personas fueron deportadas sumariamente a Egipto, poco después de haber cruzado la frontera israelí, </w:t>
      </w:r>
      <w:r>
        <w:t xml:space="preserve">según se afirma </w:t>
      </w:r>
      <w:r w:rsidRPr="00CF3ADE">
        <w:t xml:space="preserve">sin que se </w:t>
      </w:r>
      <w:r>
        <w:t xml:space="preserve">siguiera </w:t>
      </w:r>
      <w:r w:rsidRPr="00CF3ADE">
        <w:t xml:space="preserve">ningún procedimiento legal ni se permitiera a los refugiados potenciales solicitar asilo en Israel o el examen judicial de la decisión de deportarlos. </w:t>
      </w:r>
      <w:r>
        <w:t xml:space="preserve"> </w:t>
      </w:r>
      <w:r w:rsidRPr="00CF3ADE">
        <w:t>Sírvanse facilitar información sobre ese incidente</w:t>
      </w:r>
      <w:r>
        <w:t>,</w:t>
      </w:r>
      <w:r w:rsidRPr="00CF3ADE">
        <w:t xml:space="preserve"> sobre el procedimiento </w:t>
      </w:r>
      <w:r>
        <w:t>seguido al respecto</w:t>
      </w:r>
      <w:r w:rsidRPr="00CF3ADE">
        <w:t xml:space="preserve">, en caso de haberse </w:t>
      </w:r>
      <w:r>
        <w:t xml:space="preserve">seguido </w:t>
      </w:r>
      <w:r w:rsidRPr="00CF3ADE">
        <w:t xml:space="preserve">alguno, y sobre el tratamiento y el paradero de esos deportados, si se conoce, </w:t>
      </w:r>
      <w:r>
        <w:t xml:space="preserve">con referencia a </w:t>
      </w:r>
      <w:r w:rsidRPr="00CF3ADE">
        <w:t xml:space="preserve">las obligaciones </w:t>
      </w:r>
      <w:r>
        <w:t>impuestas al Estado parte</w:t>
      </w:r>
      <w:r w:rsidRPr="00CF3ADE">
        <w:t xml:space="preserve"> </w:t>
      </w:r>
      <w:r>
        <w:t xml:space="preserve">por el </w:t>
      </w:r>
      <w:r w:rsidRPr="00CF3ADE">
        <w:t>artículo 3 de la Convención.</w:t>
      </w:r>
    </w:p>
    <w:p w:rsidR="007A6D9E" w:rsidRPr="004F015C" w:rsidRDefault="007A6D9E" w:rsidP="007A6D9E">
      <w:pPr>
        <w:spacing w:after="240"/>
        <w:rPr>
          <w:b/>
        </w:rPr>
      </w:pPr>
      <w:r w:rsidRPr="004F015C">
        <w:rPr>
          <w:b/>
        </w:rPr>
        <w:t>Artículo 5</w:t>
      </w:r>
    </w:p>
    <w:p w:rsidR="007A6D9E" w:rsidRPr="00CF3ADE" w:rsidRDefault="007A6D9E" w:rsidP="007A6D9E">
      <w:pPr>
        <w:spacing w:after="240"/>
        <w:ind w:left="567" w:hanging="567"/>
      </w:pPr>
      <w:r>
        <w:t>18.</w:t>
      </w:r>
      <w:r>
        <w:tab/>
      </w:r>
      <w:r w:rsidRPr="00CF3ADE">
        <w:t>Sírvanse explicar en qué medida es compatible con el artículo 5 de la Con</w:t>
      </w:r>
      <w:r>
        <w:t>vención la posición del Estado parte</w:t>
      </w:r>
      <w:r w:rsidRPr="00CF3ADE">
        <w:t>, confirmada por</w:t>
      </w:r>
      <w:r>
        <w:t xml:space="preserve"> el fallo</w:t>
      </w:r>
      <w:r w:rsidRPr="00CF3ADE">
        <w:t xml:space="preserve"> del Tribunal Supremo de Israel de 30 de enero de 2008 relativ</w:t>
      </w:r>
      <w:r>
        <w:t>o</w:t>
      </w:r>
      <w:r w:rsidRPr="00CF3ADE">
        <w:t xml:space="preserve"> al </w:t>
      </w:r>
      <w:r>
        <w:t xml:space="preserve">caso </w:t>
      </w:r>
      <w:r w:rsidRPr="004F015C">
        <w:rPr>
          <w:i/>
        </w:rPr>
        <w:t>Jaber AlBasyouni Ahmed c. el Primer Ministro</w:t>
      </w:r>
      <w:r w:rsidRPr="00CF3ADE">
        <w:t xml:space="preserve">, </w:t>
      </w:r>
      <w:r>
        <w:t xml:space="preserve">en el sentido </w:t>
      </w:r>
      <w:r w:rsidRPr="00CF3ADE">
        <w:t xml:space="preserve">de que Gaza no se encuentra bajo el </w:t>
      </w:r>
      <w:r>
        <w:t>"</w:t>
      </w:r>
      <w:r w:rsidRPr="00CF3ADE">
        <w:t>control efectivo</w:t>
      </w:r>
      <w:r>
        <w:t>"</w:t>
      </w:r>
      <w:r w:rsidRPr="00CF3ADE">
        <w:t xml:space="preserve"> de Israel y que</w:t>
      </w:r>
      <w:r>
        <w:t>,</w:t>
      </w:r>
      <w:r w:rsidRPr="00CF3ADE">
        <w:t xml:space="preserve"> por lo tanto, las obligaciones de Israel se limitan a la prevención de una crisis humanitaria</w:t>
      </w:r>
      <w:r>
        <w:t>.</w:t>
      </w:r>
    </w:p>
    <w:p w:rsidR="007A6D9E" w:rsidRDefault="007A6D9E" w:rsidP="007A6D9E">
      <w:pPr>
        <w:spacing w:after="240"/>
        <w:ind w:left="567" w:hanging="567"/>
      </w:pPr>
      <w:r>
        <w:t>19.</w:t>
      </w:r>
      <w:r>
        <w:tab/>
      </w:r>
      <w:r w:rsidRPr="00CF3ADE">
        <w:t>¿D</w:t>
      </w:r>
      <w:r>
        <w:t>e qué manera utiliza el Estado parte</w:t>
      </w:r>
      <w:r w:rsidRPr="00CF3ADE">
        <w:t xml:space="preserve"> a los contratistas de seguridad privados que operan en los puestos de control situados </w:t>
      </w:r>
      <w:r>
        <w:t xml:space="preserve">a lo largo de </w:t>
      </w:r>
      <w:r w:rsidRPr="00CF3ADE">
        <w:t xml:space="preserve">la barrera de separación entre Israel y los territorios palestinos ocupados? </w:t>
      </w:r>
      <w:r>
        <w:t xml:space="preserve"> </w:t>
      </w:r>
      <w:r w:rsidRPr="00CF3ADE">
        <w:t xml:space="preserve">El Comité ha recibido </w:t>
      </w:r>
      <w:r>
        <w:t xml:space="preserve">informes que contenían </w:t>
      </w:r>
      <w:r w:rsidRPr="00CF3ADE">
        <w:t xml:space="preserve">denuncias </w:t>
      </w:r>
      <w:r>
        <w:t xml:space="preserve">de </w:t>
      </w:r>
      <w:r w:rsidRPr="00CF3ADE">
        <w:t xml:space="preserve">malos tratos infligidos por esos contratistas, </w:t>
      </w:r>
      <w:r>
        <w:t xml:space="preserve">en particular </w:t>
      </w:r>
      <w:r w:rsidRPr="00CF3ADE">
        <w:t xml:space="preserve">registros corporales </w:t>
      </w:r>
      <w:r>
        <w:t xml:space="preserve">de personas a las que se obligó a </w:t>
      </w:r>
      <w:r w:rsidRPr="00CF3ADE">
        <w:t>desnuda</w:t>
      </w:r>
      <w:r>
        <w:t>rse</w:t>
      </w:r>
      <w:r w:rsidRPr="00CF3ADE">
        <w:t xml:space="preserve"> y la utilización de instalaciones subterráneas como lugares provisionales de detención</w:t>
      </w:r>
      <w:r>
        <w:t>.</w:t>
      </w:r>
      <w:r w:rsidRPr="00CF3ADE">
        <w:t xml:space="preserve"> </w:t>
      </w:r>
      <w:r>
        <w:t xml:space="preserve"> </w:t>
      </w:r>
      <w:r w:rsidRPr="00CF3ADE">
        <w:t>¿Qué r</w:t>
      </w:r>
      <w:r>
        <w:t>esponsabilidad asume el Estado parte</w:t>
      </w:r>
      <w:r w:rsidRPr="00CF3ADE">
        <w:t xml:space="preserve"> por los delitos que cometan esos contratistas? </w:t>
      </w:r>
      <w:r>
        <w:t xml:space="preserve"> </w:t>
      </w:r>
      <w:r w:rsidRPr="00CF3ADE">
        <w:t xml:space="preserve">¿Se les </w:t>
      </w:r>
      <w:r>
        <w:t xml:space="preserve">da </w:t>
      </w:r>
      <w:r w:rsidRPr="00CF3ADE">
        <w:t xml:space="preserve">alguna </w:t>
      </w:r>
      <w:r>
        <w:t xml:space="preserve">formación </w:t>
      </w:r>
      <w:r w:rsidRPr="00CF3ADE">
        <w:t>sobre la prohibición de la tortura?</w:t>
      </w:r>
    </w:p>
    <w:p w:rsidR="007A6D9E" w:rsidRPr="00C820BE" w:rsidRDefault="007A6D9E" w:rsidP="007A6D9E">
      <w:pPr>
        <w:spacing w:after="240"/>
        <w:ind w:left="567" w:hanging="567"/>
        <w:rPr>
          <w:snapToGrid w:val="0"/>
        </w:rPr>
      </w:pPr>
      <w:r>
        <w:rPr>
          <w:snapToGrid w:val="0"/>
        </w:rPr>
        <w:t>20.</w:t>
      </w:r>
      <w:r>
        <w:rPr>
          <w:snapToGrid w:val="0"/>
        </w:rPr>
        <w:tab/>
        <w:t xml:space="preserve">Sírvanse indicar las medidas adoptadas por el Estado parte para atender el llamamiento formulado por la Alta </w:t>
      </w:r>
      <w:r w:rsidRPr="002454BD">
        <w:t>Comisionada</w:t>
      </w:r>
      <w:r>
        <w:rPr>
          <w:snapToGrid w:val="0"/>
        </w:rPr>
        <w:t xml:space="preserve"> de las Naciones Unidas para los Derechos Humanos en favor de un fin inmediato del bloqueo israelí de Gaza, que ha mantenido durante meses a un millón y medio de palestinos privados por la fuerza de los derechos humanos más elementales.</w:t>
      </w:r>
    </w:p>
    <w:p w:rsidR="003B1402" w:rsidRPr="006427D6" w:rsidRDefault="003B1402" w:rsidP="003B1402">
      <w:pPr>
        <w:keepNext/>
        <w:spacing w:after="240"/>
        <w:rPr>
          <w:b/>
          <w:bCs/>
          <w:szCs w:val="28"/>
        </w:rPr>
      </w:pPr>
      <w:r w:rsidRPr="006427D6">
        <w:rPr>
          <w:b/>
          <w:bCs/>
          <w:szCs w:val="28"/>
        </w:rPr>
        <w:t>Artículo 11</w:t>
      </w:r>
    </w:p>
    <w:p w:rsidR="003B1402" w:rsidRPr="006427D6" w:rsidRDefault="003B1402" w:rsidP="003B1402">
      <w:pPr>
        <w:spacing w:after="240"/>
        <w:ind w:left="567" w:hanging="567"/>
        <w:rPr>
          <w:szCs w:val="28"/>
        </w:rPr>
      </w:pPr>
      <w:r>
        <w:rPr>
          <w:szCs w:val="28"/>
        </w:rPr>
        <w:t>21</w:t>
      </w:r>
      <w:r w:rsidRPr="006427D6">
        <w:rPr>
          <w:szCs w:val="28"/>
        </w:rPr>
        <w:t>.</w:t>
      </w:r>
      <w:r>
        <w:rPr>
          <w:szCs w:val="28"/>
        </w:rPr>
        <w:tab/>
      </w:r>
      <w:r w:rsidRPr="006427D6">
        <w:rPr>
          <w:szCs w:val="28"/>
        </w:rPr>
        <w:t xml:space="preserve">Según la información </w:t>
      </w:r>
      <w:r>
        <w:rPr>
          <w:szCs w:val="28"/>
        </w:rPr>
        <w:t>de que dispone el</w:t>
      </w:r>
      <w:r w:rsidRPr="006427D6">
        <w:rPr>
          <w:szCs w:val="28"/>
        </w:rPr>
        <w:t xml:space="preserve"> Comité, la </w:t>
      </w:r>
      <w:r w:rsidRPr="001D1CE6">
        <w:rPr>
          <w:szCs w:val="28"/>
        </w:rPr>
        <w:t>Ley de procedimiento penal (</w:t>
      </w:r>
      <w:r>
        <w:rPr>
          <w:szCs w:val="28"/>
        </w:rPr>
        <w:t>i</w:t>
      </w:r>
      <w:r w:rsidRPr="001D1CE6">
        <w:rPr>
          <w:szCs w:val="28"/>
        </w:rPr>
        <w:t xml:space="preserve">nterrogatorio de sospechosos) </w:t>
      </w:r>
      <w:r w:rsidRPr="006427D6">
        <w:rPr>
          <w:szCs w:val="28"/>
        </w:rPr>
        <w:t xml:space="preserve">de 2002 </w:t>
      </w:r>
      <w:r>
        <w:rPr>
          <w:szCs w:val="28"/>
        </w:rPr>
        <w:t>exige</w:t>
      </w:r>
      <w:r w:rsidRPr="006427D6">
        <w:rPr>
          <w:szCs w:val="28"/>
        </w:rPr>
        <w:t xml:space="preserve"> que se graben en vídeo todas las fases del interrogatorio de un sospechoso</w:t>
      </w:r>
      <w:r>
        <w:rPr>
          <w:szCs w:val="28"/>
        </w:rPr>
        <w:t xml:space="preserve">. </w:t>
      </w:r>
      <w:r w:rsidRPr="006427D6">
        <w:rPr>
          <w:szCs w:val="28"/>
        </w:rPr>
        <w:t xml:space="preserve"> No obstante, se dice que ese requisito no se aplica al Servicio Israelí de Seguridad General (SISG) </w:t>
      </w:r>
      <w:r>
        <w:rPr>
          <w:szCs w:val="28"/>
        </w:rPr>
        <w:t>ni a</w:t>
      </w:r>
      <w:r w:rsidRPr="006427D6">
        <w:rPr>
          <w:szCs w:val="28"/>
        </w:rPr>
        <w:t xml:space="preserve"> la Agencia de Seguridad de Israel (ASI)</w:t>
      </w:r>
      <w:r>
        <w:rPr>
          <w:szCs w:val="28"/>
        </w:rPr>
        <w:t xml:space="preserve">. </w:t>
      </w:r>
      <w:r w:rsidRPr="006427D6">
        <w:rPr>
          <w:szCs w:val="28"/>
        </w:rPr>
        <w:t xml:space="preserve"> Además, se informa de que </w:t>
      </w:r>
      <w:r>
        <w:rPr>
          <w:szCs w:val="28"/>
        </w:rPr>
        <w:t>el</w:t>
      </w:r>
      <w:r w:rsidRPr="006427D6">
        <w:rPr>
          <w:szCs w:val="28"/>
        </w:rPr>
        <w:t xml:space="preserve"> </w:t>
      </w:r>
      <w:r w:rsidRPr="001D1CE6">
        <w:rPr>
          <w:i/>
          <w:szCs w:val="28"/>
        </w:rPr>
        <w:t>Knesset</w:t>
      </w:r>
      <w:r w:rsidRPr="006427D6">
        <w:rPr>
          <w:szCs w:val="28"/>
        </w:rPr>
        <w:t xml:space="preserve"> modificó la Ley en 2008, eximiendo a la policía israelí de ese requisito en el interrogatorio de sospechosos de haber cometido delitos contra la seguridad</w:t>
      </w:r>
      <w:r>
        <w:rPr>
          <w:szCs w:val="28"/>
        </w:rPr>
        <w:t xml:space="preserve">. </w:t>
      </w:r>
      <w:r w:rsidRPr="006427D6">
        <w:rPr>
          <w:szCs w:val="28"/>
        </w:rPr>
        <w:t xml:space="preserve"> Sírvanse facilitar información actualizada y detallada sobre la utilización de vídeo, el número de casos y si en algún proceso </w:t>
      </w:r>
      <w:r>
        <w:rPr>
          <w:szCs w:val="28"/>
        </w:rPr>
        <w:t>judicial ha hecho</w:t>
      </w:r>
      <w:r w:rsidRPr="006427D6">
        <w:rPr>
          <w:szCs w:val="28"/>
        </w:rPr>
        <w:t xml:space="preserve"> que se pusiera en libertad al detenido por </w:t>
      </w:r>
      <w:r>
        <w:rPr>
          <w:szCs w:val="28"/>
        </w:rPr>
        <w:t xml:space="preserve">haber sido objeto de </w:t>
      </w:r>
      <w:r w:rsidRPr="006427D6">
        <w:rPr>
          <w:szCs w:val="28"/>
        </w:rPr>
        <w:t xml:space="preserve">un trato </w:t>
      </w:r>
      <w:r>
        <w:rPr>
          <w:szCs w:val="28"/>
        </w:rPr>
        <w:t>inadmisible</w:t>
      </w:r>
      <w:r w:rsidRPr="006427D6">
        <w:rPr>
          <w:szCs w:val="28"/>
        </w:rPr>
        <w:t>.</w:t>
      </w:r>
    </w:p>
    <w:p w:rsidR="003B1402" w:rsidRPr="006427D6" w:rsidRDefault="003B1402" w:rsidP="003B1402">
      <w:pPr>
        <w:spacing w:after="240"/>
        <w:ind w:left="567" w:hanging="567"/>
        <w:rPr>
          <w:szCs w:val="28"/>
        </w:rPr>
      </w:pPr>
      <w:r>
        <w:rPr>
          <w:szCs w:val="28"/>
        </w:rPr>
        <w:t>22</w:t>
      </w:r>
      <w:r w:rsidRPr="006427D6">
        <w:rPr>
          <w:szCs w:val="28"/>
        </w:rPr>
        <w:t>.</w:t>
      </w:r>
      <w:r>
        <w:rPr>
          <w:szCs w:val="28"/>
        </w:rPr>
        <w:tab/>
        <w:t xml:space="preserve">A propósito de </w:t>
      </w:r>
      <w:r w:rsidRPr="006427D6">
        <w:rPr>
          <w:szCs w:val="28"/>
        </w:rPr>
        <w:t>la preocupación expresada por el Comité en sus anteriores observaciones finales</w:t>
      </w:r>
      <w:r>
        <w:rPr>
          <w:rStyle w:val="FootnoteReference"/>
          <w:szCs w:val="28"/>
        </w:rPr>
        <w:footnoteReference w:id="20"/>
      </w:r>
      <w:r w:rsidRPr="006427D6">
        <w:rPr>
          <w:szCs w:val="28"/>
        </w:rPr>
        <w:t xml:space="preserve">, ¿qué medidas ha adoptado el </w:t>
      </w:r>
      <w:r>
        <w:rPr>
          <w:szCs w:val="28"/>
        </w:rPr>
        <w:t>Estado parte</w:t>
      </w:r>
      <w:r w:rsidRPr="006427D6">
        <w:rPr>
          <w:szCs w:val="28"/>
        </w:rPr>
        <w:t xml:space="preserve"> para </w:t>
      </w:r>
      <w:r>
        <w:rPr>
          <w:szCs w:val="28"/>
        </w:rPr>
        <w:t>tratar de resolver el problema de</w:t>
      </w:r>
      <w:r w:rsidRPr="006427D6">
        <w:rPr>
          <w:szCs w:val="28"/>
        </w:rPr>
        <w:t xml:space="preserve"> las diferencias en la definición de niño en Israel y en los territorios palestinos ocupados? </w:t>
      </w:r>
      <w:r>
        <w:rPr>
          <w:szCs w:val="28"/>
        </w:rPr>
        <w:t xml:space="preserve"> </w:t>
      </w:r>
      <w:r w:rsidRPr="006427D6">
        <w:rPr>
          <w:szCs w:val="28"/>
        </w:rPr>
        <w:t xml:space="preserve">Sírvanse comentar la afirmación de que en los territorios ocupados las sentencias se </w:t>
      </w:r>
      <w:r>
        <w:rPr>
          <w:szCs w:val="28"/>
        </w:rPr>
        <w:t>deciden</w:t>
      </w:r>
      <w:r w:rsidRPr="006427D6">
        <w:rPr>
          <w:szCs w:val="28"/>
        </w:rPr>
        <w:t xml:space="preserve"> en función de la edad del niño </w:t>
      </w:r>
      <w:r>
        <w:rPr>
          <w:szCs w:val="28"/>
        </w:rPr>
        <w:t>en el momento del fallo</w:t>
      </w:r>
      <w:r w:rsidRPr="006427D6">
        <w:rPr>
          <w:szCs w:val="28"/>
        </w:rPr>
        <w:t xml:space="preserve"> y no </w:t>
      </w:r>
      <w:r>
        <w:rPr>
          <w:szCs w:val="28"/>
        </w:rPr>
        <w:t>en el momento de la comisión del</w:t>
      </w:r>
      <w:r w:rsidRPr="006427D6">
        <w:rPr>
          <w:szCs w:val="28"/>
        </w:rPr>
        <w:t xml:space="preserve"> delito</w:t>
      </w:r>
      <w:r>
        <w:rPr>
          <w:szCs w:val="28"/>
        </w:rPr>
        <w:t>.</w:t>
      </w:r>
    </w:p>
    <w:p w:rsidR="003B1402" w:rsidRPr="006427D6" w:rsidRDefault="003B1402" w:rsidP="003B1402">
      <w:pPr>
        <w:spacing w:after="240"/>
        <w:ind w:left="567" w:hanging="567"/>
        <w:rPr>
          <w:szCs w:val="28"/>
        </w:rPr>
      </w:pPr>
      <w:r>
        <w:rPr>
          <w:szCs w:val="28"/>
        </w:rPr>
        <w:t>23</w:t>
      </w:r>
      <w:r w:rsidRPr="006427D6">
        <w:rPr>
          <w:szCs w:val="28"/>
        </w:rPr>
        <w:t>.</w:t>
      </w:r>
      <w:r w:rsidRPr="006427D6">
        <w:rPr>
          <w:szCs w:val="28"/>
        </w:rPr>
        <w:tab/>
        <w:t xml:space="preserve">Sírvanse indicar cuál es la jurisdicción competente para ocuparse de los niños acusados </w:t>
      </w:r>
      <w:r>
        <w:rPr>
          <w:szCs w:val="28"/>
        </w:rPr>
        <w:t>en virtud de</w:t>
      </w:r>
      <w:r w:rsidRPr="006427D6">
        <w:rPr>
          <w:szCs w:val="28"/>
        </w:rPr>
        <w:t xml:space="preserve"> </w:t>
      </w:r>
      <w:r>
        <w:rPr>
          <w:szCs w:val="28"/>
        </w:rPr>
        <w:t>ó</w:t>
      </w:r>
      <w:r w:rsidRPr="006427D6">
        <w:rPr>
          <w:szCs w:val="28"/>
        </w:rPr>
        <w:t>rden</w:t>
      </w:r>
      <w:r>
        <w:rPr>
          <w:szCs w:val="28"/>
        </w:rPr>
        <w:t>es</w:t>
      </w:r>
      <w:r w:rsidRPr="006427D6">
        <w:rPr>
          <w:szCs w:val="28"/>
        </w:rPr>
        <w:t xml:space="preserve"> militar</w:t>
      </w:r>
      <w:r>
        <w:rPr>
          <w:szCs w:val="28"/>
        </w:rPr>
        <w:t xml:space="preserve">es. </w:t>
      </w:r>
      <w:r w:rsidRPr="006427D6">
        <w:rPr>
          <w:szCs w:val="28"/>
        </w:rPr>
        <w:t xml:space="preserve"> ¿Reciben los jueces y funcionarios de justicia que se ocupan de menores formación sobre el derecho internacional y las normas que amparan los derechos del niño?</w:t>
      </w:r>
    </w:p>
    <w:p w:rsidR="003B1402" w:rsidRPr="006427D6" w:rsidRDefault="003B1402" w:rsidP="003B1402">
      <w:pPr>
        <w:spacing w:after="240"/>
        <w:ind w:left="567" w:hanging="567"/>
        <w:rPr>
          <w:szCs w:val="28"/>
        </w:rPr>
      </w:pPr>
      <w:r w:rsidRPr="006427D6">
        <w:rPr>
          <w:szCs w:val="28"/>
        </w:rPr>
        <w:t>2</w:t>
      </w:r>
      <w:r>
        <w:rPr>
          <w:szCs w:val="28"/>
        </w:rPr>
        <w:t>4</w:t>
      </w:r>
      <w:r w:rsidRPr="006427D6">
        <w:rPr>
          <w:szCs w:val="28"/>
        </w:rPr>
        <w:t>.</w:t>
      </w:r>
      <w:r>
        <w:rPr>
          <w:szCs w:val="28"/>
        </w:rPr>
        <w:tab/>
      </w:r>
      <w:r w:rsidRPr="006427D6">
        <w:rPr>
          <w:szCs w:val="28"/>
        </w:rPr>
        <w:t xml:space="preserve">El Comité ha recibido informes </w:t>
      </w:r>
      <w:r>
        <w:rPr>
          <w:szCs w:val="28"/>
        </w:rPr>
        <w:t>según los cuales</w:t>
      </w:r>
      <w:r w:rsidRPr="006427D6">
        <w:rPr>
          <w:szCs w:val="28"/>
        </w:rPr>
        <w:t xml:space="preserve"> se interroga </w:t>
      </w:r>
      <w:r>
        <w:rPr>
          <w:szCs w:val="28"/>
        </w:rPr>
        <w:t xml:space="preserve">a </w:t>
      </w:r>
      <w:r w:rsidRPr="006427D6">
        <w:rPr>
          <w:szCs w:val="28"/>
        </w:rPr>
        <w:t xml:space="preserve">menores palestinos </w:t>
      </w:r>
      <w:r>
        <w:rPr>
          <w:szCs w:val="28"/>
        </w:rPr>
        <w:t xml:space="preserve">detenidos </w:t>
      </w:r>
      <w:r w:rsidRPr="006427D6">
        <w:rPr>
          <w:szCs w:val="28"/>
        </w:rPr>
        <w:t>sin que estén presentes un abogado o un familiar</w:t>
      </w:r>
      <w:r>
        <w:rPr>
          <w:szCs w:val="28"/>
        </w:rPr>
        <w:t xml:space="preserve">. </w:t>
      </w:r>
      <w:r w:rsidRPr="006427D6">
        <w:rPr>
          <w:szCs w:val="28"/>
        </w:rPr>
        <w:t xml:space="preserve"> </w:t>
      </w:r>
      <w:r>
        <w:rPr>
          <w:szCs w:val="28"/>
        </w:rPr>
        <w:t>S</w:t>
      </w:r>
      <w:r w:rsidRPr="006427D6">
        <w:rPr>
          <w:szCs w:val="28"/>
        </w:rPr>
        <w:t xml:space="preserve">e dice </w:t>
      </w:r>
      <w:r>
        <w:rPr>
          <w:szCs w:val="28"/>
        </w:rPr>
        <w:t xml:space="preserve">también en informes de ONG en poder del Comité </w:t>
      </w:r>
      <w:r w:rsidRPr="006427D6">
        <w:rPr>
          <w:szCs w:val="28"/>
        </w:rPr>
        <w:t xml:space="preserve">que el 95% de </w:t>
      </w:r>
      <w:r>
        <w:rPr>
          <w:szCs w:val="28"/>
        </w:rPr>
        <w:t xml:space="preserve">las condenas en procesos incoados ante </w:t>
      </w:r>
      <w:r w:rsidRPr="006427D6">
        <w:rPr>
          <w:szCs w:val="28"/>
        </w:rPr>
        <w:t xml:space="preserve">tribunales militares israelíes </w:t>
      </w:r>
      <w:r>
        <w:rPr>
          <w:szCs w:val="28"/>
        </w:rPr>
        <w:t>contra</w:t>
      </w:r>
      <w:r w:rsidRPr="006427D6">
        <w:rPr>
          <w:szCs w:val="28"/>
        </w:rPr>
        <w:t xml:space="preserve"> niños palestinos se basan en la</w:t>
      </w:r>
      <w:r>
        <w:rPr>
          <w:szCs w:val="28"/>
        </w:rPr>
        <w:t xml:space="preserve"> confesión. </w:t>
      </w:r>
      <w:r w:rsidRPr="006427D6">
        <w:rPr>
          <w:szCs w:val="28"/>
        </w:rPr>
        <w:t xml:space="preserve"> Sírvanse comentar esas denuncias y facilitar información detallada sobre las medidas adoptadas por el </w:t>
      </w:r>
      <w:r>
        <w:rPr>
          <w:szCs w:val="28"/>
        </w:rPr>
        <w:t>Estado parte</w:t>
      </w:r>
      <w:r w:rsidRPr="006427D6">
        <w:rPr>
          <w:szCs w:val="28"/>
        </w:rPr>
        <w:t xml:space="preserve"> para garantizar la protección de los niños detenidos en los territorios ocupados, por ejemplo </w:t>
      </w:r>
      <w:r>
        <w:rPr>
          <w:szCs w:val="28"/>
        </w:rPr>
        <w:t xml:space="preserve">reconociéndoles los derechos </w:t>
      </w:r>
      <w:r w:rsidRPr="006427D6">
        <w:rPr>
          <w:szCs w:val="28"/>
        </w:rPr>
        <w:t>fundamentales.</w:t>
      </w:r>
    </w:p>
    <w:p w:rsidR="003B1402" w:rsidRDefault="003B1402" w:rsidP="003B1402">
      <w:pPr>
        <w:spacing w:after="240"/>
        <w:ind w:left="567" w:hanging="567"/>
        <w:rPr>
          <w:snapToGrid w:val="0"/>
        </w:rPr>
      </w:pPr>
      <w:r>
        <w:rPr>
          <w:snapToGrid w:val="0"/>
        </w:rPr>
        <w:t>25.</w:t>
      </w:r>
      <w:r>
        <w:rPr>
          <w:snapToGrid w:val="0"/>
        </w:rPr>
        <w:tab/>
        <w:t>Según el informe del Relator Especial sobre la promoción y protección de los derechos humanos y las libertades fundamentales en la lucha contra el terrorismo, en 2006 fueron detenidos 700 menores palestinos, 25 de los cuales siguen privados de libertad en virtud de órdenes de detención administrativa</w:t>
      </w:r>
      <w:r>
        <w:rPr>
          <w:rStyle w:val="FootnoteReference"/>
          <w:snapToGrid w:val="0"/>
        </w:rPr>
        <w:footnoteReference w:id="21"/>
      </w:r>
      <w:r>
        <w:rPr>
          <w:snapToGrid w:val="0"/>
        </w:rPr>
        <w:t>.  El Relator Especial tiene también noticia de que las autoridades penitenciarias recurren al régimen de aislamiento para obtener confesiones de los menores o como castigo por la infracción de los reglamentos penitenciarios</w:t>
      </w:r>
      <w:r>
        <w:rPr>
          <w:rStyle w:val="FootnoteReference"/>
          <w:snapToGrid w:val="0"/>
        </w:rPr>
        <w:footnoteReference w:id="22"/>
      </w:r>
      <w:r>
        <w:rPr>
          <w:snapToGrid w:val="0"/>
        </w:rPr>
        <w:t>.  ¿Cómo concilia el Estado parte estas denuncias con lo prevenido en el artículo 67 de las Reglas mínimas de las Naciones Unidas para la administración de la justicia de menores (Reglas de Beijing) que prohíben la imposición de castigos a los niños y, en especial, la aplicación del régimen de aislamiento?  ¿Procura el Estado parte recurrir al encarcelamiento de un menor únicamente como último recurso?</w:t>
      </w:r>
    </w:p>
    <w:p w:rsidR="003B1402" w:rsidRPr="00A91297" w:rsidRDefault="003B1402" w:rsidP="003B1402">
      <w:pPr>
        <w:spacing w:after="240"/>
        <w:rPr>
          <w:b/>
          <w:bCs/>
          <w:szCs w:val="28"/>
        </w:rPr>
      </w:pPr>
      <w:r w:rsidRPr="00A91297">
        <w:rPr>
          <w:b/>
          <w:bCs/>
          <w:szCs w:val="28"/>
        </w:rPr>
        <w:t>Artículo 12</w:t>
      </w:r>
    </w:p>
    <w:p w:rsidR="003B1402" w:rsidRPr="006427D6" w:rsidRDefault="003B1402" w:rsidP="003B1402">
      <w:pPr>
        <w:spacing w:after="240"/>
        <w:ind w:left="567" w:hanging="567"/>
        <w:rPr>
          <w:szCs w:val="28"/>
        </w:rPr>
      </w:pPr>
      <w:r>
        <w:rPr>
          <w:szCs w:val="28"/>
        </w:rPr>
        <w:t>26</w:t>
      </w:r>
      <w:r w:rsidRPr="006427D6">
        <w:rPr>
          <w:szCs w:val="28"/>
        </w:rPr>
        <w:t>.</w:t>
      </w:r>
      <w:r>
        <w:rPr>
          <w:szCs w:val="28"/>
        </w:rPr>
        <w:tab/>
      </w:r>
      <w:r w:rsidRPr="006427D6">
        <w:rPr>
          <w:szCs w:val="28"/>
        </w:rPr>
        <w:t xml:space="preserve">Según el informe del </w:t>
      </w:r>
      <w:r>
        <w:rPr>
          <w:szCs w:val="28"/>
        </w:rPr>
        <w:t>Estado parte,</w:t>
      </w:r>
      <w:r w:rsidRPr="006427D6">
        <w:rPr>
          <w:szCs w:val="28"/>
        </w:rPr>
        <w:t xml:space="preserve"> en 2004 se presentaron 1</w:t>
      </w:r>
      <w:r>
        <w:rPr>
          <w:szCs w:val="28"/>
        </w:rPr>
        <w:t>.</w:t>
      </w:r>
      <w:r w:rsidRPr="006427D6">
        <w:rPr>
          <w:szCs w:val="28"/>
        </w:rPr>
        <w:t>273 denuncias al Departamento de Investigación de los Agentes de Policía del Ministerio de Justicia</w:t>
      </w:r>
      <w:r w:rsidRPr="00A91297">
        <w:rPr>
          <w:rStyle w:val="FootnoteReference"/>
          <w:szCs w:val="28"/>
        </w:rPr>
        <w:footnoteReference w:id="23"/>
      </w:r>
      <w:r w:rsidRPr="006427D6">
        <w:rPr>
          <w:szCs w:val="28"/>
        </w:rPr>
        <w:t xml:space="preserve">. </w:t>
      </w:r>
      <w:r>
        <w:rPr>
          <w:szCs w:val="28"/>
        </w:rPr>
        <w:t xml:space="preserve"> </w:t>
      </w:r>
      <w:r w:rsidRPr="006427D6">
        <w:rPr>
          <w:szCs w:val="28"/>
        </w:rPr>
        <w:t>¿Cuántas de</w:t>
      </w:r>
      <w:r>
        <w:rPr>
          <w:szCs w:val="28"/>
        </w:rPr>
        <w:t> </w:t>
      </w:r>
      <w:r w:rsidRPr="006427D6">
        <w:rPr>
          <w:szCs w:val="28"/>
        </w:rPr>
        <w:t xml:space="preserve">las denuncias se referían a tortura o malos tratos? </w:t>
      </w:r>
      <w:r>
        <w:rPr>
          <w:szCs w:val="28"/>
        </w:rPr>
        <w:t xml:space="preserve"> Se dice también que,</w:t>
      </w:r>
      <w:r w:rsidRPr="006427D6">
        <w:rPr>
          <w:szCs w:val="28"/>
        </w:rPr>
        <w:t xml:space="preserve"> de las</w:t>
      </w:r>
      <w:r>
        <w:rPr>
          <w:szCs w:val="28"/>
        </w:rPr>
        <w:t> </w:t>
      </w:r>
      <w:r w:rsidRPr="006427D6">
        <w:rPr>
          <w:szCs w:val="28"/>
        </w:rPr>
        <w:t>1</w:t>
      </w:r>
      <w:r>
        <w:rPr>
          <w:szCs w:val="28"/>
        </w:rPr>
        <w:t>.</w:t>
      </w:r>
      <w:r w:rsidRPr="006427D6">
        <w:rPr>
          <w:szCs w:val="28"/>
        </w:rPr>
        <w:t xml:space="preserve">273 denuncias, se </w:t>
      </w:r>
      <w:r>
        <w:rPr>
          <w:szCs w:val="28"/>
        </w:rPr>
        <w:t>inco</w:t>
      </w:r>
      <w:r w:rsidRPr="006427D6">
        <w:rPr>
          <w:szCs w:val="28"/>
        </w:rPr>
        <w:t xml:space="preserve">aron procedimientos </w:t>
      </w:r>
      <w:r>
        <w:rPr>
          <w:szCs w:val="28"/>
        </w:rPr>
        <w:t>pen</w:t>
      </w:r>
      <w:r w:rsidRPr="006427D6">
        <w:rPr>
          <w:szCs w:val="28"/>
        </w:rPr>
        <w:t>ales en 49 casos</w:t>
      </w:r>
      <w:r>
        <w:rPr>
          <w:rStyle w:val="FootnoteReference"/>
          <w:szCs w:val="28"/>
        </w:rPr>
        <w:footnoteReference w:id="24"/>
      </w:r>
      <w:r w:rsidRPr="006427D6">
        <w:rPr>
          <w:szCs w:val="28"/>
        </w:rPr>
        <w:t>.</w:t>
      </w:r>
      <w:r>
        <w:rPr>
          <w:szCs w:val="28"/>
        </w:rPr>
        <w:t xml:space="preserve"> </w:t>
      </w:r>
      <w:r w:rsidRPr="006427D6">
        <w:rPr>
          <w:szCs w:val="28"/>
        </w:rPr>
        <w:t xml:space="preserve"> ¿Cuántos de </w:t>
      </w:r>
      <w:r>
        <w:rPr>
          <w:szCs w:val="28"/>
        </w:rPr>
        <w:t>es</w:t>
      </w:r>
      <w:r w:rsidRPr="006427D6">
        <w:rPr>
          <w:szCs w:val="28"/>
        </w:rPr>
        <w:t xml:space="preserve">os procedimientos </w:t>
      </w:r>
      <w:r>
        <w:rPr>
          <w:szCs w:val="28"/>
        </w:rPr>
        <w:t>llevaron a la</w:t>
      </w:r>
      <w:r w:rsidRPr="006427D6">
        <w:rPr>
          <w:szCs w:val="28"/>
        </w:rPr>
        <w:t xml:space="preserve"> condena del acusado? </w:t>
      </w:r>
      <w:r>
        <w:rPr>
          <w:szCs w:val="28"/>
        </w:rPr>
        <w:t xml:space="preserve"> </w:t>
      </w:r>
      <w:r w:rsidRPr="006427D6">
        <w:rPr>
          <w:szCs w:val="28"/>
        </w:rPr>
        <w:t xml:space="preserve">¿Qué </w:t>
      </w:r>
      <w:r>
        <w:rPr>
          <w:szCs w:val="28"/>
        </w:rPr>
        <w:t>penas</w:t>
      </w:r>
      <w:r w:rsidRPr="006427D6">
        <w:rPr>
          <w:szCs w:val="28"/>
        </w:rPr>
        <w:t xml:space="preserve"> se impusieron?</w:t>
      </w:r>
    </w:p>
    <w:p w:rsidR="003B1402" w:rsidRPr="006427D6" w:rsidRDefault="003B1402" w:rsidP="003B1402">
      <w:pPr>
        <w:spacing w:after="240"/>
        <w:ind w:left="567" w:hanging="567"/>
        <w:rPr>
          <w:szCs w:val="28"/>
        </w:rPr>
      </w:pPr>
      <w:r w:rsidRPr="006427D6">
        <w:rPr>
          <w:szCs w:val="28"/>
        </w:rPr>
        <w:t>2</w:t>
      </w:r>
      <w:r>
        <w:rPr>
          <w:szCs w:val="28"/>
        </w:rPr>
        <w:t>7</w:t>
      </w:r>
      <w:r w:rsidRPr="006427D6">
        <w:rPr>
          <w:szCs w:val="28"/>
        </w:rPr>
        <w:t>.</w:t>
      </w:r>
      <w:r w:rsidRPr="006427D6">
        <w:rPr>
          <w:szCs w:val="28"/>
        </w:rPr>
        <w:tab/>
        <w:t xml:space="preserve">El informe se refiere a </w:t>
      </w:r>
      <w:r>
        <w:rPr>
          <w:szCs w:val="28"/>
        </w:rPr>
        <w:t>algunas</w:t>
      </w:r>
      <w:r w:rsidRPr="006427D6">
        <w:rPr>
          <w:szCs w:val="28"/>
        </w:rPr>
        <w:t xml:space="preserve"> disposiciones de la </w:t>
      </w:r>
      <w:r w:rsidRPr="006427D6">
        <w:rPr>
          <w:iCs/>
          <w:szCs w:val="28"/>
        </w:rPr>
        <w:t xml:space="preserve">Ley de la Agencia de Seguridad de Israel </w:t>
      </w:r>
      <w:r>
        <w:rPr>
          <w:iCs/>
          <w:szCs w:val="28"/>
        </w:rPr>
        <w:t xml:space="preserve">Nº </w:t>
      </w:r>
      <w:r w:rsidRPr="006427D6">
        <w:rPr>
          <w:iCs/>
          <w:szCs w:val="28"/>
        </w:rPr>
        <w:t>5762-2002</w:t>
      </w:r>
      <w:r w:rsidRPr="00A91297">
        <w:rPr>
          <w:rStyle w:val="FootnoteReference"/>
          <w:szCs w:val="28"/>
        </w:rPr>
        <w:footnoteReference w:id="25"/>
      </w:r>
      <w:r w:rsidRPr="006427D6">
        <w:rPr>
          <w:iCs/>
          <w:szCs w:val="28"/>
        </w:rPr>
        <w:t>.</w:t>
      </w:r>
      <w:r>
        <w:rPr>
          <w:iCs/>
          <w:szCs w:val="28"/>
        </w:rPr>
        <w:t xml:space="preserve"> </w:t>
      </w:r>
      <w:r w:rsidRPr="006427D6">
        <w:rPr>
          <w:iCs/>
          <w:szCs w:val="28"/>
        </w:rPr>
        <w:t xml:space="preserve"> </w:t>
      </w:r>
      <w:r w:rsidRPr="006427D6">
        <w:rPr>
          <w:szCs w:val="28"/>
        </w:rPr>
        <w:t>Sírvanse explicar c</w:t>
      </w:r>
      <w:r>
        <w:rPr>
          <w:szCs w:val="28"/>
        </w:rPr>
        <w:t>ó</w:t>
      </w:r>
      <w:r w:rsidRPr="006427D6">
        <w:rPr>
          <w:szCs w:val="28"/>
        </w:rPr>
        <w:t xml:space="preserve">mo garantiza el </w:t>
      </w:r>
      <w:r>
        <w:rPr>
          <w:szCs w:val="28"/>
        </w:rPr>
        <w:t>Estado parte</w:t>
      </w:r>
      <w:r w:rsidRPr="006427D6">
        <w:rPr>
          <w:szCs w:val="28"/>
        </w:rPr>
        <w:t xml:space="preserve"> la imparcialidad en la tramitación  de las denuncias contra la ASI o sus empleados cuando, en virtud del artículo 7 de la Ley, el Contralor de la Agencia es nombrado por el Primer Ministro, en consulta  con el jefe de la ASI</w:t>
      </w:r>
      <w:r>
        <w:rPr>
          <w:szCs w:val="28"/>
        </w:rPr>
        <w:t xml:space="preserve">. </w:t>
      </w:r>
      <w:r w:rsidRPr="006427D6">
        <w:rPr>
          <w:szCs w:val="28"/>
        </w:rPr>
        <w:t xml:space="preserve"> Con arreglo al artículo 18 de la Ley, "un funcionario de la ASI </w:t>
      </w:r>
      <w:r>
        <w:rPr>
          <w:szCs w:val="28"/>
        </w:rPr>
        <w:t>[</w:t>
      </w:r>
      <w:r w:rsidRPr="006427D6">
        <w:rPr>
          <w:szCs w:val="28"/>
        </w:rPr>
        <w:t>…</w:t>
      </w:r>
      <w:r>
        <w:rPr>
          <w:szCs w:val="28"/>
        </w:rPr>
        <w:t>]</w:t>
      </w:r>
      <w:r w:rsidRPr="006427D6">
        <w:rPr>
          <w:szCs w:val="28"/>
        </w:rPr>
        <w:t xml:space="preserve"> no incurrirá en responsabilidad penal o civil alguna por </w:t>
      </w:r>
      <w:r>
        <w:rPr>
          <w:szCs w:val="28"/>
        </w:rPr>
        <w:t>ning</w:t>
      </w:r>
      <w:r w:rsidRPr="006427D6">
        <w:rPr>
          <w:szCs w:val="28"/>
        </w:rPr>
        <w:t xml:space="preserve">una acción u omisión que realice en el desempeño de sus funciones de buena fe, de manera razonable y </w:t>
      </w:r>
      <w:r>
        <w:rPr>
          <w:szCs w:val="28"/>
        </w:rPr>
        <w:t>dentro de su esfera de</w:t>
      </w:r>
      <w:r w:rsidRPr="006427D6">
        <w:rPr>
          <w:szCs w:val="28"/>
        </w:rPr>
        <w:t xml:space="preserve"> competencia". </w:t>
      </w:r>
      <w:r>
        <w:rPr>
          <w:szCs w:val="28"/>
        </w:rPr>
        <w:t xml:space="preserve"> </w:t>
      </w:r>
      <w:r w:rsidRPr="006427D6">
        <w:rPr>
          <w:szCs w:val="28"/>
        </w:rPr>
        <w:t xml:space="preserve">Sírvanse facilitar información </w:t>
      </w:r>
      <w:r>
        <w:rPr>
          <w:szCs w:val="28"/>
        </w:rPr>
        <w:t>detallada</w:t>
      </w:r>
      <w:r w:rsidRPr="006427D6">
        <w:rPr>
          <w:szCs w:val="28"/>
        </w:rPr>
        <w:t xml:space="preserve"> sobre el número, el tipo y los resultados de las denuncias presentadas contra la ASI o sus empleados.</w:t>
      </w:r>
      <w:r>
        <w:rPr>
          <w:szCs w:val="28"/>
        </w:rPr>
        <w:t xml:space="preserve"> </w:t>
      </w:r>
      <w:r w:rsidRPr="006427D6">
        <w:rPr>
          <w:szCs w:val="28"/>
        </w:rPr>
        <w:t xml:space="preserve"> ¿Cuántas</w:t>
      </w:r>
      <w:r>
        <w:rPr>
          <w:szCs w:val="28"/>
        </w:rPr>
        <w:t> </w:t>
      </w:r>
      <w:r w:rsidRPr="006427D6">
        <w:rPr>
          <w:szCs w:val="28"/>
        </w:rPr>
        <w:t xml:space="preserve">son desestimadas en virtud del artículo 18? </w:t>
      </w:r>
      <w:r>
        <w:rPr>
          <w:szCs w:val="28"/>
        </w:rPr>
        <w:t xml:space="preserve"> </w:t>
      </w:r>
      <w:r w:rsidRPr="006427D6">
        <w:rPr>
          <w:szCs w:val="28"/>
        </w:rPr>
        <w:t xml:space="preserve">Sírvanse explicar cómo se aplica la excepción general del artículo 18, si existe </w:t>
      </w:r>
      <w:r>
        <w:rPr>
          <w:szCs w:val="28"/>
        </w:rPr>
        <w:t xml:space="preserve">alguna </w:t>
      </w:r>
      <w:r w:rsidRPr="006427D6">
        <w:rPr>
          <w:szCs w:val="28"/>
        </w:rPr>
        <w:t xml:space="preserve">supervisión independiente o </w:t>
      </w:r>
      <w:r>
        <w:rPr>
          <w:szCs w:val="28"/>
        </w:rPr>
        <w:t xml:space="preserve">algún </w:t>
      </w:r>
      <w:r w:rsidRPr="006427D6">
        <w:rPr>
          <w:szCs w:val="28"/>
        </w:rPr>
        <w:t xml:space="preserve">recurso contra su aplicación y cómo se concilia </w:t>
      </w:r>
      <w:r>
        <w:rPr>
          <w:szCs w:val="28"/>
        </w:rPr>
        <w:t xml:space="preserve">ese artículo </w:t>
      </w:r>
      <w:r w:rsidRPr="006427D6">
        <w:rPr>
          <w:szCs w:val="28"/>
        </w:rPr>
        <w:t>con las obligaciones dimanantes del artículo</w:t>
      </w:r>
      <w:r>
        <w:rPr>
          <w:szCs w:val="28"/>
        </w:rPr>
        <w:t> </w:t>
      </w:r>
      <w:r w:rsidRPr="006427D6">
        <w:rPr>
          <w:szCs w:val="28"/>
        </w:rPr>
        <w:t xml:space="preserve">12 y </w:t>
      </w:r>
      <w:r>
        <w:rPr>
          <w:szCs w:val="28"/>
        </w:rPr>
        <w:t xml:space="preserve">de </w:t>
      </w:r>
      <w:r w:rsidRPr="006427D6">
        <w:rPr>
          <w:szCs w:val="28"/>
        </w:rPr>
        <w:t>otras disposiciones de la Convención.</w:t>
      </w:r>
    </w:p>
    <w:p w:rsidR="003B1402" w:rsidRPr="006427D6" w:rsidRDefault="003B1402" w:rsidP="003B1402">
      <w:pPr>
        <w:spacing w:after="240"/>
        <w:ind w:left="567" w:hanging="567"/>
        <w:rPr>
          <w:szCs w:val="28"/>
        </w:rPr>
      </w:pPr>
      <w:r>
        <w:rPr>
          <w:szCs w:val="28"/>
        </w:rPr>
        <w:t>28</w:t>
      </w:r>
      <w:r w:rsidRPr="006427D6">
        <w:rPr>
          <w:szCs w:val="28"/>
        </w:rPr>
        <w:t>.</w:t>
      </w:r>
      <w:r w:rsidRPr="006427D6">
        <w:rPr>
          <w:szCs w:val="28"/>
        </w:rPr>
        <w:tab/>
        <w:t xml:space="preserve">Sírvanse </w:t>
      </w:r>
      <w:r>
        <w:rPr>
          <w:szCs w:val="28"/>
        </w:rPr>
        <w:t>da</w:t>
      </w:r>
      <w:r w:rsidRPr="006427D6">
        <w:rPr>
          <w:szCs w:val="28"/>
        </w:rPr>
        <w:t xml:space="preserve">r información detallada sobre los resultados de la comisión judicial citada en el párrafo 50 h) de las conclusiones del Comité </w:t>
      </w:r>
      <w:r>
        <w:rPr>
          <w:szCs w:val="28"/>
        </w:rPr>
        <w:t>y actualizar la información proporcionada al Comité sobre</w:t>
      </w:r>
      <w:r w:rsidRPr="006427D6">
        <w:rPr>
          <w:szCs w:val="28"/>
        </w:rPr>
        <w:t xml:space="preserve"> las razones de la decisión </w:t>
      </w:r>
      <w:r>
        <w:rPr>
          <w:szCs w:val="28"/>
        </w:rPr>
        <w:t>adoptada por el</w:t>
      </w:r>
      <w:r w:rsidRPr="006427D6">
        <w:rPr>
          <w:szCs w:val="28"/>
        </w:rPr>
        <w:t xml:space="preserve"> Fiscal General</w:t>
      </w:r>
      <w:r>
        <w:rPr>
          <w:szCs w:val="28"/>
        </w:rPr>
        <w:t>,</w:t>
      </w:r>
      <w:r w:rsidRPr="006427D6">
        <w:rPr>
          <w:szCs w:val="28"/>
        </w:rPr>
        <w:t xml:space="preserve"> e</w:t>
      </w:r>
      <w:r>
        <w:rPr>
          <w:szCs w:val="28"/>
        </w:rPr>
        <w:t>l</w:t>
      </w:r>
      <w:r w:rsidRPr="006427D6">
        <w:rPr>
          <w:szCs w:val="28"/>
        </w:rPr>
        <w:t xml:space="preserve"> 27 de enero de</w:t>
      </w:r>
      <w:r>
        <w:rPr>
          <w:szCs w:val="28"/>
        </w:rPr>
        <w:t> </w:t>
      </w:r>
      <w:r w:rsidRPr="006427D6">
        <w:rPr>
          <w:szCs w:val="28"/>
        </w:rPr>
        <w:t>2008</w:t>
      </w:r>
      <w:r>
        <w:rPr>
          <w:szCs w:val="28"/>
        </w:rPr>
        <w:t>,</w:t>
      </w:r>
      <w:r w:rsidRPr="006427D6">
        <w:rPr>
          <w:szCs w:val="28"/>
        </w:rPr>
        <w:t xml:space="preserve"> de no </w:t>
      </w:r>
      <w:r>
        <w:rPr>
          <w:szCs w:val="28"/>
        </w:rPr>
        <w:t>inculpar a los</w:t>
      </w:r>
      <w:r w:rsidRPr="006427D6">
        <w:rPr>
          <w:szCs w:val="28"/>
        </w:rPr>
        <w:t xml:space="preserve"> funcionarios de policía o comandantes acusados de la muerte de 13 palestinos israelíes desarmados durante las manifestaciones de protesta que hubo </w:t>
      </w:r>
      <w:r>
        <w:rPr>
          <w:szCs w:val="28"/>
        </w:rPr>
        <w:t>en Israel</w:t>
      </w:r>
      <w:r w:rsidRPr="006427D6">
        <w:rPr>
          <w:szCs w:val="28"/>
        </w:rPr>
        <w:t xml:space="preserve"> en octubre de 2000</w:t>
      </w:r>
      <w:r>
        <w:rPr>
          <w:szCs w:val="28"/>
        </w:rPr>
        <w:t>.</w:t>
      </w:r>
    </w:p>
    <w:p w:rsidR="003B1402" w:rsidRPr="006427D6" w:rsidRDefault="003B1402" w:rsidP="003B1402">
      <w:pPr>
        <w:spacing w:after="240"/>
        <w:ind w:left="567" w:hanging="567"/>
        <w:rPr>
          <w:szCs w:val="28"/>
        </w:rPr>
      </w:pPr>
      <w:r w:rsidRPr="006427D6">
        <w:rPr>
          <w:szCs w:val="28"/>
        </w:rPr>
        <w:t>2</w:t>
      </w:r>
      <w:r>
        <w:rPr>
          <w:szCs w:val="28"/>
        </w:rPr>
        <w:t>9</w:t>
      </w:r>
      <w:r w:rsidRPr="006427D6">
        <w:rPr>
          <w:szCs w:val="28"/>
        </w:rPr>
        <w:t>.</w:t>
      </w:r>
      <w:r w:rsidRPr="006427D6">
        <w:rPr>
          <w:szCs w:val="28"/>
        </w:rPr>
        <w:tab/>
        <w:t xml:space="preserve">Sírvanse facilitar estadísticas recientes </w:t>
      </w:r>
      <w:r>
        <w:rPr>
          <w:szCs w:val="28"/>
        </w:rPr>
        <w:t>sobre</w:t>
      </w:r>
      <w:r w:rsidRPr="006427D6">
        <w:rPr>
          <w:szCs w:val="28"/>
        </w:rPr>
        <w:t xml:space="preserve"> las denuncias de tortura presentadas contra la ASI</w:t>
      </w:r>
      <w:r>
        <w:rPr>
          <w:szCs w:val="28"/>
        </w:rPr>
        <w:t>,</w:t>
      </w:r>
      <w:r w:rsidRPr="006427D6">
        <w:rPr>
          <w:szCs w:val="28"/>
        </w:rPr>
        <w:t xml:space="preserve"> las FDI y el Servicio de Prisiones de Israel (SPI), </w:t>
      </w:r>
      <w:r>
        <w:rPr>
          <w:szCs w:val="28"/>
        </w:rPr>
        <w:t xml:space="preserve">sobre </w:t>
      </w:r>
      <w:r w:rsidRPr="006427D6">
        <w:rPr>
          <w:szCs w:val="28"/>
        </w:rPr>
        <w:t>los resultados de la</w:t>
      </w:r>
      <w:r>
        <w:rPr>
          <w:szCs w:val="28"/>
        </w:rPr>
        <w:t>s</w:t>
      </w:r>
      <w:r w:rsidRPr="006427D6">
        <w:rPr>
          <w:szCs w:val="28"/>
        </w:rPr>
        <w:t xml:space="preserve"> investigaci</w:t>
      </w:r>
      <w:r>
        <w:rPr>
          <w:szCs w:val="28"/>
        </w:rPr>
        <w:t>o</w:t>
      </w:r>
      <w:r w:rsidRPr="006427D6">
        <w:rPr>
          <w:szCs w:val="28"/>
        </w:rPr>
        <w:t>n</w:t>
      </w:r>
      <w:r>
        <w:rPr>
          <w:szCs w:val="28"/>
        </w:rPr>
        <w:t>es</w:t>
      </w:r>
      <w:r w:rsidRPr="006427D6">
        <w:rPr>
          <w:szCs w:val="28"/>
        </w:rPr>
        <w:t xml:space="preserve"> de esas denuncias y </w:t>
      </w:r>
      <w:r>
        <w:rPr>
          <w:szCs w:val="28"/>
        </w:rPr>
        <w:t xml:space="preserve">sobre </w:t>
      </w:r>
      <w:r w:rsidRPr="006427D6">
        <w:rPr>
          <w:szCs w:val="28"/>
        </w:rPr>
        <w:t xml:space="preserve">el enjuiciamiento </w:t>
      </w:r>
      <w:r>
        <w:rPr>
          <w:szCs w:val="28"/>
        </w:rPr>
        <w:t>de</w:t>
      </w:r>
      <w:r w:rsidRPr="006427D6">
        <w:rPr>
          <w:szCs w:val="28"/>
        </w:rPr>
        <w:t xml:space="preserve"> los responsables</w:t>
      </w:r>
      <w:r>
        <w:rPr>
          <w:szCs w:val="28"/>
        </w:rPr>
        <w:t xml:space="preserve"> y las penas impuestas</w:t>
      </w:r>
      <w:r w:rsidRPr="006427D6">
        <w:rPr>
          <w:szCs w:val="28"/>
        </w:rPr>
        <w:t>.</w:t>
      </w:r>
    </w:p>
    <w:p w:rsidR="003B1402" w:rsidRPr="000512E4" w:rsidRDefault="003B1402" w:rsidP="003B1402">
      <w:pPr>
        <w:spacing w:after="240"/>
        <w:rPr>
          <w:b/>
          <w:bCs/>
          <w:szCs w:val="28"/>
        </w:rPr>
      </w:pPr>
      <w:r w:rsidRPr="000512E4">
        <w:rPr>
          <w:b/>
          <w:bCs/>
          <w:szCs w:val="28"/>
        </w:rPr>
        <w:t>Artículo 14</w:t>
      </w:r>
    </w:p>
    <w:p w:rsidR="003B1402" w:rsidRPr="006427D6" w:rsidRDefault="003B1402" w:rsidP="003B1402">
      <w:pPr>
        <w:spacing w:after="240"/>
        <w:ind w:left="567" w:hanging="567"/>
        <w:rPr>
          <w:szCs w:val="28"/>
        </w:rPr>
      </w:pPr>
      <w:r>
        <w:rPr>
          <w:szCs w:val="28"/>
        </w:rPr>
        <w:t>30</w:t>
      </w:r>
      <w:r w:rsidRPr="006427D6">
        <w:rPr>
          <w:szCs w:val="28"/>
        </w:rPr>
        <w:t>.</w:t>
      </w:r>
      <w:r w:rsidRPr="006427D6">
        <w:rPr>
          <w:szCs w:val="28"/>
        </w:rPr>
        <w:tab/>
        <w:t xml:space="preserve">Sírvanse facilitar información reciente sobre </w:t>
      </w:r>
      <w:r>
        <w:rPr>
          <w:szCs w:val="28"/>
        </w:rPr>
        <w:t>el estado de tramit</w:t>
      </w:r>
      <w:r w:rsidRPr="006427D6">
        <w:rPr>
          <w:szCs w:val="28"/>
        </w:rPr>
        <w:t xml:space="preserve">ación del </w:t>
      </w:r>
      <w:r>
        <w:rPr>
          <w:szCs w:val="28"/>
        </w:rPr>
        <w:t>p</w:t>
      </w:r>
      <w:r w:rsidRPr="006427D6">
        <w:rPr>
          <w:iCs/>
          <w:szCs w:val="28"/>
        </w:rPr>
        <w:t xml:space="preserve">royecto de ley de </w:t>
      </w:r>
      <w:r>
        <w:rPr>
          <w:iCs/>
          <w:szCs w:val="28"/>
        </w:rPr>
        <w:t>indemnizaciones</w:t>
      </w:r>
      <w:r w:rsidRPr="006427D6">
        <w:rPr>
          <w:iCs/>
          <w:szCs w:val="28"/>
        </w:rPr>
        <w:t xml:space="preserve"> (Responsabilidad del Estado) (Enmienda </w:t>
      </w:r>
      <w:r>
        <w:rPr>
          <w:iCs/>
          <w:szCs w:val="28"/>
        </w:rPr>
        <w:t>N</w:t>
      </w:r>
      <w:r w:rsidRPr="006427D6">
        <w:rPr>
          <w:iCs/>
          <w:szCs w:val="28"/>
        </w:rPr>
        <w:t>º 8)</w:t>
      </w:r>
      <w:r w:rsidRPr="006427D6">
        <w:rPr>
          <w:szCs w:val="28"/>
        </w:rPr>
        <w:t xml:space="preserve"> </w:t>
      </w:r>
      <w:r w:rsidRPr="006427D6">
        <w:rPr>
          <w:iCs/>
          <w:szCs w:val="28"/>
        </w:rPr>
        <w:t>de 2008</w:t>
      </w:r>
      <w:r w:rsidRPr="006427D6">
        <w:rPr>
          <w:szCs w:val="28"/>
        </w:rPr>
        <w:t>.</w:t>
      </w:r>
      <w:r>
        <w:rPr>
          <w:szCs w:val="28"/>
        </w:rPr>
        <w:t xml:space="preserve"> </w:t>
      </w:r>
      <w:r w:rsidRPr="006427D6">
        <w:rPr>
          <w:szCs w:val="28"/>
        </w:rPr>
        <w:t xml:space="preserve"> Según </w:t>
      </w:r>
      <w:r>
        <w:rPr>
          <w:szCs w:val="28"/>
        </w:rPr>
        <w:t xml:space="preserve">la información en poder del Comité de fuente ONG, </w:t>
      </w:r>
      <w:r w:rsidRPr="006427D6">
        <w:rPr>
          <w:szCs w:val="28"/>
        </w:rPr>
        <w:t>el proyecto tiene por objeto privar a los residentes e</w:t>
      </w:r>
      <w:r>
        <w:rPr>
          <w:szCs w:val="28"/>
        </w:rPr>
        <w:t>n</w:t>
      </w:r>
      <w:r w:rsidRPr="006427D6">
        <w:rPr>
          <w:szCs w:val="28"/>
        </w:rPr>
        <w:t xml:space="preserve"> los territorios palestinos ocupados de la posibilidad de exigir judicialmente responsabilidades a las fuerzas de seguridad de Israel por los daños sufridos, incluso a consecuencia de actos realizados en un contexto distinto de la "acción bélica"</w:t>
      </w:r>
      <w:r>
        <w:rPr>
          <w:szCs w:val="28"/>
        </w:rPr>
        <w:t xml:space="preserve">. </w:t>
      </w:r>
      <w:r w:rsidRPr="006427D6">
        <w:rPr>
          <w:szCs w:val="28"/>
        </w:rPr>
        <w:t xml:space="preserve"> Sírvanse comentar esa </w:t>
      </w:r>
      <w:r>
        <w:rPr>
          <w:szCs w:val="28"/>
        </w:rPr>
        <w:t>afirmación y cómo esa</w:t>
      </w:r>
      <w:r w:rsidRPr="006427D6">
        <w:rPr>
          <w:szCs w:val="28"/>
        </w:rPr>
        <w:t xml:space="preserve"> ley sería compatible con el artículo 14 de la Convención.</w:t>
      </w:r>
    </w:p>
    <w:p w:rsidR="003B1402" w:rsidRPr="000512E4" w:rsidRDefault="003B1402" w:rsidP="003B1402">
      <w:pPr>
        <w:keepNext/>
        <w:spacing w:after="240"/>
        <w:rPr>
          <w:b/>
          <w:bCs/>
          <w:szCs w:val="28"/>
        </w:rPr>
      </w:pPr>
      <w:r w:rsidRPr="000512E4">
        <w:rPr>
          <w:b/>
          <w:bCs/>
          <w:szCs w:val="28"/>
        </w:rPr>
        <w:t>Artículo 15</w:t>
      </w:r>
    </w:p>
    <w:p w:rsidR="003B1402" w:rsidRPr="006427D6" w:rsidRDefault="003B1402" w:rsidP="003B1402">
      <w:pPr>
        <w:spacing w:after="240"/>
        <w:ind w:left="567" w:hanging="567"/>
        <w:rPr>
          <w:iCs/>
          <w:szCs w:val="28"/>
        </w:rPr>
      </w:pPr>
      <w:r>
        <w:rPr>
          <w:szCs w:val="28"/>
        </w:rPr>
        <w:t>31</w:t>
      </w:r>
      <w:r w:rsidRPr="006427D6">
        <w:rPr>
          <w:szCs w:val="28"/>
        </w:rPr>
        <w:t>.</w:t>
      </w:r>
      <w:r w:rsidRPr="006427D6">
        <w:rPr>
          <w:szCs w:val="28"/>
        </w:rPr>
        <w:tab/>
        <w:t xml:space="preserve">En el informe del </w:t>
      </w:r>
      <w:r>
        <w:rPr>
          <w:szCs w:val="28"/>
        </w:rPr>
        <w:t>Estado parte</w:t>
      </w:r>
      <w:r w:rsidRPr="006427D6">
        <w:rPr>
          <w:szCs w:val="28"/>
        </w:rPr>
        <w:t xml:space="preserve"> se indica la decisión aprobada por el Tribunal Supremo de Israel, C.A. 5121/98, </w:t>
      </w:r>
      <w:r w:rsidRPr="00F620CA">
        <w:rPr>
          <w:i/>
          <w:szCs w:val="28"/>
        </w:rPr>
        <w:t>Soldado Yisascharov c. el Fiscal Superior de la Fiscalía Militar y otros</w:t>
      </w:r>
      <w:r w:rsidRPr="006427D6">
        <w:rPr>
          <w:iCs/>
          <w:szCs w:val="28"/>
        </w:rPr>
        <w:t xml:space="preserve">, </w:t>
      </w:r>
      <w:r>
        <w:rPr>
          <w:iCs/>
          <w:szCs w:val="28"/>
        </w:rPr>
        <w:t>en la que expone</w:t>
      </w:r>
      <w:r w:rsidRPr="006427D6">
        <w:rPr>
          <w:iCs/>
          <w:szCs w:val="28"/>
        </w:rPr>
        <w:t xml:space="preserve"> su doctrina sobre la exclusión de las pruebas obtenidas ilegalmente</w:t>
      </w:r>
      <w:r>
        <w:rPr>
          <w:rStyle w:val="FootnoteReference"/>
          <w:iCs/>
          <w:szCs w:val="28"/>
        </w:rPr>
        <w:footnoteReference w:id="26"/>
      </w:r>
      <w:r>
        <w:rPr>
          <w:iCs/>
          <w:szCs w:val="28"/>
        </w:rPr>
        <w:t xml:space="preserve">. </w:t>
      </w:r>
      <w:r w:rsidRPr="006427D6">
        <w:rPr>
          <w:iCs/>
          <w:szCs w:val="28"/>
        </w:rPr>
        <w:t xml:space="preserve"> Sin embargo, parece que la cuestión de la admisión de pruebas obtenidas ilegalmente queda a discreción del juez</w:t>
      </w:r>
      <w:r w:rsidRPr="00F620CA">
        <w:rPr>
          <w:rStyle w:val="FootnoteReference"/>
          <w:iCs/>
          <w:szCs w:val="28"/>
        </w:rPr>
        <w:footnoteReference w:id="27"/>
      </w:r>
      <w:r w:rsidRPr="006427D6">
        <w:rPr>
          <w:iCs/>
          <w:szCs w:val="28"/>
        </w:rPr>
        <w:t xml:space="preserve">. </w:t>
      </w:r>
      <w:r>
        <w:rPr>
          <w:iCs/>
          <w:szCs w:val="28"/>
        </w:rPr>
        <w:t xml:space="preserve"> </w:t>
      </w:r>
      <w:r w:rsidRPr="006427D6">
        <w:rPr>
          <w:iCs/>
          <w:szCs w:val="28"/>
        </w:rPr>
        <w:t xml:space="preserve">Además, si bien el informe explica que los tribunales </w:t>
      </w:r>
      <w:r>
        <w:rPr>
          <w:iCs/>
          <w:szCs w:val="28"/>
        </w:rPr>
        <w:t xml:space="preserve">preconizaron una interpretación más amplia del </w:t>
      </w:r>
      <w:r w:rsidRPr="006427D6">
        <w:rPr>
          <w:iCs/>
          <w:szCs w:val="28"/>
        </w:rPr>
        <w:t xml:space="preserve">artículo 12 de la Ordenanza sobre pruebas, </w:t>
      </w:r>
      <w:r>
        <w:rPr>
          <w:iCs/>
          <w:szCs w:val="28"/>
        </w:rPr>
        <w:t xml:space="preserve">en él se </w:t>
      </w:r>
      <w:r w:rsidRPr="006427D6">
        <w:rPr>
          <w:iCs/>
          <w:szCs w:val="28"/>
        </w:rPr>
        <w:t xml:space="preserve">indica expresamente que el Tribunal no se pronunció sobre la exclusión de </w:t>
      </w:r>
      <w:r>
        <w:rPr>
          <w:iCs/>
          <w:szCs w:val="28"/>
        </w:rPr>
        <w:t>toda</w:t>
      </w:r>
      <w:r w:rsidRPr="006427D6">
        <w:rPr>
          <w:iCs/>
          <w:szCs w:val="28"/>
        </w:rPr>
        <w:t xml:space="preserve"> confesión del acusado </w:t>
      </w:r>
      <w:r>
        <w:rPr>
          <w:iCs/>
          <w:szCs w:val="28"/>
        </w:rPr>
        <w:t>obtenida mediante</w:t>
      </w:r>
      <w:r w:rsidRPr="006427D6">
        <w:rPr>
          <w:iCs/>
          <w:szCs w:val="28"/>
        </w:rPr>
        <w:t xml:space="preserve"> tortura y que "ahora es mayor el número de circunstancias que permiten la exclusión de una confesión"</w:t>
      </w:r>
      <w:r w:rsidRPr="00F620CA">
        <w:rPr>
          <w:rStyle w:val="FootnoteReference"/>
          <w:iCs/>
          <w:szCs w:val="28"/>
        </w:rPr>
        <w:footnoteReference w:id="28"/>
      </w:r>
      <w:r w:rsidRPr="006427D6">
        <w:rPr>
          <w:iCs/>
          <w:szCs w:val="28"/>
        </w:rPr>
        <w:t>.</w:t>
      </w:r>
      <w:r>
        <w:rPr>
          <w:iCs/>
          <w:szCs w:val="28"/>
        </w:rPr>
        <w:t xml:space="preserve"> </w:t>
      </w:r>
      <w:r w:rsidRPr="006427D6">
        <w:rPr>
          <w:iCs/>
          <w:szCs w:val="28"/>
        </w:rPr>
        <w:t xml:space="preserve"> A tenor de lo que antecede, ¿cómo garantiza el </w:t>
      </w:r>
      <w:r>
        <w:rPr>
          <w:iCs/>
          <w:szCs w:val="28"/>
        </w:rPr>
        <w:t>Estado parte</w:t>
      </w:r>
      <w:r w:rsidRPr="006427D6">
        <w:rPr>
          <w:iCs/>
          <w:szCs w:val="28"/>
        </w:rPr>
        <w:t xml:space="preserve">, de conformidad con el artículo 15 de la Convención, que no se </w:t>
      </w:r>
      <w:r>
        <w:rPr>
          <w:iCs/>
          <w:szCs w:val="28"/>
        </w:rPr>
        <w:t xml:space="preserve">utiliza </w:t>
      </w:r>
      <w:r w:rsidRPr="006427D6">
        <w:rPr>
          <w:iCs/>
          <w:szCs w:val="28"/>
        </w:rPr>
        <w:t xml:space="preserve">como prueba en ningún procedimiento una declaración obtenida mediante tortura? </w:t>
      </w:r>
      <w:r w:rsidR="006E71C5">
        <w:rPr>
          <w:iCs/>
          <w:szCs w:val="28"/>
        </w:rPr>
        <w:t xml:space="preserve"> </w:t>
      </w:r>
      <w:r w:rsidRPr="006427D6">
        <w:rPr>
          <w:iCs/>
          <w:szCs w:val="28"/>
        </w:rPr>
        <w:t xml:space="preserve">Sírvanse facilitar información </w:t>
      </w:r>
      <w:r>
        <w:rPr>
          <w:iCs/>
          <w:szCs w:val="28"/>
        </w:rPr>
        <w:t xml:space="preserve">actualizada </w:t>
      </w:r>
      <w:r w:rsidRPr="006427D6">
        <w:rPr>
          <w:iCs/>
          <w:szCs w:val="28"/>
        </w:rPr>
        <w:t>sobre las ocasiones en que se ha</w:t>
      </w:r>
      <w:r>
        <w:rPr>
          <w:iCs/>
          <w:szCs w:val="28"/>
        </w:rPr>
        <w:t xml:space="preserve"> aplicado </w:t>
      </w:r>
      <w:r w:rsidRPr="006427D6">
        <w:rPr>
          <w:iCs/>
          <w:szCs w:val="28"/>
        </w:rPr>
        <w:t xml:space="preserve">el artículo 12 para excluir pruebas. </w:t>
      </w:r>
      <w:r>
        <w:rPr>
          <w:iCs/>
          <w:szCs w:val="28"/>
        </w:rPr>
        <w:t xml:space="preserve"> </w:t>
      </w:r>
      <w:r w:rsidRPr="006427D6">
        <w:rPr>
          <w:iCs/>
          <w:szCs w:val="28"/>
        </w:rPr>
        <w:t xml:space="preserve">Según los informes </w:t>
      </w:r>
      <w:r>
        <w:rPr>
          <w:iCs/>
          <w:szCs w:val="28"/>
        </w:rPr>
        <w:t>de que dispone el</w:t>
      </w:r>
      <w:r w:rsidRPr="006427D6">
        <w:rPr>
          <w:iCs/>
          <w:szCs w:val="28"/>
        </w:rPr>
        <w:t xml:space="preserve"> Comité, al final del interrogatorio</w:t>
      </w:r>
      <w:r>
        <w:rPr>
          <w:iCs/>
          <w:szCs w:val="28"/>
        </w:rPr>
        <w:t xml:space="preserve"> </w:t>
      </w:r>
      <w:r w:rsidRPr="006427D6">
        <w:rPr>
          <w:iCs/>
          <w:szCs w:val="28"/>
        </w:rPr>
        <w:t xml:space="preserve">se obliga a los detenidos palestinos a firmar confesiones </w:t>
      </w:r>
      <w:r>
        <w:rPr>
          <w:iCs/>
          <w:szCs w:val="28"/>
        </w:rPr>
        <w:t xml:space="preserve">preparadas con anterioridad </w:t>
      </w:r>
      <w:r w:rsidRPr="006427D6">
        <w:rPr>
          <w:iCs/>
          <w:szCs w:val="28"/>
        </w:rPr>
        <w:t>en hebreo</w:t>
      </w:r>
      <w:r>
        <w:rPr>
          <w:iCs/>
          <w:szCs w:val="28"/>
        </w:rPr>
        <w:t>,</w:t>
      </w:r>
      <w:r w:rsidRPr="006427D6">
        <w:rPr>
          <w:iCs/>
          <w:szCs w:val="28"/>
        </w:rPr>
        <w:t xml:space="preserve"> que luego sirven de principales pruebas </w:t>
      </w:r>
      <w:r>
        <w:rPr>
          <w:iCs/>
          <w:szCs w:val="28"/>
        </w:rPr>
        <w:t xml:space="preserve">de cargo </w:t>
      </w:r>
      <w:r w:rsidRPr="006427D6">
        <w:rPr>
          <w:iCs/>
          <w:szCs w:val="28"/>
        </w:rPr>
        <w:t xml:space="preserve">en los tribunales militares. </w:t>
      </w:r>
      <w:r>
        <w:rPr>
          <w:iCs/>
          <w:szCs w:val="28"/>
        </w:rPr>
        <w:t xml:space="preserve"> </w:t>
      </w:r>
      <w:r w:rsidRPr="006427D6">
        <w:rPr>
          <w:iCs/>
          <w:szCs w:val="28"/>
        </w:rPr>
        <w:t>¿Qué</w:t>
      </w:r>
      <w:r>
        <w:rPr>
          <w:iCs/>
          <w:szCs w:val="28"/>
        </w:rPr>
        <w:t> </w:t>
      </w:r>
      <w:r w:rsidRPr="006427D6">
        <w:rPr>
          <w:iCs/>
          <w:szCs w:val="28"/>
        </w:rPr>
        <w:t xml:space="preserve">medidas existen para </w:t>
      </w:r>
      <w:r>
        <w:rPr>
          <w:iCs/>
          <w:szCs w:val="28"/>
        </w:rPr>
        <w:t>proporcionar</w:t>
      </w:r>
      <w:r w:rsidRPr="006427D6">
        <w:rPr>
          <w:iCs/>
          <w:szCs w:val="28"/>
        </w:rPr>
        <w:t xml:space="preserve"> a los detenidos servicios de tr</w:t>
      </w:r>
      <w:r>
        <w:rPr>
          <w:iCs/>
          <w:szCs w:val="28"/>
        </w:rPr>
        <w:t>aducción en los interrogatorios?</w:t>
      </w:r>
    </w:p>
    <w:p w:rsidR="003B1402" w:rsidRPr="00F620CA" w:rsidRDefault="003B1402" w:rsidP="003B1402">
      <w:pPr>
        <w:spacing w:after="240"/>
        <w:rPr>
          <w:b/>
          <w:bCs/>
          <w:iCs/>
          <w:szCs w:val="28"/>
        </w:rPr>
      </w:pPr>
      <w:r w:rsidRPr="00F620CA">
        <w:rPr>
          <w:b/>
          <w:bCs/>
          <w:iCs/>
          <w:szCs w:val="28"/>
        </w:rPr>
        <w:t>Artículo 16</w:t>
      </w:r>
    </w:p>
    <w:p w:rsidR="003B1402" w:rsidRPr="006427D6" w:rsidRDefault="003B1402" w:rsidP="003B1402">
      <w:pPr>
        <w:spacing w:after="240"/>
        <w:ind w:left="567" w:hanging="567"/>
        <w:rPr>
          <w:iCs/>
          <w:szCs w:val="28"/>
        </w:rPr>
      </w:pPr>
      <w:r>
        <w:rPr>
          <w:iCs/>
          <w:szCs w:val="28"/>
        </w:rPr>
        <w:t>32</w:t>
      </w:r>
      <w:r w:rsidRPr="006427D6">
        <w:rPr>
          <w:iCs/>
          <w:szCs w:val="28"/>
        </w:rPr>
        <w:t>.</w:t>
      </w:r>
      <w:r w:rsidRPr="006427D6">
        <w:rPr>
          <w:iCs/>
          <w:szCs w:val="28"/>
        </w:rPr>
        <w:tab/>
        <w:t xml:space="preserve">Sírvanse </w:t>
      </w:r>
      <w:r>
        <w:rPr>
          <w:iCs/>
          <w:szCs w:val="28"/>
        </w:rPr>
        <w:t>dar</w:t>
      </w:r>
      <w:r w:rsidRPr="006427D6">
        <w:rPr>
          <w:iCs/>
          <w:szCs w:val="28"/>
        </w:rPr>
        <w:t xml:space="preserve"> información sobre las denuncias recibidas por el Comité </w:t>
      </w:r>
      <w:r>
        <w:rPr>
          <w:iCs/>
          <w:szCs w:val="28"/>
        </w:rPr>
        <w:t>en el sentido</w:t>
      </w:r>
      <w:r w:rsidRPr="006427D6">
        <w:rPr>
          <w:iCs/>
          <w:szCs w:val="28"/>
        </w:rPr>
        <w:t xml:space="preserve"> de que los "detenidos </w:t>
      </w:r>
      <w:r>
        <w:rPr>
          <w:iCs/>
          <w:szCs w:val="28"/>
        </w:rPr>
        <w:t xml:space="preserve">por motivos </w:t>
      </w:r>
      <w:r w:rsidRPr="006427D6">
        <w:rPr>
          <w:iCs/>
          <w:szCs w:val="28"/>
        </w:rPr>
        <w:t xml:space="preserve">de seguridad" palestinos </w:t>
      </w:r>
      <w:r>
        <w:rPr>
          <w:iCs/>
          <w:szCs w:val="28"/>
        </w:rPr>
        <w:t xml:space="preserve">están </w:t>
      </w:r>
      <w:r w:rsidRPr="006427D6">
        <w:rPr>
          <w:iCs/>
          <w:szCs w:val="28"/>
        </w:rPr>
        <w:t xml:space="preserve">recluidos en régimen de </w:t>
      </w:r>
      <w:r>
        <w:rPr>
          <w:iCs/>
          <w:szCs w:val="28"/>
        </w:rPr>
        <w:t>aislamiento</w:t>
      </w:r>
      <w:r w:rsidRPr="006427D6">
        <w:rPr>
          <w:iCs/>
          <w:szCs w:val="28"/>
        </w:rPr>
        <w:t xml:space="preserve"> en los centros de interrogatorio, en celdas de entre </w:t>
      </w:r>
      <w:r>
        <w:rPr>
          <w:iCs/>
          <w:szCs w:val="28"/>
        </w:rPr>
        <w:t>3 y 6 m</w:t>
      </w:r>
      <w:r>
        <w:rPr>
          <w:iCs/>
          <w:szCs w:val="28"/>
          <w:vertAlign w:val="superscript"/>
        </w:rPr>
        <w:t>2</w:t>
      </w:r>
      <w:r w:rsidRPr="006427D6">
        <w:rPr>
          <w:iCs/>
          <w:szCs w:val="28"/>
        </w:rPr>
        <w:t>, sin ventanas ni luz natural ni aire</w:t>
      </w:r>
      <w:r>
        <w:rPr>
          <w:iCs/>
          <w:szCs w:val="28"/>
        </w:rPr>
        <w:t xml:space="preserve">. </w:t>
      </w:r>
      <w:r w:rsidRPr="006427D6">
        <w:rPr>
          <w:iCs/>
          <w:szCs w:val="28"/>
        </w:rPr>
        <w:t xml:space="preserve"> Sírvanse explicar las circunstancias en que </w:t>
      </w:r>
      <w:r>
        <w:rPr>
          <w:iCs/>
          <w:szCs w:val="28"/>
        </w:rPr>
        <w:t>el Reglamento de P</w:t>
      </w:r>
      <w:r w:rsidRPr="006427D6">
        <w:rPr>
          <w:iCs/>
          <w:szCs w:val="28"/>
        </w:rPr>
        <w:t xml:space="preserve">rocedimiento </w:t>
      </w:r>
      <w:r>
        <w:rPr>
          <w:iCs/>
          <w:szCs w:val="28"/>
        </w:rPr>
        <w:t>P</w:t>
      </w:r>
      <w:r w:rsidRPr="006427D6">
        <w:rPr>
          <w:iCs/>
          <w:szCs w:val="28"/>
        </w:rPr>
        <w:t>enal, que establece las condiciones mínimas de la detención</w:t>
      </w:r>
      <w:r>
        <w:rPr>
          <w:iCs/>
          <w:szCs w:val="28"/>
        </w:rPr>
        <w:t>,</w:t>
      </w:r>
      <w:r w:rsidRPr="006427D6">
        <w:rPr>
          <w:iCs/>
          <w:szCs w:val="28"/>
        </w:rPr>
        <w:t xml:space="preserve"> es aplicable a los </w:t>
      </w:r>
      <w:r>
        <w:rPr>
          <w:iCs/>
          <w:szCs w:val="28"/>
        </w:rPr>
        <w:t xml:space="preserve">detenidos por motivos </w:t>
      </w:r>
      <w:r w:rsidRPr="006427D6">
        <w:rPr>
          <w:iCs/>
          <w:szCs w:val="28"/>
        </w:rPr>
        <w:t>de seguridad</w:t>
      </w:r>
      <w:r>
        <w:rPr>
          <w:iCs/>
          <w:szCs w:val="28"/>
        </w:rPr>
        <w:t xml:space="preserve">. </w:t>
      </w:r>
      <w:r w:rsidRPr="006427D6">
        <w:rPr>
          <w:iCs/>
          <w:szCs w:val="28"/>
        </w:rPr>
        <w:t xml:space="preserve"> Sírvanse facilitar estadísticas e información sobre las denuncias de esas condiciones y </w:t>
      </w:r>
      <w:r>
        <w:rPr>
          <w:iCs/>
          <w:szCs w:val="28"/>
        </w:rPr>
        <w:t>sobre el</w:t>
      </w:r>
      <w:r w:rsidRPr="006427D6">
        <w:rPr>
          <w:iCs/>
          <w:szCs w:val="28"/>
        </w:rPr>
        <w:t xml:space="preserve"> resultado</w:t>
      </w:r>
      <w:r>
        <w:rPr>
          <w:iCs/>
          <w:szCs w:val="28"/>
        </w:rPr>
        <w:t xml:space="preserve"> de esas denuncias</w:t>
      </w:r>
      <w:r w:rsidRPr="006427D6">
        <w:rPr>
          <w:iCs/>
          <w:szCs w:val="28"/>
        </w:rPr>
        <w:t>.</w:t>
      </w:r>
    </w:p>
    <w:p w:rsidR="003B1402" w:rsidRPr="006427D6" w:rsidRDefault="003B1402" w:rsidP="003B1402">
      <w:pPr>
        <w:spacing w:after="240"/>
        <w:ind w:left="567" w:hanging="567"/>
        <w:rPr>
          <w:iCs/>
          <w:szCs w:val="28"/>
        </w:rPr>
      </w:pPr>
      <w:r>
        <w:rPr>
          <w:iCs/>
          <w:szCs w:val="28"/>
        </w:rPr>
        <w:t>33</w:t>
      </w:r>
      <w:r w:rsidRPr="006427D6">
        <w:rPr>
          <w:iCs/>
          <w:szCs w:val="28"/>
        </w:rPr>
        <w:t>.</w:t>
      </w:r>
      <w:r w:rsidRPr="006427D6">
        <w:rPr>
          <w:iCs/>
          <w:szCs w:val="28"/>
        </w:rPr>
        <w:tab/>
        <w:t xml:space="preserve">¿Qué medidas ha adoptado el </w:t>
      </w:r>
      <w:r>
        <w:rPr>
          <w:iCs/>
          <w:szCs w:val="28"/>
        </w:rPr>
        <w:t>Estado parte</w:t>
      </w:r>
      <w:r w:rsidRPr="006427D6">
        <w:rPr>
          <w:iCs/>
          <w:szCs w:val="28"/>
        </w:rPr>
        <w:t xml:space="preserve"> para poner en práctica la </w:t>
      </w:r>
      <w:r>
        <w:rPr>
          <w:iCs/>
          <w:szCs w:val="28"/>
        </w:rPr>
        <w:t xml:space="preserve">anterior </w:t>
      </w:r>
      <w:r w:rsidRPr="006427D6">
        <w:rPr>
          <w:iCs/>
          <w:szCs w:val="28"/>
        </w:rPr>
        <w:t xml:space="preserve">recomendación </w:t>
      </w:r>
      <w:r>
        <w:rPr>
          <w:iCs/>
          <w:szCs w:val="28"/>
        </w:rPr>
        <w:t>del</w:t>
      </w:r>
      <w:r w:rsidRPr="006427D6">
        <w:rPr>
          <w:iCs/>
          <w:szCs w:val="28"/>
        </w:rPr>
        <w:t xml:space="preserve"> Comité</w:t>
      </w:r>
      <w:r>
        <w:rPr>
          <w:rStyle w:val="FootnoteReference"/>
          <w:iCs/>
          <w:szCs w:val="28"/>
        </w:rPr>
        <w:footnoteReference w:id="29"/>
      </w:r>
      <w:r w:rsidRPr="006427D6">
        <w:rPr>
          <w:iCs/>
          <w:szCs w:val="28"/>
        </w:rPr>
        <w:t xml:space="preserve"> </w:t>
      </w:r>
      <w:r>
        <w:rPr>
          <w:iCs/>
          <w:szCs w:val="28"/>
        </w:rPr>
        <w:t xml:space="preserve">en el sentido </w:t>
      </w:r>
      <w:r w:rsidRPr="006427D6">
        <w:rPr>
          <w:iCs/>
          <w:szCs w:val="28"/>
        </w:rPr>
        <w:t xml:space="preserve">de que desistiera de sus políticas de </w:t>
      </w:r>
      <w:r>
        <w:rPr>
          <w:iCs/>
          <w:szCs w:val="28"/>
        </w:rPr>
        <w:t>desalojo</w:t>
      </w:r>
      <w:r w:rsidRPr="006427D6">
        <w:rPr>
          <w:iCs/>
          <w:szCs w:val="28"/>
        </w:rPr>
        <w:t xml:space="preserve"> y demolición de viviendas cuando contravinieran el artículo 16?</w:t>
      </w:r>
    </w:p>
    <w:p w:rsidR="003B1402" w:rsidRPr="006427D6" w:rsidRDefault="003B1402" w:rsidP="003B1402">
      <w:pPr>
        <w:spacing w:after="240"/>
        <w:ind w:left="567" w:hanging="567"/>
        <w:rPr>
          <w:iCs/>
          <w:szCs w:val="28"/>
        </w:rPr>
      </w:pPr>
      <w:r>
        <w:rPr>
          <w:iCs/>
          <w:szCs w:val="28"/>
        </w:rPr>
        <w:t>34</w:t>
      </w:r>
      <w:r w:rsidRPr="006427D6">
        <w:rPr>
          <w:iCs/>
          <w:szCs w:val="28"/>
        </w:rPr>
        <w:t>.</w:t>
      </w:r>
      <w:r w:rsidRPr="006427D6">
        <w:rPr>
          <w:iCs/>
          <w:szCs w:val="28"/>
        </w:rPr>
        <w:tab/>
        <w:t xml:space="preserve">Según la información </w:t>
      </w:r>
      <w:r>
        <w:rPr>
          <w:iCs/>
          <w:szCs w:val="28"/>
        </w:rPr>
        <w:t xml:space="preserve">de que dispone </w:t>
      </w:r>
      <w:r w:rsidRPr="006427D6">
        <w:rPr>
          <w:iCs/>
          <w:szCs w:val="28"/>
        </w:rPr>
        <w:t xml:space="preserve">el Comité, el ejército israelí se ha servido de civiles palestinos en situaciones a veces peligrosas, por ejemplo "llamar a casa del vecino". </w:t>
      </w:r>
      <w:r>
        <w:rPr>
          <w:iCs/>
          <w:szCs w:val="28"/>
        </w:rPr>
        <w:t xml:space="preserve"> </w:t>
      </w:r>
      <w:r w:rsidRPr="006427D6">
        <w:rPr>
          <w:iCs/>
          <w:szCs w:val="28"/>
        </w:rPr>
        <w:t xml:space="preserve">Sírvanse informar </w:t>
      </w:r>
      <w:r>
        <w:rPr>
          <w:iCs/>
          <w:szCs w:val="28"/>
        </w:rPr>
        <w:t>sobre la utilización</w:t>
      </w:r>
      <w:r w:rsidRPr="006427D6">
        <w:rPr>
          <w:iCs/>
          <w:szCs w:val="28"/>
        </w:rPr>
        <w:t xml:space="preserve"> </w:t>
      </w:r>
      <w:r>
        <w:rPr>
          <w:iCs/>
          <w:szCs w:val="28"/>
        </w:rPr>
        <w:t xml:space="preserve">eventual </w:t>
      </w:r>
      <w:r w:rsidRPr="006427D6">
        <w:rPr>
          <w:iCs/>
          <w:szCs w:val="28"/>
        </w:rPr>
        <w:t xml:space="preserve">actual de esa práctica, y </w:t>
      </w:r>
      <w:r>
        <w:rPr>
          <w:iCs/>
          <w:szCs w:val="28"/>
        </w:rPr>
        <w:t>sobre</w:t>
      </w:r>
      <w:r w:rsidRPr="006427D6">
        <w:rPr>
          <w:iCs/>
          <w:szCs w:val="28"/>
        </w:rPr>
        <w:t xml:space="preserve"> las medidas adoptadas por el </w:t>
      </w:r>
      <w:r>
        <w:rPr>
          <w:iCs/>
          <w:szCs w:val="28"/>
        </w:rPr>
        <w:t>Estado parte</w:t>
      </w:r>
      <w:r w:rsidRPr="006427D6">
        <w:rPr>
          <w:iCs/>
          <w:szCs w:val="28"/>
        </w:rPr>
        <w:t xml:space="preserve"> para prevenirla o investigarla debidamente.</w:t>
      </w:r>
    </w:p>
    <w:p w:rsidR="003B1402" w:rsidRPr="006427D6" w:rsidRDefault="003B1402" w:rsidP="003B1402">
      <w:pPr>
        <w:spacing w:after="240"/>
        <w:ind w:left="567" w:hanging="567"/>
        <w:rPr>
          <w:iCs/>
          <w:szCs w:val="28"/>
        </w:rPr>
      </w:pPr>
      <w:r>
        <w:rPr>
          <w:iCs/>
          <w:szCs w:val="28"/>
        </w:rPr>
        <w:t>35</w:t>
      </w:r>
      <w:r w:rsidRPr="006427D6">
        <w:rPr>
          <w:iCs/>
          <w:szCs w:val="28"/>
        </w:rPr>
        <w:t>.</w:t>
      </w:r>
      <w:r w:rsidRPr="006427D6">
        <w:rPr>
          <w:iCs/>
          <w:szCs w:val="28"/>
        </w:rPr>
        <w:tab/>
        <w:t xml:space="preserve">Según la información del Comité, todas las cárceles donde se mantiene a </w:t>
      </w:r>
      <w:r>
        <w:rPr>
          <w:iCs/>
          <w:szCs w:val="28"/>
        </w:rPr>
        <w:t xml:space="preserve">palestinos </w:t>
      </w:r>
      <w:r w:rsidRPr="006427D6">
        <w:rPr>
          <w:iCs/>
          <w:szCs w:val="28"/>
        </w:rPr>
        <w:t xml:space="preserve">detenidos </w:t>
      </w:r>
      <w:r>
        <w:rPr>
          <w:iCs/>
          <w:szCs w:val="28"/>
        </w:rPr>
        <w:t xml:space="preserve">por motivos </w:t>
      </w:r>
      <w:r w:rsidRPr="006427D6">
        <w:rPr>
          <w:iCs/>
          <w:szCs w:val="28"/>
        </w:rPr>
        <w:t>de seguridad se encuentran en Israel, con una sola excepción,</w:t>
      </w:r>
      <w:r>
        <w:rPr>
          <w:iCs/>
          <w:szCs w:val="28"/>
        </w:rPr>
        <w:t xml:space="preserve"> </w:t>
      </w:r>
      <w:r w:rsidRPr="006427D6">
        <w:rPr>
          <w:iCs/>
          <w:szCs w:val="28"/>
        </w:rPr>
        <w:t xml:space="preserve">lo que impide a los presos recibir visitas de </w:t>
      </w:r>
      <w:r>
        <w:rPr>
          <w:iCs/>
          <w:szCs w:val="28"/>
        </w:rPr>
        <w:t xml:space="preserve">sus </w:t>
      </w:r>
      <w:r w:rsidRPr="006427D6">
        <w:rPr>
          <w:iCs/>
          <w:szCs w:val="28"/>
        </w:rPr>
        <w:t xml:space="preserve">familiares, ya que a éstos se les deniegan los permisos de entrada a Israel. </w:t>
      </w:r>
      <w:r>
        <w:rPr>
          <w:iCs/>
          <w:szCs w:val="28"/>
        </w:rPr>
        <w:t xml:space="preserve"> </w:t>
      </w:r>
      <w:r w:rsidRPr="006427D6">
        <w:rPr>
          <w:iCs/>
          <w:szCs w:val="28"/>
        </w:rPr>
        <w:t xml:space="preserve">Sírvanse facilitar información </w:t>
      </w:r>
      <w:r>
        <w:rPr>
          <w:iCs/>
          <w:szCs w:val="28"/>
        </w:rPr>
        <w:t>detallada</w:t>
      </w:r>
      <w:r w:rsidRPr="006427D6">
        <w:rPr>
          <w:iCs/>
          <w:szCs w:val="28"/>
        </w:rPr>
        <w:t xml:space="preserve"> y reciente sobre la manera en que el </w:t>
      </w:r>
      <w:r>
        <w:rPr>
          <w:iCs/>
          <w:szCs w:val="28"/>
        </w:rPr>
        <w:t>Estado parte</w:t>
      </w:r>
      <w:r w:rsidRPr="006427D6">
        <w:rPr>
          <w:iCs/>
          <w:szCs w:val="28"/>
        </w:rPr>
        <w:t xml:space="preserve"> permite a los presos palestinos recibir visitas </w:t>
      </w:r>
      <w:r>
        <w:rPr>
          <w:iCs/>
          <w:szCs w:val="28"/>
        </w:rPr>
        <w:t xml:space="preserve">de </w:t>
      </w:r>
      <w:r w:rsidRPr="006427D6">
        <w:rPr>
          <w:iCs/>
          <w:szCs w:val="28"/>
        </w:rPr>
        <w:t xml:space="preserve">familiares y </w:t>
      </w:r>
      <w:r>
        <w:rPr>
          <w:iCs/>
          <w:szCs w:val="28"/>
        </w:rPr>
        <w:t xml:space="preserve">sobre </w:t>
      </w:r>
      <w:r w:rsidRPr="006427D6">
        <w:rPr>
          <w:iCs/>
          <w:szCs w:val="28"/>
        </w:rPr>
        <w:t xml:space="preserve">las restricciones aplicables, y </w:t>
      </w:r>
      <w:r>
        <w:rPr>
          <w:iCs/>
          <w:szCs w:val="28"/>
        </w:rPr>
        <w:t>proporcionar</w:t>
      </w:r>
      <w:r w:rsidRPr="006427D6">
        <w:rPr>
          <w:iCs/>
          <w:szCs w:val="28"/>
        </w:rPr>
        <w:t xml:space="preserve"> estadísticas </w:t>
      </w:r>
      <w:r>
        <w:rPr>
          <w:iCs/>
          <w:szCs w:val="28"/>
        </w:rPr>
        <w:t>detalladas</w:t>
      </w:r>
      <w:r w:rsidRPr="006427D6">
        <w:rPr>
          <w:iCs/>
          <w:szCs w:val="28"/>
        </w:rPr>
        <w:t xml:space="preserve"> de las visitas.</w:t>
      </w:r>
    </w:p>
    <w:p w:rsidR="003B1402" w:rsidRDefault="003B1402" w:rsidP="003B1402">
      <w:pPr>
        <w:spacing w:after="240"/>
        <w:ind w:left="567" w:hanging="567"/>
        <w:rPr>
          <w:iCs/>
          <w:szCs w:val="28"/>
        </w:rPr>
      </w:pPr>
      <w:r>
        <w:rPr>
          <w:iCs/>
          <w:szCs w:val="28"/>
        </w:rPr>
        <w:t>36.</w:t>
      </w:r>
      <w:r w:rsidRPr="006427D6">
        <w:rPr>
          <w:iCs/>
          <w:szCs w:val="28"/>
        </w:rPr>
        <w:tab/>
        <w:t xml:space="preserve">Sírvanse facilitar información detallada y reciente sobre las denuncias de </w:t>
      </w:r>
      <w:r>
        <w:rPr>
          <w:iCs/>
          <w:szCs w:val="28"/>
        </w:rPr>
        <w:t>que algunos</w:t>
      </w:r>
      <w:r w:rsidRPr="006427D6">
        <w:rPr>
          <w:iCs/>
          <w:szCs w:val="28"/>
        </w:rPr>
        <w:t xml:space="preserve"> objetores de conciencia, hombres y mujeres, que se oponen a la ocupación de los territorios palestinos por Israel han sido encarcelados por períodos de hasta cuatro meses.</w:t>
      </w:r>
    </w:p>
    <w:p w:rsidR="003B1402" w:rsidRDefault="003B1402" w:rsidP="003B1402">
      <w:pPr>
        <w:spacing w:after="240"/>
        <w:ind w:left="567" w:hanging="567"/>
        <w:rPr>
          <w:snapToGrid w:val="0"/>
        </w:rPr>
      </w:pPr>
      <w:r>
        <w:rPr>
          <w:snapToGrid w:val="0"/>
        </w:rPr>
        <w:t>37.</w:t>
      </w:r>
      <w:r>
        <w:rPr>
          <w:snapToGrid w:val="0"/>
        </w:rPr>
        <w:tab/>
        <w:t>Sírvanse proporcionar información sobre las disposiciones legislativas y de otra índole que eventualmente haya adoptado el Estado parte para prevenir la violencia doméstica y para tipificar dichos actos como delito.  Sírvanse proporcionar información sobre el número de denuncias de violencia doméstica que han sido investigadas y sobre las que han dado lugar a encausamiento y condena de los autores.</w:t>
      </w:r>
    </w:p>
    <w:p w:rsidR="003B1402" w:rsidRPr="00C820BE" w:rsidRDefault="003B1402" w:rsidP="003B1402">
      <w:pPr>
        <w:spacing w:after="240"/>
        <w:ind w:left="567" w:hanging="567"/>
        <w:rPr>
          <w:snapToGrid w:val="0"/>
        </w:rPr>
      </w:pPr>
      <w:r>
        <w:rPr>
          <w:snapToGrid w:val="0"/>
        </w:rPr>
        <w:t>38.</w:t>
      </w:r>
      <w:r>
        <w:rPr>
          <w:snapToGrid w:val="0"/>
        </w:rPr>
        <w:tab/>
        <w:t>Según la Opinión Consultiva de la Corte Internacional de Justicia de 9 de julio de 2004, el muro de separación, una parte considerable del cual se está construyendo fuera de la línea verde, constituye una restricción de la libertad de movimiento de los palestinos</w:t>
      </w:r>
      <w:r>
        <w:rPr>
          <w:rStyle w:val="FootnoteReference"/>
          <w:snapToGrid w:val="0"/>
        </w:rPr>
        <w:footnoteReference w:id="30"/>
      </w:r>
      <w:r>
        <w:rPr>
          <w:snapToGrid w:val="0"/>
        </w:rPr>
        <w:t xml:space="preserve">.  El Comité tiene noticia de que numerosos agricultores han quedado privados de acceso a su tierra, y por tanto, han perdido su medio de vida tras la construcción del muro de separación.  Este trato infligido a los palestinos constituye una presunta violación del artículo 16 de la Convención.  Se afirma también que, si bien los palestinos tienen un derecho de petición ante el </w:t>
      </w:r>
      <w:r w:rsidRPr="006E71C5">
        <w:rPr>
          <w:i/>
          <w:snapToGrid w:val="0"/>
        </w:rPr>
        <w:t>High Court</w:t>
      </w:r>
      <w:r>
        <w:rPr>
          <w:snapToGrid w:val="0"/>
        </w:rPr>
        <w:t xml:space="preserve"> contra el trazado del muro de separación, las peticiones han sido desestimadas en numerosos casos y, cuando se ha tomado la decisión de modificar el trazado, las autoridades israelíes no han dado cumplimiento a dichas decisiones.  Sírvanse comentar sobre las alegaciones que anteceden, teniendo en cuenta las obligaciones impuestas al Estado parte por los artículos 12 y 16 de la Convención, y, en su caso, por otras disposiciones pertinentes del derecho internacional.</w:t>
      </w:r>
    </w:p>
    <w:p w:rsidR="003B1402" w:rsidRPr="004354B5" w:rsidRDefault="003B1402" w:rsidP="003B1402">
      <w:pPr>
        <w:keepNext/>
        <w:spacing w:after="240"/>
        <w:rPr>
          <w:b/>
          <w:bCs/>
          <w:iCs/>
          <w:szCs w:val="28"/>
        </w:rPr>
      </w:pPr>
      <w:r w:rsidRPr="004354B5">
        <w:rPr>
          <w:b/>
          <w:bCs/>
          <w:iCs/>
          <w:szCs w:val="28"/>
        </w:rPr>
        <w:t>Otros asuntos</w:t>
      </w:r>
    </w:p>
    <w:p w:rsidR="003B1402" w:rsidRDefault="003B1402" w:rsidP="003B1402">
      <w:pPr>
        <w:spacing w:after="240"/>
        <w:ind w:left="567" w:hanging="567"/>
        <w:rPr>
          <w:iCs/>
          <w:szCs w:val="28"/>
        </w:rPr>
      </w:pPr>
      <w:r>
        <w:rPr>
          <w:iCs/>
          <w:szCs w:val="28"/>
        </w:rPr>
        <w:t>39</w:t>
      </w:r>
      <w:r w:rsidRPr="006427D6">
        <w:rPr>
          <w:iCs/>
          <w:szCs w:val="28"/>
        </w:rPr>
        <w:t>.</w:t>
      </w:r>
      <w:r w:rsidRPr="006427D6">
        <w:rPr>
          <w:iCs/>
          <w:szCs w:val="28"/>
        </w:rPr>
        <w:tab/>
        <w:t xml:space="preserve">¿Ha considerado el </w:t>
      </w:r>
      <w:r>
        <w:rPr>
          <w:iCs/>
          <w:szCs w:val="28"/>
        </w:rPr>
        <w:t>Estado parte</w:t>
      </w:r>
      <w:r w:rsidRPr="006427D6">
        <w:rPr>
          <w:iCs/>
          <w:szCs w:val="28"/>
        </w:rPr>
        <w:t xml:space="preserve"> la posibilidad de retirar su reserva al artículo 20?</w:t>
      </w:r>
    </w:p>
    <w:p w:rsidR="003B1402" w:rsidRPr="006427D6" w:rsidRDefault="003B1402" w:rsidP="003B1402">
      <w:pPr>
        <w:spacing w:after="240"/>
        <w:ind w:left="567" w:hanging="567"/>
        <w:rPr>
          <w:iCs/>
          <w:szCs w:val="28"/>
        </w:rPr>
      </w:pPr>
      <w:r>
        <w:rPr>
          <w:iCs/>
          <w:szCs w:val="28"/>
        </w:rPr>
        <w:t>40</w:t>
      </w:r>
      <w:r w:rsidRPr="006427D6">
        <w:rPr>
          <w:iCs/>
          <w:szCs w:val="28"/>
        </w:rPr>
        <w:t>.</w:t>
      </w:r>
      <w:r w:rsidRPr="006427D6">
        <w:rPr>
          <w:iCs/>
          <w:szCs w:val="28"/>
        </w:rPr>
        <w:tab/>
        <w:t xml:space="preserve">¿Estudia el </w:t>
      </w:r>
      <w:r>
        <w:rPr>
          <w:iCs/>
          <w:szCs w:val="28"/>
        </w:rPr>
        <w:t>Estado parte</w:t>
      </w:r>
      <w:r w:rsidRPr="006427D6">
        <w:rPr>
          <w:iCs/>
          <w:szCs w:val="28"/>
        </w:rPr>
        <w:t xml:space="preserve"> la posibilidad de formular las declaraciones previstas en el artículo</w:t>
      </w:r>
      <w:r>
        <w:rPr>
          <w:iCs/>
          <w:szCs w:val="28"/>
        </w:rPr>
        <w:t> </w:t>
      </w:r>
      <w:r w:rsidRPr="006427D6">
        <w:rPr>
          <w:iCs/>
          <w:szCs w:val="28"/>
        </w:rPr>
        <w:t>22?</w:t>
      </w:r>
    </w:p>
    <w:p w:rsidR="003B1402" w:rsidRPr="00C820BE" w:rsidRDefault="003B1402" w:rsidP="003B1402">
      <w:pPr>
        <w:spacing w:after="240"/>
        <w:ind w:left="567" w:hanging="567"/>
        <w:rPr>
          <w:snapToGrid w:val="0"/>
        </w:rPr>
      </w:pPr>
      <w:r>
        <w:rPr>
          <w:iCs/>
          <w:szCs w:val="28"/>
        </w:rPr>
        <w:t>41.</w:t>
      </w:r>
      <w:r>
        <w:rPr>
          <w:iCs/>
          <w:szCs w:val="28"/>
        </w:rPr>
        <w:tab/>
        <w:t>¿Proyecta</w:t>
      </w:r>
      <w:r w:rsidRPr="006427D6">
        <w:rPr>
          <w:iCs/>
          <w:szCs w:val="28"/>
        </w:rPr>
        <w:t xml:space="preserve"> el </w:t>
      </w:r>
      <w:r>
        <w:rPr>
          <w:iCs/>
          <w:szCs w:val="28"/>
        </w:rPr>
        <w:t>Estado parte</w:t>
      </w:r>
      <w:r w:rsidRPr="006427D6">
        <w:rPr>
          <w:iCs/>
          <w:szCs w:val="28"/>
        </w:rPr>
        <w:t xml:space="preserve"> ratificar el Protocolo Facultativo de la Convención? </w:t>
      </w:r>
      <w:r>
        <w:rPr>
          <w:iCs/>
          <w:szCs w:val="28"/>
        </w:rPr>
        <w:t xml:space="preserve"> </w:t>
      </w:r>
      <w:r w:rsidRPr="006427D6">
        <w:rPr>
          <w:iCs/>
          <w:szCs w:val="28"/>
        </w:rPr>
        <w:t>En caso afirmativo, ¿ha adoptado alguna medida para establecer o designar un mecanismo nacional que realice visitas periódicas a los centros de privación de libertad para prevenir la tortura y otros tratos o penas crueles, inhumanos o degradantes?</w:t>
      </w:r>
    </w:p>
    <w:p w:rsidR="00941D4E" w:rsidRPr="00C820BE" w:rsidRDefault="006E71C5" w:rsidP="006E71C5">
      <w:pPr>
        <w:adjustRightInd w:val="0"/>
        <w:snapToGrid w:val="0"/>
        <w:spacing w:after="240"/>
        <w:jc w:val="center"/>
        <w:rPr>
          <w:snapToGrid w:val="0"/>
        </w:rPr>
      </w:pPr>
      <w:r>
        <w:rPr>
          <w:snapToGrid w:val="0"/>
        </w:rPr>
        <w:t>-----</w:t>
      </w:r>
    </w:p>
    <w:sectPr w:rsidR="00941D4E" w:rsidRPr="00C820BE" w:rsidSect="007A6D9E">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3445" w:rsidRDefault="00813445">
      <w:r>
        <w:separator/>
      </w:r>
    </w:p>
  </w:endnote>
  <w:endnote w:type="continuationSeparator" w:id="0">
    <w:p w:rsidR="00813445" w:rsidRDefault="00813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3445" w:rsidRDefault="00813445">
      <w:r>
        <w:separator/>
      </w:r>
    </w:p>
  </w:footnote>
  <w:footnote w:type="continuationSeparator" w:id="0">
    <w:p w:rsidR="00813445" w:rsidRDefault="00813445">
      <w:r>
        <w:continuationSeparator/>
      </w:r>
    </w:p>
  </w:footnote>
  <w:footnote w:id="1">
    <w:p w:rsidR="007A6D9E" w:rsidRPr="007A6D9E" w:rsidRDefault="007A6D9E" w:rsidP="007A6D9E">
      <w:pPr>
        <w:pStyle w:val="FootnoteText"/>
        <w:spacing w:line="240" w:lineRule="auto"/>
        <w:rPr>
          <w:lang w:val="en-GB"/>
        </w:rPr>
      </w:pPr>
      <w:r>
        <w:rPr>
          <w:rStyle w:val="FootnoteReference"/>
        </w:rPr>
        <w:footnoteRef/>
      </w:r>
      <w:r>
        <w:t xml:space="preserve"> </w:t>
      </w:r>
      <w:r w:rsidRPr="007A6D9E">
        <w:rPr>
          <w:i/>
        </w:rPr>
        <w:t xml:space="preserve">Documentos oficiales de la Asamblea General, </w:t>
      </w:r>
      <w:r>
        <w:rPr>
          <w:i/>
        </w:rPr>
        <w:t xml:space="preserve">quincuagésimo séptimo </w:t>
      </w:r>
      <w:r w:rsidRPr="007A6D9E">
        <w:rPr>
          <w:i/>
        </w:rPr>
        <w:t xml:space="preserve"> período de sesiones, Suplemento Nº 44</w:t>
      </w:r>
      <w:r>
        <w:t xml:space="preserve"> (A/57/44), párrs. </w:t>
      </w:r>
      <w:r w:rsidRPr="007A6D9E">
        <w:rPr>
          <w:lang w:val="en-GB"/>
        </w:rPr>
        <w:t>47</w:t>
      </w:r>
      <w:r>
        <w:rPr>
          <w:lang w:val="en-GB"/>
        </w:rPr>
        <w:t xml:space="preserve"> a </w:t>
      </w:r>
      <w:r w:rsidRPr="007A6D9E">
        <w:rPr>
          <w:lang w:val="en-GB"/>
        </w:rPr>
        <w:t>53.</w:t>
      </w:r>
    </w:p>
  </w:footnote>
  <w:footnote w:id="2">
    <w:p w:rsidR="007A6D9E" w:rsidRDefault="007A6D9E" w:rsidP="007A6D9E">
      <w:pPr>
        <w:pStyle w:val="FootnoteText"/>
        <w:spacing w:after="480" w:line="240" w:lineRule="auto"/>
        <w:rPr>
          <w:lang w:val="en-GB"/>
        </w:rPr>
      </w:pPr>
      <w:r w:rsidRPr="004F7BD1">
        <w:rPr>
          <w:rStyle w:val="FootnoteReference"/>
        </w:rPr>
        <w:footnoteRef/>
      </w:r>
      <w:r>
        <w:rPr>
          <w:lang w:val="en-GB"/>
        </w:rPr>
        <w:t xml:space="preserve"> I</w:t>
      </w:r>
      <w:r w:rsidRPr="007A6D9E">
        <w:rPr>
          <w:lang w:val="en-GB"/>
        </w:rPr>
        <w:t>b</w:t>
      </w:r>
      <w:r>
        <w:rPr>
          <w:lang w:val="en-GB"/>
        </w:rPr>
        <w:t>í</w:t>
      </w:r>
      <w:r w:rsidRPr="007A6D9E">
        <w:rPr>
          <w:lang w:val="en-GB"/>
        </w:rPr>
        <w:t>d</w:t>
      </w:r>
      <w:r w:rsidR="003B1402">
        <w:rPr>
          <w:lang w:val="en-GB"/>
        </w:rPr>
        <w:t>.,</w:t>
      </w:r>
      <w:r w:rsidRPr="007A6D9E">
        <w:rPr>
          <w:lang w:val="en-GB"/>
        </w:rPr>
        <w:t xml:space="preserve"> párr</w:t>
      </w:r>
      <w:r w:rsidRPr="000F67CC">
        <w:rPr>
          <w:lang w:val="en-GB"/>
        </w:rPr>
        <w:t>. 53 a).</w:t>
      </w:r>
    </w:p>
    <w:p w:rsidR="007A6D9E" w:rsidRPr="004F7BD1" w:rsidRDefault="007A6D9E" w:rsidP="007A6D9E">
      <w:pPr>
        <w:pStyle w:val="FootnoteText"/>
        <w:spacing w:after="0" w:line="240" w:lineRule="auto"/>
        <w:rPr>
          <w:lang w:val="en-GB"/>
        </w:rPr>
      </w:pPr>
      <w:r>
        <w:rPr>
          <w:lang w:val="en-GB"/>
        </w:rPr>
        <w:t>GE.09-40565  (S)    240209    2</w:t>
      </w:r>
      <w:r w:rsidR="00F67D7E">
        <w:rPr>
          <w:lang w:val="en-GB"/>
        </w:rPr>
        <w:t>7</w:t>
      </w:r>
      <w:r>
        <w:rPr>
          <w:lang w:val="en-GB"/>
        </w:rPr>
        <w:t>0209</w:t>
      </w:r>
    </w:p>
  </w:footnote>
  <w:footnote w:id="3">
    <w:p w:rsidR="007A6D9E" w:rsidRPr="007A6D9E" w:rsidRDefault="007A6D9E" w:rsidP="007A6D9E">
      <w:pPr>
        <w:pStyle w:val="FootnoteText"/>
        <w:spacing w:line="240" w:lineRule="auto"/>
        <w:rPr>
          <w:lang w:val="en-GB"/>
        </w:rPr>
      </w:pPr>
      <w:r>
        <w:rPr>
          <w:rStyle w:val="FootnoteReference"/>
        </w:rPr>
        <w:footnoteRef/>
      </w:r>
      <w:r w:rsidRPr="007A6D9E">
        <w:rPr>
          <w:lang w:val="en-GB"/>
        </w:rPr>
        <w:t xml:space="preserve"> </w:t>
      </w:r>
      <w:r>
        <w:rPr>
          <w:lang w:val="en-GB"/>
        </w:rPr>
        <w:t>I</w:t>
      </w:r>
      <w:r w:rsidRPr="007A6D9E">
        <w:rPr>
          <w:lang w:val="en-GB"/>
        </w:rPr>
        <w:t>b</w:t>
      </w:r>
      <w:r>
        <w:rPr>
          <w:lang w:val="en-GB"/>
        </w:rPr>
        <w:t>í</w:t>
      </w:r>
      <w:r w:rsidRPr="007A6D9E">
        <w:rPr>
          <w:lang w:val="en-GB"/>
        </w:rPr>
        <w:t>d</w:t>
      </w:r>
      <w:r w:rsidR="003B1402">
        <w:rPr>
          <w:lang w:val="en-GB"/>
        </w:rPr>
        <w:t>.,</w:t>
      </w:r>
      <w:r w:rsidRPr="000F67CC">
        <w:rPr>
          <w:lang w:val="en-GB"/>
        </w:rPr>
        <w:t xml:space="preserve"> párr.</w:t>
      </w:r>
      <w:r>
        <w:rPr>
          <w:lang w:val="en-GB"/>
        </w:rPr>
        <w:t xml:space="preserve"> 53 i).</w:t>
      </w:r>
    </w:p>
  </w:footnote>
  <w:footnote w:id="4">
    <w:p w:rsidR="007A6D9E" w:rsidRPr="007A6D9E" w:rsidRDefault="007A6D9E" w:rsidP="007A6D9E">
      <w:pPr>
        <w:pStyle w:val="FootnoteText"/>
        <w:spacing w:line="240" w:lineRule="auto"/>
      </w:pPr>
      <w:r w:rsidRPr="004F7BD1">
        <w:rPr>
          <w:rStyle w:val="FootnoteReference"/>
        </w:rPr>
        <w:footnoteRef/>
      </w:r>
      <w:r w:rsidRPr="004F7BD1">
        <w:rPr>
          <w:lang w:val="en-US"/>
        </w:rPr>
        <w:t xml:space="preserve"> CAT/C/ISR/4, p</w:t>
      </w:r>
      <w:r>
        <w:rPr>
          <w:lang w:val="en-US"/>
        </w:rPr>
        <w:t>árr</w:t>
      </w:r>
      <w:r w:rsidRPr="004F7BD1">
        <w:rPr>
          <w:lang w:val="en-US"/>
        </w:rPr>
        <w:t xml:space="preserve">. </w:t>
      </w:r>
      <w:r w:rsidRPr="007A6D9E">
        <w:t>90.</w:t>
      </w:r>
    </w:p>
  </w:footnote>
  <w:footnote w:id="5">
    <w:p w:rsidR="007A6D9E" w:rsidRDefault="007A6D9E" w:rsidP="007A6D9E">
      <w:pPr>
        <w:pStyle w:val="FootnoteText"/>
        <w:spacing w:line="240" w:lineRule="auto"/>
      </w:pPr>
      <w:r>
        <w:rPr>
          <w:rStyle w:val="FootnoteReference"/>
        </w:rPr>
        <w:footnoteRef/>
      </w:r>
      <w:r>
        <w:t xml:space="preserve"> A/57/44, párr. 52 e).</w:t>
      </w:r>
    </w:p>
  </w:footnote>
  <w:footnote w:id="6">
    <w:p w:rsidR="007A6D9E" w:rsidRDefault="007A6D9E" w:rsidP="007A6D9E">
      <w:pPr>
        <w:pStyle w:val="FootnoteText"/>
        <w:spacing w:line="240" w:lineRule="auto"/>
      </w:pPr>
      <w:r>
        <w:rPr>
          <w:rStyle w:val="FootnoteReference"/>
        </w:rPr>
        <w:footnoteRef/>
      </w:r>
      <w:r>
        <w:t xml:space="preserve"> </w:t>
      </w:r>
      <w:r w:rsidRPr="007A6D9E">
        <w:t>CAT/C/ISR/4, párr. 90.</w:t>
      </w:r>
    </w:p>
  </w:footnote>
  <w:footnote w:id="7">
    <w:p w:rsidR="007A6D9E" w:rsidRDefault="007A6D9E" w:rsidP="007A6D9E">
      <w:pPr>
        <w:pStyle w:val="FootnoteText"/>
        <w:spacing w:line="240" w:lineRule="auto"/>
      </w:pPr>
      <w:r>
        <w:rPr>
          <w:rStyle w:val="FootnoteReference"/>
        </w:rPr>
        <w:footnoteRef/>
      </w:r>
      <w:r>
        <w:t xml:space="preserve"> Informe del Relator Especial para la promoción y protección de los derechos humanos y las libertades fundamentales en la lucha contra el terrorismo, Martin Scheinin, Misión a Israel y territorio palestino ocupado (A/HCR/6/17/Add.4, párr. 25).</w:t>
      </w:r>
    </w:p>
  </w:footnote>
  <w:footnote w:id="8">
    <w:p w:rsidR="007A6D9E" w:rsidRPr="007A6D9E" w:rsidRDefault="007A6D9E" w:rsidP="007A6D9E">
      <w:pPr>
        <w:pStyle w:val="FootnoteText"/>
        <w:spacing w:line="240" w:lineRule="auto"/>
      </w:pPr>
      <w:r w:rsidRPr="004F7BD1">
        <w:rPr>
          <w:rStyle w:val="FootnoteReference"/>
        </w:rPr>
        <w:footnoteRef/>
      </w:r>
      <w:r w:rsidRPr="007A6D9E">
        <w:t xml:space="preserve"> A/57/44, párr. 53 c).</w:t>
      </w:r>
    </w:p>
  </w:footnote>
  <w:footnote w:id="9">
    <w:p w:rsidR="007A6D9E" w:rsidRDefault="007A6D9E" w:rsidP="007A6D9E">
      <w:pPr>
        <w:pStyle w:val="FootnoteText"/>
        <w:spacing w:line="240" w:lineRule="auto"/>
      </w:pPr>
      <w:r>
        <w:rPr>
          <w:rStyle w:val="FootnoteReference"/>
        </w:rPr>
        <w:footnoteRef/>
      </w:r>
      <w:r>
        <w:t xml:space="preserve"> CAT/C/ISR/4, párrs. 91</w:t>
      </w:r>
      <w:r w:rsidR="003B1402">
        <w:t xml:space="preserve"> a </w:t>
      </w:r>
      <w:r>
        <w:t>93.</w:t>
      </w:r>
    </w:p>
  </w:footnote>
  <w:footnote w:id="10">
    <w:p w:rsidR="007A6D9E" w:rsidRPr="007A6D9E" w:rsidRDefault="007A6D9E" w:rsidP="007A6D9E">
      <w:pPr>
        <w:pStyle w:val="FootnoteText"/>
        <w:spacing w:line="240" w:lineRule="auto"/>
      </w:pPr>
      <w:r w:rsidRPr="004F7BD1">
        <w:rPr>
          <w:rStyle w:val="FootnoteReference"/>
        </w:rPr>
        <w:footnoteRef/>
      </w:r>
      <w:r w:rsidRPr="007A6D9E">
        <w:t xml:space="preserve"> Artículo 78 de la</w:t>
      </w:r>
      <w:r w:rsidRPr="00EA146A">
        <w:rPr>
          <w:lang w:val="es-AR"/>
        </w:rPr>
        <w:t xml:space="preserve"> Orden</w:t>
      </w:r>
      <w:r w:rsidRPr="007A6D9E">
        <w:t xml:space="preserve"> militar</w:t>
      </w:r>
      <w:r w:rsidRPr="00EA146A">
        <w:rPr>
          <w:lang w:val="es-AR"/>
        </w:rPr>
        <w:t xml:space="preserve"> israelí</w:t>
      </w:r>
      <w:r w:rsidRPr="007A6D9E">
        <w:t xml:space="preserve"> Nº 378.</w:t>
      </w:r>
    </w:p>
  </w:footnote>
  <w:footnote w:id="11">
    <w:p w:rsidR="007A6D9E" w:rsidRPr="007A6D9E" w:rsidRDefault="007A6D9E" w:rsidP="007A6D9E">
      <w:pPr>
        <w:pStyle w:val="FootnoteText"/>
        <w:spacing w:line="240" w:lineRule="auto"/>
        <w:rPr>
          <w:lang w:val="en-GB"/>
        </w:rPr>
      </w:pPr>
      <w:r>
        <w:rPr>
          <w:rStyle w:val="FootnoteReference"/>
        </w:rPr>
        <w:footnoteRef/>
      </w:r>
      <w:r w:rsidRPr="007A6D9E">
        <w:rPr>
          <w:lang w:val="en-GB"/>
        </w:rPr>
        <w:t xml:space="preserve"> </w:t>
      </w:r>
      <w:r w:rsidRPr="004F7BD1">
        <w:rPr>
          <w:lang w:val="en-GB"/>
        </w:rPr>
        <w:t>CAT/C/ISR/4, p</w:t>
      </w:r>
      <w:r>
        <w:rPr>
          <w:lang w:val="en-GB"/>
        </w:rPr>
        <w:t>árr</w:t>
      </w:r>
      <w:r w:rsidRPr="004F7BD1">
        <w:rPr>
          <w:lang w:val="en-GB"/>
        </w:rPr>
        <w:t>s. 94</w:t>
      </w:r>
      <w:r w:rsidR="003B1402">
        <w:rPr>
          <w:lang w:val="en-GB"/>
        </w:rPr>
        <w:t xml:space="preserve"> a </w:t>
      </w:r>
      <w:r w:rsidRPr="004F7BD1">
        <w:rPr>
          <w:lang w:val="en-GB"/>
        </w:rPr>
        <w:t>100.</w:t>
      </w:r>
    </w:p>
  </w:footnote>
  <w:footnote w:id="12">
    <w:p w:rsidR="007A6D9E" w:rsidRPr="007A6D9E" w:rsidRDefault="007A6D9E" w:rsidP="007A6D9E">
      <w:pPr>
        <w:pStyle w:val="FootnoteText"/>
        <w:spacing w:line="240" w:lineRule="auto"/>
        <w:rPr>
          <w:lang w:val="en-GB"/>
        </w:rPr>
      </w:pPr>
      <w:r>
        <w:rPr>
          <w:rStyle w:val="FootnoteReference"/>
        </w:rPr>
        <w:footnoteRef/>
      </w:r>
      <w:r w:rsidRPr="007A6D9E">
        <w:rPr>
          <w:lang w:val="en-GB"/>
        </w:rPr>
        <w:t xml:space="preserve"> A/HRC/6/17/Add.4, párr. 24.</w:t>
      </w:r>
    </w:p>
  </w:footnote>
  <w:footnote w:id="13">
    <w:p w:rsidR="007A6D9E" w:rsidRPr="007A6D9E" w:rsidRDefault="007A6D9E" w:rsidP="007A6D9E">
      <w:pPr>
        <w:pStyle w:val="FootnoteText"/>
        <w:spacing w:line="240" w:lineRule="auto"/>
        <w:rPr>
          <w:lang w:val="en-GB"/>
        </w:rPr>
      </w:pPr>
      <w:r>
        <w:rPr>
          <w:rStyle w:val="FootnoteReference"/>
        </w:rPr>
        <w:footnoteRef/>
      </w:r>
      <w:r w:rsidRPr="007A6D9E">
        <w:rPr>
          <w:lang w:val="en-GB"/>
        </w:rPr>
        <w:t xml:space="preserve"> </w:t>
      </w:r>
      <w:r w:rsidRPr="004F7BD1">
        <w:rPr>
          <w:lang w:val="en-GB"/>
        </w:rPr>
        <w:t>CAT/C/ISR/4, p</w:t>
      </w:r>
      <w:r>
        <w:rPr>
          <w:lang w:val="en-GB"/>
        </w:rPr>
        <w:t>árr</w:t>
      </w:r>
      <w:r w:rsidRPr="004F7BD1">
        <w:rPr>
          <w:lang w:val="en-GB"/>
        </w:rPr>
        <w:t>. 77.</w:t>
      </w:r>
    </w:p>
  </w:footnote>
  <w:footnote w:id="14">
    <w:p w:rsidR="007A6D9E" w:rsidRPr="004F7BD1" w:rsidRDefault="007A6D9E" w:rsidP="007A6D9E">
      <w:pPr>
        <w:pStyle w:val="FootnoteText"/>
        <w:spacing w:line="240" w:lineRule="auto"/>
        <w:rPr>
          <w:lang w:val="en-GB"/>
        </w:rPr>
      </w:pPr>
      <w:r w:rsidRPr="004F7BD1">
        <w:rPr>
          <w:rStyle w:val="FootnoteReference"/>
        </w:rPr>
        <w:footnoteRef/>
      </w:r>
      <w:r w:rsidRPr="004F7BD1">
        <w:rPr>
          <w:lang w:val="en-GB"/>
        </w:rPr>
        <w:t xml:space="preserve"> HCJ 11447/04.</w:t>
      </w:r>
    </w:p>
  </w:footnote>
  <w:footnote w:id="15">
    <w:p w:rsidR="007A6D9E" w:rsidRDefault="007A6D9E" w:rsidP="007A6D9E">
      <w:pPr>
        <w:pStyle w:val="FootnoteText"/>
        <w:spacing w:line="240" w:lineRule="auto"/>
      </w:pPr>
      <w:r>
        <w:rPr>
          <w:rStyle w:val="FootnoteReference"/>
        </w:rPr>
        <w:footnoteRef/>
      </w:r>
      <w:r w:rsidRPr="007A6D9E">
        <w:rPr>
          <w:lang w:val="en-GB"/>
        </w:rPr>
        <w:t xml:space="preserve"> A/HRC/6/17/Add.4, párr. </w:t>
      </w:r>
      <w:r>
        <w:t>21.</w:t>
      </w:r>
    </w:p>
  </w:footnote>
  <w:footnote w:id="16">
    <w:p w:rsidR="007A6D9E" w:rsidRDefault="007A6D9E" w:rsidP="007A6D9E">
      <w:pPr>
        <w:pStyle w:val="FootnoteText"/>
        <w:spacing w:line="240" w:lineRule="auto"/>
      </w:pPr>
      <w:r>
        <w:rPr>
          <w:rStyle w:val="FootnoteReference"/>
        </w:rPr>
        <w:footnoteRef/>
      </w:r>
      <w:r>
        <w:t xml:space="preserve"> Informe del Relator Especial sobre la violencia contra la mujer, con inclusión de sus causas y consecuencias, Yakin Ertürk, Misión al territorio palestino ocupado (E/CN</w:t>
      </w:r>
      <w:r w:rsidR="003B1402">
        <w:t>.4</w:t>
      </w:r>
      <w:r>
        <w:t>/2005/72/Add.4), párr. 35.</w:t>
      </w:r>
    </w:p>
  </w:footnote>
  <w:footnote w:id="17">
    <w:p w:rsidR="007A6D9E" w:rsidRPr="003B1402" w:rsidRDefault="007A6D9E" w:rsidP="007A6D9E">
      <w:pPr>
        <w:pStyle w:val="FootnoteText"/>
        <w:spacing w:line="240" w:lineRule="auto"/>
      </w:pPr>
      <w:r>
        <w:rPr>
          <w:rStyle w:val="FootnoteReference"/>
        </w:rPr>
        <w:footnoteRef/>
      </w:r>
      <w:r>
        <w:t xml:space="preserve"> </w:t>
      </w:r>
      <w:r w:rsidR="003B1402">
        <w:t>I</w:t>
      </w:r>
      <w:r w:rsidRPr="003B1402">
        <w:t>b</w:t>
      </w:r>
      <w:r w:rsidR="003B1402">
        <w:t>í</w:t>
      </w:r>
      <w:r w:rsidRPr="003B1402">
        <w:t>d</w:t>
      </w:r>
      <w:r w:rsidR="003B1402">
        <w:t>.,</w:t>
      </w:r>
      <w:r w:rsidRPr="003B1402">
        <w:t xml:space="preserve"> párr. 39.</w:t>
      </w:r>
    </w:p>
  </w:footnote>
  <w:footnote w:id="18">
    <w:p w:rsidR="007A6D9E" w:rsidRDefault="007A6D9E" w:rsidP="007A6D9E">
      <w:pPr>
        <w:pStyle w:val="FootnoteText"/>
        <w:spacing w:line="240" w:lineRule="auto"/>
      </w:pPr>
      <w:r w:rsidRPr="003B1402">
        <w:rPr>
          <w:rStyle w:val="FootnoteReference"/>
        </w:rPr>
        <w:footnoteRef/>
      </w:r>
      <w:r w:rsidRPr="003B1402">
        <w:t xml:space="preserve"> </w:t>
      </w:r>
      <w:r w:rsidR="003B1402">
        <w:t>I</w:t>
      </w:r>
      <w:r w:rsidRPr="003B1402">
        <w:t>b</w:t>
      </w:r>
      <w:r w:rsidR="003B1402">
        <w:t>í</w:t>
      </w:r>
      <w:r w:rsidRPr="003B1402">
        <w:t>d</w:t>
      </w:r>
      <w:r w:rsidR="003B1402">
        <w:t>.,</w:t>
      </w:r>
      <w:r w:rsidRPr="003B1402">
        <w:t xml:space="preserve"> párr. 40</w:t>
      </w:r>
      <w:r>
        <w:t>.</w:t>
      </w:r>
    </w:p>
  </w:footnote>
  <w:footnote w:id="19">
    <w:p w:rsidR="007A6D9E" w:rsidRDefault="007A6D9E" w:rsidP="007A6D9E">
      <w:pPr>
        <w:pStyle w:val="FootnoteText"/>
        <w:spacing w:line="240" w:lineRule="auto"/>
      </w:pPr>
      <w:r>
        <w:rPr>
          <w:rStyle w:val="FootnoteReference"/>
        </w:rPr>
        <w:footnoteRef/>
      </w:r>
      <w:r>
        <w:t xml:space="preserve"> </w:t>
      </w:r>
      <w:r w:rsidRPr="003B1402">
        <w:t>CAT/C/ISR/4, párrs. 26 y 27.</w:t>
      </w:r>
    </w:p>
  </w:footnote>
  <w:footnote w:id="20">
    <w:p w:rsidR="003B1402" w:rsidRPr="003B1402" w:rsidRDefault="003B1402" w:rsidP="003B1402">
      <w:pPr>
        <w:pStyle w:val="FootnoteText"/>
        <w:spacing w:line="240" w:lineRule="auto"/>
      </w:pPr>
      <w:r>
        <w:rPr>
          <w:rStyle w:val="FootnoteReference"/>
        </w:rPr>
        <w:footnoteRef/>
      </w:r>
      <w:r w:rsidRPr="003B1402">
        <w:t xml:space="preserve"> A/57/44, párr. 52 d).</w:t>
      </w:r>
    </w:p>
  </w:footnote>
  <w:footnote w:id="21">
    <w:p w:rsidR="003B1402" w:rsidRDefault="003B1402" w:rsidP="003B1402">
      <w:pPr>
        <w:pStyle w:val="FootnoteText"/>
        <w:spacing w:line="240" w:lineRule="auto"/>
      </w:pPr>
      <w:r>
        <w:rPr>
          <w:rStyle w:val="FootnoteReference"/>
        </w:rPr>
        <w:footnoteRef/>
      </w:r>
      <w:r>
        <w:t xml:space="preserve"> </w:t>
      </w:r>
      <w:r w:rsidRPr="00F60F42">
        <w:t>A/HRC/6/17/Add.4, párr. 28.</w:t>
      </w:r>
    </w:p>
  </w:footnote>
  <w:footnote w:id="22">
    <w:p w:rsidR="003B1402" w:rsidRDefault="003B1402" w:rsidP="003B1402">
      <w:pPr>
        <w:pStyle w:val="FootnoteText"/>
        <w:spacing w:line="240" w:lineRule="auto"/>
      </w:pPr>
      <w:r>
        <w:rPr>
          <w:rStyle w:val="FootnoteReference"/>
        </w:rPr>
        <w:footnoteRef/>
      </w:r>
      <w:r>
        <w:t xml:space="preserve"> </w:t>
      </w:r>
      <w:r w:rsidRPr="00F60F42">
        <w:t>Ibíd.</w:t>
      </w:r>
    </w:p>
  </w:footnote>
  <w:footnote w:id="23">
    <w:p w:rsidR="003B1402" w:rsidRDefault="003B1402" w:rsidP="003B1402">
      <w:pPr>
        <w:pStyle w:val="FootnoteText"/>
        <w:spacing w:line="240" w:lineRule="auto"/>
      </w:pPr>
      <w:r>
        <w:rPr>
          <w:rStyle w:val="FootnoteReference"/>
        </w:rPr>
        <w:footnoteRef/>
      </w:r>
      <w:r>
        <w:t xml:space="preserve"> </w:t>
      </w:r>
      <w:r w:rsidRPr="00655777">
        <w:t>CAT/C/ISR/4, p</w:t>
      </w:r>
      <w:r>
        <w:t>árr.</w:t>
      </w:r>
      <w:r w:rsidRPr="00655777">
        <w:t xml:space="preserve"> 38, </w:t>
      </w:r>
      <w:r>
        <w:t>cuadro</w:t>
      </w:r>
      <w:r w:rsidRPr="00655777">
        <w:t xml:space="preserve"> 1.</w:t>
      </w:r>
    </w:p>
  </w:footnote>
  <w:footnote w:id="24">
    <w:p w:rsidR="003B1402" w:rsidRDefault="003B1402" w:rsidP="003B1402">
      <w:pPr>
        <w:pStyle w:val="FootnoteText"/>
        <w:spacing w:line="240" w:lineRule="auto"/>
      </w:pPr>
      <w:r>
        <w:rPr>
          <w:rStyle w:val="FootnoteReference"/>
        </w:rPr>
        <w:footnoteRef/>
      </w:r>
      <w:r>
        <w:t xml:space="preserve"> Ibíd.</w:t>
      </w:r>
    </w:p>
  </w:footnote>
  <w:footnote w:id="25">
    <w:p w:rsidR="003B1402" w:rsidRPr="00E3690C" w:rsidRDefault="003B1402" w:rsidP="003B1402">
      <w:pPr>
        <w:pStyle w:val="FootnoteText"/>
        <w:spacing w:line="240" w:lineRule="auto"/>
      </w:pPr>
      <w:r>
        <w:rPr>
          <w:rStyle w:val="FootnoteReference"/>
        </w:rPr>
        <w:footnoteRef/>
      </w:r>
      <w:r w:rsidRPr="00E3690C">
        <w:t xml:space="preserve"> Ibíd., párrs. </w:t>
      </w:r>
      <w:r>
        <w:t>16 a 25.</w:t>
      </w:r>
    </w:p>
  </w:footnote>
  <w:footnote w:id="26">
    <w:p w:rsidR="003B1402" w:rsidRPr="00E3690C" w:rsidRDefault="003B1402" w:rsidP="003B1402">
      <w:pPr>
        <w:pStyle w:val="FootnoteText"/>
        <w:spacing w:line="240" w:lineRule="auto"/>
      </w:pPr>
      <w:r>
        <w:rPr>
          <w:rStyle w:val="FootnoteReference"/>
        </w:rPr>
        <w:footnoteRef/>
      </w:r>
      <w:r w:rsidRPr="00E3690C">
        <w:t xml:space="preserve"> Ibíd.</w:t>
      </w:r>
      <w:r>
        <w:t>, párr. 80.</w:t>
      </w:r>
    </w:p>
  </w:footnote>
  <w:footnote w:id="27">
    <w:p w:rsidR="003B1402" w:rsidRPr="00E3690C" w:rsidRDefault="003B1402" w:rsidP="003B1402">
      <w:pPr>
        <w:pStyle w:val="FootnoteText"/>
        <w:spacing w:line="240" w:lineRule="auto"/>
      </w:pPr>
      <w:r w:rsidRPr="0066471A">
        <w:rPr>
          <w:rStyle w:val="FootnoteReference"/>
        </w:rPr>
        <w:footnoteRef/>
      </w:r>
      <w:r w:rsidRPr="00E3690C">
        <w:t xml:space="preserve"> Ibíd., párr. 82.</w:t>
      </w:r>
    </w:p>
  </w:footnote>
  <w:footnote w:id="28">
    <w:p w:rsidR="003B1402" w:rsidRPr="00E3690C" w:rsidRDefault="003B1402" w:rsidP="003B1402">
      <w:pPr>
        <w:pStyle w:val="FootnoteText"/>
        <w:spacing w:line="240" w:lineRule="auto"/>
      </w:pPr>
      <w:r w:rsidRPr="0066471A">
        <w:rPr>
          <w:rStyle w:val="FootnoteReference"/>
        </w:rPr>
        <w:footnoteRef/>
      </w:r>
      <w:r w:rsidRPr="00E3690C">
        <w:t xml:space="preserve"> Ibíd</w:t>
      </w:r>
      <w:r w:rsidRPr="00E3690C">
        <w:rPr>
          <w:i/>
        </w:rPr>
        <w:t>.</w:t>
      </w:r>
      <w:r w:rsidRPr="00E3690C">
        <w:t>, párr. 85.</w:t>
      </w:r>
    </w:p>
  </w:footnote>
  <w:footnote w:id="29">
    <w:p w:rsidR="003B1402" w:rsidRDefault="003B1402" w:rsidP="003B1402">
      <w:pPr>
        <w:pStyle w:val="FootnoteText"/>
        <w:spacing w:line="240" w:lineRule="auto"/>
      </w:pPr>
      <w:r>
        <w:rPr>
          <w:rStyle w:val="FootnoteReference"/>
        </w:rPr>
        <w:footnoteRef/>
      </w:r>
      <w:r>
        <w:t xml:space="preserve"> A/57/44, párr. 53 g).</w:t>
      </w:r>
    </w:p>
  </w:footnote>
  <w:footnote w:id="30">
    <w:p w:rsidR="003B1402" w:rsidRPr="000D0F6E" w:rsidRDefault="003B1402" w:rsidP="003B1402">
      <w:pPr>
        <w:pStyle w:val="FootnoteText"/>
        <w:spacing w:line="240" w:lineRule="auto"/>
      </w:pPr>
      <w:r>
        <w:rPr>
          <w:rStyle w:val="FootnoteReference"/>
        </w:rPr>
        <w:footnoteRef/>
      </w:r>
      <w:r>
        <w:t xml:space="preserve"> Consecuencias jurídicas de la construcción de un muro en los </w:t>
      </w:r>
      <w:r w:rsidR="006E71C5">
        <w:t>t</w:t>
      </w:r>
      <w:r>
        <w:t xml:space="preserve">erritorios </w:t>
      </w:r>
      <w:r w:rsidR="006E71C5">
        <w:t>p</w:t>
      </w:r>
      <w:r>
        <w:t xml:space="preserve">alestinos </w:t>
      </w:r>
      <w:r w:rsidR="006E71C5">
        <w:t>o</w:t>
      </w:r>
      <w:r>
        <w:t xml:space="preserve">cupados, Opinión Consultiva, </w:t>
      </w:r>
      <w:r>
        <w:rPr>
          <w:i/>
        </w:rPr>
        <w:t>I.C.J. Reports</w:t>
      </w:r>
      <w:r>
        <w:t>, pág. 136.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D9E" w:rsidRDefault="007A6D9E">
    <w:pPr>
      <w:pStyle w:val="Header"/>
    </w:pPr>
    <w:r>
      <w:t>CAT/C/ISR/Q/4</w:t>
    </w:r>
  </w:p>
  <w:p w:rsidR="007A6D9E" w:rsidRDefault="007A6D9E">
    <w:pPr>
      <w:pStyle w:val="Header"/>
    </w:pPr>
    <w:r>
      <w:t xml:space="preserve">página </w:t>
    </w:r>
    <w:r>
      <w:fldChar w:fldCharType="begin"/>
    </w:r>
    <w:r>
      <w:instrText xml:space="preserve"> PAGE  \* MERGEFORMAT </w:instrText>
    </w:r>
    <w:r>
      <w:fldChar w:fldCharType="separate"/>
    </w:r>
    <w:r w:rsidR="00DF09C4">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D9E" w:rsidRDefault="007A6D9E" w:rsidP="003B1402">
    <w:pPr>
      <w:tabs>
        <w:tab w:val="left" w:pos="7680"/>
      </w:tabs>
    </w:pPr>
    <w:r>
      <w:tab/>
      <w:t>CAT/C/ISR/Q/4</w:t>
    </w:r>
  </w:p>
  <w:p w:rsidR="00813445" w:rsidRDefault="007A6D9E" w:rsidP="003B1402">
    <w:pPr>
      <w:tabs>
        <w:tab w:val="left" w:pos="7680"/>
      </w:tabs>
    </w:pPr>
    <w:r>
      <w:tab/>
      <w:t xml:space="preserve">página </w:t>
    </w:r>
    <w:r>
      <w:fldChar w:fldCharType="begin"/>
    </w:r>
    <w:r>
      <w:instrText xml:space="preserve"> PAGE  \* MERGEFORMAT </w:instrText>
    </w:r>
    <w:r>
      <w:fldChar w:fldCharType="separate"/>
    </w:r>
    <w:r w:rsidR="00DF09C4">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activeWritingStyle w:appName="MSWord" w:lang="en-US"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67C5"/>
    <w:rsid w:val="000F18F3"/>
    <w:rsid w:val="001E79FD"/>
    <w:rsid w:val="001E7D80"/>
    <w:rsid w:val="002009CB"/>
    <w:rsid w:val="002426E2"/>
    <w:rsid w:val="00273020"/>
    <w:rsid w:val="003B1402"/>
    <w:rsid w:val="00493B79"/>
    <w:rsid w:val="005E67C5"/>
    <w:rsid w:val="006541BE"/>
    <w:rsid w:val="00670955"/>
    <w:rsid w:val="006B3E02"/>
    <w:rsid w:val="006C222A"/>
    <w:rsid w:val="006E71C5"/>
    <w:rsid w:val="00716E4C"/>
    <w:rsid w:val="0077727F"/>
    <w:rsid w:val="007A6D9E"/>
    <w:rsid w:val="007E1504"/>
    <w:rsid w:val="007E7BD0"/>
    <w:rsid w:val="00813445"/>
    <w:rsid w:val="008C2547"/>
    <w:rsid w:val="00941D4E"/>
    <w:rsid w:val="00A4420C"/>
    <w:rsid w:val="00A528E7"/>
    <w:rsid w:val="00AA0CDD"/>
    <w:rsid w:val="00AE40CB"/>
    <w:rsid w:val="00BE1186"/>
    <w:rsid w:val="00C820BE"/>
    <w:rsid w:val="00DF09C4"/>
    <w:rsid w:val="00E01E15"/>
    <w:rsid w:val="00F17191"/>
    <w:rsid w:val="00F67D7E"/>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7A6D9E"/>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11</Pages>
  <Words>4204</Words>
  <Characters>23124</Characters>
  <Application>Microsoft Office Word</Application>
  <DocSecurity>4</DocSecurity>
  <Lines>192</Lines>
  <Paragraphs>54</Paragraphs>
  <ScaleCrop>false</ScaleCrop>
  <HeadingPairs>
    <vt:vector size="2" baseType="variant">
      <vt:variant>
        <vt:lpstr>Título</vt:lpstr>
      </vt:variant>
      <vt:variant>
        <vt:i4>1</vt:i4>
      </vt:variant>
    </vt:vector>
  </HeadingPairs>
  <TitlesOfParts>
    <vt:vector size="1" baseType="lpstr">
      <vt:lpstr>CAT/C/ISR/Q/4</vt:lpstr>
    </vt:vector>
  </TitlesOfParts>
  <Company>CSD</Company>
  <LinksUpToDate>false</LinksUpToDate>
  <CharactersWithSpaces>27274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CAT/C/ISR/Q/4</dc:title>
  <dc:subject/>
  <dc:creator>Pedro Mitrópulos</dc:creator>
  <cp:keywords/>
  <dc:description/>
  <cp:lastModifiedBy>Pedro Mitrópulos</cp:lastModifiedBy>
  <cp:revision>2</cp:revision>
  <cp:lastPrinted>2009-02-27T11:14:00Z</cp:lastPrinted>
  <dcterms:created xsi:type="dcterms:W3CDTF">2009-02-27T11:18:00Z</dcterms:created>
  <dcterms:modified xsi:type="dcterms:W3CDTF">2009-02-27T11:18:00Z</dcterms:modified>
</cp:coreProperties>
</file>