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40253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100204    110204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74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CAT/C/CR/31/3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5 February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>
      <w:pPr>
        <w:spacing w:line="240" w:lineRule="auto"/>
      </w:pPr>
      <w:r>
        <w:t>Тридцать первая сессия</w:t>
      </w:r>
    </w:p>
    <w:p w:rsidR="00000000" w:rsidRDefault="00000000">
      <w:pPr>
        <w:spacing w:line="240" w:lineRule="auto"/>
      </w:pPr>
      <w:r>
        <w:t>10-21 ноября 2003 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ЛАТВИЯ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Латвии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.4) на своих 579</w:t>
      </w:r>
      <w:r>
        <w:noBreakHyphen/>
        <w:t>м и 582</w:t>
      </w:r>
      <w:r>
        <w:noBreakHyphen/>
        <w:t>м заседаниях, состоявшихся 13 и 14 ноября 2003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.579 и 582), и принял нижеследующие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Латвии, который был подготовлен в соответствии с требованиями, предъявляемыми к форме и содержанию первоначальных докладов государств-участников.  Он сожалеет, однако, что этот доклад , который следовало представить 13 мая 1993 года, был представлен с опозданием на девять лет.  Комитет признает в этой связи те трудности политического и экономического характера, с которыми государство-участник столкнулось в течение переходного периода, и надеется, что в будущем оно будет полностью соблюдать свои обязательства по статье 19 Конвенции.</w:t>
      </w:r>
    </w:p>
    <w:p w:rsidR="00000000" w:rsidRDefault="00000000"/>
    <w:p w:rsidR="00000000" w:rsidRDefault="00000000">
      <w:r>
        <w:t>3.</w:t>
      </w:r>
      <w:r>
        <w:tab/>
        <w:t>Комитет приветствует также дополнительную информацию, представленную государством-участником в письменном виде, и информацию, приведенную высокопоставленной делегацией во вступительных замечаниях и подробных ответах на поставленные вопросы, что свидетельствует о желании государства-участника начать открытый и плодотворный диалог с Комитетом.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 текущую деятельность государства-участника, направленную на укрепление прав человека в Латвии.  В частности, Комитет приветствует следующее:</w:t>
      </w:r>
    </w:p>
    <w:p w:rsidR="00000000" w:rsidRDefault="00000000"/>
    <w:p w:rsidR="00000000" w:rsidRDefault="00000000">
      <w:r>
        <w:tab/>
        <w:t>а)</w:t>
      </w:r>
      <w:r>
        <w:tab/>
        <w:t>законодательные меры: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i)</w:t>
      </w:r>
      <w:r>
        <w:tab/>
        <w:t>учреждение Конституционного суда в 1996 году и включение в Конституцию главы </w:t>
      </w:r>
      <w:r>
        <w:rPr>
          <w:lang w:val="en-US"/>
        </w:rPr>
        <w:t>VIII</w:t>
      </w:r>
      <w:r>
        <w:t>, посвященной основным правам человека;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ii)</w:t>
      </w:r>
      <w:r>
        <w:tab/>
        <w:t>учреждение в 1995 году Национального бюро по правам человека, которое уполномочено, в частности, рассматривать жалобы на нарушения прав человека, а также представлять в Конституционный суд дела, касающиеся правовых положений, которые, по его мнению, противоречат Конституции Латвии;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iii)</w:t>
      </w:r>
      <w:r>
        <w:tab/>
        <w:t>вступление в силу в сентябре 2002 года нового Закона о убежище, направленного на приведение национальной системы предоставления убежища в еще большее соответствие с нормативными актами Европейского союза по вопросу предоставления убежища и соответствующими международными стандартами.  В новом Законе об убежище предусматриваются также две формы дополнительной защиты ("альтернативный статус") для просителей убежища;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iv)</w:t>
      </w:r>
      <w:r>
        <w:tab/>
        <w:t>вступление в силу в мае 2003 года нового Закона об иммиграции, в котором, в частности, предусматривается максимальный срок содержания под стражей иностранцев, арестованных за нарушение данного закона, и право арестованного иностранца подавать жалобу прокурору, связываться с консульством и иметь доступ к правовой помощи;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</w:r>
      <w:r>
        <w:rPr>
          <w:lang w:val="en-US"/>
        </w:rPr>
        <w:t>v</w:t>
      </w:r>
      <w:r>
        <w:t>)</w:t>
      </w:r>
      <w:r>
        <w:tab/>
        <w:t>вступление в силу нового Уголовного кодекса, в котором содержится концепция постепенного осуществления санкций и установленных альтернативных санкций, с тем чтобы частично решить проблему переполненности тюрем;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  <w:rPr>
          <w:sz w:val="20"/>
        </w:rPr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vi)</w:t>
      </w:r>
      <w:r>
        <w:tab/>
        <w:t>проект нового уголовно-процессуального кодекса, который направлен на упрощение правовых процедур и сократит, в частности, срок, в течение которого подозреваемый должен предстать перед судьей, с 72 до 48 часов;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vii)</w:t>
      </w:r>
      <w:r>
        <w:tab/>
        <w:t>проект нового Закона об амнистии, предусматривающий либо освобождение, либо сокращение срока тюремного заключения таких подверженных риску групп, как несовершеннолетние лица, беременные женщины, женщины с малолетними детьми, инвалиды и престарелые.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left" w:pos="561"/>
        </w:tabs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Административные меры:</w:t>
      </w:r>
    </w:p>
    <w:p w:rsidR="00000000" w:rsidRDefault="00000000">
      <w:pPr>
        <w:tabs>
          <w:tab w:val="clear" w:pos="567"/>
          <w:tab w:val="left" w:pos="561"/>
        </w:tabs>
        <w:ind w:left="1134" w:hanging="1134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i)</w:t>
      </w:r>
      <w:r>
        <w:tab/>
        <w:t>принятие в 2002 году Инструкции о правилах внутреннего распорядка следственных тюрем, устанавливающей стандарты для условий содержания под стражей, а также основные права и обязанности находящихся под стражей лиц;</w:t>
      </w:r>
    </w:p>
    <w:p w:rsidR="00000000" w:rsidRDefault="00000000">
      <w:pPr>
        <w:tabs>
          <w:tab w:val="clear" w:pos="567"/>
          <w:tab w:val="left" w:pos="561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ii)</w:t>
      </w:r>
      <w:r>
        <w:tab/>
        <w:t>передача с ноября 2003 года всех латвийских тюрем под надзор квалифицированных профессиональных надзирателей;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  <w:r>
        <w:tab/>
        <w:t>iii)</w:t>
      </w:r>
      <w:r>
        <w:tab/>
        <w:t>разработка, в соответствии со статьей 10 Конвенции, программ профессиональной подготовки для персонала правоприменительных и судебных органов.</w:t>
      </w:r>
    </w:p>
    <w:p w:rsidR="00000000" w:rsidRDefault="00000000">
      <w:pPr>
        <w:tabs>
          <w:tab w:val="clear" w:pos="567"/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701" w:hanging="1701"/>
      </w:pPr>
      <w:r>
        <w:t>5.</w:t>
      </w:r>
      <w:r>
        <w:tab/>
        <w:t>Кроме того, Комитет с удовлетворением отмечал: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  <w:t>а)</w:t>
      </w:r>
      <w:r>
        <w:tab/>
        <w:t>участие национальных НПО и гражданского общества в подготовке первоначального доклада Латвии;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начало осуществления нового проекта, в рамках которого НПО будут участвовать в инспекции мест лишения свободы в Латвии.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  <w:jc w:val="center"/>
        <w:rPr>
          <w:b/>
          <w:bCs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>6.</w:t>
      </w:r>
      <w:r>
        <w:tab/>
        <w:t>Комитет выражает свою озабоченность по поводу следующего: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  <w:t>а)</w:t>
      </w:r>
      <w:r>
        <w:tab/>
        <w:t>заявлений о весьма жестоком обращении, которое в некоторых случаях можно рассматривать в качестве пытки, со стороны сотрудников полиции, особенно при задержании и допросе подозреваемых;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 независимости и беспристрастности в работе Бюро внутренней безопасности государственной полиции, в компетенцию которого входит рассмотрение жалоб на предполагаемые насильственные действия сотрудников полиции;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  <w:rPr>
          <w:lang w:val="en-US"/>
        </w:rPr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  <w:t>с)</w:t>
      </w:r>
      <w:r>
        <w:tab/>
        <w:t>условий содержания под стражей в местах лишения свободы, особенно в полицейских участках и изоляторах краткосрочного заключения;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продолжительности правовых процедур и чрезмерных сроков досудебного задержания, особенно в изоляторах краткосрочного заключения;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r>
        <w:tab/>
        <w:t>е)</w:t>
      </w:r>
      <w:r>
        <w:tab/>
        <w:t>того факта, что новым Законом об убежище предусматривается, что никакого "альтернативного статуса" просителя убежища не предоставляется лицу, прибывшему в Латвию из страны, в которой оно могло просить защиты и получить ее.  Кроме того, Комитет озабочен длительными сроками, в течение которых просители убежища могут находиться под стражей после отказа им о предоставлении убежища;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переполненности тюрем и других мест содержания под стражей, учитывая, в частности, потенциальную опасность подобной ситуации с точки зрения распространения инфекционных заболеваний;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того факта, что, хотя в проекте нового уголовно-процессуального кодекса были учтены многие из существующих недостатков, в действующем ныне Уголовно-процессуальном кодексе отсутствует положение о праве находящегося под стражей лица на поддержание контактов с членами семьи.  Выражается также озабоченность по поводу информации о том, что для получения консультации врача по своему выбору требуется разрешение властей;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заявлений о том, что во многих случаях лиц, содержащихся под стражей в полиции, лишают возможности встретиться с адвокатом или затягивают на практике получение такой возможности, даже если она предусматривается законом, и что ответчики должны оплачивать расходы на юридическую помощь, если они проиграли дело;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количества лиц, которые утратили свой правовой статус граждан или "неграждан" и стали "незаконными" после временного выезда из страны.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br w:type="page"/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принять все необходимые меры для предотвращения актов жестокого обращения со стороны сотрудников полиции и обеспечить, чтобы все заявления о жестоком обращении были расследованы безотлагательно и беспристрастно;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улучшить условия в местах лишения свободы, особенно в полицейских участках и изоляторах краткосрочного заключения, и обеспечить их соответствие международным стандартам;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гарантировать лицам, находящимся под стражей в полиции, право на поддержание контактов со своими семьями и возможность получения консультации у врача по своему выбору, а также адвоката сразу после того, как эти лица были лишены свободы;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принять все необходимые меры для сокращения продолжительности правовых процедур и существующего ныне срока досудебного заключения под стражу;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установить юридически обязательные сроки содержания под стражей лиц, которым было отказано в предоставлении убежища и в отношении которых действует постановление о высылке.  В этой связи государству-участнику предлагается сообщить статистические данные в разбивке по признаку пола, этнической принадлежности, стране происхождения и возрасту о лицах, ожидающих высылки;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продолжать осуществление мер для решения проблемы переполненности тюрем и других мест содержания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представить в очередном периодическом докладе подробные статистические данные в разбивке по возрасту, полу и стране происхождения, касающиеся жалоб на пытки и другие случаи жестокого обращения со стороны сотрудников полиции, а также проведенных в этой связи расследованиях, преследованиях виновных и случаях применения уголовных и дисциплинарных наказаний;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обеспечить быстрое принятие проекта кодекса поведения сотрудников полиции во время допроса ("Кодекс полицейской этики");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принять меры для обеспечения того, чтобы при любых обстоятельствах преступление в виде пытки четко фигурировало среди преступлений, за совершение которых, согласно статье 34, исключается защита ссылкой на совершение действий по приказу начальника;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продолжать оказание содействия интеграции и натурализации "неграждан";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рассмотреть вопрос о заявлениях согласно статьям 21 и 22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рассмотреть вопрос о ратификации Факультативного протокола к Конвенции.</w:t>
      </w:r>
    </w:p>
    <w:p w:rsidR="00000000" w:rsidRDefault="00000000"/>
    <w:p w:rsidR="00000000" w:rsidRDefault="00000000">
      <w:r>
        <w:t>8.</w:t>
      </w:r>
      <w:r>
        <w:tab/>
        <w:t>Комитет рекомендует также государству-участнику обеспечить широкое распространение выводов и рекомендаций Комитета на всех соответствующих языках, используя для этого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9.</w:t>
      </w:r>
      <w:r>
        <w:tab/>
        <w:t xml:space="preserve">Комитет просит государство-участник представить в течение года информацию о действиях, предпринятых им в ответ на рекомендации Комитета, содержащиеся в подпунктах </w:t>
      </w:r>
      <w:r>
        <w:rPr>
          <w:lang w:val="en-US"/>
        </w:rPr>
        <w:t>e</w:t>
      </w:r>
      <w:r>
        <w:t xml:space="preserve">), </w:t>
      </w:r>
      <w:r>
        <w:rPr>
          <w:lang w:val="en-US"/>
        </w:rPr>
        <w:t>f</w:t>
      </w:r>
      <w:r>
        <w:t xml:space="preserve">), </w:t>
      </w:r>
      <w:r>
        <w:rPr>
          <w:lang w:val="en-US"/>
        </w:rPr>
        <w:t>g</w:t>
      </w:r>
      <w:r>
        <w:t xml:space="preserve">), </w:t>
      </w:r>
      <w:r>
        <w:rPr>
          <w:lang w:val="en-US"/>
        </w:rPr>
        <w:t>h</w:t>
      </w:r>
      <w:r>
        <w:t xml:space="preserve">) и </w:t>
      </w:r>
      <w:r>
        <w:rPr>
          <w:lang w:val="en-US"/>
        </w:rPr>
        <w:t>i</w:t>
      </w:r>
      <w:r>
        <w:t>) пункта 7 выше.</w:t>
      </w:r>
    </w:p>
    <w:p w:rsidR="00000000" w:rsidRDefault="00000000"/>
    <w:p w:rsidR="00000000" w:rsidRDefault="00000000">
      <w:r>
        <w:t>10.</w:t>
      </w:r>
      <w:r>
        <w:tab/>
        <w:t>Государству-участнику предлагается представить до 13 мая 2005 года его очередной периодический доклад, который будет рассматриваться в качестве второго доклада,.</w:t>
      </w:r>
    </w:p>
    <w:p w:rsidR="00000000" w:rsidRDefault="00000000"/>
    <w:p w:rsidR="00000000" w:rsidRDefault="00000000">
      <w:pPr>
        <w:pStyle w:val="16"/>
      </w:pPr>
      <w:r>
        <w:t>------</w:t>
      </w:r>
    </w:p>
    <w:p w:rsidR="00000000" w:rsidRDefault="00000000">
      <w:pPr>
        <w:pStyle w:val="16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CAT/C/CR/31/3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CAT/C/CR/31/3</w:t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1420</Words>
  <Characters>8099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0440253.doc</vt:lpstr>
    </vt:vector>
  </TitlesOfParts>
  <Company> </Company>
  <LinksUpToDate>false</LinksUpToDate>
  <CharactersWithSpaces>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0440253.doc</dc:title>
  <dc:subject>Шлыков</dc:subject>
  <dc:creator>AMир</dc:creator>
  <cp:keywords/>
  <dc:description/>
  <cp:lastModifiedBy>AMир</cp:lastModifiedBy>
  <cp:revision>3</cp:revision>
  <cp:lastPrinted>2004-02-11T06:45:00Z</cp:lastPrinted>
  <dcterms:created xsi:type="dcterms:W3CDTF">2004-02-11T06:45:00Z</dcterms:created>
  <dcterms:modified xsi:type="dcterms:W3CDTF">2004-02-11T06:45:00Z</dcterms:modified>
</cp:coreProperties>
</file>