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741D85" w14:textId="77777777" w:rsidR="00F27385" w:rsidRPr="0097216C" w:rsidRDefault="00F27385" w:rsidP="00F27385">
      <w:pPr>
        <w:spacing w:line="240" w:lineRule="auto"/>
        <w:rPr>
          <w:sz w:val="2"/>
        </w:rPr>
        <w:sectPr w:rsidR="00F27385" w:rsidRPr="0097216C" w:rsidSect="00F164DF">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7216C">
        <w:rPr>
          <w:rStyle w:val="CommentReference"/>
          <w:szCs w:val="20"/>
        </w:rPr>
        <w:commentReference w:id="0"/>
      </w:r>
    </w:p>
    <w:p w14:paraId="5AF38FB0" w14:textId="77777777" w:rsidR="00A84782" w:rsidRPr="0097216C" w:rsidRDefault="00A84782" w:rsidP="00BF7C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b w:val="0"/>
        </w:rPr>
      </w:pPr>
      <w:r w:rsidRPr="00451405">
        <w:t>Comité para la Eliminación de la Discriminación contra la Mujer</w:t>
      </w:r>
    </w:p>
    <w:p w14:paraId="3846A217" w14:textId="77777777" w:rsidR="00A84782" w:rsidRPr="0097216C" w:rsidRDefault="00A84782" w:rsidP="00A84782">
      <w:pPr>
        <w:pStyle w:val="Session"/>
        <w:rPr>
          <w:b w:val="0"/>
        </w:rPr>
      </w:pPr>
      <w:r w:rsidRPr="00451405">
        <w:t>88º período de sesiones</w:t>
      </w:r>
    </w:p>
    <w:p w14:paraId="0F56F254" w14:textId="77777777" w:rsidR="00A84782" w:rsidRPr="0097216C" w:rsidRDefault="00A84782" w:rsidP="00A84782">
      <w:r w:rsidRPr="0097216C">
        <w:t xml:space="preserve">Ginebra, </w:t>
      </w:r>
      <w:r w:rsidRPr="00451405">
        <w:t>13</w:t>
      </w:r>
      <w:r w:rsidRPr="0097216C">
        <w:t xml:space="preserve"> a </w:t>
      </w:r>
      <w:r w:rsidRPr="00451405">
        <w:t>31</w:t>
      </w:r>
      <w:r w:rsidRPr="0097216C">
        <w:t xml:space="preserve"> de mayo de </w:t>
      </w:r>
      <w:r w:rsidRPr="00451405">
        <w:t>2024</w:t>
      </w:r>
    </w:p>
    <w:p w14:paraId="009BECA1" w14:textId="77777777" w:rsidR="00A84782" w:rsidRPr="00451405" w:rsidRDefault="00A84782" w:rsidP="00A84782">
      <w:pPr>
        <w:pStyle w:val="AgendaItemNormal"/>
        <w:rPr>
          <w:lang w:val="es-ES_tradnl"/>
        </w:rPr>
      </w:pPr>
      <w:r w:rsidRPr="00451405">
        <w:rPr>
          <w:lang w:val="es-ES_tradnl"/>
        </w:rPr>
        <w:t>Tema 4 del programa provisional</w:t>
      </w:r>
    </w:p>
    <w:p w14:paraId="17764BF9" w14:textId="77777777" w:rsidR="00A84782" w:rsidRPr="00451405" w:rsidRDefault="00A84782" w:rsidP="00BF7C1D">
      <w:pPr>
        <w:pStyle w:val="AgendaTitleH2"/>
      </w:pPr>
      <w:r w:rsidRPr="00451405">
        <w:t xml:space="preserve">Examen de los informes presentados por los </w:t>
      </w:r>
      <w:proofErr w:type="gramStart"/>
      <w:r w:rsidRPr="00451405">
        <w:t>Estados partes</w:t>
      </w:r>
      <w:proofErr w:type="gramEnd"/>
      <w:r w:rsidRPr="00451405">
        <w:t xml:space="preserve"> en virtud del artículo 18 de la Convención sobre la Eliminación de Todas las Formas de Discriminación contra la Mujer</w:t>
      </w:r>
    </w:p>
    <w:p w14:paraId="36531C7E" w14:textId="77777777" w:rsidR="00910040" w:rsidRPr="0097216C" w:rsidRDefault="00910040" w:rsidP="00910040">
      <w:pPr>
        <w:pStyle w:val="SingleTxt"/>
        <w:spacing w:after="0" w:line="120" w:lineRule="exact"/>
        <w:rPr>
          <w:sz w:val="10"/>
        </w:rPr>
      </w:pPr>
    </w:p>
    <w:p w14:paraId="11910CC3" w14:textId="77777777" w:rsidR="00910040" w:rsidRPr="0097216C" w:rsidRDefault="00910040" w:rsidP="00910040">
      <w:pPr>
        <w:pStyle w:val="SingleTxt"/>
        <w:spacing w:after="0" w:line="120" w:lineRule="exact"/>
        <w:rPr>
          <w:sz w:val="10"/>
        </w:rPr>
      </w:pPr>
    </w:p>
    <w:p w14:paraId="5C91FAED" w14:textId="77777777" w:rsidR="00A84782" w:rsidRPr="0097216C" w:rsidRDefault="00A84782" w:rsidP="00910040">
      <w:pPr>
        <w:pStyle w:val="SingleTxt"/>
        <w:spacing w:after="0" w:line="120" w:lineRule="exact"/>
        <w:rPr>
          <w:sz w:val="10"/>
        </w:rPr>
      </w:pPr>
    </w:p>
    <w:p w14:paraId="28ADC316" w14:textId="77777777" w:rsidR="00A84782" w:rsidRPr="0097216C" w:rsidRDefault="00A84782" w:rsidP="00A8478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14:ligatures w14:val="none"/>
        </w:rPr>
      </w:pPr>
      <w:r w:rsidRPr="00451405">
        <w:rPr>
          <w:w w:val="100"/>
        </w:rPr>
        <mc:AlternateContent>
          <mc:Choice Requires="wps">
            <w:drawing>
              <wp:anchor distT="0" distB="0" distL="114300" distR="114300" simplePos="0" relativeHeight="251659264" behindDoc="0" locked="0" layoutInCell="1" allowOverlap="1" wp14:anchorId="5DCAFE13" wp14:editId="4C57F2D8">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00643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7216C">
        <w:rPr>
          <w:spacing w:val="5"/>
          <w:w w:val="104"/>
          <w:kern w:val="14"/>
          <w:sz w:val="17"/>
          <w:szCs w:val="20"/>
          <w14:ligatures w14:val="none"/>
        </w:rPr>
        <w:tab/>
        <w:t>*</w:t>
      </w:r>
      <w:r w:rsidRPr="0097216C">
        <w:rPr>
          <w:spacing w:val="5"/>
          <w:w w:val="104"/>
          <w:kern w:val="14"/>
          <w:sz w:val="17"/>
          <w:szCs w:val="20"/>
          <w14:ligatures w14:val="none"/>
        </w:rPr>
        <w:tab/>
        <w:t>La versión original del presente documento no fue objeto de revisión editorial oficial.</w:t>
      </w:r>
    </w:p>
    <w:p w14:paraId="0AF3344E" w14:textId="77777777" w:rsidR="00A84782" w:rsidRPr="0097216C" w:rsidRDefault="00A84782" w:rsidP="00A8478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14:ligatures w14:val="none"/>
        </w:rPr>
      </w:pPr>
      <w:r w:rsidRPr="0097216C">
        <w:rPr>
          <w:spacing w:val="5"/>
          <w:w w:val="104"/>
          <w:kern w:val="14"/>
          <w:sz w:val="17"/>
          <w:szCs w:val="20"/>
          <w14:ligatures w14:val="none"/>
        </w:rPr>
        <w:tab/>
        <w:t>**</w:t>
      </w:r>
      <w:r w:rsidRPr="0097216C">
        <w:rPr>
          <w:spacing w:val="5"/>
          <w:w w:val="104"/>
          <w:kern w:val="14"/>
          <w:sz w:val="17"/>
          <w:szCs w:val="20"/>
          <w14:ligatures w14:val="none"/>
        </w:rPr>
        <w:tab/>
        <w:t>Los anexos del presente documento pueden consultarse en la página web del Comité.</w:t>
      </w:r>
    </w:p>
    <w:p w14:paraId="05FD5220" w14:textId="77777777" w:rsidR="00A84782" w:rsidRPr="00451405" w:rsidRDefault="00A84782" w:rsidP="00910040">
      <w:pPr>
        <w:pStyle w:val="TitleHCH"/>
        <w:ind w:right="1380"/>
      </w:pPr>
      <w:r w:rsidRPr="00451405">
        <w:tab/>
      </w:r>
      <w:r w:rsidRPr="00451405">
        <w:tab/>
        <w:t>Respuestas de Singapur a la lista de cuestiones y preguntas relativas a su sexto informe periódico</w:t>
      </w:r>
      <w:r w:rsidRPr="0097216C">
        <w:rPr>
          <w:b w:val="0"/>
          <w:sz w:val="20"/>
          <w:szCs w:val="16"/>
        </w:rPr>
        <w:t>*</w:t>
      </w:r>
      <w:r w:rsidRPr="0097216C">
        <w:rPr>
          <w:b w:val="0"/>
          <w:sz w:val="20"/>
          <w:szCs w:val="16"/>
          <w:vertAlign w:val="superscript"/>
        </w:rPr>
        <w:t xml:space="preserve">, </w:t>
      </w:r>
      <w:r w:rsidRPr="0097216C">
        <w:rPr>
          <w:b w:val="0"/>
          <w:sz w:val="20"/>
          <w:szCs w:val="16"/>
        </w:rPr>
        <w:t>**</w:t>
      </w:r>
    </w:p>
    <w:p w14:paraId="62443A7D" w14:textId="77777777" w:rsidR="00A84782" w:rsidRPr="0097216C" w:rsidRDefault="00A84782" w:rsidP="00A84782">
      <w:pPr>
        <w:pStyle w:val="SingleTxt"/>
        <w:spacing w:after="0" w:line="120" w:lineRule="exact"/>
        <w:rPr>
          <w:sz w:val="10"/>
        </w:rPr>
      </w:pPr>
    </w:p>
    <w:p w14:paraId="6E84B555" w14:textId="77777777" w:rsidR="00A84782" w:rsidRPr="0097216C" w:rsidRDefault="00A84782" w:rsidP="00A84782">
      <w:pPr>
        <w:pStyle w:val="SingleTxt"/>
        <w:spacing w:after="0" w:line="120" w:lineRule="exact"/>
        <w:rPr>
          <w:sz w:val="10"/>
        </w:rPr>
      </w:pPr>
    </w:p>
    <w:p w14:paraId="0FEBE1B9" w14:textId="77777777" w:rsidR="00A84782" w:rsidRPr="0097216C" w:rsidRDefault="00A84782" w:rsidP="00A84782">
      <w:pPr>
        <w:pStyle w:val="SingleTxt"/>
        <w:jc w:val="right"/>
      </w:pPr>
      <w:r w:rsidRPr="0097216C">
        <w:t xml:space="preserve">[Fecha de recepción: </w:t>
      </w:r>
      <w:r w:rsidRPr="00451405">
        <w:t>3</w:t>
      </w:r>
      <w:r w:rsidRPr="0097216C">
        <w:t xml:space="preserve"> de febrero de </w:t>
      </w:r>
      <w:r w:rsidRPr="00451405">
        <w:t>2023</w:t>
      </w:r>
      <w:r w:rsidRPr="0097216C">
        <w:t>]</w:t>
      </w:r>
    </w:p>
    <w:p w14:paraId="7C9976F8" w14:textId="77777777" w:rsidR="00A84782" w:rsidRPr="0097216C" w:rsidRDefault="00A84782">
      <w:pPr>
        <w:suppressAutoHyphens w:val="0"/>
        <w:spacing w:after="160" w:line="259" w:lineRule="auto"/>
        <w:rPr>
          <w:kern w:val="14"/>
        </w:rPr>
      </w:pPr>
      <w:r w:rsidRPr="0097216C">
        <w:br w:type="page"/>
      </w:r>
    </w:p>
    <w:p w14:paraId="16B6798D"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lastRenderedPageBreak/>
        <w:tab/>
        <w:t>I.</w:t>
      </w:r>
      <w:r w:rsidRPr="00451405">
        <w:tab/>
        <w:t>Introducción</w:t>
      </w:r>
    </w:p>
    <w:p w14:paraId="7161E040" w14:textId="77777777" w:rsidR="00A84782" w:rsidRPr="0097216C" w:rsidRDefault="00A84782" w:rsidP="00A84782">
      <w:pPr>
        <w:pStyle w:val="SingleTxt"/>
        <w:spacing w:after="0" w:line="120" w:lineRule="exact"/>
        <w:rPr>
          <w:bCs/>
          <w:sz w:val="10"/>
        </w:rPr>
      </w:pPr>
    </w:p>
    <w:p w14:paraId="52E4E2C5" w14:textId="77777777" w:rsidR="00A84782" w:rsidRPr="0097216C" w:rsidRDefault="00A84782" w:rsidP="00A84782">
      <w:pPr>
        <w:pStyle w:val="SingleTxt"/>
        <w:spacing w:after="0" w:line="120" w:lineRule="exact"/>
        <w:rPr>
          <w:bCs/>
          <w:sz w:val="10"/>
        </w:rPr>
      </w:pPr>
    </w:p>
    <w:p w14:paraId="75F030FF" w14:textId="64A2A564" w:rsidR="00A84782" w:rsidRPr="0097216C" w:rsidRDefault="00A84782" w:rsidP="00F651FB">
      <w:pPr>
        <w:pStyle w:val="SingleTxt"/>
        <w:numPr>
          <w:ilvl w:val="0"/>
          <w:numId w:val="17"/>
        </w:numPr>
        <w:ind w:left="1267"/>
      </w:pPr>
      <w:r w:rsidRPr="0097216C">
        <w:t xml:space="preserve">Singapur tiene la firme voluntad de mejorar la situación y el bienestar de las mujeres del país. Con este fin y en línea con nuestro compromiso con el Objetivo </w:t>
      </w:r>
      <w:r w:rsidRPr="00451405">
        <w:t>5</w:t>
      </w:r>
      <w:r w:rsidRPr="0097216C">
        <w:t xml:space="preserve"> de los Objetivos de Desarrollo Sostenible, tras la presentación del sexto informe periódico de Singapur (“Informe Periódico”), Singapur publicó el </w:t>
      </w:r>
      <w:r w:rsidR="00364A52" w:rsidRPr="00451405">
        <w:t>Libro Blanco sobre el Desarrollo de las Mujeres en Singapur</w:t>
      </w:r>
      <w:r w:rsidRPr="0097216C">
        <w:t xml:space="preserve"> (“Libro Blanco”) en marzo de </w:t>
      </w:r>
      <w:r w:rsidRPr="00451405">
        <w:t>2022</w:t>
      </w:r>
      <w:r w:rsidRPr="0097216C">
        <w:t xml:space="preserve">. El Libro Blanco se elaboró en consulta con singapurenses y organizaciones no gubernamentales que representaban diversos ámbitos a lo largo de un año de actividades a escala nacional y fue aprobado unánimemente por el Parlamento de Singapur en abril de </w:t>
      </w:r>
      <w:r w:rsidRPr="00451405">
        <w:t>2022</w:t>
      </w:r>
      <w:r w:rsidRPr="0097216C">
        <w:t>. Para construir una sociedad más justa e inclusiva, el Libro Blanco propugna un enfoque de alianzas en el que hombres y mujeres colaboren como iguales, también en el seno de las familias. Las familias son la base de la sociedad y el lugar en el que fomentar y promover la asociación igualitaria entre hombres y mujeres. Singapur lanzó recientemente la iniciativa “</w:t>
      </w:r>
      <w:r w:rsidR="00364A52" w:rsidRPr="00451405">
        <w:t>Un Singapur hecho para las familias 2025 (MFF 2025)</w:t>
      </w:r>
      <w:r w:rsidR="00F651FB" w:rsidRPr="0097216C">
        <w:t>”</w:t>
      </w:r>
      <w:r w:rsidRPr="0097216C">
        <w:t>, un plan nacional para crear un país en el que las familias reciban apoyo en los distintos capítulos de su vida y permitir así que tanto hombres como mujeres cumplan sus aspiraciones.</w:t>
      </w:r>
    </w:p>
    <w:p w14:paraId="1A94A2CC" w14:textId="77777777" w:rsidR="00A84782" w:rsidRPr="0097216C" w:rsidRDefault="00A84782" w:rsidP="00A84782">
      <w:pPr>
        <w:pStyle w:val="SingleTxt"/>
        <w:spacing w:after="0" w:line="120" w:lineRule="exact"/>
        <w:rPr>
          <w:bCs/>
          <w:sz w:val="10"/>
        </w:rPr>
      </w:pPr>
    </w:p>
    <w:p w14:paraId="53361ED6" w14:textId="77777777" w:rsidR="00A84782" w:rsidRPr="0097216C" w:rsidRDefault="00A84782" w:rsidP="00A84782">
      <w:pPr>
        <w:pStyle w:val="SingleTxt"/>
        <w:spacing w:after="0" w:line="120" w:lineRule="exact"/>
        <w:rPr>
          <w:bCs/>
          <w:sz w:val="10"/>
        </w:rPr>
      </w:pPr>
    </w:p>
    <w:p w14:paraId="50CEF4BD" w14:textId="583DF40C" w:rsidR="00A84782" w:rsidRPr="0097216C" w:rsidRDefault="00A84782" w:rsidP="00AA7B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rPr>
          <w:b w:val="0"/>
        </w:rPr>
      </w:pPr>
      <w:r w:rsidRPr="00451405">
        <w:tab/>
        <w:t>II.</w:t>
      </w:r>
      <w:r w:rsidRPr="00451405">
        <w:tab/>
        <w:t>Respuesta al párrafo 1 de la lista de cuestiones y preguntas (</w:t>
      </w:r>
      <w:hyperlink r:id="rId21" w:history="1">
        <w:r w:rsidRPr="00451405">
          <w:rPr>
            <w:rStyle w:val="Hyperlink"/>
          </w:rPr>
          <w:t>CEDAW/C/SGP/Q/6</w:t>
        </w:r>
      </w:hyperlink>
      <w:r w:rsidRPr="00451405">
        <w:t>)</w:t>
      </w:r>
    </w:p>
    <w:p w14:paraId="2E8FE781" w14:textId="77777777" w:rsidR="00A84782" w:rsidRPr="0097216C" w:rsidRDefault="00A84782" w:rsidP="00A84782">
      <w:pPr>
        <w:pStyle w:val="SingleTxt"/>
        <w:spacing w:after="0" w:line="120" w:lineRule="exact"/>
        <w:rPr>
          <w:bCs/>
          <w:sz w:val="10"/>
        </w:rPr>
      </w:pPr>
    </w:p>
    <w:p w14:paraId="61B10878" w14:textId="77777777" w:rsidR="00A84782" w:rsidRPr="0097216C" w:rsidRDefault="00A84782" w:rsidP="00A84782">
      <w:pPr>
        <w:pStyle w:val="SingleTxt"/>
        <w:spacing w:after="0" w:line="120" w:lineRule="exact"/>
        <w:rPr>
          <w:bCs/>
          <w:sz w:val="10"/>
        </w:rPr>
      </w:pPr>
    </w:p>
    <w:p w14:paraId="67E47C59" w14:textId="1882B3EA" w:rsidR="00A84782" w:rsidRPr="0097216C" w:rsidRDefault="00A84782" w:rsidP="00F651FB">
      <w:pPr>
        <w:pStyle w:val="SingleTxt"/>
        <w:numPr>
          <w:ilvl w:val="0"/>
          <w:numId w:val="17"/>
        </w:numPr>
        <w:ind w:left="1267"/>
      </w:pPr>
      <w:r w:rsidRPr="0097216C">
        <w:t xml:space="preserve">Singapur se toma en serio las obligaciones que le imponen los tratados, como la Convención sobre la Eliminación de Todas las Formas de Discriminación contra la Mujer. Los principios de la Convención y las recomendaciones generales del Comité para la Eliminación de la Discriminación contra la Mujer se han incorporado a la capacitación de jueces, abogados, fiscales, agentes de policía y otros agentes de la ley para garantizar que mejoramos continuamente en el cumplimiento de las obligaciones suscritas en virtud de la Convención. Véanse los párrafos </w:t>
      </w:r>
      <w:r w:rsidRPr="00451405">
        <w:t>197</w:t>
      </w:r>
      <w:r w:rsidRPr="0097216C">
        <w:t xml:space="preserve"> a </w:t>
      </w:r>
      <w:r w:rsidRPr="00451405">
        <w:t>200</w:t>
      </w:r>
      <w:r w:rsidRPr="0097216C">
        <w:t xml:space="preserve"> del Informe Periódico.</w:t>
      </w:r>
    </w:p>
    <w:p w14:paraId="1F4037C9" w14:textId="291B9E50" w:rsidR="00A84782" w:rsidRPr="0097216C" w:rsidRDefault="00A84782" w:rsidP="00F651FB">
      <w:pPr>
        <w:pStyle w:val="SingleTxt"/>
        <w:numPr>
          <w:ilvl w:val="0"/>
          <w:numId w:val="17"/>
        </w:numPr>
        <w:ind w:left="1267"/>
      </w:pPr>
      <w:r w:rsidRPr="0097216C">
        <w:t xml:space="preserve">Además, la Escuela Judicial de Singapur sigue insistiendo en la importancia de comprender la psicología de las víctimas de agresiones sexuales a través de sus programas básicos para jueces y oficiales judiciales recién nombrados, así como de su programa de capacitación para secretarios judiciales. En </w:t>
      </w:r>
      <w:r w:rsidRPr="00451405">
        <w:t>2022</w:t>
      </w:r>
      <w:r w:rsidRPr="0097216C">
        <w:t xml:space="preserve">, la Escuela Judicial de Singapur se asoció con PAVE, el centro pionero de especialistas en protección de Singapur, para impartir un programa de capacitación personalizado dirigido a oficiales judiciales con el fin de mejorar sus conocimientos sobre contextos relacionados con la violencia doméstica, como los que se dan en una relación familiar o de pareja. Los tribunales también llevan a cabo periódicamente programas complementarios de capacitación específica para los tribunales, especialmente en sus áreas de especialización, como se detalla en el párrafo </w:t>
      </w:r>
      <w:r w:rsidRPr="00451405">
        <w:t>77</w:t>
      </w:r>
      <w:r w:rsidRPr="0097216C">
        <w:t xml:space="preserve"> a) del Informe Periódico.</w:t>
      </w:r>
      <w:r w:rsidR="00A50B3B">
        <w:t xml:space="preserve"> </w:t>
      </w:r>
    </w:p>
    <w:p w14:paraId="50E0274C" w14:textId="0DF5D780" w:rsidR="00A84782" w:rsidRPr="0097216C" w:rsidRDefault="00A84782" w:rsidP="00F651FB">
      <w:pPr>
        <w:pStyle w:val="SingleTxt"/>
        <w:numPr>
          <w:ilvl w:val="0"/>
          <w:numId w:val="17"/>
        </w:numPr>
        <w:ind w:left="1267"/>
      </w:pPr>
      <w:r w:rsidRPr="0097216C">
        <w:t xml:space="preserve">El Colegio de Abogados de Singapur ofreció cursos de capacitación sobre “Gestión de prejuicios y creación de hábitos de liderazgo inclusivo en bufetes de abogados” en </w:t>
      </w:r>
      <w:r w:rsidRPr="00451405">
        <w:t>2022</w:t>
      </w:r>
      <w:r w:rsidRPr="0097216C">
        <w:t xml:space="preserve"> y “Celebración de juicios por delitos sexuales con información sobre traumas” en </w:t>
      </w:r>
      <w:r w:rsidRPr="00451405">
        <w:t>2021</w:t>
      </w:r>
      <w:r w:rsidRPr="0097216C">
        <w:t xml:space="preserve"> como parte de las ofertas de desarrollo profesional continuo para abogados. Los requisitos de desarrollo profesional continuo son obligatorios para todos los abogados en ejercicio en Singapur. SG Her Empowerment (SHE), una organización sin fines de lucro e independiente, también imparte capacitación sobre daños en línea por razón de género a los abogados que trabajan a título gratuito en el centro de asistencia jurídica SHECARES@ SCWO, que forma parte del Singapore Council of Women’s Organisations, y organiza talleres y seminarios sobre temas </w:t>
      </w:r>
      <w:r w:rsidRPr="0097216C">
        <w:lastRenderedPageBreak/>
        <w:t>relacionados con los daños en línea por razón de género, destinados a una amplia gama de partes interesadas, incluidos abogados y estudiantes de Derecho.</w:t>
      </w:r>
    </w:p>
    <w:p w14:paraId="243C3900" w14:textId="0301E7CD" w:rsidR="00A84782" w:rsidRPr="0097216C" w:rsidRDefault="00A84782" w:rsidP="002E267A">
      <w:pPr>
        <w:pStyle w:val="SingleTxt"/>
        <w:numPr>
          <w:ilvl w:val="0"/>
          <w:numId w:val="17"/>
        </w:numPr>
        <w:ind w:left="1267"/>
      </w:pPr>
      <w:r w:rsidRPr="0097216C">
        <w:t xml:space="preserve">La </w:t>
      </w:r>
      <w:proofErr w:type="gramStart"/>
      <w:r w:rsidRPr="0097216C">
        <w:t>Fiscalía General</w:t>
      </w:r>
      <w:proofErr w:type="gramEnd"/>
      <w:r w:rsidRPr="0097216C">
        <w:t>, que alberga la fiscalía central de Singapur, cuenta con un grupo especializado de fiscales que se ocupan de casos en los que intervienen testigos vulnerables, entre ellos mujeres y niñas víctimas de delitos sexuales. Estos fiscales reciben anualmente capacitación específica en materia de entrevistas forenses (tanto en formato plenario como de prácticas) para el enjuiciamiento de estos casos, y asisten a un curso de capacitación forense bienal impartido por The American Professional Society on the Abuse of Children.</w:t>
      </w:r>
    </w:p>
    <w:p w14:paraId="43B70A74" w14:textId="58A64F2E" w:rsidR="00A84782" w:rsidRPr="0097216C" w:rsidRDefault="00A84782" w:rsidP="00F651FB">
      <w:pPr>
        <w:pStyle w:val="SingleTxt"/>
        <w:numPr>
          <w:ilvl w:val="0"/>
          <w:numId w:val="17"/>
        </w:numPr>
        <w:ind w:left="1267"/>
      </w:pPr>
      <w:r w:rsidRPr="0097216C">
        <w:t>La Fuerza de Policía de Singapur ofrece capacitación especializada a los agentes de primera línea y a los investigadores para garantizar que las entrevistas e investigaciones con víctimas de violencia familiar y delitos sexuales se llevan a cabo con sensibilidad y profesionalidad.</w:t>
      </w:r>
    </w:p>
    <w:p w14:paraId="378C9AE3" w14:textId="46CE234A" w:rsidR="00A84782" w:rsidRPr="0097216C" w:rsidRDefault="00A84782" w:rsidP="00F651FB">
      <w:pPr>
        <w:pStyle w:val="SingleTxt"/>
        <w:numPr>
          <w:ilvl w:val="0"/>
          <w:numId w:val="21"/>
        </w:numPr>
        <w:ind w:left="1267"/>
      </w:pPr>
      <w:r w:rsidRPr="0097216C">
        <w:t xml:space="preserve">También existen disposiciones legales que tienen en cuenta las cuestiones de género y protegen los derechos de las mujeres cuando se cachea a personas acusadas. Por ejemplo, en virtud del artículo </w:t>
      </w:r>
      <w:r w:rsidRPr="00451405">
        <w:t>25</w:t>
      </w:r>
      <w:r w:rsidRPr="0097216C">
        <w:t xml:space="preserve"> </w:t>
      </w:r>
      <w:r w:rsidRPr="00451405">
        <w:t>3</w:t>
      </w:r>
      <w:r w:rsidRPr="0097216C">
        <w:t xml:space="preserve">) de la Ley sobre el Uso Indebido de Medicamentos y del artículo </w:t>
      </w:r>
      <w:r w:rsidRPr="00451405">
        <w:t>51</w:t>
      </w:r>
      <w:r w:rsidRPr="0097216C">
        <w:t xml:space="preserve"> </w:t>
      </w:r>
      <w:r w:rsidRPr="00451405">
        <w:t>2</w:t>
      </w:r>
      <w:r w:rsidRPr="0097216C">
        <w:t xml:space="preserve">) y el artículo </w:t>
      </w:r>
      <w:r w:rsidRPr="00451405">
        <w:t>51</w:t>
      </w:r>
      <w:r w:rsidRPr="0097216C">
        <w:t xml:space="preserve">AA </w:t>
      </w:r>
      <w:r w:rsidRPr="00451405">
        <w:t>3</w:t>
      </w:r>
      <w:r w:rsidRPr="0097216C">
        <w:t>) de la Ley de Inmigración, las mujeres solamente pueden ser cacheadas por agentes femeninas de los respectivos cuerpos de seguridad.</w:t>
      </w:r>
    </w:p>
    <w:p w14:paraId="40BCD6EC" w14:textId="74A0EBAE" w:rsidR="00A84782" w:rsidRPr="0097216C" w:rsidRDefault="00A84782" w:rsidP="00F651FB">
      <w:pPr>
        <w:pStyle w:val="SingleTxt"/>
        <w:numPr>
          <w:ilvl w:val="0"/>
          <w:numId w:val="20"/>
        </w:numPr>
        <w:ind w:left="1267"/>
      </w:pPr>
      <w:r w:rsidRPr="0097216C">
        <w:t xml:space="preserve">Como se indica en el párrafo </w:t>
      </w:r>
      <w:r w:rsidRPr="00451405">
        <w:t>43</w:t>
      </w:r>
      <w:r w:rsidRPr="0097216C">
        <w:t xml:space="preserve"> del Informe Periódico, las anteriores observaciones finales del Comité se publicaron en la página web del Ministerio de Desarrollo Social y Familiar y se difundieron rápidamente entre los ministerios y organismos de la administración pública por correo electrónico tras su recepción.</w:t>
      </w:r>
    </w:p>
    <w:p w14:paraId="278DF846" w14:textId="77777777" w:rsidR="00A84782" w:rsidRPr="0097216C" w:rsidRDefault="00A84782" w:rsidP="00A84782">
      <w:pPr>
        <w:pStyle w:val="SingleTxt"/>
        <w:spacing w:after="0" w:line="120" w:lineRule="exact"/>
        <w:rPr>
          <w:bCs/>
          <w:sz w:val="10"/>
        </w:rPr>
      </w:pPr>
    </w:p>
    <w:p w14:paraId="0C7A556C" w14:textId="77777777" w:rsidR="00A84782" w:rsidRPr="0097216C" w:rsidRDefault="00A84782" w:rsidP="00A84782">
      <w:pPr>
        <w:pStyle w:val="SingleTxt"/>
        <w:spacing w:after="0" w:line="120" w:lineRule="exact"/>
        <w:rPr>
          <w:bCs/>
          <w:sz w:val="10"/>
        </w:rPr>
      </w:pPr>
    </w:p>
    <w:p w14:paraId="46B226C5"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III.</w:t>
      </w:r>
      <w:r w:rsidRPr="00451405">
        <w:tab/>
        <w:t>Respuesta al párrafo 2 de la lista de cuestiones y preguntas</w:t>
      </w:r>
    </w:p>
    <w:p w14:paraId="3B8639FE" w14:textId="77777777" w:rsidR="00A84782" w:rsidRPr="0097216C" w:rsidRDefault="00A84782" w:rsidP="00A84782">
      <w:pPr>
        <w:pStyle w:val="SingleTxt"/>
        <w:spacing w:after="0" w:line="120" w:lineRule="exact"/>
        <w:rPr>
          <w:bCs/>
          <w:sz w:val="10"/>
        </w:rPr>
      </w:pPr>
    </w:p>
    <w:p w14:paraId="276BAABA" w14:textId="77777777" w:rsidR="00A84782" w:rsidRPr="0097216C" w:rsidRDefault="00A84782" w:rsidP="00A84782">
      <w:pPr>
        <w:pStyle w:val="SingleTxt"/>
        <w:spacing w:after="0" w:line="120" w:lineRule="exact"/>
        <w:rPr>
          <w:bCs/>
          <w:sz w:val="10"/>
        </w:rPr>
      </w:pPr>
    </w:p>
    <w:p w14:paraId="4A1200B2" w14:textId="44B542A1" w:rsidR="00A84782" w:rsidRPr="0097216C" w:rsidRDefault="00A84782" w:rsidP="00F651FB">
      <w:pPr>
        <w:pStyle w:val="SingleTxt"/>
        <w:numPr>
          <w:ilvl w:val="0"/>
          <w:numId w:val="19"/>
        </w:numPr>
        <w:ind w:left="1267"/>
      </w:pPr>
      <w:r w:rsidRPr="0097216C">
        <w:t>Singapur sigue alcanzando altas tasas de empleo y alfabetización de las mujeres, a pesar del impacto de la pandemia de enfermedad por coronavirus (COVID-</w:t>
      </w:r>
      <w:r w:rsidRPr="00451405">
        <w:t>19</w:t>
      </w:r>
      <w:r w:rsidRPr="0097216C">
        <w:t xml:space="preserve">). En </w:t>
      </w:r>
      <w:r w:rsidRPr="00451405">
        <w:t>2021</w:t>
      </w:r>
      <w:r w:rsidRPr="0097216C">
        <w:t xml:space="preserve">, la tasa de empleo de las mujeres de </w:t>
      </w:r>
      <w:r w:rsidRPr="00451405">
        <w:t>25</w:t>
      </w:r>
      <w:r w:rsidRPr="0097216C">
        <w:t xml:space="preserve"> a </w:t>
      </w:r>
      <w:r w:rsidRPr="00451405">
        <w:t>64</w:t>
      </w:r>
      <w:r w:rsidRPr="0097216C">
        <w:t xml:space="preserve"> años era del </w:t>
      </w:r>
      <w:r w:rsidRPr="00451405">
        <w:t>75</w:t>
      </w:r>
      <w:r w:rsidRPr="0097216C">
        <w:t>,</w:t>
      </w:r>
      <w:r w:rsidRPr="00451405">
        <w:t>1</w:t>
      </w:r>
      <w:r w:rsidRPr="0097216C">
        <w:t xml:space="preserve"> % (frente al </w:t>
      </w:r>
      <w:r w:rsidRPr="00451405">
        <w:t>73</w:t>
      </w:r>
      <w:r w:rsidRPr="0097216C">
        <w:t>,</w:t>
      </w:r>
      <w:r w:rsidRPr="00451405">
        <w:t>3</w:t>
      </w:r>
      <w:r w:rsidRPr="0097216C">
        <w:t xml:space="preserve"> % en </w:t>
      </w:r>
      <w:r w:rsidRPr="00451405">
        <w:t>2019</w:t>
      </w:r>
      <w:r w:rsidRPr="0097216C">
        <w:t xml:space="preserve">) y la tasa de alfabetización de las mujeres residentes de </w:t>
      </w:r>
      <w:r w:rsidRPr="00451405">
        <w:t>15</w:t>
      </w:r>
      <w:r w:rsidRPr="0097216C">
        <w:t xml:space="preserve"> años o más era del </w:t>
      </w:r>
      <w:r w:rsidRPr="00451405">
        <w:t>96</w:t>
      </w:r>
      <w:r w:rsidRPr="0097216C">
        <w:t>,</w:t>
      </w:r>
      <w:r w:rsidRPr="00451405">
        <w:t>4</w:t>
      </w:r>
      <w:r w:rsidRPr="0097216C">
        <w:t xml:space="preserve"> % (frente al </w:t>
      </w:r>
      <w:r w:rsidRPr="00451405">
        <w:t>96</w:t>
      </w:r>
      <w:r w:rsidRPr="0097216C">
        <w:t>,</w:t>
      </w:r>
      <w:r w:rsidRPr="00451405">
        <w:t>1</w:t>
      </w:r>
      <w:r w:rsidRPr="0097216C">
        <w:t xml:space="preserve"> % en </w:t>
      </w:r>
      <w:r w:rsidRPr="00451405">
        <w:t>2019</w:t>
      </w:r>
      <w:r w:rsidRPr="0097216C">
        <w:t>). También adoptamos un enfoque a más largo plazo y calibrado que va más allá de la pandemia para apoyar a todos los singapurenses y especialmente a los necesitados, incluidas las mujeres vulnerables.</w:t>
      </w:r>
    </w:p>
    <w:p w14:paraId="49B84691" w14:textId="7E4FFC16" w:rsidR="00A84782" w:rsidRPr="0097216C" w:rsidRDefault="00A84782" w:rsidP="00F651FB">
      <w:pPr>
        <w:pStyle w:val="SingleTxt"/>
        <w:numPr>
          <w:ilvl w:val="0"/>
          <w:numId w:val="19"/>
        </w:numPr>
        <w:ind w:left="1267"/>
      </w:pPr>
      <w:r w:rsidRPr="0097216C">
        <w:t>Singapur prorrogó recientemente la Subvención de Recuperación frente a la COVID-</w:t>
      </w:r>
      <w:r w:rsidRPr="00451405">
        <w:t>19</w:t>
      </w:r>
      <w:r w:rsidRPr="0097216C">
        <w:t xml:space="preserve"> hasta el </w:t>
      </w:r>
      <w:r w:rsidRPr="00451405">
        <w:t>31</w:t>
      </w:r>
      <w:r w:rsidRPr="0097216C">
        <w:t xml:space="preserve"> de diciembre de </w:t>
      </w:r>
      <w:r w:rsidRPr="00451405">
        <w:t>2023</w:t>
      </w:r>
      <w:r w:rsidRPr="0097216C">
        <w:t xml:space="preserve"> con el fin de seguir apoyando a las personas cuyas circunstancias financieras y laborales se ven afectadas por la actual coyuntura económica.</w:t>
      </w:r>
    </w:p>
    <w:p w14:paraId="423E7A05" w14:textId="035E65A7" w:rsidR="00A84782" w:rsidRPr="0097216C" w:rsidRDefault="00A84782" w:rsidP="00F651FB">
      <w:pPr>
        <w:pStyle w:val="SingleTxt"/>
        <w:numPr>
          <w:ilvl w:val="0"/>
          <w:numId w:val="18"/>
        </w:numPr>
        <w:ind w:left="1267"/>
      </w:pPr>
      <w:r w:rsidRPr="0097216C">
        <w:t>En materia de salud pública, adoptamos un enfoque basado en el riesgo para diseñar y aplicar medidas de control y medidas de prevención de la COVID-</w:t>
      </w:r>
      <w:r w:rsidRPr="00451405">
        <w:t>19</w:t>
      </w:r>
      <w:r w:rsidRPr="0097216C">
        <w:t>. Por ejemplo, identificamos a las mujeres embarazadas y a las personas con enfermedades preexistentes como grupos de mayor riesgo e introdujimos medidas para reducir su riesgo de infección. Se tomaron otras medidas, como el teletrabajo, para proteger a la población, especialmente a los grupos vulnerables, entre ellos las mujeres mayores.</w:t>
      </w:r>
    </w:p>
    <w:p w14:paraId="1B4E7054" w14:textId="3D2F15A0" w:rsidR="00A84782" w:rsidRPr="0097216C" w:rsidRDefault="00A84782" w:rsidP="00F651FB">
      <w:pPr>
        <w:pStyle w:val="SingleTxt"/>
        <w:numPr>
          <w:ilvl w:val="0"/>
          <w:numId w:val="18"/>
        </w:numPr>
        <w:ind w:left="1267"/>
      </w:pPr>
      <w:r w:rsidRPr="0097216C">
        <w:t>Además de las medidas de apoyo para la COVID-</w:t>
      </w:r>
      <w:r w:rsidRPr="00451405">
        <w:t>19</w:t>
      </w:r>
      <w:r w:rsidRPr="0097216C">
        <w:t xml:space="preserve"> descritas en los párrafos </w:t>
      </w:r>
      <w:r w:rsidRPr="00451405">
        <w:t>15</w:t>
      </w:r>
      <w:r w:rsidRPr="0097216C">
        <w:t xml:space="preserve"> y </w:t>
      </w:r>
      <w:r w:rsidRPr="00451405">
        <w:t>173</w:t>
      </w:r>
      <w:r w:rsidRPr="0097216C">
        <w:t xml:space="preserve"> del Informe Periódico, hemos puesto en marcha varios paquetes de más de </w:t>
      </w:r>
      <w:r w:rsidRPr="00451405">
        <w:t>3</w:t>
      </w:r>
      <w:r w:rsidRPr="0097216C">
        <w:t>.</w:t>
      </w:r>
      <w:r w:rsidRPr="00451405">
        <w:t>500</w:t>
      </w:r>
      <w:r w:rsidRPr="0097216C">
        <w:t xml:space="preserve"> millones de dólares singapurenses para aliviar el costo de la vida de todos los hogares de Singapur en vista del aumento de la inflación mundial, con más apoyo para los grupos de ingreso bajo y mediano. Entre ellos se encuentra un paquete de </w:t>
      </w:r>
      <w:r w:rsidRPr="00451405">
        <w:t>1</w:t>
      </w:r>
      <w:r w:rsidRPr="0097216C">
        <w:t>.</w:t>
      </w:r>
      <w:r w:rsidRPr="00451405">
        <w:t>500</w:t>
      </w:r>
      <w:r w:rsidRPr="0097216C">
        <w:t xml:space="preserve"> millones de dólares singapurenses en junio de </w:t>
      </w:r>
      <w:r w:rsidRPr="00451405">
        <w:t>2022</w:t>
      </w:r>
      <w:r w:rsidRPr="0097216C">
        <w:t xml:space="preserve"> para proporcionar alivio específico e inmediato en áreas como los productos esenciales y las facturas de </w:t>
      </w:r>
      <w:r w:rsidRPr="0097216C">
        <w:lastRenderedPageBreak/>
        <w:t xml:space="preserve">servicios públicos, y otro por el mismo monto en octubre de </w:t>
      </w:r>
      <w:r w:rsidRPr="00451405">
        <w:t>2022</w:t>
      </w:r>
      <w:r w:rsidRPr="0097216C">
        <w:t xml:space="preserve"> para proporcionar más alivio a todos los hogares de Singapur en áreas como los productos esenciales, el transporte y la educación. En conjunto, los paquetes de medidas de apoyo cubrirán totalmente el aumento del costo de la vida para los hogares con ingresos más bajos por término medio, y más de la mitad del aumento del costo de la vida para los hogares con ingresos medianos por término medio en </w:t>
      </w:r>
      <w:r w:rsidRPr="00451405">
        <w:t>2022</w:t>
      </w:r>
      <w:r w:rsidRPr="0097216C">
        <w:t>.</w:t>
      </w:r>
    </w:p>
    <w:p w14:paraId="2B380BAD" w14:textId="77777777" w:rsidR="00A84782" w:rsidRPr="0097216C" w:rsidRDefault="00A84782" w:rsidP="00A84782">
      <w:pPr>
        <w:pStyle w:val="SingleTxt"/>
        <w:spacing w:after="0" w:line="120" w:lineRule="exact"/>
        <w:rPr>
          <w:bCs/>
          <w:sz w:val="10"/>
        </w:rPr>
      </w:pPr>
    </w:p>
    <w:p w14:paraId="2024B86D" w14:textId="77777777" w:rsidR="00A84782" w:rsidRPr="0097216C" w:rsidRDefault="00A84782" w:rsidP="00A84782">
      <w:pPr>
        <w:pStyle w:val="SingleTxt"/>
        <w:spacing w:after="0" w:line="120" w:lineRule="exact"/>
        <w:rPr>
          <w:bCs/>
          <w:sz w:val="10"/>
        </w:rPr>
      </w:pPr>
    </w:p>
    <w:p w14:paraId="68477D69"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IV.</w:t>
      </w:r>
      <w:r w:rsidRPr="00451405">
        <w:tab/>
        <w:t>Respuesta al párrafo 3 de la lista de cuestiones y preguntas</w:t>
      </w:r>
    </w:p>
    <w:p w14:paraId="19A32427" w14:textId="77777777" w:rsidR="00A84782" w:rsidRPr="0097216C" w:rsidRDefault="00A84782" w:rsidP="00A84782">
      <w:pPr>
        <w:pStyle w:val="SingleTxt"/>
        <w:spacing w:after="0" w:line="120" w:lineRule="exact"/>
        <w:rPr>
          <w:bCs/>
          <w:sz w:val="10"/>
        </w:rPr>
      </w:pPr>
    </w:p>
    <w:p w14:paraId="22AE9B13" w14:textId="77777777" w:rsidR="00A84782" w:rsidRPr="0097216C" w:rsidRDefault="00A84782" w:rsidP="00A84782">
      <w:pPr>
        <w:pStyle w:val="SingleTxt"/>
        <w:spacing w:after="0" w:line="120" w:lineRule="exact"/>
        <w:rPr>
          <w:bCs/>
          <w:sz w:val="10"/>
        </w:rPr>
      </w:pPr>
    </w:p>
    <w:p w14:paraId="0B207B19" w14:textId="48CBEA8B" w:rsidR="00A84782" w:rsidRPr="0097216C" w:rsidRDefault="00A84782" w:rsidP="00F651FB">
      <w:pPr>
        <w:pStyle w:val="SingleTxt"/>
        <w:numPr>
          <w:ilvl w:val="0"/>
          <w:numId w:val="18"/>
        </w:numPr>
        <w:ind w:left="1267"/>
        <w:rPr>
          <w:bCs/>
        </w:rPr>
      </w:pPr>
      <w:r w:rsidRPr="0097216C">
        <w:t xml:space="preserve">El Gobierno no admite la discriminación contra las mujeres. Singapur contempla la igualdad de protección para las mujeres como parte de nuestra Constitución, incluida la protección de las mujeres frente a la discriminación injusta. Así lo consagra el artículo </w:t>
      </w:r>
      <w:r w:rsidRPr="00451405">
        <w:t>12</w:t>
      </w:r>
      <w:r w:rsidRPr="0097216C">
        <w:t xml:space="preserve"> </w:t>
      </w:r>
      <w:r w:rsidRPr="00451405">
        <w:t>1</w:t>
      </w:r>
      <w:r w:rsidRPr="0097216C">
        <w:t xml:space="preserve">), que establece que “todas las personas son iguales ante la ley y tienen derecho a igual protección de la ley”. El Tribunal de Apelación, en el párrafo </w:t>
      </w:r>
      <w:r w:rsidRPr="00451405">
        <w:t>187</w:t>
      </w:r>
      <w:r w:rsidRPr="0097216C">
        <w:t xml:space="preserve"> de su decisión de </w:t>
      </w:r>
      <w:r w:rsidRPr="00451405">
        <w:t>28</w:t>
      </w:r>
      <w:r w:rsidRPr="0097216C">
        <w:t xml:space="preserve"> de octubre de </w:t>
      </w:r>
      <w:r w:rsidRPr="00451405">
        <w:t>2014</w:t>
      </w:r>
      <w:r w:rsidRPr="0097216C">
        <w:t xml:space="preserve"> (es decir, Lim Meng Suang y otro contra AG), dejó bien claro que el artículo </w:t>
      </w:r>
      <w:r w:rsidRPr="00451405">
        <w:t>12</w:t>
      </w:r>
      <w:r w:rsidRPr="0097216C">
        <w:t xml:space="preserve"> </w:t>
      </w:r>
      <w:r w:rsidRPr="00451405">
        <w:t>1</w:t>
      </w:r>
      <w:r w:rsidRPr="0097216C">
        <w:t>) se aplicaría “a todas las personas independientemente de su ‘género, orientación sexual e identidad de género’</w:t>
      </w:r>
      <w:r w:rsidR="00C62692" w:rsidRPr="0097216C">
        <w:t xml:space="preserve">”. </w:t>
      </w:r>
      <w:r w:rsidRPr="0097216C">
        <w:t xml:space="preserve">En su decisión más reciente de </w:t>
      </w:r>
      <w:r w:rsidRPr="00451405">
        <w:t>28</w:t>
      </w:r>
      <w:r w:rsidRPr="0097216C">
        <w:t xml:space="preserve"> de febrero de </w:t>
      </w:r>
      <w:r w:rsidRPr="00451405">
        <w:t>2022</w:t>
      </w:r>
      <w:r w:rsidRPr="0097216C">
        <w:t xml:space="preserve"> (es decir, Tan Seng Kee contra AG), en el párrafo </w:t>
      </w:r>
      <w:r w:rsidRPr="00451405">
        <w:t>303</w:t>
      </w:r>
      <w:r w:rsidRPr="0097216C">
        <w:t xml:space="preserve">, el Tribunal de Apelación hizo hincapié en que los derechos consagrados en el artículo </w:t>
      </w:r>
      <w:r w:rsidRPr="00451405">
        <w:t>12</w:t>
      </w:r>
      <w:r w:rsidRPr="0097216C">
        <w:t xml:space="preserve"> </w:t>
      </w:r>
      <w:r w:rsidRPr="00451405">
        <w:t>1</w:t>
      </w:r>
      <w:r w:rsidRPr="0097216C">
        <w:t xml:space="preserve">) son fundamentales y básicos y que el tribunal evitará adoptar cualquier enfoque que “deje sin efecto el artículo </w:t>
      </w:r>
      <w:r w:rsidRPr="00451405">
        <w:t>12</w:t>
      </w:r>
      <w:r w:rsidRPr="0097216C">
        <w:t xml:space="preserve"> </w:t>
      </w:r>
      <w:r w:rsidRPr="00451405">
        <w:t>1</w:t>
      </w:r>
      <w:r w:rsidRPr="0097216C">
        <w:t>)”.</w:t>
      </w:r>
    </w:p>
    <w:p w14:paraId="5DECB5E5" w14:textId="4B2A392F" w:rsidR="00A84782" w:rsidRPr="0097216C" w:rsidRDefault="00A84782" w:rsidP="00F651FB">
      <w:pPr>
        <w:pStyle w:val="SingleTxt"/>
        <w:numPr>
          <w:ilvl w:val="0"/>
          <w:numId w:val="18"/>
        </w:numPr>
        <w:ind w:left="1267"/>
      </w:pPr>
      <w:r w:rsidRPr="0097216C">
        <w:t xml:space="preserve">A lo largo de los años, el Gobierno ha revisado y actualizado exhaustivamente la legislación para mejorar los derechos y la protección de las mujeres, así como para colmar las lagunas legislativas. Además de la Constitución, los derechos de las mujeres están protegidos en instrumentos como la Carta de la Mujer, la Ley de la Infancia y la Juventud, la Ley de Empleo, el Código Penal y la Ley de Protección contra el Acoso. Por ejemplo, con el objetivo de mejorar la protección de las mujeres y tras haber tenido en cuenta la amplia información facilitada por las partes interesadas, el Gobierno modificará la Carta de la Mujer para proteger mejor a las supervivientes de la violencia familiar y mejorar la rendición de cuentas y la rehabilitación de los agresores (véanse el </w:t>
      </w:r>
      <w:hyperlink r:id="rId22" w:history="1">
        <w:r w:rsidRPr="00451405">
          <w:t>informe del Equipo de Tareas sobre Violencia Familiar</w:t>
        </w:r>
      </w:hyperlink>
      <w:r w:rsidRPr="0097216C">
        <w:t xml:space="preserve"> y el anexo A para más detalles). El Libro Blanco también incluía planes de acción concretos para hacer frente a la discriminación, por </w:t>
      </w:r>
      <w:proofErr w:type="gramStart"/>
      <w:r w:rsidRPr="0097216C">
        <w:t>ejemplo</w:t>
      </w:r>
      <w:proofErr w:type="gramEnd"/>
      <w:r w:rsidRPr="0097216C">
        <w:t xml:space="preserve"> promulgando legislación sobre la equidad en el lugar de trabajo.</w:t>
      </w:r>
    </w:p>
    <w:p w14:paraId="5D0AFB9D" w14:textId="77777777" w:rsidR="00A84782" w:rsidRPr="0097216C" w:rsidRDefault="00A84782" w:rsidP="00A84782">
      <w:pPr>
        <w:pStyle w:val="SingleTxt"/>
        <w:spacing w:after="0" w:line="120" w:lineRule="exact"/>
        <w:rPr>
          <w:bCs/>
          <w:sz w:val="10"/>
        </w:rPr>
      </w:pPr>
    </w:p>
    <w:p w14:paraId="0963A5AF" w14:textId="77777777" w:rsidR="00A84782" w:rsidRPr="0097216C" w:rsidRDefault="00A84782" w:rsidP="00A84782">
      <w:pPr>
        <w:pStyle w:val="SingleTxt"/>
        <w:spacing w:after="0" w:line="120" w:lineRule="exact"/>
        <w:rPr>
          <w:bCs/>
          <w:sz w:val="10"/>
        </w:rPr>
      </w:pPr>
    </w:p>
    <w:p w14:paraId="486341EE"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V.</w:t>
      </w:r>
      <w:r w:rsidRPr="00451405">
        <w:tab/>
        <w:t>Respuesta al párrafo 4 de la lista de cuestiones y preguntas</w:t>
      </w:r>
    </w:p>
    <w:p w14:paraId="22E535FB" w14:textId="77777777" w:rsidR="00A84782" w:rsidRPr="0097216C" w:rsidRDefault="00A84782" w:rsidP="00A84782">
      <w:pPr>
        <w:pStyle w:val="SingleTxt"/>
        <w:spacing w:after="0" w:line="120" w:lineRule="exact"/>
        <w:rPr>
          <w:bCs/>
          <w:sz w:val="10"/>
        </w:rPr>
      </w:pPr>
    </w:p>
    <w:p w14:paraId="4E54B4F3" w14:textId="77777777" w:rsidR="00A84782" w:rsidRPr="0097216C" w:rsidRDefault="00A84782" w:rsidP="00A84782">
      <w:pPr>
        <w:pStyle w:val="SingleTxt"/>
        <w:spacing w:after="0" w:line="120" w:lineRule="exact"/>
        <w:rPr>
          <w:bCs/>
          <w:sz w:val="10"/>
        </w:rPr>
      </w:pPr>
    </w:p>
    <w:p w14:paraId="23688212" w14:textId="74654177" w:rsidR="00A84782" w:rsidRPr="0097216C" w:rsidRDefault="00A84782" w:rsidP="00F651FB">
      <w:pPr>
        <w:pStyle w:val="SingleTxt"/>
        <w:numPr>
          <w:ilvl w:val="0"/>
          <w:numId w:val="18"/>
        </w:numPr>
        <w:ind w:left="1267"/>
      </w:pPr>
      <w:r w:rsidRPr="0097216C">
        <w:t xml:space="preserve">El Libro Blanco trata cuestiones clave en las áreas más destacadas para las mujeres de Singapur planteadas durante las Conversaciones sobre el Desarrollo de las Mujeres de Singapur, que tuvieron un año de duración y en las que participaron cerca de </w:t>
      </w:r>
      <w:r w:rsidRPr="00451405">
        <w:t>6</w:t>
      </w:r>
      <w:r w:rsidRPr="0097216C">
        <w:t>.</w:t>
      </w:r>
      <w:r w:rsidRPr="00451405">
        <w:t>000</w:t>
      </w:r>
      <w:r w:rsidRPr="0097216C">
        <w:t xml:space="preserve"> personas de diversos ámbitos, incluidas minorías étnicas y religiosas.</w:t>
      </w:r>
    </w:p>
    <w:p w14:paraId="2D867778" w14:textId="4683D833" w:rsidR="00A84782" w:rsidRPr="0097216C" w:rsidRDefault="00A84782" w:rsidP="00F651FB">
      <w:pPr>
        <w:pStyle w:val="SingleTxt"/>
        <w:numPr>
          <w:ilvl w:val="0"/>
          <w:numId w:val="18"/>
        </w:numPr>
        <w:ind w:left="1267"/>
      </w:pPr>
      <w:r w:rsidRPr="0097216C">
        <w:t>Para las mujeres en situación de vulnerabilidad y marginación, la protección frente a la violencia y los daños es una preocupación fundamental. En este sentido, el Libro Blanco articulaba medidas como la revisión del marco de imposición de penas por delitos sexuales y de lesiones para garantizar que las sentencias impuestas reflejen la gravedad de estos actos como graves violaciones de nuestros valores fundamentales. Estas modificaciones legislativas complementan la legislación existente, como el Código Penal y la Ley de Protección contra el Acoso, que contienen diversas disposiciones que protegen a las mujeres frente a cualquier daño, independientemente de su etnia, religión, nacionalidad y orientación sexual.</w:t>
      </w:r>
    </w:p>
    <w:p w14:paraId="546EDA3D" w14:textId="2E12497F" w:rsidR="00A84782" w:rsidRPr="0097216C" w:rsidRDefault="00A84782" w:rsidP="00F651FB">
      <w:pPr>
        <w:pStyle w:val="SingleTxt"/>
        <w:numPr>
          <w:ilvl w:val="0"/>
          <w:numId w:val="18"/>
        </w:numPr>
        <w:ind w:left="1267"/>
      </w:pPr>
      <w:r w:rsidRPr="0097216C">
        <w:lastRenderedPageBreak/>
        <w:t>En el caso de las mujeres cuyas circunstancias no se abordan específicamente en el Libro Blanco, diferentes instancias públicas ofrecen apoyo específico a grupos concretos, como las trabajadoras domésticas migrantes (Ministerio de Trabajo).</w:t>
      </w:r>
    </w:p>
    <w:p w14:paraId="3BB741D5" w14:textId="77777777" w:rsidR="00A84782" w:rsidRPr="0097216C" w:rsidRDefault="00A84782" w:rsidP="00A84782">
      <w:pPr>
        <w:pStyle w:val="SingleTxt"/>
        <w:spacing w:after="0" w:line="120" w:lineRule="exact"/>
        <w:rPr>
          <w:bCs/>
          <w:sz w:val="10"/>
        </w:rPr>
      </w:pPr>
    </w:p>
    <w:p w14:paraId="006562E6" w14:textId="77777777" w:rsidR="00A84782" w:rsidRPr="0097216C" w:rsidRDefault="00A84782" w:rsidP="00A84782">
      <w:pPr>
        <w:pStyle w:val="SingleTxt"/>
        <w:spacing w:after="0" w:line="120" w:lineRule="exact"/>
        <w:rPr>
          <w:bCs/>
          <w:sz w:val="10"/>
        </w:rPr>
      </w:pPr>
    </w:p>
    <w:p w14:paraId="3F33BBDC"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VI.</w:t>
      </w:r>
      <w:r w:rsidRPr="00451405">
        <w:tab/>
        <w:t>Respuesta al párrafo 5 de la lista de cuestiones y preguntas</w:t>
      </w:r>
    </w:p>
    <w:p w14:paraId="3EBAC6E8" w14:textId="77777777" w:rsidR="00A84782" w:rsidRPr="0097216C" w:rsidRDefault="00A84782" w:rsidP="00A84782">
      <w:pPr>
        <w:pStyle w:val="SingleTxt"/>
        <w:spacing w:after="0" w:line="120" w:lineRule="exact"/>
        <w:rPr>
          <w:bCs/>
          <w:sz w:val="10"/>
        </w:rPr>
      </w:pPr>
    </w:p>
    <w:p w14:paraId="1E6D7FE9" w14:textId="77777777" w:rsidR="00A84782" w:rsidRPr="0097216C" w:rsidRDefault="00A84782" w:rsidP="00A84782">
      <w:pPr>
        <w:pStyle w:val="SingleTxt"/>
        <w:spacing w:after="0" w:line="120" w:lineRule="exact"/>
        <w:rPr>
          <w:bCs/>
          <w:sz w:val="10"/>
        </w:rPr>
      </w:pPr>
    </w:p>
    <w:p w14:paraId="0996080A" w14:textId="7E904DAA" w:rsidR="00A84782" w:rsidRPr="0097216C" w:rsidRDefault="00A84782" w:rsidP="00F651FB">
      <w:pPr>
        <w:pStyle w:val="SingleTxt"/>
        <w:numPr>
          <w:ilvl w:val="0"/>
          <w:numId w:val="18"/>
        </w:numPr>
        <w:ind w:left="1267"/>
      </w:pPr>
      <w:r w:rsidRPr="0097216C">
        <w:t xml:space="preserve">Los ciudadanos de Singapur y los residentes permanentes que superen las pruebas de recursos y méritos pueden acceder a la asistencia jurídica civil y penal financiada por el Gobierno. A la hora de evaluar a los solicitantes de asistencia jurídica, se puede prestar especial consideración a los solicitantes con circunstancias atenuantes, por ejemplo, necesidades financieras adicionales, en virtud de los respectivos marcos discrecionales de asistencia jurídica civil y penal. Los extranjeros que necesiten ayuda jurídica, incluidas las mujeres migrantes, también pueden dirigirse a diversas organizaciones, como </w:t>
      </w:r>
      <w:proofErr w:type="gramStart"/>
      <w:r w:rsidRPr="0097216C">
        <w:t>Pro Bono</w:t>
      </w:r>
      <w:proofErr w:type="gramEnd"/>
      <w:r w:rsidRPr="0097216C">
        <w:t xml:space="preserve"> SG, la Humanitarian Organisation for Migration Economics y la Archdiocesan Commission for the Pastoral Care of Migrants and Itinerant People.</w:t>
      </w:r>
    </w:p>
    <w:p w14:paraId="4E1B0BDC" w14:textId="7D408122" w:rsidR="00A84782" w:rsidRPr="0097216C" w:rsidRDefault="00A84782" w:rsidP="00F651FB">
      <w:pPr>
        <w:pStyle w:val="SingleTxt"/>
        <w:numPr>
          <w:ilvl w:val="0"/>
          <w:numId w:val="18"/>
        </w:numPr>
        <w:ind w:left="1267"/>
      </w:pPr>
      <w:r w:rsidRPr="0097216C">
        <w:t>Se realizan esfuerzos continuos para desarrollar y reforzar las aptitudes, instintos y capacidades de nuestros fiscales para hacer frente a los estereotipos de género que pueden afectar al acceso a la justicia. Los nuevos fiscales reciben capacitación general de nivel básico dos veces al año y de nivel avanzado una vez al año. Contamos con un grupo especializado de fiscales que se ocupan de los testigos vulnerables y reciben capacitación específica todos los años sobre el enjuiciamiento de casos en los que intervienen este tipo de testigos.</w:t>
      </w:r>
    </w:p>
    <w:p w14:paraId="48438E19" w14:textId="56AE3C16" w:rsidR="00A84782" w:rsidRPr="0097216C" w:rsidRDefault="00A84782" w:rsidP="00F651FB">
      <w:pPr>
        <w:pStyle w:val="SingleTxt"/>
        <w:numPr>
          <w:ilvl w:val="0"/>
          <w:numId w:val="18"/>
        </w:numPr>
        <w:ind w:left="1267"/>
      </w:pPr>
      <w:r w:rsidRPr="0097216C">
        <w:t xml:space="preserve">Como se destaca en el párrafo </w:t>
      </w:r>
      <w:r w:rsidRPr="00451405">
        <w:t>3</w:t>
      </w:r>
      <w:r w:rsidRPr="0097216C">
        <w:t xml:space="preserve"> de este documento, la Escuela Judicial de Singapur cuenta con programas para mejorar la comprensión de los jueces y oficiales judiciales recién nombrados a la hora de tratar con víctimas de agresiones sexuales.</w:t>
      </w:r>
    </w:p>
    <w:p w14:paraId="73D07A9D" w14:textId="70DA41AE" w:rsidR="00A84782" w:rsidRPr="0097216C" w:rsidRDefault="00A84782" w:rsidP="00F651FB">
      <w:pPr>
        <w:pStyle w:val="SingleTxt"/>
        <w:numPr>
          <w:ilvl w:val="0"/>
          <w:numId w:val="18"/>
        </w:numPr>
        <w:ind w:left="1267"/>
      </w:pPr>
      <w:r w:rsidRPr="0097216C">
        <w:t>Para sensibilizar a los estudiantes de Derecho sobre las cuestiones de género y como parte de su curso preparatorio, el Singapore Institute of Legal Education (SILE) también proporciona a los candidatos que se preparan para la Parte B de los Exámenes del Colegio de Abogados de Singapur materiales sobre cuestiones de género, como la violencia de género. El SILE tiene la intención de tratar las cuestiones relativas a la desigualdad de género en futuras versiones del curso de la Parte B.</w:t>
      </w:r>
    </w:p>
    <w:p w14:paraId="1FFCCA1B" w14:textId="77777777" w:rsidR="00A84782" w:rsidRPr="0097216C" w:rsidRDefault="00A84782" w:rsidP="00A84782">
      <w:pPr>
        <w:pStyle w:val="SingleTxt"/>
        <w:spacing w:after="0" w:line="120" w:lineRule="exact"/>
        <w:rPr>
          <w:bCs/>
          <w:sz w:val="10"/>
        </w:rPr>
      </w:pPr>
    </w:p>
    <w:p w14:paraId="3FE22508" w14:textId="77777777" w:rsidR="00A84782" w:rsidRPr="0097216C" w:rsidRDefault="00A84782" w:rsidP="00A84782">
      <w:pPr>
        <w:pStyle w:val="SingleTxt"/>
        <w:spacing w:after="0" w:line="120" w:lineRule="exact"/>
        <w:rPr>
          <w:bCs/>
          <w:sz w:val="10"/>
        </w:rPr>
      </w:pPr>
    </w:p>
    <w:p w14:paraId="3D2B42B9"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VII.</w:t>
      </w:r>
      <w:r w:rsidRPr="00451405">
        <w:tab/>
        <w:t>Respuesta al párrafo 6 de la lista de cuestiones y preguntas</w:t>
      </w:r>
    </w:p>
    <w:p w14:paraId="3FAB942A" w14:textId="77777777" w:rsidR="00A84782" w:rsidRPr="0097216C" w:rsidRDefault="00A84782" w:rsidP="00A84782">
      <w:pPr>
        <w:pStyle w:val="SingleTxt"/>
        <w:spacing w:after="0" w:line="120" w:lineRule="exact"/>
        <w:rPr>
          <w:bCs/>
          <w:sz w:val="10"/>
        </w:rPr>
      </w:pPr>
    </w:p>
    <w:p w14:paraId="345FEABF" w14:textId="77777777" w:rsidR="00A84782" w:rsidRPr="0097216C" w:rsidRDefault="00A84782" w:rsidP="00A84782">
      <w:pPr>
        <w:pStyle w:val="SingleTxt"/>
        <w:spacing w:after="0" w:line="120" w:lineRule="exact"/>
        <w:rPr>
          <w:bCs/>
          <w:sz w:val="10"/>
        </w:rPr>
      </w:pPr>
    </w:p>
    <w:p w14:paraId="24EE2019" w14:textId="43F5CCCA" w:rsidR="00A84782" w:rsidRPr="0097216C" w:rsidRDefault="00A84782" w:rsidP="00F651FB">
      <w:pPr>
        <w:pStyle w:val="SingleTxt"/>
        <w:numPr>
          <w:ilvl w:val="0"/>
          <w:numId w:val="18"/>
        </w:numPr>
        <w:ind w:left="1267"/>
      </w:pPr>
      <w:r w:rsidRPr="0097216C">
        <w:t xml:space="preserve">Entre </w:t>
      </w:r>
      <w:r w:rsidRPr="00451405">
        <w:t>2017</w:t>
      </w:r>
      <w:r w:rsidRPr="0097216C">
        <w:t xml:space="preserve"> y </w:t>
      </w:r>
      <w:r w:rsidRPr="00451405">
        <w:t>2022</w:t>
      </w:r>
      <w:r w:rsidRPr="0097216C">
        <w:t xml:space="preserve"> hubo dos mujeres condenadas a muerte. Ambas fueron condenadas por cargos de tráfico de drogas y agotaron las vías de recurso. Las “vulnerabilidades de género” mencionadas no figuraron en ninguno de los dos casos.</w:t>
      </w:r>
    </w:p>
    <w:p w14:paraId="12DD2D3B" w14:textId="704B5E02" w:rsidR="00A84782" w:rsidRPr="0097216C" w:rsidRDefault="00A84782" w:rsidP="00F651FB">
      <w:pPr>
        <w:pStyle w:val="SingleTxt"/>
        <w:numPr>
          <w:ilvl w:val="0"/>
          <w:numId w:val="18"/>
        </w:numPr>
        <w:ind w:left="1267"/>
      </w:pPr>
      <w:r w:rsidRPr="0097216C">
        <w:t xml:space="preserve">Para decidir la pena que debe imponerse a un acusado, el tribunal tiene en cuenta todas las circunstancias </w:t>
      </w:r>
      <w:proofErr w:type="gramStart"/>
      <w:r w:rsidRPr="0097216C">
        <w:t>pertinentes</w:t>
      </w:r>
      <w:proofErr w:type="gramEnd"/>
      <w:r w:rsidRPr="0097216C">
        <w:t xml:space="preserve"> así como los factores atenuantes. A este respecto, el Código de Procedimiento Penal de </w:t>
      </w:r>
      <w:r w:rsidRPr="00451405">
        <w:t>2010</w:t>
      </w:r>
      <w:r w:rsidRPr="0097216C">
        <w:t xml:space="preserve"> prevé que la fiscalía y el acusado (representado o no por un abogado) se dirijan al tribunal antes de que se dicte sentencia.</w:t>
      </w:r>
    </w:p>
    <w:p w14:paraId="505A9F16" w14:textId="5B0C42FC" w:rsidR="00A84782" w:rsidRPr="0097216C" w:rsidRDefault="00A84782" w:rsidP="00F651FB">
      <w:pPr>
        <w:pStyle w:val="SingleTxt"/>
        <w:numPr>
          <w:ilvl w:val="0"/>
          <w:numId w:val="18"/>
        </w:numPr>
        <w:ind w:left="1267"/>
      </w:pPr>
      <w:r w:rsidRPr="0097216C">
        <w:t xml:space="preserve">Cualquier acción realizada en ejercicio del derecho de defensa privada no constituye un delito en virtud del artículo </w:t>
      </w:r>
      <w:r w:rsidRPr="00451405">
        <w:t>96</w:t>
      </w:r>
      <w:r w:rsidRPr="0097216C">
        <w:t xml:space="preserve"> del Código Penal de </w:t>
      </w:r>
      <w:r w:rsidRPr="00451405">
        <w:t>1871</w:t>
      </w:r>
      <w:r w:rsidRPr="0097216C">
        <w:t xml:space="preserve">. Además, el capítulo </w:t>
      </w:r>
      <w:r w:rsidRPr="00451405">
        <w:t>4</w:t>
      </w:r>
      <w:r w:rsidRPr="0097216C">
        <w:t>A del Código establece el derecho de defensa privada, que incluye el derecho de legítima defensa, para todos los acusados. Cuando se demuestre el derecho a la defensa privada, el acusado no será considerado culpable de un delito (es decir, se trata de una defensa completa). Esto tiene aplicación para todos los delitos y no se limita a los delitos castigados con la pena capital.</w:t>
      </w:r>
    </w:p>
    <w:p w14:paraId="73B634B2" w14:textId="336197C9" w:rsidR="00A84782" w:rsidRPr="0097216C" w:rsidRDefault="00A84782" w:rsidP="00F651FB">
      <w:pPr>
        <w:pStyle w:val="SingleTxt"/>
        <w:numPr>
          <w:ilvl w:val="0"/>
          <w:numId w:val="18"/>
        </w:numPr>
        <w:ind w:left="1267"/>
      </w:pPr>
      <w:r w:rsidRPr="0097216C">
        <w:lastRenderedPageBreak/>
        <w:t xml:space="preserve">Con respecto al delito específico de asesinato, el artículo </w:t>
      </w:r>
      <w:r w:rsidRPr="00451405">
        <w:t>300</w:t>
      </w:r>
      <w:r w:rsidRPr="0097216C">
        <w:t xml:space="preserve"> del Código Penal de </w:t>
      </w:r>
      <w:r w:rsidRPr="00451405">
        <w:t>1871</w:t>
      </w:r>
      <w:r w:rsidRPr="0097216C">
        <w:t xml:space="preserve"> también establece varias excepciones (o defensas parciales) que, si se demuestran, significarán que la persona acusada no es culpable de asesinato (lo que puede acarrear la pena capital), y solamente puede ser declarada culpable del delito menor de homicidio culposo en virtud del artículo </w:t>
      </w:r>
      <w:r w:rsidRPr="00451405">
        <w:t>299</w:t>
      </w:r>
      <w:r w:rsidRPr="0097216C">
        <w:t xml:space="preserve"> del Código (que no implica la pena capital). En particular, la Excepción </w:t>
      </w:r>
      <w:r w:rsidRPr="00451405">
        <w:t>2</w:t>
      </w:r>
      <w:r w:rsidRPr="0097216C">
        <w:t xml:space="preserve"> establece que el homicidio culposo no es asesinato si la persona acusada, en ejercicio del derecho de defensa privada, se extralimita en el poder que le otorga la ley y causa la muerte de la persona contra la que ejerce dicho derecho de defensa, sin premeditación y sin intención de causar más daño del necesario a efectos de dicha defensa.</w:t>
      </w:r>
      <w:bookmarkStart w:id="1" w:name="_Hlk122337994"/>
    </w:p>
    <w:p w14:paraId="067E473B" w14:textId="324E18AC" w:rsidR="00A84782" w:rsidRPr="0097216C" w:rsidRDefault="00A84782" w:rsidP="00F651FB">
      <w:pPr>
        <w:pStyle w:val="SingleTxt"/>
        <w:numPr>
          <w:ilvl w:val="0"/>
          <w:numId w:val="18"/>
        </w:numPr>
        <w:ind w:left="1267"/>
      </w:pPr>
      <w:r w:rsidRPr="0097216C">
        <w:t>Dado que la defensa de la defensa privada es una defensa plena en el derecho penal de Singapur, una persona que alegue con éxito la defensa de la defensa privada no podrá ser condenada y no se le aplicará la pena capital.</w:t>
      </w:r>
    </w:p>
    <w:p w14:paraId="612D462E" w14:textId="2F484AFA" w:rsidR="00A84782" w:rsidRPr="0097216C" w:rsidRDefault="00A84782" w:rsidP="00F651FB">
      <w:pPr>
        <w:pStyle w:val="SingleTxt"/>
        <w:numPr>
          <w:ilvl w:val="0"/>
          <w:numId w:val="18"/>
        </w:numPr>
        <w:ind w:left="1267"/>
      </w:pPr>
      <w:r w:rsidRPr="0097216C">
        <w:t>Además, el Tribunal Superior no puede dictar sentencias de culpabilidad en los cargos con pena capital. Aunque el acusado desee declararse culpable, la fiscalía debe probar todos los elementos del delito más allá de toda duda razonable. Independientemente de que el acusado recurra tras la condena, todos los casos en los que se impone la pena capital son revisados por el Tribunal de Apelaciones antes de que se pueda ejecutar la pena capital.</w:t>
      </w:r>
      <w:bookmarkEnd w:id="1"/>
    </w:p>
    <w:p w14:paraId="5792D727" w14:textId="066ACCD6" w:rsidR="00A84782" w:rsidRPr="0097216C" w:rsidRDefault="00A84782" w:rsidP="00F651FB">
      <w:pPr>
        <w:pStyle w:val="SingleTxt"/>
        <w:numPr>
          <w:ilvl w:val="0"/>
          <w:numId w:val="18"/>
        </w:numPr>
        <w:ind w:left="1267"/>
      </w:pPr>
      <w:r w:rsidRPr="0097216C">
        <w:t>A todos los acusados de delitos punibles con la pena capital se les asigna asistencia letrada gratuita en virtud del Programa de Asistencia Letrada para Delitos Punibles con la Pena Capital (“LASCO”), cuya administración corre a cargo del Tribunal Supremo. No hay que superar ninguna prueba de recursos ni cumplir ningún requisito y pueden acogerse a este régimen todas las personas, independientemente de su sexo o nacionalidad.</w:t>
      </w:r>
    </w:p>
    <w:p w14:paraId="4F4049BF" w14:textId="5A874EE7" w:rsidR="00A84782" w:rsidRPr="0097216C" w:rsidRDefault="00A84782" w:rsidP="00F651FB">
      <w:pPr>
        <w:pStyle w:val="SingleTxt"/>
        <w:numPr>
          <w:ilvl w:val="0"/>
          <w:numId w:val="18"/>
        </w:numPr>
        <w:ind w:left="1267"/>
      </w:pPr>
      <w:r w:rsidRPr="0097216C">
        <w:t xml:space="preserve">La oferta de asignar un abogado LASCO también se extiende a las apelaciones en las que se cuestione la pena capital y a las presentaciones de peticiones de clemencia cuando el Tribunal de Apelaciones haya confirmado o impuesto una condena a la pena capital. En algunas circunstancias, el abogado LASCO puede seguir representando a un acusado cuando la pena capital ya no está en juego, como cuando la fiscalía informa de que no pedirá la pena de </w:t>
      </w:r>
      <w:proofErr w:type="gramStart"/>
      <w:r w:rsidRPr="0097216C">
        <w:t>muerte</w:t>
      </w:r>
      <w:proofErr w:type="gramEnd"/>
      <w:r w:rsidRPr="0097216C">
        <w:t xml:space="preserve"> aunque el cargo sigue siendo capital, o cuando el cargo se reduzca a un cargo no capital y el acusado opte por declararse culpable del cargo no capital sin reclamar un juicio.</w:t>
      </w:r>
    </w:p>
    <w:p w14:paraId="47DF6437" w14:textId="7861E715" w:rsidR="00A84782" w:rsidRPr="0097216C" w:rsidRDefault="00A84782" w:rsidP="00F651FB">
      <w:pPr>
        <w:pStyle w:val="SingleTxt"/>
        <w:numPr>
          <w:ilvl w:val="0"/>
          <w:numId w:val="18"/>
        </w:numPr>
        <w:ind w:left="1267"/>
      </w:pPr>
      <w:r w:rsidRPr="0097216C">
        <w:t>Normalmente se asignan dos abogados LASCO en las fases de juicio y apelación: un “abogado principal”, que debe tener al menos siete años de experiencia en la práctica jurídica y haber dirigido al menos dos juicios y dos apelaciones de pena capital; y un “abogado asistente”, que debe tener al menos cinco años de experiencia en la práctica jurídica y haber dirigido al menos dos juicios de pena capital o un juicio y una apelación de pena capital. Al defender a un acusado, el abogado LASCO debe esforzarse por proporcionarle, en su opinión profesional, la mejor defensa posible que ofrezca la ley.</w:t>
      </w:r>
    </w:p>
    <w:p w14:paraId="601474A9" w14:textId="77777777" w:rsidR="00A84782" w:rsidRPr="0097216C" w:rsidRDefault="00A84782" w:rsidP="00A84782">
      <w:pPr>
        <w:pStyle w:val="SingleTxt"/>
        <w:spacing w:after="0" w:line="120" w:lineRule="exact"/>
        <w:rPr>
          <w:bCs/>
          <w:sz w:val="10"/>
        </w:rPr>
      </w:pPr>
    </w:p>
    <w:p w14:paraId="0BCC59B4" w14:textId="77777777" w:rsidR="00A84782" w:rsidRPr="0097216C" w:rsidRDefault="00A84782" w:rsidP="00A84782">
      <w:pPr>
        <w:pStyle w:val="SingleTxt"/>
        <w:spacing w:after="0" w:line="120" w:lineRule="exact"/>
        <w:rPr>
          <w:bCs/>
          <w:sz w:val="10"/>
        </w:rPr>
      </w:pPr>
    </w:p>
    <w:p w14:paraId="66125EA0"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VIII.</w:t>
      </w:r>
      <w:r w:rsidRPr="00451405">
        <w:tab/>
        <w:t>Respuesta al párrafo 7 de la lista de cuestiones y preguntas</w:t>
      </w:r>
    </w:p>
    <w:p w14:paraId="69C518AF" w14:textId="77777777" w:rsidR="00A84782" w:rsidRPr="0097216C" w:rsidRDefault="00A84782" w:rsidP="00A84782">
      <w:pPr>
        <w:pStyle w:val="SingleTxt"/>
        <w:spacing w:after="0" w:line="120" w:lineRule="exact"/>
        <w:rPr>
          <w:bCs/>
          <w:sz w:val="10"/>
        </w:rPr>
      </w:pPr>
    </w:p>
    <w:p w14:paraId="4950D561" w14:textId="77777777" w:rsidR="00A84782" w:rsidRPr="0097216C" w:rsidRDefault="00A84782" w:rsidP="00A84782">
      <w:pPr>
        <w:pStyle w:val="SingleTxt"/>
        <w:spacing w:after="0" w:line="120" w:lineRule="exact"/>
        <w:rPr>
          <w:bCs/>
          <w:sz w:val="10"/>
        </w:rPr>
      </w:pPr>
    </w:p>
    <w:p w14:paraId="2D1C888F" w14:textId="4FF7FFE9" w:rsidR="00A84782" w:rsidRPr="0097216C" w:rsidRDefault="00A84782" w:rsidP="00F651FB">
      <w:pPr>
        <w:pStyle w:val="SingleTxt"/>
        <w:numPr>
          <w:ilvl w:val="0"/>
          <w:numId w:val="18"/>
        </w:numPr>
        <w:ind w:left="1267"/>
      </w:pPr>
      <w:r w:rsidRPr="0097216C">
        <w:t>Utilizamos un sistema descentralizado de refuerzo mutuo de legislación, regulación y supervisión institucional para proteger los derechos humanos con el fin de garantizar una integración y protección eficaces de los intereses de los singapurenses en toda nuestra sociedad.</w:t>
      </w:r>
    </w:p>
    <w:p w14:paraId="00F1EA51" w14:textId="2CA680B1" w:rsidR="00A84782" w:rsidRPr="0097216C" w:rsidRDefault="00A84782" w:rsidP="00F651FB">
      <w:pPr>
        <w:pStyle w:val="SingleTxt"/>
        <w:numPr>
          <w:ilvl w:val="0"/>
          <w:numId w:val="18"/>
        </w:numPr>
        <w:ind w:left="1267"/>
      </w:pPr>
      <w:r w:rsidRPr="0097216C">
        <w:t xml:space="preserve">Además de los múltiples y sólidos mecanismos existentes para que los singapurenses obtengan respuesta a sus inquietudes de forma directa y expeditiva, explicados con más detalle en los párrafos </w:t>
      </w:r>
      <w:r w:rsidRPr="00451405">
        <w:t>51</w:t>
      </w:r>
      <w:r w:rsidRPr="0097216C">
        <w:t xml:space="preserve"> y </w:t>
      </w:r>
      <w:r w:rsidRPr="00451405">
        <w:t>52</w:t>
      </w:r>
      <w:r w:rsidRPr="0097216C">
        <w:t xml:space="preserve"> del Informe Periódico, Singapur </w:t>
      </w:r>
      <w:r w:rsidRPr="0097216C">
        <w:lastRenderedPageBreak/>
        <w:t>acoge con agrado las opiniones independientes para mejorar el apoyo a las mujeres en Singapur y cuenta regularmente con la participación de representantes de organizaciones de mujeres y de la comunidad. Por ejemplo, el Informe Periódico se elaboró en consulta con organizaciones no gubernamentales y parlamentarios y tuvo en cuenta las conversaciones en las que singapurenses y organizaciones no gubernamentales compartieron opiniones y aspiraciones para las mujeres de Singapur.</w:t>
      </w:r>
    </w:p>
    <w:p w14:paraId="11D6DA25" w14:textId="0F2E0205" w:rsidR="00A84782" w:rsidRPr="0097216C" w:rsidRDefault="00A84782" w:rsidP="00F651FB">
      <w:pPr>
        <w:pStyle w:val="SingleTxt"/>
        <w:numPr>
          <w:ilvl w:val="0"/>
          <w:numId w:val="18"/>
        </w:numPr>
        <w:ind w:left="1267"/>
      </w:pPr>
      <w:r w:rsidRPr="0097216C">
        <w:t>Seguiremos revisando estos mecanismos para asegurarnos de que seguimos siendo capaces de cumplir las obligaciones que hemos suscrito en virtud de la Convención sobre la Eliminación de Todas las Formas de Discriminación contra la Mujer de la forma más eficaz en el contexto de las circunstancias nacionales de Singapur.</w:t>
      </w:r>
    </w:p>
    <w:p w14:paraId="7A7B7556" w14:textId="77777777" w:rsidR="00A84782" w:rsidRPr="0097216C" w:rsidRDefault="00A84782" w:rsidP="00A84782">
      <w:pPr>
        <w:pStyle w:val="SingleTxt"/>
        <w:spacing w:after="0" w:line="120" w:lineRule="exact"/>
        <w:rPr>
          <w:bCs/>
          <w:sz w:val="10"/>
        </w:rPr>
      </w:pPr>
      <w:bookmarkStart w:id="2" w:name="_Hlk122341750"/>
    </w:p>
    <w:p w14:paraId="6D515169" w14:textId="77777777" w:rsidR="00A84782" w:rsidRPr="0097216C" w:rsidRDefault="00A84782" w:rsidP="00A84782">
      <w:pPr>
        <w:pStyle w:val="SingleTxt"/>
        <w:spacing w:after="0" w:line="120" w:lineRule="exact"/>
        <w:rPr>
          <w:bCs/>
          <w:sz w:val="10"/>
        </w:rPr>
      </w:pPr>
    </w:p>
    <w:p w14:paraId="746E3823"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IX.</w:t>
      </w:r>
      <w:r w:rsidRPr="00451405">
        <w:tab/>
        <w:t>Respuesta al párrafo 8 de la lista de cuestiones y preguntas</w:t>
      </w:r>
      <w:bookmarkEnd w:id="2"/>
    </w:p>
    <w:p w14:paraId="436C86E2" w14:textId="77777777" w:rsidR="00A84782" w:rsidRPr="0097216C" w:rsidRDefault="00A84782" w:rsidP="00A84782">
      <w:pPr>
        <w:pStyle w:val="SingleTxt"/>
        <w:spacing w:after="0" w:line="120" w:lineRule="exact"/>
        <w:rPr>
          <w:bCs/>
          <w:sz w:val="10"/>
        </w:rPr>
      </w:pPr>
    </w:p>
    <w:p w14:paraId="357F62CB" w14:textId="77777777" w:rsidR="00A84782" w:rsidRPr="0097216C" w:rsidRDefault="00A84782" w:rsidP="00A84782">
      <w:pPr>
        <w:pStyle w:val="SingleTxt"/>
        <w:spacing w:after="0" w:line="120" w:lineRule="exact"/>
        <w:rPr>
          <w:bCs/>
          <w:sz w:val="10"/>
        </w:rPr>
      </w:pPr>
    </w:p>
    <w:p w14:paraId="116024B1" w14:textId="37DA638F" w:rsidR="00A84782" w:rsidRPr="0097216C" w:rsidRDefault="00A84782" w:rsidP="00F651FB">
      <w:pPr>
        <w:pStyle w:val="SingleTxt"/>
        <w:numPr>
          <w:ilvl w:val="0"/>
          <w:numId w:val="18"/>
        </w:numPr>
        <w:ind w:left="1267"/>
      </w:pPr>
      <w:r w:rsidRPr="0097216C">
        <w:t>El Gobierno recurre a numerosas organizaciones de la sociedad civil, como al Singapore Council of Women’s Organisations, al organismo nacional de coordinación de las organizaciones de mujeres de Singapur y a sus organizaciones miembros para que se impliquen con un amplio abanico de singapurenses y comprendan sus aspiraciones para las mujeres de Singapur. El Gobierno está colaborando con asociados comunitarios para aplicar los planes de acción del Libro Blanco durante el próximo decenio.</w:t>
      </w:r>
    </w:p>
    <w:p w14:paraId="479A09D3" w14:textId="74496E81" w:rsidR="00A84782" w:rsidRPr="0097216C" w:rsidRDefault="00A84782" w:rsidP="00F651FB">
      <w:pPr>
        <w:pStyle w:val="SingleTxt"/>
        <w:numPr>
          <w:ilvl w:val="0"/>
          <w:numId w:val="18"/>
        </w:numPr>
        <w:ind w:left="1267"/>
      </w:pPr>
      <w:r w:rsidRPr="0097216C">
        <w:t xml:space="preserve">La libertad de expresión está consagrada en el artículo </w:t>
      </w:r>
      <w:r w:rsidRPr="00451405">
        <w:t>14</w:t>
      </w:r>
      <w:r w:rsidRPr="0097216C">
        <w:t xml:space="preserve"> de nuestra Constitución y solamente podrá restringirse por ley en la medida en que el Parlamento lo considere necesario o conveniente en interés de la seguridad de Singapur o de cualquiera de sus partes, de las relaciones amistosas con otros países, del orden público o de la moral, así como de las restricciones destinadas a proteger los privilegios del Parlamento o para prevenir el desacato a los tribunales, la difamación o la incitación a cualquier delito.</w:t>
      </w:r>
    </w:p>
    <w:p w14:paraId="3C31967F" w14:textId="6A1F053B" w:rsidR="00A84782" w:rsidRPr="0097216C" w:rsidRDefault="00A84782" w:rsidP="00F651FB">
      <w:pPr>
        <w:pStyle w:val="SingleTxt"/>
        <w:numPr>
          <w:ilvl w:val="0"/>
          <w:numId w:val="18"/>
        </w:numPr>
        <w:ind w:left="1267"/>
      </w:pPr>
      <w:r w:rsidRPr="0097216C">
        <w:t>Nuestra legislación permite a las mujeres activistas y a las organizaciones de la sociedad civil expresar libremente sus opiniones y llevar a cabo con seguridad su trabajo y sus actividades sobre los derechos de la mujer y las cuestiones de género.</w:t>
      </w:r>
    </w:p>
    <w:p w14:paraId="556761C6" w14:textId="77777777" w:rsidR="00A84782" w:rsidRPr="0097216C" w:rsidRDefault="00A84782" w:rsidP="00A84782">
      <w:pPr>
        <w:pStyle w:val="SingleTxt"/>
        <w:spacing w:after="0" w:line="120" w:lineRule="exact"/>
        <w:rPr>
          <w:bCs/>
          <w:sz w:val="10"/>
        </w:rPr>
      </w:pPr>
    </w:p>
    <w:p w14:paraId="7A1EC863" w14:textId="77777777" w:rsidR="00A84782" w:rsidRPr="0097216C" w:rsidRDefault="00A84782" w:rsidP="00A84782">
      <w:pPr>
        <w:pStyle w:val="SingleTxt"/>
        <w:spacing w:after="0" w:line="120" w:lineRule="exact"/>
        <w:rPr>
          <w:bCs/>
          <w:sz w:val="10"/>
        </w:rPr>
      </w:pPr>
    </w:p>
    <w:p w14:paraId="6662F06C"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X.</w:t>
      </w:r>
      <w:r w:rsidRPr="00451405">
        <w:tab/>
        <w:t>Respuesta al párrafo 9 de la lista de cuestiones y preguntas</w:t>
      </w:r>
    </w:p>
    <w:p w14:paraId="7CAE5086" w14:textId="77777777" w:rsidR="00A84782" w:rsidRPr="0097216C" w:rsidRDefault="00A84782" w:rsidP="00A84782">
      <w:pPr>
        <w:pStyle w:val="SingleTxt"/>
        <w:spacing w:after="0" w:line="120" w:lineRule="exact"/>
        <w:rPr>
          <w:bCs/>
          <w:sz w:val="10"/>
        </w:rPr>
      </w:pPr>
    </w:p>
    <w:p w14:paraId="46541718" w14:textId="77777777" w:rsidR="00A84782" w:rsidRPr="0097216C" w:rsidRDefault="00A84782" w:rsidP="00A84782">
      <w:pPr>
        <w:pStyle w:val="SingleTxt"/>
        <w:spacing w:after="0" w:line="120" w:lineRule="exact"/>
        <w:rPr>
          <w:bCs/>
          <w:sz w:val="10"/>
        </w:rPr>
      </w:pPr>
    </w:p>
    <w:p w14:paraId="5925204E" w14:textId="31216560" w:rsidR="00A84782" w:rsidRPr="0097216C" w:rsidRDefault="00A84782" w:rsidP="00F651FB">
      <w:pPr>
        <w:pStyle w:val="SingleTxt"/>
        <w:numPr>
          <w:ilvl w:val="0"/>
          <w:numId w:val="18"/>
        </w:numPr>
        <w:ind w:left="1267"/>
      </w:pPr>
      <w:r w:rsidRPr="0097216C">
        <w:t>Aunque Singapur ha hecho progresos significativos, se puede y se debe hacer más para contrarrestar los estereotipos de género mediante la educación, las campañas nacionales y la colaboración con la comunidad a través de un esfuerzo de toda la sociedad.</w:t>
      </w:r>
    </w:p>
    <w:p w14:paraId="62CEDD83" w14:textId="1D49CFCC" w:rsidR="00A84782" w:rsidRPr="0097216C" w:rsidRDefault="00A84782" w:rsidP="00F651FB">
      <w:pPr>
        <w:pStyle w:val="SingleTxt"/>
        <w:numPr>
          <w:ilvl w:val="0"/>
          <w:numId w:val="18"/>
        </w:numPr>
        <w:ind w:left="1267"/>
      </w:pPr>
      <w:r w:rsidRPr="0097216C">
        <w:t xml:space="preserve">Como se señala en los párrafos </w:t>
      </w:r>
      <w:r w:rsidRPr="00451405">
        <w:t>63</w:t>
      </w:r>
      <w:r w:rsidRPr="0097216C">
        <w:t xml:space="preserve"> y </w:t>
      </w:r>
      <w:r w:rsidRPr="00451405">
        <w:t>64</w:t>
      </w:r>
      <w:r w:rsidRPr="0097216C">
        <w:t xml:space="preserve"> del Informe Periódico, existe un tratamiento equilibrado de la representación de género dentro del programa escolar. El Ministerio de Educación sigue destacando las experiencias, contribuciones y logros de las mujeres junto a sus homólogos masculinos como ejemplos de contenidos y vela por que los estudiantes tengan la oportunidad de debatir cuestiones relacionadas con el desarrollo de la mujer, especialmente en las asignaturas de idiomas y humanidades en los niveles secundario y preuniversitario. A través de nuestro plan de estudios de Formación del Carácter y el Civismo, que se imparte en todas las escuelas nacionales, seguimos fomentando el aprecio por la igualdad de roles en la familia, el respeto por ambos sexos tanto en Internet como en la vida real, la conciencia de los estereotipos de género a la hora de considerar la educación y las trayectorias profesionales, y la seguridad en línea al tiempo que se ejerce una influencia positiva sobre los compañeros.</w:t>
      </w:r>
    </w:p>
    <w:p w14:paraId="7AE8772F" w14:textId="535FF1F0" w:rsidR="00A84782" w:rsidRPr="0097216C" w:rsidRDefault="00A84782" w:rsidP="00F651FB">
      <w:pPr>
        <w:pStyle w:val="SingleTxt"/>
        <w:numPr>
          <w:ilvl w:val="0"/>
          <w:numId w:val="18"/>
        </w:numPr>
        <w:ind w:left="1267"/>
      </w:pPr>
      <w:r w:rsidRPr="0097216C">
        <w:lastRenderedPageBreak/>
        <w:t xml:space="preserve">En cuanto a la lucha contra la violencia doméstica, como se destaca en los párrafos </w:t>
      </w:r>
      <w:r w:rsidRPr="00451405">
        <w:t>201</w:t>
      </w:r>
      <w:r w:rsidRPr="0097216C">
        <w:t xml:space="preserve"> y </w:t>
      </w:r>
      <w:r w:rsidRPr="00451405">
        <w:t>202</w:t>
      </w:r>
      <w:r w:rsidRPr="0097216C">
        <w:t xml:space="preserve"> del Informe Periódico, el Gobierno, en colaboración con la comunidad, ha intensificado los esfuerzos de educación pública en todo el país sobre lo que constituye la violencia doméstica, así como los recursos para equipar a la comunidad para intervenir con seguridad.</w:t>
      </w:r>
    </w:p>
    <w:p w14:paraId="55C093C3" w14:textId="283A1E01" w:rsidR="00A84782" w:rsidRPr="0097216C" w:rsidRDefault="00A84782" w:rsidP="00F651FB">
      <w:pPr>
        <w:pStyle w:val="SingleTxt"/>
        <w:numPr>
          <w:ilvl w:val="0"/>
          <w:numId w:val="18"/>
        </w:numPr>
        <w:ind w:left="1267"/>
      </w:pPr>
      <w:r w:rsidRPr="0097216C">
        <w:t xml:space="preserve">En relación con los estereotipos de género sobre el comportamiento en línea, el Gobierno ha tomado medidas decisivas para hacer frente a los daños en línea por razón de género con el fin de introducir cambios legislativos y aumentar la conciencia, en consulta con las partes interesadas y en alianza con ellas. Los detalles de esta acción se exponen en los párrafos </w:t>
      </w:r>
      <w:r w:rsidRPr="00451405">
        <w:t>45</w:t>
      </w:r>
      <w:r w:rsidRPr="0097216C">
        <w:t xml:space="preserve"> a </w:t>
      </w:r>
      <w:r w:rsidRPr="00451405">
        <w:t>47</w:t>
      </w:r>
      <w:r w:rsidRPr="0097216C">
        <w:t xml:space="preserve"> del presente documento.</w:t>
      </w:r>
    </w:p>
    <w:p w14:paraId="57F17C26" w14:textId="77777777" w:rsidR="00A84782" w:rsidRPr="0097216C" w:rsidRDefault="00A84782" w:rsidP="00A84782">
      <w:pPr>
        <w:pStyle w:val="SingleTxt"/>
        <w:spacing w:after="0" w:line="120" w:lineRule="exact"/>
        <w:rPr>
          <w:bCs/>
          <w:sz w:val="10"/>
        </w:rPr>
      </w:pPr>
    </w:p>
    <w:p w14:paraId="6634B59D" w14:textId="77777777" w:rsidR="00A84782" w:rsidRPr="0097216C" w:rsidRDefault="00A84782" w:rsidP="00A84782">
      <w:pPr>
        <w:pStyle w:val="SingleTxt"/>
        <w:spacing w:after="0" w:line="120" w:lineRule="exact"/>
        <w:rPr>
          <w:bCs/>
          <w:sz w:val="10"/>
        </w:rPr>
      </w:pPr>
    </w:p>
    <w:p w14:paraId="1434E2B1"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XI.</w:t>
      </w:r>
      <w:r w:rsidRPr="00451405">
        <w:tab/>
        <w:t>Respuesta al párrafo 10 de la lista de cuestiones y preguntas</w:t>
      </w:r>
    </w:p>
    <w:p w14:paraId="4BE96AEE" w14:textId="77777777" w:rsidR="00A84782" w:rsidRPr="0097216C" w:rsidRDefault="00A84782" w:rsidP="00A84782">
      <w:pPr>
        <w:pStyle w:val="SingleTxt"/>
        <w:spacing w:after="0" w:line="120" w:lineRule="exact"/>
        <w:rPr>
          <w:bCs/>
          <w:sz w:val="10"/>
        </w:rPr>
      </w:pPr>
    </w:p>
    <w:p w14:paraId="54B80301" w14:textId="77777777" w:rsidR="00A84782" w:rsidRPr="0097216C" w:rsidRDefault="00A84782" w:rsidP="00A84782">
      <w:pPr>
        <w:pStyle w:val="SingleTxt"/>
        <w:spacing w:after="0" w:line="120" w:lineRule="exact"/>
        <w:rPr>
          <w:bCs/>
          <w:sz w:val="10"/>
        </w:rPr>
      </w:pPr>
    </w:p>
    <w:p w14:paraId="77512523" w14:textId="6FECA4A1" w:rsidR="00A84782" w:rsidRPr="0097216C" w:rsidRDefault="00A84782" w:rsidP="00F651FB">
      <w:pPr>
        <w:pStyle w:val="SingleTxt"/>
        <w:numPr>
          <w:ilvl w:val="0"/>
          <w:numId w:val="18"/>
        </w:numPr>
        <w:ind w:left="1267"/>
      </w:pPr>
      <w:r w:rsidRPr="0097216C">
        <w:t xml:space="preserve">En consonancia con los </w:t>
      </w:r>
      <w:r w:rsidRPr="00451405">
        <w:rPr>
          <w:i/>
          <w:iCs/>
        </w:rPr>
        <w:t>Principios y recomendaciones para los censos de población y habitación</w:t>
      </w:r>
      <w:r w:rsidRPr="0097216C">
        <w:t xml:space="preserve"> de las Naciones Unidas (revisión </w:t>
      </w:r>
      <w:r w:rsidRPr="00451405">
        <w:t>3</w:t>
      </w:r>
      <w:r w:rsidRPr="0097216C">
        <w:t xml:space="preserve">) y como se explica en el párrafo </w:t>
      </w:r>
      <w:r w:rsidRPr="00451405">
        <w:t>60</w:t>
      </w:r>
      <w:r w:rsidRPr="0097216C">
        <w:t xml:space="preserve"> del Informe Periódico, se ha adoptado el concepto de “personas de referencia” en lugar de “cabeza de familia” en nuestras principales encuestas de hogares</w:t>
      </w:r>
      <w:r w:rsidRPr="00451405">
        <w:rPr>
          <w:vertAlign w:val="superscript"/>
        </w:rPr>
        <w:footnoteReference w:id="1"/>
      </w:r>
      <w:r w:rsidRPr="0097216C">
        <w:t>. El término “persona de referencia” es neutro en cuanto al género y se refiere al integrante de más edad, al principal generador de ingresos, al propietario y tenedor de la vivienda, a la persona que gestiona los asuntos del hogar o a la persona que facilitó la información relativa a otros integrantes.</w:t>
      </w:r>
    </w:p>
    <w:p w14:paraId="7F0ABA2E" w14:textId="77777777" w:rsidR="00A84782" w:rsidRPr="0097216C" w:rsidRDefault="00A84782" w:rsidP="00A84782">
      <w:pPr>
        <w:pStyle w:val="SingleTxt"/>
        <w:spacing w:after="0" w:line="120" w:lineRule="exact"/>
        <w:rPr>
          <w:bCs/>
          <w:sz w:val="10"/>
        </w:rPr>
      </w:pPr>
    </w:p>
    <w:p w14:paraId="59956A53" w14:textId="77777777" w:rsidR="00A84782" w:rsidRPr="0097216C" w:rsidRDefault="00A84782" w:rsidP="00A84782">
      <w:pPr>
        <w:pStyle w:val="SingleTxt"/>
        <w:spacing w:after="0" w:line="120" w:lineRule="exact"/>
        <w:rPr>
          <w:bCs/>
          <w:sz w:val="10"/>
        </w:rPr>
      </w:pPr>
    </w:p>
    <w:p w14:paraId="715D0ED6"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XII.</w:t>
      </w:r>
      <w:r w:rsidRPr="00451405">
        <w:tab/>
        <w:t>Respuesta al párrafo 11 de la lista de cuestiones y preguntas</w:t>
      </w:r>
    </w:p>
    <w:p w14:paraId="1A0F2600" w14:textId="77777777" w:rsidR="00A84782" w:rsidRPr="0097216C" w:rsidRDefault="00A84782" w:rsidP="00A84782">
      <w:pPr>
        <w:pStyle w:val="SingleTxt"/>
        <w:spacing w:after="0" w:line="120" w:lineRule="exact"/>
        <w:rPr>
          <w:bCs/>
          <w:sz w:val="10"/>
        </w:rPr>
      </w:pPr>
    </w:p>
    <w:p w14:paraId="52318406" w14:textId="77777777" w:rsidR="00A84782" w:rsidRPr="0097216C" w:rsidRDefault="00A84782" w:rsidP="00A84782">
      <w:pPr>
        <w:pStyle w:val="SingleTxt"/>
        <w:spacing w:after="0" w:line="120" w:lineRule="exact"/>
        <w:rPr>
          <w:bCs/>
          <w:sz w:val="10"/>
        </w:rPr>
      </w:pPr>
    </w:p>
    <w:p w14:paraId="0CAA57F3" w14:textId="5389B269" w:rsidR="00A84782" w:rsidRPr="0097216C" w:rsidRDefault="00A84782" w:rsidP="00F651FB">
      <w:pPr>
        <w:pStyle w:val="SingleTxt"/>
        <w:numPr>
          <w:ilvl w:val="0"/>
          <w:numId w:val="18"/>
        </w:numPr>
        <w:ind w:left="1267"/>
      </w:pPr>
      <w:r w:rsidRPr="0097216C">
        <w:t>Singapur no admite las prácticas perjudiciales y, cuando pueda demostrarse que un procedimiento perjudica a una persona, deberá evitarse. La mutilación genital femenina no es un procedimiento médico reconocido en Singapur.</w:t>
      </w:r>
    </w:p>
    <w:p w14:paraId="6373B3D8" w14:textId="15FFEFA1" w:rsidR="00A84782" w:rsidRPr="0097216C" w:rsidRDefault="00A84782" w:rsidP="00F651FB">
      <w:pPr>
        <w:pStyle w:val="SingleTxt"/>
        <w:numPr>
          <w:ilvl w:val="0"/>
          <w:numId w:val="18"/>
        </w:numPr>
        <w:ind w:left="1267"/>
      </w:pPr>
      <w:r w:rsidRPr="0097216C">
        <w:t>Singapur no hace un seguimiento de la prevalencia de esta práctica.</w:t>
      </w:r>
    </w:p>
    <w:p w14:paraId="68C74DD7" w14:textId="77777777" w:rsidR="00A84782" w:rsidRPr="0097216C" w:rsidRDefault="00A84782" w:rsidP="00A84782">
      <w:pPr>
        <w:pStyle w:val="SingleTxt"/>
        <w:spacing w:after="0" w:line="120" w:lineRule="exact"/>
        <w:rPr>
          <w:sz w:val="10"/>
        </w:rPr>
      </w:pPr>
    </w:p>
    <w:p w14:paraId="41023248" w14:textId="77777777" w:rsidR="00A84782" w:rsidRPr="0097216C" w:rsidRDefault="00A84782" w:rsidP="00A84782">
      <w:pPr>
        <w:pStyle w:val="SingleTxt"/>
        <w:spacing w:after="0" w:line="120" w:lineRule="exact"/>
        <w:rPr>
          <w:sz w:val="10"/>
        </w:rPr>
      </w:pPr>
    </w:p>
    <w:p w14:paraId="6D78F77A"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XIII.</w:t>
      </w:r>
      <w:r w:rsidRPr="00451405">
        <w:tab/>
        <w:t>Respuesta al párrafo 12 de la lista de cuestiones y preguntas</w:t>
      </w:r>
    </w:p>
    <w:p w14:paraId="54BAFCC7" w14:textId="77777777" w:rsidR="00A84782" w:rsidRPr="0097216C" w:rsidRDefault="00A84782" w:rsidP="00A84782">
      <w:pPr>
        <w:pStyle w:val="SingleTxt"/>
        <w:spacing w:after="0" w:line="120" w:lineRule="exact"/>
        <w:rPr>
          <w:bCs/>
          <w:sz w:val="10"/>
        </w:rPr>
      </w:pPr>
    </w:p>
    <w:p w14:paraId="24804911" w14:textId="77777777" w:rsidR="00A84782" w:rsidRPr="0097216C" w:rsidRDefault="00A84782" w:rsidP="00A84782">
      <w:pPr>
        <w:pStyle w:val="SingleTxt"/>
        <w:spacing w:after="0" w:line="120" w:lineRule="exact"/>
        <w:rPr>
          <w:bCs/>
          <w:sz w:val="10"/>
        </w:rPr>
      </w:pPr>
    </w:p>
    <w:p w14:paraId="0D7934DD" w14:textId="5BC8C5D7" w:rsidR="00A84782" w:rsidRPr="0097216C" w:rsidRDefault="00A84782" w:rsidP="00F651FB">
      <w:pPr>
        <w:pStyle w:val="SingleTxt"/>
        <w:numPr>
          <w:ilvl w:val="0"/>
          <w:numId w:val="18"/>
        </w:numPr>
        <w:ind w:left="1267"/>
      </w:pPr>
      <w:r w:rsidRPr="0097216C">
        <w:t xml:space="preserve">Como uno de los países más seguros del mundo, Singapur ocupa desde </w:t>
      </w:r>
      <w:r w:rsidRPr="00451405">
        <w:t>2017</w:t>
      </w:r>
      <w:r w:rsidRPr="0097216C">
        <w:t xml:space="preserve"> el primer lugar en el informe mundial sobre ley y orden que realiza Gallup. No obstante, cada caso que se registra es uno más que sobra, y se puede y se debe hacer más para abordar las nuevas formas de violencia de género contra las mujeres y las niñas, por </w:t>
      </w:r>
      <w:proofErr w:type="gramStart"/>
      <w:r w:rsidRPr="0097216C">
        <w:t>ejemplo</w:t>
      </w:r>
      <w:proofErr w:type="gramEnd"/>
      <w:r w:rsidRPr="0097216C">
        <w:t xml:space="preserve"> en el ámbito de Internet. También observamos que el </w:t>
      </w:r>
      <w:r w:rsidRPr="00451405">
        <w:t>43</w:t>
      </w:r>
      <w:r w:rsidRPr="0097216C">
        <w:t xml:space="preserve"> % de los cerca de </w:t>
      </w:r>
      <w:r w:rsidRPr="00451405">
        <w:t>1</w:t>
      </w:r>
      <w:r w:rsidRPr="0097216C">
        <w:t>.</w:t>
      </w:r>
      <w:r w:rsidRPr="00451405">
        <w:t>000</w:t>
      </w:r>
      <w:r w:rsidRPr="0097216C">
        <w:t xml:space="preserve"> encuestados en un sondeo de enero de </w:t>
      </w:r>
      <w:r w:rsidRPr="00451405">
        <w:t>2022</w:t>
      </w:r>
      <w:r w:rsidRPr="0097216C">
        <w:t xml:space="preserve"> percibía que una aplicación más estricta de las leyes pertinentes era la solución más eficaz para reducir los daños en línea y que el </w:t>
      </w:r>
      <w:r w:rsidRPr="00451405">
        <w:t>57</w:t>
      </w:r>
      <w:r w:rsidRPr="0097216C">
        <w:t> % de los encuestados desconocía o solamente conocía de forma superficial las vías para pedir ayuda en caso de sufrir daños en línea.</w:t>
      </w:r>
    </w:p>
    <w:p w14:paraId="22D5F1DA" w14:textId="7372ABE8" w:rsidR="00A84782" w:rsidRPr="0097216C" w:rsidRDefault="00A84782" w:rsidP="00F651FB">
      <w:pPr>
        <w:pStyle w:val="SingleTxt"/>
        <w:numPr>
          <w:ilvl w:val="0"/>
          <w:numId w:val="18"/>
        </w:numPr>
        <w:ind w:left="1267"/>
      </w:pPr>
      <w:r w:rsidRPr="0097216C">
        <w:t>El Gobierno se ha asociado con las partes interesadas de los sectores público y privado para tomar medidas decisivas que permitan contrarrestar los daños en línea y aumentar la conciencia sobre estos daños y las vías para pedir ayuda:</w:t>
      </w:r>
    </w:p>
    <w:p w14:paraId="53F2A658" w14:textId="77777777" w:rsidR="00A84782" w:rsidRPr="0097216C" w:rsidRDefault="00A84782" w:rsidP="00A84782">
      <w:pPr>
        <w:pStyle w:val="SingleTxt"/>
      </w:pPr>
      <w:r w:rsidRPr="0097216C">
        <w:tab/>
        <w:t>a)</w:t>
      </w:r>
      <w:r w:rsidRPr="0097216C">
        <w:tab/>
        <w:t>Determinar el impacto de los daños en línea en Singapur mediante una encuesta de detección y delimitar áreas para futuras investigaciones;</w:t>
      </w:r>
    </w:p>
    <w:p w14:paraId="392BF052" w14:textId="77777777" w:rsidR="00A84782" w:rsidRPr="0097216C" w:rsidRDefault="00A84782" w:rsidP="00A84782">
      <w:pPr>
        <w:pStyle w:val="SingleTxt"/>
      </w:pPr>
      <w:r w:rsidRPr="0097216C">
        <w:lastRenderedPageBreak/>
        <w:tab/>
        <w:t>b)</w:t>
      </w:r>
      <w:r w:rsidRPr="0097216C">
        <w:tab/>
        <w:t>Generar mayor conciencia sobre los daños en línea y la seguridad digital a través de medidas como la consolidación de recursos de seguridad en línea y la elaboración de una hoja de ruta educativa para futuros programas de seguridad en línea;</w:t>
      </w:r>
    </w:p>
    <w:p w14:paraId="106D6D14" w14:textId="77777777" w:rsidR="00A84782" w:rsidRPr="0097216C" w:rsidRDefault="00A84782" w:rsidP="00A84782">
      <w:pPr>
        <w:pStyle w:val="SingleTxt"/>
      </w:pPr>
      <w:r w:rsidRPr="0097216C">
        <w:tab/>
        <w:t>c)</w:t>
      </w:r>
      <w:r w:rsidRPr="0097216C">
        <w:tab/>
        <w:t>Movilizar y equipar a las personas para que apoyen a las víctimas de daños en línea a través de medidas como la apertura de centros de servicios jurídicos gratuitos;</w:t>
      </w:r>
    </w:p>
    <w:p w14:paraId="49BA6685" w14:textId="77777777" w:rsidR="00A84782" w:rsidRPr="0097216C" w:rsidRDefault="00A84782" w:rsidP="00A84782">
      <w:pPr>
        <w:pStyle w:val="SingleTxt"/>
      </w:pPr>
      <w:r w:rsidRPr="0097216C">
        <w:tab/>
        <w:t>d)</w:t>
      </w:r>
      <w:r w:rsidRPr="0097216C">
        <w:tab/>
        <w:t>Fortalecer el ecosistema de respuesta a los daños en línea mediante la colaboración con organizaciones no gubernamentales (por ejemplo, SHE), la participación de empresas tecnológicas en la simplificación de la notificación de contenidos nocivos en línea y la creación de un manual de capacitación para los equipos de respuesta inicial.</w:t>
      </w:r>
    </w:p>
    <w:p w14:paraId="6D005D76" w14:textId="461C9A49" w:rsidR="00A84782" w:rsidRPr="0097216C" w:rsidRDefault="00A84782" w:rsidP="00F651FB">
      <w:pPr>
        <w:pStyle w:val="SingleTxt"/>
        <w:numPr>
          <w:ilvl w:val="0"/>
          <w:numId w:val="18"/>
        </w:numPr>
        <w:ind w:left="1267"/>
      </w:pPr>
      <w:r w:rsidRPr="0097216C">
        <w:t xml:space="preserve">Asimismo, el Parlamento ha aprobado un proyecto de ley sobre seguridad en línea con modificaciones varias. El proyecto de ley, cuya entrada en vigor está prevista para principios de </w:t>
      </w:r>
      <w:r w:rsidRPr="00451405">
        <w:t>2023</w:t>
      </w:r>
      <w:r w:rsidRPr="0097216C">
        <w:t>, responsabiliza a los servicios de comunicación en línea de garantizar la seguridad en línea de los usuarios de Singapur a los que sirvan (véase el anexo B para más detalles).</w:t>
      </w:r>
    </w:p>
    <w:p w14:paraId="3E32B288" w14:textId="24CE65C7" w:rsidR="00A84782" w:rsidRPr="0097216C" w:rsidRDefault="00A84782" w:rsidP="00F651FB">
      <w:pPr>
        <w:pStyle w:val="SingleTxt"/>
        <w:numPr>
          <w:ilvl w:val="0"/>
          <w:numId w:val="18"/>
        </w:numPr>
        <w:ind w:left="1267"/>
      </w:pPr>
      <w:r w:rsidRPr="0097216C">
        <w:t xml:space="preserve">Esto se suma a los nuevos delitos que Singapur ha introducido en </w:t>
      </w:r>
      <w:r w:rsidRPr="00451405">
        <w:t>2020</w:t>
      </w:r>
      <w:r w:rsidRPr="0097216C">
        <w:t xml:space="preserve"> (véase el anexo C) para combatir el aumento de los delitos facilitados por la tecnología.</w:t>
      </w:r>
    </w:p>
    <w:p w14:paraId="741A2AF7" w14:textId="58D7A481" w:rsidR="00A84782" w:rsidRPr="0097216C" w:rsidRDefault="00A84782" w:rsidP="00F651FB">
      <w:pPr>
        <w:pStyle w:val="SingleTxt"/>
        <w:numPr>
          <w:ilvl w:val="0"/>
          <w:numId w:val="18"/>
        </w:numPr>
        <w:ind w:left="1267"/>
      </w:pPr>
      <w:r w:rsidRPr="0097216C">
        <w:t xml:space="preserve">En enero de </w:t>
      </w:r>
      <w:r w:rsidRPr="00451405">
        <w:t>2020</w:t>
      </w:r>
      <w:r w:rsidRPr="0097216C">
        <w:t xml:space="preserve"> se abolió la inmunidad marital por violación. Esto significa que las mujeres están protegidas contra los abusos sexuales, independientemente de su relación con el agresor. Existen disposiciones legales que tipifican como delito la actividad sexual con un menor, independientemente del consentimiento, con penas severas para estos delitos. Por ejemplo:</w:t>
      </w:r>
    </w:p>
    <w:p w14:paraId="35163922" w14:textId="51F1AB77" w:rsidR="00A84782" w:rsidRPr="0097216C" w:rsidRDefault="00A84782" w:rsidP="00A84782">
      <w:pPr>
        <w:pStyle w:val="SingleTxt"/>
      </w:pPr>
      <w:r w:rsidRPr="0097216C">
        <w:tab/>
        <w:t>a)</w:t>
      </w:r>
      <w:r w:rsidRPr="0097216C">
        <w:tab/>
        <w:t xml:space="preserve">Violación o agresión sexual de una persona menor de </w:t>
      </w:r>
      <w:r w:rsidRPr="00451405">
        <w:t>14</w:t>
      </w:r>
      <w:r w:rsidRPr="0097216C">
        <w:t xml:space="preserve"> años (artículos</w:t>
      </w:r>
      <w:r w:rsidR="00EE433C" w:rsidRPr="0097216C">
        <w:t> </w:t>
      </w:r>
      <w:r w:rsidRPr="00451405">
        <w:t>375</w:t>
      </w:r>
      <w:r w:rsidRPr="0097216C">
        <w:t xml:space="preserve"> y </w:t>
      </w:r>
      <w:r w:rsidRPr="00451405">
        <w:t>376</w:t>
      </w:r>
      <w:r w:rsidRPr="0097216C">
        <w:t xml:space="preserve"> del Código Penal). Este delito se castiga con penas de prisión de hasta </w:t>
      </w:r>
      <w:r w:rsidRPr="00451405">
        <w:t>20</w:t>
      </w:r>
      <w:r w:rsidRPr="0097216C">
        <w:t xml:space="preserve"> años y una multa;</w:t>
      </w:r>
    </w:p>
    <w:p w14:paraId="33BA2644" w14:textId="77777777" w:rsidR="00A84782" w:rsidRPr="0097216C" w:rsidRDefault="00A84782" w:rsidP="00A84782">
      <w:pPr>
        <w:pStyle w:val="SingleTxt"/>
      </w:pPr>
      <w:r w:rsidRPr="0097216C">
        <w:tab/>
        <w:t>b)</w:t>
      </w:r>
      <w:r w:rsidRPr="0097216C">
        <w:tab/>
        <w:t xml:space="preserve">Penetración sexual de una persona menor de </w:t>
      </w:r>
      <w:r w:rsidRPr="00451405">
        <w:t>16</w:t>
      </w:r>
      <w:r w:rsidRPr="0097216C">
        <w:t xml:space="preserve"> años (artículo </w:t>
      </w:r>
      <w:r w:rsidRPr="00451405">
        <w:t>376</w:t>
      </w:r>
      <w:r w:rsidRPr="0097216C">
        <w:t xml:space="preserve">A del Código Penal). Este delito se castiga con penas de prisión de hasta </w:t>
      </w:r>
      <w:r w:rsidRPr="00451405">
        <w:t>10</w:t>
      </w:r>
      <w:r w:rsidRPr="0097216C">
        <w:t xml:space="preserve"> años (o de hasta </w:t>
      </w:r>
      <w:r w:rsidRPr="00451405">
        <w:t>20</w:t>
      </w:r>
      <w:r w:rsidRPr="0097216C">
        <w:t xml:space="preserve"> años si el delincuente mantenía una relación de explotación sexual con el menor), una multa o ambas;</w:t>
      </w:r>
    </w:p>
    <w:p w14:paraId="3F6F297E" w14:textId="77777777" w:rsidR="00A84782" w:rsidRPr="0097216C" w:rsidRDefault="00A84782" w:rsidP="00A84782">
      <w:pPr>
        <w:pStyle w:val="SingleTxt"/>
      </w:pPr>
      <w:r w:rsidRPr="0097216C">
        <w:tab/>
        <w:t>c)</w:t>
      </w:r>
      <w:r w:rsidRPr="0097216C">
        <w:tab/>
        <w:t xml:space="preserve">Penetración sexual con fines de explotación de una persona de </w:t>
      </w:r>
      <w:r w:rsidRPr="00451405">
        <w:t>16</w:t>
      </w:r>
      <w:r w:rsidRPr="0097216C">
        <w:t xml:space="preserve"> años o más pero menor de </w:t>
      </w:r>
      <w:r w:rsidRPr="00451405">
        <w:t>18</w:t>
      </w:r>
      <w:r w:rsidRPr="0097216C">
        <w:t xml:space="preserve"> (artículo </w:t>
      </w:r>
      <w:r w:rsidRPr="00451405">
        <w:t>376</w:t>
      </w:r>
      <w:r w:rsidRPr="0097216C">
        <w:t xml:space="preserve">AA del Código Penal). Este delito se castiga con penas de prisión de hasta </w:t>
      </w:r>
      <w:r w:rsidRPr="00451405">
        <w:t>15</w:t>
      </w:r>
      <w:r w:rsidRPr="0097216C">
        <w:t xml:space="preserve"> años y una multa.</w:t>
      </w:r>
    </w:p>
    <w:p w14:paraId="21D41A64" w14:textId="00EB85E4" w:rsidR="00A84782" w:rsidRPr="0097216C" w:rsidRDefault="00A84782" w:rsidP="00F651FB">
      <w:pPr>
        <w:pStyle w:val="SingleTxt"/>
        <w:numPr>
          <w:ilvl w:val="0"/>
          <w:numId w:val="18"/>
        </w:numPr>
        <w:ind w:left="1267"/>
      </w:pPr>
      <w:r w:rsidRPr="0097216C">
        <w:t xml:space="preserve">Los actos de violencia física están tipificados como delito en la legislación de Singapur. Para aumentar la disuasión contra la violencia doméstica, en </w:t>
      </w:r>
      <w:r w:rsidRPr="00451405">
        <w:t>2020</w:t>
      </w:r>
      <w:r w:rsidRPr="0097216C">
        <w:t xml:space="preserve"> se introdujeron penas reforzadas, por las cuales los autores pueden ser castigados con hasta el doble de la pena máxima prevista para el delito si este se cometió en el contexto de una relación íntima o cercana (por ejemplo, en el mismo hogar) (artículos </w:t>
      </w:r>
      <w:r w:rsidRPr="00451405">
        <w:t>74</w:t>
      </w:r>
      <w:r w:rsidRPr="0097216C">
        <w:t xml:space="preserve">C y </w:t>
      </w:r>
      <w:r w:rsidRPr="00451405">
        <w:t>74</w:t>
      </w:r>
      <w:r w:rsidRPr="0097216C">
        <w:t>D del Código Penal).</w:t>
      </w:r>
    </w:p>
    <w:p w14:paraId="1F24F408" w14:textId="30E53720" w:rsidR="00A84782" w:rsidRPr="0097216C" w:rsidRDefault="00A84782" w:rsidP="00F651FB">
      <w:pPr>
        <w:pStyle w:val="SingleTxt"/>
        <w:numPr>
          <w:ilvl w:val="0"/>
          <w:numId w:val="18"/>
        </w:numPr>
        <w:ind w:left="1267"/>
      </w:pPr>
      <w:r w:rsidRPr="0097216C">
        <w:t>El delito de violación no incluye todas las formas de actos no consentidos. Se limita a la penetración no consentida de la vagina, el ano o la boca de la víctima con el pene del hombre.</w:t>
      </w:r>
    </w:p>
    <w:p w14:paraId="4C338C91" w14:textId="16F5A801" w:rsidR="00A84782" w:rsidRPr="0097216C" w:rsidRDefault="00A84782" w:rsidP="00F651FB">
      <w:pPr>
        <w:pStyle w:val="SingleTxt"/>
        <w:numPr>
          <w:ilvl w:val="0"/>
          <w:numId w:val="18"/>
        </w:numPr>
        <w:ind w:left="1267"/>
      </w:pPr>
      <w:r w:rsidRPr="0097216C">
        <w:t xml:space="preserve">Otras formas de actos sexuales no consentidos están tipificadas como delitos independientes. Por ejemplo, el delito de abuso sexual con penetración conlleva la misma pena máxima que la violación, es decir, </w:t>
      </w:r>
      <w:r w:rsidRPr="00451405">
        <w:t>20</w:t>
      </w:r>
      <w:r w:rsidRPr="0097216C">
        <w:t xml:space="preserve"> años de prisión. El delito de ultraje al pudor (que no requiere penetración) se castiga con penas de hasta </w:t>
      </w:r>
      <w:r w:rsidRPr="00451405">
        <w:t>10</w:t>
      </w:r>
      <w:r w:rsidRPr="0097216C">
        <w:t xml:space="preserve"> años de prisión si se ha causado la muerte, lesiones, privación ilegítima de libertad o miedo a la </w:t>
      </w:r>
      <w:r w:rsidRPr="0097216C">
        <w:lastRenderedPageBreak/>
        <w:t>muerte instantánea, lesiones instantáneas o privación ilegítima e instantánea de libertad.</w:t>
      </w:r>
    </w:p>
    <w:p w14:paraId="70A48591" w14:textId="77777777" w:rsidR="00A84782" w:rsidRPr="0097216C" w:rsidRDefault="00A84782" w:rsidP="00A84782">
      <w:pPr>
        <w:pStyle w:val="SingleTxt"/>
        <w:spacing w:after="0" w:line="120" w:lineRule="exact"/>
        <w:rPr>
          <w:bCs/>
          <w:sz w:val="10"/>
        </w:rPr>
      </w:pPr>
    </w:p>
    <w:p w14:paraId="72A50548" w14:textId="77777777" w:rsidR="00A84782" w:rsidRPr="0097216C" w:rsidRDefault="00A84782" w:rsidP="00A84782">
      <w:pPr>
        <w:pStyle w:val="SingleTxt"/>
        <w:spacing w:after="0" w:line="120" w:lineRule="exact"/>
        <w:rPr>
          <w:bCs/>
          <w:sz w:val="10"/>
        </w:rPr>
      </w:pPr>
    </w:p>
    <w:p w14:paraId="0CDD771B" w14:textId="77777777" w:rsidR="00A84782" w:rsidRPr="0097216C" w:rsidRDefault="00A84782" w:rsidP="000631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b w:val="0"/>
        </w:rPr>
      </w:pPr>
      <w:r w:rsidRPr="00451405">
        <w:tab/>
        <w:t>XIV.</w:t>
      </w:r>
      <w:r w:rsidRPr="00451405">
        <w:tab/>
        <w:t>Respuesta al párrafo 12 a) de la lista de cuestiones y preguntas</w:t>
      </w:r>
    </w:p>
    <w:p w14:paraId="272EF6EA" w14:textId="77777777" w:rsidR="00A84782" w:rsidRPr="0097216C" w:rsidRDefault="00A84782" w:rsidP="00A84782">
      <w:pPr>
        <w:pStyle w:val="SingleTxt"/>
        <w:spacing w:after="0" w:line="120" w:lineRule="exact"/>
        <w:rPr>
          <w:bCs/>
          <w:sz w:val="10"/>
        </w:rPr>
      </w:pPr>
    </w:p>
    <w:p w14:paraId="4FC33A03" w14:textId="77777777" w:rsidR="00A84782" w:rsidRPr="0097216C" w:rsidRDefault="00A84782" w:rsidP="00A84782">
      <w:pPr>
        <w:pStyle w:val="SingleTxt"/>
        <w:spacing w:after="0" w:line="120" w:lineRule="exact"/>
        <w:rPr>
          <w:bCs/>
          <w:sz w:val="10"/>
        </w:rPr>
      </w:pPr>
    </w:p>
    <w:p w14:paraId="6F620DE6" w14:textId="201D7822" w:rsidR="00A84782" w:rsidRPr="0097216C" w:rsidRDefault="00A84782" w:rsidP="00F651FB">
      <w:pPr>
        <w:pStyle w:val="SingleTxt"/>
        <w:numPr>
          <w:ilvl w:val="0"/>
          <w:numId w:val="18"/>
        </w:numPr>
        <w:ind w:left="1267"/>
      </w:pPr>
      <w:r w:rsidRPr="0097216C">
        <w:t xml:space="preserve">Nuestra respuesta sobre el compromiso del Gobierno con la capacitación de todos los profesionales pertinentes y la información sobre otros profesionales pertinentes figura en los párrafos </w:t>
      </w:r>
      <w:r w:rsidRPr="00451405">
        <w:t>3</w:t>
      </w:r>
      <w:r w:rsidRPr="0097216C">
        <w:t xml:space="preserve"> a </w:t>
      </w:r>
      <w:r w:rsidRPr="00451405">
        <w:t>6</w:t>
      </w:r>
      <w:r w:rsidRPr="0097216C">
        <w:t xml:space="preserve"> de este documento.</w:t>
      </w:r>
    </w:p>
    <w:p w14:paraId="104B83F3" w14:textId="1139992C" w:rsidR="00A84782" w:rsidRPr="0097216C" w:rsidRDefault="00A84782" w:rsidP="00F651FB">
      <w:pPr>
        <w:pStyle w:val="SingleTxt"/>
        <w:numPr>
          <w:ilvl w:val="0"/>
          <w:numId w:val="18"/>
        </w:numPr>
        <w:ind w:left="1267"/>
      </w:pPr>
      <w:r w:rsidRPr="0097216C">
        <w:t>Los agentes de policía reciben capacitación para responder y apoyar a todas las víctimas de un delito como parte de su capacitación policial básica. Los agentes son sensibilizados sobre la vulnerabilidad de las víctimas de delitos sexuales y aprenden a prestar apoyo a las víctimas de delitos. También asisten a sesiones informativas facilitadas por miembros de los grupos de trabajo regionales sobre violencia familiar, que proporcionan a los agentes los conocimientos y aptitudes necesarios para tratar con profesionalidad y eficacia a las víctimas de delitos.</w:t>
      </w:r>
    </w:p>
    <w:p w14:paraId="1052AAA4" w14:textId="3F4BCD52" w:rsidR="00A84782" w:rsidRPr="0097216C" w:rsidRDefault="00A84782" w:rsidP="00F651FB">
      <w:pPr>
        <w:pStyle w:val="SingleTxt"/>
        <w:numPr>
          <w:ilvl w:val="0"/>
          <w:numId w:val="18"/>
        </w:numPr>
        <w:ind w:left="1267"/>
      </w:pPr>
      <w:r w:rsidRPr="0097216C">
        <w:t xml:space="preserve">La Fuerza de Policía de Singapur revisa activamente sus procedimientos para mejorar continuamente la protección y el apoyo a las víctimas de delitos sexuales, independientemente de su sexo. Por ejemplo, creará este año un nuevo Mando de Delitos Sexuales y Violencia Familiar para supervisar las investigaciones sobre delitos sexuales y violencia familiar, que contará con agentes de policía especializados en la investigación de estos casos. Para sensibilizar a la opinión pública sobre los delitos sexuales y el proceso de investigación en estos casos, la Fuerza de Policía lanzó el </w:t>
      </w:r>
      <w:r w:rsidRPr="00451405">
        <w:t>27</w:t>
      </w:r>
      <w:r w:rsidRPr="0097216C">
        <w:t xml:space="preserve"> de diciembre de </w:t>
      </w:r>
      <w:r w:rsidRPr="00451405">
        <w:t>2022</w:t>
      </w:r>
      <w:r w:rsidRPr="0097216C">
        <w:t xml:space="preserve"> una </w:t>
      </w:r>
      <w:r w:rsidR="00910A49" w:rsidRPr="00451405">
        <w:t>página web única</w:t>
      </w:r>
      <w:r w:rsidRPr="0097216C">
        <w:t xml:space="preserve"> renovada que contiene información sobre delitos sexuales, procesos de investigación, medidas de atención a las víctimas y servicios disponibles de apoyo a las víctimas.</w:t>
      </w:r>
    </w:p>
    <w:p w14:paraId="4E68FFD6" w14:textId="77777777" w:rsidR="00A84782" w:rsidRPr="0097216C" w:rsidRDefault="00A84782" w:rsidP="00A84782">
      <w:pPr>
        <w:pStyle w:val="SingleTxt"/>
        <w:spacing w:after="0" w:line="120" w:lineRule="exact"/>
        <w:rPr>
          <w:bCs/>
          <w:sz w:val="10"/>
        </w:rPr>
      </w:pPr>
    </w:p>
    <w:p w14:paraId="2D2B9FAB" w14:textId="77777777" w:rsidR="00A84782" w:rsidRPr="0097216C" w:rsidRDefault="00A84782" w:rsidP="00A84782">
      <w:pPr>
        <w:pStyle w:val="SingleTxt"/>
        <w:spacing w:after="0" w:line="120" w:lineRule="exact"/>
        <w:rPr>
          <w:bCs/>
          <w:sz w:val="10"/>
        </w:rPr>
      </w:pPr>
    </w:p>
    <w:p w14:paraId="762CCFEE" w14:textId="77777777" w:rsidR="00A84782" w:rsidRPr="0097216C" w:rsidRDefault="00A84782" w:rsidP="000631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b w:val="0"/>
        </w:rPr>
      </w:pPr>
      <w:r w:rsidRPr="00451405">
        <w:tab/>
        <w:t>XV.</w:t>
      </w:r>
      <w:r w:rsidRPr="00451405">
        <w:tab/>
        <w:t>Respuesta al párrafo 12 b) de la lista de cuestiones y preguntas</w:t>
      </w:r>
    </w:p>
    <w:p w14:paraId="3031DAD1" w14:textId="77777777" w:rsidR="00A84782" w:rsidRPr="0097216C" w:rsidRDefault="00A84782" w:rsidP="00A84782">
      <w:pPr>
        <w:pStyle w:val="SingleTxt"/>
        <w:spacing w:after="0" w:line="120" w:lineRule="exact"/>
        <w:rPr>
          <w:bCs/>
          <w:sz w:val="10"/>
        </w:rPr>
      </w:pPr>
    </w:p>
    <w:p w14:paraId="03A4596C" w14:textId="77777777" w:rsidR="00A84782" w:rsidRPr="0097216C" w:rsidRDefault="00A84782" w:rsidP="00A84782">
      <w:pPr>
        <w:pStyle w:val="SingleTxt"/>
        <w:spacing w:after="0" w:line="120" w:lineRule="exact"/>
        <w:rPr>
          <w:bCs/>
          <w:sz w:val="10"/>
        </w:rPr>
      </w:pPr>
    </w:p>
    <w:p w14:paraId="5863E21B" w14:textId="37464753" w:rsidR="00A84782" w:rsidRPr="0097216C" w:rsidRDefault="00A84782" w:rsidP="00F651FB">
      <w:pPr>
        <w:pStyle w:val="SingleTxt"/>
        <w:numPr>
          <w:ilvl w:val="0"/>
          <w:numId w:val="18"/>
        </w:numPr>
        <w:ind w:left="1267"/>
      </w:pPr>
      <w:r w:rsidRPr="0097216C">
        <w:t xml:space="preserve">En cuanto a la cuestión de la carga de la prueba, el artículo </w:t>
      </w:r>
      <w:r w:rsidRPr="00451405">
        <w:t>65</w:t>
      </w:r>
      <w:r w:rsidRPr="0097216C">
        <w:t xml:space="preserve"> </w:t>
      </w:r>
      <w:r w:rsidRPr="00451405">
        <w:t>1</w:t>
      </w:r>
      <w:r w:rsidRPr="0097216C">
        <w:t>) de la Carta de la Mujer establece: “</w:t>
      </w:r>
      <w:r w:rsidRPr="00451405">
        <w:rPr>
          <w:b/>
          <w:bCs/>
        </w:rPr>
        <w:t>Si se considera probado</w:t>
      </w:r>
      <w:r w:rsidRPr="0097216C">
        <w:t xml:space="preserve"> que se ha cometido o es probable que se cometa violencia familiar contra un miembro de la familia y que es necesario para la protección del miembro de la familia, el tribunal puede dictar una orden de alejamiento que prohíba a la persona contra la que se dicta la orden ejercer violencia familiar contra el miembro de la familia”. Si existe una necesidad urgente de protección en el momento de solicitar una orden de protección personal, el tribunal puede conceder una orden acelerada, que se dicta sin juicio. La orden acelerada es una orden temporal con una validez de </w:t>
      </w:r>
      <w:r w:rsidRPr="00451405">
        <w:t>28</w:t>
      </w:r>
      <w:r w:rsidRPr="0097216C">
        <w:t xml:space="preserve"> días, o hasta el juicio por la solicitud de la orden de protección personal, lo que ocurra primero, y puede ser prorrogada por el tribunal hasta la conclusión del juicio (véanse en el anexo D las nuevas normas para hacer que el proceso de solicitud sea menos oneroso, incluso para las mujeres casadas o divorciadas solicitantes en virtud de la Carta de la Mujer).</w:t>
      </w:r>
    </w:p>
    <w:p w14:paraId="354DEC50" w14:textId="32EF1F83" w:rsidR="00A84782" w:rsidRPr="0097216C" w:rsidRDefault="00A84782" w:rsidP="00F651FB">
      <w:pPr>
        <w:pStyle w:val="SingleTxt"/>
        <w:numPr>
          <w:ilvl w:val="0"/>
          <w:numId w:val="18"/>
        </w:numPr>
        <w:ind w:left="1267"/>
      </w:pPr>
      <w:r w:rsidRPr="0097216C">
        <w:t xml:space="preserve">Con la promulgación de la Ley de Protección contra el Acoso en </w:t>
      </w:r>
      <w:r w:rsidRPr="00451405">
        <w:t>2014</w:t>
      </w:r>
      <w:r w:rsidRPr="0097216C">
        <w:t xml:space="preserve">, las mujeres solteras víctimas de violencia de pareja pueden obtener protección en virtud de esta ley mediante una orden de protección o, en casos urgentes, mediante una orden de protección acelerada. La orden de protección o la orden de protección acelerada pueden exigir al agresor que se mantenga alejado de la residencia compartida (es decir, una orden de exclusión doméstica), creando así un entorno doméstico seguro para la víctima. Recientemente se han introducido modificaciones en la Ley de Protección contra el Acoso para endurecer las penas por delitos contra víctimas que </w:t>
      </w:r>
      <w:r w:rsidRPr="0097216C">
        <w:lastRenderedPageBreak/>
        <w:t>mantengan una relación íntima con el agresor. Además, incumplir una orden de protección o una orden de protección acelerada dictada en virtud de la Ley de Protección contra el Acoso es un delito penal y el autor puede ser multado y encarcelado, de forma similar a los incumplimientos de las órdenes de protección personal en virtud de la Carta de la Mujer.</w:t>
      </w:r>
    </w:p>
    <w:p w14:paraId="096F8AE3" w14:textId="77777777" w:rsidR="00A84782" w:rsidRPr="0097216C" w:rsidRDefault="00A84782" w:rsidP="00A84782">
      <w:pPr>
        <w:pStyle w:val="SingleTxt"/>
        <w:spacing w:after="0" w:line="120" w:lineRule="exact"/>
        <w:rPr>
          <w:bCs/>
          <w:sz w:val="10"/>
        </w:rPr>
      </w:pPr>
    </w:p>
    <w:p w14:paraId="172FE76E" w14:textId="77777777" w:rsidR="00A84782" w:rsidRPr="0097216C" w:rsidRDefault="00A84782" w:rsidP="00A84782">
      <w:pPr>
        <w:pStyle w:val="SingleTxt"/>
        <w:spacing w:after="0" w:line="120" w:lineRule="exact"/>
        <w:rPr>
          <w:bCs/>
          <w:sz w:val="10"/>
        </w:rPr>
      </w:pPr>
    </w:p>
    <w:p w14:paraId="379F0C6B" w14:textId="77777777" w:rsidR="00A84782" w:rsidRPr="0097216C" w:rsidRDefault="00A84782" w:rsidP="000631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b w:val="0"/>
        </w:rPr>
      </w:pPr>
      <w:r w:rsidRPr="00451405">
        <w:tab/>
        <w:t>XVI.</w:t>
      </w:r>
      <w:r w:rsidRPr="00451405">
        <w:tab/>
        <w:t>Respuesta al párrafo 12 c) de la lista de cuestiones y preguntas</w:t>
      </w:r>
    </w:p>
    <w:p w14:paraId="6BAC29CE" w14:textId="77777777" w:rsidR="00A84782" w:rsidRPr="0097216C" w:rsidRDefault="00A84782" w:rsidP="00A84782">
      <w:pPr>
        <w:pStyle w:val="SingleTxt"/>
        <w:spacing w:after="0" w:line="120" w:lineRule="exact"/>
        <w:rPr>
          <w:bCs/>
          <w:sz w:val="10"/>
        </w:rPr>
      </w:pPr>
    </w:p>
    <w:p w14:paraId="46CCA1DF" w14:textId="77777777" w:rsidR="00A84782" w:rsidRPr="0097216C" w:rsidRDefault="00A84782" w:rsidP="00A84782">
      <w:pPr>
        <w:pStyle w:val="SingleTxt"/>
        <w:spacing w:after="0" w:line="120" w:lineRule="exact"/>
        <w:rPr>
          <w:bCs/>
          <w:sz w:val="10"/>
        </w:rPr>
      </w:pPr>
    </w:p>
    <w:p w14:paraId="21621C75" w14:textId="4AEC0B43" w:rsidR="00A84782" w:rsidRPr="0097216C" w:rsidRDefault="00A84782" w:rsidP="00F651FB">
      <w:pPr>
        <w:pStyle w:val="SingleTxt"/>
        <w:numPr>
          <w:ilvl w:val="0"/>
          <w:numId w:val="18"/>
        </w:numPr>
        <w:ind w:left="1267"/>
      </w:pPr>
      <w:r w:rsidRPr="0097216C">
        <w:t xml:space="preserve">No se aplican castigos corporales a las mujeres residentes en centros de modalidades alternativas de cuidado y de rehabilitación de menores. Además, el artículo </w:t>
      </w:r>
      <w:r w:rsidRPr="00451405">
        <w:t>89</w:t>
      </w:r>
      <w:r w:rsidRPr="0097216C">
        <w:t xml:space="preserve"> del Código Penal no autoriza expresamente los castigos corporales. Se trata de una defensa general en derecho penal para los actos realizados por los tutores (o con su consentimiento) de buena fe en beneficio de un menor.</w:t>
      </w:r>
    </w:p>
    <w:p w14:paraId="4BEA6D39" w14:textId="77777777" w:rsidR="00A84782" w:rsidRPr="0097216C" w:rsidRDefault="00A84782" w:rsidP="00A84782">
      <w:pPr>
        <w:pStyle w:val="SingleTxt"/>
        <w:spacing w:after="0" w:line="120" w:lineRule="exact"/>
        <w:rPr>
          <w:bCs/>
          <w:sz w:val="10"/>
        </w:rPr>
      </w:pPr>
    </w:p>
    <w:p w14:paraId="7B6D10CD" w14:textId="77777777" w:rsidR="00A84782" w:rsidRPr="0097216C" w:rsidRDefault="00A84782" w:rsidP="00A84782">
      <w:pPr>
        <w:pStyle w:val="SingleTxt"/>
        <w:spacing w:after="0" w:line="120" w:lineRule="exact"/>
        <w:rPr>
          <w:bCs/>
          <w:sz w:val="10"/>
        </w:rPr>
      </w:pPr>
    </w:p>
    <w:p w14:paraId="51BC49C5"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XVII.</w:t>
      </w:r>
      <w:r w:rsidRPr="00451405">
        <w:tab/>
        <w:t>Respuesta al párrafo 13 de la lista de cuestiones y preguntas</w:t>
      </w:r>
    </w:p>
    <w:p w14:paraId="3F66F351" w14:textId="77777777" w:rsidR="00A84782" w:rsidRPr="0097216C" w:rsidRDefault="00A84782" w:rsidP="00A84782">
      <w:pPr>
        <w:pStyle w:val="SingleTxt"/>
        <w:spacing w:after="0" w:line="120" w:lineRule="exact"/>
        <w:rPr>
          <w:bCs/>
          <w:sz w:val="10"/>
        </w:rPr>
      </w:pPr>
    </w:p>
    <w:p w14:paraId="6B9141B7" w14:textId="77777777" w:rsidR="00A84782" w:rsidRPr="0097216C" w:rsidRDefault="00A84782" w:rsidP="00A84782">
      <w:pPr>
        <w:pStyle w:val="SingleTxt"/>
        <w:spacing w:after="0" w:line="120" w:lineRule="exact"/>
        <w:rPr>
          <w:bCs/>
          <w:sz w:val="10"/>
        </w:rPr>
      </w:pPr>
    </w:p>
    <w:p w14:paraId="27AB49FC" w14:textId="6866722B" w:rsidR="00A84782" w:rsidRPr="0097216C" w:rsidRDefault="00A84782" w:rsidP="00F651FB">
      <w:pPr>
        <w:pStyle w:val="SingleTxt"/>
        <w:numPr>
          <w:ilvl w:val="0"/>
          <w:numId w:val="18"/>
        </w:numPr>
        <w:ind w:left="1267"/>
      </w:pPr>
      <w:r w:rsidRPr="0097216C">
        <w:t>El tribunal de familia puede emitir una orden de asesoramiento para el solicitante de una orden de protección personal (víctima), el demandado de la orden de protección personal (agresor) o sus hijos, si es necesario para la protección o seguridad personal de la víctima. La intención de la orden de asesoramiento es ayudar a los miembros de la familia a aprender comportamientos más respetuosos para resolver conflictos y proporcionarles el apoyo y las habilidades necesarias para garantizar su seguridad. No es necesario que la víctima asista al asesoramiento junto con el agresor a menos que los asesores consideren que ambos están preparados o si ella está de acuerdo en hacerlo.</w:t>
      </w:r>
    </w:p>
    <w:p w14:paraId="0D87CBAC" w14:textId="255EC053" w:rsidR="00A84782" w:rsidRPr="0097216C" w:rsidRDefault="00A84782" w:rsidP="00F651FB">
      <w:pPr>
        <w:pStyle w:val="SingleTxt"/>
        <w:numPr>
          <w:ilvl w:val="0"/>
          <w:numId w:val="18"/>
        </w:numPr>
        <w:ind w:left="1267"/>
      </w:pPr>
      <w:r w:rsidRPr="0097216C">
        <w:t>Aunque las personas a las que se dicta una orden de asesoramiento deben asistir a las sesiones de asesoramiento, en la práctica el Estado no ha sometido a ninguna consecuencia a las víctimas que se niegan a asistir. En su lugar, las agencias de servicios sociales trabajarán con las víctimas y las animarán a asistir a las sesiones para que reciban el apoyo y las habilidades necesarias para garantizar su seguridad. Los agresores que reciban una orden de asesoramiento y no asistan a sus sesiones de asesoramiento pueden ser procesados por desacato.</w:t>
      </w:r>
    </w:p>
    <w:p w14:paraId="030F4D82" w14:textId="570FE4FF" w:rsidR="00A84782" w:rsidRPr="0097216C" w:rsidRDefault="00A84782" w:rsidP="00F651FB">
      <w:pPr>
        <w:pStyle w:val="SingleTxt"/>
        <w:numPr>
          <w:ilvl w:val="0"/>
          <w:numId w:val="18"/>
        </w:numPr>
        <w:ind w:left="1267"/>
      </w:pPr>
      <w:r w:rsidRPr="0097216C">
        <w:t>Para garantizar mejor la seguridad de las víctimas y exigir responsabilidades a los agresores, próximamente se modificará la Carta de la Mujer para endurecer las penas por incumplimiento de las órdenes judiciales. El Ministerio de Desarrollo Social y Familiar pretende tipificar las infracciones como delito para disuadir a los autores de saltarse el asesoramiento.</w:t>
      </w:r>
    </w:p>
    <w:p w14:paraId="7D1D357C" w14:textId="77777777" w:rsidR="00A84782" w:rsidRPr="0097216C" w:rsidRDefault="00A84782" w:rsidP="00A84782">
      <w:pPr>
        <w:pStyle w:val="SingleTxt"/>
        <w:spacing w:after="0" w:line="120" w:lineRule="exact"/>
        <w:rPr>
          <w:bCs/>
          <w:sz w:val="10"/>
        </w:rPr>
      </w:pPr>
    </w:p>
    <w:p w14:paraId="6499DE44" w14:textId="77777777" w:rsidR="00A84782" w:rsidRPr="0097216C" w:rsidRDefault="00A84782" w:rsidP="00A84782">
      <w:pPr>
        <w:pStyle w:val="SingleTxt"/>
        <w:spacing w:after="0" w:line="120" w:lineRule="exact"/>
        <w:rPr>
          <w:bCs/>
          <w:sz w:val="10"/>
        </w:rPr>
      </w:pPr>
    </w:p>
    <w:p w14:paraId="1A6E9F98" w14:textId="77777777" w:rsidR="00A84782" w:rsidRPr="0097216C" w:rsidRDefault="00A84782" w:rsidP="00F651F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b w:val="0"/>
        </w:rPr>
      </w:pPr>
      <w:r w:rsidRPr="00451405">
        <w:tab/>
        <w:t>XVIII.</w:t>
      </w:r>
      <w:r w:rsidRPr="00451405">
        <w:tab/>
        <w:t>Respuesta al párrafo 14 a) de la lista de cuestiones y preguntas</w:t>
      </w:r>
    </w:p>
    <w:p w14:paraId="20ED56DF" w14:textId="77777777" w:rsidR="00A84782" w:rsidRPr="0097216C" w:rsidRDefault="00A84782" w:rsidP="00A84782">
      <w:pPr>
        <w:pStyle w:val="SingleTxt"/>
        <w:spacing w:after="0" w:line="120" w:lineRule="exact"/>
        <w:rPr>
          <w:bCs/>
          <w:sz w:val="10"/>
        </w:rPr>
      </w:pPr>
    </w:p>
    <w:p w14:paraId="4C2A7BE2" w14:textId="77777777" w:rsidR="00A84782" w:rsidRPr="0097216C" w:rsidRDefault="00A84782" w:rsidP="00A84782">
      <w:pPr>
        <w:pStyle w:val="SingleTxt"/>
        <w:spacing w:after="0" w:line="120" w:lineRule="exact"/>
        <w:rPr>
          <w:bCs/>
          <w:sz w:val="10"/>
        </w:rPr>
      </w:pPr>
    </w:p>
    <w:p w14:paraId="58E1C434" w14:textId="07D2EAE0" w:rsidR="00A84782" w:rsidRPr="0097216C" w:rsidRDefault="00A84782" w:rsidP="00F651FB">
      <w:pPr>
        <w:pStyle w:val="SingleTxt"/>
        <w:numPr>
          <w:ilvl w:val="0"/>
          <w:numId w:val="18"/>
        </w:numPr>
        <w:ind w:left="1267"/>
      </w:pPr>
      <w:r w:rsidRPr="0097216C">
        <w:t xml:space="preserve">Singapur es parte en el Protocolo para Prevenir, Reprimir y Sancionar la Trata de Personas, Especialmente Mujeres y Niños, que complementa la Convención de las Naciones Unidas contra la Delincuencia Organizada Transnacional, y la Convención sobre la Trata de Personas de la Asociación de Naciones de Asia Sudoriental. Cumplimos plenamente nuestras obligaciones de cara a la trata de personas. No existen obstáculos legales para llevar ante la justicia a los autores de la trata, tal y como se define en el Protocolo. La Ley de Prevención de la Trata de Personas de </w:t>
      </w:r>
      <w:r w:rsidRPr="00451405">
        <w:t>2014</w:t>
      </w:r>
      <w:r w:rsidRPr="0097216C">
        <w:t xml:space="preserve"> tipifica el delito de la trata de personas sobre la base de una definición aceptada internacionalmente (es decir, la que figura en el Protocolo). Según el artículo </w:t>
      </w:r>
      <w:r w:rsidRPr="00451405">
        <w:t>3</w:t>
      </w:r>
      <w:r w:rsidRPr="0097216C">
        <w:t xml:space="preserve"> de la </w:t>
      </w:r>
      <w:r w:rsidRPr="0097216C">
        <w:lastRenderedPageBreak/>
        <w:t>Ley, para que un caso se considere delito de trata de personas deben cumplirse los tres elementos de acto, medios y finalidad. Los casos de trata de personas que no cumplan los tres requisitos pueden ser perseguidos en virtud de otros instrumentos, como la Carta de la Mujer, el Código Penal, la Ley sobre el Empleo de Trabajadores Extranjeros o la Ley de Empleo.</w:t>
      </w:r>
    </w:p>
    <w:p w14:paraId="39809B5C" w14:textId="71591D7B" w:rsidR="00A84782" w:rsidRPr="0097216C" w:rsidRDefault="00A84782" w:rsidP="00F651FB">
      <w:pPr>
        <w:pStyle w:val="SingleTxt"/>
        <w:numPr>
          <w:ilvl w:val="0"/>
          <w:numId w:val="18"/>
        </w:numPr>
        <w:ind w:left="1267"/>
      </w:pPr>
      <w:r w:rsidRPr="0097216C">
        <w:t xml:space="preserve">La definición de términos clave como “coacción”, “explotación” y “explotación sexual” se recoge exhaustivamente en el artículo </w:t>
      </w:r>
      <w:r w:rsidRPr="00451405">
        <w:t>2</w:t>
      </w:r>
      <w:r w:rsidRPr="0097216C">
        <w:t xml:space="preserve"> de la Ley de Prevención de la Trata de Personas. Algunos términos se han delimitado de forma amplia para dar a nuestros tribunales suficiente margen para aplicarlos a los casos sin exigir que se definan términos como “trabajo forzoso” y “engaño”. En algunos casos, la definición de términos clave en la Ley de Prevención de la Trata de Personas es más detallada que en el Protocolo (véase el anexo E para más detalles).</w:t>
      </w:r>
    </w:p>
    <w:p w14:paraId="15D4E287" w14:textId="77777777" w:rsidR="00A84782" w:rsidRPr="0097216C" w:rsidRDefault="00A84782" w:rsidP="00A84782">
      <w:pPr>
        <w:pStyle w:val="SingleTxt"/>
        <w:spacing w:after="0" w:line="120" w:lineRule="exact"/>
        <w:rPr>
          <w:bCs/>
          <w:sz w:val="10"/>
        </w:rPr>
      </w:pPr>
    </w:p>
    <w:p w14:paraId="2303212C" w14:textId="77777777" w:rsidR="00A84782" w:rsidRPr="0097216C" w:rsidRDefault="00A84782" w:rsidP="00A84782">
      <w:pPr>
        <w:pStyle w:val="SingleTxt"/>
        <w:spacing w:after="0" w:line="120" w:lineRule="exact"/>
        <w:rPr>
          <w:bCs/>
          <w:sz w:val="10"/>
        </w:rPr>
      </w:pPr>
    </w:p>
    <w:p w14:paraId="3D398454" w14:textId="77777777" w:rsidR="00A84782" w:rsidRPr="0097216C" w:rsidRDefault="00A84782" w:rsidP="000631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val="0"/>
        </w:rPr>
      </w:pPr>
      <w:r w:rsidRPr="00451405">
        <w:tab/>
        <w:t>XIX.</w:t>
      </w:r>
      <w:r w:rsidRPr="00451405">
        <w:tab/>
        <w:t>Respuesta al párrafo 14 b) de la lista de cuestiones y preguntas</w:t>
      </w:r>
    </w:p>
    <w:p w14:paraId="629660E8" w14:textId="77777777" w:rsidR="00A84782" w:rsidRPr="0097216C" w:rsidRDefault="00A84782" w:rsidP="00A84782">
      <w:pPr>
        <w:pStyle w:val="SingleTxt"/>
        <w:spacing w:after="0" w:line="120" w:lineRule="exact"/>
        <w:rPr>
          <w:bCs/>
          <w:sz w:val="10"/>
        </w:rPr>
      </w:pPr>
    </w:p>
    <w:p w14:paraId="3E108EAE" w14:textId="77777777" w:rsidR="00A84782" w:rsidRPr="0097216C" w:rsidRDefault="00A84782" w:rsidP="00A84782">
      <w:pPr>
        <w:pStyle w:val="SingleTxt"/>
        <w:spacing w:after="0" w:line="120" w:lineRule="exact"/>
        <w:rPr>
          <w:bCs/>
          <w:sz w:val="10"/>
        </w:rPr>
      </w:pPr>
    </w:p>
    <w:p w14:paraId="24CEE00D" w14:textId="5DACF72D" w:rsidR="00A84782" w:rsidRPr="0097216C" w:rsidRDefault="00A84782" w:rsidP="00F651FB">
      <w:pPr>
        <w:pStyle w:val="SingleTxt"/>
        <w:numPr>
          <w:ilvl w:val="0"/>
          <w:numId w:val="18"/>
        </w:numPr>
        <w:ind w:left="1267"/>
      </w:pPr>
      <w:r w:rsidRPr="0097216C">
        <w:t xml:space="preserve">Singapur cuenta con un sólido ecosistema de diversas partes interesadas en la lucha contra la trata de personas. El Gobierno ha creado un grupo de trabajo interinstitucional para luchar contra este delito. El grupo de trabajo está formado por organismos encargados de la aplicación de la ley (Ministerio del Interior y Ministerio de Trabajo), la política exterior y la colaboración internacional (Ministerio de Asuntos Exteriores), la </w:t>
      </w:r>
      <w:proofErr w:type="gramStart"/>
      <w:r w:rsidRPr="0097216C">
        <w:t>Fiscalía General</w:t>
      </w:r>
      <w:proofErr w:type="gramEnd"/>
      <w:r w:rsidRPr="0097216C">
        <w:t>, los sistemas de apoyo (Ministerio de Desarrollo Social y Familiar) y la formulación de políticas jurídicas y relacionadas con la trata (Ministerio de Justicia, Ministerio del Interior, Ministerio de Trabajo y Ministerio de Sanidad).</w:t>
      </w:r>
    </w:p>
    <w:p w14:paraId="62C3AB8D" w14:textId="0F4F8ED9" w:rsidR="00A84782" w:rsidRPr="0097216C" w:rsidRDefault="00A84782" w:rsidP="00F651FB">
      <w:pPr>
        <w:pStyle w:val="SingleTxt"/>
        <w:numPr>
          <w:ilvl w:val="0"/>
          <w:numId w:val="18"/>
        </w:numPr>
        <w:ind w:left="1267"/>
        <w:rPr>
          <w:bCs/>
        </w:rPr>
      </w:pPr>
      <w:r w:rsidRPr="0097216C">
        <w:t>El grupo de trabajo no solamente coordina las estrategias pangubernamentales y revisa con regularidad las leyes y políticas en materia de trata de personas, sino que también reúne periódicamente a las partes interesadas para colaborar y debatir los esfuerzos de Singapur en materia de trata de personas con el fin de garantizar que estos esfuerzos sigan siendo eficaces, pertinentes y sostenibles.</w:t>
      </w:r>
    </w:p>
    <w:p w14:paraId="1CED6B69" w14:textId="6C04A913" w:rsidR="00A84782" w:rsidRPr="0097216C" w:rsidRDefault="00A84782" w:rsidP="00F651FB">
      <w:pPr>
        <w:pStyle w:val="SingleTxt"/>
        <w:numPr>
          <w:ilvl w:val="0"/>
          <w:numId w:val="18"/>
        </w:numPr>
        <w:ind w:left="1267"/>
      </w:pPr>
      <w:r w:rsidRPr="0097216C">
        <w:t xml:space="preserve">El enfoque nacional de Singapur contra la trata de personas para el período </w:t>
      </w:r>
      <w:r w:rsidRPr="00451405">
        <w:t>2016</w:t>
      </w:r>
      <w:r w:rsidRPr="0097216C">
        <w:t>-</w:t>
      </w:r>
      <w:r w:rsidRPr="00451405">
        <w:t>2026</w:t>
      </w:r>
      <w:r w:rsidRPr="0097216C">
        <w:t xml:space="preserve"> sigue basándose en un marco de cuatro acciones: prevención, enjuiciamiento penal, protección y establecimiento de alianzas. Para aplicar eficazmente el marco, los funcionarios pertinentes reciben con regularidad la capacitación especializada que necesitan para efectuar investigaciones teniendo en cuenta el género, así como para detectar a las víctimas de la trata y derivarlas a las instituciones que corresponda en una fase temprana.</w:t>
      </w:r>
    </w:p>
    <w:p w14:paraId="02CD9F3F" w14:textId="655F9B77" w:rsidR="00A84782" w:rsidRPr="0097216C" w:rsidRDefault="00A84782" w:rsidP="00D658D2">
      <w:pPr>
        <w:pStyle w:val="SingleTxt"/>
        <w:numPr>
          <w:ilvl w:val="0"/>
          <w:numId w:val="22"/>
        </w:numPr>
        <w:ind w:left="1267"/>
      </w:pPr>
      <w:r w:rsidRPr="0097216C">
        <w:rPr>
          <w:u w:val="single"/>
        </w:rPr>
        <w:t>Poder judicial</w:t>
      </w:r>
      <w:r w:rsidRPr="0097216C">
        <w:t xml:space="preserve">. Véase el párrafo </w:t>
      </w:r>
      <w:r w:rsidRPr="00451405">
        <w:t>3</w:t>
      </w:r>
      <w:r w:rsidRPr="0097216C">
        <w:t xml:space="preserve"> de este documento sobre la capacitación del poder judicial.</w:t>
      </w:r>
    </w:p>
    <w:p w14:paraId="5BDA48E9" w14:textId="1FDC130D" w:rsidR="00A84782" w:rsidRPr="0097216C" w:rsidRDefault="00A84782" w:rsidP="00D658D2">
      <w:pPr>
        <w:pStyle w:val="SingleTxt"/>
        <w:numPr>
          <w:ilvl w:val="0"/>
          <w:numId w:val="22"/>
        </w:numPr>
        <w:ind w:left="1267"/>
      </w:pPr>
      <w:r w:rsidRPr="0097216C">
        <w:rPr>
          <w:u w:val="single"/>
        </w:rPr>
        <w:t>Agentes de policía y funcionarios de control de fronteras</w:t>
      </w:r>
      <w:r w:rsidRPr="0097216C">
        <w:t xml:space="preserve">. Se los capacita para detectar posibles indicios de trata de personas (como nerviosismo o signos de angustia) en quienes pasan por los puestos de control. Los viajeros que presenten tales indicios se derivarán a la oficina de guardia, donde los funcionarios efectuarán entrevistas preliminares para valorar si es necesario que la Fuerza de Policía de Singapur o el Ministerio de Trabajo realicen un seguimiento. Como parte de la capacitación policial básica, los agentes aprenden cómo responder y apoyar a las víctimas de delitos. Como se detalla en el párrafo </w:t>
      </w:r>
      <w:r w:rsidRPr="00451405">
        <w:t>6</w:t>
      </w:r>
      <w:r w:rsidRPr="0097216C">
        <w:t xml:space="preserve"> de este documento, durante la capacitación policial de primera línea, se sensibiliza a los agentes sobre la vulnerabilidad de las víctimas de delitos sexuales y se les enseña a proporcionar a las víctimas de delitos el apoyo y la atención que necesitan.</w:t>
      </w:r>
    </w:p>
    <w:p w14:paraId="1160F41C" w14:textId="24A609C7" w:rsidR="00A84782" w:rsidRPr="0097216C" w:rsidRDefault="00A84782" w:rsidP="00D658D2">
      <w:pPr>
        <w:pStyle w:val="SingleTxt"/>
        <w:numPr>
          <w:ilvl w:val="0"/>
          <w:numId w:val="22"/>
        </w:numPr>
        <w:ind w:left="1267"/>
      </w:pPr>
      <w:r w:rsidRPr="0097216C">
        <w:rPr>
          <w:u w:val="single"/>
        </w:rPr>
        <w:lastRenderedPageBreak/>
        <w:t>Fiscales y agentes de la autoridad</w:t>
      </w:r>
      <w:r w:rsidRPr="0097216C">
        <w:t>. Asisten a conferencias y talleres impartidos por expertos internacionales para conocer las mejores prácticas aplicadas a los casos de trata de personas. Estas sesiones de capacitación los ayudan a entender mejor las cuestiones jurídicas y prácticas que normalmente se plantean en tales casos.</w:t>
      </w:r>
    </w:p>
    <w:p w14:paraId="36AD20EF" w14:textId="05D6CC97" w:rsidR="00A84782" w:rsidRPr="0097216C" w:rsidRDefault="00A84782" w:rsidP="00D658D2">
      <w:pPr>
        <w:pStyle w:val="SingleTxt"/>
        <w:numPr>
          <w:ilvl w:val="0"/>
          <w:numId w:val="22"/>
        </w:numPr>
        <w:ind w:left="1267"/>
      </w:pPr>
      <w:r w:rsidRPr="0097216C">
        <w:rPr>
          <w:u w:val="single"/>
        </w:rPr>
        <w:t>Trabajadores sociales</w:t>
      </w:r>
      <w:r w:rsidRPr="0097216C">
        <w:t>. Estos profesionales han desarrollado la sensibilidad requerida para responder a las víctimas de delitos (como abusos, agresiones o trata sexuales) de forma comprensiva y desprejuiciada. Cuentan con los conocimientos y habilidades necesarios para estudiar y evaluar las consecuencias psicosociales y emocionales de la experiencia en las víctimas y brindar a estas la asistencia que precisan. También tienen capacitación para tratar traumas e identificar y derivar a las víctimas para que reciban apoyo psicológico cuando sea necesario.</w:t>
      </w:r>
    </w:p>
    <w:p w14:paraId="551C7C3A" w14:textId="27F9E4D0" w:rsidR="00A84782" w:rsidRPr="0097216C" w:rsidRDefault="00A84782" w:rsidP="00D658D2">
      <w:pPr>
        <w:pStyle w:val="SingleTxt"/>
        <w:numPr>
          <w:ilvl w:val="0"/>
          <w:numId w:val="22"/>
        </w:numPr>
        <w:ind w:left="1267"/>
      </w:pPr>
      <w:r w:rsidRPr="0097216C">
        <w:t>El Gobierno contribuye a la financiación de organizaciones no gubernamentales que prestan servicios de apoyo, como refugios para víctimas de la trata de personas. El Gobierno también proporciona fondos para apoyar proyectos de base de la sociedad civil que aumenten la conciencia sobre cuestiones relacionadas con la trata de personas a través de la Subvención para la Concienciación Pública sobre la Trata de Personas, que es una iniciativa básica del Enfoque Nacional.</w:t>
      </w:r>
    </w:p>
    <w:p w14:paraId="40D6B1CF" w14:textId="77777777" w:rsidR="00A84782" w:rsidRPr="0097216C" w:rsidRDefault="00A84782" w:rsidP="00A84782">
      <w:pPr>
        <w:pStyle w:val="SingleTxt"/>
        <w:spacing w:after="0" w:line="120" w:lineRule="exact"/>
        <w:rPr>
          <w:bCs/>
          <w:sz w:val="10"/>
        </w:rPr>
      </w:pPr>
    </w:p>
    <w:p w14:paraId="07702BE4" w14:textId="77777777" w:rsidR="00A84782" w:rsidRPr="0097216C" w:rsidRDefault="00A84782" w:rsidP="00A84782">
      <w:pPr>
        <w:pStyle w:val="SingleTxt"/>
        <w:spacing w:after="0" w:line="120" w:lineRule="exact"/>
        <w:rPr>
          <w:bCs/>
          <w:sz w:val="10"/>
        </w:rPr>
      </w:pPr>
    </w:p>
    <w:p w14:paraId="2E53AEF2" w14:textId="77777777" w:rsidR="00A84782" w:rsidRPr="0097216C" w:rsidRDefault="00A84782" w:rsidP="000631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b w:val="0"/>
        </w:rPr>
      </w:pPr>
      <w:r w:rsidRPr="00451405">
        <w:tab/>
        <w:t>XX.</w:t>
      </w:r>
      <w:r w:rsidRPr="00451405">
        <w:tab/>
        <w:t>Respuesta al párrafo 14 c) de la lista de cuestiones y preguntas</w:t>
      </w:r>
    </w:p>
    <w:p w14:paraId="5B6B4777" w14:textId="77777777" w:rsidR="00A84782" w:rsidRPr="0097216C" w:rsidRDefault="00A84782" w:rsidP="00A84782">
      <w:pPr>
        <w:pStyle w:val="SingleTxt"/>
        <w:spacing w:after="0" w:line="120" w:lineRule="exact"/>
        <w:rPr>
          <w:bCs/>
          <w:sz w:val="10"/>
        </w:rPr>
      </w:pPr>
    </w:p>
    <w:p w14:paraId="3DA179FF" w14:textId="77777777" w:rsidR="00A84782" w:rsidRPr="0097216C" w:rsidRDefault="00A84782" w:rsidP="00A84782">
      <w:pPr>
        <w:pStyle w:val="SingleTxt"/>
        <w:spacing w:after="0" w:line="120" w:lineRule="exact"/>
        <w:rPr>
          <w:bCs/>
          <w:sz w:val="10"/>
        </w:rPr>
      </w:pPr>
    </w:p>
    <w:p w14:paraId="6FE4451D" w14:textId="12E37ADA" w:rsidR="00A84782" w:rsidRPr="0097216C" w:rsidRDefault="00A84782" w:rsidP="00A567F2">
      <w:pPr>
        <w:pStyle w:val="SingleTxt"/>
        <w:numPr>
          <w:ilvl w:val="0"/>
          <w:numId w:val="22"/>
        </w:numPr>
        <w:ind w:left="1267"/>
      </w:pPr>
      <w:r w:rsidRPr="0097216C">
        <w:t>Las mujeres que abandonan la prostitución y tienen dificultades económicas pueden solicitar asistencia de ComCare. ComCare ayuda a las personas con ingresos bajos que tienen dificultades para cubrir sus gastos básicos de sustento. Los beneficiarios que cumplan los requisitos pueden recibir una ayuda mensual en efectivo para los gastos de sustento, ayuda para pagar las facturas de servicios públicos y médicos, y derivaciones a otros organismos cuando proceda (por ejemplo, ayuda para el empleo o asesoramiento).</w:t>
      </w:r>
    </w:p>
    <w:p w14:paraId="233C5DC0" w14:textId="77777777" w:rsidR="00A84782" w:rsidRPr="0097216C" w:rsidRDefault="00A84782" w:rsidP="00A84782">
      <w:pPr>
        <w:pStyle w:val="SingleTxt"/>
        <w:spacing w:after="0" w:line="120" w:lineRule="exact"/>
        <w:rPr>
          <w:bCs/>
          <w:sz w:val="10"/>
        </w:rPr>
      </w:pPr>
    </w:p>
    <w:p w14:paraId="5DE55E19" w14:textId="77777777" w:rsidR="00A84782" w:rsidRPr="0097216C" w:rsidRDefault="00A84782" w:rsidP="00A84782">
      <w:pPr>
        <w:pStyle w:val="SingleTxt"/>
        <w:spacing w:after="0" w:line="120" w:lineRule="exact"/>
        <w:rPr>
          <w:bCs/>
          <w:sz w:val="10"/>
        </w:rPr>
      </w:pPr>
    </w:p>
    <w:p w14:paraId="1A523DBE"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XXI.</w:t>
      </w:r>
      <w:r w:rsidRPr="00451405">
        <w:tab/>
        <w:t>Respuesta al párrafo 15 de la lista de cuestiones y preguntas</w:t>
      </w:r>
    </w:p>
    <w:p w14:paraId="60176229" w14:textId="77777777" w:rsidR="00A84782" w:rsidRPr="0097216C" w:rsidRDefault="00A84782" w:rsidP="00A84782">
      <w:pPr>
        <w:pStyle w:val="SingleTxt"/>
        <w:spacing w:after="0" w:line="120" w:lineRule="exact"/>
        <w:rPr>
          <w:bCs/>
          <w:sz w:val="10"/>
        </w:rPr>
      </w:pPr>
    </w:p>
    <w:p w14:paraId="7C1DAB50" w14:textId="77777777" w:rsidR="00A84782" w:rsidRPr="0097216C" w:rsidRDefault="00A84782" w:rsidP="00A84782">
      <w:pPr>
        <w:pStyle w:val="SingleTxt"/>
        <w:spacing w:after="0" w:line="120" w:lineRule="exact"/>
        <w:rPr>
          <w:bCs/>
          <w:sz w:val="10"/>
        </w:rPr>
      </w:pPr>
    </w:p>
    <w:p w14:paraId="174ED985" w14:textId="445275E8" w:rsidR="00A84782" w:rsidRPr="0097216C" w:rsidRDefault="00A84782" w:rsidP="00A567F2">
      <w:pPr>
        <w:pStyle w:val="SingleTxt"/>
        <w:numPr>
          <w:ilvl w:val="0"/>
          <w:numId w:val="22"/>
        </w:numPr>
        <w:ind w:left="1267"/>
      </w:pPr>
      <w:r w:rsidRPr="0097216C">
        <w:t xml:space="preserve">Singapur tiene una elevada tasa de alfabetización femenina y los esfuerzos educativos se orientan en gran medida a atender a todos los estudiantes, incluidos los que tienen discapacidad y los que tienen necesidades especiales. Todos los singapurenses tienen el mismo pleno acceso a una educación de calidad. En nuestras escuelas e instituciones, el apoyo se presta a los estudiantes a través de un enfoque basado en las necesidades, según el cual los estudiantes reciben apoyo específico en función de sus necesidades educativas y familiares. En el anexo F y en el párrafo </w:t>
      </w:r>
      <w:r w:rsidRPr="00451405">
        <w:t>111</w:t>
      </w:r>
      <w:r w:rsidRPr="0097216C">
        <w:t xml:space="preserve"> del Informe Periódico se pueden consultar las iniciativas de Singapur para garantizar un apoyo suficiente a los estudiantes vulnerables de familias con ingresos bajos.</w:t>
      </w:r>
    </w:p>
    <w:p w14:paraId="3ACF1B7A" w14:textId="60CED2C3" w:rsidR="00A84782" w:rsidRPr="0097216C" w:rsidRDefault="00A84782" w:rsidP="00A567F2">
      <w:pPr>
        <w:pStyle w:val="SingleTxt"/>
        <w:numPr>
          <w:ilvl w:val="0"/>
          <w:numId w:val="22"/>
        </w:numPr>
        <w:ind w:left="1267"/>
      </w:pPr>
      <w:r w:rsidRPr="0097216C">
        <w:t xml:space="preserve">La política de educación inclusiva de Singapur apoya la educación de los niños con discapacidad y otras necesidades de desarrollo y aprendizaje. Entre los niños escolarizados, cerca del </w:t>
      </w:r>
      <w:r w:rsidRPr="00451405">
        <w:t>80</w:t>
      </w:r>
      <w:r w:rsidRPr="0097216C">
        <w:t> % de los alumnos con discapacidad y necesidades educativas especiales están matriculados en centros de educación general y tienen acceso a las mismas prestaciones básicas</w:t>
      </w:r>
      <w:r w:rsidR="00F651FB" w:rsidRPr="00451405">
        <w:rPr>
          <w:vertAlign w:val="superscript"/>
        </w:rPr>
        <w:footnoteReference w:id="2"/>
      </w:r>
      <w:r w:rsidR="00F651FB" w:rsidRPr="0097216C">
        <w:t xml:space="preserve"> </w:t>
      </w:r>
      <w:r w:rsidRPr="0097216C">
        <w:t xml:space="preserve">que sus compañeros. Los alumnos con discapacidad a quienes convendría recibir una asistencia más intensiva y especializada, así como un plan de estudios personalizado, se matriculan en centros especializados alternativos financiados por el Gobierno y la comunidad, conocidos como centros de educación especial. Los padres toman decisiones con conocimiento </w:t>
      </w:r>
      <w:r w:rsidRPr="0097216C">
        <w:lastRenderedPageBreak/>
        <w:t>de causa basándose en el asesoramiento de los profesionales que han observado al niño o trabajado con él para decidir el entorno educativo más adecuado que mejor satisfaga las necesidades educativas de su hijo</w:t>
      </w:r>
      <w:r w:rsidRPr="00451405">
        <w:rPr>
          <w:vertAlign w:val="superscript"/>
        </w:rPr>
        <w:footnoteReference w:id="3"/>
      </w:r>
      <w:r w:rsidRPr="0097216C">
        <w:t>. Para facilitar la participación y las oportunidades de interacción entre los alumnos de los centros de educación especial y los de educación general, se organizan provechosas actividades conjuntas a través de asociaciones escolares entre los dos tipos de centros</w:t>
      </w:r>
      <w:r w:rsidRPr="00451405">
        <w:rPr>
          <w:vertAlign w:val="superscript"/>
        </w:rPr>
        <w:footnoteReference w:id="4"/>
      </w:r>
      <w:r w:rsidRPr="0097216C">
        <w:t>.</w:t>
      </w:r>
    </w:p>
    <w:p w14:paraId="49D787A6" w14:textId="59D6B2F6" w:rsidR="00A84782" w:rsidRPr="0097216C" w:rsidRDefault="00A84782" w:rsidP="00A567F2">
      <w:pPr>
        <w:pStyle w:val="SingleTxt"/>
        <w:numPr>
          <w:ilvl w:val="0"/>
          <w:numId w:val="22"/>
        </w:numPr>
        <w:ind w:left="1267"/>
      </w:pPr>
      <w:r w:rsidRPr="0097216C">
        <w:t>Los alumnos con discapacidad que asisten a escuelas de educación general se benefician de personal especializado, como docentes y personal escolar formados en prácticas de educación inclusiva en todas las escuelas. Las escuelas de educación general adoptan un enfoque sistemático para proporcionar ajustes razonables a los alumnos con discapacidad a través de estructuras como los equipos de gestión de casos, que coordinan los programas de intervención y los servicios de apoyo</w:t>
      </w:r>
      <w:r w:rsidR="00F651FB" w:rsidRPr="00451405">
        <w:rPr>
          <w:vertAlign w:val="superscript"/>
        </w:rPr>
        <w:footnoteReference w:id="5"/>
      </w:r>
      <w:r w:rsidR="00F651FB" w:rsidRPr="0097216C">
        <w:t xml:space="preserve"> </w:t>
      </w:r>
      <w:r w:rsidRPr="0097216C">
        <w:t>a los alumnos con discapacidad en sus respectivas escuelas. Los centros escolares también pueden recurrir a la subvención de apoyo a las necesidades especiales</w:t>
      </w:r>
      <w:r w:rsidR="00F651FB" w:rsidRPr="00451405">
        <w:rPr>
          <w:vertAlign w:val="superscript"/>
        </w:rPr>
        <w:footnoteReference w:id="6"/>
      </w:r>
      <w:r w:rsidRPr="0097216C">
        <w:t>, así como al asesoramiento de psicopedagogos. Los alumnos de las escuelas de educación especial se benefician de docentes con capacitación especial y un plan de estudios y una pedagogía personalizados. Además, reciben un amplio apoyo de profesionales afines. Los docentes de educación especial reciben una formación previa al empleo especializada</w:t>
      </w:r>
      <w:r w:rsidR="00F651FB" w:rsidRPr="00451405">
        <w:rPr>
          <w:vertAlign w:val="superscript"/>
        </w:rPr>
        <w:footnoteReference w:id="7"/>
      </w:r>
      <w:r w:rsidR="00F651FB" w:rsidRPr="0097216C">
        <w:t xml:space="preserve">, </w:t>
      </w:r>
      <w:r w:rsidRPr="0097216C">
        <w:t xml:space="preserve">el Diploma de Educación Especial, y pueden asistir a cursos personalizados de capacitación </w:t>
      </w:r>
      <w:proofErr w:type="gramStart"/>
      <w:r w:rsidRPr="0097216C">
        <w:t>continua</w:t>
      </w:r>
      <w:proofErr w:type="gramEnd"/>
      <w:r w:rsidRPr="0097216C">
        <w:t xml:space="preserve"> impartidos por instituciones de capacitación.</w:t>
      </w:r>
    </w:p>
    <w:p w14:paraId="630A90D4" w14:textId="3D8E4659" w:rsidR="00A84782" w:rsidRPr="0097216C" w:rsidRDefault="00A84782" w:rsidP="00A567F2">
      <w:pPr>
        <w:pStyle w:val="SingleTxt"/>
        <w:numPr>
          <w:ilvl w:val="0"/>
          <w:numId w:val="22"/>
        </w:numPr>
        <w:ind w:left="1267"/>
      </w:pPr>
      <w:r w:rsidRPr="0097216C">
        <w:t>En las escuelas ordinarias, las clases de educación física se modifican según las necesidades para que los alumnos con discapacidad puedan participar en la asignatura con sus compañeros. El Ministerio de Educación seguirá capacitando a más profesores de educación física en la planificación y realización de clases de educación física inclusivas.</w:t>
      </w:r>
    </w:p>
    <w:p w14:paraId="1ADC48F0" w14:textId="22E317C8" w:rsidR="00A84782" w:rsidRPr="0097216C" w:rsidRDefault="00A84782" w:rsidP="00A567F2">
      <w:pPr>
        <w:pStyle w:val="SingleTxt"/>
        <w:numPr>
          <w:ilvl w:val="0"/>
          <w:numId w:val="22"/>
        </w:numPr>
        <w:ind w:left="1267"/>
      </w:pPr>
      <w:r w:rsidRPr="0097216C">
        <w:t>Los niños no ciudadanos pueden acceder a escuelas nacionales y también a escuelas privadas, como las escuelas internacionales.</w:t>
      </w:r>
    </w:p>
    <w:p w14:paraId="0FE6E40D" w14:textId="77777777" w:rsidR="00A84782" w:rsidRPr="0097216C" w:rsidRDefault="00A84782" w:rsidP="00A84782">
      <w:pPr>
        <w:pStyle w:val="SingleTxt"/>
        <w:spacing w:after="0" w:line="120" w:lineRule="exact"/>
        <w:rPr>
          <w:bCs/>
          <w:sz w:val="10"/>
        </w:rPr>
      </w:pPr>
    </w:p>
    <w:p w14:paraId="27C7776E" w14:textId="77777777" w:rsidR="00A84782" w:rsidRPr="0097216C" w:rsidRDefault="00A84782" w:rsidP="00A84782">
      <w:pPr>
        <w:pStyle w:val="SingleTxt"/>
        <w:spacing w:after="0" w:line="120" w:lineRule="exact"/>
        <w:rPr>
          <w:bCs/>
          <w:sz w:val="10"/>
        </w:rPr>
      </w:pPr>
    </w:p>
    <w:p w14:paraId="118AD7F7"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XXII.</w:t>
      </w:r>
      <w:r w:rsidRPr="00451405">
        <w:tab/>
        <w:t>Respuesta al párrafo 16 de la lista de cuestiones y preguntas</w:t>
      </w:r>
    </w:p>
    <w:p w14:paraId="168BDF19" w14:textId="77777777" w:rsidR="00A84782" w:rsidRPr="0097216C" w:rsidRDefault="00A84782" w:rsidP="00A84782">
      <w:pPr>
        <w:pStyle w:val="SingleTxt"/>
        <w:spacing w:after="0" w:line="120" w:lineRule="exact"/>
        <w:rPr>
          <w:bCs/>
          <w:sz w:val="10"/>
        </w:rPr>
      </w:pPr>
    </w:p>
    <w:p w14:paraId="0EFA76AF" w14:textId="77777777" w:rsidR="00A84782" w:rsidRPr="0097216C" w:rsidRDefault="00A84782" w:rsidP="00A84782">
      <w:pPr>
        <w:pStyle w:val="SingleTxt"/>
        <w:spacing w:after="0" w:line="120" w:lineRule="exact"/>
        <w:rPr>
          <w:bCs/>
          <w:sz w:val="10"/>
        </w:rPr>
      </w:pPr>
    </w:p>
    <w:p w14:paraId="7816A182" w14:textId="1AEDA1E7" w:rsidR="00A84782" w:rsidRPr="0097216C" w:rsidRDefault="00A84782" w:rsidP="00A567F2">
      <w:pPr>
        <w:pStyle w:val="SingleTxt"/>
        <w:numPr>
          <w:ilvl w:val="0"/>
          <w:numId w:val="22"/>
        </w:numPr>
        <w:ind w:left="1267"/>
      </w:pPr>
      <w:r w:rsidRPr="0097216C">
        <w:t xml:space="preserve">En el marco del programa de educación sexual del Ministerio de Educación, este sigue enseñando a los alumnos conocimientos y habilidades acordes con su edad para comprenderse a sí mismos, mantener relaciones sanas y adoptar decisiones sensatas, informadas y responsables en materia de sexualidad. Para más detalles, véanse los párrafos </w:t>
      </w:r>
      <w:r w:rsidRPr="00451405">
        <w:t>112</w:t>
      </w:r>
      <w:r w:rsidRPr="0097216C">
        <w:t xml:space="preserve"> a </w:t>
      </w:r>
      <w:r w:rsidRPr="00451405">
        <w:t>114</w:t>
      </w:r>
      <w:r w:rsidRPr="0097216C">
        <w:t xml:space="preserve"> del Informe Periódico.</w:t>
      </w:r>
    </w:p>
    <w:p w14:paraId="0D7292B8" w14:textId="77777777" w:rsidR="00A567F2" w:rsidRPr="00451405" w:rsidRDefault="00A567F2">
      <w:pPr>
        <w:suppressAutoHyphens w:val="0"/>
        <w:spacing w:after="160" w:line="259" w:lineRule="auto"/>
        <w:rPr>
          <w:b/>
          <w:spacing w:val="-2"/>
          <w:kern w:val="14"/>
          <w:sz w:val="28"/>
        </w:rPr>
      </w:pPr>
      <w:r w:rsidRPr="0097216C">
        <w:br w:type="page"/>
      </w:r>
    </w:p>
    <w:p w14:paraId="4D955F6B" w14:textId="171B4D56"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lastRenderedPageBreak/>
        <w:tab/>
        <w:t>XXIII.</w:t>
      </w:r>
      <w:r w:rsidRPr="00451405">
        <w:tab/>
        <w:t>Respuesta al párrafo 17 de la lista de cuestiones y preguntas</w:t>
      </w:r>
    </w:p>
    <w:p w14:paraId="767A652F" w14:textId="77777777" w:rsidR="00A84782" w:rsidRPr="0097216C" w:rsidRDefault="00A84782" w:rsidP="00A84782">
      <w:pPr>
        <w:pStyle w:val="SingleTxt"/>
        <w:spacing w:after="0" w:line="120" w:lineRule="exact"/>
        <w:rPr>
          <w:bCs/>
          <w:sz w:val="10"/>
        </w:rPr>
      </w:pPr>
    </w:p>
    <w:p w14:paraId="5088A9B2" w14:textId="77777777" w:rsidR="00A84782" w:rsidRPr="0097216C" w:rsidRDefault="00A84782" w:rsidP="00A84782">
      <w:pPr>
        <w:pStyle w:val="SingleTxt"/>
        <w:spacing w:after="0" w:line="120" w:lineRule="exact"/>
        <w:rPr>
          <w:bCs/>
          <w:sz w:val="10"/>
        </w:rPr>
      </w:pPr>
    </w:p>
    <w:p w14:paraId="0BF6169C" w14:textId="5C3DD401" w:rsidR="00A84782" w:rsidRPr="0097216C" w:rsidRDefault="00A84782" w:rsidP="00A567F2">
      <w:pPr>
        <w:pStyle w:val="SingleTxt"/>
        <w:numPr>
          <w:ilvl w:val="0"/>
          <w:numId w:val="22"/>
        </w:numPr>
        <w:ind w:left="1267"/>
      </w:pPr>
      <w:r w:rsidRPr="0097216C">
        <w:t xml:space="preserve">La tasa de empleo de las mujeres de </w:t>
      </w:r>
      <w:r w:rsidRPr="00451405">
        <w:t>25</w:t>
      </w:r>
      <w:r w:rsidRPr="0097216C">
        <w:t xml:space="preserve"> a </w:t>
      </w:r>
      <w:r w:rsidRPr="00451405">
        <w:t>64</w:t>
      </w:r>
      <w:r w:rsidRPr="0097216C">
        <w:t xml:space="preserve"> años no ha dejado de crecer en los dos últimos decenios y pasó del </w:t>
      </w:r>
      <w:r w:rsidRPr="00451405">
        <w:t>73</w:t>
      </w:r>
      <w:r w:rsidRPr="0097216C">
        <w:t>,</w:t>
      </w:r>
      <w:r w:rsidRPr="00451405">
        <w:t>3</w:t>
      </w:r>
      <w:r w:rsidRPr="0097216C">
        <w:t xml:space="preserve"> % en </w:t>
      </w:r>
      <w:r w:rsidRPr="00451405">
        <w:t>2019</w:t>
      </w:r>
      <w:r w:rsidRPr="0097216C">
        <w:t xml:space="preserve"> al </w:t>
      </w:r>
      <w:r w:rsidRPr="00451405">
        <w:t>76</w:t>
      </w:r>
      <w:r w:rsidRPr="0097216C">
        <w:t>,</w:t>
      </w:r>
      <w:r w:rsidRPr="00451405">
        <w:t>2</w:t>
      </w:r>
      <w:r w:rsidRPr="0097216C">
        <w:t xml:space="preserve"> % en </w:t>
      </w:r>
      <w:r w:rsidRPr="00451405">
        <w:t>2022</w:t>
      </w:r>
      <w:r w:rsidRPr="0097216C">
        <w:t xml:space="preserve"> a pesar de la pandemia.</w:t>
      </w:r>
    </w:p>
    <w:p w14:paraId="4F92425B" w14:textId="62C49E2B" w:rsidR="00A84782" w:rsidRPr="0097216C" w:rsidRDefault="00A84782" w:rsidP="00A567F2">
      <w:pPr>
        <w:pStyle w:val="SingleTxt"/>
        <w:numPr>
          <w:ilvl w:val="0"/>
          <w:numId w:val="22"/>
        </w:numPr>
        <w:ind w:left="1267"/>
      </w:pPr>
      <w:r w:rsidRPr="0097216C">
        <w:t xml:space="preserve">La diferencia salarial ajustada por género de Singapur, que compara los ingresos de hombres y mujeres con características similares, como sector, ocupación, edad y educación, mejoró del </w:t>
      </w:r>
      <w:r w:rsidRPr="00451405">
        <w:t>8</w:t>
      </w:r>
      <w:r w:rsidRPr="0097216C">
        <w:t>,</w:t>
      </w:r>
      <w:r w:rsidRPr="00451405">
        <w:t>8</w:t>
      </w:r>
      <w:r w:rsidRPr="0097216C">
        <w:t xml:space="preserve"> % en </w:t>
      </w:r>
      <w:r w:rsidRPr="00451405">
        <w:t>2002</w:t>
      </w:r>
      <w:r w:rsidRPr="0097216C">
        <w:t xml:space="preserve"> al </w:t>
      </w:r>
      <w:r w:rsidRPr="00451405">
        <w:t>4</w:t>
      </w:r>
      <w:r w:rsidRPr="0097216C">
        <w:t>,</w:t>
      </w:r>
      <w:r w:rsidRPr="00451405">
        <w:t>3</w:t>
      </w:r>
      <w:r w:rsidRPr="0097216C">
        <w:t xml:space="preserve"> % en </w:t>
      </w:r>
      <w:r w:rsidRPr="00451405">
        <w:t>2020</w:t>
      </w:r>
      <w:r w:rsidRPr="0097216C">
        <w:t>.</w:t>
      </w:r>
    </w:p>
    <w:p w14:paraId="135637C9" w14:textId="69AE04DE" w:rsidR="00A84782" w:rsidRPr="0097216C" w:rsidRDefault="00A84782" w:rsidP="00A567F2">
      <w:pPr>
        <w:pStyle w:val="SingleTxt"/>
        <w:numPr>
          <w:ilvl w:val="0"/>
          <w:numId w:val="22"/>
        </w:numPr>
        <w:ind w:left="1267"/>
      </w:pPr>
      <w:r w:rsidRPr="0097216C">
        <w:t>Los asociados tripartitos (es decir, el Ministerio de Trabajo, el Congreso Nacional de Sindicatos y la Federación Nacional de Empresarios de Singapur) han intensificado progresivamente sus esfuerzos para aumentar el número de mujeres en la población activa con un enfoque múltiple. Se trata de un área clave del Libro Blanco, que cuenta con planes de acción para que un número mayor de mujeres pueda participar más plenamente en el lugar de trabajo y para reforzar la equidad laboral, mediante iniciativas como las siguientes:</w:t>
      </w:r>
    </w:p>
    <w:p w14:paraId="31A52424" w14:textId="77777777" w:rsidR="00A84782" w:rsidRPr="0097216C" w:rsidRDefault="00A84782" w:rsidP="00A84782">
      <w:pPr>
        <w:pStyle w:val="SingleTxt"/>
      </w:pPr>
      <w:r w:rsidRPr="0097216C">
        <w:tab/>
        <w:t>a)</w:t>
      </w:r>
      <w:r w:rsidRPr="0097216C">
        <w:tab/>
        <w:t>Refuerzo de las oportunidades equitativas para las mujeres en el lugar de trabajo: Estamos adoptando una postura más firme contra las prácticas laborales desleales promulgando legislación sobre equidad en el lugar de trabajo, que reforzará la protección de los trabajadores, incluidas las mujeres, contra la discriminación laboral, y someterá a los empresarios discriminadores a medidas coercitivas:</w:t>
      </w:r>
    </w:p>
    <w:p w14:paraId="64B57BE8" w14:textId="2B0B95B2" w:rsidR="00A84782" w:rsidRPr="0097216C" w:rsidRDefault="00A84782" w:rsidP="00A567F2">
      <w:pPr>
        <w:pStyle w:val="SingleTxt"/>
        <w:ind w:left="1742" w:hanging="475"/>
      </w:pPr>
      <w:r w:rsidRPr="0097216C">
        <w:tab/>
        <w:t>i)</w:t>
      </w:r>
      <w:r w:rsidRPr="0097216C">
        <w:tab/>
        <w:t xml:space="preserve">El Comité Tripartito para la Equidad en el Lugar de Trabajo propone una legislación que obligue a los empresarios a disponer de procesos adecuados de tramitación de quejas, de modo que estén bien equipados para gestionar cualquier denuncia de discriminación o acoso en el lugar de trabajo. El Comité también está estudiando la protección de la confidencialidad de la identidad y la prohibición de represalias, con el objetivo de ofrecer más garantías a quienes sufren discriminación o acoso en el lugar de trabajo de que es seguro presentar sus quejas. El Comité está llevando a cabo amplias consultas con trabajadores, empresarios, la comunidad de recursos humanos y las organizaciones no gubernamentales, y se espera que concluya sus deliberaciones en </w:t>
      </w:r>
      <w:r w:rsidRPr="00451405">
        <w:t>2023</w:t>
      </w:r>
      <w:r w:rsidRPr="0097216C">
        <w:t>. Véase el anexo G para más detalles sobre cómo se vela por que las mujeres gocen de oportunidades justas en el lugar de trabajo;</w:t>
      </w:r>
    </w:p>
    <w:p w14:paraId="657C721D" w14:textId="77777777" w:rsidR="00A84782" w:rsidRPr="0097216C" w:rsidRDefault="00A84782" w:rsidP="00A84782">
      <w:pPr>
        <w:pStyle w:val="SingleTxt"/>
      </w:pPr>
      <w:r w:rsidRPr="0097216C">
        <w:tab/>
        <w:t>b)</w:t>
      </w:r>
      <w:r w:rsidRPr="0097216C">
        <w:tab/>
        <w:t>Fomento de las modalidades de trabajo flexibles:</w:t>
      </w:r>
    </w:p>
    <w:p w14:paraId="1E54B621" w14:textId="6C96489F" w:rsidR="00A84782" w:rsidRPr="0097216C" w:rsidRDefault="00A84782" w:rsidP="000631D0">
      <w:pPr>
        <w:pStyle w:val="SingleTxt"/>
        <w:ind w:left="1742" w:hanging="475"/>
      </w:pPr>
      <w:r w:rsidRPr="0097216C">
        <w:tab/>
        <w:t>i)</w:t>
      </w:r>
      <w:r w:rsidRPr="0097216C">
        <w:tab/>
        <w:t xml:space="preserve">Singapur introducirá en </w:t>
      </w:r>
      <w:r w:rsidRPr="00451405">
        <w:t>2024</w:t>
      </w:r>
      <w:r w:rsidRPr="0097216C">
        <w:t xml:space="preserve"> un nuevo conjunto de Directrices Tripartitas sobre las modalidades de trabajo flexibles, que exigirán a los empleadores considerar de manera justa y adecuada las solicitudes de modalidades de trabajo flexibles de los trabajadores. Estos mecanismos permitirán un reparto más equilibrado de las responsabilidades de cuidado entre mujeres y hombres;</w:t>
      </w:r>
    </w:p>
    <w:p w14:paraId="3841CBBA" w14:textId="5B2C60EF" w:rsidR="00A84782" w:rsidRPr="0097216C" w:rsidRDefault="00A84782" w:rsidP="000631D0">
      <w:pPr>
        <w:pStyle w:val="SingleTxt"/>
        <w:ind w:left="1742" w:hanging="475"/>
      </w:pPr>
      <w:r w:rsidRPr="0097216C">
        <w:tab/>
        <w:t>ii)</w:t>
      </w:r>
      <w:r w:rsidRPr="0097216C">
        <w:tab/>
        <w:t xml:space="preserve">La proporción de empleados que trabajaban en establecimientos que ofrecían al menos una modalidad de trabajo flexible de forma regular y sostenida aumentó del </w:t>
      </w:r>
      <w:r w:rsidRPr="00451405">
        <w:t>65</w:t>
      </w:r>
      <w:r w:rsidRPr="0097216C">
        <w:t xml:space="preserve"> % en </w:t>
      </w:r>
      <w:r w:rsidRPr="00451405">
        <w:t>2015</w:t>
      </w:r>
      <w:r w:rsidRPr="0097216C">
        <w:t xml:space="preserve"> al </w:t>
      </w:r>
      <w:r w:rsidRPr="00451405">
        <w:t>86</w:t>
      </w:r>
      <w:r w:rsidRPr="0097216C">
        <w:t xml:space="preserve"> % en </w:t>
      </w:r>
      <w:r w:rsidRPr="00451405">
        <w:t>2020</w:t>
      </w:r>
      <w:r w:rsidRPr="0097216C">
        <w:t>. Entre los empleados de</w:t>
      </w:r>
      <w:r w:rsidR="00463F65" w:rsidRPr="0097216C">
        <w:t> </w:t>
      </w:r>
      <w:r w:rsidRPr="00451405">
        <w:t>25</w:t>
      </w:r>
      <w:r w:rsidRPr="0097216C">
        <w:t xml:space="preserve"> a </w:t>
      </w:r>
      <w:r w:rsidRPr="00451405">
        <w:t>64</w:t>
      </w:r>
      <w:r w:rsidRPr="0097216C">
        <w:t xml:space="preserve"> años que necesitaban una modalidad de ese tipo, </w:t>
      </w:r>
      <w:r w:rsidRPr="00451405">
        <w:t>9</w:t>
      </w:r>
      <w:r w:rsidRPr="0097216C">
        <w:t xml:space="preserve"> de cada </w:t>
      </w:r>
      <w:r w:rsidRPr="00451405">
        <w:t>10</w:t>
      </w:r>
      <w:r w:rsidRPr="0097216C">
        <w:t xml:space="preserve"> tuvieron acceso a la modalidad que necesitaban en </w:t>
      </w:r>
      <w:r w:rsidRPr="00451405">
        <w:t>2020</w:t>
      </w:r>
      <w:r w:rsidRPr="0097216C">
        <w:t xml:space="preserve">, frente a </w:t>
      </w:r>
      <w:r w:rsidRPr="00451405">
        <w:t>6</w:t>
      </w:r>
      <w:r w:rsidRPr="0097216C">
        <w:t xml:space="preserve"> de cada </w:t>
      </w:r>
      <w:r w:rsidRPr="00451405">
        <w:t>10</w:t>
      </w:r>
      <w:r w:rsidRPr="0097216C">
        <w:t xml:space="preserve"> en </w:t>
      </w:r>
      <w:r w:rsidRPr="00451405">
        <w:t>2014</w:t>
      </w:r>
      <w:r w:rsidRPr="0097216C">
        <w:t>;</w:t>
      </w:r>
    </w:p>
    <w:p w14:paraId="33EB9399" w14:textId="77777777" w:rsidR="00A84782" w:rsidRPr="0097216C" w:rsidRDefault="00A84782" w:rsidP="00A84782">
      <w:pPr>
        <w:pStyle w:val="SingleTxt"/>
      </w:pPr>
      <w:r w:rsidRPr="0097216C">
        <w:tab/>
        <w:t>c)</w:t>
      </w:r>
      <w:r w:rsidRPr="0097216C">
        <w:tab/>
        <w:t>Apoyo a las mujeres que vuelven al trabajo mediante oportunidades de tutoría, creación de redes y capacitación para ayudar a más mujeres a reincorporarse al mercado laboral:</w:t>
      </w:r>
    </w:p>
    <w:p w14:paraId="233AB5E0" w14:textId="169C4832" w:rsidR="00A84782" w:rsidRPr="0097216C" w:rsidRDefault="00A84782" w:rsidP="000631D0">
      <w:pPr>
        <w:pStyle w:val="SingleTxt"/>
        <w:ind w:left="1742" w:hanging="475"/>
      </w:pPr>
      <w:r w:rsidRPr="0097216C">
        <w:tab/>
        <w:t>i)</w:t>
      </w:r>
      <w:r w:rsidRPr="0097216C">
        <w:tab/>
        <w:t xml:space="preserve">Los amplios programas y servicios de facilitación del empleo de la agencia pública Workforce Singapore, así como los programas de capacitación de la agencia SkillsFuture Singapore, prestan apoyo a todos los demandantes de empleo, incluidas las mujeres que desean reincorporarse a la vida laboral tras </w:t>
      </w:r>
      <w:r w:rsidRPr="0097216C">
        <w:lastRenderedPageBreak/>
        <w:t xml:space="preserve">un período de ausencia, en función de sus necesidades específicas. Entre </w:t>
      </w:r>
      <w:r w:rsidRPr="00451405">
        <w:t>2019</w:t>
      </w:r>
      <w:r w:rsidRPr="0097216C">
        <w:t xml:space="preserve"> y </w:t>
      </w:r>
      <w:r w:rsidRPr="00451405">
        <w:t>2021</w:t>
      </w:r>
      <w:r w:rsidRPr="0097216C">
        <w:t xml:space="preserve">, Workforce Singapore colocó colectivamente a más de </w:t>
      </w:r>
      <w:r w:rsidRPr="00451405">
        <w:t>68</w:t>
      </w:r>
      <w:r w:rsidRPr="0097216C">
        <w:t>.</w:t>
      </w:r>
      <w:r w:rsidRPr="00451405">
        <w:t>000</w:t>
      </w:r>
      <w:r w:rsidRPr="0097216C">
        <w:t xml:space="preserve"> mujeres a través de sus programas y servicios (consúltese el anexo H para ver ejemplos de iniciativas de apoyo a la reinserción laboral de las mujeres);</w:t>
      </w:r>
    </w:p>
    <w:p w14:paraId="6590C512" w14:textId="77777777" w:rsidR="00A84782" w:rsidRPr="0097216C" w:rsidRDefault="00A84782" w:rsidP="00A84782">
      <w:pPr>
        <w:pStyle w:val="SingleTxt"/>
      </w:pPr>
      <w:r w:rsidRPr="0097216C">
        <w:tab/>
        <w:t>d)</w:t>
      </w:r>
      <w:r w:rsidRPr="0097216C">
        <w:tab/>
        <w:t xml:space="preserve">El Gobierno se ha comprometido a mejorar el acceso a centros preescolares asequibles y de calidad para construir un Singapur hecho para las familias, de modo que los cuidadores, en particular las mujeres, puedan trabajar con tranquilidad. En los últimos diez años hemos duplicado con creces el número de plazas de preescolar de jornada completa, hasta superar las </w:t>
      </w:r>
      <w:r w:rsidRPr="00451405">
        <w:t>200</w:t>
      </w:r>
      <w:r w:rsidRPr="0097216C">
        <w:t>.</w:t>
      </w:r>
      <w:r w:rsidRPr="00451405">
        <w:t>000</w:t>
      </w:r>
      <w:r w:rsidRPr="0097216C">
        <w:t xml:space="preserve"> en la actualidad, suficientes para acoger a todos los niños residentes mayores de tres años. Aproximadamente el </w:t>
      </w:r>
      <w:r w:rsidRPr="00451405">
        <w:t>90</w:t>
      </w:r>
      <w:r w:rsidRPr="0097216C">
        <w:t xml:space="preserve"> % de los niños singapurenses de entre </w:t>
      </w:r>
      <w:r w:rsidRPr="00451405">
        <w:t>3</w:t>
      </w:r>
      <w:r w:rsidRPr="0097216C">
        <w:t xml:space="preserve"> y </w:t>
      </w:r>
      <w:r w:rsidRPr="00451405">
        <w:t>6</w:t>
      </w:r>
      <w:r w:rsidRPr="0097216C">
        <w:t xml:space="preserve"> años están matriculados en centros de enseñanza preescolar.</w:t>
      </w:r>
    </w:p>
    <w:p w14:paraId="5D92F6A5" w14:textId="58E1147A" w:rsidR="00A84782" w:rsidRPr="0097216C" w:rsidRDefault="00A84782" w:rsidP="000631D0">
      <w:pPr>
        <w:pStyle w:val="SingleTxt"/>
        <w:numPr>
          <w:ilvl w:val="0"/>
          <w:numId w:val="22"/>
        </w:numPr>
        <w:ind w:left="1267"/>
      </w:pPr>
      <w:r w:rsidRPr="0097216C">
        <w:t xml:space="preserve">Como se indica en los párrafos </w:t>
      </w:r>
      <w:r w:rsidRPr="00451405">
        <w:t>189</w:t>
      </w:r>
      <w:r w:rsidRPr="0097216C">
        <w:t xml:space="preserve"> y </w:t>
      </w:r>
      <w:r w:rsidRPr="00451405">
        <w:t>190</w:t>
      </w:r>
      <w:r w:rsidRPr="0097216C">
        <w:t xml:space="preserve"> del Informe Periódico, el </w:t>
      </w:r>
      <w:r w:rsidRPr="00451405">
        <w:t>1</w:t>
      </w:r>
      <w:r w:rsidRPr="0097216C">
        <w:t xml:space="preserve"> de junio de </w:t>
      </w:r>
      <w:r w:rsidRPr="00451405">
        <w:t>2021</w:t>
      </w:r>
      <w:r w:rsidRPr="0097216C">
        <w:t xml:space="preserve"> entraron en vigor las modificaciones de la Ley de Protección contra el Acoso para facilitar a las víctimas la obtención de órdenes de protección y órdenes de protección acelerada.</w:t>
      </w:r>
    </w:p>
    <w:p w14:paraId="0FE33D77" w14:textId="6C475E51" w:rsidR="00A84782" w:rsidRPr="0097216C" w:rsidRDefault="00A84782" w:rsidP="000631D0">
      <w:pPr>
        <w:pStyle w:val="SingleTxt"/>
        <w:numPr>
          <w:ilvl w:val="0"/>
          <w:numId w:val="22"/>
        </w:numPr>
        <w:ind w:left="1267"/>
      </w:pPr>
      <w:r w:rsidRPr="0097216C">
        <w:t xml:space="preserve">Entre el </w:t>
      </w:r>
      <w:r w:rsidRPr="00451405">
        <w:t>1</w:t>
      </w:r>
      <w:r w:rsidRPr="0097216C">
        <w:t xml:space="preserve"> de junio de </w:t>
      </w:r>
      <w:r w:rsidRPr="00451405">
        <w:t>2021</w:t>
      </w:r>
      <w:r w:rsidRPr="0097216C">
        <w:t xml:space="preserve"> y el </w:t>
      </w:r>
      <w:r w:rsidRPr="00451405">
        <w:t>31</w:t>
      </w:r>
      <w:r w:rsidRPr="0097216C">
        <w:t xml:space="preserve"> de diciembre de </w:t>
      </w:r>
      <w:r w:rsidRPr="00451405">
        <w:t>2021</w:t>
      </w:r>
      <w:r w:rsidRPr="0097216C">
        <w:t xml:space="preserve">, los juzgados especializados en protección contra el acoso recibieron </w:t>
      </w:r>
      <w:r w:rsidRPr="00451405">
        <w:t>346</w:t>
      </w:r>
      <w:r w:rsidRPr="0097216C">
        <w:t xml:space="preserve"> solicitudes de órdenes de protección. En </w:t>
      </w:r>
      <w:r w:rsidRPr="00451405">
        <w:t>2021</w:t>
      </w:r>
      <w:r w:rsidRPr="0097216C">
        <w:t xml:space="preserve"> se presentaron un total de </w:t>
      </w:r>
      <w:r w:rsidRPr="00451405">
        <w:t>404</w:t>
      </w:r>
      <w:r w:rsidRPr="0097216C">
        <w:t xml:space="preserve"> solicitudes de órdenes de protección. En cambio, de </w:t>
      </w:r>
      <w:r w:rsidRPr="00451405">
        <w:t>2018</w:t>
      </w:r>
      <w:r w:rsidRPr="0097216C">
        <w:t xml:space="preserve"> a </w:t>
      </w:r>
      <w:r w:rsidRPr="00451405">
        <w:t>2020</w:t>
      </w:r>
      <w:r w:rsidRPr="0097216C">
        <w:t xml:space="preserve"> se presentaron </w:t>
      </w:r>
      <w:r w:rsidRPr="00451405">
        <w:t>149</w:t>
      </w:r>
      <w:r w:rsidRPr="0097216C">
        <w:t xml:space="preserve">, </w:t>
      </w:r>
      <w:r w:rsidRPr="00451405">
        <w:t>171</w:t>
      </w:r>
      <w:r w:rsidRPr="0097216C">
        <w:t xml:space="preserve"> y </w:t>
      </w:r>
      <w:r w:rsidRPr="00451405">
        <w:t>148</w:t>
      </w:r>
      <w:r w:rsidRPr="0097216C">
        <w:t xml:space="preserve"> solicitudes de órdenes de protección cada año, respectivamente. Las organizaciones de asistencia social y los abogados entrevistados por The Straits Times en un artículo titulado “Record number of protection orders against harassment filed and granted in </w:t>
      </w:r>
      <w:r w:rsidRPr="00451405">
        <w:t>2021</w:t>
      </w:r>
      <w:r w:rsidRPr="0097216C">
        <w:t xml:space="preserve">” (Número récord de órdenes de protección contra el acoso presentadas y concedidas en </w:t>
      </w:r>
      <w:r w:rsidRPr="00451405">
        <w:t>2021</w:t>
      </w:r>
      <w:r w:rsidRPr="0097216C">
        <w:t xml:space="preserve">), de fecha </w:t>
      </w:r>
      <w:r w:rsidRPr="00451405">
        <w:t>30</w:t>
      </w:r>
      <w:r w:rsidRPr="0097216C">
        <w:t xml:space="preserve"> de octubre de </w:t>
      </w:r>
      <w:r w:rsidRPr="00451405">
        <w:t>2022</w:t>
      </w:r>
      <w:r w:rsidRPr="0097216C">
        <w:t>, atribuyeron el aumento de las solicitudes a un mayor conocimiento de la Ley de Protección contra el Acoso en los últimos años, así como a la facilidad con la que pueden presentarse las solicitudes en virtud de esa ley gracias a los procesos en línea, la reducción de los costos y la agilización de las vistas.</w:t>
      </w:r>
    </w:p>
    <w:p w14:paraId="40C8DD0F" w14:textId="24CDBB56" w:rsidR="00A84782" w:rsidRPr="0097216C" w:rsidRDefault="00A84782" w:rsidP="000631D0">
      <w:pPr>
        <w:pStyle w:val="SingleTxt"/>
        <w:numPr>
          <w:ilvl w:val="0"/>
          <w:numId w:val="22"/>
        </w:numPr>
        <w:ind w:left="1267"/>
      </w:pPr>
      <w:r w:rsidRPr="0097216C">
        <w:t xml:space="preserve">A </w:t>
      </w:r>
      <w:proofErr w:type="gramStart"/>
      <w:r w:rsidRPr="0097216C">
        <w:t>continuación</w:t>
      </w:r>
      <w:proofErr w:type="gramEnd"/>
      <w:r w:rsidRPr="0097216C">
        <w:t xml:space="preserve"> se proporcionan las estadísticas sobre el desglose de los casos de acoso (incluidos los casos de acoso sexual) presentados ante los juzgados especializados en protección contra el acoso desde su puesta en funcionamiento, el </w:t>
      </w:r>
      <w:r w:rsidRPr="00451405">
        <w:t>1</w:t>
      </w:r>
      <w:r w:rsidRPr="0097216C">
        <w:t xml:space="preserve"> de junio de </w:t>
      </w:r>
      <w:r w:rsidRPr="00451405">
        <w:t>2021</w:t>
      </w:r>
      <w:r w:rsidRPr="0097216C">
        <w:t xml:space="preserve">, hasta el </w:t>
      </w:r>
      <w:r w:rsidRPr="00451405">
        <w:t>30</w:t>
      </w:r>
      <w:r w:rsidRPr="0097216C">
        <w:t xml:space="preserve"> de junio de </w:t>
      </w:r>
      <w:r w:rsidRPr="00451405">
        <w:t>2022</w:t>
      </w:r>
      <w:r w:rsidRPr="0097216C">
        <w:t xml:space="preserve"> (véase el anexo I para más detalles):</w:t>
      </w:r>
    </w:p>
    <w:p w14:paraId="74D56CC6" w14:textId="77777777" w:rsidR="00A84782" w:rsidRPr="0097216C" w:rsidRDefault="00A84782" w:rsidP="000631D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286"/>
        <w:gridCol w:w="1517"/>
        <w:gridCol w:w="1517"/>
      </w:tblGrid>
      <w:tr w:rsidR="000631D0" w:rsidRPr="0097216C" w14:paraId="58EDDF8E" w14:textId="77777777" w:rsidTr="000631D0">
        <w:trPr>
          <w:tblHeader/>
        </w:trPr>
        <w:tc>
          <w:tcPr>
            <w:tcW w:w="4286" w:type="dxa"/>
            <w:tcBorders>
              <w:top w:val="single" w:sz="4" w:space="0" w:color="auto"/>
              <w:bottom w:val="single" w:sz="12" w:space="0" w:color="auto"/>
            </w:tcBorders>
            <w:shd w:val="clear" w:color="auto" w:fill="auto"/>
            <w:vAlign w:val="bottom"/>
          </w:tcPr>
          <w:p w14:paraId="45D560A2" w14:textId="696E806D" w:rsidR="000631D0" w:rsidRPr="0097216C" w:rsidRDefault="000631D0" w:rsidP="000631D0">
            <w:pPr>
              <w:tabs>
                <w:tab w:val="left" w:pos="288"/>
                <w:tab w:val="left" w:pos="576"/>
                <w:tab w:val="left" w:pos="864"/>
                <w:tab w:val="left" w:pos="1152"/>
              </w:tabs>
              <w:spacing w:before="81" w:after="81" w:line="160" w:lineRule="exact"/>
              <w:ind w:right="40"/>
              <w:rPr>
                <w:i/>
                <w:kern w:val="14"/>
                <w:sz w:val="14"/>
                <w:szCs w:val="14"/>
              </w:rPr>
            </w:pPr>
            <w:r w:rsidRPr="00451405">
              <w:rPr>
                <w:i/>
                <w:kern w:val="14"/>
                <w:sz w:val="14"/>
                <w:szCs w:val="14"/>
              </w:rPr>
              <w:t>Desglose de los casos de acoso presentados ante el Tribunal de Protección contra el Acoso</w:t>
            </w:r>
          </w:p>
        </w:tc>
        <w:tc>
          <w:tcPr>
            <w:tcW w:w="1517" w:type="dxa"/>
            <w:tcBorders>
              <w:top w:val="single" w:sz="4" w:space="0" w:color="auto"/>
              <w:bottom w:val="single" w:sz="12" w:space="0" w:color="auto"/>
            </w:tcBorders>
            <w:shd w:val="clear" w:color="auto" w:fill="auto"/>
            <w:vAlign w:val="bottom"/>
          </w:tcPr>
          <w:p w14:paraId="25E910A7" w14:textId="2A7A993E" w:rsidR="000631D0" w:rsidRPr="00451405" w:rsidRDefault="000631D0" w:rsidP="000631D0">
            <w:pPr>
              <w:tabs>
                <w:tab w:val="left" w:pos="288"/>
                <w:tab w:val="left" w:pos="576"/>
                <w:tab w:val="left" w:pos="864"/>
                <w:tab w:val="left" w:pos="1152"/>
              </w:tabs>
              <w:spacing w:before="81" w:after="81" w:line="160" w:lineRule="exact"/>
              <w:ind w:left="144" w:right="40"/>
              <w:jc w:val="right"/>
              <w:rPr>
                <w:i/>
                <w:kern w:val="14"/>
                <w:sz w:val="14"/>
                <w:szCs w:val="14"/>
              </w:rPr>
            </w:pPr>
            <w:r w:rsidRPr="00451405">
              <w:rPr>
                <w:i/>
                <w:kern w:val="14"/>
                <w:sz w:val="14"/>
                <w:szCs w:val="14"/>
              </w:rPr>
              <w:t>1 de junio a 31 de diciembre de 2021</w:t>
            </w:r>
          </w:p>
        </w:tc>
        <w:tc>
          <w:tcPr>
            <w:tcW w:w="1517" w:type="dxa"/>
            <w:tcBorders>
              <w:top w:val="single" w:sz="4" w:space="0" w:color="auto"/>
              <w:bottom w:val="single" w:sz="12" w:space="0" w:color="auto"/>
            </w:tcBorders>
            <w:shd w:val="clear" w:color="auto" w:fill="auto"/>
            <w:vAlign w:val="bottom"/>
          </w:tcPr>
          <w:p w14:paraId="79309C6C" w14:textId="3DF76A81" w:rsidR="000631D0" w:rsidRPr="00451405" w:rsidRDefault="000631D0" w:rsidP="000631D0">
            <w:pPr>
              <w:tabs>
                <w:tab w:val="left" w:pos="288"/>
                <w:tab w:val="left" w:pos="576"/>
                <w:tab w:val="left" w:pos="864"/>
                <w:tab w:val="left" w:pos="1152"/>
              </w:tabs>
              <w:spacing w:before="81" w:after="81" w:line="160" w:lineRule="exact"/>
              <w:ind w:left="144" w:right="40"/>
              <w:jc w:val="right"/>
              <w:rPr>
                <w:i/>
                <w:kern w:val="14"/>
                <w:sz w:val="14"/>
                <w:szCs w:val="14"/>
              </w:rPr>
            </w:pPr>
            <w:r w:rsidRPr="00451405">
              <w:rPr>
                <w:i/>
                <w:kern w:val="14"/>
                <w:sz w:val="14"/>
                <w:szCs w:val="14"/>
              </w:rPr>
              <w:t>1 de enero a 30 de junio de 2022</w:t>
            </w:r>
          </w:p>
        </w:tc>
      </w:tr>
      <w:tr w:rsidR="000631D0" w:rsidRPr="0097216C" w14:paraId="06F56AD7" w14:textId="77777777" w:rsidTr="000631D0">
        <w:trPr>
          <w:trHeight w:hRule="exact" w:val="115"/>
          <w:tblHeader/>
        </w:trPr>
        <w:tc>
          <w:tcPr>
            <w:tcW w:w="4286" w:type="dxa"/>
            <w:tcBorders>
              <w:top w:val="single" w:sz="12" w:space="0" w:color="auto"/>
            </w:tcBorders>
            <w:shd w:val="clear" w:color="auto" w:fill="auto"/>
            <w:vAlign w:val="bottom"/>
          </w:tcPr>
          <w:p w14:paraId="38A64266" w14:textId="77777777" w:rsidR="000631D0" w:rsidRPr="0097216C" w:rsidRDefault="000631D0" w:rsidP="003A6D0D">
            <w:pPr>
              <w:tabs>
                <w:tab w:val="left" w:pos="288"/>
                <w:tab w:val="left" w:pos="576"/>
                <w:tab w:val="left" w:pos="864"/>
                <w:tab w:val="left" w:pos="1152"/>
              </w:tabs>
              <w:spacing w:before="40" w:after="40" w:line="210" w:lineRule="exact"/>
              <w:ind w:right="40"/>
              <w:rPr>
                <w:sz w:val="17"/>
              </w:rPr>
            </w:pPr>
          </w:p>
        </w:tc>
        <w:tc>
          <w:tcPr>
            <w:tcW w:w="1517" w:type="dxa"/>
            <w:tcBorders>
              <w:top w:val="single" w:sz="12" w:space="0" w:color="auto"/>
            </w:tcBorders>
            <w:shd w:val="clear" w:color="auto" w:fill="auto"/>
            <w:vAlign w:val="bottom"/>
          </w:tcPr>
          <w:p w14:paraId="5D4E078A" w14:textId="77777777" w:rsidR="000631D0" w:rsidRPr="0097216C" w:rsidRDefault="000631D0" w:rsidP="003A6D0D">
            <w:pPr>
              <w:tabs>
                <w:tab w:val="left" w:pos="288"/>
                <w:tab w:val="left" w:pos="576"/>
                <w:tab w:val="left" w:pos="864"/>
                <w:tab w:val="left" w:pos="1152"/>
              </w:tabs>
              <w:spacing w:before="40" w:after="40" w:line="210" w:lineRule="exact"/>
              <w:ind w:left="144" w:right="40"/>
              <w:jc w:val="right"/>
              <w:rPr>
                <w:sz w:val="17"/>
              </w:rPr>
            </w:pPr>
          </w:p>
        </w:tc>
        <w:tc>
          <w:tcPr>
            <w:tcW w:w="1517" w:type="dxa"/>
            <w:tcBorders>
              <w:top w:val="single" w:sz="12" w:space="0" w:color="auto"/>
            </w:tcBorders>
            <w:shd w:val="clear" w:color="auto" w:fill="auto"/>
            <w:vAlign w:val="bottom"/>
          </w:tcPr>
          <w:p w14:paraId="158413B9" w14:textId="77777777" w:rsidR="000631D0" w:rsidRPr="0097216C" w:rsidRDefault="000631D0" w:rsidP="003A6D0D">
            <w:pPr>
              <w:tabs>
                <w:tab w:val="left" w:pos="288"/>
                <w:tab w:val="left" w:pos="576"/>
                <w:tab w:val="left" w:pos="864"/>
                <w:tab w:val="left" w:pos="1152"/>
              </w:tabs>
              <w:spacing w:before="40" w:after="40" w:line="210" w:lineRule="exact"/>
              <w:ind w:left="144" w:right="40"/>
              <w:jc w:val="right"/>
              <w:rPr>
                <w:sz w:val="17"/>
              </w:rPr>
            </w:pPr>
          </w:p>
        </w:tc>
      </w:tr>
      <w:tr w:rsidR="000631D0" w:rsidRPr="0097216C" w14:paraId="38CCFE97" w14:textId="77777777" w:rsidTr="000631D0">
        <w:tc>
          <w:tcPr>
            <w:tcW w:w="4286" w:type="dxa"/>
            <w:shd w:val="clear" w:color="auto" w:fill="auto"/>
          </w:tcPr>
          <w:p w14:paraId="10106A4A" w14:textId="553810B0" w:rsidR="000631D0" w:rsidRPr="00451405" w:rsidRDefault="000631D0" w:rsidP="000631D0">
            <w:pPr>
              <w:tabs>
                <w:tab w:val="left" w:pos="288"/>
                <w:tab w:val="left" w:pos="576"/>
                <w:tab w:val="left" w:pos="864"/>
                <w:tab w:val="left" w:pos="1152"/>
              </w:tabs>
              <w:spacing w:before="40" w:after="40" w:line="210" w:lineRule="exact"/>
              <w:ind w:right="40"/>
              <w:rPr>
                <w:bCs/>
                <w:kern w:val="14"/>
                <w:sz w:val="17"/>
                <w:szCs w:val="17"/>
              </w:rPr>
            </w:pPr>
            <w:r w:rsidRPr="00451405">
              <w:rPr>
                <w:bCs/>
                <w:kern w:val="14"/>
                <w:sz w:val="17"/>
                <w:szCs w:val="17"/>
              </w:rPr>
              <w:t>Acoso sexual</w:t>
            </w:r>
          </w:p>
        </w:tc>
        <w:tc>
          <w:tcPr>
            <w:tcW w:w="1517" w:type="dxa"/>
            <w:shd w:val="clear" w:color="auto" w:fill="auto"/>
            <w:vAlign w:val="bottom"/>
          </w:tcPr>
          <w:p w14:paraId="60CA447D" w14:textId="07F14641" w:rsidR="000631D0" w:rsidRPr="00451405" w:rsidRDefault="000631D0" w:rsidP="000631D0">
            <w:pPr>
              <w:tabs>
                <w:tab w:val="left" w:pos="288"/>
                <w:tab w:val="left" w:pos="576"/>
                <w:tab w:val="left" w:pos="864"/>
                <w:tab w:val="left" w:pos="1152"/>
              </w:tabs>
              <w:spacing w:before="40" w:after="40" w:line="210" w:lineRule="exact"/>
              <w:ind w:left="144" w:right="40"/>
              <w:jc w:val="right"/>
              <w:rPr>
                <w:bCs/>
                <w:kern w:val="14"/>
                <w:sz w:val="17"/>
                <w:szCs w:val="17"/>
              </w:rPr>
            </w:pPr>
            <w:r w:rsidRPr="00451405">
              <w:rPr>
                <w:bCs/>
                <w:kern w:val="14"/>
                <w:sz w:val="17"/>
                <w:szCs w:val="17"/>
              </w:rPr>
              <w:t>34</w:t>
            </w:r>
          </w:p>
        </w:tc>
        <w:tc>
          <w:tcPr>
            <w:tcW w:w="1517" w:type="dxa"/>
            <w:shd w:val="clear" w:color="auto" w:fill="auto"/>
            <w:vAlign w:val="bottom"/>
          </w:tcPr>
          <w:p w14:paraId="4AB264AC" w14:textId="5C9178BE" w:rsidR="000631D0" w:rsidRPr="00451405" w:rsidRDefault="000631D0" w:rsidP="000631D0">
            <w:pPr>
              <w:tabs>
                <w:tab w:val="left" w:pos="288"/>
                <w:tab w:val="left" w:pos="576"/>
                <w:tab w:val="left" w:pos="864"/>
                <w:tab w:val="left" w:pos="1152"/>
              </w:tabs>
              <w:spacing w:before="40" w:after="40" w:line="210" w:lineRule="exact"/>
              <w:ind w:left="144" w:right="40"/>
              <w:jc w:val="right"/>
              <w:rPr>
                <w:bCs/>
                <w:kern w:val="14"/>
                <w:sz w:val="17"/>
                <w:szCs w:val="17"/>
              </w:rPr>
            </w:pPr>
            <w:r w:rsidRPr="00451405">
              <w:rPr>
                <w:bCs/>
                <w:kern w:val="14"/>
                <w:sz w:val="17"/>
                <w:szCs w:val="17"/>
              </w:rPr>
              <w:t>33</w:t>
            </w:r>
          </w:p>
        </w:tc>
      </w:tr>
      <w:tr w:rsidR="000631D0" w:rsidRPr="0097216C" w14:paraId="7DE86D02" w14:textId="77777777" w:rsidTr="000631D0">
        <w:tc>
          <w:tcPr>
            <w:tcW w:w="4286" w:type="dxa"/>
            <w:shd w:val="clear" w:color="auto" w:fill="auto"/>
          </w:tcPr>
          <w:p w14:paraId="2B4FB41C" w14:textId="3B39A345" w:rsidR="000631D0" w:rsidRPr="00451405" w:rsidRDefault="000631D0" w:rsidP="000631D0">
            <w:pPr>
              <w:tabs>
                <w:tab w:val="left" w:pos="288"/>
                <w:tab w:val="left" w:pos="576"/>
                <w:tab w:val="left" w:pos="864"/>
                <w:tab w:val="left" w:pos="1152"/>
              </w:tabs>
              <w:spacing w:before="40" w:after="40" w:line="210" w:lineRule="exact"/>
              <w:ind w:right="40"/>
              <w:rPr>
                <w:bCs/>
                <w:kern w:val="14"/>
                <w:sz w:val="17"/>
                <w:szCs w:val="17"/>
              </w:rPr>
            </w:pPr>
            <w:r w:rsidRPr="00451405">
              <w:rPr>
                <w:bCs/>
                <w:kern w:val="14"/>
                <w:sz w:val="17"/>
                <w:szCs w:val="17"/>
              </w:rPr>
              <w:t>Acoso en el lugar de trabajo</w:t>
            </w:r>
          </w:p>
        </w:tc>
        <w:tc>
          <w:tcPr>
            <w:tcW w:w="1517" w:type="dxa"/>
            <w:shd w:val="clear" w:color="auto" w:fill="auto"/>
            <w:vAlign w:val="bottom"/>
          </w:tcPr>
          <w:p w14:paraId="2BBD5410" w14:textId="0F87931E" w:rsidR="000631D0" w:rsidRPr="00451405" w:rsidRDefault="000631D0" w:rsidP="000631D0">
            <w:pPr>
              <w:tabs>
                <w:tab w:val="left" w:pos="288"/>
                <w:tab w:val="left" w:pos="576"/>
                <w:tab w:val="left" w:pos="864"/>
                <w:tab w:val="left" w:pos="1152"/>
              </w:tabs>
              <w:spacing w:before="40" w:after="40" w:line="210" w:lineRule="exact"/>
              <w:ind w:left="144" w:right="40"/>
              <w:jc w:val="right"/>
              <w:rPr>
                <w:bCs/>
                <w:kern w:val="14"/>
                <w:sz w:val="17"/>
                <w:szCs w:val="17"/>
              </w:rPr>
            </w:pPr>
            <w:r w:rsidRPr="00451405">
              <w:rPr>
                <w:bCs/>
                <w:kern w:val="14"/>
                <w:sz w:val="17"/>
                <w:szCs w:val="17"/>
              </w:rPr>
              <w:t>78</w:t>
            </w:r>
          </w:p>
        </w:tc>
        <w:tc>
          <w:tcPr>
            <w:tcW w:w="1517" w:type="dxa"/>
            <w:shd w:val="clear" w:color="auto" w:fill="auto"/>
            <w:vAlign w:val="bottom"/>
          </w:tcPr>
          <w:p w14:paraId="194EC501" w14:textId="769708D3" w:rsidR="000631D0" w:rsidRPr="00451405" w:rsidRDefault="000631D0" w:rsidP="000631D0">
            <w:pPr>
              <w:tabs>
                <w:tab w:val="left" w:pos="288"/>
                <w:tab w:val="left" w:pos="576"/>
                <w:tab w:val="left" w:pos="864"/>
                <w:tab w:val="left" w:pos="1152"/>
              </w:tabs>
              <w:spacing w:before="40" w:after="40" w:line="210" w:lineRule="exact"/>
              <w:ind w:left="144" w:right="40"/>
              <w:jc w:val="right"/>
              <w:rPr>
                <w:bCs/>
                <w:kern w:val="14"/>
                <w:sz w:val="17"/>
                <w:szCs w:val="17"/>
              </w:rPr>
            </w:pPr>
            <w:r w:rsidRPr="00451405">
              <w:rPr>
                <w:bCs/>
                <w:kern w:val="14"/>
                <w:sz w:val="17"/>
                <w:szCs w:val="17"/>
              </w:rPr>
              <w:t>62</w:t>
            </w:r>
          </w:p>
        </w:tc>
      </w:tr>
      <w:tr w:rsidR="000631D0" w:rsidRPr="0097216C" w14:paraId="0AEED8D2" w14:textId="77777777" w:rsidTr="000631D0">
        <w:tc>
          <w:tcPr>
            <w:tcW w:w="4286" w:type="dxa"/>
            <w:shd w:val="clear" w:color="auto" w:fill="auto"/>
          </w:tcPr>
          <w:p w14:paraId="58AAE807" w14:textId="2E3D7DED" w:rsidR="000631D0" w:rsidRPr="00451405" w:rsidRDefault="000631D0" w:rsidP="000631D0">
            <w:pPr>
              <w:tabs>
                <w:tab w:val="left" w:pos="288"/>
                <w:tab w:val="left" w:pos="576"/>
                <w:tab w:val="left" w:pos="864"/>
                <w:tab w:val="left" w:pos="1152"/>
              </w:tabs>
              <w:spacing w:before="40" w:after="40" w:line="210" w:lineRule="exact"/>
              <w:ind w:right="40"/>
              <w:rPr>
                <w:bCs/>
                <w:kern w:val="14"/>
                <w:sz w:val="17"/>
                <w:szCs w:val="17"/>
              </w:rPr>
            </w:pPr>
            <w:r w:rsidRPr="00451405">
              <w:rPr>
                <w:bCs/>
                <w:kern w:val="14"/>
                <w:sz w:val="17"/>
                <w:szCs w:val="17"/>
              </w:rPr>
              <w:t>Ciberacoso</w:t>
            </w:r>
          </w:p>
        </w:tc>
        <w:tc>
          <w:tcPr>
            <w:tcW w:w="1517" w:type="dxa"/>
            <w:shd w:val="clear" w:color="auto" w:fill="auto"/>
            <w:vAlign w:val="bottom"/>
          </w:tcPr>
          <w:p w14:paraId="2F942997" w14:textId="1ED065FE" w:rsidR="000631D0" w:rsidRPr="00451405" w:rsidRDefault="000631D0" w:rsidP="000631D0">
            <w:pPr>
              <w:tabs>
                <w:tab w:val="left" w:pos="288"/>
                <w:tab w:val="left" w:pos="576"/>
                <w:tab w:val="left" w:pos="864"/>
                <w:tab w:val="left" w:pos="1152"/>
              </w:tabs>
              <w:spacing w:before="40" w:after="40" w:line="210" w:lineRule="exact"/>
              <w:ind w:left="144" w:right="40"/>
              <w:jc w:val="right"/>
              <w:rPr>
                <w:bCs/>
                <w:kern w:val="14"/>
                <w:sz w:val="17"/>
                <w:szCs w:val="17"/>
              </w:rPr>
            </w:pPr>
            <w:r w:rsidRPr="00451405">
              <w:rPr>
                <w:bCs/>
                <w:kern w:val="14"/>
                <w:sz w:val="17"/>
                <w:szCs w:val="17"/>
              </w:rPr>
              <w:t>114</w:t>
            </w:r>
          </w:p>
        </w:tc>
        <w:tc>
          <w:tcPr>
            <w:tcW w:w="1517" w:type="dxa"/>
            <w:shd w:val="clear" w:color="auto" w:fill="auto"/>
            <w:vAlign w:val="bottom"/>
          </w:tcPr>
          <w:p w14:paraId="620C3F8C" w14:textId="6FEFF690" w:rsidR="000631D0" w:rsidRPr="00451405" w:rsidRDefault="000631D0" w:rsidP="000631D0">
            <w:pPr>
              <w:tabs>
                <w:tab w:val="left" w:pos="288"/>
                <w:tab w:val="left" w:pos="576"/>
                <w:tab w:val="left" w:pos="864"/>
                <w:tab w:val="left" w:pos="1152"/>
              </w:tabs>
              <w:spacing w:before="40" w:after="40" w:line="210" w:lineRule="exact"/>
              <w:ind w:left="144" w:right="40"/>
              <w:jc w:val="right"/>
              <w:rPr>
                <w:bCs/>
                <w:kern w:val="14"/>
                <w:sz w:val="17"/>
                <w:szCs w:val="17"/>
              </w:rPr>
            </w:pPr>
            <w:r w:rsidRPr="00451405">
              <w:rPr>
                <w:bCs/>
                <w:kern w:val="14"/>
                <w:sz w:val="17"/>
                <w:szCs w:val="17"/>
              </w:rPr>
              <w:t>90</w:t>
            </w:r>
          </w:p>
        </w:tc>
      </w:tr>
      <w:tr w:rsidR="000631D0" w:rsidRPr="0097216C" w14:paraId="22B525EF" w14:textId="77777777" w:rsidTr="000631D0">
        <w:tc>
          <w:tcPr>
            <w:tcW w:w="4286" w:type="dxa"/>
            <w:shd w:val="clear" w:color="auto" w:fill="auto"/>
          </w:tcPr>
          <w:p w14:paraId="0800A68A" w14:textId="2B13CD4A" w:rsidR="000631D0" w:rsidRPr="00451405" w:rsidRDefault="000631D0" w:rsidP="000631D0">
            <w:pPr>
              <w:tabs>
                <w:tab w:val="left" w:pos="288"/>
                <w:tab w:val="left" w:pos="576"/>
                <w:tab w:val="left" w:pos="864"/>
                <w:tab w:val="left" w:pos="1152"/>
              </w:tabs>
              <w:spacing w:before="40" w:after="40" w:line="210" w:lineRule="exact"/>
              <w:ind w:right="40"/>
              <w:rPr>
                <w:bCs/>
                <w:i/>
                <w:iCs/>
                <w:kern w:val="14"/>
                <w:sz w:val="17"/>
                <w:szCs w:val="17"/>
              </w:rPr>
            </w:pPr>
            <w:r w:rsidRPr="00451405">
              <w:rPr>
                <w:bCs/>
                <w:i/>
                <w:iCs/>
                <w:kern w:val="14"/>
                <w:sz w:val="17"/>
                <w:szCs w:val="17"/>
              </w:rPr>
              <w:t>Doxing</w:t>
            </w:r>
          </w:p>
        </w:tc>
        <w:tc>
          <w:tcPr>
            <w:tcW w:w="1517" w:type="dxa"/>
            <w:shd w:val="clear" w:color="auto" w:fill="auto"/>
            <w:vAlign w:val="bottom"/>
          </w:tcPr>
          <w:p w14:paraId="1C01C318" w14:textId="636B5ADF" w:rsidR="000631D0" w:rsidRPr="00451405" w:rsidRDefault="000631D0" w:rsidP="000631D0">
            <w:pPr>
              <w:tabs>
                <w:tab w:val="left" w:pos="288"/>
                <w:tab w:val="left" w:pos="576"/>
                <w:tab w:val="left" w:pos="864"/>
                <w:tab w:val="left" w:pos="1152"/>
              </w:tabs>
              <w:spacing w:before="40" w:after="40" w:line="210" w:lineRule="exact"/>
              <w:ind w:left="144" w:right="40"/>
              <w:jc w:val="right"/>
              <w:rPr>
                <w:bCs/>
                <w:kern w:val="14"/>
                <w:sz w:val="17"/>
                <w:szCs w:val="17"/>
              </w:rPr>
            </w:pPr>
            <w:r w:rsidRPr="00451405">
              <w:rPr>
                <w:bCs/>
                <w:kern w:val="14"/>
                <w:sz w:val="17"/>
                <w:szCs w:val="17"/>
              </w:rPr>
              <w:t>121</w:t>
            </w:r>
          </w:p>
        </w:tc>
        <w:tc>
          <w:tcPr>
            <w:tcW w:w="1517" w:type="dxa"/>
            <w:shd w:val="clear" w:color="auto" w:fill="auto"/>
            <w:vAlign w:val="bottom"/>
          </w:tcPr>
          <w:p w14:paraId="0AA623B9" w14:textId="507F32FA" w:rsidR="000631D0" w:rsidRPr="00451405" w:rsidRDefault="000631D0" w:rsidP="000631D0">
            <w:pPr>
              <w:tabs>
                <w:tab w:val="left" w:pos="288"/>
                <w:tab w:val="left" w:pos="576"/>
                <w:tab w:val="left" w:pos="864"/>
                <w:tab w:val="left" w:pos="1152"/>
              </w:tabs>
              <w:spacing w:before="40" w:after="40" w:line="210" w:lineRule="exact"/>
              <w:ind w:left="144" w:right="40"/>
              <w:jc w:val="right"/>
              <w:rPr>
                <w:bCs/>
                <w:kern w:val="14"/>
                <w:sz w:val="17"/>
                <w:szCs w:val="17"/>
              </w:rPr>
            </w:pPr>
            <w:r w:rsidRPr="00451405">
              <w:rPr>
                <w:bCs/>
                <w:kern w:val="14"/>
                <w:sz w:val="17"/>
                <w:szCs w:val="17"/>
              </w:rPr>
              <w:t xml:space="preserve">88 </w:t>
            </w:r>
          </w:p>
        </w:tc>
      </w:tr>
      <w:tr w:rsidR="000631D0" w:rsidRPr="0097216C" w14:paraId="53CB16A3" w14:textId="77777777" w:rsidTr="000631D0">
        <w:tc>
          <w:tcPr>
            <w:tcW w:w="4286" w:type="dxa"/>
            <w:tcBorders>
              <w:bottom w:val="single" w:sz="12" w:space="0" w:color="auto"/>
            </w:tcBorders>
            <w:shd w:val="clear" w:color="auto" w:fill="auto"/>
          </w:tcPr>
          <w:p w14:paraId="1A7CFE5E" w14:textId="60967A3A" w:rsidR="000631D0" w:rsidRPr="00451405" w:rsidRDefault="000631D0" w:rsidP="00451405">
            <w:pPr>
              <w:tabs>
                <w:tab w:val="left" w:pos="288"/>
                <w:tab w:val="left" w:pos="576"/>
                <w:tab w:val="left" w:pos="864"/>
                <w:tab w:val="left" w:pos="1152"/>
              </w:tabs>
              <w:spacing w:before="40" w:after="80" w:line="210" w:lineRule="exact"/>
              <w:ind w:right="40"/>
              <w:rPr>
                <w:bCs/>
                <w:kern w:val="14"/>
                <w:sz w:val="17"/>
                <w:szCs w:val="17"/>
              </w:rPr>
            </w:pPr>
            <w:r w:rsidRPr="00451405">
              <w:rPr>
                <w:bCs/>
                <w:kern w:val="14"/>
                <w:sz w:val="17"/>
                <w:szCs w:val="17"/>
              </w:rPr>
              <w:t>Acoso por parte de cobradores, prestamistas o acreedores</w:t>
            </w:r>
          </w:p>
        </w:tc>
        <w:tc>
          <w:tcPr>
            <w:tcW w:w="1517" w:type="dxa"/>
            <w:tcBorders>
              <w:bottom w:val="single" w:sz="12" w:space="0" w:color="auto"/>
            </w:tcBorders>
            <w:shd w:val="clear" w:color="auto" w:fill="auto"/>
            <w:vAlign w:val="bottom"/>
          </w:tcPr>
          <w:p w14:paraId="48372CFF" w14:textId="18E7861F" w:rsidR="000631D0" w:rsidRPr="00451405" w:rsidRDefault="000631D0" w:rsidP="00451405">
            <w:pPr>
              <w:tabs>
                <w:tab w:val="left" w:pos="288"/>
                <w:tab w:val="left" w:pos="576"/>
                <w:tab w:val="left" w:pos="864"/>
                <w:tab w:val="left" w:pos="1152"/>
              </w:tabs>
              <w:spacing w:before="40" w:after="80" w:line="210" w:lineRule="exact"/>
              <w:ind w:left="144" w:right="40"/>
              <w:jc w:val="right"/>
              <w:rPr>
                <w:bCs/>
                <w:kern w:val="14"/>
                <w:sz w:val="17"/>
                <w:szCs w:val="17"/>
              </w:rPr>
            </w:pPr>
            <w:r w:rsidRPr="00451405">
              <w:rPr>
                <w:bCs/>
                <w:kern w:val="14"/>
                <w:sz w:val="17"/>
                <w:szCs w:val="17"/>
              </w:rPr>
              <w:t>38</w:t>
            </w:r>
          </w:p>
        </w:tc>
        <w:tc>
          <w:tcPr>
            <w:tcW w:w="1517" w:type="dxa"/>
            <w:tcBorders>
              <w:bottom w:val="single" w:sz="12" w:space="0" w:color="auto"/>
            </w:tcBorders>
            <w:shd w:val="clear" w:color="auto" w:fill="auto"/>
            <w:vAlign w:val="bottom"/>
          </w:tcPr>
          <w:p w14:paraId="07C60C1B" w14:textId="7A2AE798" w:rsidR="000631D0" w:rsidRPr="00451405" w:rsidRDefault="000631D0" w:rsidP="00451405">
            <w:pPr>
              <w:tabs>
                <w:tab w:val="left" w:pos="288"/>
                <w:tab w:val="left" w:pos="576"/>
                <w:tab w:val="left" w:pos="864"/>
                <w:tab w:val="left" w:pos="1152"/>
              </w:tabs>
              <w:spacing w:before="40" w:after="80" w:line="210" w:lineRule="exact"/>
              <w:ind w:left="144" w:right="40"/>
              <w:jc w:val="right"/>
              <w:rPr>
                <w:bCs/>
                <w:kern w:val="14"/>
                <w:sz w:val="17"/>
                <w:szCs w:val="17"/>
              </w:rPr>
            </w:pPr>
            <w:r w:rsidRPr="00451405">
              <w:rPr>
                <w:bCs/>
                <w:kern w:val="14"/>
                <w:sz w:val="17"/>
                <w:szCs w:val="17"/>
              </w:rPr>
              <w:t>18</w:t>
            </w:r>
          </w:p>
        </w:tc>
      </w:tr>
    </w:tbl>
    <w:p w14:paraId="12724BDF" w14:textId="77777777" w:rsidR="000631D0" w:rsidRPr="0097216C" w:rsidRDefault="000631D0" w:rsidP="000631D0">
      <w:pPr>
        <w:pStyle w:val="SingleTxt"/>
        <w:spacing w:after="0" w:line="120" w:lineRule="exact"/>
        <w:rPr>
          <w:sz w:val="10"/>
        </w:rPr>
      </w:pPr>
    </w:p>
    <w:p w14:paraId="779C9869" w14:textId="77777777" w:rsidR="000631D0" w:rsidRPr="0097216C" w:rsidRDefault="000631D0" w:rsidP="000631D0">
      <w:pPr>
        <w:pStyle w:val="SingleTxt"/>
        <w:spacing w:after="0" w:line="120" w:lineRule="exact"/>
        <w:rPr>
          <w:sz w:val="10"/>
        </w:rPr>
      </w:pPr>
    </w:p>
    <w:p w14:paraId="1BE1932D" w14:textId="3B673E64" w:rsidR="00A84782" w:rsidRPr="0097216C" w:rsidRDefault="00A84782" w:rsidP="000631D0">
      <w:pPr>
        <w:pStyle w:val="SingleTxt"/>
        <w:numPr>
          <w:ilvl w:val="0"/>
          <w:numId w:val="22"/>
        </w:numPr>
        <w:ind w:left="1267"/>
      </w:pPr>
      <w:r w:rsidRPr="0097216C">
        <w:t>El Gobierno supervisa continuamente la eficacia del Tribunal de Protección contra el Acoso, entre otras cosas recopilando datos sobre los casos de acoso sexual (entre otros tipos de acoso) presentados ante el Tribunal e incluyendo el número de casos de protección contra el acoso presentados para solicitar órdenes de protección y el número de órdenes emitidas.</w:t>
      </w:r>
    </w:p>
    <w:p w14:paraId="37D7EE8E" w14:textId="77777777" w:rsidR="00A84782" w:rsidRPr="0097216C" w:rsidRDefault="00A84782" w:rsidP="00A84782">
      <w:pPr>
        <w:pStyle w:val="SingleTxt"/>
        <w:spacing w:after="0" w:line="120" w:lineRule="exact"/>
        <w:rPr>
          <w:bCs/>
          <w:sz w:val="10"/>
        </w:rPr>
      </w:pPr>
      <w:bookmarkStart w:id="3" w:name="_Hlk122171587"/>
    </w:p>
    <w:p w14:paraId="71E782D1" w14:textId="77777777" w:rsidR="00A84782" w:rsidRPr="0097216C" w:rsidRDefault="00A84782" w:rsidP="00A84782">
      <w:pPr>
        <w:pStyle w:val="SingleTxt"/>
        <w:spacing w:after="0" w:line="120" w:lineRule="exact"/>
        <w:rPr>
          <w:bCs/>
          <w:sz w:val="10"/>
        </w:rPr>
      </w:pPr>
    </w:p>
    <w:p w14:paraId="09F856EE" w14:textId="77777777" w:rsidR="00A84782" w:rsidRPr="0097216C" w:rsidRDefault="00A84782" w:rsidP="005929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val="0"/>
        </w:rPr>
      </w:pPr>
      <w:r w:rsidRPr="00451405">
        <w:lastRenderedPageBreak/>
        <w:tab/>
        <w:t>XXIV.</w:t>
      </w:r>
      <w:r w:rsidRPr="00451405">
        <w:tab/>
        <w:t>Respuesta al párrafo 18 a) de la lista de cuestiones y preguntas</w:t>
      </w:r>
      <w:bookmarkEnd w:id="3"/>
    </w:p>
    <w:p w14:paraId="172BAC6C" w14:textId="77777777" w:rsidR="00A84782" w:rsidRPr="0097216C" w:rsidRDefault="00A84782" w:rsidP="00A84782">
      <w:pPr>
        <w:pStyle w:val="SingleTxt"/>
        <w:spacing w:after="0" w:line="120" w:lineRule="exact"/>
        <w:rPr>
          <w:bCs/>
          <w:sz w:val="10"/>
        </w:rPr>
      </w:pPr>
    </w:p>
    <w:p w14:paraId="01827B69" w14:textId="77777777" w:rsidR="00A84782" w:rsidRPr="0097216C" w:rsidRDefault="00A84782" w:rsidP="00A84782">
      <w:pPr>
        <w:pStyle w:val="SingleTxt"/>
        <w:spacing w:after="0" w:line="120" w:lineRule="exact"/>
        <w:rPr>
          <w:bCs/>
          <w:sz w:val="10"/>
        </w:rPr>
      </w:pPr>
    </w:p>
    <w:p w14:paraId="783FB3E5" w14:textId="57B4ECA9" w:rsidR="00A84782" w:rsidRPr="0097216C" w:rsidRDefault="00A84782" w:rsidP="000631D0">
      <w:pPr>
        <w:pStyle w:val="SingleTxt"/>
        <w:numPr>
          <w:ilvl w:val="0"/>
          <w:numId w:val="22"/>
        </w:numPr>
        <w:ind w:left="1267"/>
      </w:pPr>
      <w:r w:rsidRPr="0097216C">
        <w:t xml:space="preserve">Singapur sigue intensificando sus esfuerzos y revisando sus políticas para salvaguardar el bienestar de las trabajadoras domésticas migrantes en Singapur. Según una encuesta realizada por el Ministerio de Trabajo en </w:t>
      </w:r>
      <w:r w:rsidRPr="00451405">
        <w:t>2021</w:t>
      </w:r>
      <w:r w:rsidRPr="0097216C">
        <w:t xml:space="preserve">, más de </w:t>
      </w:r>
      <w:r w:rsidRPr="00451405">
        <w:t>9</w:t>
      </w:r>
      <w:r w:rsidRPr="0097216C">
        <w:t xml:space="preserve"> de cada </w:t>
      </w:r>
      <w:r w:rsidRPr="00451405">
        <w:t>10</w:t>
      </w:r>
      <w:r w:rsidRPr="0097216C">
        <w:t xml:space="preserve"> trabajadoras domésticas migrantes encuestadas estaban satisfechas con trabajar y vivir en Singapur y recomendarían a sus familiares y amistades trabajar en Singapur como trabajadores domésticos migrantes. Las trabajadoras domésticas migrantes también informaron de altos niveles de satisfacción en varias áreas de bienestar, como el alojamiento, el apoyo emocional y la suficiencia de la comida proporcionada (más del </w:t>
      </w:r>
      <w:r w:rsidRPr="00451405">
        <w:t>90</w:t>
      </w:r>
      <w:r w:rsidRPr="0097216C">
        <w:t xml:space="preserve"> %). Más del </w:t>
      </w:r>
      <w:r w:rsidRPr="00451405">
        <w:t>90</w:t>
      </w:r>
      <w:r w:rsidRPr="0097216C">
        <w:t> % de las trabajadoras encuestadas dijeron que habían recibido sus salarios a tiempo.</w:t>
      </w:r>
    </w:p>
    <w:p w14:paraId="7DFA1FDC" w14:textId="205DD166" w:rsidR="00A84782" w:rsidRPr="0097216C" w:rsidRDefault="00A84782" w:rsidP="000631D0">
      <w:pPr>
        <w:pStyle w:val="SingleTxt"/>
        <w:numPr>
          <w:ilvl w:val="0"/>
          <w:numId w:val="22"/>
        </w:numPr>
        <w:ind w:left="1267"/>
      </w:pPr>
      <w:r w:rsidRPr="0097216C">
        <w:t xml:space="preserve">Como se explica en el párrafo </w:t>
      </w:r>
      <w:r w:rsidRPr="00451405">
        <w:t>149</w:t>
      </w:r>
      <w:r w:rsidRPr="0097216C">
        <w:t xml:space="preserve"> del Informe Periódico, la protección de las trabajadoras domésticas migrantes aparece recogida en la Ley sobre el Empleo de Trabajadores Extranjeros, que regula el empleo de las trabajadoras domésticas migrantes y protege su bienestar. Esto incluye una amplia protección en áreas como la provisión de alojamiento adecuado, descanso suficiente, atención médica, un entorno de trabajo seguro y el pago puntual de los salarios. El Gobierno revisa continuamente leyes como la Ley sobre el Empleo de Trabajadores Extranjeros y estudia otras medidas para salvaguardar el bienestar de las trabajadoras domésticas migrantes en Singapur.</w:t>
      </w:r>
    </w:p>
    <w:p w14:paraId="7FA54217" w14:textId="77777777" w:rsidR="00A84782" w:rsidRPr="0097216C" w:rsidRDefault="00A84782" w:rsidP="00A84782">
      <w:pPr>
        <w:pStyle w:val="SingleTxt"/>
        <w:spacing w:after="0" w:line="120" w:lineRule="exact"/>
        <w:rPr>
          <w:bCs/>
          <w:sz w:val="10"/>
        </w:rPr>
      </w:pPr>
    </w:p>
    <w:p w14:paraId="01E56046" w14:textId="77777777" w:rsidR="00A84782" w:rsidRPr="0097216C" w:rsidRDefault="00A84782" w:rsidP="00A84782">
      <w:pPr>
        <w:pStyle w:val="SingleTxt"/>
        <w:spacing w:after="0" w:line="120" w:lineRule="exact"/>
        <w:rPr>
          <w:bCs/>
          <w:sz w:val="10"/>
        </w:rPr>
      </w:pPr>
    </w:p>
    <w:p w14:paraId="58B465F4" w14:textId="77777777" w:rsidR="00A84782" w:rsidRPr="0097216C" w:rsidRDefault="00A84782" w:rsidP="005929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val="0"/>
        </w:rPr>
      </w:pPr>
      <w:r w:rsidRPr="00451405">
        <w:tab/>
        <w:t>XXV.</w:t>
      </w:r>
      <w:r w:rsidRPr="00451405">
        <w:tab/>
        <w:t>Respuesta al párrafo 18 b) de la lista de cuestiones y preguntas</w:t>
      </w:r>
    </w:p>
    <w:p w14:paraId="1BB83209" w14:textId="77777777" w:rsidR="00A84782" w:rsidRPr="0097216C" w:rsidRDefault="00A84782" w:rsidP="00A84782">
      <w:pPr>
        <w:pStyle w:val="SingleTxt"/>
        <w:spacing w:after="0" w:line="120" w:lineRule="exact"/>
        <w:rPr>
          <w:bCs/>
          <w:sz w:val="10"/>
        </w:rPr>
      </w:pPr>
    </w:p>
    <w:p w14:paraId="0464486F" w14:textId="77777777" w:rsidR="00A84782" w:rsidRPr="0097216C" w:rsidRDefault="00A84782" w:rsidP="00A84782">
      <w:pPr>
        <w:pStyle w:val="SingleTxt"/>
        <w:spacing w:after="0" w:line="120" w:lineRule="exact"/>
        <w:rPr>
          <w:bCs/>
          <w:sz w:val="10"/>
        </w:rPr>
      </w:pPr>
    </w:p>
    <w:p w14:paraId="01592A0A" w14:textId="024A0F12" w:rsidR="00A84782" w:rsidRPr="0097216C" w:rsidRDefault="00A84782" w:rsidP="000631D0">
      <w:pPr>
        <w:pStyle w:val="SingleTxt"/>
        <w:numPr>
          <w:ilvl w:val="0"/>
          <w:numId w:val="22"/>
        </w:numPr>
        <w:ind w:left="1267"/>
      </w:pPr>
      <w:r w:rsidRPr="0097216C">
        <w:t xml:space="preserve">No todas las trabajadoras domésticas, locales o extranjeras, quedan cubiertas por la Ley de Empleo dado que la naturaleza de su trabajo difiere de los lugares de trabajo no domésticos. Como ya se ha indicado, el bienestar de los trabajadores domésticos migrantes se aborda en la Ley sobre el Empleo de Trabajadores Extranjeros. Como se indica en el párrafo </w:t>
      </w:r>
      <w:r w:rsidRPr="00451405">
        <w:t>150</w:t>
      </w:r>
      <w:r w:rsidRPr="0097216C">
        <w:t xml:space="preserve"> del Informe Periódico, en el ámbito de la asistencia médica, esta ley ofrece una protección completa al exigir a todos los empleadores que corran con los gastos médicos de sus trabajadores domésticos migrantes. Para poder cumplir esta obligación, los empleadores deben contratar un seguro de accidentes personales que proporciona indemnizaciones en caso de fallecimiento accidental o discapacidad permanente, así como un seguro médico para los gastos de hospitalización de su empleado. El Ministerio de Trabajo tiene previsto mejorar la cobertura del seguro médico.</w:t>
      </w:r>
    </w:p>
    <w:p w14:paraId="43D264B7" w14:textId="337A230E" w:rsidR="00A84782" w:rsidRPr="0097216C" w:rsidRDefault="00A84782" w:rsidP="000631D0">
      <w:pPr>
        <w:pStyle w:val="SingleTxt"/>
        <w:numPr>
          <w:ilvl w:val="0"/>
          <w:numId w:val="22"/>
        </w:numPr>
        <w:ind w:left="1267"/>
      </w:pPr>
      <w:r w:rsidRPr="0097216C">
        <w:t xml:space="preserve">Como se indica en el párrafo </w:t>
      </w:r>
      <w:r w:rsidRPr="00451405">
        <w:t>151</w:t>
      </w:r>
      <w:r w:rsidRPr="0097216C">
        <w:t xml:space="preserve"> del Informe Periódico, los empleadores deben proporcionar a los trabajadores domésticos migrantes un alojamiento apropiado y comida suficiente. El Ministerio de Trabajo ha elaborado directrices al respecto para que los empleadores conozcan sus responsabilidades y los trabajadores domésticos migrantes sepan qué les corresponde recibir.</w:t>
      </w:r>
    </w:p>
    <w:p w14:paraId="242B8191" w14:textId="3200195A" w:rsidR="00A84782" w:rsidRPr="0097216C" w:rsidRDefault="00A84782" w:rsidP="000631D0">
      <w:pPr>
        <w:pStyle w:val="SingleTxt"/>
        <w:numPr>
          <w:ilvl w:val="0"/>
          <w:numId w:val="22"/>
        </w:numPr>
        <w:ind w:left="1267"/>
      </w:pPr>
      <w:r w:rsidRPr="0097216C">
        <w:t xml:space="preserve">En cuanto al descanso, según la Ley sobre el Empleo de Trabajadores Extranjeros, los trabajadores domésticos migrantes tienen derecho a un día de descanso a la semana, pero pueden acordar una compensación con sus empleadores si no se lo toman. A partir del </w:t>
      </w:r>
      <w:r w:rsidRPr="00451405">
        <w:t>1</w:t>
      </w:r>
      <w:r w:rsidRPr="0097216C">
        <w:t xml:space="preserve"> de enero de </w:t>
      </w:r>
      <w:r w:rsidRPr="00451405">
        <w:t>2023</w:t>
      </w:r>
      <w:r w:rsidRPr="0097216C">
        <w:t>, los empleadores están obligados a conceder a sus trabajadores domésticos migrantes al menos un día de descanso mensual que no se podrá compensar.</w:t>
      </w:r>
    </w:p>
    <w:p w14:paraId="34164F59" w14:textId="77777777" w:rsidR="00A84782" w:rsidRPr="0097216C" w:rsidRDefault="00A84782" w:rsidP="00A84782">
      <w:pPr>
        <w:pStyle w:val="SingleTxt"/>
        <w:spacing w:after="0" w:line="120" w:lineRule="exact"/>
        <w:rPr>
          <w:sz w:val="10"/>
        </w:rPr>
      </w:pPr>
    </w:p>
    <w:p w14:paraId="56EEE199" w14:textId="77777777" w:rsidR="00A84782" w:rsidRPr="0097216C" w:rsidRDefault="00A84782" w:rsidP="00A84782">
      <w:pPr>
        <w:pStyle w:val="SingleTxt"/>
        <w:spacing w:after="0" w:line="120" w:lineRule="exact"/>
        <w:rPr>
          <w:sz w:val="10"/>
        </w:rPr>
      </w:pPr>
    </w:p>
    <w:p w14:paraId="4329B6B8" w14:textId="77777777" w:rsidR="00A84782" w:rsidRPr="0097216C" w:rsidRDefault="00A84782" w:rsidP="005929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val="0"/>
        </w:rPr>
      </w:pPr>
      <w:r w:rsidRPr="00451405">
        <w:lastRenderedPageBreak/>
        <w:tab/>
        <w:t>XXVI.</w:t>
      </w:r>
      <w:r w:rsidRPr="00451405">
        <w:tab/>
        <w:t>Respuesta al párrafo 18 c) de la lista de cuestiones y preguntas</w:t>
      </w:r>
    </w:p>
    <w:p w14:paraId="32537734" w14:textId="77777777" w:rsidR="00A84782" w:rsidRPr="0097216C" w:rsidRDefault="00A84782" w:rsidP="00A84782">
      <w:pPr>
        <w:pStyle w:val="SingleTxt"/>
        <w:spacing w:after="0" w:line="120" w:lineRule="exact"/>
        <w:rPr>
          <w:bCs/>
          <w:sz w:val="10"/>
        </w:rPr>
      </w:pPr>
    </w:p>
    <w:p w14:paraId="4710CEDF" w14:textId="77777777" w:rsidR="00A84782" w:rsidRPr="0097216C" w:rsidRDefault="00A84782" w:rsidP="00A84782">
      <w:pPr>
        <w:pStyle w:val="SingleTxt"/>
        <w:spacing w:after="0" w:line="120" w:lineRule="exact"/>
        <w:rPr>
          <w:bCs/>
          <w:sz w:val="10"/>
        </w:rPr>
      </w:pPr>
    </w:p>
    <w:p w14:paraId="3EE3344D" w14:textId="589BB687" w:rsidR="00A84782" w:rsidRPr="0097216C" w:rsidRDefault="00A84782" w:rsidP="000631D0">
      <w:pPr>
        <w:pStyle w:val="SingleTxt"/>
        <w:numPr>
          <w:ilvl w:val="0"/>
          <w:numId w:val="22"/>
        </w:numPr>
        <w:ind w:left="1267"/>
      </w:pPr>
      <w:r w:rsidRPr="0097216C">
        <w:t xml:space="preserve">La Ley sobre el Empleo de Trabajadores Extranjeros obliga a los empleadores a abonar el salario de los trabajadores domésticos migrantes mensualmente y a más tardar siete días después del último día del período salarial. Además, los empleadores deben declarar el salario del trabajador doméstico migrante al Ministerio de Trabajo y pagar como mínimo lo declarado. Los empleadores no pueden impedir o restringir el acceso de los trabajadores domésticos migrantes a su salario o dinero, independientemente de que el trabajador lo consienta o no. Los empleadores que no paguen los salarios pueden ser multados con hasta </w:t>
      </w:r>
      <w:r w:rsidRPr="00451405">
        <w:t>10</w:t>
      </w:r>
      <w:r w:rsidRPr="0097216C">
        <w:t>.</w:t>
      </w:r>
      <w:r w:rsidRPr="00451405">
        <w:t>000</w:t>
      </w:r>
      <w:r w:rsidRPr="0097216C">
        <w:t xml:space="preserve"> dólares singapurenses y encarcelados hasta un año.</w:t>
      </w:r>
    </w:p>
    <w:p w14:paraId="78A1E957" w14:textId="19C95F55" w:rsidR="00A84782" w:rsidRPr="0097216C" w:rsidRDefault="00A84782" w:rsidP="000631D0">
      <w:pPr>
        <w:pStyle w:val="SingleTxt"/>
        <w:numPr>
          <w:ilvl w:val="0"/>
          <w:numId w:val="22"/>
        </w:numPr>
        <w:ind w:left="1267"/>
      </w:pPr>
      <w:r w:rsidRPr="0097216C">
        <w:t>Los empleadores y las agencias de empleo no pueden retener los bienes personales de ningún trabajador migrante, incluidos los trabajadores domésticos migrantes. Según la Ley de Pasaportes, es delito retener un pasaporte que pertenece a otra persona. La Ley sobre el Empleo de Trabajadores Extranjeros prohíbe a los empleadores retener otros documentos personales, entre otros los permisos de trabajo de sus trabajadores. El teléfono móvil de un trabajador doméstico migrante también es su propiedad personal y el trabajador tiene derecho a conservarlo.</w:t>
      </w:r>
    </w:p>
    <w:p w14:paraId="652AEED4" w14:textId="1172D153" w:rsidR="00A84782" w:rsidRPr="0097216C" w:rsidRDefault="00A84782" w:rsidP="000631D0">
      <w:pPr>
        <w:pStyle w:val="SingleTxt"/>
        <w:numPr>
          <w:ilvl w:val="0"/>
          <w:numId w:val="22"/>
        </w:numPr>
        <w:ind w:left="1267"/>
      </w:pPr>
      <w:r w:rsidRPr="0097216C">
        <w:t>El Ministerio de Trabajo educa a todos los empleadores que contratan por primera vez trabajadores domésticos migrantes a través del Programa de Orientación para Empleadores sobre las responsabilidades de cuidado hacia los trabajadores, así como la forma de gestionar sus relaciones. Por su parte, las personas que se estrenan como trabajadores domésticos migrantes asisten al Programa de Instalación a la Llegada, en el que se les informa sobre las condiciones de empleo, la seguridad en el trabajo y sus derechos y responsabilidades.</w:t>
      </w:r>
    </w:p>
    <w:p w14:paraId="4E139247" w14:textId="7AA90611" w:rsidR="00A84782" w:rsidRPr="0097216C" w:rsidRDefault="00A84782" w:rsidP="000631D0">
      <w:pPr>
        <w:pStyle w:val="SingleTxt"/>
        <w:numPr>
          <w:ilvl w:val="0"/>
          <w:numId w:val="22"/>
        </w:numPr>
        <w:ind w:left="1267"/>
      </w:pPr>
      <w:r w:rsidRPr="0097216C">
        <w:t>Los trabajadores domésticos migrantes que se encuentren con problemas laborales, como impago del salario, privación de alimentos o negativa a pagar los gastos médicos, pueden denunciar estas situaciones a través de múltiples canales, como una línea telefónica gratuita de ayuda a los trabajadores domésticos migrantes del Ministerio de Trabajo. Quienes necesiten asesoramiento o deseen comunicar algún problema también pueden ponerse en contacto con organizaciones no gubernamentales y con sus correspondientes embajadas.</w:t>
      </w:r>
    </w:p>
    <w:p w14:paraId="20C17CBA" w14:textId="16EB072B" w:rsidR="00A84782" w:rsidRPr="0097216C" w:rsidRDefault="00A84782" w:rsidP="000631D0">
      <w:pPr>
        <w:pStyle w:val="SingleTxt"/>
        <w:numPr>
          <w:ilvl w:val="0"/>
          <w:numId w:val="22"/>
        </w:numPr>
        <w:ind w:left="1267"/>
      </w:pPr>
      <w:r w:rsidRPr="0097216C">
        <w:t xml:space="preserve">Singapur se toma muy en serio la violencia perpetuada contra los trabajadores domésticos migrantes. Las denuncias de abusos son investigadas por la Fuerza de Policía de Singapur. Como se destaca en el párrafo </w:t>
      </w:r>
      <w:r w:rsidRPr="00451405">
        <w:t>149</w:t>
      </w:r>
      <w:r w:rsidRPr="0097216C">
        <w:t xml:space="preserve"> del Informe Periódico, el Código Penal se mejoró en </w:t>
      </w:r>
      <w:r w:rsidRPr="00451405">
        <w:t>2020</w:t>
      </w:r>
      <w:r w:rsidRPr="0097216C">
        <w:t xml:space="preserve"> con una disposición según la cual el empleador de un trabajador doméstico migrante o un miembro del hogar del empleador que sea condenado por abusar del trabajador se enfrentará hasta al doble de las penas máximas previstas para el delito. A los condenados también se les prohibirá de forma permanente emplear a otros trabajadores domésticos migrantes en el futuro.</w:t>
      </w:r>
    </w:p>
    <w:p w14:paraId="17756E99" w14:textId="7CAF006F" w:rsidR="00A84782" w:rsidRPr="0097216C" w:rsidRDefault="00A84782" w:rsidP="000631D0">
      <w:pPr>
        <w:pStyle w:val="SingleTxt"/>
        <w:numPr>
          <w:ilvl w:val="0"/>
          <w:numId w:val="22"/>
        </w:numPr>
        <w:ind w:left="1267"/>
      </w:pPr>
      <w:r w:rsidRPr="0097216C">
        <w:t xml:space="preserve">El Ministerio de Trabajo toma medidas proactivas para detectar mejor los signos de abuso y los problemas laborales. Por ejemplo, mejoró el proceso de reconocimiento médico semestral a partir de agosto de </w:t>
      </w:r>
      <w:r w:rsidRPr="00451405">
        <w:t>2021</w:t>
      </w:r>
      <w:r w:rsidRPr="0097216C">
        <w:t xml:space="preserve"> para exigir explícitamente a los médicos que comprobaran la existencia de signos de lesiones sospechosas e inexplicables. Junto con las mejoras, el Ministerio de Trabajo también suspendió los reconocimientos médicos a domicilio para asegurarse de que los trabajadores domésticos migrantes vieran a sus médicos en la clínica a fin de que los médicos pudieran detectar mejor cualquier problema. Además, como se indica en el párrafo </w:t>
      </w:r>
      <w:r w:rsidRPr="00451405">
        <w:t>151</w:t>
      </w:r>
      <w:r w:rsidRPr="0097216C">
        <w:t xml:space="preserve"> del Informe Periódico, a partir de abril de </w:t>
      </w:r>
      <w:r w:rsidRPr="00451405">
        <w:t>2021</w:t>
      </w:r>
      <w:r w:rsidRPr="0097216C">
        <w:t xml:space="preserve">, los funcionarios designados por el Ministerio de Trabajo realizan visitas domiciliarias aleatorias para comprobar que los trabajadores domésticos migrantes se han adaptado bien y no tienen problemas de </w:t>
      </w:r>
      <w:r w:rsidRPr="0097216C">
        <w:lastRenderedPageBreak/>
        <w:t xml:space="preserve">bienestar, y a partir de diciembre de </w:t>
      </w:r>
      <w:r w:rsidRPr="00451405">
        <w:t>2021</w:t>
      </w:r>
      <w:r w:rsidRPr="0097216C">
        <w:t>, las agencias de empleo deben realizar al menos un control posterior a la incorporación en los tres primeros meses tras el inicio del trabajo para comprobar que los trabajadores domésticos migrantes y sus empleadores se están adaptando bien a la nueva relación laboral y para ofrecer apoyo en caso de necesidad.</w:t>
      </w:r>
    </w:p>
    <w:p w14:paraId="0F209AA8" w14:textId="77777777" w:rsidR="00A84782" w:rsidRPr="0097216C" w:rsidRDefault="00A84782" w:rsidP="00A84782">
      <w:pPr>
        <w:pStyle w:val="SingleTxt"/>
        <w:spacing w:after="0" w:line="120" w:lineRule="exact"/>
        <w:rPr>
          <w:sz w:val="10"/>
        </w:rPr>
      </w:pPr>
    </w:p>
    <w:p w14:paraId="70D9E5E9" w14:textId="77777777" w:rsidR="00A84782" w:rsidRPr="0097216C" w:rsidRDefault="00A84782" w:rsidP="00A84782">
      <w:pPr>
        <w:pStyle w:val="SingleTxt"/>
        <w:spacing w:after="0" w:line="120" w:lineRule="exact"/>
        <w:rPr>
          <w:sz w:val="10"/>
        </w:rPr>
      </w:pPr>
    </w:p>
    <w:p w14:paraId="6B7FF0B3" w14:textId="77777777" w:rsidR="00A84782" w:rsidRPr="0097216C" w:rsidRDefault="00A84782" w:rsidP="005929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val="0"/>
        </w:rPr>
      </w:pPr>
      <w:r w:rsidRPr="00451405">
        <w:tab/>
        <w:t>XXVII.</w:t>
      </w:r>
      <w:r w:rsidRPr="00451405">
        <w:tab/>
        <w:t>Respuesta al párrafo 18 d) de la lista de cuestiones y preguntas</w:t>
      </w:r>
    </w:p>
    <w:p w14:paraId="2641EC9A" w14:textId="77777777" w:rsidR="00A84782" w:rsidRPr="0097216C" w:rsidRDefault="00A84782" w:rsidP="00A84782">
      <w:pPr>
        <w:pStyle w:val="SingleTxt"/>
        <w:spacing w:after="0" w:line="120" w:lineRule="exact"/>
        <w:rPr>
          <w:bCs/>
          <w:sz w:val="10"/>
        </w:rPr>
      </w:pPr>
    </w:p>
    <w:p w14:paraId="4A1EA73D" w14:textId="77777777" w:rsidR="00A84782" w:rsidRPr="0097216C" w:rsidRDefault="00A84782" w:rsidP="00A84782">
      <w:pPr>
        <w:pStyle w:val="SingleTxt"/>
        <w:spacing w:after="0" w:line="120" w:lineRule="exact"/>
        <w:rPr>
          <w:bCs/>
          <w:sz w:val="10"/>
        </w:rPr>
      </w:pPr>
    </w:p>
    <w:p w14:paraId="1FDE3069" w14:textId="608627EA" w:rsidR="00A84782" w:rsidRPr="0097216C" w:rsidRDefault="00A84782" w:rsidP="000631D0">
      <w:pPr>
        <w:pStyle w:val="SingleTxt"/>
        <w:numPr>
          <w:ilvl w:val="0"/>
          <w:numId w:val="22"/>
        </w:numPr>
        <w:ind w:left="1267"/>
      </w:pPr>
      <w:r w:rsidRPr="0097216C">
        <w:t>Como norma general hace falta el consentimiento del empleador antes de que un trabajador doméstico migrante pueda buscar un nuevo empleo en Singapur. Con ello se pretende equilibrar el interés de los trabajadores por tener la posibilidad de cambiar de trabajo y el interés de sus empleadores por la estabilidad y previsibilidad de la relación laboral.</w:t>
      </w:r>
    </w:p>
    <w:p w14:paraId="0DF03041" w14:textId="2B1D0AF0" w:rsidR="00A84782" w:rsidRPr="0097216C" w:rsidRDefault="00A84782" w:rsidP="000631D0">
      <w:pPr>
        <w:pStyle w:val="SingleTxt"/>
        <w:numPr>
          <w:ilvl w:val="0"/>
          <w:numId w:val="22"/>
        </w:numPr>
        <w:ind w:left="1267"/>
      </w:pPr>
      <w:r w:rsidRPr="0097216C">
        <w:t>A pesar de ello, al igual que en otras relaciones entre empleador y empleado, los contratos de trabajo entre el empleador y el trabajador doméstico migrante generalmente permiten tanto a uno como a otro poner fin a su relación laboral en cualquier momento con el aviso previo acordado por contrato. El trabajador doméstico migrante podría volver a casa y buscar otro empleador a partir de entonces.</w:t>
      </w:r>
    </w:p>
    <w:p w14:paraId="5277DD44" w14:textId="77777777" w:rsidR="00A84782" w:rsidRPr="0097216C" w:rsidRDefault="00A84782" w:rsidP="00A84782">
      <w:pPr>
        <w:pStyle w:val="SingleTxt"/>
        <w:spacing w:after="0" w:line="120" w:lineRule="exact"/>
        <w:rPr>
          <w:sz w:val="10"/>
        </w:rPr>
      </w:pPr>
    </w:p>
    <w:p w14:paraId="5B70679F" w14:textId="77777777" w:rsidR="00A84782" w:rsidRPr="0097216C" w:rsidRDefault="00A84782" w:rsidP="00A84782">
      <w:pPr>
        <w:pStyle w:val="SingleTxt"/>
        <w:spacing w:after="0" w:line="120" w:lineRule="exact"/>
        <w:rPr>
          <w:sz w:val="10"/>
        </w:rPr>
      </w:pPr>
    </w:p>
    <w:p w14:paraId="0C1F9EB6" w14:textId="77777777" w:rsidR="00A84782" w:rsidRPr="0097216C" w:rsidRDefault="00A84782" w:rsidP="005929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val="0"/>
        </w:rPr>
      </w:pPr>
      <w:r w:rsidRPr="00451405">
        <w:tab/>
        <w:t>XXVIII.</w:t>
      </w:r>
      <w:r w:rsidRPr="00451405">
        <w:tab/>
        <w:t>Respuesta al párrafo 18 e) de la lista de cuestiones y preguntas</w:t>
      </w:r>
    </w:p>
    <w:p w14:paraId="34186BA9" w14:textId="77777777" w:rsidR="00A84782" w:rsidRPr="0097216C" w:rsidRDefault="00A84782" w:rsidP="00A84782">
      <w:pPr>
        <w:pStyle w:val="SingleTxt"/>
        <w:spacing w:after="0" w:line="120" w:lineRule="exact"/>
        <w:rPr>
          <w:bCs/>
          <w:sz w:val="10"/>
        </w:rPr>
      </w:pPr>
    </w:p>
    <w:p w14:paraId="27E6FE11" w14:textId="77777777" w:rsidR="00A84782" w:rsidRPr="0097216C" w:rsidRDefault="00A84782" w:rsidP="00A84782">
      <w:pPr>
        <w:pStyle w:val="SingleTxt"/>
        <w:spacing w:after="0" w:line="120" w:lineRule="exact"/>
        <w:rPr>
          <w:bCs/>
          <w:sz w:val="10"/>
        </w:rPr>
      </w:pPr>
    </w:p>
    <w:p w14:paraId="1344D566" w14:textId="5FF1BBD3" w:rsidR="00A84782" w:rsidRPr="0097216C" w:rsidRDefault="00A84782" w:rsidP="000631D0">
      <w:pPr>
        <w:pStyle w:val="SingleTxt"/>
        <w:numPr>
          <w:ilvl w:val="0"/>
          <w:numId w:val="22"/>
        </w:numPr>
        <w:ind w:left="1267"/>
      </w:pPr>
      <w:r w:rsidRPr="0097216C">
        <w:t xml:space="preserve">En cuanto al Convenio sobre las Trabajadoras y los Trabajadores Domésticos, Singapur se ha comprometido a proteger el bienestar de los trabajadores domésticos migrantes. Con este fin, los trabajadores domésticos migrantes de Singapur están protegidos por un amplio marco de leyes y medidas de aplicación que tienen en cuenta las diferentes modalidades en las que se desarrolla su actividad. Como se explica en el párrafo </w:t>
      </w:r>
      <w:r w:rsidRPr="00451405">
        <w:t>156</w:t>
      </w:r>
      <w:r w:rsidRPr="0097216C">
        <w:t xml:space="preserve"> del Informe Periódico, Singapur ratifica los tratados internacionales solo si podemos cumplirlos plenamente y redunda en nuestro interés nacional hacerlo. Aunque no hemos ratificado el Convenio sobre las Trabajadoras y los Trabajadores Domésticos, estamos de acuerdo con su espíritu y seguiremos estudiando nuestra capacidad para ratificarlo y mejorar las condiciones laborales de nuestros trabajadores domésticos migrantes.</w:t>
      </w:r>
    </w:p>
    <w:p w14:paraId="52BB65B2" w14:textId="77777777" w:rsidR="00A84782" w:rsidRPr="0097216C" w:rsidRDefault="00A84782" w:rsidP="00A84782">
      <w:pPr>
        <w:pStyle w:val="SingleTxt"/>
        <w:spacing w:after="0" w:line="120" w:lineRule="exact"/>
        <w:rPr>
          <w:sz w:val="10"/>
        </w:rPr>
      </w:pPr>
    </w:p>
    <w:p w14:paraId="7A394DFA" w14:textId="77777777" w:rsidR="00A84782" w:rsidRPr="0097216C" w:rsidRDefault="00A84782" w:rsidP="00A84782">
      <w:pPr>
        <w:pStyle w:val="SingleTxt"/>
        <w:spacing w:after="0" w:line="120" w:lineRule="exact"/>
        <w:rPr>
          <w:sz w:val="10"/>
        </w:rPr>
      </w:pPr>
    </w:p>
    <w:p w14:paraId="337E7582"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XXIX.</w:t>
      </w:r>
      <w:r w:rsidRPr="00451405">
        <w:tab/>
        <w:t>Respuesta al párrafo 19 de la lista de cuestiones y preguntas</w:t>
      </w:r>
    </w:p>
    <w:p w14:paraId="156ED5B2" w14:textId="77777777" w:rsidR="00A84782" w:rsidRPr="0097216C" w:rsidRDefault="00A84782" w:rsidP="00A84782">
      <w:pPr>
        <w:pStyle w:val="SingleTxt"/>
        <w:spacing w:after="0" w:line="120" w:lineRule="exact"/>
        <w:rPr>
          <w:bCs/>
          <w:sz w:val="10"/>
        </w:rPr>
      </w:pPr>
    </w:p>
    <w:p w14:paraId="5808BC7E" w14:textId="77777777" w:rsidR="00A84782" w:rsidRPr="0097216C" w:rsidRDefault="00A84782" w:rsidP="00A84782">
      <w:pPr>
        <w:pStyle w:val="SingleTxt"/>
        <w:spacing w:after="0" w:line="120" w:lineRule="exact"/>
        <w:rPr>
          <w:bCs/>
          <w:sz w:val="10"/>
        </w:rPr>
      </w:pPr>
    </w:p>
    <w:p w14:paraId="041A20EC" w14:textId="2E547A97" w:rsidR="00A84782" w:rsidRPr="0097216C" w:rsidRDefault="00A84782" w:rsidP="000631D0">
      <w:pPr>
        <w:pStyle w:val="SingleTxt"/>
        <w:numPr>
          <w:ilvl w:val="0"/>
          <w:numId w:val="22"/>
        </w:numPr>
        <w:ind w:left="1267"/>
      </w:pPr>
      <w:r w:rsidRPr="0097216C">
        <w:t>Todos los singapurenses tienen acceso a una atención sanitaria asequible y de calidad, que incluye servicios de salud reproductiva y sexual en centros hospitalarios y ambulatorios. Existen protocolos para garantizar el apoyo a los pacientes con barreras lingüísticas. El personal sanitario de los hospitales y clínicas de Singapur es de diversas etnias, por lo que puede comunicarse adecuadamente con los pacientes que solo hablan determinadas lenguas. Además, las comunicaciones públicas relacionadas con la salud se difunden en varios idiomas. Por ejemplo, la información relativa a la COVID-</w:t>
      </w:r>
      <w:r w:rsidRPr="00451405">
        <w:t>19</w:t>
      </w:r>
      <w:r w:rsidRPr="0097216C">
        <w:t xml:space="preserve"> se difundió en las cuatro lenguas nacionales para garantizar un acceso más amplio a la información, incluso por parte de las minorías étnicas.</w:t>
      </w:r>
    </w:p>
    <w:p w14:paraId="00BB5037" w14:textId="42513518" w:rsidR="00A84782" w:rsidRPr="0097216C" w:rsidRDefault="00A84782" w:rsidP="000631D0">
      <w:pPr>
        <w:pStyle w:val="SingleTxt"/>
        <w:numPr>
          <w:ilvl w:val="0"/>
          <w:numId w:val="22"/>
        </w:numPr>
        <w:ind w:left="1267"/>
      </w:pPr>
      <w:r w:rsidRPr="0097216C">
        <w:t xml:space="preserve">En </w:t>
      </w:r>
      <w:r w:rsidRPr="00451405">
        <w:t>2022</w:t>
      </w:r>
      <w:r w:rsidRPr="0097216C">
        <w:t xml:space="preserve">, Singapur publicó su estrategia plurianual centrada en la atención preventiva para mejorar la salud de nuestra población. La iniciativa “Healthier SG” pretende evitar que las personas enfermen y empoderarlas para mejorar su salud transformando los “sistemas de enfermedad” (centrados en el tratamiento de </w:t>
      </w:r>
      <w:r w:rsidRPr="0097216C">
        <w:lastRenderedPageBreak/>
        <w:t>enfermedades) en “sistemas de salud” con entornos y sistemas favorables a la salud que ayuden a las personas a mejorar y gestionar su salud de forma proactiva.</w:t>
      </w:r>
    </w:p>
    <w:p w14:paraId="1A4B7B0F" w14:textId="74161844" w:rsidR="00A84782" w:rsidRPr="0097216C" w:rsidRDefault="00A84782" w:rsidP="000631D0">
      <w:pPr>
        <w:pStyle w:val="SingleTxt"/>
        <w:numPr>
          <w:ilvl w:val="0"/>
          <w:numId w:val="22"/>
        </w:numPr>
        <w:ind w:left="1267"/>
      </w:pPr>
      <w:r w:rsidRPr="0097216C">
        <w:t>Todos los habitantes de Singapur tienen acceso a servicios sanitarios y reconocimientos médicos. Esto brinda a los médicos la oportunidad de ocuparse de los determinantes sociales de la salud que influyen en los comportamientos sanitarios (por ejemplo, la percepción de las enfermedades crónicas o la participación en los cribados).</w:t>
      </w:r>
    </w:p>
    <w:p w14:paraId="4E8C80F3" w14:textId="7D240F92" w:rsidR="00A84782" w:rsidRPr="0097216C" w:rsidRDefault="00A84782" w:rsidP="000631D0">
      <w:pPr>
        <w:pStyle w:val="SingleTxt"/>
        <w:numPr>
          <w:ilvl w:val="0"/>
          <w:numId w:val="22"/>
        </w:numPr>
        <w:ind w:left="1267"/>
      </w:pPr>
      <w:r w:rsidRPr="0097216C">
        <w:t xml:space="preserve">Además, Singapur creó en </w:t>
      </w:r>
      <w:r w:rsidRPr="00451405">
        <w:t>2021</w:t>
      </w:r>
      <w:r w:rsidRPr="0097216C">
        <w:t xml:space="preserve"> un grupo de trabajo interinstitucional sobre salud y bienestar infantil y materno para desarrollar una estrategia nacional que se ocupara de cuestiones transversales para mejorar el apoyo a las mujeres y sus hijos y mejorar sus resultados sanitarios. La estrategia incluye políticas e iniciativas que apoyan la salud física y mental y el bienestar general de las mujeres desde antes de la concepción, pasando por el embarazo y hasta la maternidad. Este esfuerzo ayudará a todas las embarazadas a acceder de forma equitativa a unos servicios de atención materna de calidad en los que se incluyen revisiones prenatales y postnatales, revisión de las madres y apoyo en materia de salud mental, servicios de obstetricia, atención neonatal, y apoyo a la lactancia.</w:t>
      </w:r>
    </w:p>
    <w:p w14:paraId="35270A51" w14:textId="0E004C0A" w:rsidR="00A84782" w:rsidRPr="0097216C" w:rsidRDefault="00A84782" w:rsidP="000631D0">
      <w:pPr>
        <w:pStyle w:val="SingleTxt"/>
        <w:numPr>
          <w:ilvl w:val="0"/>
          <w:numId w:val="22"/>
        </w:numPr>
        <w:ind w:left="1267"/>
      </w:pPr>
      <w:r w:rsidRPr="0097216C">
        <w:t>Singapur también reconoce que las diferencias culturales pueden influir en el estilo de vida y los comportamientos sanitarios de los distintos grupos étnicos y que pueden contribuir a disparidades en los efectos en la salud (por ejemplo, tasas de obesidad, cáncer y diabetes).</w:t>
      </w:r>
    </w:p>
    <w:p w14:paraId="2DCFF938" w14:textId="755EB4F8" w:rsidR="00A84782" w:rsidRPr="0097216C" w:rsidRDefault="00A84782" w:rsidP="000631D0">
      <w:pPr>
        <w:pStyle w:val="SingleTxt"/>
        <w:numPr>
          <w:ilvl w:val="0"/>
          <w:numId w:val="22"/>
        </w:numPr>
        <w:ind w:left="1267"/>
      </w:pPr>
      <w:r w:rsidRPr="0097216C">
        <w:t>Basándose en los resultados de las Encuestas Nacionales de Salud de la Población, que analizan las tendencias de varios indicadores de salud correspondientes a los distintos segmentos de la población del país, Singapur ha creado un grupo de trabajo para acabar con las disparidades en los resultados sanitarios entre grupos étnicos mediante la puesta en marcha de actividades de vida sana durante todo el año y cuyo objetivo es mejorar la salud y el bienestar. El grupo de trabajo cuenta con el apoyo de la Junta de Promoción de la Salud, que desarrolla programas culturalmente pertinentes para mejorar el estado de salud de las distintas comunidades (véanse ejemplos de estrategias sanitarias dirigidas a la comunidad en el anexo J) en colaboración con asociados comunitarios.</w:t>
      </w:r>
    </w:p>
    <w:p w14:paraId="627DEAFD" w14:textId="09C100FD" w:rsidR="00A84782" w:rsidRPr="0097216C" w:rsidRDefault="00A84782" w:rsidP="000631D0">
      <w:pPr>
        <w:pStyle w:val="SingleTxt"/>
        <w:numPr>
          <w:ilvl w:val="0"/>
          <w:numId w:val="22"/>
        </w:numPr>
        <w:ind w:left="1267"/>
      </w:pPr>
      <w:r w:rsidRPr="0097216C">
        <w:t>El Comité de Salud de la Mujer, formado por partes interesadas multiétnicas de organizaciones comunitarias de divulgación y promoción, organismos gubernamentales y un variado grupo de expertos en salud, busca activamente aumentar la conciencia y animar a todas las mujeres, independientemente de su etnia, a tomar medidas para mejorar su salud y bienestar en todas las etapas de la vida. El Comité se centra actualmente en el cribado del cáncer, la salud ósea y la salud de las mujeres jóvenes.</w:t>
      </w:r>
    </w:p>
    <w:p w14:paraId="6630E829" w14:textId="7C2C7941" w:rsidR="00A84782" w:rsidRPr="0097216C" w:rsidRDefault="00A84782" w:rsidP="000631D0">
      <w:pPr>
        <w:pStyle w:val="SingleTxt"/>
        <w:numPr>
          <w:ilvl w:val="0"/>
          <w:numId w:val="22"/>
        </w:numPr>
        <w:ind w:left="1267"/>
      </w:pPr>
      <w:r w:rsidRPr="0097216C">
        <w:t>Los profesionales sanitarios, como médicos y enfermeros, desempeñan un papel importante en la prestación de servicios sanitarios relacionados con la salud sexual y reproductiva, así como con la planificación familiar, y están capacitados para apoyar a los pacientes con empatía, sensibilidad y la debida consideración de sus necesidades asistenciales específicas. (En el anexo K se incluyen ejemplos de medidas para evitar el trato discriminatorio en el acceso a los servicios sanitarios).</w:t>
      </w:r>
    </w:p>
    <w:p w14:paraId="7D476467" w14:textId="77777777" w:rsidR="00A84782" w:rsidRPr="0097216C" w:rsidRDefault="00A84782" w:rsidP="00A84782">
      <w:pPr>
        <w:pStyle w:val="SingleTxt"/>
        <w:spacing w:after="0" w:line="120" w:lineRule="exact"/>
        <w:rPr>
          <w:sz w:val="10"/>
        </w:rPr>
      </w:pPr>
    </w:p>
    <w:p w14:paraId="36E3B8C2" w14:textId="77777777" w:rsidR="00A84782" w:rsidRPr="0097216C" w:rsidRDefault="00A84782" w:rsidP="00A84782">
      <w:pPr>
        <w:pStyle w:val="SingleTxt"/>
        <w:spacing w:after="0" w:line="120" w:lineRule="exact"/>
        <w:rPr>
          <w:sz w:val="10"/>
        </w:rPr>
      </w:pPr>
    </w:p>
    <w:p w14:paraId="2EDA4D4F"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XXX.</w:t>
      </w:r>
      <w:r w:rsidRPr="00451405">
        <w:tab/>
        <w:t>Respuesta al párrafo 20 de la lista de cuestiones y preguntas</w:t>
      </w:r>
    </w:p>
    <w:p w14:paraId="07D4AC17" w14:textId="77777777" w:rsidR="00A84782" w:rsidRPr="0097216C" w:rsidRDefault="00A84782" w:rsidP="00A84782">
      <w:pPr>
        <w:pStyle w:val="SingleTxt"/>
        <w:spacing w:after="0" w:line="120" w:lineRule="exact"/>
        <w:rPr>
          <w:bCs/>
          <w:sz w:val="10"/>
        </w:rPr>
      </w:pPr>
    </w:p>
    <w:p w14:paraId="04DAA069" w14:textId="77777777" w:rsidR="00A84782" w:rsidRPr="0097216C" w:rsidRDefault="00A84782" w:rsidP="00A84782">
      <w:pPr>
        <w:pStyle w:val="SingleTxt"/>
        <w:spacing w:after="0" w:line="120" w:lineRule="exact"/>
        <w:rPr>
          <w:bCs/>
          <w:sz w:val="10"/>
        </w:rPr>
      </w:pPr>
    </w:p>
    <w:p w14:paraId="46A90230" w14:textId="202567DB" w:rsidR="00A84782" w:rsidRPr="0097216C" w:rsidRDefault="00A84782" w:rsidP="000631D0">
      <w:pPr>
        <w:pStyle w:val="SingleTxt"/>
        <w:numPr>
          <w:ilvl w:val="0"/>
          <w:numId w:val="22"/>
        </w:numPr>
        <w:ind w:left="1267"/>
      </w:pPr>
      <w:r w:rsidRPr="0097216C">
        <w:t xml:space="preserve">Como se describe en el plan MFF </w:t>
      </w:r>
      <w:r w:rsidRPr="00451405">
        <w:t>2025</w:t>
      </w:r>
      <w:r w:rsidRPr="0097216C">
        <w:t>, todos los niños ciudadanos disfrutarán de prestaciones que apoyen su crecimiento, desarrollo y cuidado, independientemente del estado civil de sus padres. Entre ellas figuran:</w:t>
      </w:r>
    </w:p>
    <w:p w14:paraId="2D1F2495" w14:textId="77777777" w:rsidR="00A84782" w:rsidRPr="0097216C" w:rsidRDefault="00A84782" w:rsidP="00A84782">
      <w:pPr>
        <w:pStyle w:val="SingleTxt"/>
      </w:pPr>
      <w:r w:rsidRPr="0097216C">
        <w:lastRenderedPageBreak/>
        <w:tab/>
        <w:t>a)</w:t>
      </w:r>
      <w:r w:rsidRPr="0097216C">
        <w:tab/>
        <w:t>Subvenciones a la educación;</w:t>
      </w:r>
    </w:p>
    <w:p w14:paraId="75C8A31C" w14:textId="77777777" w:rsidR="00A84782" w:rsidRPr="0097216C" w:rsidRDefault="00A84782" w:rsidP="00A84782">
      <w:pPr>
        <w:pStyle w:val="SingleTxt"/>
      </w:pPr>
      <w:r w:rsidRPr="0097216C">
        <w:tab/>
        <w:t>b)</w:t>
      </w:r>
      <w:r w:rsidRPr="0097216C">
        <w:tab/>
        <w:t xml:space="preserve">Subvenciones para </w:t>
      </w:r>
      <w:proofErr w:type="gramStart"/>
      <w:r w:rsidRPr="0097216C">
        <w:t>guarderías infantiles</w:t>
      </w:r>
      <w:proofErr w:type="gramEnd"/>
      <w:r w:rsidRPr="0097216C">
        <w:t xml:space="preserve"> y cuidado de hijos;</w:t>
      </w:r>
    </w:p>
    <w:p w14:paraId="333E354C" w14:textId="77777777" w:rsidR="00A84782" w:rsidRPr="0097216C" w:rsidRDefault="00A84782" w:rsidP="00A84782">
      <w:pPr>
        <w:pStyle w:val="SingleTxt"/>
      </w:pPr>
      <w:r w:rsidRPr="0097216C">
        <w:tab/>
        <w:t>c)</w:t>
      </w:r>
      <w:r w:rsidRPr="0097216C">
        <w:tab/>
        <w:t>Subvenciones de atención sanitaria;</w:t>
      </w:r>
    </w:p>
    <w:p w14:paraId="40DBA8F9" w14:textId="77777777" w:rsidR="00A84782" w:rsidRPr="0097216C" w:rsidRDefault="00A84782" w:rsidP="00A84782">
      <w:pPr>
        <w:pStyle w:val="SingleTxt"/>
      </w:pPr>
      <w:r w:rsidRPr="0097216C">
        <w:tab/>
        <w:t>d)</w:t>
      </w:r>
      <w:r w:rsidRPr="0097216C">
        <w:tab/>
        <w:t>Subvención MediSave para recién nacidos;</w:t>
      </w:r>
    </w:p>
    <w:p w14:paraId="5FB5CC24" w14:textId="77777777" w:rsidR="00A84782" w:rsidRPr="0097216C" w:rsidRDefault="00A84782" w:rsidP="00A84782">
      <w:pPr>
        <w:pStyle w:val="SingleTxt"/>
      </w:pPr>
      <w:r w:rsidRPr="0097216C">
        <w:tab/>
        <w:t>e)</w:t>
      </w:r>
      <w:r w:rsidRPr="0097216C">
        <w:tab/>
        <w:t>Cobertura MediShield Life desde el nacimiento;</w:t>
      </w:r>
    </w:p>
    <w:p w14:paraId="37E1F518" w14:textId="77777777" w:rsidR="00A84782" w:rsidRPr="0097216C" w:rsidRDefault="00A84782" w:rsidP="00A84782">
      <w:pPr>
        <w:pStyle w:val="SingleTxt"/>
      </w:pPr>
      <w:r w:rsidRPr="0097216C">
        <w:tab/>
        <w:t>f)</w:t>
      </w:r>
      <w:r w:rsidRPr="0097216C">
        <w:tab/>
        <w:t>Concesión de la tasa por trabajador doméstico extranjero.</w:t>
      </w:r>
    </w:p>
    <w:p w14:paraId="5E970384" w14:textId="4A3B8C4D" w:rsidR="00A84782" w:rsidRPr="0097216C" w:rsidRDefault="00A84782" w:rsidP="000631D0">
      <w:pPr>
        <w:pStyle w:val="SingleTxt"/>
        <w:numPr>
          <w:ilvl w:val="0"/>
          <w:numId w:val="22"/>
        </w:numPr>
        <w:ind w:left="1267"/>
      </w:pPr>
      <w:r w:rsidRPr="0097216C">
        <w:t xml:space="preserve">En </w:t>
      </w:r>
      <w:r w:rsidRPr="00451405">
        <w:t>2016</w:t>
      </w:r>
      <w:r w:rsidRPr="0097216C">
        <w:t xml:space="preserve"> y </w:t>
      </w:r>
      <w:r w:rsidRPr="00451405">
        <w:t>2017</w:t>
      </w:r>
      <w:r w:rsidRPr="0097216C">
        <w:t>, ampliamos aún más el apoyo a los padres no casados a través de la licencia de maternidad pagada por el Gobierno y la Cuenta de Desarrollo de los Niños, en la que se incluyen la subvención Primeros Pasos de la Cuenta de Desarrollo de los Niños y coahorros que iguala el Gobierno. En el caso de progenitores únicos con necesidades económicas, nuestros agentes de servicios sociales ofrecen ayudas como la asistencia en efectivo ComCare para los gastos básicos de manutención, así como ayuda para las facturas domésticas y médicas.</w:t>
      </w:r>
    </w:p>
    <w:p w14:paraId="4F157A00" w14:textId="4A2A801A" w:rsidR="00A84782" w:rsidRPr="0097216C" w:rsidRDefault="00A84782" w:rsidP="000631D0">
      <w:pPr>
        <w:pStyle w:val="SingleTxt"/>
        <w:numPr>
          <w:ilvl w:val="0"/>
          <w:numId w:val="22"/>
        </w:numPr>
        <w:ind w:left="1267"/>
      </w:pPr>
      <w:r w:rsidRPr="0097216C">
        <w:t xml:space="preserve">Asimismo, los Centros de Servicios Familiares trabajan con las mujeres y sus hijos para atender sus necesidades sociales y emocionales prestando servicios de gestión de casos y de apoyo a la derivación. Complementan estos servicios el apoyo comunitario a los progenitores únicos dentro del Proyecto Athena, HELP FSC, </w:t>
      </w:r>
      <w:r w:rsidRPr="00451405">
        <w:rPr>
          <w:i/>
          <w:iCs/>
        </w:rPr>
        <w:t xml:space="preserve">Persatuan Pemudi </w:t>
      </w:r>
      <w:proofErr w:type="gramStart"/>
      <w:r w:rsidRPr="00451405">
        <w:rPr>
          <w:i/>
          <w:iCs/>
        </w:rPr>
        <w:t>Islam</w:t>
      </w:r>
      <w:proofErr w:type="gramEnd"/>
      <w:r w:rsidRPr="00451405">
        <w:rPr>
          <w:i/>
          <w:iCs/>
        </w:rPr>
        <w:t xml:space="preserve"> Singapura</w:t>
      </w:r>
      <w:r w:rsidRPr="0097216C">
        <w:t xml:space="preserve"> (PPIS)</w:t>
      </w:r>
      <w:r w:rsidRPr="00451405">
        <w:rPr>
          <w:vertAlign w:val="superscript"/>
        </w:rPr>
        <w:footnoteReference w:id="8"/>
      </w:r>
      <w:r w:rsidR="00502B92" w:rsidRPr="00451405">
        <w:rPr>
          <w:i/>
          <w:iCs/>
        </w:rPr>
        <w:t xml:space="preserve"> </w:t>
      </w:r>
      <w:r w:rsidR="00502B92" w:rsidRPr="00451405">
        <w:rPr>
          <w:i/>
          <w:iCs/>
        </w:rPr>
        <w:t>As-Salaam</w:t>
      </w:r>
      <w:r w:rsidRPr="0097216C">
        <w:t>; así como ayudas de carácter religioso como la red Empowering Single Parents Network para apoyarlos en su andadura como progenitores únicos.</w:t>
      </w:r>
    </w:p>
    <w:p w14:paraId="5138DA8D" w14:textId="286384C7" w:rsidR="00A84782" w:rsidRPr="0097216C" w:rsidRDefault="00A84782" w:rsidP="000631D0">
      <w:pPr>
        <w:pStyle w:val="SingleTxt"/>
        <w:numPr>
          <w:ilvl w:val="0"/>
          <w:numId w:val="22"/>
        </w:numPr>
        <w:ind w:left="1267"/>
      </w:pPr>
      <w:r w:rsidRPr="0097216C">
        <w:t xml:space="preserve">Además de lo anterior y en referencia al párrafo </w:t>
      </w:r>
      <w:r w:rsidRPr="00451405">
        <w:t>212</w:t>
      </w:r>
      <w:r w:rsidRPr="0097216C">
        <w:t xml:space="preserve"> del Informe Periódico, la Alianza de Acción para el Fortalecimiento de los Matrimonios y las Relaciones Familiares del Ministerio de Desarrollo Social y Familiar tiene un área dedicada al apoyo a los progenitores únicos, donde se consulta a los progenitores únicos, incluidos los que no han contraído matrimonio, para impulsar y apoyar iniciativas comunitarias que apoyen a los progenitores únicos en su andadura en la crianza de los hijos. Algunas iniciativas incluyen un servicio piloto de guardería para progenitores que trabajan y necesitan servicios de cuidado fuera del horario de las guarderías y un portal de ventanilla única que ofrece información y recursos para progenitores únicos, así como contenidos de capacitación para ayudar a los amigos voluntarios a comprometerse y apoyar mejor a las familias monoparentales.</w:t>
      </w:r>
    </w:p>
    <w:p w14:paraId="673B851A" w14:textId="40CF5402" w:rsidR="00A84782" w:rsidRPr="0097216C" w:rsidRDefault="00A84782" w:rsidP="000631D0">
      <w:pPr>
        <w:pStyle w:val="SingleTxt"/>
        <w:numPr>
          <w:ilvl w:val="0"/>
          <w:numId w:val="22"/>
        </w:numPr>
        <w:ind w:left="1267"/>
      </w:pPr>
      <w:r w:rsidRPr="0097216C">
        <w:t>El Gobierno se ha comprometido a garantizar que ningún niño se quede sin una vivienda adecuada en la que crecer. Actualmente, los progenitores solteros pueden comprar un apartamento nuevo de dos o tres habitaciones al Organismo de Vivienda Pública en un complejo sin finalizar o un apartamento de reventa en cualquier complejo o urbanización. Las personas que no puedan permitirse comprar un apartamento y no tengan otras opciones de vivienda podrán optar a apartamentos públicos de alquiler si esto redunda en el interés superior de los hijos. El Organismo de Vivienda Pública seguirá examinando cada solicitud de progenitores solteros de forma integral y colaborará con los trabajadores sociales para prestarles ayuda en materia de vivienda en el mejor interés de los hijos.</w:t>
      </w:r>
    </w:p>
    <w:p w14:paraId="29872EC2" w14:textId="16D837C2" w:rsidR="00A84782" w:rsidRPr="0097216C" w:rsidRDefault="00A84782" w:rsidP="000631D0">
      <w:pPr>
        <w:pStyle w:val="SingleTxt"/>
        <w:numPr>
          <w:ilvl w:val="0"/>
          <w:numId w:val="22"/>
        </w:numPr>
        <w:ind w:left="1267"/>
      </w:pPr>
      <w:r w:rsidRPr="0097216C">
        <w:t>No obstante, nuestras políticas de matrimonio y paternidad pretenden promover y reforzar la institución familiar y fomentar la paternidad dentro del matrimonio. De ahí que determinadas políticas y prestaciones, entre ellas la Bonificación en Metálico para Bebés, se conciban como medidas de apoyo a la crianza de los hijos en el seno de las familias, por lo que no se hacen extensivas a los progenitores únicos no casados.</w:t>
      </w:r>
    </w:p>
    <w:p w14:paraId="69E56C95" w14:textId="788E698A" w:rsidR="00A84782" w:rsidRPr="0097216C" w:rsidRDefault="00A84782" w:rsidP="000631D0">
      <w:pPr>
        <w:pStyle w:val="SingleTxt"/>
        <w:numPr>
          <w:ilvl w:val="0"/>
          <w:numId w:val="22"/>
        </w:numPr>
        <w:ind w:left="1267"/>
      </w:pPr>
      <w:r w:rsidRPr="0097216C">
        <w:lastRenderedPageBreak/>
        <w:t xml:space="preserve">Como se indica en el párrafo </w:t>
      </w:r>
      <w:r w:rsidRPr="00451405">
        <w:t>107</w:t>
      </w:r>
      <w:r w:rsidRPr="0097216C">
        <w:t xml:space="preserve"> de este documento, las familias que deseen tener más hijos pueden recibir prestaciones del Gobierno. Las familias con ingresos más bajos, independientemente del número de hijos que tengan, se benefician de diversas formas de ayudas públicas, como ayudas económicas y subsidios educativos, médicos y de vivienda. Además de esta ayuda global, existen otros regímenes de asistencia social más específicos. El plan “Home Ownership Plus Education” (HOPE) es un programa de contribuciones voluntarias que ofrece ayudas adicionales a las familias con ingresos más bajos que optan por mantener una familia reducida.</w:t>
      </w:r>
    </w:p>
    <w:p w14:paraId="21837C67" w14:textId="77777777" w:rsidR="00A84782" w:rsidRPr="0097216C" w:rsidRDefault="00A84782" w:rsidP="00A84782">
      <w:pPr>
        <w:pStyle w:val="SingleTxt"/>
        <w:spacing w:after="0" w:line="120" w:lineRule="exact"/>
        <w:rPr>
          <w:sz w:val="10"/>
        </w:rPr>
      </w:pPr>
    </w:p>
    <w:p w14:paraId="4C4840F3" w14:textId="77777777" w:rsidR="00A84782" w:rsidRPr="0097216C" w:rsidRDefault="00A84782" w:rsidP="00A84782">
      <w:pPr>
        <w:pStyle w:val="SingleTxt"/>
        <w:spacing w:after="0" w:line="120" w:lineRule="exact"/>
        <w:rPr>
          <w:sz w:val="10"/>
        </w:rPr>
      </w:pPr>
    </w:p>
    <w:p w14:paraId="4B451F53"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XXXI.</w:t>
      </w:r>
      <w:r w:rsidRPr="00451405">
        <w:tab/>
        <w:t>Respuesta al párrafo 21 de la lista de cuestiones y preguntas</w:t>
      </w:r>
    </w:p>
    <w:p w14:paraId="35CF8EF1" w14:textId="77777777" w:rsidR="00A84782" w:rsidRPr="0097216C" w:rsidRDefault="00A84782" w:rsidP="00A84782">
      <w:pPr>
        <w:pStyle w:val="SingleTxt"/>
        <w:spacing w:after="0" w:line="120" w:lineRule="exact"/>
        <w:rPr>
          <w:bCs/>
          <w:sz w:val="10"/>
        </w:rPr>
      </w:pPr>
    </w:p>
    <w:p w14:paraId="76AB7A94" w14:textId="77777777" w:rsidR="00A84782" w:rsidRPr="0097216C" w:rsidRDefault="00A84782" w:rsidP="00A84782">
      <w:pPr>
        <w:pStyle w:val="SingleTxt"/>
        <w:spacing w:after="0" w:line="120" w:lineRule="exact"/>
        <w:rPr>
          <w:bCs/>
          <w:sz w:val="10"/>
        </w:rPr>
      </w:pPr>
    </w:p>
    <w:p w14:paraId="7C7B91E8" w14:textId="6C46CEDB" w:rsidR="00A84782" w:rsidRPr="0097216C" w:rsidRDefault="00A84782" w:rsidP="000631D0">
      <w:pPr>
        <w:pStyle w:val="SingleTxt"/>
        <w:numPr>
          <w:ilvl w:val="0"/>
          <w:numId w:val="22"/>
        </w:numPr>
        <w:ind w:left="1267"/>
      </w:pPr>
      <w:r w:rsidRPr="0097216C">
        <w:t>A medida que nuestra sociedad envejece, Singapur sigue revisando sus políticas y medidas dirigidas a las mujeres de edad para velar por que tengan en cuenta sus necesidades específicas.</w:t>
      </w:r>
    </w:p>
    <w:p w14:paraId="355939C3" w14:textId="4C8BE846" w:rsidR="00A84782" w:rsidRPr="0097216C" w:rsidRDefault="00A84782" w:rsidP="000631D0">
      <w:pPr>
        <w:pStyle w:val="SingleTxt"/>
        <w:numPr>
          <w:ilvl w:val="0"/>
          <w:numId w:val="22"/>
        </w:numPr>
        <w:ind w:left="1267"/>
      </w:pPr>
      <w:r w:rsidRPr="0097216C">
        <w:t xml:space="preserve">Como se indica en el párrafo </w:t>
      </w:r>
      <w:r w:rsidRPr="00451405">
        <w:t>43</w:t>
      </w:r>
      <w:r w:rsidRPr="0097216C">
        <w:t xml:space="preserve"> del Informe Periódico, los ministerios del Gobierno y los organismos del sector público coordinan y ponen en marcha iniciativas de su competencia para atender mejor las necesidades de las mujeres. Esto incluye la recopilación de datos desglosados por sexo, edad y etnia. Actualmente, estos datos están disponibles fácilmente en las estadísticas publicadas por el Departamento de Estadística, como el Censo de Población </w:t>
      </w:r>
      <w:r w:rsidRPr="00451405">
        <w:t>2020</w:t>
      </w:r>
      <w:r w:rsidRPr="0097216C">
        <w:t>, que incluye diversos temas demográficos y socioeconómicos, como la titulación más alta obtenida, la alfabetización, las características económicas y la dificultad para realizar actividades básicas. Los datos sobre las necesidades sanitarias y de cuidados de todos los singapurenses, incluidas las mujeres de edad, se recogen a través de estudios poblacionales como las Encuestas Nacionales de Salud de la Población y el Estudio sobre Jubilación y Salud de la Junta Central de Previsión, que se desglosan por edad, sexo y etnia. Estos estudios se complementan con los resultados de las investigaciones realizadas por los organismos de servicios sociales y las instituciones académicas de Singapur. Todos ellos aportan ideas que el Gobierno utiliza para perfeccionar sus políticas y medidas.</w:t>
      </w:r>
    </w:p>
    <w:p w14:paraId="003E5B66" w14:textId="4ECAEEF2" w:rsidR="00A84782" w:rsidRPr="0097216C" w:rsidRDefault="00A84782" w:rsidP="000631D0">
      <w:pPr>
        <w:pStyle w:val="SingleTxt"/>
        <w:numPr>
          <w:ilvl w:val="0"/>
          <w:numId w:val="22"/>
        </w:numPr>
        <w:ind w:left="1267"/>
      </w:pPr>
      <w:r w:rsidRPr="0097216C">
        <w:t xml:space="preserve">Singapur reconoce la importancia de los cambios de mentalidad, según los cuales hombres y mujeres actúan como iguales y también en el seno de las familias. Por ejemplo, como parte de los planes de acción del Libro Blanco, nuestros planes de estudio incluyen el fomento de la apreciación de la igualdad de roles en la familia, y el Gobierno trabaja estrechamente con asociados comunitarios como Families for Life y Centre for Fathering para promover la paternidad activa y las responsabilidades de crianza compartidas con el fin de cambiar las mentalidades. Otros planes de acción incluyen la colaboración del Gobierno con los empleadores y los sindicatos para afianzar las modalidades de trabajo flexibles como norma en el lugar de trabajo con el fin de conciliar mejor las responsabilidades laborales y asistenciales (véase el párrafo </w:t>
      </w:r>
      <w:r w:rsidRPr="00451405">
        <w:t>80</w:t>
      </w:r>
      <w:r w:rsidRPr="0097216C">
        <w:t xml:space="preserve"> b) para más información), así como el aumento de las ayudas económicas a través de una subvención reforzada para cuidadores en el hogar con el fin de facilitarles la labor.</w:t>
      </w:r>
    </w:p>
    <w:p w14:paraId="38402FF4" w14:textId="53D45BDC" w:rsidR="00A84782" w:rsidRPr="0097216C" w:rsidRDefault="00A84782" w:rsidP="000631D0">
      <w:pPr>
        <w:pStyle w:val="SingleTxt"/>
        <w:numPr>
          <w:ilvl w:val="0"/>
          <w:numId w:val="22"/>
        </w:numPr>
        <w:ind w:left="1267"/>
      </w:pPr>
      <w:r w:rsidRPr="0097216C">
        <w:t xml:space="preserve">En cuanto al envejecimiento, Singapur adopta un enfoque de políticas integral que abarca a toda la sociedad para que todos los singapurenses puedan optimizar su salud física, mental y social a medida que envejecen. El Plan de Acción para Envejecer con Éxito abarca más de </w:t>
      </w:r>
      <w:r w:rsidRPr="00451405">
        <w:t>70</w:t>
      </w:r>
      <w:r w:rsidRPr="0097216C">
        <w:t xml:space="preserve"> iniciativas en </w:t>
      </w:r>
      <w:r w:rsidRPr="00451405">
        <w:t>12</w:t>
      </w:r>
      <w:r w:rsidRPr="0097216C">
        <w:t xml:space="preserve"> ámbitos como la salud y el bienestar, el aprendizaje, el voluntariado, el empleo, la vivienda y el transporte. Para responder a las necesidades de todos los mayores de hoy y de mañana, el Comité Ministerial sobre el Envejecimiento ha puesto en marcha el Plan de Acción renovado en </w:t>
      </w:r>
      <w:r w:rsidRPr="00451405">
        <w:t>2023</w:t>
      </w:r>
      <w:r w:rsidRPr="0097216C">
        <w:t>.</w:t>
      </w:r>
    </w:p>
    <w:p w14:paraId="70EF1D74" w14:textId="4695EBD9" w:rsidR="00A84782" w:rsidRPr="0097216C" w:rsidRDefault="00A84782" w:rsidP="000631D0">
      <w:pPr>
        <w:pStyle w:val="SingleTxt"/>
        <w:numPr>
          <w:ilvl w:val="0"/>
          <w:numId w:val="22"/>
        </w:numPr>
        <w:ind w:left="1267"/>
      </w:pPr>
      <w:r w:rsidRPr="0097216C">
        <w:lastRenderedPageBreak/>
        <w:t>Para garantizar que las políticas y medidas del Plan de Acción para Envejecer con Éxito y el Plan de Acción para el Apoyo de los Cuidadores sean pertinentes para las necesidades de todos los singapurenses se han llevado a cabo grupos focales de participación ciudadana para apoyar el desarrollo de políticas.</w:t>
      </w:r>
    </w:p>
    <w:p w14:paraId="2049EF64" w14:textId="77777777" w:rsidR="00A84782" w:rsidRPr="0097216C" w:rsidRDefault="00A84782" w:rsidP="00A84782">
      <w:pPr>
        <w:pStyle w:val="SingleTxt"/>
        <w:spacing w:after="0" w:line="120" w:lineRule="exact"/>
        <w:rPr>
          <w:sz w:val="10"/>
        </w:rPr>
      </w:pPr>
    </w:p>
    <w:p w14:paraId="4F7199BB" w14:textId="77777777" w:rsidR="00A84782" w:rsidRPr="0097216C" w:rsidRDefault="00A84782" w:rsidP="00A84782">
      <w:pPr>
        <w:pStyle w:val="SingleTxt"/>
        <w:spacing w:after="0" w:line="120" w:lineRule="exact"/>
        <w:rPr>
          <w:sz w:val="10"/>
        </w:rPr>
      </w:pPr>
    </w:p>
    <w:p w14:paraId="7162E928" w14:textId="77777777" w:rsidR="00A84782" w:rsidRPr="0097216C" w:rsidRDefault="00A84782" w:rsidP="00A847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451405">
        <w:tab/>
        <w:t>XXXII.</w:t>
      </w:r>
      <w:r w:rsidRPr="00451405">
        <w:tab/>
        <w:t>Respuesta al párrafo 22 de la lista de cuestiones y preguntas</w:t>
      </w:r>
    </w:p>
    <w:p w14:paraId="7A9797AB" w14:textId="77777777" w:rsidR="00A84782" w:rsidRPr="0097216C" w:rsidRDefault="00A84782" w:rsidP="00A84782">
      <w:pPr>
        <w:pStyle w:val="SingleTxt"/>
        <w:spacing w:after="0" w:line="120" w:lineRule="exact"/>
        <w:rPr>
          <w:bCs/>
          <w:sz w:val="10"/>
        </w:rPr>
      </w:pPr>
    </w:p>
    <w:p w14:paraId="24A269F1" w14:textId="77777777" w:rsidR="00A84782" w:rsidRPr="0097216C" w:rsidRDefault="00A84782" w:rsidP="00A84782">
      <w:pPr>
        <w:pStyle w:val="SingleTxt"/>
        <w:spacing w:after="0" w:line="120" w:lineRule="exact"/>
        <w:rPr>
          <w:bCs/>
          <w:sz w:val="10"/>
        </w:rPr>
      </w:pPr>
    </w:p>
    <w:p w14:paraId="40939147" w14:textId="5F0B1639" w:rsidR="00A84782" w:rsidRPr="0097216C" w:rsidRDefault="00A84782" w:rsidP="000631D0">
      <w:pPr>
        <w:pStyle w:val="SingleTxt"/>
        <w:numPr>
          <w:ilvl w:val="0"/>
          <w:numId w:val="22"/>
        </w:numPr>
        <w:ind w:left="1267"/>
      </w:pPr>
      <w:r w:rsidRPr="0097216C">
        <w:t>Si una persona tiene que asistir al Programa Obligatorio de Crianza Conjunta (es decir, se encuentra en proceso de divorcio y tiene un hijo menor de edad) y no se siente segura si asiste su cónyuge, puede optar por asistir sola.</w:t>
      </w:r>
    </w:p>
    <w:p w14:paraId="4602850E" w14:textId="48FDF2D1" w:rsidR="00A84782" w:rsidRPr="0097216C" w:rsidRDefault="00A84782" w:rsidP="000631D0">
      <w:pPr>
        <w:pStyle w:val="SingleTxt"/>
        <w:numPr>
          <w:ilvl w:val="0"/>
          <w:numId w:val="22"/>
        </w:numPr>
        <w:ind w:left="1267"/>
      </w:pPr>
      <w:r w:rsidRPr="0097216C">
        <w:t>Además, existen salvaguardias en caso de que surjan problemas de seguridad (ya sea antes del Programa Obligatorio o durante su realización).</w:t>
      </w:r>
    </w:p>
    <w:p w14:paraId="379BA26D" w14:textId="7B07329D" w:rsidR="00A84782" w:rsidRPr="0097216C" w:rsidRDefault="00A84782" w:rsidP="000631D0">
      <w:pPr>
        <w:pStyle w:val="SingleTxt"/>
        <w:numPr>
          <w:ilvl w:val="0"/>
          <w:numId w:val="22"/>
        </w:numPr>
        <w:ind w:left="1267"/>
      </w:pPr>
      <w:r w:rsidRPr="0097216C">
        <w:t>Si los progenitores tienen preocupaciones de seguridad activas que son conocidas por un consejero antes de asistir al Programa Obligatorio, el consejero remitirá a la familia a un centro de especialistas en protección para que le brinde apoyo. En el caso de progenitores que reciban asistencia por casos de violencia familiar del centro de especialistas en protección, el centro se encargará del Programa Obligatorio para el progenitor o progenitores que corresponda y ya sea a título individual o con el cónyuge.</w:t>
      </w:r>
    </w:p>
    <w:p w14:paraId="3402C774" w14:textId="284AE37E" w:rsidR="00A84782" w:rsidRPr="0097216C" w:rsidRDefault="00A84782" w:rsidP="000631D0">
      <w:pPr>
        <w:pStyle w:val="SingleTxt"/>
        <w:numPr>
          <w:ilvl w:val="0"/>
          <w:numId w:val="22"/>
        </w:numPr>
        <w:ind w:left="1267"/>
      </w:pPr>
      <w:r w:rsidRPr="0097216C">
        <w:t>En los casos en que los progenitores planteen problemas de seguridad o cuando los asesores detecten estos problemas durante el Programa Obligatorio, la familia será remitida a un centro de especialistas en protección.</w:t>
      </w:r>
    </w:p>
    <w:p w14:paraId="49F2CBEE" w14:textId="145B59BB" w:rsidR="00A84782" w:rsidRPr="0097216C" w:rsidRDefault="00A84782" w:rsidP="000631D0">
      <w:pPr>
        <w:pStyle w:val="SingleTxt"/>
        <w:numPr>
          <w:ilvl w:val="0"/>
          <w:numId w:val="22"/>
        </w:numPr>
        <w:ind w:left="1267"/>
      </w:pPr>
      <w:r w:rsidRPr="0097216C">
        <w:t>Existen disposiciones que permiten a las partes divorciarse dentro de los tres primeros años de matrimonio, por ejemplo, en caso de dificultades excepcionales sufridas por la parte demandante o de depravación excepcional por parte de la parte demandada, lo que puede incluir la violencia familiar. En estos casos, el tribunal puede autorizar la presentación de una demanda de divorcio antes de que hayan transcurrido tres años. Cada caso se determinará en función de los hechos.</w:t>
      </w:r>
    </w:p>
    <w:p w14:paraId="7454ECB1" w14:textId="1565A800" w:rsidR="00A84782" w:rsidRPr="0097216C" w:rsidRDefault="00A84782" w:rsidP="000631D0">
      <w:pPr>
        <w:pStyle w:val="SingleTxt"/>
        <w:numPr>
          <w:ilvl w:val="0"/>
          <w:numId w:val="22"/>
        </w:numPr>
        <w:ind w:left="1267"/>
      </w:pPr>
      <w:r w:rsidRPr="0097216C">
        <w:t>También se ofrece apoyo especializado a los supervivientes de la violencia familiar, que pueden dirigirse a cualquiera de los centros de especialistas en protección o al centro de servicios integrales de PAVE para individuos y familias para solicitar apoyo y asistencia en cualquier momento. Además, los centros de especialistas en protección colaboran con organizaciones que pueden ofrecer asistencia jurídica a los supervivientes en caso de necesidad. Los supervivientes de la violencia familiar también pueden ser remitidos a centros de acogida en crisis, como Star Shelter y Casa Raudha, para recibir refugio y apoyo.</w:t>
      </w:r>
    </w:p>
    <w:p w14:paraId="738E346E" w14:textId="477D2D5E" w:rsidR="00A84782" w:rsidRPr="0097216C" w:rsidRDefault="00A84782" w:rsidP="000631D0">
      <w:pPr>
        <w:pStyle w:val="SingleTxt"/>
        <w:numPr>
          <w:ilvl w:val="0"/>
          <w:numId w:val="22"/>
        </w:numPr>
        <w:ind w:left="1267"/>
      </w:pPr>
      <w:r w:rsidRPr="0097216C">
        <w:t xml:space="preserve">Los cónyuges extranjeros de ciudadanos de Singapur o de residentes permanentes pueden solicitar el permiso de visita de larga duración con una validez de un año en su expedición inicial y de hasta dos años tras la renovación. A algunos cónyuges extranjeros también se les puede conceder un permiso de visita de larga duración superior, que tiene una validez más larga. Se tienen en cuenta los cónyuges extranjeros con hijos que son ciudadanos de Singapur, la duración del matrimonio, la capacidad del patrocinador para mantener económicamente a la familia y la buena conducta tanto del patrocinador como del cónyuge extranjero. Los titulares del permiso superior tienen derecho a la atención sanitaria subvencionada en los hospitales públicos en caso de hospitalización, en condiciones similares a las de los residentes permanentes. Los cónyuges extranjeros de ciudadanos singapurenses o residentes permanentes titulares de un permiso estándar o superior pueden obtener una carta de consentimiento o una carta de consentimiento preaprobada para trabajar en Singapur sin que sus empleadores estén sujetos a las tasas o cuotas </w:t>
      </w:r>
      <w:r w:rsidRPr="0097216C">
        <w:lastRenderedPageBreak/>
        <w:t xml:space="preserve">correspondientes a los trabajadores migrantes. Véase el párrafo </w:t>
      </w:r>
      <w:r w:rsidRPr="00451405">
        <w:t>242</w:t>
      </w:r>
      <w:r w:rsidRPr="0097216C">
        <w:t xml:space="preserve"> del Informe Periódico para conocer los requisitos para trabajar en Singapur.</w:t>
      </w:r>
    </w:p>
    <w:p w14:paraId="593EB15D" w14:textId="47FAA920" w:rsidR="00A84782" w:rsidRPr="0097216C" w:rsidRDefault="00A84782" w:rsidP="000631D0">
      <w:pPr>
        <w:pStyle w:val="SingleTxt"/>
        <w:numPr>
          <w:ilvl w:val="0"/>
          <w:numId w:val="22"/>
        </w:numPr>
        <w:ind w:left="1267"/>
      </w:pPr>
      <w:r w:rsidRPr="0097216C">
        <w:t>La concesión de la residencia permanente a los cónyuges extranjeros de los ciudadanos de Singapur no es automática como en la mayoría de los países. Cada solicitud de residencia permanente se evalúa de forma global teniendo en cuenta distintos criterios para garantizar que el cónyuge que es ciudadano singapurense pueda mantener a la familia y que el matrimonio sea estable. El hecho de que haya hijos del matrimonio que sean ciudadanos de Singapur es ventajoso para la solicitud.</w:t>
      </w:r>
    </w:p>
    <w:p w14:paraId="5A7E888F" w14:textId="25CC3790" w:rsidR="00A84782" w:rsidRPr="0097216C" w:rsidRDefault="00A84782" w:rsidP="000631D0">
      <w:pPr>
        <w:pStyle w:val="SingleTxt"/>
        <w:numPr>
          <w:ilvl w:val="0"/>
          <w:numId w:val="22"/>
        </w:numPr>
        <w:ind w:left="1267"/>
      </w:pPr>
      <w:r w:rsidRPr="0097216C">
        <w:t>En la página web de la Autoridad de Inmigración y Puestos de Control se indican los factores generales que se tienen en cuenta al evaluar las solicitudes de residencia permanente, entre ellos los lazos familiares con singapurenses, la contribución económica, la titulación académica, la edad y el perfil familiar. Al igual que las autoridades de inmigración de todo el mundo, no publicamos criterios detallados para la residencia permanente y la ciudadanía, ya que esto podría dar lugar a trampas y abusos del sistema.</w:t>
      </w:r>
    </w:p>
    <w:p w14:paraId="4349BE66" w14:textId="77777777" w:rsidR="00A84782" w:rsidRPr="0097216C" w:rsidRDefault="00A84782" w:rsidP="00A84782">
      <w:pPr>
        <w:pStyle w:val="SingleTxt"/>
        <w:spacing w:after="0" w:line="120" w:lineRule="exact"/>
        <w:rPr>
          <w:sz w:val="10"/>
        </w:rPr>
      </w:pPr>
    </w:p>
    <w:p w14:paraId="7F1A30D5" w14:textId="77777777" w:rsidR="00A84782" w:rsidRPr="0097216C" w:rsidRDefault="00A84782" w:rsidP="00A84782">
      <w:pPr>
        <w:pStyle w:val="SingleTxt"/>
        <w:spacing w:after="0" w:line="120" w:lineRule="exact"/>
        <w:rPr>
          <w:sz w:val="10"/>
        </w:rPr>
      </w:pPr>
    </w:p>
    <w:p w14:paraId="16929216" w14:textId="77777777" w:rsidR="00A84782" w:rsidRPr="0097216C" w:rsidRDefault="00A84782" w:rsidP="005929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val="0"/>
        </w:rPr>
      </w:pPr>
      <w:r w:rsidRPr="00451405">
        <w:tab/>
        <w:t>XXXIII.</w:t>
      </w:r>
      <w:r w:rsidRPr="00451405">
        <w:tab/>
        <w:t>Respuesta al párrafo 23 a) de la lista de cuestiones y preguntas</w:t>
      </w:r>
    </w:p>
    <w:p w14:paraId="0FFB2592" w14:textId="77777777" w:rsidR="00A84782" w:rsidRPr="0097216C" w:rsidRDefault="00A84782" w:rsidP="00A84782">
      <w:pPr>
        <w:pStyle w:val="SingleTxt"/>
        <w:spacing w:after="0" w:line="120" w:lineRule="exact"/>
        <w:rPr>
          <w:bCs/>
          <w:sz w:val="10"/>
        </w:rPr>
      </w:pPr>
    </w:p>
    <w:p w14:paraId="30DD01C5" w14:textId="77777777" w:rsidR="00A84782" w:rsidRPr="0097216C" w:rsidRDefault="00A84782" w:rsidP="00A84782">
      <w:pPr>
        <w:pStyle w:val="SingleTxt"/>
        <w:spacing w:after="0" w:line="120" w:lineRule="exact"/>
        <w:rPr>
          <w:bCs/>
          <w:sz w:val="10"/>
        </w:rPr>
      </w:pPr>
    </w:p>
    <w:p w14:paraId="082BA6FC" w14:textId="5D63A8CF" w:rsidR="00A84782" w:rsidRPr="0097216C" w:rsidRDefault="00A84782" w:rsidP="000631D0">
      <w:pPr>
        <w:pStyle w:val="SingleTxt"/>
        <w:numPr>
          <w:ilvl w:val="0"/>
          <w:numId w:val="22"/>
        </w:numPr>
        <w:ind w:left="1267"/>
      </w:pPr>
      <w:r w:rsidRPr="0097216C">
        <w:t xml:space="preserve">Según la Carta de la Mujer, los menores deben tener al menos </w:t>
      </w:r>
      <w:r w:rsidRPr="00451405">
        <w:t>18</w:t>
      </w:r>
      <w:r w:rsidRPr="0097216C">
        <w:t xml:space="preserve"> años para poder contraer matrimonio. No obstante, puede solicitarse una licencia matrimonial especial en el caso de que uno de los contrayentes sea menor de </w:t>
      </w:r>
      <w:r w:rsidRPr="00451405">
        <w:t>18</w:t>
      </w:r>
      <w:r w:rsidRPr="0097216C">
        <w:t xml:space="preserve"> años. Antes de la aprobación de la licencia matrimonial especial, ambos solicitantes deben realizar un taller obligatorio de preparación para el matrimonio y se les recomienda encarecidamente que asistan a un taller prenatal (si la solicitante estuviera embarazada). A continuación, un trabajador social cualificado designado por el Ministerio de Desarrollo Social y Familiar evaluará minuciosamente la solicitud antes de formular una recomendación. En la práctica, estos matrimonios son poco frecuentes y su número ha disminuido de </w:t>
      </w:r>
      <w:r w:rsidRPr="00451405">
        <w:t>11</w:t>
      </w:r>
      <w:r w:rsidRPr="0097216C">
        <w:t xml:space="preserve"> (</w:t>
      </w:r>
      <w:r w:rsidRPr="00451405">
        <w:t>0</w:t>
      </w:r>
      <w:r w:rsidRPr="0097216C">
        <w:t>,</w:t>
      </w:r>
      <w:r w:rsidRPr="00451405">
        <w:t>05</w:t>
      </w:r>
      <w:r w:rsidRPr="0097216C">
        <w:t xml:space="preserve"> %) en </w:t>
      </w:r>
      <w:r w:rsidRPr="00451405">
        <w:t>2017</w:t>
      </w:r>
      <w:r w:rsidRPr="0097216C">
        <w:t xml:space="preserve"> a </w:t>
      </w:r>
      <w:r w:rsidRPr="00451405">
        <w:t>1</w:t>
      </w:r>
      <w:r w:rsidRPr="0097216C">
        <w:t xml:space="preserve"> (</w:t>
      </w:r>
      <w:r w:rsidRPr="00451405">
        <w:t>0</w:t>
      </w:r>
      <w:r w:rsidRPr="0097216C">
        <w:t>,</w:t>
      </w:r>
      <w:r w:rsidRPr="00451405">
        <w:t>005</w:t>
      </w:r>
      <w:r w:rsidRPr="0097216C">
        <w:t xml:space="preserve"> %) en </w:t>
      </w:r>
      <w:r w:rsidRPr="00451405">
        <w:t>2021</w:t>
      </w:r>
      <w:r w:rsidRPr="0097216C">
        <w:t>.</w:t>
      </w:r>
    </w:p>
    <w:p w14:paraId="7913DB03" w14:textId="70CCD71D" w:rsidR="00A84782" w:rsidRPr="0097216C" w:rsidRDefault="00A84782" w:rsidP="000631D0">
      <w:pPr>
        <w:pStyle w:val="SingleTxt"/>
        <w:numPr>
          <w:ilvl w:val="0"/>
          <w:numId w:val="22"/>
        </w:numPr>
        <w:ind w:left="1267"/>
      </w:pPr>
      <w:r w:rsidRPr="0097216C">
        <w:t>También se requiere el consentimiento de las partes para contraer matrimonio. La Carta de la Mujer establece que “no se solemnizará ningún matrimonio a menos que la persona que lo solemnice esté convencida de que ambos contrayentes consienten libremente al matrimonio”.</w:t>
      </w:r>
    </w:p>
    <w:p w14:paraId="096A4A6B" w14:textId="2DE9C8F8" w:rsidR="00A84782" w:rsidRPr="0097216C" w:rsidRDefault="00A84782" w:rsidP="000631D0">
      <w:pPr>
        <w:pStyle w:val="SingleTxt"/>
        <w:numPr>
          <w:ilvl w:val="0"/>
          <w:numId w:val="22"/>
        </w:numPr>
        <w:ind w:left="1267"/>
      </w:pPr>
      <w:r w:rsidRPr="0097216C">
        <w:t xml:space="preserve">Aunque la Ley de Administración del Derecho Musulmán permite los matrimonios de niñas menores de </w:t>
      </w:r>
      <w:r w:rsidRPr="00451405">
        <w:t>18</w:t>
      </w:r>
      <w:r w:rsidRPr="0097216C">
        <w:t xml:space="preserve"> años, solo se permiten i) en circunstancias excepcionales con la aprobación del </w:t>
      </w:r>
      <w:r w:rsidRPr="00451405">
        <w:rPr>
          <w:i/>
          <w:iCs/>
        </w:rPr>
        <w:t>kadi</w:t>
      </w:r>
      <w:r w:rsidRPr="0097216C">
        <w:t xml:space="preserve"> (solemnizador) y ii) con el consentimiento de los padres o el tutor de la menor. En la práctica, estos matrimonios son poco frecuentes y su número ha disminuido de </w:t>
      </w:r>
      <w:r w:rsidRPr="00451405">
        <w:t>12</w:t>
      </w:r>
      <w:r w:rsidRPr="0097216C">
        <w:t xml:space="preserve"> (</w:t>
      </w:r>
      <w:r w:rsidRPr="00451405">
        <w:t>0</w:t>
      </w:r>
      <w:r w:rsidRPr="0097216C">
        <w:t>,</w:t>
      </w:r>
      <w:r w:rsidRPr="00451405">
        <w:t>2</w:t>
      </w:r>
      <w:r w:rsidRPr="0097216C">
        <w:t xml:space="preserve"> %) en </w:t>
      </w:r>
      <w:r w:rsidRPr="00451405">
        <w:t>2017</w:t>
      </w:r>
      <w:r w:rsidRPr="0097216C">
        <w:t xml:space="preserve"> a </w:t>
      </w:r>
      <w:r w:rsidRPr="00451405">
        <w:t>5</w:t>
      </w:r>
      <w:r w:rsidRPr="0097216C">
        <w:t xml:space="preserve"> (</w:t>
      </w:r>
      <w:r w:rsidRPr="00451405">
        <w:t>0</w:t>
      </w:r>
      <w:r w:rsidRPr="0097216C">
        <w:t>,</w:t>
      </w:r>
      <w:r w:rsidRPr="00451405">
        <w:t>08</w:t>
      </w:r>
      <w:r w:rsidRPr="0097216C">
        <w:t xml:space="preserve"> %) en </w:t>
      </w:r>
      <w:r w:rsidRPr="00451405">
        <w:t>2021</w:t>
      </w:r>
      <w:r w:rsidRPr="0097216C">
        <w:t>.</w:t>
      </w:r>
    </w:p>
    <w:p w14:paraId="4DB59714" w14:textId="77777777" w:rsidR="00A84782" w:rsidRPr="0097216C" w:rsidRDefault="00A84782" w:rsidP="00A84782">
      <w:pPr>
        <w:pStyle w:val="SingleTxt"/>
        <w:spacing w:after="0" w:line="120" w:lineRule="exact"/>
        <w:rPr>
          <w:sz w:val="10"/>
        </w:rPr>
      </w:pPr>
    </w:p>
    <w:p w14:paraId="4A71BA8C" w14:textId="77777777" w:rsidR="00A84782" w:rsidRPr="0097216C" w:rsidRDefault="00A84782" w:rsidP="00A84782">
      <w:pPr>
        <w:pStyle w:val="SingleTxt"/>
        <w:spacing w:after="0" w:line="120" w:lineRule="exact"/>
        <w:rPr>
          <w:sz w:val="10"/>
        </w:rPr>
      </w:pPr>
    </w:p>
    <w:p w14:paraId="2DDF77AC" w14:textId="77777777" w:rsidR="00A84782" w:rsidRPr="0097216C" w:rsidRDefault="00A84782" w:rsidP="005929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val="0"/>
        </w:rPr>
      </w:pPr>
      <w:r w:rsidRPr="00451405">
        <w:tab/>
        <w:t>XXXIV.</w:t>
      </w:r>
      <w:r w:rsidRPr="00451405">
        <w:tab/>
        <w:t>Respuesta al párrafo 23 b) de la lista de cuestiones y preguntas</w:t>
      </w:r>
    </w:p>
    <w:p w14:paraId="70FEC990" w14:textId="77777777" w:rsidR="00A84782" w:rsidRPr="0097216C" w:rsidRDefault="00A84782" w:rsidP="00A84782">
      <w:pPr>
        <w:pStyle w:val="SingleTxt"/>
        <w:spacing w:after="0" w:line="120" w:lineRule="exact"/>
        <w:rPr>
          <w:bCs/>
          <w:sz w:val="10"/>
        </w:rPr>
      </w:pPr>
    </w:p>
    <w:p w14:paraId="79878F79" w14:textId="77777777" w:rsidR="00A84782" w:rsidRPr="0097216C" w:rsidRDefault="00A84782" w:rsidP="00A84782">
      <w:pPr>
        <w:pStyle w:val="SingleTxt"/>
        <w:spacing w:after="0" w:line="120" w:lineRule="exact"/>
        <w:rPr>
          <w:bCs/>
          <w:sz w:val="10"/>
        </w:rPr>
      </w:pPr>
    </w:p>
    <w:p w14:paraId="4245FC1D" w14:textId="23AABE41" w:rsidR="00A84782" w:rsidRPr="0097216C" w:rsidRDefault="00A84782" w:rsidP="000631D0">
      <w:pPr>
        <w:pStyle w:val="SingleTxt"/>
        <w:numPr>
          <w:ilvl w:val="0"/>
          <w:numId w:val="22"/>
        </w:numPr>
        <w:ind w:left="1267"/>
      </w:pPr>
      <w:r w:rsidRPr="0097216C">
        <w:t>El Registro de Matrimonios Musulmanes cuenta con estrictas salvaguardias para desalentar la poligamia. Las personas que deseen contraer un matrimonio polígamo deben solicitarlo primero al Registro de Matrimonios Musulmanes y someterse a un riguroso proceso de solicitud.</w:t>
      </w:r>
    </w:p>
    <w:p w14:paraId="32AEBE1D" w14:textId="699D73DF" w:rsidR="00A84782" w:rsidRPr="0097216C" w:rsidRDefault="00A84782" w:rsidP="000631D0">
      <w:pPr>
        <w:pStyle w:val="SingleTxt"/>
        <w:numPr>
          <w:ilvl w:val="0"/>
          <w:numId w:val="22"/>
        </w:numPr>
        <w:ind w:left="1267"/>
      </w:pPr>
      <w:r w:rsidRPr="0097216C">
        <w:t xml:space="preserve">El </w:t>
      </w:r>
      <w:r w:rsidRPr="00451405">
        <w:rPr>
          <w:i/>
          <w:iCs/>
        </w:rPr>
        <w:t>kadi</w:t>
      </w:r>
      <w:r w:rsidRPr="0097216C">
        <w:t xml:space="preserve">, al evaluar si aprueba una solicitud de matrimonio polígamo, tiene en cuenta factores como la opinión de la esposa del solicitante, la capacidad financiera del solicitante para mantener a más de una familia y la razón del solicitante para </w:t>
      </w:r>
      <w:r w:rsidRPr="0097216C">
        <w:lastRenderedPageBreak/>
        <w:t xml:space="preserve">querer contraer un segundo matrimonio. El </w:t>
      </w:r>
      <w:r w:rsidRPr="00451405">
        <w:rPr>
          <w:i/>
          <w:iCs/>
        </w:rPr>
        <w:t>kadi</w:t>
      </w:r>
      <w:r w:rsidRPr="0097216C">
        <w:t xml:space="preserve"> debe cerciorarse de que no existe ningún obstáculo legal para el matrimonio.</w:t>
      </w:r>
    </w:p>
    <w:p w14:paraId="0A8ACBB8" w14:textId="77D243AC" w:rsidR="00A84782" w:rsidRPr="0097216C" w:rsidRDefault="00A84782" w:rsidP="000631D0">
      <w:pPr>
        <w:pStyle w:val="SingleTxt"/>
        <w:numPr>
          <w:ilvl w:val="0"/>
          <w:numId w:val="22"/>
        </w:numPr>
        <w:ind w:left="1267"/>
      </w:pPr>
      <w:r w:rsidRPr="0097216C">
        <w:t>Si una persona que solicita contraer matrimonio musulmán en Singapur afirma estar casada en el extranjero, ya sea en matrimonio civil o musulmán, el Registro de Matrimonios Musulmanes no le permitirá contraer matrimonio musulmán en Singapur a menos que se disuelva ese matrimonio extranjero.</w:t>
      </w:r>
    </w:p>
    <w:p w14:paraId="09B600AD" w14:textId="77777777" w:rsidR="00A84782" w:rsidRPr="0097216C" w:rsidRDefault="00A84782" w:rsidP="00A84782">
      <w:pPr>
        <w:pStyle w:val="SingleTxt"/>
        <w:spacing w:after="0" w:line="120" w:lineRule="exact"/>
        <w:rPr>
          <w:sz w:val="10"/>
        </w:rPr>
      </w:pPr>
    </w:p>
    <w:p w14:paraId="2644B47B" w14:textId="77777777" w:rsidR="00A84782" w:rsidRPr="0097216C" w:rsidRDefault="00A84782" w:rsidP="00A84782">
      <w:pPr>
        <w:pStyle w:val="SingleTxt"/>
        <w:spacing w:after="0" w:line="120" w:lineRule="exact"/>
        <w:rPr>
          <w:sz w:val="10"/>
        </w:rPr>
      </w:pPr>
    </w:p>
    <w:p w14:paraId="28FDF9A2" w14:textId="77777777" w:rsidR="00A84782" w:rsidRPr="0097216C" w:rsidRDefault="00A84782" w:rsidP="005929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val="0"/>
        </w:rPr>
      </w:pPr>
      <w:r w:rsidRPr="00451405">
        <w:tab/>
        <w:t>XXXV.</w:t>
      </w:r>
      <w:r w:rsidRPr="00451405">
        <w:tab/>
        <w:t>Respuesta al párrafo 23 c) de la lista de cuestiones y preguntas</w:t>
      </w:r>
    </w:p>
    <w:p w14:paraId="325E7BC4" w14:textId="77777777" w:rsidR="00A84782" w:rsidRPr="0097216C" w:rsidRDefault="00A84782" w:rsidP="00A84782">
      <w:pPr>
        <w:pStyle w:val="SingleTxt"/>
        <w:spacing w:after="0" w:line="120" w:lineRule="exact"/>
        <w:rPr>
          <w:bCs/>
          <w:sz w:val="10"/>
        </w:rPr>
      </w:pPr>
    </w:p>
    <w:p w14:paraId="6DBEE5B8" w14:textId="77777777" w:rsidR="00A84782" w:rsidRPr="0097216C" w:rsidRDefault="00A84782" w:rsidP="00A84782">
      <w:pPr>
        <w:pStyle w:val="SingleTxt"/>
        <w:spacing w:after="0" w:line="120" w:lineRule="exact"/>
        <w:rPr>
          <w:bCs/>
          <w:sz w:val="10"/>
        </w:rPr>
      </w:pPr>
    </w:p>
    <w:p w14:paraId="6EB709F9" w14:textId="14567971" w:rsidR="00A84782" w:rsidRPr="0097216C" w:rsidRDefault="00A84782" w:rsidP="000631D0">
      <w:pPr>
        <w:pStyle w:val="SingleTxt"/>
        <w:numPr>
          <w:ilvl w:val="0"/>
          <w:numId w:val="22"/>
        </w:numPr>
        <w:ind w:left="1267"/>
      </w:pPr>
      <w:r w:rsidRPr="0097216C">
        <w:t>Según la Ley de Administración del Derecho Musulmán, tanto hombres como mujeres pueden iniciar el proceso de divorcio. Las mujeres pueden solicitar el divorcio de acuerdo con el derecho musulmán por diversos motivos, algunos de los cuales son exclusivos de la esposa, como el incumplimiento de las obligaciones conyugales por parte del marido.</w:t>
      </w:r>
    </w:p>
    <w:p w14:paraId="38388248" w14:textId="31C35EDA" w:rsidR="00A84782" w:rsidRPr="0097216C" w:rsidRDefault="00A84782" w:rsidP="000631D0">
      <w:pPr>
        <w:pStyle w:val="SingleTxt"/>
        <w:numPr>
          <w:ilvl w:val="0"/>
          <w:numId w:val="22"/>
        </w:numPr>
        <w:ind w:left="1267"/>
      </w:pPr>
      <w:r w:rsidRPr="0097216C">
        <w:t>Con respecto a todas las causas de divorcio, en los casos concretos deben probarse los hechos relevantes y el nivel de prueba es el mismo con independencia de que el solicitante de divorcio sea el marido o la esposa.</w:t>
      </w:r>
    </w:p>
    <w:p w14:paraId="4D64E78D" w14:textId="66BEA99A" w:rsidR="00A84782" w:rsidRPr="0097216C" w:rsidRDefault="00A84782" w:rsidP="000631D0">
      <w:pPr>
        <w:pStyle w:val="SingleTxt"/>
        <w:numPr>
          <w:ilvl w:val="0"/>
          <w:numId w:val="22"/>
        </w:numPr>
        <w:ind w:left="1267"/>
      </w:pPr>
      <w:r w:rsidRPr="0097216C">
        <w:t xml:space="preserve">Como se explica en el párrafo </w:t>
      </w:r>
      <w:r w:rsidRPr="00451405">
        <w:t>227</w:t>
      </w:r>
      <w:r w:rsidRPr="0097216C">
        <w:t xml:space="preserve"> del Informe Periódico, tras el divorcio, los hombres musulmanes también están obligados a mantener a sus exesposas durante el </w:t>
      </w:r>
      <w:r w:rsidRPr="00451405">
        <w:rPr>
          <w:i/>
          <w:iCs/>
        </w:rPr>
        <w:t>iddah</w:t>
      </w:r>
      <w:r w:rsidRPr="0097216C">
        <w:t xml:space="preserve"> (período de espera antes de que una mujer divorciada pueda casarse con otro hombre), a proporcionar </w:t>
      </w:r>
      <w:r w:rsidRPr="00451405">
        <w:rPr>
          <w:i/>
          <w:iCs/>
        </w:rPr>
        <w:t>mutaah</w:t>
      </w:r>
      <w:r w:rsidRPr="0097216C">
        <w:t xml:space="preserve"> (pago de consolación) y a reembolsar cualquier gasto matrimonial pendiente y </w:t>
      </w:r>
      <w:r w:rsidRPr="00451405">
        <w:rPr>
          <w:i/>
          <w:iCs/>
        </w:rPr>
        <w:t>emas kahwin</w:t>
      </w:r>
      <w:r w:rsidRPr="0097216C">
        <w:t xml:space="preserve"> (pago obligatorio por el matrimonio).</w:t>
      </w:r>
    </w:p>
    <w:p w14:paraId="201FA673" w14:textId="4D31C4F6" w:rsidR="00A84782" w:rsidRPr="0097216C" w:rsidRDefault="00A84782" w:rsidP="000631D0">
      <w:pPr>
        <w:pStyle w:val="SingleTxt"/>
        <w:numPr>
          <w:ilvl w:val="0"/>
          <w:numId w:val="22"/>
        </w:numPr>
        <w:ind w:left="1267"/>
      </w:pPr>
      <w:r w:rsidRPr="0097216C">
        <w:t>En cuanto a otras cuestiones accesorias como la división de los bienes matrimoniales, o la custodia, cuidado y control de los hijos, tanto hombres como mujeres pueden reclamar y tienen derecho a recibir partes de la división de los bienes matrimoniales y a obtener la custodia de los hijos y el derecho de visita según considere oportuno el tribunal basándose en la consideración primordial del bienestar del menor.</w:t>
      </w:r>
    </w:p>
    <w:p w14:paraId="79414531" w14:textId="77777777" w:rsidR="00A84782" w:rsidRPr="0097216C" w:rsidRDefault="00A84782" w:rsidP="00A84782">
      <w:pPr>
        <w:pStyle w:val="SingleTxt"/>
        <w:spacing w:after="0" w:line="120" w:lineRule="exact"/>
        <w:rPr>
          <w:sz w:val="10"/>
        </w:rPr>
      </w:pPr>
    </w:p>
    <w:p w14:paraId="58086A93" w14:textId="77777777" w:rsidR="00A84782" w:rsidRPr="0097216C" w:rsidRDefault="00A84782" w:rsidP="00A84782">
      <w:pPr>
        <w:pStyle w:val="SingleTxt"/>
        <w:spacing w:after="0" w:line="120" w:lineRule="exact"/>
        <w:rPr>
          <w:sz w:val="10"/>
        </w:rPr>
      </w:pPr>
    </w:p>
    <w:p w14:paraId="127A6B5E" w14:textId="77777777" w:rsidR="00A84782" w:rsidRPr="0097216C" w:rsidRDefault="00A84782" w:rsidP="005929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val="0"/>
        </w:rPr>
      </w:pPr>
      <w:r w:rsidRPr="00451405">
        <w:tab/>
        <w:t>XXXVI.</w:t>
      </w:r>
      <w:r w:rsidRPr="00451405">
        <w:tab/>
        <w:t>Respuesta al párrafo 23 d) de la lista de cuestiones y preguntas</w:t>
      </w:r>
    </w:p>
    <w:p w14:paraId="7D75A4E0" w14:textId="77777777" w:rsidR="00A84782" w:rsidRPr="0097216C" w:rsidRDefault="00A84782" w:rsidP="00A84782">
      <w:pPr>
        <w:pStyle w:val="SingleTxt"/>
        <w:spacing w:after="0" w:line="120" w:lineRule="exact"/>
        <w:rPr>
          <w:bCs/>
          <w:sz w:val="10"/>
        </w:rPr>
      </w:pPr>
    </w:p>
    <w:p w14:paraId="25431A44" w14:textId="77777777" w:rsidR="00A84782" w:rsidRPr="0097216C" w:rsidRDefault="00A84782" w:rsidP="00A84782">
      <w:pPr>
        <w:pStyle w:val="SingleTxt"/>
        <w:spacing w:after="0" w:line="120" w:lineRule="exact"/>
        <w:rPr>
          <w:bCs/>
          <w:sz w:val="10"/>
        </w:rPr>
      </w:pPr>
    </w:p>
    <w:p w14:paraId="0C2EDC97" w14:textId="5B812FEC" w:rsidR="00A84782" w:rsidRPr="0097216C" w:rsidRDefault="00A84782" w:rsidP="000631D0">
      <w:pPr>
        <w:pStyle w:val="SingleTxt"/>
        <w:numPr>
          <w:ilvl w:val="0"/>
          <w:numId w:val="22"/>
        </w:numPr>
        <w:ind w:left="1267"/>
      </w:pPr>
      <w:r w:rsidRPr="0097216C">
        <w:t xml:space="preserve">El Comité de Fetuas del </w:t>
      </w:r>
      <w:r w:rsidR="0094631C" w:rsidRPr="00451405">
        <w:rPr>
          <w:i/>
          <w:iCs/>
        </w:rPr>
        <w:t xml:space="preserve">Majlis Ugama </w:t>
      </w:r>
      <w:proofErr w:type="gramStart"/>
      <w:r w:rsidR="0094631C" w:rsidRPr="00451405">
        <w:rPr>
          <w:i/>
          <w:iCs/>
        </w:rPr>
        <w:t>Islam</w:t>
      </w:r>
      <w:proofErr w:type="gramEnd"/>
      <w:r w:rsidR="0094631C" w:rsidRPr="00451405">
        <w:rPr>
          <w:i/>
          <w:iCs/>
        </w:rPr>
        <w:t xml:space="preserve"> Singapura</w:t>
      </w:r>
      <w:r w:rsidR="0094631C" w:rsidRPr="0097216C">
        <w:t xml:space="preserve"> </w:t>
      </w:r>
      <w:r w:rsidRPr="0097216C">
        <w:t xml:space="preserve">(Consejo Religioso Islámico de Singapur) ha emitido varias fetuas (dictámenes religiosos) a lo largo de los años para proteger el bienestar económico de las mujeres musulmanas y de las personas que estas tienen a su cargo cuando muere algún miembro de la familia. Valga como ilustración la fetua sobre el condominio, que se volvió a modificar en </w:t>
      </w:r>
      <w:r w:rsidRPr="00451405">
        <w:t>2019</w:t>
      </w:r>
      <w:r w:rsidRPr="0097216C">
        <w:t xml:space="preserve"> para reconocer a la esposa como asociada en igualdad de condiciones (en lo relativo a la propiedad de la vivienda), independientemente de su contribución financiera a la compra del inmueble. Estos nuevos dictámenes permiten a las familias salvaguardar el bienestar económico de los miembros femeninos de la familia, así como de las personas a su cargo, a través de herramientas e instrumentos alternativos disponibles, además del </w:t>
      </w:r>
      <w:r w:rsidRPr="00451405">
        <w:rPr>
          <w:i/>
          <w:iCs/>
        </w:rPr>
        <w:t>faraidh</w:t>
      </w:r>
      <w:r w:rsidRPr="0097216C">
        <w:t xml:space="preserve"> (derecho sucesorio musulmán) (véase el párrafo </w:t>
      </w:r>
      <w:r w:rsidRPr="00451405">
        <w:t>232</w:t>
      </w:r>
      <w:r w:rsidRPr="0097216C">
        <w:t xml:space="preserve"> del Informe Periódico para más detalles sobre los esfuerzos para sensibilizar a la opinión pública sobre estas fetuas).</w:t>
      </w:r>
    </w:p>
    <w:p w14:paraId="03E57FD0" w14:textId="5F0F53E6" w:rsidR="00A84782" w:rsidRPr="0097216C" w:rsidRDefault="00A84782" w:rsidP="000631D0">
      <w:pPr>
        <w:pStyle w:val="SingleTxt"/>
        <w:numPr>
          <w:ilvl w:val="0"/>
          <w:numId w:val="22"/>
        </w:numPr>
        <w:ind w:left="1267"/>
      </w:pPr>
      <w:r w:rsidRPr="0097216C">
        <w:t xml:space="preserve">El Consejo Religioso Islámico de Singapur también ha llevado a cabo actividades de divulgación pública a través de diversas plataformas, como cursos de formación profesional continua para </w:t>
      </w:r>
      <w:r w:rsidRPr="00451405">
        <w:rPr>
          <w:i/>
          <w:iCs/>
        </w:rPr>
        <w:t>asatizah</w:t>
      </w:r>
      <w:r w:rsidRPr="0097216C">
        <w:t xml:space="preserve"> (líderes religiosos musulmanes), una serie de charlas y foros en mezquitas de todo Singapur, y campañas en los medios </w:t>
      </w:r>
      <w:r w:rsidRPr="0097216C">
        <w:lastRenderedPageBreak/>
        <w:t>sociales y la radio nacional. Estos esfuerzos de educación pública tenían como objetivo instruir a la comunidad sobre la gama de instrumentos de planificación financiera disponibles para las familias musulmanas.</w:t>
      </w:r>
    </w:p>
    <w:p w14:paraId="3A909C60" w14:textId="3FA1BAE2" w:rsidR="00A84782" w:rsidRPr="0097216C" w:rsidRDefault="00A84782" w:rsidP="000631D0">
      <w:pPr>
        <w:pStyle w:val="SingleTxt"/>
        <w:numPr>
          <w:ilvl w:val="0"/>
          <w:numId w:val="22"/>
        </w:numPr>
        <w:ind w:left="1267"/>
      </w:pPr>
      <w:r w:rsidRPr="0097216C">
        <w:t xml:space="preserve">Las modificaciones introducidas en </w:t>
      </w:r>
      <w:r w:rsidRPr="00451405">
        <w:t>2017</w:t>
      </w:r>
      <w:r w:rsidRPr="0097216C">
        <w:t xml:space="preserve"> en los artículos </w:t>
      </w:r>
      <w:r w:rsidRPr="00451405">
        <w:t>116</w:t>
      </w:r>
      <w:r w:rsidRPr="0097216C">
        <w:t xml:space="preserve"> y </w:t>
      </w:r>
      <w:r w:rsidRPr="00451405">
        <w:t>117</w:t>
      </w:r>
      <w:r w:rsidRPr="0097216C">
        <w:t xml:space="preserve"> de la Ley de Administración del Derecho Musulmán permiten ahora al tribunal, si lo considera oportuno, habilitar a las mujeres beneficiarias a convertirse en administradoras únicas de la herencia de un hombre fallecido. Esto no era posible antes, aunque los maridos tenían la autorización de convertirse en administradores únicos de la herencia de sus esposas. Estas modificaciones eliminan el tratamiento diferenciado de la administración por parte de la esposa de la herencia del marido.</w:t>
      </w:r>
    </w:p>
    <w:p w14:paraId="58CBEF28" w14:textId="77777777" w:rsidR="00A84782" w:rsidRPr="0097216C" w:rsidRDefault="00A84782" w:rsidP="00A84782">
      <w:pPr>
        <w:pStyle w:val="SingleTxt"/>
        <w:spacing w:after="0" w:line="120" w:lineRule="exact"/>
        <w:rPr>
          <w:sz w:val="10"/>
        </w:rPr>
      </w:pPr>
    </w:p>
    <w:p w14:paraId="22A2BB08" w14:textId="77777777" w:rsidR="00A84782" w:rsidRPr="0097216C" w:rsidRDefault="00A84782" w:rsidP="00A84782">
      <w:pPr>
        <w:pStyle w:val="SingleTxt"/>
        <w:spacing w:after="0" w:line="120" w:lineRule="exact"/>
        <w:rPr>
          <w:sz w:val="10"/>
        </w:rPr>
      </w:pPr>
    </w:p>
    <w:p w14:paraId="5E6FB09C" w14:textId="77777777" w:rsidR="00A84782" w:rsidRPr="0097216C" w:rsidRDefault="00A84782" w:rsidP="005929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b w:val="0"/>
        </w:rPr>
      </w:pPr>
      <w:r w:rsidRPr="00451405">
        <w:tab/>
        <w:t>XXXVII.</w:t>
      </w:r>
      <w:r w:rsidRPr="00451405">
        <w:tab/>
        <w:t>Respuesta al párrafo 23 e) de la lista de cuestiones y preguntas</w:t>
      </w:r>
    </w:p>
    <w:p w14:paraId="7DD746D5" w14:textId="77777777" w:rsidR="00A84782" w:rsidRPr="0097216C" w:rsidRDefault="00A84782" w:rsidP="00A84782">
      <w:pPr>
        <w:pStyle w:val="SingleTxt"/>
        <w:spacing w:after="0" w:line="120" w:lineRule="exact"/>
        <w:rPr>
          <w:bCs/>
          <w:sz w:val="10"/>
        </w:rPr>
      </w:pPr>
    </w:p>
    <w:p w14:paraId="46C54460" w14:textId="77777777" w:rsidR="00A84782" w:rsidRPr="0097216C" w:rsidRDefault="00A84782" w:rsidP="00A84782">
      <w:pPr>
        <w:pStyle w:val="SingleTxt"/>
        <w:spacing w:after="0" w:line="120" w:lineRule="exact"/>
        <w:rPr>
          <w:bCs/>
          <w:sz w:val="10"/>
        </w:rPr>
      </w:pPr>
    </w:p>
    <w:p w14:paraId="713ED4CD" w14:textId="150056C1" w:rsidR="00A84782" w:rsidRPr="0097216C" w:rsidRDefault="00A84782" w:rsidP="000631D0">
      <w:pPr>
        <w:pStyle w:val="SingleTxt"/>
        <w:numPr>
          <w:ilvl w:val="0"/>
          <w:numId w:val="22"/>
        </w:numPr>
        <w:ind w:left="1267"/>
      </w:pPr>
      <w:r w:rsidRPr="0097216C">
        <w:t xml:space="preserve">Las funcionarias desempeñan un papel importante en diversas instituciones musulmanas. Hay una mayor representación de mujeres en puestos importantes de la administración del derecho de familia musulmán en Singapur, tanto en el Tribunal de la Sharía como en el Registro de Matrimonios Musulmanes, como se menciona en el párrafo </w:t>
      </w:r>
      <w:r w:rsidRPr="00451405">
        <w:t>122</w:t>
      </w:r>
      <w:r w:rsidRPr="0097216C">
        <w:t xml:space="preserve"> g) del Informe Periódico. Además, las mujeres también representan el </w:t>
      </w:r>
      <w:r w:rsidRPr="00451405">
        <w:t>30</w:t>
      </w:r>
      <w:r w:rsidRPr="0097216C">
        <w:t xml:space="preserve"> % del Consejo Religioso Islámico de Singapur y el </w:t>
      </w:r>
      <w:r w:rsidRPr="00451405">
        <w:t>24</w:t>
      </w:r>
      <w:r w:rsidRPr="0097216C">
        <w:t xml:space="preserve"> % del Tribunal de Apelación. Sin embargo, para el Registro de Matrimonios Musulmanes, los papeles del </w:t>
      </w:r>
      <w:r w:rsidRPr="00451405">
        <w:rPr>
          <w:i/>
          <w:iCs/>
        </w:rPr>
        <w:t>kadi</w:t>
      </w:r>
      <w:r w:rsidRPr="0097216C">
        <w:t xml:space="preserve"> y el </w:t>
      </w:r>
      <w:r w:rsidRPr="00451405">
        <w:rPr>
          <w:i/>
          <w:iCs/>
        </w:rPr>
        <w:t>naib kadi</w:t>
      </w:r>
      <w:r w:rsidRPr="0097216C">
        <w:t xml:space="preserve"> implican rituales religiosos que solamente deben llevar a cabo los varones.</w:t>
      </w:r>
    </w:p>
    <w:p w14:paraId="19722989" w14:textId="6FCF4EFD" w:rsidR="00A84782" w:rsidRPr="0097216C" w:rsidRDefault="00A84782" w:rsidP="00A84782">
      <w:pPr>
        <w:pStyle w:val="SingleTxt"/>
      </w:pPr>
      <w:r w:rsidRPr="00451405">
        <w:rPr>
          <w:w w:val="100"/>
        </w:rPr>
        <mc:AlternateContent>
          <mc:Choice Requires="wps">
            <w:drawing>
              <wp:anchor distT="0" distB="0" distL="114300" distR="114300" simplePos="0" relativeHeight="251660288" behindDoc="0" locked="0" layoutInCell="1" allowOverlap="1" wp14:anchorId="4FEDECF7" wp14:editId="71E9120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60596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84782" w:rsidRPr="0097216C" w:rsidSect="00F164D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3-19T09:58:00Z" w:initials="Start">
    <w:p w14:paraId="6992CF83" w14:textId="77777777" w:rsidR="00F27385" w:rsidRPr="0097216C" w:rsidRDefault="00F27385">
      <w:pPr>
        <w:pStyle w:val="CommentText"/>
        <w:rPr>
          <w:lang w:val="en-US"/>
        </w:rPr>
      </w:pPr>
      <w:r>
        <w:rPr>
          <w:rStyle w:val="CommentReference"/>
        </w:rPr>
        <w:annotationRef/>
      </w:r>
      <w:r w:rsidRPr="0097216C">
        <w:rPr>
          <w:lang w:val="en-US"/>
        </w:rPr>
        <w:t>&lt;&lt;ODS JOB NO&gt;&gt;N2404155S&lt;&lt;ODS JOB NO&gt;&gt;</w:t>
      </w:r>
    </w:p>
    <w:p w14:paraId="0293A8FF" w14:textId="77777777" w:rsidR="00F27385" w:rsidRPr="0097216C" w:rsidRDefault="00F27385">
      <w:pPr>
        <w:pStyle w:val="CommentText"/>
        <w:rPr>
          <w:lang w:val="en-US"/>
        </w:rPr>
      </w:pPr>
      <w:r w:rsidRPr="0097216C">
        <w:rPr>
          <w:lang w:val="en-US"/>
        </w:rPr>
        <w:t>&lt;&lt;ODS DOC SYMBOL1&gt;&gt;CEDAW/C/SGP/RQ/6&lt;&lt;ODS DOC SYMBOL1&gt;&gt;</w:t>
      </w:r>
    </w:p>
    <w:p w14:paraId="683D7206" w14:textId="75C6ECB7" w:rsidR="00F27385" w:rsidRPr="0097216C" w:rsidRDefault="00F27385">
      <w:pPr>
        <w:pStyle w:val="CommentText"/>
        <w:rPr>
          <w:lang w:val="en-US"/>
        </w:rPr>
      </w:pPr>
      <w:r w:rsidRPr="0097216C">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83D72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9A3E083" w16cex:dateUtc="2024-03-19T13: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83D7206" w16cid:durableId="29A3E08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62FA6F" w14:textId="77777777" w:rsidR="00F164DF" w:rsidRDefault="00F164DF" w:rsidP="00331D20">
      <w:r>
        <w:separator/>
      </w:r>
    </w:p>
  </w:endnote>
  <w:endnote w:type="continuationSeparator" w:id="0">
    <w:p w14:paraId="2192E6E5" w14:textId="77777777" w:rsidR="00F164DF" w:rsidRDefault="00F164D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27385" w14:paraId="16834357" w14:textId="77777777" w:rsidTr="00F27385">
      <w:tc>
        <w:tcPr>
          <w:tcW w:w="4920" w:type="dxa"/>
          <w:shd w:val="clear" w:color="auto" w:fill="auto"/>
          <w:vAlign w:val="bottom"/>
        </w:tcPr>
        <w:p w14:paraId="160BF0CC" w14:textId="77777777" w:rsidR="00F27385" w:rsidRPr="00F27385" w:rsidRDefault="00F27385" w:rsidP="00F2738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3217B47" w14:textId="77777777" w:rsidR="00F27385" w:rsidRPr="00F27385" w:rsidRDefault="00F27385" w:rsidP="00F2738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24-02906</w:t>
          </w:r>
          <w:r>
            <w:rPr>
              <w:b w:val="0"/>
              <w:color w:val="000000"/>
              <w:sz w:val="14"/>
            </w:rPr>
            <w:fldChar w:fldCharType="end"/>
          </w:r>
        </w:p>
      </w:tc>
    </w:tr>
  </w:tbl>
  <w:p w14:paraId="44BB0D56" w14:textId="77777777" w:rsidR="00F27385" w:rsidRPr="00F27385" w:rsidRDefault="00F27385" w:rsidP="00F273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27385" w14:paraId="32B86FA2" w14:textId="77777777" w:rsidTr="00F27385">
      <w:tc>
        <w:tcPr>
          <w:tcW w:w="4920" w:type="dxa"/>
          <w:shd w:val="clear" w:color="auto" w:fill="auto"/>
          <w:vAlign w:val="bottom"/>
        </w:tcPr>
        <w:p w14:paraId="0A749835" w14:textId="77777777" w:rsidR="00F27385" w:rsidRPr="00F27385" w:rsidRDefault="00F27385" w:rsidP="00F2738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24-02906</w:t>
          </w:r>
          <w:r>
            <w:rPr>
              <w:b w:val="0"/>
              <w:color w:val="000000"/>
              <w:sz w:val="14"/>
            </w:rPr>
            <w:fldChar w:fldCharType="end"/>
          </w:r>
        </w:p>
      </w:tc>
      <w:tc>
        <w:tcPr>
          <w:tcW w:w="4920" w:type="dxa"/>
          <w:shd w:val="clear" w:color="auto" w:fill="auto"/>
          <w:vAlign w:val="bottom"/>
        </w:tcPr>
        <w:p w14:paraId="35FFD5C3" w14:textId="77777777" w:rsidR="00F27385" w:rsidRPr="00F27385" w:rsidRDefault="00F27385" w:rsidP="00F2738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89F72DD" w14:textId="77777777" w:rsidR="00F27385" w:rsidRPr="00F27385" w:rsidRDefault="00F27385" w:rsidP="00F273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84241" w14:textId="77777777" w:rsidR="00F27385" w:rsidRPr="00F27385" w:rsidRDefault="00F27385" w:rsidP="00F27385">
    <w:pPr>
      <w:pStyle w:val="Footer"/>
      <w:spacing w:line="120" w:lineRule="exact"/>
      <w:rPr>
        <w:b w:val="0"/>
        <w:sz w:val="10"/>
      </w:rPr>
    </w:pPr>
    <w:r>
      <w:rPr>
        <w:b w:val="0"/>
        <w:sz w:val="10"/>
      </w:rPr>
      <w:drawing>
        <wp:anchor distT="0" distB="0" distL="114300" distR="114300" simplePos="0" relativeHeight="251658240" behindDoc="0" locked="0" layoutInCell="1" allowOverlap="1" wp14:anchorId="41F18AEA" wp14:editId="6A6B171C">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27385" w14:paraId="4CE54A53" w14:textId="77777777" w:rsidTr="00F27385">
      <w:tc>
        <w:tcPr>
          <w:tcW w:w="3830" w:type="dxa"/>
          <w:shd w:val="clear" w:color="auto" w:fill="auto"/>
        </w:tcPr>
        <w:p w14:paraId="29E2A23D" w14:textId="0BE42BC9" w:rsidR="00F27385" w:rsidRDefault="00F27385" w:rsidP="00F27385">
          <w:pPr>
            <w:pStyle w:val="ReleaseDate"/>
          </w:pPr>
          <w:r>
            <w:t xml:space="preserve">24-02906 (S)    </w:t>
          </w:r>
          <w:r w:rsidR="00A84782">
            <w:t>08</w:t>
          </w:r>
          <w:r>
            <w:t xml:space="preserve">0324    </w:t>
          </w:r>
          <w:r w:rsidR="00A84782">
            <w:t>04</w:t>
          </w:r>
          <w:r>
            <w:t>0</w:t>
          </w:r>
          <w:r w:rsidR="00A84782">
            <w:t>4</w:t>
          </w:r>
          <w:r>
            <w:t>24</w:t>
          </w:r>
        </w:p>
        <w:p w14:paraId="7676C3EA" w14:textId="77777777" w:rsidR="00F27385" w:rsidRPr="00F27385" w:rsidRDefault="00F27385" w:rsidP="00F2738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*2402906*</w:t>
          </w:r>
        </w:p>
      </w:tc>
      <w:tc>
        <w:tcPr>
          <w:tcW w:w="4920" w:type="dxa"/>
          <w:shd w:val="clear" w:color="auto" w:fill="auto"/>
        </w:tcPr>
        <w:p w14:paraId="4546EC55" w14:textId="77777777" w:rsidR="00F27385" w:rsidRDefault="00F27385" w:rsidP="00F27385">
          <w:pPr>
            <w:pStyle w:val="Footer"/>
            <w:ind w:right="86"/>
            <w:jc w:val="right"/>
            <w:rPr>
              <w:b w:val="0"/>
              <w:sz w:val="20"/>
            </w:rPr>
          </w:pPr>
          <w:r>
            <w:rPr>
              <w:b w:val="0"/>
              <w:sz w:val="20"/>
            </w:rPr>
            <w:drawing>
              <wp:inline distT="0" distB="0" distL="0" distR="0" wp14:anchorId="296280CA" wp14:editId="42F3834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3613D01" w14:textId="77777777" w:rsidR="00F27385" w:rsidRPr="00F27385" w:rsidRDefault="00F27385" w:rsidP="00F2738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CF743C" w14:textId="77777777" w:rsidR="00F164DF" w:rsidRPr="00A84782" w:rsidRDefault="00F164DF" w:rsidP="00A84782">
      <w:pPr>
        <w:pStyle w:val="Footer"/>
        <w:spacing w:after="80"/>
        <w:ind w:left="792"/>
        <w:rPr>
          <w:sz w:val="16"/>
        </w:rPr>
      </w:pPr>
      <w:r w:rsidRPr="00A84782">
        <w:rPr>
          <w:sz w:val="16"/>
        </w:rPr>
        <w:t>__________________</w:t>
      </w:r>
    </w:p>
  </w:footnote>
  <w:footnote w:type="continuationSeparator" w:id="0">
    <w:p w14:paraId="0003ED43" w14:textId="77777777" w:rsidR="00F164DF" w:rsidRPr="00A84782" w:rsidRDefault="00F164DF" w:rsidP="00A84782">
      <w:pPr>
        <w:pStyle w:val="Footer"/>
        <w:spacing w:after="80"/>
        <w:ind w:left="792"/>
        <w:rPr>
          <w:sz w:val="16"/>
        </w:rPr>
      </w:pPr>
      <w:r w:rsidRPr="00A84782">
        <w:rPr>
          <w:sz w:val="16"/>
        </w:rPr>
        <w:t>__________________</w:t>
      </w:r>
    </w:p>
  </w:footnote>
  <w:footnote w:id="1">
    <w:p w14:paraId="43CA2DB8" w14:textId="701C569A" w:rsidR="00A84782" w:rsidRPr="00120E34" w:rsidRDefault="00A84782" w:rsidP="00AA4C0B">
      <w:pPr>
        <w:pStyle w:val="FootnoteText"/>
        <w:tabs>
          <w:tab w:val="clear" w:pos="418"/>
          <w:tab w:val="right" w:pos="1195"/>
          <w:tab w:val="left" w:pos="1267"/>
          <w:tab w:val="left" w:pos="1742"/>
          <w:tab w:val="left" w:pos="2218"/>
          <w:tab w:val="left" w:pos="2693"/>
        </w:tabs>
        <w:ind w:left="1267" w:right="1267" w:hanging="432"/>
        <w:rPr>
          <w:rStyle w:val="FootnoteTextChar"/>
        </w:rPr>
      </w:pPr>
      <w:r>
        <w:rPr>
          <w:rStyle w:val="FootnoteTextChar"/>
        </w:rPr>
        <w:tab/>
      </w:r>
      <w:r w:rsidRPr="00451405">
        <w:rPr>
          <w:rStyle w:val="FootnoteReference"/>
        </w:rPr>
        <w:footnoteRef/>
      </w:r>
      <w:r>
        <w:tab/>
        <w:t>Estas encuestas clave incluyen el Censo de Población, la Encuesta General de Hogares, la Encuesta de Gastos de los Hogares y la Encuesta Global de Población Activa. Los datos publicados sobre estadísticas de los hogares también han incorporado la actualización</w:t>
      </w:r>
      <w:r w:rsidR="009B3F51">
        <w:t>.</w:t>
      </w:r>
    </w:p>
  </w:footnote>
  <w:footnote w:id="2">
    <w:p w14:paraId="0022EF6A" w14:textId="77777777" w:rsidR="00F651FB" w:rsidRPr="00120E34" w:rsidRDefault="00F651FB" w:rsidP="00F651FB">
      <w:pPr>
        <w:pStyle w:val="FootnoteText"/>
        <w:tabs>
          <w:tab w:val="clear" w:pos="418"/>
          <w:tab w:val="right" w:pos="1195"/>
          <w:tab w:val="left" w:pos="1267"/>
          <w:tab w:val="left" w:pos="1742"/>
          <w:tab w:val="left" w:pos="2218"/>
          <w:tab w:val="left" w:pos="2693"/>
        </w:tabs>
        <w:ind w:left="1267" w:right="1267" w:hanging="432"/>
        <w:rPr>
          <w:w w:val="103"/>
          <w:kern w:val="14"/>
        </w:rPr>
      </w:pPr>
      <w:r>
        <w:rPr>
          <w:szCs w:val="17"/>
        </w:rPr>
        <w:tab/>
      </w:r>
      <w:r w:rsidRPr="00451405">
        <w:rPr>
          <w:rStyle w:val="FootnoteReference"/>
          <w:szCs w:val="18"/>
        </w:rPr>
        <w:footnoteRef/>
      </w:r>
      <w:r>
        <w:tab/>
        <w:t>Por ejemplo, consejeros escolares, apoyo de los docentes y planes de estudios.</w:t>
      </w:r>
    </w:p>
  </w:footnote>
  <w:footnote w:id="3">
    <w:p w14:paraId="076A6C8B" w14:textId="77777777" w:rsidR="00A84782" w:rsidRPr="00120E34" w:rsidRDefault="00A84782" w:rsidP="00A84782">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451405">
        <w:rPr>
          <w:rStyle w:val="FootnoteReference"/>
          <w:szCs w:val="17"/>
        </w:rPr>
        <w:footnoteRef/>
      </w:r>
      <w:r>
        <w:tab/>
        <w:t>Por ejemplo, los alumnos con necesidades educativas especiales que se hayan presentado a los exámenes nacionales pueden incorporarse a centros de enseñanza secundaria de educación general o a centros de enseñanza postsecundaria y recibir apoyo para realizar la transición sin problemas.</w:t>
      </w:r>
    </w:p>
  </w:footnote>
  <w:footnote w:id="4">
    <w:p w14:paraId="18D2D80E" w14:textId="77777777" w:rsidR="00A84782" w:rsidRPr="00120E34" w:rsidRDefault="00A84782" w:rsidP="00A84782">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451405">
        <w:rPr>
          <w:rStyle w:val="FootnoteReference"/>
          <w:szCs w:val="17"/>
        </w:rPr>
        <w:footnoteRef/>
      </w:r>
      <w:r>
        <w:tab/>
        <w:t>La iniciativa School Partnerships (educación general - educación especial) es un programa de alianzas dirigido por las escuelas, en el que se aplica un enfoque planificado y gradual con el fin de desarrollar la confianza en uno mismo y las habilidades sociocomunicativas necesarias para fomentar interacciones satisfactorias entre los alumnos con discapacidad y sus compañeros.</w:t>
      </w:r>
    </w:p>
  </w:footnote>
  <w:footnote w:id="5">
    <w:p w14:paraId="52E72BF1" w14:textId="77777777" w:rsidR="00F651FB" w:rsidRPr="00120E34" w:rsidRDefault="00F651FB" w:rsidP="00F651F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451405">
        <w:rPr>
          <w:rStyle w:val="FootnoteReference"/>
          <w:szCs w:val="17"/>
        </w:rPr>
        <w:footnoteRef/>
      </w:r>
      <w:r>
        <w:tab/>
        <w:t>Incluyen servicios itinerantes de organizaciones de personas con discapacidad y tecnologías de apoyo para mejorar la accesibilidad al aprendizaje de estudiantes ciegos, sordos o con discapacidad física.</w:t>
      </w:r>
    </w:p>
  </w:footnote>
  <w:footnote w:id="6">
    <w:p w14:paraId="6E37A6DF" w14:textId="77777777" w:rsidR="00F651FB" w:rsidRPr="00120E34" w:rsidRDefault="00F651FB" w:rsidP="00F651FB">
      <w:pPr>
        <w:pStyle w:val="FootnoteText"/>
        <w:tabs>
          <w:tab w:val="clear" w:pos="418"/>
          <w:tab w:val="right" w:pos="1195"/>
          <w:tab w:val="left" w:pos="1267"/>
          <w:tab w:val="left" w:pos="1742"/>
          <w:tab w:val="left" w:pos="2218"/>
          <w:tab w:val="left" w:pos="2693"/>
        </w:tabs>
        <w:ind w:left="1267" w:right="1267" w:hanging="432"/>
        <w:rPr>
          <w:szCs w:val="17"/>
        </w:rPr>
      </w:pPr>
      <w:r>
        <w:rPr>
          <w:szCs w:val="17"/>
        </w:rPr>
        <w:tab/>
      </w:r>
      <w:r w:rsidRPr="00451405">
        <w:rPr>
          <w:rStyle w:val="FootnoteReference"/>
          <w:szCs w:val="17"/>
        </w:rPr>
        <w:footnoteRef/>
      </w:r>
      <w:r>
        <w:tab/>
        <w:t>Los centros escolares pueden utilizar la subvención de apoyo a las necesidades especiales para adquirir recursos y financiar actividades de aprendizaje que proporcionen apoyo a los alumnos con discapacidad.</w:t>
      </w:r>
    </w:p>
  </w:footnote>
  <w:footnote w:id="7">
    <w:p w14:paraId="4F7F42A2" w14:textId="77777777" w:rsidR="00F651FB" w:rsidRPr="00120E34" w:rsidRDefault="00F651FB" w:rsidP="00F651FB">
      <w:pPr>
        <w:pStyle w:val="FootnoteText"/>
        <w:tabs>
          <w:tab w:val="clear" w:pos="418"/>
          <w:tab w:val="right" w:pos="1195"/>
          <w:tab w:val="left" w:pos="1267"/>
          <w:tab w:val="left" w:pos="1742"/>
          <w:tab w:val="left" w:pos="2218"/>
          <w:tab w:val="left" w:pos="2693"/>
        </w:tabs>
        <w:ind w:left="1267" w:right="1267" w:hanging="432"/>
      </w:pPr>
      <w:r>
        <w:rPr>
          <w:szCs w:val="17"/>
        </w:rPr>
        <w:tab/>
      </w:r>
      <w:r w:rsidRPr="00451405">
        <w:rPr>
          <w:rStyle w:val="FootnoteReference"/>
          <w:szCs w:val="17"/>
        </w:rPr>
        <w:footnoteRef/>
      </w:r>
      <w:r>
        <w:tab/>
        <w:t>Proporcionada en el Instituto Nacional de Educación.</w:t>
      </w:r>
    </w:p>
  </w:footnote>
  <w:footnote w:id="8">
    <w:p w14:paraId="7543D2D1" w14:textId="77777777" w:rsidR="00A84782" w:rsidRPr="00120E34" w:rsidRDefault="00A84782" w:rsidP="00A84782">
      <w:pPr>
        <w:pStyle w:val="FootnoteText"/>
        <w:tabs>
          <w:tab w:val="clear" w:pos="418"/>
          <w:tab w:val="right" w:pos="1195"/>
          <w:tab w:val="left" w:pos="1267"/>
          <w:tab w:val="left" w:pos="1742"/>
          <w:tab w:val="left" w:pos="2218"/>
          <w:tab w:val="left" w:pos="2693"/>
        </w:tabs>
        <w:ind w:left="1267" w:right="1267" w:hanging="432"/>
      </w:pPr>
      <w:r>
        <w:tab/>
      </w:r>
      <w:r w:rsidRPr="00451405">
        <w:rPr>
          <w:rStyle w:val="FootnoteReference"/>
        </w:rPr>
        <w:footnoteRef/>
      </w:r>
      <w:r>
        <w:tab/>
        <w:t>También conocida como la Asociación de Mujeres Musulmanas de Singapur.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27385" w14:paraId="3A580FA9" w14:textId="77777777" w:rsidTr="00F27385">
      <w:trPr>
        <w:trHeight w:hRule="exact" w:val="864"/>
      </w:trPr>
      <w:tc>
        <w:tcPr>
          <w:tcW w:w="4920" w:type="dxa"/>
          <w:shd w:val="clear" w:color="auto" w:fill="auto"/>
          <w:vAlign w:val="bottom"/>
        </w:tcPr>
        <w:p w14:paraId="6EA3E4F0" w14:textId="77777777" w:rsidR="00F27385" w:rsidRPr="00F27385" w:rsidRDefault="00F27385" w:rsidP="00F27385">
          <w:pPr>
            <w:pStyle w:val="Header"/>
            <w:spacing w:after="80"/>
            <w:rPr>
              <w:b/>
            </w:rPr>
          </w:pPr>
          <w:r>
            <w:rPr>
              <w:b/>
            </w:rPr>
            <w:fldChar w:fldCharType="begin"/>
          </w:r>
          <w:r>
            <w:rPr>
              <w:b/>
            </w:rPr>
            <w:instrText xml:space="preserve"> DOCVARIABLE "Symbol1" \* MERGEFORMAT </w:instrText>
          </w:r>
          <w:r>
            <w:rPr>
              <w:b/>
            </w:rPr>
            <w:fldChar w:fldCharType="separate"/>
          </w:r>
          <w:r>
            <w:rPr>
              <w:b/>
            </w:rPr>
            <w:t>CEDAW/C/SGP/RQ/6</w:t>
          </w:r>
          <w:r>
            <w:rPr>
              <w:b/>
            </w:rPr>
            <w:fldChar w:fldCharType="end"/>
          </w:r>
        </w:p>
      </w:tc>
      <w:tc>
        <w:tcPr>
          <w:tcW w:w="4920" w:type="dxa"/>
          <w:shd w:val="clear" w:color="auto" w:fill="auto"/>
          <w:vAlign w:val="bottom"/>
        </w:tcPr>
        <w:p w14:paraId="2092C9E5" w14:textId="77777777" w:rsidR="00F27385" w:rsidRDefault="00F27385" w:rsidP="00F27385">
          <w:pPr>
            <w:pStyle w:val="Header"/>
          </w:pPr>
        </w:p>
      </w:tc>
    </w:tr>
  </w:tbl>
  <w:p w14:paraId="5F5DAC72" w14:textId="77777777" w:rsidR="00F27385" w:rsidRPr="00F27385" w:rsidRDefault="00F27385" w:rsidP="00F273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27385" w14:paraId="252564D5" w14:textId="77777777" w:rsidTr="00F27385">
      <w:trPr>
        <w:trHeight w:hRule="exact" w:val="864"/>
      </w:trPr>
      <w:tc>
        <w:tcPr>
          <w:tcW w:w="4920" w:type="dxa"/>
          <w:shd w:val="clear" w:color="auto" w:fill="auto"/>
          <w:vAlign w:val="bottom"/>
        </w:tcPr>
        <w:p w14:paraId="453D1429" w14:textId="77777777" w:rsidR="00F27385" w:rsidRDefault="00F27385" w:rsidP="00F27385">
          <w:pPr>
            <w:pStyle w:val="Header"/>
          </w:pPr>
        </w:p>
      </w:tc>
      <w:tc>
        <w:tcPr>
          <w:tcW w:w="4920" w:type="dxa"/>
          <w:shd w:val="clear" w:color="auto" w:fill="auto"/>
          <w:vAlign w:val="bottom"/>
        </w:tcPr>
        <w:p w14:paraId="533B4DD2" w14:textId="77777777" w:rsidR="00F27385" w:rsidRPr="00F27385" w:rsidRDefault="00F27385" w:rsidP="00F27385">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CEDAW/C/SGP/RQ/6</w:t>
          </w:r>
          <w:r>
            <w:rPr>
              <w:b/>
            </w:rPr>
            <w:fldChar w:fldCharType="end"/>
          </w:r>
        </w:p>
      </w:tc>
    </w:tr>
  </w:tbl>
  <w:p w14:paraId="2699F64E" w14:textId="77777777" w:rsidR="00F27385" w:rsidRPr="00F27385" w:rsidRDefault="00F27385" w:rsidP="00F273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27385" w14:paraId="4E75E2D5" w14:textId="77777777" w:rsidTr="00F27385">
      <w:trPr>
        <w:gridAfter w:val="1"/>
        <w:wAfter w:w="15" w:type="dxa"/>
        <w:trHeight w:hRule="exact" w:val="864"/>
      </w:trPr>
      <w:tc>
        <w:tcPr>
          <w:tcW w:w="1267" w:type="dxa"/>
          <w:tcBorders>
            <w:bottom w:val="single" w:sz="4" w:space="0" w:color="auto"/>
          </w:tcBorders>
          <w:shd w:val="clear" w:color="auto" w:fill="auto"/>
          <w:vAlign w:val="bottom"/>
        </w:tcPr>
        <w:p w14:paraId="3C78830D" w14:textId="77777777" w:rsidR="00F27385" w:rsidRDefault="00F27385" w:rsidP="00F27385">
          <w:pPr>
            <w:pStyle w:val="Header"/>
            <w:spacing w:after="120"/>
          </w:pPr>
        </w:p>
      </w:tc>
      <w:tc>
        <w:tcPr>
          <w:tcW w:w="2059" w:type="dxa"/>
          <w:tcBorders>
            <w:bottom w:val="single" w:sz="4" w:space="0" w:color="auto"/>
          </w:tcBorders>
          <w:shd w:val="clear" w:color="auto" w:fill="auto"/>
          <w:vAlign w:val="bottom"/>
        </w:tcPr>
        <w:p w14:paraId="764853D3" w14:textId="77777777" w:rsidR="00F27385" w:rsidRPr="00F27385" w:rsidRDefault="00F27385" w:rsidP="00F2738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FC4B824" w14:textId="77777777" w:rsidR="00F27385" w:rsidRDefault="00F27385" w:rsidP="00F27385">
          <w:pPr>
            <w:pStyle w:val="Header"/>
            <w:spacing w:after="120"/>
          </w:pPr>
        </w:p>
      </w:tc>
      <w:tc>
        <w:tcPr>
          <w:tcW w:w="6480" w:type="dxa"/>
          <w:gridSpan w:val="3"/>
          <w:tcBorders>
            <w:bottom w:val="single" w:sz="4" w:space="0" w:color="auto"/>
          </w:tcBorders>
          <w:shd w:val="clear" w:color="auto" w:fill="auto"/>
          <w:vAlign w:val="bottom"/>
        </w:tcPr>
        <w:p w14:paraId="48D92BE6" w14:textId="77777777" w:rsidR="00F27385" w:rsidRPr="00F27385" w:rsidRDefault="00F27385" w:rsidP="00F27385">
          <w:pPr>
            <w:spacing w:after="80" w:line="240" w:lineRule="auto"/>
            <w:jc w:val="right"/>
            <w:rPr>
              <w:position w:val="-4"/>
            </w:rPr>
          </w:pPr>
          <w:r>
            <w:rPr>
              <w:position w:val="-4"/>
              <w:sz w:val="40"/>
            </w:rPr>
            <w:t>CEDAW</w:t>
          </w:r>
          <w:r>
            <w:rPr>
              <w:position w:val="-4"/>
            </w:rPr>
            <w:t>/C/SGP/RQ/6</w:t>
          </w:r>
        </w:p>
      </w:tc>
    </w:tr>
    <w:tr w:rsidR="00F27385" w:rsidRPr="00F27385" w14:paraId="47201C18" w14:textId="77777777" w:rsidTr="00F27385">
      <w:trPr>
        <w:trHeight w:hRule="exact" w:val="2880"/>
      </w:trPr>
      <w:tc>
        <w:tcPr>
          <w:tcW w:w="1267" w:type="dxa"/>
          <w:tcBorders>
            <w:top w:val="single" w:sz="4" w:space="0" w:color="auto"/>
            <w:bottom w:val="single" w:sz="12" w:space="0" w:color="auto"/>
          </w:tcBorders>
          <w:shd w:val="clear" w:color="auto" w:fill="auto"/>
        </w:tcPr>
        <w:p w14:paraId="1B8BDBC6" w14:textId="77777777" w:rsidR="00F27385" w:rsidRPr="00F27385" w:rsidRDefault="00F27385" w:rsidP="00F27385">
          <w:pPr>
            <w:pStyle w:val="Header"/>
            <w:spacing w:before="120"/>
            <w:jc w:val="center"/>
          </w:pPr>
          <w:r>
            <w:t xml:space="preserve"> </w:t>
          </w:r>
          <w:r>
            <w:drawing>
              <wp:inline distT="0" distB="0" distL="0" distR="0" wp14:anchorId="3876A597" wp14:editId="3ABB63D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7AFEF7" w14:textId="77777777" w:rsidR="00F27385" w:rsidRPr="00F27385" w:rsidRDefault="00F27385" w:rsidP="00F2738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C9420E0" w14:textId="77777777" w:rsidR="00F27385" w:rsidRPr="00A84782" w:rsidRDefault="00F27385" w:rsidP="00F2738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9BDEE5E" w14:textId="77777777" w:rsidR="00F27385" w:rsidRDefault="00F27385" w:rsidP="00F27385">
          <w:pPr>
            <w:pStyle w:val="Distribution"/>
            <w:spacing w:before="240"/>
          </w:pPr>
          <w:r>
            <w:t>Distr. general</w:t>
          </w:r>
        </w:p>
        <w:p w14:paraId="766E6071" w14:textId="77777777" w:rsidR="00F27385" w:rsidRDefault="00F27385" w:rsidP="00F27385">
          <w:pPr>
            <w:pStyle w:val="Publication"/>
          </w:pPr>
          <w:r>
            <w:t>15 de febrero de 2024</w:t>
          </w:r>
        </w:p>
        <w:p w14:paraId="0376B628" w14:textId="77777777" w:rsidR="00F27385" w:rsidRDefault="00F27385" w:rsidP="00F27385">
          <w:r>
            <w:t>Español</w:t>
          </w:r>
        </w:p>
        <w:p w14:paraId="7C36CD9B" w14:textId="77777777" w:rsidR="00F27385" w:rsidRDefault="00F27385" w:rsidP="00F27385">
          <w:pPr>
            <w:pStyle w:val="Original"/>
          </w:pPr>
          <w:r>
            <w:t>Original: inglés</w:t>
          </w:r>
        </w:p>
        <w:p w14:paraId="5D7AB289" w14:textId="208FC00C" w:rsidR="00F27385" w:rsidRPr="00F27385" w:rsidRDefault="00A84782" w:rsidP="00A84782">
          <w:r w:rsidRPr="00A84782">
            <w:t>Español, francés e inglés únicamente</w:t>
          </w:r>
        </w:p>
      </w:tc>
    </w:tr>
  </w:tbl>
  <w:p w14:paraId="35E294E5" w14:textId="77777777" w:rsidR="00F27385" w:rsidRPr="00A84782" w:rsidRDefault="00F27385" w:rsidP="00F2738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3E4672D"/>
    <w:multiLevelType w:val="singleLevel"/>
    <w:tmpl w:val="93EA0C9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0D954887"/>
    <w:multiLevelType w:val="hybridMultilevel"/>
    <w:tmpl w:val="2B362816"/>
    <w:lvl w:ilvl="0" w:tplc="487ADF0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76600B2" w:tentative="1">
      <w:start w:val="1"/>
      <w:numFmt w:val="lowerLetter"/>
      <w:lvlText w:val="%2."/>
      <w:lvlJc w:val="left"/>
      <w:pPr>
        <w:tabs>
          <w:tab w:val="num" w:pos="1440"/>
        </w:tabs>
        <w:ind w:left="1440" w:hanging="360"/>
      </w:pPr>
    </w:lvl>
    <w:lvl w:ilvl="2" w:tplc="1E3A1AEC" w:tentative="1">
      <w:start w:val="1"/>
      <w:numFmt w:val="lowerRoman"/>
      <w:lvlText w:val="%3."/>
      <w:lvlJc w:val="right"/>
      <w:pPr>
        <w:tabs>
          <w:tab w:val="num" w:pos="2160"/>
        </w:tabs>
        <w:ind w:left="2160" w:hanging="180"/>
      </w:pPr>
    </w:lvl>
    <w:lvl w:ilvl="3" w:tplc="3AA66B92" w:tentative="1">
      <w:start w:val="1"/>
      <w:numFmt w:val="decimal"/>
      <w:lvlText w:val="%4."/>
      <w:lvlJc w:val="left"/>
      <w:pPr>
        <w:tabs>
          <w:tab w:val="num" w:pos="2880"/>
        </w:tabs>
        <w:ind w:left="2880" w:hanging="360"/>
      </w:pPr>
    </w:lvl>
    <w:lvl w:ilvl="4" w:tplc="31F84390" w:tentative="1">
      <w:start w:val="1"/>
      <w:numFmt w:val="lowerLetter"/>
      <w:lvlText w:val="%5."/>
      <w:lvlJc w:val="left"/>
      <w:pPr>
        <w:tabs>
          <w:tab w:val="num" w:pos="3600"/>
        </w:tabs>
        <w:ind w:left="3600" w:hanging="360"/>
      </w:pPr>
    </w:lvl>
    <w:lvl w:ilvl="5" w:tplc="4C92CF52" w:tentative="1">
      <w:start w:val="1"/>
      <w:numFmt w:val="lowerRoman"/>
      <w:lvlText w:val="%6."/>
      <w:lvlJc w:val="right"/>
      <w:pPr>
        <w:tabs>
          <w:tab w:val="num" w:pos="4320"/>
        </w:tabs>
        <w:ind w:left="4320" w:hanging="180"/>
      </w:pPr>
    </w:lvl>
    <w:lvl w:ilvl="6" w:tplc="2292928A" w:tentative="1">
      <w:start w:val="1"/>
      <w:numFmt w:val="decimal"/>
      <w:lvlText w:val="%7."/>
      <w:lvlJc w:val="left"/>
      <w:pPr>
        <w:tabs>
          <w:tab w:val="num" w:pos="5040"/>
        </w:tabs>
        <w:ind w:left="5040" w:hanging="360"/>
      </w:pPr>
    </w:lvl>
    <w:lvl w:ilvl="7" w:tplc="585E5EBE" w:tentative="1">
      <w:start w:val="1"/>
      <w:numFmt w:val="lowerLetter"/>
      <w:lvlText w:val="%8."/>
      <w:lvlJc w:val="left"/>
      <w:pPr>
        <w:tabs>
          <w:tab w:val="num" w:pos="5760"/>
        </w:tabs>
        <w:ind w:left="5760" w:hanging="360"/>
      </w:pPr>
    </w:lvl>
    <w:lvl w:ilvl="8" w:tplc="0E50940E" w:tentative="1">
      <w:start w:val="1"/>
      <w:numFmt w:val="lowerRoman"/>
      <w:lvlText w:val="%9."/>
      <w:lvlJc w:val="right"/>
      <w:pPr>
        <w:tabs>
          <w:tab w:val="num" w:pos="6480"/>
        </w:tabs>
        <w:ind w:left="6480"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3ACF4EB2"/>
    <w:multiLevelType w:val="hybridMultilevel"/>
    <w:tmpl w:val="CB6C816A"/>
    <w:lvl w:ilvl="0" w:tplc="7F124562">
      <w:start w:val="1"/>
      <w:numFmt w:val="bullet"/>
      <w:pStyle w:val="Bullet2G"/>
      <w:lvlText w:val="•"/>
      <w:lvlJc w:val="left"/>
      <w:pPr>
        <w:tabs>
          <w:tab w:val="num" w:pos="2268"/>
        </w:tabs>
        <w:ind w:left="2268" w:hanging="170"/>
      </w:pPr>
      <w:rPr>
        <w:rFonts w:ascii="Times New Roman" w:hAnsi="Times New Roman" w:cs="Times New Roman" w:hint="default"/>
      </w:rPr>
    </w:lvl>
    <w:lvl w:ilvl="1" w:tplc="32A6619E" w:tentative="1">
      <w:start w:val="1"/>
      <w:numFmt w:val="bullet"/>
      <w:lvlText w:val="o"/>
      <w:lvlJc w:val="left"/>
      <w:pPr>
        <w:tabs>
          <w:tab w:val="num" w:pos="3708"/>
        </w:tabs>
        <w:ind w:left="3708" w:hanging="360"/>
      </w:pPr>
      <w:rPr>
        <w:rFonts w:ascii="Courier New" w:hAnsi="Courier New" w:hint="default"/>
      </w:rPr>
    </w:lvl>
    <w:lvl w:ilvl="2" w:tplc="67BE44A2" w:tentative="1">
      <w:start w:val="1"/>
      <w:numFmt w:val="bullet"/>
      <w:lvlText w:val=""/>
      <w:lvlJc w:val="left"/>
      <w:pPr>
        <w:tabs>
          <w:tab w:val="num" w:pos="4428"/>
        </w:tabs>
        <w:ind w:left="4428" w:hanging="360"/>
      </w:pPr>
      <w:rPr>
        <w:rFonts w:ascii="Wingdings" w:hAnsi="Wingdings" w:hint="default"/>
      </w:rPr>
    </w:lvl>
    <w:lvl w:ilvl="3" w:tplc="6524896C" w:tentative="1">
      <w:start w:val="1"/>
      <w:numFmt w:val="bullet"/>
      <w:lvlText w:val=""/>
      <w:lvlJc w:val="left"/>
      <w:pPr>
        <w:tabs>
          <w:tab w:val="num" w:pos="5148"/>
        </w:tabs>
        <w:ind w:left="5148" w:hanging="360"/>
      </w:pPr>
      <w:rPr>
        <w:rFonts w:ascii="Symbol" w:hAnsi="Symbol" w:hint="default"/>
      </w:rPr>
    </w:lvl>
    <w:lvl w:ilvl="4" w:tplc="60EA51E6" w:tentative="1">
      <w:start w:val="1"/>
      <w:numFmt w:val="bullet"/>
      <w:lvlText w:val="o"/>
      <w:lvlJc w:val="left"/>
      <w:pPr>
        <w:tabs>
          <w:tab w:val="num" w:pos="5868"/>
        </w:tabs>
        <w:ind w:left="5868" w:hanging="360"/>
      </w:pPr>
      <w:rPr>
        <w:rFonts w:ascii="Courier New" w:hAnsi="Courier New" w:hint="default"/>
      </w:rPr>
    </w:lvl>
    <w:lvl w:ilvl="5" w:tplc="520AD364" w:tentative="1">
      <w:start w:val="1"/>
      <w:numFmt w:val="bullet"/>
      <w:lvlText w:val=""/>
      <w:lvlJc w:val="left"/>
      <w:pPr>
        <w:tabs>
          <w:tab w:val="num" w:pos="6588"/>
        </w:tabs>
        <w:ind w:left="6588" w:hanging="360"/>
      </w:pPr>
      <w:rPr>
        <w:rFonts w:ascii="Wingdings" w:hAnsi="Wingdings" w:hint="default"/>
      </w:rPr>
    </w:lvl>
    <w:lvl w:ilvl="6" w:tplc="619AEDF8" w:tentative="1">
      <w:start w:val="1"/>
      <w:numFmt w:val="bullet"/>
      <w:lvlText w:val=""/>
      <w:lvlJc w:val="left"/>
      <w:pPr>
        <w:tabs>
          <w:tab w:val="num" w:pos="7308"/>
        </w:tabs>
        <w:ind w:left="7308" w:hanging="360"/>
      </w:pPr>
      <w:rPr>
        <w:rFonts w:ascii="Symbol" w:hAnsi="Symbol" w:hint="default"/>
      </w:rPr>
    </w:lvl>
    <w:lvl w:ilvl="7" w:tplc="F1F4AABC" w:tentative="1">
      <w:start w:val="1"/>
      <w:numFmt w:val="bullet"/>
      <w:lvlText w:val="o"/>
      <w:lvlJc w:val="left"/>
      <w:pPr>
        <w:tabs>
          <w:tab w:val="num" w:pos="8028"/>
        </w:tabs>
        <w:ind w:left="8028" w:hanging="360"/>
      </w:pPr>
      <w:rPr>
        <w:rFonts w:ascii="Courier New" w:hAnsi="Courier New" w:hint="default"/>
      </w:rPr>
    </w:lvl>
    <w:lvl w:ilvl="8" w:tplc="76A04C06"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8AD07B2"/>
    <w:multiLevelType w:val="hybridMultilevel"/>
    <w:tmpl w:val="7FEE3222"/>
    <w:lvl w:ilvl="0" w:tplc="071AB392">
      <w:start w:val="1"/>
      <w:numFmt w:val="bullet"/>
      <w:pStyle w:val="Bullet1G"/>
      <w:lvlText w:val="•"/>
      <w:lvlJc w:val="left"/>
      <w:pPr>
        <w:tabs>
          <w:tab w:val="num" w:pos="1701"/>
        </w:tabs>
        <w:ind w:left="1701" w:hanging="170"/>
      </w:pPr>
      <w:rPr>
        <w:rFonts w:ascii="Times New Roman" w:hAnsi="Times New Roman" w:cs="Times New Roman" w:hint="default"/>
      </w:rPr>
    </w:lvl>
    <w:lvl w:ilvl="1" w:tplc="8A2652B4" w:tentative="1">
      <w:start w:val="1"/>
      <w:numFmt w:val="bullet"/>
      <w:lvlText w:val="o"/>
      <w:lvlJc w:val="left"/>
      <w:pPr>
        <w:tabs>
          <w:tab w:val="num" w:pos="3141"/>
        </w:tabs>
        <w:ind w:left="3141" w:hanging="360"/>
      </w:pPr>
      <w:rPr>
        <w:rFonts w:ascii="Courier New" w:hAnsi="Courier New" w:hint="default"/>
      </w:rPr>
    </w:lvl>
    <w:lvl w:ilvl="2" w:tplc="3058ED6E" w:tentative="1">
      <w:start w:val="1"/>
      <w:numFmt w:val="bullet"/>
      <w:lvlText w:val=""/>
      <w:lvlJc w:val="left"/>
      <w:pPr>
        <w:tabs>
          <w:tab w:val="num" w:pos="3861"/>
        </w:tabs>
        <w:ind w:left="3861" w:hanging="360"/>
      </w:pPr>
      <w:rPr>
        <w:rFonts w:ascii="Wingdings" w:hAnsi="Wingdings" w:hint="default"/>
      </w:rPr>
    </w:lvl>
    <w:lvl w:ilvl="3" w:tplc="2AE60160" w:tentative="1">
      <w:start w:val="1"/>
      <w:numFmt w:val="bullet"/>
      <w:lvlText w:val=""/>
      <w:lvlJc w:val="left"/>
      <w:pPr>
        <w:tabs>
          <w:tab w:val="num" w:pos="4581"/>
        </w:tabs>
        <w:ind w:left="4581" w:hanging="360"/>
      </w:pPr>
      <w:rPr>
        <w:rFonts w:ascii="Symbol" w:hAnsi="Symbol" w:hint="default"/>
      </w:rPr>
    </w:lvl>
    <w:lvl w:ilvl="4" w:tplc="20920B52" w:tentative="1">
      <w:start w:val="1"/>
      <w:numFmt w:val="bullet"/>
      <w:lvlText w:val="o"/>
      <w:lvlJc w:val="left"/>
      <w:pPr>
        <w:tabs>
          <w:tab w:val="num" w:pos="5301"/>
        </w:tabs>
        <w:ind w:left="5301" w:hanging="360"/>
      </w:pPr>
      <w:rPr>
        <w:rFonts w:ascii="Courier New" w:hAnsi="Courier New" w:hint="default"/>
      </w:rPr>
    </w:lvl>
    <w:lvl w:ilvl="5" w:tplc="8F961180" w:tentative="1">
      <w:start w:val="1"/>
      <w:numFmt w:val="bullet"/>
      <w:lvlText w:val=""/>
      <w:lvlJc w:val="left"/>
      <w:pPr>
        <w:tabs>
          <w:tab w:val="num" w:pos="6021"/>
        </w:tabs>
        <w:ind w:left="6021" w:hanging="360"/>
      </w:pPr>
      <w:rPr>
        <w:rFonts w:ascii="Wingdings" w:hAnsi="Wingdings" w:hint="default"/>
      </w:rPr>
    </w:lvl>
    <w:lvl w:ilvl="6" w:tplc="AE7092BC" w:tentative="1">
      <w:start w:val="1"/>
      <w:numFmt w:val="bullet"/>
      <w:lvlText w:val=""/>
      <w:lvlJc w:val="left"/>
      <w:pPr>
        <w:tabs>
          <w:tab w:val="num" w:pos="6741"/>
        </w:tabs>
        <w:ind w:left="6741" w:hanging="360"/>
      </w:pPr>
      <w:rPr>
        <w:rFonts w:ascii="Symbol" w:hAnsi="Symbol" w:hint="default"/>
      </w:rPr>
    </w:lvl>
    <w:lvl w:ilvl="7" w:tplc="CA6E5966" w:tentative="1">
      <w:start w:val="1"/>
      <w:numFmt w:val="bullet"/>
      <w:lvlText w:val="o"/>
      <w:lvlJc w:val="left"/>
      <w:pPr>
        <w:tabs>
          <w:tab w:val="num" w:pos="7461"/>
        </w:tabs>
        <w:ind w:left="7461" w:hanging="360"/>
      </w:pPr>
      <w:rPr>
        <w:rFonts w:ascii="Courier New" w:hAnsi="Courier New" w:hint="default"/>
      </w:rPr>
    </w:lvl>
    <w:lvl w:ilvl="8" w:tplc="286C278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4"/>
  </w:num>
  <w:num w:numId="8" w16cid:durableId="1679231921">
    <w:abstractNumId w:val="7"/>
  </w:num>
  <w:num w:numId="9" w16cid:durableId="1031536774">
    <w:abstractNumId w:val="12"/>
  </w:num>
  <w:num w:numId="10" w16cid:durableId="1877236076">
    <w:abstractNumId w:val="11"/>
  </w:num>
  <w:num w:numId="11" w16cid:durableId="1461075889">
    <w:abstractNumId w:val="10"/>
  </w:num>
  <w:num w:numId="12" w16cid:durableId="2063867814">
    <w:abstractNumId w:val="15"/>
  </w:num>
  <w:num w:numId="13" w16cid:durableId="1811096595">
    <w:abstractNumId w:val="8"/>
  </w:num>
  <w:num w:numId="14" w16cid:durableId="569458982">
    <w:abstractNumId w:val="6"/>
  </w:num>
  <w:num w:numId="15" w16cid:durableId="2127581144">
    <w:abstractNumId w:val="13"/>
  </w:num>
  <w:num w:numId="16" w16cid:durableId="1308820922">
    <w:abstractNumId w:val="16"/>
  </w:num>
  <w:num w:numId="17" w16cid:durableId="994990175">
    <w:abstractNumId w:val="5"/>
  </w:num>
  <w:num w:numId="18" w16cid:durableId="2043430773">
    <w:abstractNumId w:val="5"/>
    <w:lvlOverride w:ilvl="0">
      <w:lvl w:ilvl="0">
        <w:start w:val="1"/>
        <w:numFmt w:val="decimal"/>
        <w:lvlRestart w:val="0"/>
        <w:lvlText w:val="%1."/>
        <w:lvlJc w:val="left"/>
        <w:pPr>
          <w:tabs>
            <w:tab w:val="num" w:pos="475"/>
          </w:tabs>
          <w:ind w:left="0" w:firstLine="0"/>
        </w:pPr>
        <w:rPr>
          <w:spacing w:val="0"/>
          <w:w w:val="100"/>
        </w:rPr>
      </w:lvl>
    </w:lvlOverride>
  </w:num>
  <w:num w:numId="19" w16cid:durableId="118493915">
    <w:abstractNumId w:val="5"/>
    <w:lvlOverride w:ilvl="0">
      <w:lvl w:ilvl="0">
        <w:start w:val="1"/>
        <w:numFmt w:val="decimal"/>
        <w:lvlRestart w:val="0"/>
        <w:lvlText w:val="%1."/>
        <w:lvlJc w:val="left"/>
        <w:pPr>
          <w:tabs>
            <w:tab w:val="num" w:pos="475"/>
          </w:tabs>
          <w:ind w:left="0" w:firstLine="0"/>
        </w:pPr>
        <w:rPr>
          <w:spacing w:val="0"/>
          <w:w w:val="100"/>
        </w:rPr>
      </w:lvl>
    </w:lvlOverride>
  </w:num>
  <w:num w:numId="20" w16cid:durableId="1499540709">
    <w:abstractNumId w:val="5"/>
    <w:lvlOverride w:ilvl="0">
      <w:lvl w:ilvl="0">
        <w:start w:val="1"/>
        <w:numFmt w:val="decimal"/>
        <w:lvlRestart w:val="0"/>
        <w:lvlText w:val="%1."/>
        <w:lvlJc w:val="left"/>
        <w:pPr>
          <w:tabs>
            <w:tab w:val="num" w:pos="475"/>
          </w:tabs>
          <w:ind w:left="0" w:firstLine="0"/>
        </w:pPr>
        <w:rPr>
          <w:spacing w:val="0"/>
          <w:w w:val="100"/>
        </w:rPr>
      </w:lvl>
    </w:lvlOverride>
  </w:num>
  <w:num w:numId="21" w16cid:durableId="1140347641">
    <w:abstractNumId w:val="5"/>
    <w:lvlOverride w:ilvl="0">
      <w:lvl w:ilvl="0">
        <w:start w:val="1"/>
        <w:numFmt w:val="decimal"/>
        <w:lvlRestart w:val="0"/>
        <w:lvlText w:val="%1."/>
        <w:lvlJc w:val="left"/>
        <w:pPr>
          <w:tabs>
            <w:tab w:val="num" w:pos="475"/>
          </w:tabs>
          <w:ind w:left="0" w:firstLine="0"/>
        </w:pPr>
        <w:rPr>
          <w:spacing w:val="0"/>
          <w:w w:val="100"/>
        </w:rPr>
      </w:lvl>
    </w:lvlOverride>
  </w:num>
  <w:num w:numId="22" w16cid:durableId="1795058411">
    <w:abstractNumId w:val="5"/>
    <w:lvlOverride w:ilvl="0">
      <w:lvl w:ilvl="0">
        <w:start w:val="1"/>
        <w:numFmt w:val="decimal"/>
        <w:lvlRestart w:val="0"/>
        <w:lvlText w:val="%1."/>
        <w:lvlJc w:val="left"/>
        <w:pPr>
          <w:tabs>
            <w:tab w:val="num" w:pos="475"/>
          </w:tabs>
          <w:ind w:left="0" w:firstLine="0"/>
        </w:pPr>
        <w:rPr>
          <w:spacing w:val="0"/>
          <w:w w:val="100"/>
        </w:rPr>
      </w:lvl>
    </w:lvlOverride>
  </w:num>
  <w:num w:numId="23" w16cid:durableId="33237181">
    <w:abstractNumId w:val="5"/>
    <w:lvlOverride w:ilvl="0">
      <w:lvl w:ilvl="0">
        <w:start w:val="1"/>
        <w:numFmt w:val="decimal"/>
        <w:lvlRestart w:val="0"/>
        <w:lvlText w:val="%1."/>
        <w:lvlJc w:val="left"/>
        <w:pPr>
          <w:tabs>
            <w:tab w:val="num" w:pos="475"/>
          </w:tabs>
          <w:ind w:left="0" w:firstLine="0"/>
        </w:pPr>
        <w:rPr>
          <w:spacing w:val="0"/>
          <w:w w:val="100"/>
        </w:rPr>
      </w:lvl>
    </w:lvlOverride>
  </w:num>
  <w:num w:numId="24" w16cid:durableId="98377459">
    <w:abstractNumId w:val="5"/>
    <w:lvlOverride w:ilvl="0">
      <w:lvl w:ilvl="0">
        <w:start w:val="1"/>
        <w:numFmt w:val="decimal"/>
        <w:lvlRestart w:val="0"/>
        <w:lvlText w:val="%1."/>
        <w:lvlJc w:val="left"/>
        <w:pPr>
          <w:tabs>
            <w:tab w:val="num" w:pos="475"/>
          </w:tabs>
          <w:ind w:left="0" w:firstLine="0"/>
        </w:pPr>
        <w:rPr>
          <w:spacing w:val="0"/>
          <w:w w:val="100"/>
        </w:rPr>
      </w:lvl>
    </w:lvlOverride>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9"/>
  <w:activeWritingStyle w:appName="MSWord" w:lang="es-ES" w:vendorID="64" w:dllVersion="0" w:nlCheck="1" w:checkStyle="0"/>
  <w:activeWritingStyle w:appName="MSWord" w:lang="en-GB"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419"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402906*"/>
    <w:docVar w:name="CreationDt" w:val="19/03/2024 9:58: AM"/>
    <w:docVar w:name="DocCategory" w:val="Doc"/>
    <w:docVar w:name="DocType" w:val="Final"/>
    <w:docVar w:name="DutyStation" w:val="New York"/>
    <w:docVar w:name="FooterJN" w:val="24-02906"/>
    <w:docVar w:name="jobn" w:val="24-02906 (S)"/>
    <w:docVar w:name="jobnDT" w:val="24-02906 (S)   190324"/>
    <w:docVar w:name="jobnDTDT" w:val="24-02906 (S)   190324   190324"/>
    <w:docVar w:name="JobNo" w:val="2402906S"/>
    <w:docVar w:name="JobNo2" w:val="24041559:58: AM"/>
    <w:docVar w:name="LocalDrive" w:val="-1"/>
    <w:docVar w:name="OandT" w:val="EMS/MG"/>
    <w:docVar w:name="Session1" w:val="88º período de sesiones_x000d_"/>
    <w:docVar w:name="sss1" w:val="CEDAW/C/SGP/RQ/6"/>
    <w:docVar w:name="sss2" w:val="-"/>
    <w:docVar w:name="Symbol1" w:val="CEDAW/C/SGP/RQ/6"/>
    <w:docVar w:name="Symbol2" w:val="-"/>
    <w:docVar w:name="Title1" w:val="_x0009__x0009_Respuestas de Singapur a la lista de cuestiones y preguntas relativas a su sexto informe periódico*, **_x000d_"/>
  </w:docVars>
  <w:rsids>
    <w:rsidRoot w:val="00CA4E68"/>
    <w:rsid w:val="00001169"/>
    <w:rsid w:val="00001967"/>
    <w:rsid w:val="00023B01"/>
    <w:rsid w:val="00031CCC"/>
    <w:rsid w:val="00036B92"/>
    <w:rsid w:val="000631D0"/>
    <w:rsid w:val="00066A73"/>
    <w:rsid w:val="00082471"/>
    <w:rsid w:val="000B3A88"/>
    <w:rsid w:val="000C1825"/>
    <w:rsid w:val="00101FCA"/>
    <w:rsid w:val="001021DA"/>
    <w:rsid w:val="00105618"/>
    <w:rsid w:val="0010776C"/>
    <w:rsid w:val="001325B0"/>
    <w:rsid w:val="00151F81"/>
    <w:rsid w:val="00153A03"/>
    <w:rsid w:val="00161CB4"/>
    <w:rsid w:val="00171CDD"/>
    <w:rsid w:val="0018224F"/>
    <w:rsid w:val="00186157"/>
    <w:rsid w:val="0019644A"/>
    <w:rsid w:val="001978D5"/>
    <w:rsid w:val="001B0C1B"/>
    <w:rsid w:val="001B45D4"/>
    <w:rsid w:val="001F17A7"/>
    <w:rsid w:val="0021740E"/>
    <w:rsid w:val="00245923"/>
    <w:rsid w:val="00247400"/>
    <w:rsid w:val="00255804"/>
    <w:rsid w:val="002738D7"/>
    <w:rsid w:val="0027492E"/>
    <w:rsid w:val="0027631E"/>
    <w:rsid w:val="00293B83"/>
    <w:rsid w:val="002B5C1E"/>
    <w:rsid w:val="002C0212"/>
    <w:rsid w:val="002C1E96"/>
    <w:rsid w:val="002C26FC"/>
    <w:rsid w:val="002D39AE"/>
    <w:rsid w:val="002D56C3"/>
    <w:rsid w:val="002E267A"/>
    <w:rsid w:val="002F1792"/>
    <w:rsid w:val="00302E18"/>
    <w:rsid w:val="00303FC9"/>
    <w:rsid w:val="00331D20"/>
    <w:rsid w:val="00334B31"/>
    <w:rsid w:val="00357ED1"/>
    <w:rsid w:val="00363328"/>
    <w:rsid w:val="00364A52"/>
    <w:rsid w:val="00365FD7"/>
    <w:rsid w:val="0037096D"/>
    <w:rsid w:val="00371CD6"/>
    <w:rsid w:val="0037485E"/>
    <w:rsid w:val="0037488A"/>
    <w:rsid w:val="00386D66"/>
    <w:rsid w:val="003C6E4F"/>
    <w:rsid w:val="003E2FF6"/>
    <w:rsid w:val="003E5E54"/>
    <w:rsid w:val="003F75F8"/>
    <w:rsid w:val="0041138E"/>
    <w:rsid w:val="00414121"/>
    <w:rsid w:val="00436076"/>
    <w:rsid w:val="00447A4B"/>
    <w:rsid w:val="00451405"/>
    <w:rsid w:val="00463F65"/>
    <w:rsid w:val="004702FE"/>
    <w:rsid w:val="00471A36"/>
    <w:rsid w:val="0047638E"/>
    <w:rsid w:val="004863C5"/>
    <w:rsid w:val="00495E7B"/>
    <w:rsid w:val="0049669D"/>
    <w:rsid w:val="004A348F"/>
    <w:rsid w:val="004B3C07"/>
    <w:rsid w:val="004D292D"/>
    <w:rsid w:val="004F5722"/>
    <w:rsid w:val="00502B92"/>
    <w:rsid w:val="00504916"/>
    <w:rsid w:val="005074C6"/>
    <w:rsid w:val="00540DC8"/>
    <w:rsid w:val="0054211F"/>
    <w:rsid w:val="00543230"/>
    <w:rsid w:val="00560914"/>
    <w:rsid w:val="005610B1"/>
    <w:rsid w:val="00585412"/>
    <w:rsid w:val="00590764"/>
    <w:rsid w:val="00592972"/>
    <w:rsid w:val="005A6D4C"/>
    <w:rsid w:val="005D25D0"/>
    <w:rsid w:val="005D4F00"/>
    <w:rsid w:val="005E4EBE"/>
    <w:rsid w:val="005F185A"/>
    <w:rsid w:val="005F630E"/>
    <w:rsid w:val="00602A10"/>
    <w:rsid w:val="00620589"/>
    <w:rsid w:val="0063771D"/>
    <w:rsid w:val="00646F9B"/>
    <w:rsid w:val="006747C8"/>
    <w:rsid w:val="006C5B1A"/>
    <w:rsid w:val="006C7738"/>
    <w:rsid w:val="006E3966"/>
    <w:rsid w:val="006E7D87"/>
    <w:rsid w:val="006F5920"/>
    <w:rsid w:val="0071286D"/>
    <w:rsid w:val="00727155"/>
    <w:rsid w:val="00734A23"/>
    <w:rsid w:val="00735E6D"/>
    <w:rsid w:val="007367D5"/>
    <w:rsid w:val="00737468"/>
    <w:rsid w:val="007633C9"/>
    <w:rsid w:val="007752D9"/>
    <w:rsid w:val="00776B9E"/>
    <w:rsid w:val="00780650"/>
    <w:rsid w:val="00787CA5"/>
    <w:rsid w:val="007B4CD6"/>
    <w:rsid w:val="007C2433"/>
    <w:rsid w:val="007D2AAF"/>
    <w:rsid w:val="007D56EE"/>
    <w:rsid w:val="007F49D0"/>
    <w:rsid w:val="008138CB"/>
    <w:rsid w:val="00821509"/>
    <w:rsid w:val="0083038C"/>
    <w:rsid w:val="00842240"/>
    <w:rsid w:val="00847569"/>
    <w:rsid w:val="00851EB0"/>
    <w:rsid w:val="00863195"/>
    <w:rsid w:val="00871053"/>
    <w:rsid w:val="00877270"/>
    <w:rsid w:val="0088056D"/>
    <w:rsid w:val="00883826"/>
    <w:rsid w:val="008A2590"/>
    <w:rsid w:val="008A417B"/>
    <w:rsid w:val="008A7331"/>
    <w:rsid w:val="008C25CA"/>
    <w:rsid w:val="008C626B"/>
    <w:rsid w:val="008D55F3"/>
    <w:rsid w:val="008E04FC"/>
    <w:rsid w:val="008E425E"/>
    <w:rsid w:val="008E7B74"/>
    <w:rsid w:val="008F11CA"/>
    <w:rsid w:val="00901166"/>
    <w:rsid w:val="00910040"/>
    <w:rsid w:val="00910A49"/>
    <w:rsid w:val="00917046"/>
    <w:rsid w:val="009247FB"/>
    <w:rsid w:val="0094631C"/>
    <w:rsid w:val="00947CFB"/>
    <w:rsid w:val="0096151F"/>
    <w:rsid w:val="0097216C"/>
    <w:rsid w:val="009A5CD2"/>
    <w:rsid w:val="009A648D"/>
    <w:rsid w:val="009B00E9"/>
    <w:rsid w:val="009B1D99"/>
    <w:rsid w:val="009B21D9"/>
    <w:rsid w:val="009B3F51"/>
    <w:rsid w:val="009B737F"/>
    <w:rsid w:val="009D0AA1"/>
    <w:rsid w:val="009D4EEE"/>
    <w:rsid w:val="009D56BA"/>
    <w:rsid w:val="009F0FED"/>
    <w:rsid w:val="009F3ADB"/>
    <w:rsid w:val="009F71E0"/>
    <w:rsid w:val="00A236CC"/>
    <w:rsid w:val="00A33152"/>
    <w:rsid w:val="00A50B3B"/>
    <w:rsid w:val="00A567F2"/>
    <w:rsid w:val="00A6175A"/>
    <w:rsid w:val="00A643C3"/>
    <w:rsid w:val="00A70002"/>
    <w:rsid w:val="00A7048D"/>
    <w:rsid w:val="00A72797"/>
    <w:rsid w:val="00A75ACC"/>
    <w:rsid w:val="00A84782"/>
    <w:rsid w:val="00AA29EE"/>
    <w:rsid w:val="00AA4C0B"/>
    <w:rsid w:val="00AA7B7F"/>
    <w:rsid w:val="00AD1E99"/>
    <w:rsid w:val="00AD7748"/>
    <w:rsid w:val="00AE134C"/>
    <w:rsid w:val="00AF7279"/>
    <w:rsid w:val="00B125A0"/>
    <w:rsid w:val="00B1466D"/>
    <w:rsid w:val="00B272FA"/>
    <w:rsid w:val="00B27698"/>
    <w:rsid w:val="00B43769"/>
    <w:rsid w:val="00B64D75"/>
    <w:rsid w:val="00B6502A"/>
    <w:rsid w:val="00B70DAA"/>
    <w:rsid w:val="00B7299C"/>
    <w:rsid w:val="00B771CE"/>
    <w:rsid w:val="00B83F5E"/>
    <w:rsid w:val="00B901FD"/>
    <w:rsid w:val="00BB6CFE"/>
    <w:rsid w:val="00BC2C8A"/>
    <w:rsid w:val="00BE06E7"/>
    <w:rsid w:val="00BE1D8E"/>
    <w:rsid w:val="00BE5F2A"/>
    <w:rsid w:val="00BF4478"/>
    <w:rsid w:val="00BF7C1D"/>
    <w:rsid w:val="00C119B8"/>
    <w:rsid w:val="00C16A02"/>
    <w:rsid w:val="00C16D72"/>
    <w:rsid w:val="00C174A0"/>
    <w:rsid w:val="00C2259E"/>
    <w:rsid w:val="00C364CE"/>
    <w:rsid w:val="00C371DA"/>
    <w:rsid w:val="00C60123"/>
    <w:rsid w:val="00C6119A"/>
    <w:rsid w:val="00C62692"/>
    <w:rsid w:val="00C64F8A"/>
    <w:rsid w:val="00C93179"/>
    <w:rsid w:val="00CA15B5"/>
    <w:rsid w:val="00CA3333"/>
    <w:rsid w:val="00CA4E68"/>
    <w:rsid w:val="00CA5C32"/>
    <w:rsid w:val="00CB11A0"/>
    <w:rsid w:val="00CC2D86"/>
    <w:rsid w:val="00CE35F9"/>
    <w:rsid w:val="00CE6BBD"/>
    <w:rsid w:val="00D16FD5"/>
    <w:rsid w:val="00D23FFB"/>
    <w:rsid w:val="00D26D64"/>
    <w:rsid w:val="00D364A0"/>
    <w:rsid w:val="00D409D0"/>
    <w:rsid w:val="00D40BB3"/>
    <w:rsid w:val="00D55F34"/>
    <w:rsid w:val="00D658D2"/>
    <w:rsid w:val="00D75AB3"/>
    <w:rsid w:val="00D93D5E"/>
    <w:rsid w:val="00DA089F"/>
    <w:rsid w:val="00DA2A5F"/>
    <w:rsid w:val="00DA5C6A"/>
    <w:rsid w:val="00DB0712"/>
    <w:rsid w:val="00DB652C"/>
    <w:rsid w:val="00DC6F6F"/>
    <w:rsid w:val="00DE254A"/>
    <w:rsid w:val="00DF37CD"/>
    <w:rsid w:val="00E04B85"/>
    <w:rsid w:val="00E235F8"/>
    <w:rsid w:val="00E24FB9"/>
    <w:rsid w:val="00E4423B"/>
    <w:rsid w:val="00E44F96"/>
    <w:rsid w:val="00E52620"/>
    <w:rsid w:val="00E548DF"/>
    <w:rsid w:val="00E6471F"/>
    <w:rsid w:val="00E75652"/>
    <w:rsid w:val="00E8036E"/>
    <w:rsid w:val="00EA1709"/>
    <w:rsid w:val="00EA54EE"/>
    <w:rsid w:val="00EC2B39"/>
    <w:rsid w:val="00EE433C"/>
    <w:rsid w:val="00EE546D"/>
    <w:rsid w:val="00EF6BA9"/>
    <w:rsid w:val="00F00F30"/>
    <w:rsid w:val="00F05AC4"/>
    <w:rsid w:val="00F164DF"/>
    <w:rsid w:val="00F27385"/>
    <w:rsid w:val="00F331FE"/>
    <w:rsid w:val="00F3740C"/>
    <w:rsid w:val="00F62E36"/>
    <w:rsid w:val="00F651FB"/>
    <w:rsid w:val="00F65F4F"/>
    <w:rsid w:val="00F926A1"/>
    <w:rsid w:val="00F92743"/>
    <w:rsid w:val="00F95E56"/>
    <w:rsid w:val="00FD0BF4"/>
    <w:rsid w:val="00FD1B9D"/>
    <w:rsid w:val="00FD2F2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E0E7B"/>
  <w15:chartTrackingRefBased/>
  <w15:docId w15:val="{DA22956C-C0FD-474D-AE7C-EA7DBD7F4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aliases w:val="Table_G"/>
    <w:basedOn w:val="Normal"/>
    <w:next w:val="Normal"/>
    <w:link w:val="Heading1Char"/>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F7C1D"/>
    <w:pPr>
      <w:keepNext/>
      <w:keepLines/>
      <w:spacing w:line="240" w:lineRule="exact"/>
      <w:ind w:left="0" w:right="552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F27385"/>
    <w:pPr>
      <w:spacing w:line="240" w:lineRule="auto"/>
    </w:pPr>
    <w:rPr>
      <w:szCs w:val="20"/>
    </w:rPr>
  </w:style>
  <w:style w:type="character" w:customStyle="1" w:styleId="CommentTextChar">
    <w:name w:val="Comment Text Char"/>
    <w:basedOn w:val="DefaultParagraphFont"/>
    <w:link w:val="CommentText"/>
    <w:uiPriority w:val="99"/>
    <w:rsid w:val="00F2738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27385"/>
    <w:rPr>
      <w:b/>
      <w:bCs/>
    </w:rPr>
  </w:style>
  <w:style w:type="character" w:customStyle="1" w:styleId="CommentSubjectChar">
    <w:name w:val="Comment Subject Char"/>
    <w:basedOn w:val="CommentTextChar"/>
    <w:link w:val="CommentSubject"/>
    <w:uiPriority w:val="99"/>
    <w:semiHidden/>
    <w:rsid w:val="00F27385"/>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A84782"/>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HChG">
    <w:name w:val="_ H _Ch_G"/>
    <w:basedOn w:val="Normal"/>
    <w:next w:val="Normal"/>
    <w:qFormat/>
    <w:rsid w:val="00A84782"/>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A84782"/>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A84782"/>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A84782"/>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A84782"/>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ingleTxtG">
    <w:name w:val="_ Single Txt_G"/>
    <w:basedOn w:val="Normal"/>
    <w:link w:val="SingleTxtGChar"/>
    <w:qFormat/>
    <w:rsid w:val="00A84782"/>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paragraph" w:customStyle="1" w:styleId="SLG">
    <w:name w:val="__S_L_G"/>
    <w:basedOn w:val="Normal"/>
    <w:next w:val="Normal"/>
    <w:rsid w:val="00A84782"/>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A84782"/>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A84782"/>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A84782"/>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A84782"/>
    <w:pPr>
      <w:numPr>
        <w:numId w:val="12"/>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A84782"/>
    <w:pPr>
      <w:numPr>
        <w:numId w:val="13"/>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ParNoG">
    <w:name w:val="_ParNo_G"/>
    <w:basedOn w:val="Normal"/>
    <w:qFormat/>
    <w:rsid w:val="00A84782"/>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character" w:styleId="PageNumber">
    <w:name w:val="page number"/>
    <w:aliases w:val="7_G"/>
    <w:basedOn w:val="DefaultParagraphFont"/>
    <w:qFormat/>
    <w:rsid w:val="00A84782"/>
    <w:rPr>
      <w:rFonts w:ascii="Times New Roman" w:hAnsi="Times New Roman"/>
      <w:b/>
      <w:sz w:val="18"/>
      <w:lang w:val="en-GB"/>
    </w:rPr>
  </w:style>
  <w:style w:type="character" w:customStyle="1" w:styleId="SingleTxtGChar">
    <w:name w:val="_ Single Txt_G Char"/>
    <w:link w:val="SingleTxtG"/>
    <w:locked/>
    <w:rsid w:val="00A84782"/>
    <w:rPr>
      <w:rFonts w:ascii="Times New Roman" w:eastAsiaTheme="minorHAnsi" w:hAnsi="Times New Roman" w:cs="Times New Roman"/>
      <w:kern w:val="0"/>
      <w:sz w:val="20"/>
      <w:szCs w:val="20"/>
      <w:lang w:val="en-GB" w:eastAsia="en-US"/>
      <w14:ligatures w14:val="none"/>
    </w:rPr>
  </w:style>
  <w:style w:type="numbering" w:styleId="111111">
    <w:name w:val="Outline List 2"/>
    <w:basedOn w:val="NoList"/>
    <w:semiHidden/>
    <w:rsid w:val="00A84782"/>
    <w:pPr>
      <w:numPr>
        <w:numId w:val="15"/>
      </w:numPr>
    </w:pPr>
  </w:style>
  <w:style w:type="numbering" w:styleId="1ai">
    <w:name w:val="Outline List 1"/>
    <w:basedOn w:val="NoList"/>
    <w:semiHidden/>
    <w:rsid w:val="00A84782"/>
    <w:pPr>
      <w:numPr>
        <w:numId w:val="16"/>
      </w:numPr>
    </w:pPr>
  </w:style>
  <w:style w:type="table" w:customStyle="1" w:styleId="TableGrid1">
    <w:name w:val="Table Grid1"/>
    <w:basedOn w:val="TableNormal"/>
    <w:rsid w:val="00A84782"/>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eNormal"/>
    <w:next w:val="TableGrid"/>
    <w:uiPriority w:val="39"/>
    <w:rsid w:val="00A84782"/>
    <w:pPr>
      <w:suppressAutoHyphens/>
      <w:spacing w:after="0" w:line="240" w:lineRule="exact"/>
    </w:pPr>
    <w:rPr>
      <w:rFonts w:ascii="Times New Roman" w:eastAsia="Times New Roman" w:hAnsi="Times New Roman" w:cs="Times New Roman"/>
      <w:kern w:val="0"/>
      <w:sz w:val="20"/>
      <w:szCs w:val="20"/>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84782"/>
    <w:pPr>
      <w:suppressAutoHyphens/>
      <w:spacing w:after="0" w:line="240" w:lineRule="exact"/>
    </w:pPr>
    <w:rPr>
      <w:rFonts w:ascii="Times New Roman" w:eastAsia="Times New Roman" w:hAnsi="Times New Roman" w:cs="Times New Roman"/>
      <w:kern w:val="0"/>
      <w:sz w:val="20"/>
      <w:szCs w:val="20"/>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84782"/>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s/CEDAW/C/SGP/Q/6"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msf.gov.sg/publications/Documents/Taskforce%20on%20Family%20Violence%20Report%20-%20Tackling%20Family%20Violence%20-%20Awareness%20-%20Prevention%20-%20Protection%20-%20Accountability.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6E3877-64A1-4D2F-A04C-50B251649ADC}">
  <ds:schemaRefs>
    <ds:schemaRef ds:uri="http://schemas.openxmlformats.org/officeDocument/2006/bibliography"/>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4.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13619</Words>
  <Characters>71503</Characters>
  <Application>Microsoft Office Word</Application>
  <DocSecurity>0</DocSecurity>
  <Lines>1324</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Norma Bevis</cp:lastModifiedBy>
  <cp:revision>2</cp:revision>
  <dcterms:created xsi:type="dcterms:W3CDTF">2024-04-01T19:12:00Z</dcterms:created>
  <dcterms:modified xsi:type="dcterms:W3CDTF">2024-04-01T19:12:00Z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2402906</vt:lpwstr>
  </property>
  <property fmtid="{D5CDD505-2E9C-101B-9397-08002B2CF9AE}" pid="3" name="ODSRefJobNo">
    <vt:lpwstr>2404155</vt:lpwstr>
  </property>
  <property fmtid="{D5CDD505-2E9C-101B-9397-08002B2CF9AE}" pid="4" name="Symbol1">
    <vt:lpwstr>CEDAW/C/SGP/RQ/6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EMS</vt:lpwstr>
  </property>
  <property fmtid="{D5CDD505-2E9C-101B-9397-08002B2CF9AE}" pid="11" name="Translator">
    <vt:lpwstr>MG</vt:lpwstr>
  </property>
  <property fmtid="{D5CDD505-2E9C-101B-9397-08002B2CF9AE}" pid="12" name="Session1">
    <vt:lpwstr>88º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de Singapur a la lista de cuestiones y preguntas relativas a su sexto informe periódico*, **_x000d_</vt:lpwstr>
  </property>
</Properties>
</file>