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B01E6" w14:textId="77777777" w:rsidR="00FF34D0" w:rsidRDefault="00FF34D0" w:rsidP="00FF34D0">
      <w:pPr>
        <w:spacing w:line="240" w:lineRule="auto"/>
        <w:rPr>
          <w:sz w:val="2"/>
        </w:rPr>
        <w:sectPr w:rsidR="00FF34D0" w:rsidSect="00C1643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24EFFB2D" w14:textId="77777777" w:rsidR="00C1643D" w:rsidRPr="00C1643D" w:rsidRDefault="00C1643D" w:rsidP="00A27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1643D">
        <w:rPr>
          <w:lang w:val="fr-FR"/>
        </w:rPr>
        <w:t>Comité pour l’élimination de la discrimination à l’égard des femmes</w:t>
      </w:r>
    </w:p>
    <w:p w14:paraId="15D85077" w14:textId="77777777" w:rsidR="00C1643D" w:rsidRPr="00C1643D" w:rsidRDefault="00C1643D" w:rsidP="00C1643D">
      <w:pPr>
        <w:pStyle w:val="SingleTxt"/>
        <w:spacing w:after="0" w:line="120" w:lineRule="exact"/>
        <w:rPr>
          <w:b/>
          <w:sz w:val="10"/>
          <w:lang w:val="fr-FR"/>
        </w:rPr>
      </w:pPr>
    </w:p>
    <w:p w14:paraId="26F9E276" w14:textId="77777777" w:rsidR="00C1643D" w:rsidRPr="00C1643D" w:rsidRDefault="00C1643D" w:rsidP="00C1643D">
      <w:pPr>
        <w:pStyle w:val="SingleTxt"/>
        <w:spacing w:after="0" w:line="120" w:lineRule="exact"/>
        <w:rPr>
          <w:b/>
          <w:sz w:val="10"/>
          <w:lang w:val="fr-FR"/>
        </w:rPr>
      </w:pPr>
    </w:p>
    <w:p w14:paraId="311CEFB2" w14:textId="77777777" w:rsidR="00C1643D" w:rsidRPr="00C1643D" w:rsidRDefault="00C1643D" w:rsidP="00C1643D">
      <w:pPr>
        <w:pStyle w:val="SingleTxt"/>
        <w:spacing w:after="0" w:line="120" w:lineRule="exact"/>
        <w:rPr>
          <w:b/>
          <w:sz w:val="10"/>
          <w:lang w:val="fr-FR"/>
        </w:rPr>
      </w:pPr>
    </w:p>
    <w:p w14:paraId="2583BECC" w14:textId="5B71A03B" w:rsidR="00C1643D" w:rsidRPr="00C1643D" w:rsidRDefault="00C1643D" w:rsidP="00C1643D">
      <w:pPr>
        <w:pStyle w:val="TitleHCH"/>
        <w:ind w:right="1260"/>
        <w:rPr>
          <w:lang w:val="fr-FR"/>
        </w:rPr>
      </w:pPr>
      <w:r w:rsidRPr="00C1643D">
        <w:rPr>
          <w:lang w:val="fr-FR"/>
        </w:rPr>
        <w:tab/>
      </w:r>
      <w:r w:rsidRPr="00C1643D">
        <w:rPr>
          <w:lang w:val="fr-FR"/>
        </w:rPr>
        <w:tab/>
        <w:t xml:space="preserve">Renseignements reçus de l’Albanie au sujet de la suite donnée aux observations finales concernant son cinquième </w:t>
      </w:r>
      <w:r w:rsidRPr="00F76E31">
        <w:rPr>
          <w:lang w:val="fr-FR"/>
        </w:rPr>
        <w:t xml:space="preserve">rapport </w:t>
      </w:r>
      <w:r w:rsidRPr="00E6484D">
        <w:rPr>
          <w:lang w:val="fr-FR"/>
        </w:rPr>
        <w:t>périodique</w:t>
      </w:r>
      <w:r w:rsidRPr="00E6484D">
        <w:rPr>
          <w:b w:val="0"/>
          <w:bCs/>
          <w:sz w:val="20"/>
          <w:szCs w:val="20"/>
          <w:lang w:val="fr-FR"/>
        </w:rPr>
        <w:footnoteReference w:customMarkFollows="1" w:id="1"/>
        <w:t>*</w:t>
      </w:r>
    </w:p>
    <w:p w14:paraId="48F8E587" w14:textId="77777777" w:rsidR="00C1643D" w:rsidRPr="00C1643D" w:rsidRDefault="00C1643D" w:rsidP="00C1643D">
      <w:pPr>
        <w:pStyle w:val="SingleTxt"/>
        <w:spacing w:after="0" w:line="120" w:lineRule="exact"/>
        <w:rPr>
          <w:sz w:val="10"/>
          <w:lang w:val="fr-FR"/>
        </w:rPr>
      </w:pPr>
    </w:p>
    <w:p w14:paraId="4A3B5C98" w14:textId="5B19E652" w:rsidR="00C1643D" w:rsidRPr="008131DD" w:rsidRDefault="00C1643D" w:rsidP="00C1643D">
      <w:pPr>
        <w:pStyle w:val="SingleTxt"/>
        <w:jc w:val="right"/>
        <w:rPr>
          <w:lang w:val="fr-FR"/>
        </w:rPr>
      </w:pPr>
      <w:r w:rsidRPr="008131DD">
        <w:rPr>
          <w:lang w:val="fr-FR"/>
        </w:rPr>
        <w:t>[Date de réception : 9 avril 2026]</w:t>
      </w:r>
    </w:p>
    <w:p w14:paraId="61481CC8" w14:textId="77777777" w:rsidR="00C1643D" w:rsidRPr="008131DD" w:rsidRDefault="00C1643D" w:rsidP="00C1643D">
      <w:pPr>
        <w:pStyle w:val="SingleTxt"/>
        <w:rPr>
          <w:lang w:val="fr-FR"/>
        </w:rPr>
      </w:pPr>
      <w:bookmarkStart w:id="0" w:name="_Toc225325863"/>
    </w:p>
    <w:p w14:paraId="5B6E2E68" w14:textId="2CF723D3" w:rsidR="00C1643D" w:rsidRPr="008131DD" w:rsidRDefault="00C1643D">
      <w:pPr>
        <w:suppressAutoHyphens w:val="0"/>
        <w:spacing w:after="160" w:line="259" w:lineRule="auto"/>
        <w:rPr>
          <w:kern w:val="14"/>
          <w:lang w:val="fr-FR"/>
        </w:rPr>
      </w:pPr>
      <w:r w:rsidRPr="008131DD">
        <w:rPr>
          <w:lang w:val="fr-FR"/>
        </w:rPr>
        <w:br w:type="page"/>
      </w:r>
    </w:p>
    <w:p w14:paraId="625C0DCE" w14:textId="49C337FF" w:rsidR="00C1643D" w:rsidRPr="008131DD" w:rsidRDefault="00C1643D" w:rsidP="00C164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lastRenderedPageBreak/>
        <w:tab/>
        <w:t>I.</w:t>
      </w:r>
      <w:r w:rsidRPr="008131DD">
        <w:rPr>
          <w:lang w:val="fr-FR"/>
        </w:rPr>
        <w:tab/>
        <w:t>Introduction</w:t>
      </w:r>
      <w:bookmarkEnd w:id="0"/>
    </w:p>
    <w:p w14:paraId="0FAA711D" w14:textId="77777777" w:rsidR="00C1643D" w:rsidRPr="008131DD" w:rsidRDefault="00C1643D" w:rsidP="00C1643D">
      <w:pPr>
        <w:pStyle w:val="SingleTxt"/>
        <w:spacing w:after="0" w:line="120" w:lineRule="exact"/>
        <w:rPr>
          <w:sz w:val="10"/>
          <w:lang w:val="fr-FR"/>
        </w:rPr>
      </w:pPr>
    </w:p>
    <w:p w14:paraId="6BBEBD4F" w14:textId="77777777" w:rsidR="00C1643D" w:rsidRPr="008131DD" w:rsidRDefault="00C1643D" w:rsidP="00C1643D">
      <w:pPr>
        <w:pStyle w:val="SingleTxt"/>
        <w:spacing w:after="0" w:line="120" w:lineRule="exact"/>
        <w:rPr>
          <w:sz w:val="10"/>
          <w:lang w:val="fr-FR"/>
        </w:rPr>
      </w:pPr>
    </w:p>
    <w:p w14:paraId="008A88D5" w14:textId="7F468636" w:rsidR="00C1643D" w:rsidRPr="008131DD" w:rsidRDefault="00C1643D" w:rsidP="00E6484D">
      <w:pPr>
        <w:pStyle w:val="SingleTxt"/>
        <w:numPr>
          <w:ilvl w:val="0"/>
          <w:numId w:val="28"/>
        </w:numPr>
        <w:ind w:left="1267"/>
        <w:rPr>
          <w:lang w:val="fr-FR"/>
        </w:rPr>
      </w:pPr>
      <w:r w:rsidRPr="008131DD">
        <w:rPr>
          <w:lang w:val="fr-FR"/>
        </w:rPr>
        <w:t>La République d’Albanie soumet au Comité pour l’élimination de la discrimination à l’égard des femmes (CEDAW) le présent rapport de suivi concernant la mise en œuvre de certaines recommandations figurant dans les observations finales relatives à son cinquième rapport périodique (</w:t>
      </w:r>
      <w:hyperlink r:id="rId16" w:history="1">
        <w:r w:rsidRPr="008131DD">
          <w:rPr>
            <w:rStyle w:val="Hyperlink"/>
            <w:lang w:val="fr-FR"/>
          </w:rPr>
          <w:t>CEDAW/C/ALB/CO/5</w:t>
        </w:r>
      </w:hyperlink>
      <w:r w:rsidRPr="008131DD">
        <w:rPr>
          <w:lang w:val="fr-FR"/>
        </w:rPr>
        <w:t>).</w:t>
      </w:r>
    </w:p>
    <w:p w14:paraId="5DB0038E" w14:textId="77D171F5" w:rsidR="00C1643D" w:rsidRPr="008131DD" w:rsidRDefault="00C1643D" w:rsidP="00E6484D">
      <w:pPr>
        <w:pStyle w:val="SingleTxt"/>
        <w:numPr>
          <w:ilvl w:val="0"/>
          <w:numId w:val="28"/>
        </w:numPr>
        <w:ind w:left="1267"/>
        <w:rPr>
          <w:lang w:val="fr-FR"/>
        </w:rPr>
      </w:pPr>
      <w:r w:rsidRPr="008131DD">
        <w:rPr>
          <w:lang w:val="fr-FR"/>
        </w:rPr>
        <w:t>Ce rapport répond à la demande du Comité, qui souhaitait recevoir, dans un délai de deux ans, des informations sur les mesures prises afin de : réviser le cadre juridique en matière d’égalité des genres ; mettre la législation pénale en conformité avec les normes internationales en matière de violences sexuelles, notamment en adoptant une définition du viol reposant sur la notion de consentement ; adopter des mesures temporaires spéciales visant à garantir une représentation égale des femmes dans la vie publique et politique ; renforcer la protection de la santé des femmes, notamment en prévenant les avortements sélectifs en fonction du sexe du fœtus et en améliorant les services d’accompagnement.</w:t>
      </w:r>
    </w:p>
    <w:p w14:paraId="448556EC" w14:textId="390DB0E0" w:rsidR="00C1643D" w:rsidRPr="008131DD" w:rsidRDefault="00C1643D" w:rsidP="00E6484D">
      <w:pPr>
        <w:pStyle w:val="SingleTxt"/>
        <w:numPr>
          <w:ilvl w:val="0"/>
          <w:numId w:val="28"/>
        </w:numPr>
        <w:ind w:left="1267"/>
        <w:rPr>
          <w:lang w:val="fr-FR"/>
        </w:rPr>
      </w:pPr>
      <w:r w:rsidRPr="008131DD">
        <w:rPr>
          <w:lang w:val="fr-FR"/>
        </w:rPr>
        <w:t>L’élaboration du rapport a été coordonnée par le Ministère de l’Europe et des affaires étrangères, en collaboration avec le Ministère de la santé et de la protection sociale et d’autres institutions, à partir des données recueillies et analysées pour la période 2023-2025.</w:t>
      </w:r>
    </w:p>
    <w:p w14:paraId="4A647619" w14:textId="5D47585E" w:rsidR="00C1643D" w:rsidRPr="008131DD" w:rsidRDefault="00C1643D" w:rsidP="00E6484D">
      <w:pPr>
        <w:pStyle w:val="SingleTxt"/>
        <w:numPr>
          <w:ilvl w:val="0"/>
          <w:numId w:val="28"/>
        </w:numPr>
        <w:ind w:left="1267"/>
        <w:rPr>
          <w:lang w:val="fr-FR"/>
        </w:rPr>
      </w:pPr>
      <w:r w:rsidRPr="008131DD">
        <w:rPr>
          <w:lang w:val="fr-FR"/>
        </w:rPr>
        <w:t>Le rapport expose les principaux changements législatifs, institutionnels et politiques intervenus récemment, réaffirmant ainsi l’engagement de l’Albanie à faire progresser l’égalité entre les genres, conformément à la Convention et à son programme d’intégration à l’Union européenne.</w:t>
      </w:r>
    </w:p>
    <w:p w14:paraId="2D13F663" w14:textId="77777777" w:rsidR="00C1643D" w:rsidRPr="008131DD" w:rsidRDefault="00C1643D" w:rsidP="00C1643D">
      <w:pPr>
        <w:pStyle w:val="SingleTxt"/>
        <w:spacing w:after="0" w:line="120" w:lineRule="exact"/>
        <w:rPr>
          <w:b/>
          <w:bCs/>
          <w:sz w:val="10"/>
          <w:lang w:val="fr-FR"/>
        </w:rPr>
      </w:pPr>
    </w:p>
    <w:p w14:paraId="6E5C7A12" w14:textId="77777777" w:rsidR="00C1643D" w:rsidRPr="008131DD" w:rsidRDefault="00C1643D" w:rsidP="00C1643D">
      <w:pPr>
        <w:pStyle w:val="SingleTxt"/>
        <w:spacing w:after="0" w:line="120" w:lineRule="exact"/>
        <w:rPr>
          <w:b/>
          <w:bCs/>
          <w:sz w:val="10"/>
          <w:lang w:val="fr-FR"/>
        </w:rPr>
      </w:pPr>
    </w:p>
    <w:p w14:paraId="0B13792C" w14:textId="1515E392" w:rsidR="00C1643D" w:rsidRPr="008131DD" w:rsidRDefault="00C1643D" w:rsidP="00C164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t>II.</w:t>
      </w:r>
      <w:r w:rsidRPr="008131DD">
        <w:rPr>
          <w:lang w:val="fr-FR"/>
        </w:rPr>
        <w:tab/>
        <w:t>Renseignements sur la suite donnée aux observations finales (</w:t>
      </w:r>
      <w:hyperlink r:id="rId17" w:history="1">
        <w:r w:rsidRPr="008131DD">
          <w:rPr>
            <w:rStyle w:val="Hyperlink"/>
            <w:lang w:val="fr-FR"/>
          </w:rPr>
          <w:t>CEDAW/C/ALB/CO/5</w:t>
        </w:r>
      </w:hyperlink>
      <w:r w:rsidRPr="008131DD">
        <w:rPr>
          <w:lang w:val="fr-FR"/>
        </w:rPr>
        <w:t>)</w:t>
      </w:r>
    </w:p>
    <w:p w14:paraId="012C05AF" w14:textId="77777777" w:rsidR="00C1643D" w:rsidRPr="008131DD" w:rsidRDefault="00C1643D" w:rsidP="00C1643D">
      <w:pPr>
        <w:pStyle w:val="SingleTxt"/>
        <w:spacing w:after="0" w:line="120" w:lineRule="exact"/>
        <w:rPr>
          <w:b/>
          <w:bCs/>
          <w:sz w:val="10"/>
          <w:lang w:val="fr-FR"/>
        </w:rPr>
      </w:pPr>
    </w:p>
    <w:p w14:paraId="63040887" w14:textId="77777777" w:rsidR="00C1643D" w:rsidRPr="008131DD" w:rsidRDefault="00C1643D" w:rsidP="00C1643D">
      <w:pPr>
        <w:pStyle w:val="SingleTxt"/>
        <w:spacing w:after="0" w:line="120" w:lineRule="exact"/>
        <w:rPr>
          <w:b/>
          <w:bCs/>
          <w:sz w:val="10"/>
          <w:lang w:val="fr-FR"/>
        </w:rPr>
      </w:pPr>
    </w:p>
    <w:p w14:paraId="051C4988" w14:textId="7B4963ED" w:rsidR="00C1643D" w:rsidRPr="008131DD" w:rsidRDefault="00C1643D" w:rsidP="00C16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t>A.</w:t>
      </w:r>
      <w:r w:rsidRPr="008131DD">
        <w:rPr>
          <w:lang w:val="fr-FR"/>
        </w:rPr>
        <w:tab/>
        <w:t>Renseignements concernant le paragraphe 12 a)</w:t>
      </w:r>
    </w:p>
    <w:p w14:paraId="08E0554F" w14:textId="77777777" w:rsidR="00C1643D" w:rsidRPr="008131DD" w:rsidRDefault="00C1643D" w:rsidP="00C1643D">
      <w:pPr>
        <w:pStyle w:val="SingleTxt"/>
        <w:spacing w:after="0" w:line="120" w:lineRule="exact"/>
        <w:rPr>
          <w:sz w:val="10"/>
          <w:lang w:val="fr-FR"/>
        </w:rPr>
      </w:pPr>
    </w:p>
    <w:p w14:paraId="1AE17D90" w14:textId="77777777" w:rsidR="00C1643D" w:rsidRPr="008131DD" w:rsidRDefault="00C1643D" w:rsidP="00C1643D">
      <w:pPr>
        <w:pStyle w:val="SingleTxt"/>
        <w:spacing w:after="0" w:line="120" w:lineRule="exact"/>
        <w:rPr>
          <w:sz w:val="10"/>
          <w:lang w:val="fr-FR"/>
        </w:rPr>
      </w:pPr>
    </w:p>
    <w:p w14:paraId="293D90E4" w14:textId="03C80E37" w:rsidR="00C1643D" w:rsidRPr="008131DD" w:rsidRDefault="00C1643D" w:rsidP="00E6484D">
      <w:pPr>
        <w:pStyle w:val="SingleTxt"/>
        <w:numPr>
          <w:ilvl w:val="0"/>
          <w:numId w:val="28"/>
        </w:numPr>
        <w:ind w:left="1267"/>
        <w:rPr>
          <w:lang w:val="fr-FR"/>
        </w:rPr>
      </w:pPr>
      <w:r w:rsidRPr="008131DD">
        <w:rPr>
          <w:lang w:val="fr-FR"/>
        </w:rPr>
        <w:t>Compte tenu de la recommandation faite par le Comité de réviser le cadre juridique relatif à l’égalité des genres, la République d’Albanie a entrepris une réforme législative globale en adoptant la loi n</w:t>
      </w:r>
      <w:r w:rsidRPr="008131DD">
        <w:rPr>
          <w:vertAlign w:val="superscript"/>
          <w:lang w:val="fr-FR"/>
        </w:rPr>
        <w:t>o</w:t>
      </w:r>
      <w:r w:rsidRPr="008131DD">
        <w:rPr>
          <w:lang w:val="fr-FR"/>
        </w:rPr>
        <w:t xml:space="preserve"> 64/2025 sur l’égalité des genres, qui remplace la loi n</w:t>
      </w:r>
      <w:r w:rsidRPr="008131DD">
        <w:rPr>
          <w:vertAlign w:val="superscript"/>
          <w:lang w:val="fr-FR"/>
        </w:rPr>
        <w:t>o</w:t>
      </w:r>
      <w:r w:rsidRPr="008131DD">
        <w:rPr>
          <w:lang w:val="fr-FR"/>
        </w:rPr>
        <w:t xml:space="preserve"> 9970/2008 sur l’égalité des genres dans la société</w:t>
      </w:r>
      <w:r w:rsidRPr="008131DD">
        <w:rPr>
          <w:vertAlign w:val="superscript"/>
          <w:lang w:val="fr-FR"/>
        </w:rPr>
        <w:footnoteReference w:id="2"/>
      </w:r>
      <w:r w:rsidRPr="008131DD">
        <w:rPr>
          <w:lang w:val="fr-FR"/>
        </w:rPr>
        <w:t xml:space="preserve">. La nouvelle loi, adoptée par l’Assemblée d’Albanie le 6 novembre 2025 et publiée au </w:t>
      </w:r>
      <w:r w:rsidRPr="00E6484D">
        <w:rPr>
          <w:i/>
          <w:iCs/>
          <w:lang w:val="fr-FR"/>
        </w:rPr>
        <w:t>Journal officiel</w:t>
      </w:r>
      <w:r w:rsidRPr="008131DD">
        <w:rPr>
          <w:lang w:val="fr-FR"/>
        </w:rPr>
        <w:t xml:space="preserve"> n</w:t>
      </w:r>
      <w:r w:rsidRPr="008131DD">
        <w:rPr>
          <w:vertAlign w:val="superscript"/>
          <w:lang w:val="fr-FR"/>
        </w:rPr>
        <w:t>o</w:t>
      </w:r>
      <w:r w:rsidRPr="008131DD">
        <w:rPr>
          <w:lang w:val="fr-FR"/>
        </w:rPr>
        <w:t xml:space="preserve"> 229 le 10 décembre 2025, est entrée en vigueur le 25 décembre 2025. Elle vise à garantir le droit de toute personne à l’égalité des genres et à une protection effective contre la discrimination fondée sur le genre, dans la vie publique comme dans la vie privée ; à mettre en place des mesures générales et particulières dans tous les secteurs, en tenant compte des besoins différents des femmes et des hommes ; et à définir clairement les responsabilités des pouvoirs publics en matière de promotion et de réalisation de l’égalité des genres.</w:t>
      </w:r>
    </w:p>
    <w:p w14:paraId="39EC544B" w14:textId="2CD613F9" w:rsidR="00C1643D" w:rsidRPr="008131DD" w:rsidRDefault="00C1643D" w:rsidP="00E6484D">
      <w:pPr>
        <w:pStyle w:val="SingleTxt"/>
        <w:numPr>
          <w:ilvl w:val="0"/>
          <w:numId w:val="28"/>
        </w:numPr>
        <w:ind w:left="1267"/>
        <w:rPr>
          <w:lang w:val="fr-FR"/>
        </w:rPr>
      </w:pPr>
      <w:r w:rsidRPr="008131DD">
        <w:rPr>
          <w:lang w:val="fr-FR"/>
        </w:rPr>
        <w:t>L’adoption de cette loi marque une étape décisive dans la mise en œuvre de la Stratégie nationale pour l’égalité des sexes 2021-2030, dans laquelle la révision du cadre juridique a été inscrite comme mesure prioritaire pour accélérer la réalisation de l’égalité des genres en droit (</w:t>
      </w:r>
      <w:r w:rsidRPr="00E6484D">
        <w:rPr>
          <w:i/>
          <w:iCs/>
          <w:lang w:val="fr-FR"/>
        </w:rPr>
        <w:t>de jure</w:t>
      </w:r>
      <w:r w:rsidRPr="008131DD">
        <w:rPr>
          <w:lang w:val="fr-FR"/>
        </w:rPr>
        <w:t>) et dans les faits (de facto). Elle montre aussi que l’Albanie est déterminée à aligner sa législation sur les normes internationales en matière de droits humains et sur l’acquis de l’Union européenne.</w:t>
      </w:r>
    </w:p>
    <w:p w14:paraId="7397F6CF" w14:textId="77777777" w:rsidR="00C1643D" w:rsidRPr="008131DD" w:rsidRDefault="00C1643D" w:rsidP="00C1643D">
      <w:pPr>
        <w:pStyle w:val="SingleTxt"/>
        <w:spacing w:after="0" w:line="120" w:lineRule="exact"/>
        <w:rPr>
          <w:b/>
          <w:sz w:val="10"/>
          <w:lang w:val="fr-FR"/>
        </w:rPr>
      </w:pPr>
    </w:p>
    <w:p w14:paraId="3A6A9671" w14:textId="01B94079"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lastRenderedPageBreak/>
        <w:tab/>
      </w:r>
      <w:r w:rsidRPr="008131DD">
        <w:rPr>
          <w:lang w:val="fr-FR"/>
        </w:rPr>
        <w:tab/>
        <w:t>Principales innovations de la loi sur l’égalité des genres</w:t>
      </w:r>
    </w:p>
    <w:p w14:paraId="696560B1" w14:textId="77777777" w:rsidR="00C1643D" w:rsidRPr="008131DD" w:rsidRDefault="00C1643D" w:rsidP="00C1643D">
      <w:pPr>
        <w:pStyle w:val="SingleTxt"/>
        <w:spacing w:after="0" w:line="120" w:lineRule="exact"/>
        <w:rPr>
          <w:sz w:val="10"/>
          <w:lang w:val="fr-FR"/>
        </w:rPr>
      </w:pPr>
    </w:p>
    <w:p w14:paraId="261A34AF" w14:textId="2BC8EF94" w:rsidR="00C1643D" w:rsidRPr="008131DD" w:rsidRDefault="00C1643D" w:rsidP="00E6484D">
      <w:pPr>
        <w:pStyle w:val="SingleTxt"/>
        <w:numPr>
          <w:ilvl w:val="0"/>
          <w:numId w:val="28"/>
        </w:numPr>
        <w:ind w:left="1267"/>
        <w:rPr>
          <w:lang w:val="fr-FR"/>
        </w:rPr>
      </w:pPr>
      <w:r w:rsidRPr="008131DD">
        <w:rPr>
          <w:lang w:val="fr-FR"/>
        </w:rPr>
        <w:t xml:space="preserve">Cette réforme comble les lacunes de l’ancien cadre juridique et introduit des innovations visant à renforcer l’égalité entre les femmes et les hommes dans la pratique, en passant d’une égalité formelle à une égalité réelle. Elle s’applique tant au secteur public qu’au secteur privé et intègre l’égalité des genres dans l’ensemble des politiques et des programmes. </w:t>
      </w:r>
    </w:p>
    <w:p w14:paraId="5663E9ED" w14:textId="569BDC7A" w:rsidR="00C1643D" w:rsidRPr="008131DD" w:rsidRDefault="00C1643D" w:rsidP="00E6484D">
      <w:pPr>
        <w:pStyle w:val="SingleTxt"/>
        <w:numPr>
          <w:ilvl w:val="0"/>
          <w:numId w:val="28"/>
        </w:numPr>
        <w:ind w:left="1267"/>
        <w:rPr>
          <w:lang w:val="fr-FR"/>
        </w:rPr>
      </w:pPr>
      <w:r w:rsidRPr="008131DD">
        <w:rPr>
          <w:lang w:val="fr-FR"/>
        </w:rPr>
        <w:t xml:space="preserve">L’une des principales nouveautés est une section consacrée à l’égalité des genres dans divers secteurs tels que l’éducation, la technologie, les médias, l’agriculture, la santé, la sécurité, les transports, l’environnement et la culture, qui prévoit des mesures concrètes et un suivi par les acteurs publics et privés. </w:t>
      </w:r>
    </w:p>
    <w:p w14:paraId="52120675" w14:textId="34661AC0" w:rsidR="00C1643D" w:rsidRPr="008131DD" w:rsidRDefault="00C1643D" w:rsidP="00E6484D">
      <w:pPr>
        <w:pStyle w:val="SingleTxt"/>
        <w:numPr>
          <w:ilvl w:val="0"/>
          <w:numId w:val="28"/>
        </w:numPr>
        <w:ind w:left="1267"/>
        <w:rPr>
          <w:lang w:val="fr-FR"/>
        </w:rPr>
      </w:pPr>
      <w:r w:rsidRPr="008131DD">
        <w:rPr>
          <w:lang w:val="fr-FR"/>
        </w:rPr>
        <w:t xml:space="preserve">La loi renforce des outils essentiels, notamment l’intégration systématique de questions de genre et leur prise en compte dans le processus budgétaire, l’utilisation d’un langage tenant compte des questions de genre, la reconnaissance du travail domestique non rémunéré et les systèmes de collecte et d’analyse des données sur le genre. </w:t>
      </w:r>
    </w:p>
    <w:p w14:paraId="188E9CC9" w14:textId="4C1CF6D7" w:rsidR="00C1643D" w:rsidRPr="008131DD" w:rsidRDefault="00C1643D" w:rsidP="00E6484D">
      <w:pPr>
        <w:pStyle w:val="SingleTxt"/>
        <w:numPr>
          <w:ilvl w:val="0"/>
          <w:numId w:val="28"/>
        </w:numPr>
        <w:ind w:left="1267"/>
        <w:rPr>
          <w:lang w:val="fr-FR"/>
        </w:rPr>
      </w:pPr>
      <w:r w:rsidRPr="008131DD">
        <w:rPr>
          <w:lang w:val="fr-FR"/>
        </w:rPr>
        <w:t>La loi établit également des règles plus claires en matière de représentation équilibrée dans la prise de décision et promeut la parité femmes-hommes (</w:t>
      </w:r>
      <w:r w:rsidR="00523576" w:rsidRPr="00E6484D">
        <w:rPr>
          <w:lang w:val="fr-FR"/>
        </w:rPr>
        <w:t>50/50</w:t>
      </w:r>
      <w:r w:rsidRPr="008131DD">
        <w:rPr>
          <w:lang w:val="fr-FR"/>
        </w:rPr>
        <w:t>) comme objectif à long terme.</w:t>
      </w:r>
    </w:p>
    <w:p w14:paraId="0D4006E7" w14:textId="77777777" w:rsidR="00C1643D" w:rsidRPr="008131DD" w:rsidRDefault="00C1643D" w:rsidP="00C1643D">
      <w:pPr>
        <w:pStyle w:val="SingleTxt"/>
        <w:spacing w:after="0" w:line="120" w:lineRule="exact"/>
        <w:rPr>
          <w:b/>
          <w:sz w:val="10"/>
          <w:lang w:val="fr-FR"/>
        </w:rPr>
      </w:pPr>
    </w:p>
    <w:p w14:paraId="32217C2C" w14:textId="713B5BDC"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Processus de rédaction inclusif et participatif</w:t>
      </w:r>
    </w:p>
    <w:p w14:paraId="7CEC0768" w14:textId="77777777" w:rsidR="00C1643D" w:rsidRPr="008131DD" w:rsidRDefault="00C1643D" w:rsidP="00C1643D">
      <w:pPr>
        <w:pStyle w:val="SingleTxt"/>
        <w:spacing w:after="0" w:line="120" w:lineRule="exact"/>
        <w:rPr>
          <w:sz w:val="10"/>
          <w:lang w:val="fr-FR"/>
        </w:rPr>
      </w:pPr>
    </w:p>
    <w:p w14:paraId="49A583D1" w14:textId="0E366DB3" w:rsidR="00C1643D" w:rsidRPr="008131DD" w:rsidRDefault="00C1643D" w:rsidP="00E6484D">
      <w:pPr>
        <w:pStyle w:val="SingleTxt"/>
        <w:numPr>
          <w:ilvl w:val="0"/>
          <w:numId w:val="28"/>
        </w:numPr>
        <w:ind w:left="1267"/>
        <w:rPr>
          <w:lang w:val="fr-FR"/>
        </w:rPr>
      </w:pPr>
      <w:r w:rsidRPr="008131DD">
        <w:rPr>
          <w:lang w:val="fr-FR"/>
        </w:rPr>
        <w:t>La loi n</w:t>
      </w:r>
      <w:r w:rsidRPr="008131DD">
        <w:rPr>
          <w:vertAlign w:val="superscript"/>
          <w:lang w:val="fr-FR"/>
        </w:rPr>
        <w:t>o</w:t>
      </w:r>
      <w:r w:rsidRPr="008131DD">
        <w:rPr>
          <w:lang w:val="fr-FR"/>
        </w:rPr>
        <w:t xml:space="preserve"> 64/2025 est le produit d’un processus de consultation largement ouvert, qui garantissait la participation effective d’un large éventail de parties prenantes. Des consultations interinstitutionnelles et de réunions de travail techniques ont été organisées avec :</w:t>
      </w:r>
    </w:p>
    <w:p w14:paraId="6DBECEFA" w14:textId="5BBCB931"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les ministères de tutelle et les institutions de l’administration centrale ;</w:t>
      </w:r>
    </w:p>
    <w:p w14:paraId="4C1735CB" w14:textId="36BE1DD8"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des organismes indépendants, notamment le Commissaire à la protection contre la discrimination et le Médiateur ;</w:t>
      </w:r>
    </w:p>
    <w:p w14:paraId="31779905" w14:textId="47B88A73"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des organismes de contrôle et de réglementation ;</w:t>
      </w:r>
    </w:p>
    <w:p w14:paraId="54361A59" w14:textId="3C781984"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des représentants des collectivités locales ;</w:t>
      </w:r>
    </w:p>
    <w:p w14:paraId="3A9DB7C0" w14:textId="19D8DAAC"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des organisations de la société civile qui militent en faveur de l’égalité des genres et des droits humains ;</w:t>
      </w:r>
    </w:p>
    <w:p w14:paraId="4F9F1E69" w14:textId="53457357" w:rsidR="00C1643D" w:rsidRPr="008131DD" w:rsidRDefault="00523576"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des partenaires et des experts internationaux.</w:t>
      </w:r>
    </w:p>
    <w:p w14:paraId="265E7DEF" w14:textId="591B2C77" w:rsidR="00C1643D" w:rsidRPr="008131DD" w:rsidRDefault="00C1643D" w:rsidP="00E6484D">
      <w:pPr>
        <w:pStyle w:val="SingleTxt"/>
        <w:numPr>
          <w:ilvl w:val="0"/>
          <w:numId w:val="28"/>
        </w:numPr>
        <w:ind w:left="1267"/>
        <w:rPr>
          <w:lang w:val="fr-FR"/>
        </w:rPr>
      </w:pPr>
      <w:r w:rsidRPr="008131DD">
        <w:rPr>
          <w:lang w:val="fr-FR"/>
        </w:rPr>
        <w:t>Ces parties prenantes ont formulé des observations écrites et fourni des contributions techniques, qui ont été systématiquement examinées et, s’il y avait lieu, intégrées au projet de loi, ce qui a permis de faire en sorte que celle-ci soit rédigée selon un processus itératif et fondé sur des données factuelles.</w:t>
      </w:r>
    </w:p>
    <w:p w14:paraId="3F1B98BB" w14:textId="77777777" w:rsidR="00C1643D" w:rsidRPr="008131DD" w:rsidRDefault="00C1643D" w:rsidP="00C1643D">
      <w:pPr>
        <w:pStyle w:val="SingleTxt"/>
        <w:spacing w:after="0" w:line="120" w:lineRule="exact"/>
        <w:rPr>
          <w:b/>
          <w:sz w:val="10"/>
          <w:lang w:val="fr-FR"/>
        </w:rPr>
      </w:pPr>
    </w:p>
    <w:p w14:paraId="121200DC" w14:textId="640C73D0"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Budget alloué à la mise en œuvre</w:t>
      </w:r>
    </w:p>
    <w:p w14:paraId="134DE600" w14:textId="77777777" w:rsidR="00C1643D" w:rsidRPr="008131DD" w:rsidRDefault="00C1643D" w:rsidP="00C1643D">
      <w:pPr>
        <w:pStyle w:val="SingleTxt"/>
        <w:spacing w:after="0" w:line="120" w:lineRule="exact"/>
        <w:rPr>
          <w:sz w:val="10"/>
          <w:lang w:val="fr-FR"/>
        </w:rPr>
      </w:pPr>
    </w:p>
    <w:p w14:paraId="57B7B2E4" w14:textId="5E37153E" w:rsidR="00C1643D" w:rsidRPr="008131DD" w:rsidRDefault="00C1643D" w:rsidP="00E6484D">
      <w:pPr>
        <w:pStyle w:val="SingleTxt"/>
        <w:numPr>
          <w:ilvl w:val="0"/>
          <w:numId w:val="28"/>
        </w:numPr>
        <w:ind w:left="1267"/>
        <w:rPr>
          <w:lang w:val="fr-FR"/>
        </w:rPr>
      </w:pPr>
      <w:r w:rsidRPr="008131DD">
        <w:rPr>
          <w:lang w:val="fr-FR"/>
        </w:rPr>
        <w:t>L’application de la loi n</w:t>
      </w:r>
      <w:r w:rsidRPr="008131DD">
        <w:rPr>
          <w:vertAlign w:val="superscript"/>
          <w:lang w:val="fr-FR"/>
        </w:rPr>
        <w:t>o</w:t>
      </w:r>
      <w:r w:rsidRPr="008131DD">
        <w:rPr>
          <w:lang w:val="fr-FR"/>
        </w:rPr>
        <w:t xml:space="preserve"> 64/2025 repose sur un cadre de financement spécial, fondé sur une analyse exhaustive des coûts. Au total, les ressources nécessaires s’élèvent à environ 911 millions de leks sur une période de </w:t>
      </w:r>
      <w:r w:rsidR="00A82C2F" w:rsidRPr="008131DD">
        <w:rPr>
          <w:lang w:val="fr-FR"/>
        </w:rPr>
        <w:t>10</w:t>
      </w:r>
      <w:r w:rsidR="00A82C2F" w:rsidRPr="008131DD">
        <w:rPr>
          <w:lang w:val="fr-FR"/>
        </w:rPr>
        <w:t xml:space="preserve"> </w:t>
      </w:r>
      <w:r w:rsidRPr="008131DD">
        <w:rPr>
          <w:lang w:val="fr-FR"/>
        </w:rPr>
        <w:t>ans (2025-2034), ce qui correspond à environ 0,03 % du produit intérieur brut (2025), les allocations annuelles étant réparties progressivement en fonction des priorités. Ces dépenses sont intégrées dans les programmes budgétaires existants des institutions compétentes et visent à orienter la planification budgétaire à moyen terme.</w:t>
      </w:r>
    </w:p>
    <w:p w14:paraId="3D56ACCB" w14:textId="0236D434" w:rsidR="00C1643D" w:rsidRPr="008131DD" w:rsidRDefault="00C1643D" w:rsidP="00E6484D">
      <w:pPr>
        <w:pStyle w:val="SingleTxt"/>
        <w:numPr>
          <w:ilvl w:val="0"/>
          <w:numId w:val="28"/>
        </w:numPr>
        <w:ind w:left="1267"/>
        <w:rPr>
          <w:lang w:val="fr-FR"/>
        </w:rPr>
      </w:pPr>
      <w:r w:rsidRPr="008131DD">
        <w:rPr>
          <w:lang w:val="fr-FR"/>
        </w:rPr>
        <w:t xml:space="preserve">Les principales allocations budgétaires comprennent des investissements dans le renforcement des capacités et la formation du personnel de l’administration publique et des collectivités locales, notamment s’agissant des compétences </w:t>
      </w:r>
      <w:r w:rsidRPr="008131DD">
        <w:rPr>
          <w:lang w:val="fr-FR"/>
        </w:rPr>
        <w:lastRenderedPageBreak/>
        <w:t>spécialisées pour les évaluations des incidences pour les personnes de chaque sexe et la budgétisation tenant compte des questions de genre, ainsi que des ressources destinées à la conduite de travaux de recherche, d’études et d’analyses d’impact périodiques selon le genre dans tous les secteurs. Des ressources supplémentaires sont prévues pour le développement des statistiques genrées et l’évaluation de la loi a posteriori. La planification financière qui sous-tend la loi garantit que sa mise en œuvre est à la fois chiffrée et viable et qu’elle combine de nouveaux investissements ciblés et l’intégration des objectifs d’égalité des genres dans les cadres de dépenses publiques existants.</w:t>
      </w:r>
    </w:p>
    <w:p w14:paraId="179327FE" w14:textId="77777777" w:rsidR="00C1643D" w:rsidRPr="008131DD" w:rsidRDefault="00C1643D" w:rsidP="00C1643D">
      <w:pPr>
        <w:pStyle w:val="SingleTxt"/>
        <w:spacing w:after="0" w:line="120" w:lineRule="exact"/>
        <w:rPr>
          <w:b/>
          <w:sz w:val="10"/>
          <w:lang w:val="fr-FR"/>
        </w:rPr>
      </w:pPr>
    </w:p>
    <w:p w14:paraId="412FCB07" w14:textId="2E7D4A2B"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Mesures prises pour appliquer le nouveau cadre juridique</w:t>
      </w:r>
    </w:p>
    <w:p w14:paraId="312F49AF" w14:textId="77777777" w:rsidR="00C1643D" w:rsidRPr="008131DD" w:rsidRDefault="00C1643D" w:rsidP="00C1643D">
      <w:pPr>
        <w:pStyle w:val="SingleTxt"/>
        <w:spacing w:after="0" w:line="120" w:lineRule="exact"/>
        <w:rPr>
          <w:sz w:val="10"/>
          <w:lang w:val="fr-FR"/>
        </w:rPr>
      </w:pPr>
    </w:p>
    <w:p w14:paraId="618C98DE" w14:textId="0C778FDB" w:rsidR="00C1643D" w:rsidRPr="008131DD" w:rsidRDefault="00C1643D" w:rsidP="00E6484D">
      <w:pPr>
        <w:pStyle w:val="SingleTxt"/>
        <w:numPr>
          <w:ilvl w:val="0"/>
          <w:numId w:val="28"/>
        </w:numPr>
        <w:ind w:left="1267"/>
        <w:rPr>
          <w:lang w:val="fr-FR"/>
        </w:rPr>
      </w:pPr>
      <w:r w:rsidRPr="008131DD">
        <w:rPr>
          <w:lang w:val="fr-FR"/>
        </w:rPr>
        <w:t>Depuis l’entrée en vigueur de la loi n</w:t>
      </w:r>
      <w:r w:rsidRPr="008131DD">
        <w:rPr>
          <w:vertAlign w:val="superscript"/>
          <w:lang w:val="fr-FR"/>
        </w:rPr>
        <w:t>o</w:t>
      </w:r>
      <w:r w:rsidRPr="008131DD">
        <w:rPr>
          <w:lang w:val="fr-FR"/>
        </w:rPr>
        <w:t xml:space="preserve"> 64/2025, le Ministère de la santé et de la protection sociale a lancé un ensemble de mesures visant à garantir sa mise en œuvre effective. En particulier, l’élaboration des lois d’application nécessaires est en cours et devrait être achevée d’ici à juin 2026, afin de permettre la mise en œuvre des dispositions de la loi. Parallèlement, un projet de décision du Conseil des ministres concernant la composition et le fonctionnement du Conseil national de l’égalité des genres a été élaboré, et celui-ci devait être pleinement institutionnalisé en mars 2026.</w:t>
      </w:r>
    </w:p>
    <w:p w14:paraId="69D167DE" w14:textId="61D68A8B" w:rsidR="00C1643D" w:rsidRPr="008131DD" w:rsidRDefault="00C1643D" w:rsidP="00E6484D">
      <w:pPr>
        <w:pStyle w:val="SingleTxt"/>
        <w:numPr>
          <w:ilvl w:val="0"/>
          <w:numId w:val="28"/>
        </w:numPr>
        <w:ind w:left="1267"/>
        <w:rPr>
          <w:lang w:val="fr-FR"/>
        </w:rPr>
      </w:pPr>
      <w:r w:rsidRPr="008131DD">
        <w:rPr>
          <w:lang w:val="fr-FR"/>
        </w:rPr>
        <w:t>Des mesures ont été prises pour mettre en place un groupe de travail interinstitutionnel sur les statistiques genrées et pour renforcer le rôle des responsables de l’égalité des genres dans les institutions centrales et locales. Le Ministère a également lancé une campagne de sensibilisation à l’intention des secteurs public et privé sur le champ d’application de la loi et les obligations qui en découlent, dans le but d’assurer une mise en œuvre coordonnée et efficace.</w:t>
      </w:r>
    </w:p>
    <w:p w14:paraId="6748C6DA" w14:textId="77777777" w:rsidR="00C1643D" w:rsidRPr="008131DD" w:rsidRDefault="00C1643D" w:rsidP="00C1643D">
      <w:pPr>
        <w:pStyle w:val="SingleTxt"/>
        <w:spacing w:after="0" w:line="120" w:lineRule="exact"/>
        <w:rPr>
          <w:b/>
          <w:bCs/>
          <w:sz w:val="10"/>
          <w:lang w:val="fr-FR"/>
        </w:rPr>
      </w:pPr>
    </w:p>
    <w:p w14:paraId="4A088209" w14:textId="77777777" w:rsidR="00C1643D" w:rsidRPr="008131DD" w:rsidRDefault="00C1643D" w:rsidP="00C1643D">
      <w:pPr>
        <w:pStyle w:val="SingleTxt"/>
        <w:spacing w:after="0" w:line="120" w:lineRule="exact"/>
        <w:rPr>
          <w:b/>
          <w:bCs/>
          <w:sz w:val="10"/>
          <w:lang w:val="fr-FR"/>
        </w:rPr>
      </w:pPr>
    </w:p>
    <w:p w14:paraId="218AAD15" w14:textId="6E017C3F" w:rsidR="00C1643D" w:rsidRPr="008131DD" w:rsidRDefault="00C1643D" w:rsidP="00C16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t>B.</w:t>
      </w:r>
      <w:r w:rsidRPr="008131DD">
        <w:rPr>
          <w:lang w:val="fr-FR"/>
        </w:rPr>
        <w:tab/>
        <w:t>Renseignements concernant le paragraphe 24 b)</w:t>
      </w:r>
    </w:p>
    <w:p w14:paraId="5A7707DC" w14:textId="77777777" w:rsidR="00C1643D" w:rsidRPr="008131DD" w:rsidRDefault="00C1643D" w:rsidP="00C1643D">
      <w:pPr>
        <w:pStyle w:val="SingleTxt"/>
        <w:spacing w:after="0" w:line="120" w:lineRule="exact"/>
        <w:rPr>
          <w:b/>
          <w:sz w:val="10"/>
          <w:lang w:val="fr-FR"/>
        </w:rPr>
      </w:pPr>
    </w:p>
    <w:p w14:paraId="6C70E899" w14:textId="77777777" w:rsidR="00C1643D" w:rsidRPr="008131DD" w:rsidRDefault="00C1643D" w:rsidP="00C1643D">
      <w:pPr>
        <w:pStyle w:val="SingleTxt"/>
        <w:spacing w:after="0" w:line="120" w:lineRule="exact"/>
        <w:rPr>
          <w:b/>
          <w:sz w:val="10"/>
          <w:lang w:val="fr-FR"/>
        </w:rPr>
      </w:pPr>
    </w:p>
    <w:p w14:paraId="601EB4A7" w14:textId="2375775D"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Changements apportés au cadre juridique relatif à la violence à l’égard des femmes</w:t>
      </w:r>
    </w:p>
    <w:p w14:paraId="0083CFDE" w14:textId="77777777" w:rsidR="00C1643D" w:rsidRPr="008131DD" w:rsidRDefault="00C1643D" w:rsidP="00C1643D">
      <w:pPr>
        <w:pStyle w:val="SingleTxt"/>
        <w:spacing w:after="0" w:line="120" w:lineRule="exact"/>
        <w:rPr>
          <w:sz w:val="10"/>
          <w:lang w:val="fr-FR"/>
        </w:rPr>
      </w:pPr>
    </w:p>
    <w:p w14:paraId="15054316" w14:textId="7E8DD9FD" w:rsidR="00C1643D" w:rsidRPr="008131DD" w:rsidRDefault="00C1643D" w:rsidP="00E6484D">
      <w:pPr>
        <w:pStyle w:val="SingleTxt"/>
        <w:numPr>
          <w:ilvl w:val="0"/>
          <w:numId w:val="28"/>
        </w:numPr>
        <w:ind w:left="1267"/>
        <w:rPr>
          <w:lang w:val="fr-FR"/>
        </w:rPr>
      </w:pPr>
      <w:r w:rsidRPr="008131DD">
        <w:rPr>
          <w:lang w:val="fr-FR"/>
        </w:rPr>
        <w:t>Conformément à la recommandation formulée par le Comité et à la recommandation générale n</w:t>
      </w:r>
      <w:r w:rsidRPr="008131DD">
        <w:rPr>
          <w:vertAlign w:val="superscript"/>
          <w:lang w:val="fr-FR"/>
        </w:rPr>
        <w:t>o</w:t>
      </w:r>
      <w:r w:rsidRPr="008131DD">
        <w:rPr>
          <w:lang w:val="fr-FR"/>
        </w:rPr>
        <w:t xml:space="preserve"> </w:t>
      </w:r>
      <w:r w:rsidR="00523576" w:rsidRPr="00E6484D">
        <w:rPr>
          <w:lang w:val="fr-FR"/>
        </w:rPr>
        <w:t>35 (2017)</w:t>
      </w:r>
      <w:r w:rsidRPr="008131DD">
        <w:rPr>
          <w:lang w:val="fr-FR"/>
        </w:rPr>
        <w:t>, l’Albanie a considérablement renforcé son cadre juridique en adoptant la loi n</w:t>
      </w:r>
      <w:r w:rsidRPr="008131DD">
        <w:rPr>
          <w:vertAlign w:val="superscript"/>
          <w:lang w:val="fr-FR"/>
        </w:rPr>
        <w:t>o</w:t>
      </w:r>
      <w:r w:rsidRPr="008131DD">
        <w:rPr>
          <w:lang w:val="fr-FR"/>
        </w:rPr>
        <w:t xml:space="preserve"> 11/2026 sur la prévention de la violence à l’égard des femmes et de la violence domestique et la protection contre ces formes de violence</w:t>
      </w:r>
      <w:r w:rsidRPr="008131DD">
        <w:rPr>
          <w:vertAlign w:val="superscript"/>
          <w:lang w:val="fr-FR"/>
        </w:rPr>
        <w:footnoteReference w:id="3"/>
      </w:r>
      <w:r w:rsidRPr="008131DD">
        <w:rPr>
          <w:lang w:val="fr-FR"/>
        </w:rPr>
        <w:t>. Cette nouvelle loi marque un changement majeur, à savoir le passage d’un cadre axé principalement sur la violence domestique à un cadre juridique global traitant de toutes les formes de violence à l’égard des femmes. Son champ d’application s’étend à la sphère publique comme à la sphère privée, y compris aux environnements technologiques, et elle s’applique de manière générale à toutes les victimes.</w:t>
      </w:r>
    </w:p>
    <w:p w14:paraId="05EB635C" w14:textId="22F0B839" w:rsidR="00C1643D" w:rsidRPr="008131DD" w:rsidRDefault="00C1643D" w:rsidP="00E6484D">
      <w:pPr>
        <w:pStyle w:val="SingleTxt"/>
        <w:numPr>
          <w:ilvl w:val="0"/>
          <w:numId w:val="28"/>
        </w:numPr>
        <w:ind w:left="1267"/>
        <w:rPr>
          <w:lang w:val="fr-FR"/>
        </w:rPr>
      </w:pPr>
      <w:r w:rsidRPr="008131DD">
        <w:rPr>
          <w:lang w:val="fr-FR"/>
        </w:rPr>
        <w:t>Une innovation majeure est la reconnaissance explicite et la définition de multiples formes de violence, notamment la violence physique, psychologique, économique et sexuelle, ainsi que de nouvelles formes de violence, comme la violence facilitée par les technologies (notamment le harcèlement en ligne, la traque en ligne, le partage non consensuel d’images intimes et les discours de haine en ligne), la violence à l’égard des femmes en politique et dans les processus électoraux, ainsi que le harcèlement sexuel sur le lieu de travail.</w:t>
      </w:r>
    </w:p>
    <w:p w14:paraId="324F7506" w14:textId="07D8192F" w:rsidR="00C1643D" w:rsidRPr="008131DD" w:rsidRDefault="00C1643D" w:rsidP="00E6484D">
      <w:pPr>
        <w:pStyle w:val="SingleTxt"/>
        <w:numPr>
          <w:ilvl w:val="0"/>
          <w:numId w:val="28"/>
        </w:numPr>
        <w:ind w:left="1267"/>
        <w:rPr>
          <w:lang w:val="fr-FR"/>
        </w:rPr>
      </w:pPr>
      <w:r w:rsidRPr="008131DD">
        <w:rPr>
          <w:lang w:val="fr-FR"/>
        </w:rPr>
        <w:t xml:space="preserve">La loi introduit également des définitions élargies et harmonisées, conformément à la Convention d’Istanbul, à la Convention sur l’élimination de toutes </w:t>
      </w:r>
      <w:r w:rsidRPr="008131DD">
        <w:rPr>
          <w:lang w:val="fr-FR"/>
        </w:rPr>
        <w:lastRenderedPageBreak/>
        <w:t>les formes de discrimination à l’égard des femmes et à la Convention sur la violence et le harcèlement (n</w:t>
      </w:r>
      <w:r w:rsidRPr="008131DD">
        <w:rPr>
          <w:vertAlign w:val="superscript"/>
          <w:lang w:val="fr-FR"/>
        </w:rPr>
        <w:t>o</w:t>
      </w:r>
      <w:r w:rsidRPr="008131DD">
        <w:rPr>
          <w:lang w:val="fr-FR"/>
        </w:rPr>
        <w:t xml:space="preserve"> 190) de l’Organisation internationale du Travail, et renforce les principes fondamentaux, notamment l’approche centrée sur les victimes, la confidentialité, la non-justification de la violence, l’accès à la justice et aux services, ainsi que l’interdiction de la médiation dans les affaires de violence. De plus, elle établit un système de protection complet, comprenant des mesures de protection renforcées adaptées à certaines formes de violence, comme la violence domestique, la violence facilitée par les technologies, le harcèlement sexuel et la violence dans la vie politique. Elle renforce également les mécanismes de coordination, les procédures d’évaluation des risques et les interventions multisectorielles associant les forces de l’ordre, le pouvoir judiciaire, les services sociaux et les administrations locales.</w:t>
      </w:r>
    </w:p>
    <w:p w14:paraId="426834B7" w14:textId="77777777" w:rsidR="00C1643D" w:rsidRPr="008131DD" w:rsidRDefault="00C1643D" w:rsidP="00C1643D">
      <w:pPr>
        <w:pStyle w:val="SingleTxt"/>
        <w:spacing w:after="0" w:line="120" w:lineRule="exact"/>
        <w:rPr>
          <w:b/>
          <w:sz w:val="10"/>
          <w:lang w:val="fr-FR"/>
        </w:rPr>
      </w:pPr>
    </w:p>
    <w:p w14:paraId="2D492E4A" w14:textId="31B72920"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Processus de rédaction et de consultation inclusif</w:t>
      </w:r>
    </w:p>
    <w:p w14:paraId="6775F046" w14:textId="77777777" w:rsidR="00C1643D" w:rsidRPr="008131DD" w:rsidRDefault="00C1643D" w:rsidP="00C1643D">
      <w:pPr>
        <w:pStyle w:val="SingleTxt"/>
        <w:spacing w:after="0" w:line="120" w:lineRule="exact"/>
        <w:rPr>
          <w:sz w:val="10"/>
          <w:lang w:val="fr-FR"/>
        </w:rPr>
      </w:pPr>
    </w:p>
    <w:p w14:paraId="6B818ED1" w14:textId="084AD594" w:rsidR="00C1643D" w:rsidRPr="008131DD" w:rsidRDefault="00C1643D" w:rsidP="00E6484D">
      <w:pPr>
        <w:pStyle w:val="SingleTxt"/>
        <w:numPr>
          <w:ilvl w:val="0"/>
          <w:numId w:val="28"/>
        </w:numPr>
        <w:ind w:left="1267"/>
        <w:rPr>
          <w:lang w:val="fr-FR"/>
        </w:rPr>
      </w:pPr>
      <w:r w:rsidRPr="008131DD">
        <w:rPr>
          <w:lang w:val="fr-FR"/>
        </w:rPr>
        <w:t>Cette loi a été élaborée à l’issue d’un processus de consultation largement ouvert, coordonné par le Ministère de la santé et de la protection sociale par l’intermédiaire d’un groupe de travail technique interinstitutionnel. Des consultations approfondies ont été menées auprès des représentants des collectivités locales, des responsables de l’égalité des genres, des organisations de la société civile, des institutions indépendantes de défense des droits humains, des partenaires internationaux et des acteurs du secteur judiciaire, notamment les procureurs, les juges et les responsables de l’application des lois. Des consultations particulières ont également été menées auprès des institutions chargées de la cybersécurité et des acteurs des médias afin de lutter contre les nouvelles formes de violence, notamment la violence en ligne.</w:t>
      </w:r>
    </w:p>
    <w:p w14:paraId="47E90C5E" w14:textId="77777777" w:rsidR="00C1643D" w:rsidRPr="008131DD" w:rsidRDefault="00C1643D" w:rsidP="00C1643D">
      <w:pPr>
        <w:pStyle w:val="SingleTxt"/>
        <w:spacing w:after="0" w:line="120" w:lineRule="exact"/>
        <w:rPr>
          <w:b/>
          <w:sz w:val="10"/>
          <w:lang w:val="fr-FR"/>
        </w:rPr>
      </w:pPr>
    </w:p>
    <w:p w14:paraId="6450E222" w14:textId="328F8B8A"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Budget alloué à la mise en œuvre</w:t>
      </w:r>
    </w:p>
    <w:p w14:paraId="52D25B52" w14:textId="77777777" w:rsidR="00C1643D" w:rsidRPr="008131DD" w:rsidRDefault="00C1643D" w:rsidP="00C1643D">
      <w:pPr>
        <w:pStyle w:val="SingleTxt"/>
        <w:spacing w:after="0" w:line="120" w:lineRule="exact"/>
        <w:rPr>
          <w:sz w:val="10"/>
          <w:lang w:val="fr-FR"/>
        </w:rPr>
      </w:pPr>
    </w:p>
    <w:p w14:paraId="0E001616" w14:textId="4F63EAA1" w:rsidR="00C1643D" w:rsidRPr="008131DD" w:rsidRDefault="00C1643D" w:rsidP="00E6484D">
      <w:pPr>
        <w:pStyle w:val="SingleTxt"/>
        <w:numPr>
          <w:ilvl w:val="0"/>
          <w:numId w:val="28"/>
        </w:numPr>
        <w:ind w:left="1267"/>
        <w:rPr>
          <w:lang w:val="fr-FR"/>
        </w:rPr>
      </w:pPr>
      <w:r w:rsidRPr="008131DD">
        <w:rPr>
          <w:lang w:val="fr-FR"/>
        </w:rPr>
        <w:t>L’application de la loi n</w:t>
      </w:r>
      <w:r w:rsidRPr="008131DD">
        <w:rPr>
          <w:vertAlign w:val="superscript"/>
          <w:lang w:val="fr-FR"/>
        </w:rPr>
        <w:t>o</w:t>
      </w:r>
      <w:r w:rsidRPr="008131DD">
        <w:rPr>
          <w:lang w:val="fr-FR"/>
        </w:rPr>
        <w:t xml:space="preserve"> 11/2026 repose sur un cadre de financement global, fondé sur une analyse détaillée des coûts. Au total, les ressources nécessaires s’élèvent à environ 2 014,1 millions de leks pour la période 2026-2035, les allocations annuelles étant réparties progressivement en fonction des priorités. Ce cadre de financement soutient des domaines clés tels que les mesures de prévention, les services de protection, le renforcement des capacités institutionnelles, les systèmes de données et les mécanismes de coordination multisectoriels.</w:t>
      </w:r>
    </w:p>
    <w:p w14:paraId="668C61C6" w14:textId="77777777" w:rsidR="00C1643D" w:rsidRPr="008131DD" w:rsidRDefault="00C1643D" w:rsidP="00C1643D">
      <w:pPr>
        <w:pStyle w:val="SingleTxt"/>
        <w:spacing w:after="0" w:line="120" w:lineRule="exact"/>
        <w:rPr>
          <w:b/>
          <w:sz w:val="10"/>
          <w:lang w:val="fr-FR"/>
        </w:rPr>
      </w:pPr>
    </w:p>
    <w:p w14:paraId="345BF467" w14:textId="6B062A29"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Travaux en cours sur le Code pénal</w:t>
      </w:r>
    </w:p>
    <w:p w14:paraId="70352098" w14:textId="77777777" w:rsidR="00C1643D" w:rsidRPr="008131DD" w:rsidRDefault="00C1643D" w:rsidP="00C1643D">
      <w:pPr>
        <w:pStyle w:val="SingleTxt"/>
        <w:spacing w:after="0" w:line="120" w:lineRule="exact"/>
        <w:rPr>
          <w:sz w:val="10"/>
          <w:lang w:val="fr-FR"/>
        </w:rPr>
      </w:pPr>
    </w:p>
    <w:p w14:paraId="46BBE5EA" w14:textId="472CFAD4" w:rsidR="00C1643D" w:rsidRPr="008131DD" w:rsidRDefault="00C1643D" w:rsidP="00E6484D">
      <w:pPr>
        <w:pStyle w:val="SingleTxt"/>
        <w:numPr>
          <w:ilvl w:val="0"/>
          <w:numId w:val="28"/>
        </w:numPr>
        <w:ind w:left="1267"/>
        <w:rPr>
          <w:lang w:val="fr-FR"/>
        </w:rPr>
      </w:pPr>
      <w:r w:rsidRPr="008131DD">
        <w:rPr>
          <w:lang w:val="fr-FR"/>
        </w:rPr>
        <w:t>Parallèlement, l’Albanie a pris des mesures pour renforcer le cadre du droit pénal visant à lutter contre la violence de genre. Les modifications apportées au Code pénal ont déjà permis d’améliorer les dispositions relatives aux infractions sexuelles, dans le but de faciliter les enquêtes et les poursuites concernant ces crimes et de renforcer la protection des victimes</w:t>
      </w:r>
      <w:r w:rsidRPr="008131DD">
        <w:rPr>
          <w:vertAlign w:val="superscript"/>
          <w:lang w:val="fr-FR"/>
        </w:rPr>
        <w:footnoteReference w:id="4"/>
      </w:r>
      <w:r w:rsidRPr="008131DD">
        <w:rPr>
          <w:lang w:val="fr-FR"/>
        </w:rPr>
        <w:t>. Par ailleurs, le Ministère de la justice a procédé à une révision complète du Code pénal, à la lumière des directives européennes et des normes internationales applicables. Dans ce contexte, il est prévu d’adopter une définition du viol fondée sur la notion de consentement, ainsi que d’envisager de criminaliser davantage les nouvelles formes de violence, notamment la violence en ligne et d’autres infractions fondées sur le genre, conformément à l’évolution des normes européennes.</w:t>
      </w:r>
    </w:p>
    <w:p w14:paraId="7838F4C6" w14:textId="77777777" w:rsidR="00C1643D" w:rsidRPr="008131DD" w:rsidRDefault="00C1643D" w:rsidP="00C1643D">
      <w:pPr>
        <w:pStyle w:val="SingleTxt"/>
        <w:spacing w:after="0" w:line="120" w:lineRule="exact"/>
        <w:rPr>
          <w:b/>
          <w:bCs/>
          <w:sz w:val="10"/>
          <w:lang w:val="fr-FR"/>
        </w:rPr>
      </w:pPr>
    </w:p>
    <w:p w14:paraId="48F0BCF6" w14:textId="77777777" w:rsidR="00C1643D" w:rsidRPr="008131DD" w:rsidRDefault="00C1643D" w:rsidP="00C1643D">
      <w:pPr>
        <w:pStyle w:val="SingleTxt"/>
        <w:spacing w:after="0" w:line="120" w:lineRule="exact"/>
        <w:rPr>
          <w:b/>
          <w:bCs/>
          <w:sz w:val="10"/>
          <w:lang w:val="fr-FR"/>
        </w:rPr>
      </w:pPr>
    </w:p>
    <w:p w14:paraId="31701B53" w14:textId="3C133BFA" w:rsidR="00C1643D" w:rsidRPr="008131DD" w:rsidRDefault="00C1643D" w:rsidP="00A82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lastRenderedPageBreak/>
        <w:tab/>
        <w:t>C.</w:t>
      </w:r>
      <w:r w:rsidRPr="008131DD">
        <w:rPr>
          <w:lang w:val="fr-FR"/>
        </w:rPr>
        <w:tab/>
        <w:t>Renseignements concernant le paragraphe 28 b)</w:t>
      </w:r>
    </w:p>
    <w:p w14:paraId="23704545" w14:textId="77777777" w:rsidR="00C1643D" w:rsidRPr="008131DD" w:rsidRDefault="00C1643D" w:rsidP="00E6484D">
      <w:pPr>
        <w:pStyle w:val="SingleTxt"/>
        <w:keepNext/>
        <w:spacing w:after="0" w:line="120" w:lineRule="exact"/>
        <w:rPr>
          <w:b/>
          <w:sz w:val="10"/>
          <w:lang w:val="fr-FR"/>
        </w:rPr>
      </w:pPr>
    </w:p>
    <w:p w14:paraId="1482B694" w14:textId="77777777" w:rsidR="00C1643D" w:rsidRPr="008131DD" w:rsidRDefault="00C1643D" w:rsidP="00E6484D">
      <w:pPr>
        <w:pStyle w:val="SingleTxt"/>
        <w:keepNext/>
        <w:spacing w:after="0" w:line="120" w:lineRule="exact"/>
        <w:rPr>
          <w:b/>
          <w:sz w:val="10"/>
          <w:lang w:val="fr-FR"/>
        </w:rPr>
      </w:pPr>
    </w:p>
    <w:p w14:paraId="34D50669" w14:textId="251E3FCF"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Renforcement du cadre juridique et politique en matière de représentation égale</w:t>
      </w:r>
    </w:p>
    <w:p w14:paraId="7CAE2116" w14:textId="77777777" w:rsidR="00C1643D" w:rsidRPr="008131DD" w:rsidRDefault="00C1643D" w:rsidP="00C1643D">
      <w:pPr>
        <w:pStyle w:val="SingleTxt"/>
        <w:spacing w:after="0" w:line="120" w:lineRule="exact"/>
        <w:rPr>
          <w:sz w:val="10"/>
          <w:lang w:val="fr-FR"/>
        </w:rPr>
      </w:pPr>
    </w:p>
    <w:p w14:paraId="6B63BA04" w14:textId="239F76C7" w:rsidR="00C1643D" w:rsidRPr="008131DD" w:rsidRDefault="00C1643D" w:rsidP="00E6484D">
      <w:pPr>
        <w:pStyle w:val="SingleTxt"/>
        <w:numPr>
          <w:ilvl w:val="0"/>
          <w:numId w:val="28"/>
        </w:numPr>
        <w:ind w:left="1267"/>
        <w:rPr>
          <w:lang w:val="fr-FR"/>
        </w:rPr>
      </w:pPr>
      <w:r w:rsidRPr="008131DD">
        <w:rPr>
          <w:lang w:val="fr-FR"/>
        </w:rPr>
        <w:t>Compte tenu de la recommandation formulée par le Comité et conformément à la recommandation générale n</w:t>
      </w:r>
      <w:r w:rsidRPr="008131DD">
        <w:rPr>
          <w:vertAlign w:val="superscript"/>
          <w:lang w:val="fr-FR"/>
        </w:rPr>
        <w:t>o</w:t>
      </w:r>
      <w:r w:rsidRPr="008131DD">
        <w:rPr>
          <w:lang w:val="fr-FR"/>
        </w:rPr>
        <w:t xml:space="preserve"> </w:t>
      </w:r>
      <w:r w:rsidR="00A82C2F" w:rsidRPr="00E6484D">
        <w:rPr>
          <w:lang w:val="fr-FR"/>
        </w:rPr>
        <w:t>23 (1997)</w:t>
      </w:r>
      <w:r w:rsidRPr="008131DD">
        <w:rPr>
          <w:lang w:val="fr-FR"/>
        </w:rPr>
        <w:t xml:space="preserve"> et à la cible 5.5 associée aux objectifs de développement durable, l’Albanie a entrepris d’importantes réformes législatives et politiques visant à accroître la participation des femmes à la vie politique et publique.</w:t>
      </w:r>
    </w:p>
    <w:p w14:paraId="6BE41D6B" w14:textId="379C6904" w:rsidR="00C1643D" w:rsidRPr="008131DD" w:rsidRDefault="00C1643D" w:rsidP="00E6484D">
      <w:pPr>
        <w:pStyle w:val="SingleTxt"/>
        <w:numPr>
          <w:ilvl w:val="0"/>
          <w:numId w:val="28"/>
        </w:numPr>
        <w:ind w:left="1267"/>
        <w:rPr>
          <w:lang w:val="fr-FR"/>
        </w:rPr>
      </w:pPr>
      <w:r w:rsidRPr="008131DD">
        <w:rPr>
          <w:lang w:val="fr-FR"/>
        </w:rPr>
        <w:t>L’adoption de la loi n</w:t>
      </w:r>
      <w:r w:rsidRPr="008131DD">
        <w:rPr>
          <w:vertAlign w:val="superscript"/>
          <w:lang w:val="fr-FR"/>
        </w:rPr>
        <w:t>o</w:t>
      </w:r>
      <w:r w:rsidRPr="008131DD">
        <w:rPr>
          <w:lang w:val="fr-FR"/>
        </w:rPr>
        <w:t xml:space="preserve"> 64/2025 sur l’égalité des genres constitue une avancée majeure, qui renforce considérablement le cadre juridique en faveur d’une représentation équitable et inclusive. En particulier, l’article 24 établit un cadre clair et contraignant pour une participation équilibrée des femmes et des hommes dans les systèmes de décision, en fixant un objectif de parité de 50 % pour chaque sexe, avec un seuil minimal de 30 %. Une représentation inférieure à ce seuil est explicitement qualifiée de discrimination fondée sur le genre.</w:t>
      </w:r>
    </w:p>
    <w:p w14:paraId="2949765A" w14:textId="06758530" w:rsidR="00C1643D" w:rsidRPr="008131DD" w:rsidRDefault="00C1643D" w:rsidP="00E6484D">
      <w:pPr>
        <w:pStyle w:val="SingleTxt"/>
        <w:numPr>
          <w:ilvl w:val="0"/>
          <w:numId w:val="28"/>
        </w:numPr>
        <w:ind w:left="1267"/>
        <w:rPr>
          <w:lang w:val="fr-FR"/>
        </w:rPr>
      </w:pPr>
      <w:r w:rsidRPr="008131DD">
        <w:rPr>
          <w:lang w:val="fr-FR"/>
        </w:rPr>
        <w:t>La loi étend ces exigences à un large éventail de structures de décision, notamment le Parlement et les organes élus locaux ; les institutions de l’administration centrale et locale ; la fonction publique et le service diplomatique ; les organismes administratifs chargés d’organiser les élections ; les conseils d’administration et de surveillance, y compris dans le secteur privé.</w:t>
      </w:r>
    </w:p>
    <w:p w14:paraId="024E2481" w14:textId="658347E5" w:rsidR="00C1643D" w:rsidRPr="008131DD" w:rsidRDefault="00C1643D" w:rsidP="00E6484D">
      <w:pPr>
        <w:pStyle w:val="SingleTxt"/>
        <w:numPr>
          <w:ilvl w:val="0"/>
          <w:numId w:val="28"/>
        </w:numPr>
        <w:ind w:left="1267"/>
        <w:rPr>
          <w:lang w:val="fr-FR"/>
        </w:rPr>
      </w:pPr>
      <w:r w:rsidRPr="008131DD">
        <w:rPr>
          <w:lang w:val="fr-FR"/>
        </w:rPr>
        <w:t>La loi prévoit en outre la mise en place progressive de la parité femmes-hommes sur une période de 10 ans (de 30 % à 50 %), grâce à l’intégration de critères d’égalité des genres et de diversité dans les procédures de recrutement, de nomination et de désignation. Cette approche représente le passage du respect de quotas minimaux à un modèle de parité systémique et transformateur, conforme aux normes internationales et à la recommandation générale n</w:t>
      </w:r>
      <w:r w:rsidRPr="008131DD">
        <w:rPr>
          <w:vertAlign w:val="superscript"/>
          <w:lang w:val="fr-FR"/>
        </w:rPr>
        <w:t>o</w:t>
      </w:r>
      <w:r w:rsidRPr="008131DD">
        <w:rPr>
          <w:lang w:val="fr-FR"/>
        </w:rPr>
        <w:t xml:space="preserve"> </w:t>
      </w:r>
      <w:r w:rsidR="00A82C2F" w:rsidRPr="00E6484D">
        <w:rPr>
          <w:lang w:val="fr-FR"/>
        </w:rPr>
        <w:t>25 (2004)</w:t>
      </w:r>
      <w:r w:rsidRPr="008131DD">
        <w:rPr>
          <w:lang w:val="fr-FR"/>
        </w:rPr>
        <w:t xml:space="preserve"> du Comité.</w:t>
      </w:r>
    </w:p>
    <w:p w14:paraId="6BD5E67F" w14:textId="77777777" w:rsidR="00C1643D" w:rsidRPr="008131DD" w:rsidRDefault="00C1643D" w:rsidP="00C1643D">
      <w:pPr>
        <w:pStyle w:val="SingleTxt"/>
        <w:spacing w:after="0" w:line="120" w:lineRule="exact"/>
        <w:rPr>
          <w:b/>
          <w:sz w:val="10"/>
          <w:lang w:val="fr-FR"/>
        </w:rPr>
      </w:pPr>
    </w:p>
    <w:p w14:paraId="0ADB191F" w14:textId="3F383F01"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Mesures temporaires spéciales et garanties du système électoral</w:t>
      </w:r>
    </w:p>
    <w:p w14:paraId="4E11F312" w14:textId="77777777" w:rsidR="00C1643D" w:rsidRPr="008131DD" w:rsidRDefault="00C1643D" w:rsidP="00C1643D">
      <w:pPr>
        <w:pStyle w:val="SingleTxt"/>
        <w:spacing w:after="0" w:line="120" w:lineRule="exact"/>
        <w:rPr>
          <w:sz w:val="10"/>
          <w:lang w:val="fr-FR"/>
        </w:rPr>
      </w:pPr>
    </w:p>
    <w:p w14:paraId="125F6CD8" w14:textId="786A04A3" w:rsidR="00C1643D" w:rsidRPr="008131DD" w:rsidRDefault="00C1643D" w:rsidP="00E6484D">
      <w:pPr>
        <w:pStyle w:val="SingleTxt"/>
        <w:numPr>
          <w:ilvl w:val="0"/>
          <w:numId w:val="28"/>
        </w:numPr>
        <w:ind w:left="1267"/>
        <w:rPr>
          <w:lang w:val="fr-FR"/>
        </w:rPr>
      </w:pPr>
      <w:r w:rsidRPr="008131DD">
        <w:rPr>
          <w:lang w:val="fr-FR"/>
        </w:rPr>
        <w:t>Des mesures temporaires spéciales continuent d’être mises en œuvre au moyen du Code électoral, qui prévoit des mécanismes contraignants visant à garantir l’équilibre entre les genres sur les listes de candidats. Les sujets électoraux sont tenus de veiller à ce qu’au moins une personne candidate sur trois appartienne au sexe sous-représenté, tant sur les listes bloquées que sur les listes soumises au vote préférentiel.</w:t>
      </w:r>
    </w:p>
    <w:p w14:paraId="71DF55E0" w14:textId="1640E95D" w:rsidR="00C1643D" w:rsidRPr="008131DD" w:rsidRDefault="00C1643D" w:rsidP="00E6484D">
      <w:pPr>
        <w:pStyle w:val="SingleTxt"/>
        <w:numPr>
          <w:ilvl w:val="0"/>
          <w:numId w:val="28"/>
        </w:numPr>
        <w:ind w:left="1267"/>
        <w:rPr>
          <w:lang w:val="fr-FR"/>
        </w:rPr>
      </w:pPr>
      <w:r w:rsidRPr="008131DD">
        <w:rPr>
          <w:lang w:val="fr-FR"/>
        </w:rPr>
        <w:t>Le mécanisme de mise en œuvre a été renforcé : tout manquement entraîne le refus de l’enregistrement des listes par l’administration électorale, ce qui garantit l’application effective des quotas de genre. De plus, des garanties sont en place pour préserver la représentation équilibrée des genres lors de l’attribution des mandats, y compris en cas de remplacement de représentants élus, où la priorité est donnée aux personnes du sexe sous-représenté.</w:t>
      </w:r>
    </w:p>
    <w:p w14:paraId="1B693AFC" w14:textId="77777777" w:rsidR="00C1643D" w:rsidRPr="008131DD" w:rsidRDefault="00C1643D" w:rsidP="00C1643D">
      <w:pPr>
        <w:pStyle w:val="SingleTxt"/>
        <w:spacing w:after="0" w:line="120" w:lineRule="exact"/>
        <w:rPr>
          <w:b/>
          <w:sz w:val="10"/>
          <w:lang w:val="fr-FR"/>
        </w:rPr>
      </w:pPr>
    </w:p>
    <w:p w14:paraId="1FEE64E8" w14:textId="21A6E9EF"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Participation des femmes à la vie politique : données et tendances</w:t>
      </w:r>
    </w:p>
    <w:p w14:paraId="4949D917" w14:textId="77777777" w:rsidR="00C1643D" w:rsidRPr="008131DD" w:rsidRDefault="00C1643D" w:rsidP="00C1643D">
      <w:pPr>
        <w:pStyle w:val="SingleTxt"/>
        <w:spacing w:after="0" w:line="120" w:lineRule="exact"/>
        <w:rPr>
          <w:sz w:val="10"/>
          <w:lang w:val="fr-FR"/>
        </w:rPr>
      </w:pPr>
    </w:p>
    <w:p w14:paraId="17A1D128" w14:textId="534549E9" w:rsidR="00C1643D" w:rsidRPr="008131DD" w:rsidRDefault="00C1643D" w:rsidP="00E6484D">
      <w:pPr>
        <w:pStyle w:val="SingleTxt"/>
        <w:numPr>
          <w:ilvl w:val="0"/>
          <w:numId w:val="28"/>
        </w:numPr>
        <w:ind w:left="1267"/>
        <w:rPr>
          <w:lang w:val="fr-FR"/>
        </w:rPr>
      </w:pPr>
      <w:r w:rsidRPr="008131DD">
        <w:rPr>
          <w:lang w:val="fr-FR"/>
        </w:rPr>
        <w:t>Les données disponibles montrent que des progrès tangibles ont été accomplis en matière de représentation des femmes, notamment dans les organes législatifs, mais révèlent des écarts persistants aux postes de direction et d’encadrement.</w:t>
      </w:r>
    </w:p>
    <w:p w14:paraId="35E199D6" w14:textId="2431412B" w:rsidR="00C1643D" w:rsidRPr="008131DD" w:rsidRDefault="00C1643D" w:rsidP="00E6484D">
      <w:pPr>
        <w:pStyle w:val="SingleTxt"/>
        <w:numPr>
          <w:ilvl w:val="0"/>
          <w:numId w:val="28"/>
        </w:numPr>
        <w:ind w:left="1267"/>
        <w:rPr>
          <w:lang w:val="fr-FR"/>
        </w:rPr>
      </w:pPr>
      <w:r w:rsidRPr="008131DD">
        <w:rPr>
          <w:lang w:val="fr-FR"/>
        </w:rPr>
        <w:t>Lors des élections législatives de 2025 :</w:t>
      </w:r>
    </w:p>
    <w:p w14:paraId="2AD78A53" w14:textId="26166016" w:rsidR="00C1643D" w:rsidRPr="008131DD" w:rsidRDefault="00883FC4"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r>
      <w:r w:rsidR="0085134F">
        <w:rPr>
          <w:lang w:val="fr-FR"/>
        </w:rPr>
        <w:t>l</w:t>
      </w:r>
      <w:r w:rsidR="00C1643D" w:rsidRPr="008131DD">
        <w:rPr>
          <w:lang w:val="fr-FR"/>
        </w:rPr>
        <w:t>es femmes représentaient 38,5 % de l’ensemble des candidatures (787 sur 2 046) ;</w:t>
      </w:r>
    </w:p>
    <w:p w14:paraId="29E254FD" w14:textId="5FE5C5F9" w:rsidR="00C1643D" w:rsidRPr="008131DD" w:rsidRDefault="00883FC4"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r>
      <w:r w:rsidR="0085134F">
        <w:rPr>
          <w:lang w:val="fr-FR"/>
        </w:rPr>
        <w:t>l</w:t>
      </w:r>
      <w:r w:rsidR="00C1643D" w:rsidRPr="008131DD">
        <w:rPr>
          <w:lang w:val="fr-FR"/>
        </w:rPr>
        <w:t>es femmes représentaient 44,27 % des candidatures sur les listes bloquées et 36,88 % sur les listes préférentielles ;</w:t>
      </w:r>
    </w:p>
    <w:p w14:paraId="6AE348A5" w14:textId="5C59CB3F" w:rsidR="00C1643D" w:rsidRPr="008131DD" w:rsidRDefault="00883FC4" w:rsidP="00E6484D">
      <w:pPr>
        <w:pStyle w:val="SingleTxt"/>
        <w:tabs>
          <w:tab w:val="right" w:pos="1685"/>
        </w:tabs>
        <w:ind w:left="1742" w:hanging="475"/>
        <w:rPr>
          <w:lang w:val="fr-FR"/>
        </w:rPr>
      </w:pPr>
      <w:r w:rsidRPr="008131DD">
        <w:rPr>
          <w:lang w:val="fr-FR"/>
        </w:rPr>
        <w:lastRenderedPageBreak/>
        <w:tab/>
      </w:r>
      <w:r w:rsidR="00C1643D" w:rsidRPr="008131DD">
        <w:rPr>
          <w:lang w:val="fr-FR"/>
        </w:rPr>
        <w:t>•</w:t>
      </w:r>
      <w:r w:rsidR="00C1643D" w:rsidRPr="008131DD">
        <w:rPr>
          <w:lang w:val="fr-FR"/>
        </w:rPr>
        <w:tab/>
      </w:r>
      <w:r w:rsidR="0085134F">
        <w:rPr>
          <w:lang w:val="fr-FR"/>
        </w:rPr>
        <w:t>l</w:t>
      </w:r>
      <w:r w:rsidR="00C1643D" w:rsidRPr="008131DD">
        <w:rPr>
          <w:lang w:val="fr-FR"/>
        </w:rPr>
        <w:t>es femmes ont remporté 35 % des sièges au Parlement (49 femmes sur 140 députés).</w:t>
      </w:r>
    </w:p>
    <w:p w14:paraId="2C66E0DF" w14:textId="109DDA14" w:rsidR="00C1643D" w:rsidRPr="008131DD" w:rsidRDefault="00C1643D" w:rsidP="00E6484D">
      <w:pPr>
        <w:pStyle w:val="SingleTxt"/>
        <w:numPr>
          <w:ilvl w:val="0"/>
          <w:numId w:val="28"/>
        </w:numPr>
        <w:ind w:left="1267"/>
        <w:rPr>
          <w:lang w:val="fr-FR"/>
        </w:rPr>
      </w:pPr>
      <w:r w:rsidRPr="008131DD">
        <w:rPr>
          <w:lang w:val="fr-FR"/>
        </w:rPr>
        <w:t>Ce nombre est supérieur au seuil légal minimum de 30 %, ce qui indique que les dispositions relatives aux quotas ont été bien appliquées, même si la parité n’est pas encore atteinte.</w:t>
      </w:r>
    </w:p>
    <w:p w14:paraId="01CD9977" w14:textId="12C3E15F" w:rsidR="00C1643D" w:rsidRPr="008131DD" w:rsidRDefault="00C1643D" w:rsidP="00E6484D">
      <w:pPr>
        <w:pStyle w:val="SingleTxt"/>
        <w:numPr>
          <w:ilvl w:val="0"/>
          <w:numId w:val="28"/>
        </w:numPr>
        <w:ind w:left="1267"/>
        <w:rPr>
          <w:lang w:val="fr-FR"/>
        </w:rPr>
      </w:pPr>
      <w:r w:rsidRPr="008131DD">
        <w:rPr>
          <w:lang w:val="fr-FR"/>
        </w:rPr>
        <w:t>Lors des élections locales de 2023 :</w:t>
      </w:r>
    </w:p>
    <w:p w14:paraId="47852486" w14:textId="07232158" w:rsidR="00C1643D" w:rsidRPr="008131DD" w:rsidRDefault="00F90579"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r>
      <w:r w:rsidR="0085134F">
        <w:rPr>
          <w:lang w:val="fr-FR"/>
        </w:rPr>
        <w:t>l</w:t>
      </w:r>
      <w:r w:rsidR="00C1643D" w:rsidRPr="008131DD">
        <w:rPr>
          <w:lang w:val="fr-FR"/>
        </w:rPr>
        <w:t>es femmes représentaient près de 50 % de l’ensemble des candidatures (11 843 femmes sur 23 907 candidatures) ;</w:t>
      </w:r>
    </w:p>
    <w:p w14:paraId="59D70EA8" w14:textId="75A4B603" w:rsidR="00C1643D" w:rsidRPr="008131DD" w:rsidRDefault="00F90579"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r>
      <w:r w:rsidR="0085134F">
        <w:rPr>
          <w:lang w:val="fr-FR"/>
        </w:rPr>
        <w:t>l</w:t>
      </w:r>
      <w:r w:rsidR="00C1643D" w:rsidRPr="008131DD">
        <w:rPr>
          <w:lang w:val="fr-FR"/>
        </w:rPr>
        <w:t>es femmes représentaient une part importante des membres élus aux conseils municipaux (681 femmes) ;</w:t>
      </w:r>
    </w:p>
    <w:p w14:paraId="2A5A3C0B" w14:textId="2FA408AB" w:rsidR="00C1643D" w:rsidRPr="008131DD" w:rsidRDefault="00F90579"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r>
      <w:r w:rsidR="0085134F">
        <w:rPr>
          <w:lang w:val="fr-FR"/>
        </w:rPr>
        <w:t>t</w:t>
      </w:r>
      <w:r w:rsidR="00C1643D" w:rsidRPr="008131DD">
        <w:rPr>
          <w:lang w:val="fr-FR"/>
        </w:rPr>
        <w:t>outefois, elles restent sous-représentées aux postes de direction : seules 8</w:t>
      </w:r>
      <w:r w:rsidRPr="008131DD">
        <w:rPr>
          <w:lang w:val="fr-FR"/>
        </w:rPr>
        <w:t> </w:t>
      </w:r>
      <w:r w:rsidR="00C1643D" w:rsidRPr="008131DD">
        <w:rPr>
          <w:lang w:val="fr-FR"/>
        </w:rPr>
        <w:t>femmes ont été élues maires, contre 53 hommes.</w:t>
      </w:r>
    </w:p>
    <w:p w14:paraId="5407DADC" w14:textId="77777777" w:rsidR="00C1643D" w:rsidRPr="008131DD" w:rsidRDefault="00C1643D" w:rsidP="00C1643D">
      <w:pPr>
        <w:pStyle w:val="SingleTxt"/>
        <w:spacing w:after="0" w:line="120" w:lineRule="exact"/>
        <w:rPr>
          <w:b/>
          <w:sz w:val="10"/>
          <w:lang w:val="fr-FR"/>
        </w:rPr>
      </w:pPr>
    </w:p>
    <w:p w14:paraId="62BE32E2" w14:textId="311A2B9C"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Renforcement des capacités et soutien aux candidates</w:t>
      </w:r>
    </w:p>
    <w:p w14:paraId="31368907" w14:textId="77777777" w:rsidR="00C1643D" w:rsidRPr="008131DD" w:rsidRDefault="00C1643D" w:rsidP="00C1643D">
      <w:pPr>
        <w:pStyle w:val="SingleTxt"/>
        <w:spacing w:after="0" w:line="120" w:lineRule="exact"/>
        <w:rPr>
          <w:sz w:val="10"/>
          <w:lang w:val="fr-FR"/>
        </w:rPr>
      </w:pPr>
    </w:p>
    <w:p w14:paraId="35B2ED7B" w14:textId="2EE4CEFA" w:rsidR="00C1643D" w:rsidRPr="008131DD" w:rsidRDefault="00C1643D" w:rsidP="00E6484D">
      <w:pPr>
        <w:pStyle w:val="SingleTxt"/>
        <w:numPr>
          <w:ilvl w:val="0"/>
          <w:numId w:val="28"/>
        </w:numPr>
        <w:ind w:left="1267"/>
        <w:rPr>
          <w:lang w:val="fr-FR"/>
        </w:rPr>
      </w:pPr>
      <w:r w:rsidRPr="008131DD">
        <w:rPr>
          <w:lang w:val="fr-FR"/>
        </w:rPr>
        <w:t>Les mesures visant à favoriser la participation des femmes ont notamment pris la forme d’initiatives de renforcement des capacités, d’actions de sensibilisation et de mesures de soutien institutionnel destinées à renforcer les compétences des femmes en matière de leadership ainsi que leur participation à la vie politique et à la prise de décision.</w:t>
      </w:r>
    </w:p>
    <w:p w14:paraId="2C4D584F" w14:textId="1AE50A30" w:rsidR="00C1643D" w:rsidRPr="008131DD" w:rsidRDefault="00C1643D" w:rsidP="00E6484D">
      <w:pPr>
        <w:pStyle w:val="SingleTxt"/>
        <w:numPr>
          <w:ilvl w:val="0"/>
          <w:numId w:val="28"/>
        </w:numPr>
        <w:ind w:left="1267"/>
        <w:rPr>
          <w:lang w:val="fr-FR"/>
        </w:rPr>
      </w:pPr>
      <w:r w:rsidRPr="008131DD">
        <w:rPr>
          <w:lang w:val="fr-FR"/>
        </w:rPr>
        <w:t>Ces mesures sont accompagnées de politiques plus larges en faveur de l’égalité des genres, notamment la transversalisation des questions de genre et leur prise en compte dans le processus budgétaire, qui contribuent à créer un environnement propice à la participation des femmes à la vie publique. Bien que des progrès aient été réalisés, il faut poursuivre les efforts pour améliorer l’accès au financement des campagnes électorales, au mentorat et au développement des capacités de leadership, en particulier pour les femmes issues de groupes sous-représentés.</w:t>
      </w:r>
    </w:p>
    <w:p w14:paraId="1A881FB4" w14:textId="77777777" w:rsidR="00C1643D" w:rsidRPr="008131DD" w:rsidRDefault="00C1643D" w:rsidP="00C1643D">
      <w:pPr>
        <w:pStyle w:val="SingleTxt"/>
        <w:spacing w:after="0" w:line="120" w:lineRule="exact"/>
        <w:rPr>
          <w:b/>
          <w:sz w:val="10"/>
          <w:lang w:val="fr-FR"/>
        </w:rPr>
      </w:pPr>
    </w:p>
    <w:p w14:paraId="2E419343" w14:textId="1433992D"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Lutte contre la violence et les discours de haine dans la vie politique et publique</w:t>
      </w:r>
    </w:p>
    <w:p w14:paraId="5903FC3F" w14:textId="77777777" w:rsidR="00C1643D" w:rsidRPr="008131DD" w:rsidRDefault="00C1643D" w:rsidP="00C1643D">
      <w:pPr>
        <w:pStyle w:val="SingleTxt"/>
        <w:spacing w:after="0" w:line="120" w:lineRule="exact"/>
        <w:rPr>
          <w:sz w:val="10"/>
          <w:lang w:val="fr-FR"/>
        </w:rPr>
      </w:pPr>
    </w:p>
    <w:p w14:paraId="24BB2C89" w14:textId="5FC4A435" w:rsidR="00C1643D" w:rsidRPr="008131DD" w:rsidRDefault="00C1643D" w:rsidP="00E6484D">
      <w:pPr>
        <w:pStyle w:val="SingleTxt"/>
        <w:numPr>
          <w:ilvl w:val="0"/>
          <w:numId w:val="28"/>
        </w:numPr>
        <w:ind w:left="1267"/>
        <w:rPr>
          <w:lang w:val="fr-FR"/>
        </w:rPr>
      </w:pPr>
      <w:r w:rsidRPr="008131DD">
        <w:rPr>
          <w:lang w:val="fr-FR"/>
        </w:rPr>
        <w:t>L’Albanie a renforcé son cadre juridique de lutte contre la violence et les discours de haine à l’égard des femmes dans la vie publique et politique, y compris en ligne. Ces mesures, associées à des activités de sensibilisation et de prévention, visent à créer un environnement plus sûr pour la participation des femmes.</w:t>
      </w:r>
    </w:p>
    <w:p w14:paraId="1B33A631" w14:textId="77777777" w:rsidR="00C1643D" w:rsidRPr="008131DD" w:rsidRDefault="00C1643D" w:rsidP="00C1643D">
      <w:pPr>
        <w:pStyle w:val="SingleTxt"/>
        <w:spacing w:after="0" w:line="120" w:lineRule="exact"/>
        <w:rPr>
          <w:b/>
          <w:bCs/>
          <w:sz w:val="10"/>
          <w:lang w:val="fr-FR"/>
        </w:rPr>
      </w:pPr>
    </w:p>
    <w:p w14:paraId="44CEAB6D" w14:textId="77777777" w:rsidR="00C1643D" w:rsidRPr="008131DD" w:rsidRDefault="00C1643D" w:rsidP="00C1643D">
      <w:pPr>
        <w:pStyle w:val="SingleTxt"/>
        <w:spacing w:after="0" w:line="120" w:lineRule="exact"/>
        <w:rPr>
          <w:b/>
          <w:bCs/>
          <w:sz w:val="10"/>
          <w:lang w:val="fr-FR"/>
        </w:rPr>
      </w:pPr>
    </w:p>
    <w:p w14:paraId="3BA84A47" w14:textId="277B6B43" w:rsidR="00C1643D" w:rsidRPr="008131DD" w:rsidRDefault="00C1643D" w:rsidP="00C16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t>D.</w:t>
      </w:r>
      <w:r w:rsidRPr="008131DD">
        <w:rPr>
          <w:lang w:val="fr-FR"/>
        </w:rPr>
        <w:tab/>
        <w:t>Renseignements concernant le paragraphe 36 d)</w:t>
      </w:r>
    </w:p>
    <w:p w14:paraId="40A4CE52" w14:textId="77777777" w:rsidR="00C1643D" w:rsidRPr="008131DD" w:rsidRDefault="00C1643D" w:rsidP="00C1643D">
      <w:pPr>
        <w:pStyle w:val="SingleTxt"/>
        <w:spacing w:after="0" w:line="120" w:lineRule="exact"/>
        <w:rPr>
          <w:b/>
          <w:sz w:val="10"/>
          <w:lang w:val="fr-FR"/>
        </w:rPr>
      </w:pPr>
    </w:p>
    <w:p w14:paraId="4DFFE6A4" w14:textId="77777777" w:rsidR="00C1643D" w:rsidRPr="008131DD" w:rsidRDefault="00C1643D" w:rsidP="00C1643D">
      <w:pPr>
        <w:pStyle w:val="SingleTxt"/>
        <w:spacing w:after="0" w:line="120" w:lineRule="exact"/>
        <w:rPr>
          <w:b/>
          <w:sz w:val="10"/>
          <w:lang w:val="fr-FR"/>
        </w:rPr>
      </w:pPr>
    </w:p>
    <w:p w14:paraId="42365CB6" w14:textId="0D8BF9EE"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131DD">
        <w:rPr>
          <w:lang w:val="fr-FR"/>
        </w:rPr>
        <w:tab/>
      </w:r>
      <w:r w:rsidRPr="008131DD">
        <w:rPr>
          <w:lang w:val="fr-FR"/>
        </w:rPr>
        <w:tab/>
        <w:t>Cadre juridique et politique</w:t>
      </w:r>
    </w:p>
    <w:p w14:paraId="1BCA8505" w14:textId="77777777" w:rsidR="00C1643D" w:rsidRPr="008131DD" w:rsidRDefault="00C1643D" w:rsidP="00C1643D">
      <w:pPr>
        <w:pStyle w:val="SingleTxt"/>
        <w:spacing w:after="0" w:line="120" w:lineRule="exact"/>
        <w:rPr>
          <w:sz w:val="10"/>
          <w:lang w:val="fr-FR"/>
        </w:rPr>
      </w:pPr>
    </w:p>
    <w:p w14:paraId="3A8F8091" w14:textId="15DC7E1E" w:rsidR="00C1643D" w:rsidRPr="008131DD" w:rsidRDefault="00C1643D" w:rsidP="00E6484D">
      <w:pPr>
        <w:pStyle w:val="SingleTxt"/>
        <w:numPr>
          <w:ilvl w:val="0"/>
          <w:numId w:val="28"/>
        </w:numPr>
        <w:ind w:left="1267"/>
        <w:rPr>
          <w:lang w:val="fr-FR"/>
        </w:rPr>
      </w:pPr>
      <w:r w:rsidRPr="008131DD">
        <w:rPr>
          <w:lang w:val="fr-FR"/>
        </w:rPr>
        <w:t>L’Albanie veille à ce que l’accès aux services d’avortement soit réglementé selon un cadre de santé publique fondé sur les droits, interdisant strictement les pratiques qui portent atteinte à l’égalité des genres, notamment l’avortement sélectif en fonction du sexe du fœtus.</w:t>
      </w:r>
    </w:p>
    <w:p w14:paraId="2E441B56" w14:textId="46DEF7D9" w:rsidR="00C1643D" w:rsidRPr="008131DD" w:rsidRDefault="00C1643D" w:rsidP="00E6484D">
      <w:pPr>
        <w:pStyle w:val="SingleTxt"/>
        <w:numPr>
          <w:ilvl w:val="0"/>
          <w:numId w:val="28"/>
        </w:numPr>
        <w:ind w:left="1267"/>
        <w:rPr>
          <w:lang w:val="fr-FR"/>
        </w:rPr>
      </w:pPr>
      <w:r w:rsidRPr="008131DD">
        <w:rPr>
          <w:lang w:val="fr-FR"/>
        </w:rPr>
        <w:t>Le cadre juridique national garantit :</w:t>
      </w:r>
    </w:p>
    <w:p w14:paraId="05D971DC" w14:textId="0E30E924" w:rsidR="00C1643D" w:rsidRPr="008131DD" w:rsidRDefault="0065628A"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l’accès à des services d’avortement sûrs et légaux dans le système de santé publique ;</w:t>
      </w:r>
    </w:p>
    <w:p w14:paraId="01F1C092" w14:textId="14824D1E" w:rsidR="00C1643D" w:rsidRPr="008131DD" w:rsidRDefault="0065628A"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la protection de l’autonomie reproductive des femmes et leur consentement éclairé ;</w:t>
      </w:r>
    </w:p>
    <w:p w14:paraId="327544A2" w14:textId="1420A469" w:rsidR="00C1643D" w:rsidRPr="008131DD" w:rsidRDefault="0065628A" w:rsidP="00E6484D">
      <w:pPr>
        <w:pStyle w:val="SingleTxt"/>
        <w:tabs>
          <w:tab w:val="right" w:pos="1685"/>
        </w:tabs>
        <w:ind w:left="1742" w:hanging="475"/>
        <w:rPr>
          <w:lang w:val="fr-FR"/>
        </w:rPr>
      </w:pPr>
      <w:r w:rsidRPr="008131DD">
        <w:rPr>
          <w:lang w:val="fr-FR"/>
        </w:rPr>
        <w:tab/>
      </w:r>
      <w:r w:rsidR="00C1643D" w:rsidRPr="008131DD">
        <w:rPr>
          <w:lang w:val="fr-FR"/>
        </w:rPr>
        <w:t>•</w:t>
      </w:r>
      <w:r w:rsidR="00C1643D" w:rsidRPr="008131DD">
        <w:rPr>
          <w:lang w:val="fr-FR"/>
        </w:rPr>
        <w:tab/>
        <w:t>l’interdiction de toute forme de contrainte ou de pression liée aux décisions en matière de procréation ;</w:t>
      </w:r>
    </w:p>
    <w:p w14:paraId="57D6B90B" w14:textId="242310BA" w:rsidR="00C1643D" w:rsidRPr="008131DD" w:rsidRDefault="0065628A" w:rsidP="00E6484D">
      <w:pPr>
        <w:pStyle w:val="SingleTxt"/>
        <w:tabs>
          <w:tab w:val="right" w:pos="1685"/>
        </w:tabs>
        <w:ind w:left="1742" w:hanging="475"/>
        <w:rPr>
          <w:lang w:val="fr-FR"/>
        </w:rPr>
      </w:pPr>
      <w:r w:rsidRPr="008131DD">
        <w:rPr>
          <w:lang w:val="fr-FR"/>
        </w:rPr>
        <w:lastRenderedPageBreak/>
        <w:tab/>
      </w:r>
      <w:r w:rsidR="00C1643D" w:rsidRPr="008131DD">
        <w:rPr>
          <w:lang w:val="fr-FR"/>
        </w:rPr>
        <w:t>•</w:t>
      </w:r>
      <w:r w:rsidR="00C1643D" w:rsidRPr="008131DD">
        <w:rPr>
          <w:lang w:val="fr-FR"/>
        </w:rPr>
        <w:tab/>
        <w:t>la conformité avec les normes internationales en matière de droits humains, notamment la Convention sur l’élimination de toutes les formes de discrimination à l’égard des femmes et les recommandations de l’Organisation mondiale de la Santé.</w:t>
      </w:r>
    </w:p>
    <w:p w14:paraId="6385C2B2" w14:textId="72D72D73" w:rsidR="00C1643D" w:rsidRPr="008131DD" w:rsidRDefault="00C1643D" w:rsidP="00E6484D">
      <w:pPr>
        <w:pStyle w:val="SingleTxt"/>
        <w:numPr>
          <w:ilvl w:val="0"/>
          <w:numId w:val="28"/>
        </w:numPr>
        <w:ind w:left="1267"/>
        <w:rPr>
          <w:lang w:val="fr-FR"/>
        </w:rPr>
      </w:pPr>
      <w:r w:rsidRPr="008131DD">
        <w:rPr>
          <w:lang w:val="fr-FR"/>
        </w:rPr>
        <w:t>La législation albanaise interdit l’avortement sélectif en fonction du sexe, et toute tentative visant à influencer une femme pour qu’elle interrompe sa grossesse en raison du sexe du fœtus, ou à l’y contraindre, constitue une violation des principes de santé et d’égalité.</w:t>
      </w:r>
    </w:p>
    <w:p w14:paraId="02D8198A" w14:textId="77777777" w:rsidR="00C1643D" w:rsidRPr="008131DD" w:rsidRDefault="00C1643D" w:rsidP="00C1643D">
      <w:pPr>
        <w:pStyle w:val="SingleTxt"/>
        <w:spacing w:after="0" w:line="120" w:lineRule="exact"/>
        <w:rPr>
          <w:b/>
          <w:sz w:val="10"/>
          <w:lang w:val="fr-FR"/>
        </w:rPr>
      </w:pPr>
    </w:p>
    <w:p w14:paraId="1D8B0F7E" w14:textId="435DDC45"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tab/>
      </w:r>
      <w:r w:rsidRPr="008131DD">
        <w:rPr>
          <w:lang w:val="fr-FR"/>
        </w:rPr>
        <w:tab/>
        <w:t>Accès aux services de santé procréative</w:t>
      </w:r>
    </w:p>
    <w:p w14:paraId="0EF79593" w14:textId="77777777" w:rsidR="00C1643D" w:rsidRPr="008131DD" w:rsidRDefault="00C1643D" w:rsidP="00C1643D">
      <w:pPr>
        <w:pStyle w:val="SingleTxt"/>
        <w:spacing w:after="0" w:line="120" w:lineRule="exact"/>
        <w:rPr>
          <w:sz w:val="10"/>
          <w:lang w:val="fr-FR"/>
        </w:rPr>
      </w:pPr>
    </w:p>
    <w:p w14:paraId="7ADE0CAB" w14:textId="43F78B04" w:rsidR="00C1643D" w:rsidRPr="008131DD" w:rsidRDefault="00C1643D" w:rsidP="00E6484D">
      <w:pPr>
        <w:pStyle w:val="SingleTxt"/>
        <w:numPr>
          <w:ilvl w:val="0"/>
          <w:numId w:val="28"/>
        </w:numPr>
        <w:ind w:left="1267"/>
        <w:rPr>
          <w:lang w:val="fr-FR"/>
        </w:rPr>
      </w:pPr>
      <w:r w:rsidRPr="008131DD">
        <w:rPr>
          <w:lang w:val="fr-FR"/>
        </w:rPr>
        <w:t>Au cours de la période considérée, la République d’Albanie a garanti l’accès à des services intégrés de santé reproductive et maternelle dans tout le pays grâce à des centres de soins de santé primaires et des services hospitaliers. Les femmes ont accès à un parcours de soins comprenant des services prénataux et postnataux et des services d’accouchement, des conseils en matière de planification familiale et de contraception, ainsi que des services d’avortement sécurisé sous surveillance médicale.</w:t>
      </w:r>
    </w:p>
    <w:p w14:paraId="3398E94B" w14:textId="0A9CE436" w:rsidR="00C1643D" w:rsidRPr="008131DD" w:rsidRDefault="00C1643D" w:rsidP="00E6484D">
      <w:pPr>
        <w:pStyle w:val="SingleTxt"/>
        <w:numPr>
          <w:ilvl w:val="0"/>
          <w:numId w:val="28"/>
        </w:numPr>
        <w:ind w:left="1267"/>
        <w:rPr>
          <w:lang w:val="fr-FR"/>
        </w:rPr>
      </w:pPr>
      <w:r w:rsidRPr="008131DD">
        <w:rPr>
          <w:lang w:val="fr-FR"/>
        </w:rPr>
        <w:t>Ces services sont complétés par des programmes de prévention et de traitement des infections sexuellement transmissibles, de dépistage précoce du cancer du sein et du col de l’utérus, ainsi que par des mécanismes d’orientation pour les victimes de violences de genre. Cette approche intégrée a contribué à améliorer la santé des femmes et à réduire les risques liés aux avortements non sécurisés et aux grossesses non désirées.</w:t>
      </w:r>
    </w:p>
    <w:p w14:paraId="54E3C05B" w14:textId="77777777" w:rsidR="00C1643D" w:rsidRPr="008131DD" w:rsidRDefault="00C1643D" w:rsidP="00C1643D">
      <w:pPr>
        <w:pStyle w:val="SingleTxt"/>
        <w:spacing w:after="0" w:line="120" w:lineRule="exact"/>
        <w:rPr>
          <w:b/>
          <w:sz w:val="10"/>
          <w:lang w:val="fr-FR"/>
        </w:rPr>
      </w:pPr>
    </w:p>
    <w:p w14:paraId="0C3AAEC0" w14:textId="4B31E9D0"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131DD">
        <w:rPr>
          <w:lang w:val="fr-FR"/>
        </w:rPr>
        <w:tab/>
      </w:r>
      <w:r w:rsidRPr="008131DD">
        <w:rPr>
          <w:lang w:val="fr-FR"/>
        </w:rPr>
        <w:tab/>
        <w:t>Données et tendances</w:t>
      </w:r>
    </w:p>
    <w:p w14:paraId="4CC3B577" w14:textId="77777777" w:rsidR="00C1643D" w:rsidRPr="008131DD" w:rsidRDefault="00C1643D" w:rsidP="00C1643D">
      <w:pPr>
        <w:pStyle w:val="SingleTxt"/>
        <w:spacing w:after="0" w:line="120" w:lineRule="exact"/>
        <w:rPr>
          <w:sz w:val="10"/>
          <w:lang w:val="fr-FR"/>
        </w:rPr>
      </w:pPr>
    </w:p>
    <w:p w14:paraId="424EC0AF" w14:textId="3FEB913B" w:rsidR="00C1643D" w:rsidRPr="00E6484D" w:rsidRDefault="00C1643D" w:rsidP="00E6484D">
      <w:pPr>
        <w:pStyle w:val="SingleTxt"/>
        <w:numPr>
          <w:ilvl w:val="0"/>
          <w:numId w:val="28"/>
        </w:numPr>
        <w:ind w:left="1267"/>
        <w:rPr>
          <w:lang w:val="fr-FR"/>
        </w:rPr>
      </w:pPr>
      <w:r w:rsidRPr="008131DD">
        <w:rPr>
          <w:lang w:val="fr-FR"/>
        </w:rPr>
        <w:t>Les données nationales montrent que les services d’avortement en Albanie sont soumis à un cadre médical réglementé, et rien n’indique que la sélection selon le sexe est une pratique courante. En 2024, 4 192 avortements ont été recensés contre 23 310 naissances vivantes (soit un rapport de 5,6 pour 1), avec des tendances stables entre 2015 et 2024. La plupart des cas concernent des femmes âgées de 30 à 44 ans (72,7 %), tandis que les adolescentes ne représentent que 2,3 % des cas. Environ 86 % des avortements sont pratiqués pour des femmes mariées et 55,1 % concernent des femmes sans emploi ou non assurées, ce qui montre que l’avortement est principalement utilisé à des fins de santé procréative et de planification familiale plutôt qu’à des fins discriminatoires.</w:t>
      </w:r>
    </w:p>
    <w:p w14:paraId="4F260379" w14:textId="77777777" w:rsidR="00C1643D" w:rsidRPr="008131DD" w:rsidRDefault="00C1643D" w:rsidP="00C1643D">
      <w:pPr>
        <w:pStyle w:val="SingleTxt"/>
        <w:spacing w:after="0" w:line="120" w:lineRule="exact"/>
        <w:rPr>
          <w:b/>
          <w:sz w:val="10"/>
          <w:lang w:val="fr-FR"/>
        </w:rPr>
      </w:pPr>
    </w:p>
    <w:p w14:paraId="6242D79C" w14:textId="2A845105" w:rsidR="00C1643D" w:rsidRPr="008131D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131DD">
        <w:rPr>
          <w:lang w:val="fr-FR"/>
        </w:rPr>
        <w:tab/>
      </w:r>
      <w:r w:rsidRPr="008131DD">
        <w:rPr>
          <w:lang w:val="fr-FR"/>
        </w:rPr>
        <w:tab/>
        <w:t>Mesures préventives et sensibilisation</w:t>
      </w:r>
    </w:p>
    <w:p w14:paraId="70BFF7C4" w14:textId="77777777" w:rsidR="00C1643D" w:rsidRPr="008131DD" w:rsidRDefault="00C1643D" w:rsidP="00C1643D">
      <w:pPr>
        <w:pStyle w:val="SingleTxt"/>
        <w:spacing w:after="0" w:line="120" w:lineRule="exact"/>
        <w:rPr>
          <w:sz w:val="10"/>
          <w:lang w:val="fr-FR"/>
        </w:rPr>
      </w:pPr>
    </w:p>
    <w:p w14:paraId="395653F0" w14:textId="4B2F6551" w:rsidR="00C1643D" w:rsidRPr="008131DD" w:rsidRDefault="00C1643D" w:rsidP="00E6484D">
      <w:pPr>
        <w:pStyle w:val="SingleTxt"/>
        <w:numPr>
          <w:ilvl w:val="0"/>
          <w:numId w:val="28"/>
        </w:numPr>
        <w:ind w:left="1267"/>
        <w:rPr>
          <w:lang w:val="fr-FR"/>
        </w:rPr>
      </w:pPr>
      <w:r w:rsidRPr="008131DD">
        <w:rPr>
          <w:lang w:val="fr-FR"/>
        </w:rPr>
        <w:t>Au cours de la période considérée, la République d’Albanie a renforcé les mesures préventives visant à combattre les facteurs sous-jacents susceptibles d’entraîner une pression ou des pratiques discriminatoires en matière de procréation.</w:t>
      </w:r>
    </w:p>
    <w:p w14:paraId="3FDEF6FA" w14:textId="744EA8F1" w:rsidR="00C1643D" w:rsidRPr="008131DD" w:rsidRDefault="00C1643D" w:rsidP="00E6484D">
      <w:pPr>
        <w:pStyle w:val="SingleTxt"/>
        <w:numPr>
          <w:ilvl w:val="0"/>
          <w:numId w:val="28"/>
        </w:numPr>
        <w:ind w:left="1267"/>
        <w:rPr>
          <w:lang w:val="fr-FR"/>
        </w:rPr>
      </w:pPr>
      <w:r w:rsidRPr="008131DD">
        <w:rPr>
          <w:lang w:val="fr-FR"/>
        </w:rPr>
        <w:t>L’éducation complète à la sexualité a été intégrée plus avant au système éducatif national, avec environ 140 heures d’enseignement structuré à l’intention de différents groupes d’âge. Parallèlement, des programmes de formation des enseignants d’environ 110 heures ont été instaurés afin de garantir la diffusion d’informations exactes et adaptées à l’âge en matière de santé procréative et d’égalité des genres.</w:t>
      </w:r>
    </w:p>
    <w:p w14:paraId="67B5B806" w14:textId="08B42190" w:rsidR="00C1643D" w:rsidRPr="008131DD" w:rsidRDefault="00C1643D" w:rsidP="00E6484D">
      <w:pPr>
        <w:pStyle w:val="SingleTxt"/>
        <w:numPr>
          <w:ilvl w:val="0"/>
          <w:numId w:val="28"/>
        </w:numPr>
        <w:ind w:left="1267"/>
        <w:rPr>
          <w:lang w:val="fr-FR"/>
        </w:rPr>
      </w:pPr>
      <w:r w:rsidRPr="008131DD">
        <w:rPr>
          <w:lang w:val="fr-FR"/>
        </w:rPr>
        <w:t>La sensibilisation du public a également été renforcée grâce à des initiatives nationales de promotion de la santé. Le programme « Check-Up » a continué d’étendre sa couverture : plus de 4 millions de bilans de santé ont été réalisés entre 2015 et le début de l’année 2026, ce qui a permis de mieux faire connaître les services de santé préventifs et de promouvoir leur utilisation.</w:t>
      </w:r>
    </w:p>
    <w:p w14:paraId="4B4D495C" w14:textId="77777777" w:rsidR="00C1643D" w:rsidRPr="008131DD" w:rsidRDefault="00C1643D" w:rsidP="00C1643D">
      <w:pPr>
        <w:pStyle w:val="SingleTxt"/>
        <w:spacing w:after="0" w:line="120" w:lineRule="exact"/>
        <w:rPr>
          <w:b/>
          <w:sz w:val="10"/>
          <w:lang w:val="fr-FR"/>
        </w:rPr>
      </w:pPr>
    </w:p>
    <w:p w14:paraId="4161AAE7" w14:textId="0F911131" w:rsidR="00C1643D" w:rsidRPr="00C1643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31DD">
        <w:rPr>
          <w:lang w:val="fr-FR"/>
        </w:rPr>
        <w:lastRenderedPageBreak/>
        <w:tab/>
      </w:r>
      <w:r w:rsidRPr="008131DD">
        <w:rPr>
          <w:lang w:val="fr-FR"/>
        </w:rPr>
        <w:tab/>
        <w:t>Protection</w:t>
      </w:r>
      <w:r w:rsidRPr="00C1643D">
        <w:rPr>
          <w:lang w:val="fr-FR"/>
        </w:rPr>
        <w:t xml:space="preserve"> contre la contrainte et services d’aide</w:t>
      </w:r>
    </w:p>
    <w:p w14:paraId="0613E613" w14:textId="77777777" w:rsidR="00C1643D" w:rsidRPr="00C1643D" w:rsidRDefault="00C1643D" w:rsidP="00C1643D">
      <w:pPr>
        <w:pStyle w:val="SingleTxt"/>
        <w:spacing w:after="0" w:line="120" w:lineRule="exact"/>
        <w:rPr>
          <w:sz w:val="10"/>
          <w:lang w:val="fr-FR"/>
        </w:rPr>
      </w:pPr>
    </w:p>
    <w:p w14:paraId="5AE628E6" w14:textId="0178361B" w:rsidR="00C1643D" w:rsidRPr="00C1643D" w:rsidRDefault="00C1643D" w:rsidP="00E6484D">
      <w:pPr>
        <w:pStyle w:val="SingleTxt"/>
        <w:numPr>
          <w:ilvl w:val="0"/>
          <w:numId w:val="28"/>
        </w:numPr>
        <w:ind w:left="1267"/>
        <w:rPr>
          <w:lang w:val="fr-FR"/>
        </w:rPr>
      </w:pPr>
      <w:r w:rsidRPr="00C1643D">
        <w:rPr>
          <w:lang w:val="fr-FR"/>
        </w:rPr>
        <w:t xml:space="preserve">L’Albanie met en place des mesures de protection contre toute forme de </w:t>
      </w:r>
      <w:r w:rsidRPr="00A27A7D">
        <w:rPr>
          <w:lang w:val="fr-FR"/>
        </w:rPr>
        <w:t>contrainte</w:t>
      </w:r>
      <w:r w:rsidRPr="00C1643D">
        <w:rPr>
          <w:lang w:val="fr-FR"/>
        </w:rPr>
        <w:t xml:space="preserve"> dans les décisions en matière de procréation, de manière à garantir le consentement éclairé, la confidentialité et l’accès à des services de conseil. Les femmes qui subissent des pressions peuvent se tourner vers les dispositifs de lutte contre la violence fondée sur le genre et les lignes d’assistance existantes pour obtenir un soutien.</w:t>
      </w:r>
    </w:p>
    <w:p w14:paraId="4FD9E2B1" w14:textId="77777777" w:rsidR="00C1643D" w:rsidRPr="00C1643D" w:rsidRDefault="00C1643D" w:rsidP="00C1643D">
      <w:pPr>
        <w:pStyle w:val="SingleTxt"/>
        <w:spacing w:after="0" w:line="120" w:lineRule="exact"/>
        <w:rPr>
          <w:b/>
          <w:sz w:val="10"/>
          <w:lang w:val="fr-FR"/>
        </w:rPr>
      </w:pPr>
    </w:p>
    <w:p w14:paraId="4ABBD63F" w14:textId="446E204C" w:rsidR="00C1643D" w:rsidRPr="00C1643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643D">
        <w:rPr>
          <w:lang w:val="fr-FR"/>
        </w:rPr>
        <w:tab/>
      </w:r>
      <w:r w:rsidRPr="00C1643D">
        <w:rPr>
          <w:lang w:val="fr-FR"/>
        </w:rPr>
        <w:tab/>
        <w:t>Budget du secteur de la santé</w:t>
      </w:r>
    </w:p>
    <w:p w14:paraId="056A9C8C" w14:textId="77777777" w:rsidR="00C1643D" w:rsidRPr="00C1643D" w:rsidRDefault="00C1643D" w:rsidP="00C1643D">
      <w:pPr>
        <w:pStyle w:val="SingleTxt"/>
        <w:spacing w:after="0" w:line="120" w:lineRule="exact"/>
        <w:rPr>
          <w:sz w:val="10"/>
          <w:lang w:val="fr-FR"/>
        </w:rPr>
      </w:pPr>
    </w:p>
    <w:p w14:paraId="23170ECC" w14:textId="7BC06466" w:rsidR="00C1643D" w:rsidRPr="00C1643D" w:rsidRDefault="00C1643D" w:rsidP="00E6484D">
      <w:pPr>
        <w:pStyle w:val="SingleTxt"/>
        <w:numPr>
          <w:ilvl w:val="0"/>
          <w:numId w:val="28"/>
        </w:numPr>
        <w:ind w:left="1267"/>
        <w:rPr>
          <w:lang w:val="fr-FR"/>
        </w:rPr>
      </w:pPr>
      <w:r w:rsidRPr="00C1643D">
        <w:rPr>
          <w:lang w:val="fr-FR"/>
        </w:rPr>
        <w:t>Depuis 2015, les services de néphrologie et de chirurgie cardiaque des hôpitaux publics et privés prennent en charge gratuitement les patients albanais qui ont besoin de l’un des 10 traitements suivants : dialyse, greffe de rein, traitement des crises aiguës, stimulateur cardiaque définitif, coronarographie, angioplastie coronaire, pontage coronarien, remplacement de la valve aortique, interventions en cas de malformations congénitales, radiothérapie, traitement de la cataracte, implantation cochléaire pour les enfants malentendants. Ces prestations sont financées à 100 % par la Caisse d’assurance maladie obligatoire et sont réalisées conformément aux protocoles approuvés par le Ministère de la santé et des affaires sociales. Le financement et l’exécution des interventions relèvent dans un premier temps du secteur public. Pour les cas qui dépassent les capacités des établissements de santé publics, la Caisse finance également ces prestations dans des hôpitaux privés. Les patients bénéficient de ce service selon une liste d’attente régie par des règles claires et transparentes.</w:t>
      </w:r>
    </w:p>
    <w:p w14:paraId="6470D44C" w14:textId="77777777" w:rsidR="00C1643D" w:rsidRDefault="00C1643D">
      <w:pPr>
        <w:suppressAutoHyphens w:val="0"/>
        <w:spacing w:after="160" w:line="259" w:lineRule="auto"/>
        <w:rPr>
          <w:b/>
          <w:kern w:val="14"/>
          <w:lang w:val="fr-FR"/>
        </w:rPr>
      </w:pPr>
      <w:r>
        <w:rPr>
          <w:b/>
          <w:lang w:val="fr-FR"/>
        </w:rPr>
        <w:br w:type="page"/>
      </w:r>
    </w:p>
    <w:p w14:paraId="469F6EC4" w14:textId="6C8F2882" w:rsidR="00C1643D" w:rsidRPr="00C1643D" w:rsidRDefault="00C1643D" w:rsidP="00E6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643D">
        <w:rPr>
          <w:lang w:val="fr-FR"/>
        </w:rPr>
        <w:lastRenderedPageBreak/>
        <w:t>Annexe</w:t>
      </w:r>
    </w:p>
    <w:p w14:paraId="3FFAD7C9" w14:textId="77777777" w:rsidR="00C1643D" w:rsidRPr="00C1643D" w:rsidRDefault="00C1643D" w:rsidP="00C1643D">
      <w:pPr>
        <w:pStyle w:val="SingleTxt"/>
        <w:spacing w:after="0" w:line="120" w:lineRule="exact"/>
        <w:rPr>
          <w:b/>
          <w:bCs/>
          <w:sz w:val="10"/>
          <w:lang w:val="fr-FR"/>
        </w:rPr>
      </w:pPr>
    </w:p>
    <w:p w14:paraId="6D693A0E" w14:textId="08409C95" w:rsidR="00C1643D" w:rsidRPr="00C1643D" w:rsidRDefault="00C1643D" w:rsidP="00E6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643D">
        <w:rPr>
          <w:lang w:val="fr-FR"/>
        </w:rPr>
        <w:tab/>
        <w:t>I.</w:t>
      </w:r>
      <w:r w:rsidRPr="00C1643D">
        <w:rPr>
          <w:lang w:val="fr-FR"/>
        </w:rPr>
        <w:tab/>
        <w:t>Données sur la représentation des femmes dans les processus décisionnels</w:t>
      </w:r>
    </w:p>
    <w:p w14:paraId="23B57379" w14:textId="77777777" w:rsidR="00C1643D" w:rsidRPr="00C1643D" w:rsidRDefault="00C1643D" w:rsidP="00C1643D">
      <w:pPr>
        <w:pStyle w:val="SingleTxt"/>
        <w:spacing w:after="0" w:line="120" w:lineRule="exact"/>
        <w:rPr>
          <w:sz w:val="10"/>
          <w:lang w:val="fr-FR"/>
        </w:rPr>
      </w:pPr>
    </w:p>
    <w:p w14:paraId="576987AF" w14:textId="77777777" w:rsidR="00C1643D" w:rsidRPr="00C1643D" w:rsidRDefault="00C1643D" w:rsidP="00C1643D">
      <w:pPr>
        <w:pStyle w:val="SingleTxt"/>
        <w:spacing w:after="0" w:line="120" w:lineRule="exact"/>
        <w:rPr>
          <w:sz w:val="10"/>
          <w:lang w:val="fr-FR"/>
        </w:rPr>
      </w:pPr>
    </w:p>
    <w:p w14:paraId="78E517A7" w14:textId="1ED89EE9" w:rsidR="00C1643D" w:rsidRPr="00C1643D" w:rsidRDefault="00C1643D" w:rsidP="00C164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1643D">
        <w:rPr>
          <w:lang w:val="fr-FR"/>
        </w:rPr>
        <w:t>Tableau 1</w:t>
      </w:r>
    </w:p>
    <w:p w14:paraId="07C96984" w14:textId="3F994BF1" w:rsidR="00C1643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1643D">
        <w:rPr>
          <w:lang w:val="fr-FR"/>
        </w:rPr>
        <w:t>Résultats des élections législatives de 2021 et 2025</w:t>
      </w:r>
    </w:p>
    <w:p w14:paraId="4DE932ED" w14:textId="77777777" w:rsidR="00C1643D" w:rsidRPr="00C1643D" w:rsidRDefault="00C1643D" w:rsidP="00C1643D">
      <w:pPr>
        <w:pStyle w:val="SingleTxt"/>
        <w:spacing w:after="0" w:line="120" w:lineRule="exact"/>
        <w:rPr>
          <w:sz w:val="10"/>
          <w:lang w:val="fr-FR"/>
        </w:rPr>
      </w:pPr>
    </w:p>
    <w:p w14:paraId="4F6FFE64" w14:textId="77777777" w:rsidR="00C1643D" w:rsidRPr="00C1643D" w:rsidRDefault="00C1643D" w:rsidP="00C1643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350"/>
        <w:gridCol w:w="1800"/>
        <w:gridCol w:w="1242"/>
        <w:gridCol w:w="1728"/>
        <w:gridCol w:w="1200"/>
      </w:tblGrid>
      <w:tr w:rsidR="00C1643D" w:rsidRPr="00A27A7D" w14:paraId="5BCF0393" w14:textId="77777777" w:rsidTr="00E6484D">
        <w:trPr>
          <w:tblHeader/>
        </w:trPr>
        <w:tc>
          <w:tcPr>
            <w:tcW w:w="1350" w:type="dxa"/>
            <w:tcBorders>
              <w:top w:val="single" w:sz="4" w:space="0" w:color="auto"/>
              <w:bottom w:val="single" w:sz="12" w:space="0" w:color="auto"/>
            </w:tcBorders>
            <w:noWrap/>
            <w:vAlign w:val="bottom"/>
            <w:hideMark/>
          </w:tcPr>
          <w:p w14:paraId="54E1AC91" w14:textId="77777777" w:rsidR="00C1643D" w:rsidRPr="00A27A7D" w:rsidRDefault="00C1643D" w:rsidP="00A27A7D">
            <w:pPr>
              <w:spacing w:before="81" w:after="81" w:line="160" w:lineRule="exact"/>
              <w:ind w:right="40"/>
              <w:rPr>
                <w:i/>
                <w:sz w:val="14"/>
                <w:lang w:val="en-GB"/>
              </w:rPr>
            </w:pPr>
            <w:r w:rsidRPr="00A27A7D">
              <w:rPr>
                <w:i/>
                <w:sz w:val="14"/>
                <w:lang w:val="fr-FR"/>
              </w:rPr>
              <w:t>Assemblée élue</w:t>
            </w:r>
          </w:p>
        </w:tc>
        <w:tc>
          <w:tcPr>
            <w:tcW w:w="1800" w:type="dxa"/>
            <w:tcBorders>
              <w:top w:val="single" w:sz="4" w:space="0" w:color="auto"/>
              <w:bottom w:val="single" w:sz="12" w:space="0" w:color="auto"/>
            </w:tcBorders>
            <w:vAlign w:val="bottom"/>
            <w:hideMark/>
          </w:tcPr>
          <w:p w14:paraId="70A618AE" w14:textId="77777777" w:rsidR="00C1643D" w:rsidRPr="00A27A7D" w:rsidRDefault="00C1643D" w:rsidP="00A27A7D">
            <w:pPr>
              <w:spacing w:before="81" w:after="81" w:line="160" w:lineRule="exact"/>
              <w:ind w:right="43"/>
              <w:jc w:val="right"/>
              <w:rPr>
                <w:i/>
                <w:sz w:val="14"/>
                <w:lang w:val="en-GB"/>
              </w:rPr>
            </w:pPr>
            <w:r w:rsidRPr="00A27A7D">
              <w:rPr>
                <w:i/>
                <w:sz w:val="14"/>
                <w:lang w:val="fr-FR"/>
              </w:rPr>
              <w:t>Élections du 25 avril 2021</w:t>
            </w:r>
          </w:p>
        </w:tc>
        <w:tc>
          <w:tcPr>
            <w:tcW w:w="1242" w:type="dxa"/>
            <w:tcBorders>
              <w:top w:val="single" w:sz="4" w:space="0" w:color="auto"/>
              <w:bottom w:val="single" w:sz="12" w:space="0" w:color="auto"/>
            </w:tcBorders>
            <w:noWrap/>
            <w:vAlign w:val="bottom"/>
            <w:hideMark/>
          </w:tcPr>
          <w:p w14:paraId="2F0DBB88" w14:textId="77777777" w:rsidR="00C1643D" w:rsidRPr="00A27A7D" w:rsidRDefault="00C1643D" w:rsidP="00A27A7D">
            <w:pPr>
              <w:spacing w:before="81" w:after="81" w:line="160" w:lineRule="exact"/>
              <w:ind w:right="43"/>
              <w:jc w:val="right"/>
              <w:rPr>
                <w:i/>
                <w:sz w:val="14"/>
                <w:lang w:val="en-GB"/>
              </w:rPr>
            </w:pPr>
            <w:r w:rsidRPr="00A27A7D">
              <w:rPr>
                <w:i/>
                <w:sz w:val="14"/>
                <w:lang w:val="fr-FR"/>
              </w:rPr>
              <w:t>Pourcentage</w:t>
            </w:r>
          </w:p>
        </w:tc>
        <w:tc>
          <w:tcPr>
            <w:tcW w:w="1728" w:type="dxa"/>
            <w:tcBorders>
              <w:top w:val="single" w:sz="4" w:space="0" w:color="auto"/>
              <w:bottom w:val="single" w:sz="12" w:space="0" w:color="auto"/>
            </w:tcBorders>
            <w:vAlign w:val="bottom"/>
            <w:hideMark/>
          </w:tcPr>
          <w:p w14:paraId="3CE00EAC" w14:textId="77777777" w:rsidR="00C1643D" w:rsidRPr="00A27A7D" w:rsidRDefault="00C1643D" w:rsidP="00A27A7D">
            <w:pPr>
              <w:spacing w:before="81" w:after="81" w:line="160" w:lineRule="exact"/>
              <w:ind w:right="43"/>
              <w:jc w:val="right"/>
              <w:rPr>
                <w:i/>
                <w:sz w:val="14"/>
                <w:lang w:val="en-GB"/>
              </w:rPr>
            </w:pPr>
            <w:r w:rsidRPr="00A27A7D">
              <w:rPr>
                <w:i/>
                <w:sz w:val="14"/>
                <w:lang w:val="fr-FR"/>
              </w:rPr>
              <w:t>Élections du 11 mai 2025</w:t>
            </w:r>
          </w:p>
        </w:tc>
        <w:tc>
          <w:tcPr>
            <w:tcW w:w="1200" w:type="dxa"/>
            <w:tcBorders>
              <w:top w:val="single" w:sz="4" w:space="0" w:color="auto"/>
              <w:bottom w:val="single" w:sz="12" w:space="0" w:color="auto"/>
            </w:tcBorders>
            <w:noWrap/>
            <w:vAlign w:val="bottom"/>
            <w:hideMark/>
          </w:tcPr>
          <w:p w14:paraId="7A9FB426" w14:textId="77777777" w:rsidR="00C1643D" w:rsidRPr="00A27A7D" w:rsidRDefault="00C1643D" w:rsidP="00A27A7D">
            <w:pPr>
              <w:spacing w:before="81" w:after="81" w:line="160" w:lineRule="exact"/>
              <w:ind w:right="43"/>
              <w:jc w:val="right"/>
              <w:rPr>
                <w:i/>
                <w:sz w:val="14"/>
                <w:lang w:val="en-GB"/>
              </w:rPr>
            </w:pPr>
            <w:r w:rsidRPr="00A27A7D">
              <w:rPr>
                <w:i/>
                <w:sz w:val="14"/>
                <w:lang w:val="fr-FR"/>
              </w:rPr>
              <w:t>Pourcentage</w:t>
            </w:r>
          </w:p>
        </w:tc>
      </w:tr>
      <w:tr w:rsidR="00A27A7D" w:rsidRPr="00A27A7D" w14:paraId="3AFA6462" w14:textId="77777777" w:rsidTr="00E6484D">
        <w:trPr>
          <w:trHeight w:hRule="exact" w:val="115"/>
          <w:tblHeader/>
        </w:trPr>
        <w:tc>
          <w:tcPr>
            <w:tcW w:w="1350" w:type="dxa"/>
            <w:tcBorders>
              <w:top w:val="single" w:sz="12" w:space="0" w:color="auto"/>
            </w:tcBorders>
            <w:noWrap/>
            <w:vAlign w:val="bottom"/>
          </w:tcPr>
          <w:p w14:paraId="371D38AD" w14:textId="77777777" w:rsidR="00A27A7D" w:rsidRPr="00A27A7D" w:rsidRDefault="00A27A7D" w:rsidP="00A27A7D">
            <w:pPr>
              <w:spacing w:before="40" w:after="40" w:line="210" w:lineRule="exact"/>
              <w:ind w:right="40"/>
              <w:rPr>
                <w:sz w:val="17"/>
                <w:lang w:val="fr-FR"/>
              </w:rPr>
            </w:pPr>
          </w:p>
        </w:tc>
        <w:tc>
          <w:tcPr>
            <w:tcW w:w="1800" w:type="dxa"/>
            <w:tcBorders>
              <w:top w:val="single" w:sz="12" w:space="0" w:color="auto"/>
            </w:tcBorders>
            <w:noWrap/>
            <w:vAlign w:val="bottom"/>
          </w:tcPr>
          <w:p w14:paraId="77140AC1" w14:textId="77777777" w:rsidR="00A27A7D" w:rsidRPr="00A27A7D" w:rsidRDefault="00A27A7D" w:rsidP="00A27A7D">
            <w:pPr>
              <w:spacing w:before="40" w:after="40" w:line="210" w:lineRule="exact"/>
              <w:ind w:right="43"/>
              <w:jc w:val="right"/>
              <w:rPr>
                <w:sz w:val="17"/>
                <w:lang w:val="fr-FR"/>
              </w:rPr>
            </w:pPr>
          </w:p>
        </w:tc>
        <w:tc>
          <w:tcPr>
            <w:tcW w:w="1242" w:type="dxa"/>
            <w:tcBorders>
              <w:top w:val="single" w:sz="12" w:space="0" w:color="auto"/>
            </w:tcBorders>
            <w:noWrap/>
            <w:vAlign w:val="bottom"/>
          </w:tcPr>
          <w:p w14:paraId="56ED7A02" w14:textId="77777777" w:rsidR="00A27A7D" w:rsidRPr="00A27A7D" w:rsidRDefault="00A27A7D" w:rsidP="00A27A7D">
            <w:pPr>
              <w:spacing w:before="40" w:after="40" w:line="210" w:lineRule="exact"/>
              <w:ind w:right="43"/>
              <w:jc w:val="right"/>
              <w:rPr>
                <w:sz w:val="17"/>
                <w:lang w:val="fr-FR"/>
              </w:rPr>
            </w:pPr>
          </w:p>
        </w:tc>
        <w:tc>
          <w:tcPr>
            <w:tcW w:w="1728" w:type="dxa"/>
            <w:tcBorders>
              <w:top w:val="single" w:sz="12" w:space="0" w:color="auto"/>
            </w:tcBorders>
            <w:noWrap/>
            <w:vAlign w:val="bottom"/>
          </w:tcPr>
          <w:p w14:paraId="6F6E8E24" w14:textId="77777777" w:rsidR="00A27A7D" w:rsidRPr="00A27A7D" w:rsidRDefault="00A27A7D" w:rsidP="00A27A7D">
            <w:pPr>
              <w:spacing w:before="40" w:after="40" w:line="210" w:lineRule="exact"/>
              <w:ind w:right="43"/>
              <w:jc w:val="right"/>
              <w:rPr>
                <w:sz w:val="17"/>
                <w:lang w:val="fr-FR"/>
              </w:rPr>
            </w:pPr>
          </w:p>
        </w:tc>
        <w:tc>
          <w:tcPr>
            <w:tcW w:w="1200" w:type="dxa"/>
            <w:tcBorders>
              <w:top w:val="single" w:sz="12" w:space="0" w:color="auto"/>
            </w:tcBorders>
            <w:noWrap/>
            <w:vAlign w:val="bottom"/>
          </w:tcPr>
          <w:p w14:paraId="7F4FFF19" w14:textId="77777777" w:rsidR="00A27A7D" w:rsidRPr="00A27A7D" w:rsidRDefault="00A27A7D" w:rsidP="00A27A7D">
            <w:pPr>
              <w:spacing w:before="40" w:after="40" w:line="210" w:lineRule="exact"/>
              <w:ind w:right="43"/>
              <w:jc w:val="right"/>
              <w:rPr>
                <w:sz w:val="17"/>
                <w:lang w:val="fr-FR"/>
              </w:rPr>
            </w:pPr>
          </w:p>
        </w:tc>
      </w:tr>
      <w:tr w:rsidR="00C1643D" w:rsidRPr="00A27A7D" w14:paraId="26A925CE" w14:textId="77777777" w:rsidTr="00E6484D">
        <w:tc>
          <w:tcPr>
            <w:tcW w:w="1350" w:type="dxa"/>
            <w:noWrap/>
            <w:vAlign w:val="bottom"/>
            <w:hideMark/>
          </w:tcPr>
          <w:p w14:paraId="76BF0E82"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Femmes</w:t>
            </w:r>
          </w:p>
        </w:tc>
        <w:tc>
          <w:tcPr>
            <w:tcW w:w="1800" w:type="dxa"/>
            <w:noWrap/>
            <w:vAlign w:val="bottom"/>
            <w:hideMark/>
          </w:tcPr>
          <w:p w14:paraId="1A9C903C"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45</w:t>
            </w:r>
          </w:p>
        </w:tc>
        <w:tc>
          <w:tcPr>
            <w:tcW w:w="1242" w:type="dxa"/>
            <w:noWrap/>
            <w:vAlign w:val="bottom"/>
            <w:hideMark/>
          </w:tcPr>
          <w:p w14:paraId="0355FCC8"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32</w:t>
            </w:r>
          </w:p>
        </w:tc>
        <w:tc>
          <w:tcPr>
            <w:tcW w:w="1728" w:type="dxa"/>
            <w:noWrap/>
            <w:vAlign w:val="bottom"/>
            <w:hideMark/>
          </w:tcPr>
          <w:p w14:paraId="14CF33DD"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49</w:t>
            </w:r>
          </w:p>
        </w:tc>
        <w:tc>
          <w:tcPr>
            <w:tcW w:w="1200" w:type="dxa"/>
            <w:noWrap/>
            <w:vAlign w:val="bottom"/>
            <w:hideMark/>
          </w:tcPr>
          <w:p w14:paraId="6C056965"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35</w:t>
            </w:r>
          </w:p>
        </w:tc>
      </w:tr>
      <w:tr w:rsidR="00C1643D" w:rsidRPr="00A27A7D" w14:paraId="10DC9769" w14:textId="77777777" w:rsidTr="00E6484D">
        <w:tc>
          <w:tcPr>
            <w:tcW w:w="1350" w:type="dxa"/>
            <w:tcBorders>
              <w:bottom w:val="single" w:sz="4" w:space="0" w:color="auto"/>
            </w:tcBorders>
            <w:noWrap/>
            <w:vAlign w:val="bottom"/>
            <w:hideMark/>
          </w:tcPr>
          <w:p w14:paraId="421C08B5" w14:textId="77777777" w:rsidR="00C1643D" w:rsidRPr="00A27A7D" w:rsidRDefault="00C1643D" w:rsidP="00A27A7D">
            <w:pPr>
              <w:tabs>
                <w:tab w:val="left" w:pos="288"/>
                <w:tab w:val="left" w:pos="576"/>
                <w:tab w:val="left" w:pos="864"/>
                <w:tab w:val="left" w:pos="1152"/>
              </w:tabs>
              <w:spacing w:before="40" w:after="81" w:line="210" w:lineRule="exact"/>
              <w:ind w:right="40"/>
              <w:rPr>
                <w:sz w:val="17"/>
                <w:lang w:val="en-GB"/>
              </w:rPr>
            </w:pPr>
            <w:r w:rsidRPr="00A27A7D">
              <w:rPr>
                <w:sz w:val="17"/>
                <w:lang w:val="fr-FR"/>
              </w:rPr>
              <w:t>Hommes</w:t>
            </w:r>
          </w:p>
        </w:tc>
        <w:tc>
          <w:tcPr>
            <w:tcW w:w="1800" w:type="dxa"/>
            <w:tcBorders>
              <w:bottom w:val="single" w:sz="4" w:space="0" w:color="auto"/>
            </w:tcBorders>
            <w:noWrap/>
            <w:vAlign w:val="bottom"/>
            <w:hideMark/>
          </w:tcPr>
          <w:p w14:paraId="4886DC6C"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95</w:t>
            </w:r>
          </w:p>
        </w:tc>
        <w:tc>
          <w:tcPr>
            <w:tcW w:w="1242" w:type="dxa"/>
            <w:tcBorders>
              <w:bottom w:val="single" w:sz="4" w:space="0" w:color="auto"/>
            </w:tcBorders>
            <w:noWrap/>
            <w:vAlign w:val="bottom"/>
            <w:hideMark/>
          </w:tcPr>
          <w:p w14:paraId="78C2FED0"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68</w:t>
            </w:r>
          </w:p>
        </w:tc>
        <w:tc>
          <w:tcPr>
            <w:tcW w:w="1728" w:type="dxa"/>
            <w:tcBorders>
              <w:bottom w:val="single" w:sz="4" w:space="0" w:color="auto"/>
            </w:tcBorders>
            <w:noWrap/>
            <w:vAlign w:val="bottom"/>
            <w:hideMark/>
          </w:tcPr>
          <w:p w14:paraId="6BB65AC2"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91</w:t>
            </w:r>
          </w:p>
        </w:tc>
        <w:tc>
          <w:tcPr>
            <w:tcW w:w="1200" w:type="dxa"/>
            <w:tcBorders>
              <w:bottom w:val="single" w:sz="4" w:space="0" w:color="auto"/>
            </w:tcBorders>
            <w:noWrap/>
            <w:vAlign w:val="bottom"/>
            <w:hideMark/>
          </w:tcPr>
          <w:p w14:paraId="4DC4C594"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65</w:t>
            </w:r>
          </w:p>
        </w:tc>
      </w:tr>
      <w:tr w:rsidR="00C1643D" w:rsidRPr="00A27A7D" w14:paraId="1A299702" w14:textId="77777777" w:rsidTr="00E6484D">
        <w:tc>
          <w:tcPr>
            <w:tcW w:w="1350" w:type="dxa"/>
            <w:tcBorders>
              <w:top w:val="single" w:sz="4" w:space="0" w:color="auto"/>
              <w:bottom w:val="single" w:sz="12" w:space="0" w:color="auto"/>
            </w:tcBorders>
            <w:noWrap/>
            <w:vAlign w:val="bottom"/>
            <w:hideMark/>
          </w:tcPr>
          <w:p w14:paraId="79A9460C" w14:textId="782705BD" w:rsidR="00C1643D" w:rsidRPr="00A27A7D" w:rsidRDefault="00C1643D" w:rsidP="00A27A7D">
            <w:pPr>
              <w:tabs>
                <w:tab w:val="left" w:pos="288"/>
                <w:tab w:val="left" w:pos="576"/>
                <w:tab w:val="left" w:pos="864"/>
                <w:tab w:val="left" w:pos="1152"/>
              </w:tabs>
              <w:spacing w:before="81" w:after="81" w:line="210" w:lineRule="exact"/>
              <w:ind w:right="40"/>
              <w:rPr>
                <w:b/>
                <w:sz w:val="17"/>
                <w:lang w:val="en-GB"/>
              </w:rPr>
            </w:pPr>
            <w:r w:rsidRPr="00A27A7D">
              <w:rPr>
                <w:b/>
                <w:sz w:val="17"/>
                <w:lang w:val="fr-FR"/>
              </w:rPr>
              <w:tab/>
              <w:t>Total</w:t>
            </w:r>
          </w:p>
        </w:tc>
        <w:tc>
          <w:tcPr>
            <w:tcW w:w="1800" w:type="dxa"/>
            <w:tcBorders>
              <w:top w:val="single" w:sz="4" w:space="0" w:color="auto"/>
              <w:bottom w:val="single" w:sz="12" w:space="0" w:color="auto"/>
            </w:tcBorders>
            <w:noWrap/>
            <w:vAlign w:val="bottom"/>
            <w:hideMark/>
          </w:tcPr>
          <w:p w14:paraId="6DF12F52"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140</w:t>
            </w:r>
          </w:p>
        </w:tc>
        <w:tc>
          <w:tcPr>
            <w:tcW w:w="1242" w:type="dxa"/>
            <w:tcBorders>
              <w:top w:val="single" w:sz="4" w:space="0" w:color="auto"/>
              <w:bottom w:val="single" w:sz="12" w:space="0" w:color="auto"/>
            </w:tcBorders>
            <w:noWrap/>
            <w:vAlign w:val="bottom"/>
            <w:hideMark/>
          </w:tcPr>
          <w:p w14:paraId="58B14B75"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100</w:t>
            </w:r>
          </w:p>
        </w:tc>
        <w:tc>
          <w:tcPr>
            <w:tcW w:w="1728" w:type="dxa"/>
            <w:tcBorders>
              <w:top w:val="single" w:sz="4" w:space="0" w:color="auto"/>
              <w:bottom w:val="single" w:sz="12" w:space="0" w:color="auto"/>
            </w:tcBorders>
            <w:noWrap/>
            <w:vAlign w:val="bottom"/>
            <w:hideMark/>
          </w:tcPr>
          <w:p w14:paraId="24A8AC49"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140</w:t>
            </w:r>
          </w:p>
        </w:tc>
        <w:tc>
          <w:tcPr>
            <w:tcW w:w="1200" w:type="dxa"/>
            <w:tcBorders>
              <w:top w:val="single" w:sz="4" w:space="0" w:color="auto"/>
              <w:bottom w:val="single" w:sz="12" w:space="0" w:color="auto"/>
            </w:tcBorders>
            <w:noWrap/>
            <w:vAlign w:val="bottom"/>
            <w:hideMark/>
          </w:tcPr>
          <w:p w14:paraId="75E62BC2"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100</w:t>
            </w:r>
          </w:p>
        </w:tc>
      </w:tr>
    </w:tbl>
    <w:p w14:paraId="57F470A9" w14:textId="77777777" w:rsidR="00C1643D" w:rsidRPr="00C1643D" w:rsidRDefault="00C1643D" w:rsidP="00C1643D">
      <w:pPr>
        <w:pStyle w:val="SingleTxt"/>
        <w:spacing w:after="0" w:line="120" w:lineRule="exact"/>
        <w:rPr>
          <w:sz w:val="10"/>
          <w:lang w:val="fr-FR"/>
        </w:rPr>
      </w:pPr>
    </w:p>
    <w:p w14:paraId="4892DFFF" w14:textId="7FD3B66F" w:rsidR="00C1643D" w:rsidRPr="00C1643D" w:rsidRDefault="00C1643D" w:rsidP="00C1643D">
      <w:pPr>
        <w:pStyle w:val="FootnoteText"/>
        <w:tabs>
          <w:tab w:val="clear" w:pos="418"/>
          <w:tab w:val="right" w:pos="1476"/>
          <w:tab w:val="left" w:pos="1548"/>
          <w:tab w:val="right" w:pos="1836"/>
          <w:tab w:val="left" w:pos="1908"/>
        </w:tabs>
        <w:ind w:left="1548" w:right="1267" w:hanging="288"/>
        <w:rPr>
          <w:lang w:val="en-GB"/>
        </w:rPr>
      </w:pPr>
      <w:r w:rsidRPr="00C1643D">
        <w:rPr>
          <w:i/>
          <w:iCs/>
          <w:lang w:val="fr-FR"/>
        </w:rPr>
        <w:t>Source :</w:t>
      </w:r>
      <w:r w:rsidRPr="00C1643D">
        <w:rPr>
          <w:lang w:val="fr-FR"/>
        </w:rPr>
        <w:t xml:space="preserve"> Commission électorale centrale</w:t>
      </w:r>
      <w:r>
        <w:rPr>
          <w:lang w:val="fr-FR"/>
        </w:rPr>
        <w:t>.</w:t>
      </w:r>
    </w:p>
    <w:p w14:paraId="01F2C4CE" w14:textId="77777777" w:rsidR="00C1643D" w:rsidRPr="00C1643D" w:rsidRDefault="00C1643D" w:rsidP="00C1643D">
      <w:pPr>
        <w:pStyle w:val="SingleTxt"/>
        <w:spacing w:after="0" w:line="120" w:lineRule="exact"/>
        <w:rPr>
          <w:sz w:val="10"/>
          <w:lang w:val="fr-FR"/>
        </w:rPr>
      </w:pPr>
    </w:p>
    <w:p w14:paraId="70BA934B" w14:textId="77777777" w:rsidR="00C1643D" w:rsidRPr="00C1643D" w:rsidRDefault="00C1643D" w:rsidP="00C1643D">
      <w:pPr>
        <w:pStyle w:val="SingleTxt"/>
        <w:spacing w:after="0" w:line="120" w:lineRule="exact"/>
        <w:rPr>
          <w:sz w:val="10"/>
          <w:lang w:val="fr-FR"/>
        </w:rPr>
      </w:pPr>
    </w:p>
    <w:p w14:paraId="7888F255" w14:textId="77777777" w:rsidR="00C1643D" w:rsidRPr="00C1643D" w:rsidRDefault="00C1643D" w:rsidP="00C1643D">
      <w:pPr>
        <w:pStyle w:val="SingleTxt"/>
        <w:spacing w:after="0" w:line="120" w:lineRule="exact"/>
        <w:rPr>
          <w:sz w:val="10"/>
          <w:lang w:val="fr-FR"/>
        </w:rPr>
      </w:pPr>
    </w:p>
    <w:p w14:paraId="45A82349" w14:textId="13D7F501" w:rsidR="00C1643D" w:rsidRPr="00C1643D" w:rsidRDefault="00C1643D" w:rsidP="00C1643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1643D">
        <w:rPr>
          <w:lang w:val="fr-FR"/>
        </w:rPr>
        <w:t>Tableau 2</w:t>
      </w:r>
    </w:p>
    <w:p w14:paraId="5E5E85B4" w14:textId="29BF2B3C" w:rsidR="00C1643D" w:rsidRDefault="00C1643D" w:rsidP="00C1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1643D">
        <w:rPr>
          <w:lang w:val="fr-FR"/>
        </w:rPr>
        <w:t>Nombre de candidat(e)s et d’élu(e)s aux conseils municipaux et au poste de maire lors des élections locales de 2023</w:t>
      </w:r>
    </w:p>
    <w:p w14:paraId="2C77982D" w14:textId="77777777" w:rsidR="00C1643D" w:rsidRPr="00C1643D" w:rsidRDefault="00C1643D" w:rsidP="00C1643D">
      <w:pPr>
        <w:pStyle w:val="SingleTxt"/>
        <w:spacing w:after="0" w:line="120" w:lineRule="exact"/>
        <w:rPr>
          <w:sz w:val="10"/>
          <w:lang w:val="fr-FR"/>
        </w:rPr>
      </w:pPr>
    </w:p>
    <w:p w14:paraId="74E3C9FF" w14:textId="77777777" w:rsidR="00C1643D" w:rsidRPr="00C1643D" w:rsidRDefault="00C1643D" w:rsidP="00C1643D">
      <w:pPr>
        <w:pStyle w:val="SingleTxt"/>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3773"/>
        <w:gridCol w:w="2024"/>
        <w:gridCol w:w="1573"/>
      </w:tblGrid>
      <w:tr w:rsidR="00C1643D" w:rsidRPr="00A27A7D" w14:paraId="2B7B9A28" w14:textId="77777777" w:rsidTr="00E6484D">
        <w:trPr>
          <w:tblHeader/>
        </w:trPr>
        <w:tc>
          <w:tcPr>
            <w:tcW w:w="3773" w:type="dxa"/>
            <w:tcBorders>
              <w:top w:val="single" w:sz="4" w:space="0" w:color="auto"/>
              <w:bottom w:val="single" w:sz="12" w:space="0" w:color="auto"/>
            </w:tcBorders>
            <w:noWrap/>
            <w:vAlign w:val="bottom"/>
            <w:hideMark/>
          </w:tcPr>
          <w:p w14:paraId="6B3C3097" w14:textId="77777777" w:rsidR="00C1643D" w:rsidRPr="00A27A7D" w:rsidRDefault="00C1643D" w:rsidP="00A27A7D">
            <w:pPr>
              <w:spacing w:before="81" w:after="81" w:line="160" w:lineRule="exact"/>
              <w:ind w:right="40"/>
              <w:rPr>
                <w:i/>
                <w:sz w:val="14"/>
                <w:lang w:val="en-GB"/>
              </w:rPr>
            </w:pPr>
            <w:r w:rsidRPr="00A27A7D">
              <w:rPr>
                <w:i/>
                <w:sz w:val="14"/>
                <w:lang w:val="fr-FR"/>
              </w:rPr>
              <w:t>Élections locales de 2023</w:t>
            </w:r>
          </w:p>
        </w:tc>
        <w:tc>
          <w:tcPr>
            <w:tcW w:w="2024" w:type="dxa"/>
            <w:tcBorders>
              <w:top w:val="single" w:sz="4" w:space="0" w:color="auto"/>
              <w:bottom w:val="single" w:sz="12" w:space="0" w:color="auto"/>
            </w:tcBorders>
            <w:vAlign w:val="bottom"/>
            <w:hideMark/>
          </w:tcPr>
          <w:p w14:paraId="7F2107C3" w14:textId="77777777" w:rsidR="00C1643D" w:rsidRPr="00A27A7D" w:rsidRDefault="00C1643D" w:rsidP="00A27A7D">
            <w:pPr>
              <w:spacing w:before="81" w:after="81" w:line="160" w:lineRule="exact"/>
              <w:ind w:right="43"/>
              <w:jc w:val="right"/>
              <w:rPr>
                <w:i/>
                <w:sz w:val="14"/>
                <w:lang w:val="fr-FR"/>
              </w:rPr>
            </w:pPr>
            <w:r w:rsidRPr="00A27A7D">
              <w:rPr>
                <w:i/>
                <w:sz w:val="14"/>
                <w:lang w:val="fr-FR"/>
              </w:rPr>
              <w:t>Membres de conseil municipal (nombre)</w:t>
            </w:r>
          </w:p>
        </w:tc>
        <w:tc>
          <w:tcPr>
            <w:tcW w:w="1573" w:type="dxa"/>
            <w:tcBorders>
              <w:top w:val="single" w:sz="4" w:space="0" w:color="auto"/>
              <w:bottom w:val="single" w:sz="12" w:space="0" w:color="auto"/>
            </w:tcBorders>
            <w:noWrap/>
            <w:vAlign w:val="bottom"/>
            <w:hideMark/>
          </w:tcPr>
          <w:p w14:paraId="3133CE3C" w14:textId="77777777" w:rsidR="00C1643D" w:rsidRPr="00A27A7D" w:rsidRDefault="00C1643D" w:rsidP="00A27A7D">
            <w:pPr>
              <w:spacing w:before="81" w:after="81" w:line="160" w:lineRule="exact"/>
              <w:ind w:right="43"/>
              <w:jc w:val="right"/>
              <w:rPr>
                <w:i/>
                <w:sz w:val="14"/>
                <w:lang w:val="en-GB"/>
              </w:rPr>
            </w:pPr>
            <w:r w:rsidRPr="00A27A7D">
              <w:rPr>
                <w:i/>
                <w:sz w:val="14"/>
                <w:lang w:val="fr-FR"/>
              </w:rPr>
              <w:t>Pourcentage</w:t>
            </w:r>
          </w:p>
        </w:tc>
      </w:tr>
      <w:tr w:rsidR="00A27A7D" w:rsidRPr="00A27A7D" w14:paraId="7B1A6E64" w14:textId="77777777" w:rsidTr="00E6484D">
        <w:trPr>
          <w:trHeight w:hRule="exact" w:val="115"/>
          <w:tblHeader/>
        </w:trPr>
        <w:tc>
          <w:tcPr>
            <w:tcW w:w="3773" w:type="dxa"/>
            <w:tcBorders>
              <w:top w:val="single" w:sz="12" w:space="0" w:color="auto"/>
            </w:tcBorders>
            <w:noWrap/>
            <w:vAlign w:val="bottom"/>
          </w:tcPr>
          <w:p w14:paraId="06CDC9D5" w14:textId="77777777" w:rsidR="00A27A7D" w:rsidRPr="00A27A7D" w:rsidRDefault="00A27A7D" w:rsidP="00A27A7D">
            <w:pPr>
              <w:spacing w:before="40" w:after="40" w:line="210" w:lineRule="exact"/>
              <w:ind w:right="40"/>
              <w:rPr>
                <w:sz w:val="17"/>
                <w:lang w:val="fr-FR"/>
              </w:rPr>
            </w:pPr>
          </w:p>
        </w:tc>
        <w:tc>
          <w:tcPr>
            <w:tcW w:w="2024" w:type="dxa"/>
            <w:tcBorders>
              <w:top w:val="single" w:sz="12" w:space="0" w:color="auto"/>
            </w:tcBorders>
            <w:noWrap/>
            <w:vAlign w:val="bottom"/>
          </w:tcPr>
          <w:p w14:paraId="1FC4B757" w14:textId="77777777" w:rsidR="00A27A7D" w:rsidRPr="00A27A7D" w:rsidRDefault="00A27A7D" w:rsidP="00A27A7D">
            <w:pPr>
              <w:spacing w:before="40" w:after="40" w:line="210" w:lineRule="exact"/>
              <w:ind w:right="43"/>
              <w:jc w:val="right"/>
              <w:rPr>
                <w:sz w:val="17"/>
                <w:lang w:val="fr-FR"/>
              </w:rPr>
            </w:pPr>
          </w:p>
        </w:tc>
        <w:tc>
          <w:tcPr>
            <w:tcW w:w="1573" w:type="dxa"/>
            <w:tcBorders>
              <w:top w:val="single" w:sz="12" w:space="0" w:color="auto"/>
            </w:tcBorders>
            <w:noWrap/>
            <w:vAlign w:val="bottom"/>
          </w:tcPr>
          <w:p w14:paraId="58BA389B" w14:textId="77777777" w:rsidR="00A27A7D" w:rsidRPr="00A27A7D" w:rsidRDefault="00A27A7D" w:rsidP="00A27A7D">
            <w:pPr>
              <w:spacing w:before="40" w:after="40" w:line="210" w:lineRule="exact"/>
              <w:ind w:right="43"/>
              <w:jc w:val="right"/>
              <w:rPr>
                <w:sz w:val="17"/>
                <w:lang w:val="fr-FR"/>
              </w:rPr>
            </w:pPr>
          </w:p>
        </w:tc>
      </w:tr>
      <w:tr w:rsidR="00C1643D" w:rsidRPr="00A27A7D" w14:paraId="5A32F048" w14:textId="77777777" w:rsidTr="00E6484D">
        <w:tc>
          <w:tcPr>
            <w:tcW w:w="3773" w:type="dxa"/>
            <w:noWrap/>
            <w:vAlign w:val="bottom"/>
            <w:hideMark/>
          </w:tcPr>
          <w:p w14:paraId="524D753B"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fr-FR"/>
              </w:rPr>
            </w:pPr>
            <w:r w:rsidRPr="00A27A7D">
              <w:rPr>
                <w:sz w:val="17"/>
                <w:lang w:val="fr-FR"/>
              </w:rPr>
              <w:t>Femmes candidates sur les listes électorales</w:t>
            </w:r>
          </w:p>
        </w:tc>
        <w:tc>
          <w:tcPr>
            <w:tcW w:w="2024" w:type="dxa"/>
            <w:noWrap/>
            <w:vAlign w:val="bottom"/>
            <w:hideMark/>
          </w:tcPr>
          <w:p w14:paraId="00974529"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11 843</w:t>
            </w:r>
          </w:p>
        </w:tc>
        <w:tc>
          <w:tcPr>
            <w:tcW w:w="1573" w:type="dxa"/>
            <w:noWrap/>
            <w:vAlign w:val="bottom"/>
            <w:hideMark/>
          </w:tcPr>
          <w:p w14:paraId="4644D883"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50</w:t>
            </w:r>
          </w:p>
        </w:tc>
      </w:tr>
      <w:tr w:rsidR="00C1643D" w:rsidRPr="00A27A7D" w14:paraId="1AD6E71B" w14:textId="77777777" w:rsidTr="00E6484D">
        <w:tc>
          <w:tcPr>
            <w:tcW w:w="3773" w:type="dxa"/>
            <w:tcBorders>
              <w:bottom w:val="single" w:sz="4" w:space="0" w:color="auto"/>
            </w:tcBorders>
            <w:noWrap/>
            <w:vAlign w:val="bottom"/>
            <w:hideMark/>
          </w:tcPr>
          <w:p w14:paraId="6F38E587" w14:textId="77777777" w:rsidR="00C1643D" w:rsidRPr="00A27A7D" w:rsidRDefault="00C1643D" w:rsidP="00A27A7D">
            <w:pPr>
              <w:tabs>
                <w:tab w:val="left" w:pos="288"/>
                <w:tab w:val="left" w:pos="576"/>
                <w:tab w:val="left" w:pos="864"/>
                <w:tab w:val="left" w:pos="1152"/>
              </w:tabs>
              <w:spacing w:before="40" w:after="81" w:line="210" w:lineRule="exact"/>
              <w:ind w:right="40"/>
              <w:rPr>
                <w:sz w:val="17"/>
                <w:lang w:val="fr-FR"/>
              </w:rPr>
            </w:pPr>
            <w:r w:rsidRPr="00A27A7D">
              <w:rPr>
                <w:sz w:val="17"/>
                <w:lang w:val="fr-FR"/>
              </w:rPr>
              <w:t>Hommes candidats sur les listes électorales</w:t>
            </w:r>
          </w:p>
        </w:tc>
        <w:tc>
          <w:tcPr>
            <w:tcW w:w="2024" w:type="dxa"/>
            <w:tcBorders>
              <w:bottom w:val="single" w:sz="4" w:space="0" w:color="auto"/>
            </w:tcBorders>
            <w:noWrap/>
            <w:vAlign w:val="bottom"/>
            <w:hideMark/>
          </w:tcPr>
          <w:p w14:paraId="74CA510B"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12 064</w:t>
            </w:r>
          </w:p>
        </w:tc>
        <w:tc>
          <w:tcPr>
            <w:tcW w:w="1573" w:type="dxa"/>
            <w:tcBorders>
              <w:bottom w:val="single" w:sz="4" w:space="0" w:color="auto"/>
            </w:tcBorders>
            <w:noWrap/>
            <w:vAlign w:val="bottom"/>
            <w:hideMark/>
          </w:tcPr>
          <w:p w14:paraId="10940D82"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50</w:t>
            </w:r>
          </w:p>
        </w:tc>
      </w:tr>
      <w:tr w:rsidR="00C1643D" w:rsidRPr="00A27A7D" w14:paraId="7C7A29B3" w14:textId="77777777" w:rsidTr="00E6484D">
        <w:tc>
          <w:tcPr>
            <w:tcW w:w="3773" w:type="dxa"/>
            <w:tcBorders>
              <w:top w:val="single" w:sz="4" w:space="0" w:color="auto"/>
              <w:bottom w:val="single" w:sz="4" w:space="0" w:color="auto"/>
            </w:tcBorders>
            <w:noWrap/>
            <w:vAlign w:val="bottom"/>
            <w:hideMark/>
          </w:tcPr>
          <w:p w14:paraId="416CB719" w14:textId="105C11BF" w:rsidR="00C1643D" w:rsidRPr="00A27A7D" w:rsidRDefault="00951411" w:rsidP="00A27A7D">
            <w:pPr>
              <w:tabs>
                <w:tab w:val="left" w:pos="288"/>
                <w:tab w:val="left" w:pos="576"/>
                <w:tab w:val="left" w:pos="864"/>
                <w:tab w:val="left" w:pos="1152"/>
              </w:tabs>
              <w:spacing w:before="81" w:after="81" w:line="210" w:lineRule="exact"/>
              <w:ind w:right="40"/>
              <w:rPr>
                <w:b/>
                <w:sz w:val="17"/>
                <w:lang w:val="en-GB"/>
              </w:rPr>
            </w:pPr>
            <w:r w:rsidRPr="00A27A7D">
              <w:rPr>
                <w:b/>
                <w:sz w:val="17"/>
                <w:lang w:val="fr-FR"/>
              </w:rPr>
              <w:tab/>
            </w:r>
            <w:r w:rsidR="00C1643D" w:rsidRPr="00A27A7D">
              <w:rPr>
                <w:b/>
                <w:sz w:val="17"/>
                <w:lang w:val="fr-FR"/>
              </w:rPr>
              <w:t>Total</w:t>
            </w:r>
          </w:p>
        </w:tc>
        <w:tc>
          <w:tcPr>
            <w:tcW w:w="2024" w:type="dxa"/>
            <w:tcBorders>
              <w:top w:val="single" w:sz="4" w:space="0" w:color="auto"/>
              <w:bottom w:val="single" w:sz="4" w:space="0" w:color="auto"/>
            </w:tcBorders>
            <w:noWrap/>
            <w:vAlign w:val="bottom"/>
            <w:hideMark/>
          </w:tcPr>
          <w:p w14:paraId="02B90E15"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23 907</w:t>
            </w:r>
          </w:p>
        </w:tc>
        <w:tc>
          <w:tcPr>
            <w:tcW w:w="1573" w:type="dxa"/>
            <w:tcBorders>
              <w:top w:val="single" w:sz="4" w:space="0" w:color="auto"/>
              <w:bottom w:val="single" w:sz="4" w:space="0" w:color="auto"/>
            </w:tcBorders>
            <w:noWrap/>
            <w:vAlign w:val="bottom"/>
            <w:hideMark/>
          </w:tcPr>
          <w:p w14:paraId="105DE07F"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100</w:t>
            </w:r>
          </w:p>
        </w:tc>
      </w:tr>
      <w:tr w:rsidR="00C1643D" w:rsidRPr="00A27A7D" w14:paraId="1C2CA642" w14:textId="77777777" w:rsidTr="00E6484D">
        <w:tc>
          <w:tcPr>
            <w:tcW w:w="3773" w:type="dxa"/>
            <w:tcBorders>
              <w:top w:val="single" w:sz="4" w:space="0" w:color="auto"/>
            </w:tcBorders>
            <w:noWrap/>
            <w:vAlign w:val="bottom"/>
            <w:hideMark/>
          </w:tcPr>
          <w:p w14:paraId="759EA665" w14:textId="77777777" w:rsidR="00C1643D" w:rsidRPr="00A27A7D" w:rsidRDefault="00C1643D" w:rsidP="00A27A7D">
            <w:pPr>
              <w:tabs>
                <w:tab w:val="left" w:pos="288"/>
                <w:tab w:val="left" w:pos="576"/>
                <w:tab w:val="left" w:pos="864"/>
                <w:tab w:val="left" w:pos="1152"/>
              </w:tabs>
              <w:spacing w:before="81" w:after="40" w:line="210" w:lineRule="exact"/>
              <w:ind w:right="40"/>
              <w:rPr>
                <w:sz w:val="17"/>
                <w:lang w:val="fr-FR"/>
              </w:rPr>
            </w:pPr>
            <w:r w:rsidRPr="00A27A7D">
              <w:rPr>
                <w:sz w:val="17"/>
                <w:lang w:val="fr-FR"/>
              </w:rPr>
              <w:t>Femmes élues aux conseils municipaux</w:t>
            </w:r>
          </w:p>
        </w:tc>
        <w:tc>
          <w:tcPr>
            <w:tcW w:w="2024" w:type="dxa"/>
            <w:tcBorders>
              <w:top w:val="single" w:sz="4" w:space="0" w:color="auto"/>
            </w:tcBorders>
            <w:noWrap/>
            <w:vAlign w:val="bottom"/>
            <w:hideMark/>
          </w:tcPr>
          <w:p w14:paraId="62625FF5" w14:textId="77777777" w:rsidR="00C1643D" w:rsidRPr="00A27A7D" w:rsidRDefault="00C1643D" w:rsidP="00A27A7D">
            <w:pPr>
              <w:tabs>
                <w:tab w:val="left" w:pos="288"/>
                <w:tab w:val="left" w:pos="576"/>
                <w:tab w:val="left" w:pos="864"/>
                <w:tab w:val="left" w:pos="1152"/>
              </w:tabs>
              <w:spacing w:before="81" w:after="40" w:line="210" w:lineRule="exact"/>
              <w:ind w:right="43"/>
              <w:jc w:val="right"/>
              <w:rPr>
                <w:sz w:val="17"/>
                <w:lang w:val="en-GB"/>
              </w:rPr>
            </w:pPr>
            <w:r w:rsidRPr="00A27A7D">
              <w:rPr>
                <w:sz w:val="17"/>
                <w:lang w:val="fr-FR"/>
              </w:rPr>
              <w:t>681</w:t>
            </w:r>
          </w:p>
        </w:tc>
        <w:tc>
          <w:tcPr>
            <w:tcW w:w="1573" w:type="dxa"/>
            <w:tcBorders>
              <w:top w:val="single" w:sz="4" w:space="0" w:color="auto"/>
            </w:tcBorders>
            <w:noWrap/>
            <w:vAlign w:val="bottom"/>
            <w:hideMark/>
          </w:tcPr>
          <w:p w14:paraId="7308302A" w14:textId="77777777" w:rsidR="00C1643D" w:rsidRPr="00A27A7D" w:rsidRDefault="00C1643D" w:rsidP="00A27A7D">
            <w:pPr>
              <w:tabs>
                <w:tab w:val="left" w:pos="288"/>
                <w:tab w:val="left" w:pos="576"/>
                <w:tab w:val="left" w:pos="864"/>
                <w:tab w:val="left" w:pos="1152"/>
              </w:tabs>
              <w:spacing w:before="81" w:after="40" w:line="210" w:lineRule="exact"/>
              <w:ind w:right="43"/>
              <w:jc w:val="right"/>
              <w:rPr>
                <w:sz w:val="17"/>
                <w:lang w:val="en-GB"/>
              </w:rPr>
            </w:pPr>
            <w:r w:rsidRPr="00A27A7D">
              <w:rPr>
                <w:sz w:val="17"/>
                <w:lang w:val="fr-FR"/>
              </w:rPr>
              <w:t>42</w:t>
            </w:r>
          </w:p>
        </w:tc>
      </w:tr>
      <w:tr w:rsidR="00C1643D" w:rsidRPr="00A27A7D" w14:paraId="063D7E5A" w14:textId="77777777" w:rsidTr="00E6484D">
        <w:tc>
          <w:tcPr>
            <w:tcW w:w="3773" w:type="dxa"/>
            <w:tcBorders>
              <w:bottom w:val="single" w:sz="4" w:space="0" w:color="auto"/>
            </w:tcBorders>
            <w:noWrap/>
            <w:vAlign w:val="bottom"/>
            <w:hideMark/>
          </w:tcPr>
          <w:p w14:paraId="77F2F423" w14:textId="77777777" w:rsidR="00C1643D" w:rsidRPr="00A27A7D" w:rsidRDefault="00C1643D" w:rsidP="00A27A7D">
            <w:pPr>
              <w:tabs>
                <w:tab w:val="left" w:pos="288"/>
                <w:tab w:val="left" w:pos="576"/>
                <w:tab w:val="left" w:pos="864"/>
                <w:tab w:val="left" w:pos="1152"/>
              </w:tabs>
              <w:spacing w:before="40" w:after="81" w:line="210" w:lineRule="exact"/>
              <w:ind w:right="40"/>
              <w:rPr>
                <w:sz w:val="17"/>
                <w:lang w:val="fr-FR"/>
              </w:rPr>
            </w:pPr>
            <w:r w:rsidRPr="00A27A7D">
              <w:rPr>
                <w:sz w:val="17"/>
                <w:lang w:val="fr-FR"/>
              </w:rPr>
              <w:t>Hommes élus aux conseils municipaux</w:t>
            </w:r>
          </w:p>
        </w:tc>
        <w:tc>
          <w:tcPr>
            <w:tcW w:w="2024" w:type="dxa"/>
            <w:tcBorders>
              <w:bottom w:val="single" w:sz="4" w:space="0" w:color="auto"/>
            </w:tcBorders>
            <w:noWrap/>
            <w:vAlign w:val="bottom"/>
            <w:hideMark/>
          </w:tcPr>
          <w:p w14:paraId="3E8CCB77"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932</w:t>
            </w:r>
          </w:p>
        </w:tc>
        <w:tc>
          <w:tcPr>
            <w:tcW w:w="1573" w:type="dxa"/>
            <w:tcBorders>
              <w:bottom w:val="single" w:sz="4" w:space="0" w:color="auto"/>
            </w:tcBorders>
            <w:noWrap/>
            <w:vAlign w:val="bottom"/>
            <w:hideMark/>
          </w:tcPr>
          <w:p w14:paraId="3A666BAC" w14:textId="77777777" w:rsidR="00C1643D" w:rsidRPr="00A27A7D" w:rsidRDefault="00C1643D" w:rsidP="00A27A7D">
            <w:pPr>
              <w:tabs>
                <w:tab w:val="left" w:pos="288"/>
                <w:tab w:val="left" w:pos="576"/>
                <w:tab w:val="left" w:pos="864"/>
                <w:tab w:val="left" w:pos="1152"/>
              </w:tabs>
              <w:spacing w:before="40" w:after="81" w:line="210" w:lineRule="exact"/>
              <w:ind w:right="43"/>
              <w:jc w:val="right"/>
              <w:rPr>
                <w:sz w:val="17"/>
                <w:lang w:val="en-GB"/>
              </w:rPr>
            </w:pPr>
            <w:r w:rsidRPr="00A27A7D">
              <w:rPr>
                <w:sz w:val="17"/>
                <w:lang w:val="fr-FR"/>
              </w:rPr>
              <w:t>58</w:t>
            </w:r>
          </w:p>
        </w:tc>
      </w:tr>
      <w:tr w:rsidR="00C1643D" w:rsidRPr="00A27A7D" w14:paraId="7C78C50C" w14:textId="77777777" w:rsidTr="00E6484D">
        <w:tc>
          <w:tcPr>
            <w:tcW w:w="3773" w:type="dxa"/>
            <w:tcBorders>
              <w:top w:val="single" w:sz="4" w:space="0" w:color="auto"/>
              <w:bottom w:val="single" w:sz="12" w:space="0" w:color="auto"/>
            </w:tcBorders>
            <w:noWrap/>
            <w:vAlign w:val="bottom"/>
            <w:hideMark/>
          </w:tcPr>
          <w:p w14:paraId="00250682" w14:textId="0C141555" w:rsidR="00C1643D" w:rsidRPr="00A27A7D" w:rsidRDefault="00C1643D" w:rsidP="00A27A7D">
            <w:pPr>
              <w:tabs>
                <w:tab w:val="left" w:pos="288"/>
                <w:tab w:val="left" w:pos="576"/>
                <w:tab w:val="left" w:pos="864"/>
                <w:tab w:val="left" w:pos="1152"/>
              </w:tabs>
              <w:spacing w:before="81" w:after="81" w:line="210" w:lineRule="exact"/>
              <w:ind w:right="40"/>
              <w:rPr>
                <w:b/>
                <w:sz w:val="17"/>
                <w:lang w:val="en-GB"/>
              </w:rPr>
            </w:pPr>
            <w:r w:rsidRPr="00A27A7D">
              <w:rPr>
                <w:b/>
                <w:sz w:val="17"/>
                <w:lang w:val="fr-FR"/>
              </w:rPr>
              <w:tab/>
              <w:t>Total</w:t>
            </w:r>
          </w:p>
        </w:tc>
        <w:tc>
          <w:tcPr>
            <w:tcW w:w="2024" w:type="dxa"/>
            <w:tcBorders>
              <w:top w:val="single" w:sz="4" w:space="0" w:color="auto"/>
              <w:bottom w:val="single" w:sz="12" w:space="0" w:color="auto"/>
            </w:tcBorders>
            <w:noWrap/>
            <w:vAlign w:val="bottom"/>
            <w:hideMark/>
          </w:tcPr>
          <w:p w14:paraId="27776B77"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1613</w:t>
            </w:r>
          </w:p>
        </w:tc>
        <w:tc>
          <w:tcPr>
            <w:tcW w:w="1573" w:type="dxa"/>
            <w:tcBorders>
              <w:top w:val="single" w:sz="4" w:space="0" w:color="auto"/>
              <w:bottom w:val="single" w:sz="12" w:space="0" w:color="auto"/>
            </w:tcBorders>
            <w:noWrap/>
            <w:vAlign w:val="bottom"/>
            <w:hideMark/>
          </w:tcPr>
          <w:p w14:paraId="2B627D97" w14:textId="77777777" w:rsidR="00C1643D" w:rsidRPr="00A27A7D" w:rsidRDefault="00C1643D" w:rsidP="00A27A7D">
            <w:pPr>
              <w:tabs>
                <w:tab w:val="left" w:pos="288"/>
                <w:tab w:val="left" w:pos="576"/>
                <w:tab w:val="left" w:pos="864"/>
                <w:tab w:val="left" w:pos="1152"/>
              </w:tabs>
              <w:spacing w:before="81" w:after="81" w:line="210" w:lineRule="exact"/>
              <w:ind w:right="43"/>
              <w:jc w:val="right"/>
              <w:rPr>
                <w:b/>
                <w:sz w:val="17"/>
                <w:lang w:val="en-GB"/>
              </w:rPr>
            </w:pPr>
            <w:r w:rsidRPr="00A27A7D">
              <w:rPr>
                <w:b/>
                <w:sz w:val="17"/>
                <w:lang w:val="fr-FR"/>
              </w:rPr>
              <w:t>100</w:t>
            </w:r>
          </w:p>
        </w:tc>
      </w:tr>
    </w:tbl>
    <w:p w14:paraId="75B672C7" w14:textId="77777777" w:rsidR="00C1643D" w:rsidRPr="00C1643D" w:rsidRDefault="00C1643D" w:rsidP="00C1643D">
      <w:pPr>
        <w:pStyle w:val="SingleTxt"/>
        <w:spacing w:after="0" w:line="120" w:lineRule="exact"/>
        <w:rPr>
          <w:sz w:val="10"/>
          <w:lang w:val="fr-FR"/>
        </w:rPr>
      </w:pPr>
    </w:p>
    <w:p w14:paraId="402C4A3B" w14:textId="735E32E7" w:rsidR="00C1643D" w:rsidRPr="00C1643D" w:rsidRDefault="00C1643D" w:rsidP="00C1643D">
      <w:pPr>
        <w:pStyle w:val="FootnoteText"/>
        <w:tabs>
          <w:tab w:val="clear" w:pos="418"/>
          <w:tab w:val="right" w:pos="1476"/>
          <w:tab w:val="left" w:pos="1548"/>
          <w:tab w:val="right" w:pos="1836"/>
          <w:tab w:val="left" w:pos="1908"/>
        </w:tabs>
        <w:ind w:left="1548" w:right="1267" w:hanging="288"/>
        <w:rPr>
          <w:lang w:val="en-GB"/>
        </w:rPr>
      </w:pPr>
      <w:r w:rsidRPr="00C1643D">
        <w:rPr>
          <w:lang w:val="fr-FR"/>
        </w:rPr>
        <w:tab/>
      </w:r>
      <w:r w:rsidRPr="00C1643D">
        <w:rPr>
          <w:i/>
          <w:iCs/>
          <w:lang w:val="fr-FR"/>
        </w:rPr>
        <w:t>Source :</w:t>
      </w:r>
      <w:r w:rsidRPr="00C1643D">
        <w:rPr>
          <w:lang w:val="fr-FR"/>
        </w:rPr>
        <w:t xml:space="preserve"> Commission électorale centrale</w:t>
      </w:r>
      <w:r>
        <w:rPr>
          <w:lang w:val="fr-FR"/>
        </w:rPr>
        <w:t>.</w:t>
      </w:r>
    </w:p>
    <w:p w14:paraId="33B3A7F0" w14:textId="77777777" w:rsidR="00C1643D" w:rsidRPr="00C1643D" w:rsidRDefault="00C1643D" w:rsidP="00C1643D">
      <w:pPr>
        <w:pStyle w:val="SingleTxt"/>
        <w:spacing w:after="0" w:line="120" w:lineRule="exact"/>
        <w:rPr>
          <w:b/>
          <w:bCs/>
          <w:sz w:val="10"/>
          <w:lang w:val="fr-FR"/>
        </w:rPr>
      </w:pPr>
    </w:p>
    <w:p w14:paraId="0F036064" w14:textId="77777777" w:rsidR="00C1643D" w:rsidRPr="00C1643D" w:rsidRDefault="00C1643D" w:rsidP="00C1643D">
      <w:pPr>
        <w:pStyle w:val="SingleTxt"/>
        <w:spacing w:after="0" w:line="120" w:lineRule="exact"/>
        <w:rPr>
          <w:b/>
          <w:bCs/>
          <w:sz w:val="10"/>
          <w:lang w:val="fr-FR"/>
        </w:rPr>
      </w:pPr>
    </w:p>
    <w:p w14:paraId="76B7EF25" w14:textId="77777777" w:rsidR="00C1643D" w:rsidRPr="00C1643D" w:rsidRDefault="00C1643D" w:rsidP="00C1643D">
      <w:pPr>
        <w:pStyle w:val="SingleTxt"/>
        <w:spacing w:after="0" w:line="120" w:lineRule="exact"/>
        <w:rPr>
          <w:b/>
          <w:bCs/>
          <w:sz w:val="10"/>
          <w:lang w:val="fr-FR"/>
        </w:rPr>
      </w:pPr>
    </w:p>
    <w:p w14:paraId="7E28906C" w14:textId="6F469388" w:rsidR="00C1643D" w:rsidRDefault="00C1643D" w:rsidP="00E6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643D">
        <w:rPr>
          <w:lang w:val="fr-FR"/>
        </w:rPr>
        <w:tab/>
        <w:t>II.</w:t>
      </w:r>
      <w:r w:rsidRPr="00C1643D">
        <w:rPr>
          <w:lang w:val="fr-FR"/>
        </w:rPr>
        <w:tab/>
        <w:t>Données annuelles sur les avortements</w:t>
      </w:r>
    </w:p>
    <w:p w14:paraId="0FA6857D" w14:textId="77777777" w:rsidR="00C1643D" w:rsidRPr="00C1643D" w:rsidRDefault="00C1643D" w:rsidP="00C1643D">
      <w:pPr>
        <w:pStyle w:val="SingleTxt"/>
        <w:spacing w:after="0" w:line="120" w:lineRule="exact"/>
        <w:rPr>
          <w:sz w:val="10"/>
          <w:lang w:val="fr-FR"/>
        </w:rPr>
      </w:pPr>
    </w:p>
    <w:p w14:paraId="17A344B3" w14:textId="77777777" w:rsidR="00C1643D" w:rsidRPr="00C1643D" w:rsidRDefault="00C1643D" w:rsidP="00C1643D">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282"/>
        <w:gridCol w:w="1283"/>
        <w:gridCol w:w="1282"/>
        <w:gridCol w:w="1283"/>
        <w:gridCol w:w="970"/>
        <w:gridCol w:w="1220"/>
      </w:tblGrid>
      <w:tr w:rsidR="0065628A" w:rsidRPr="00A27A7D" w14:paraId="7F081469" w14:textId="77777777" w:rsidTr="00E6484D">
        <w:trPr>
          <w:tblHeader/>
        </w:trPr>
        <w:tc>
          <w:tcPr>
            <w:tcW w:w="1282" w:type="dxa"/>
            <w:tcBorders>
              <w:top w:val="single" w:sz="4" w:space="0" w:color="auto"/>
              <w:bottom w:val="single" w:sz="12" w:space="0" w:color="auto"/>
            </w:tcBorders>
            <w:vAlign w:val="bottom"/>
            <w:hideMark/>
          </w:tcPr>
          <w:p w14:paraId="75397B03" w14:textId="77777777" w:rsidR="0065628A" w:rsidRPr="008131DD" w:rsidRDefault="0065628A" w:rsidP="00A27A7D">
            <w:pPr>
              <w:spacing w:before="81" w:after="81" w:line="160" w:lineRule="exact"/>
              <w:ind w:right="40"/>
              <w:rPr>
                <w:i/>
                <w:sz w:val="14"/>
                <w:lang w:val="en-GB"/>
              </w:rPr>
            </w:pPr>
            <w:r w:rsidRPr="008131DD">
              <w:rPr>
                <w:i/>
                <w:sz w:val="14"/>
                <w:lang w:val="fr-FR"/>
              </w:rPr>
              <w:t>Année</w:t>
            </w:r>
          </w:p>
        </w:tc>
        <w:tc>
          <w:tcPr>
            <w:tcW w:w="1283" w:type="dxa"/>
            <w:tcBorders>
              <w:top w:val="single" w:sz="4" w:space="0" w:color="auto"/>
              <w:bottom w:val="single" w:sz="12" w:space="0" w:color="auto"/>
            </w:tcBorders>
            <w:vAlign w:val="bottom"/>
            <w:hideMark/>
          </w:tcPr>
          <w:p w14:paraId="393124FE" w14:textId="77777777" w:rsidR="0065628A" w:rsidRPr="008131DD" w:rsidRDefault="0065628A" w:rsidP="00A27A7D">
            <w:pPr>
              <w:spacing w:before="81" w:after="81" w:line="160" w:lineRule="exact"/>
              <w:ind w:right="43"/>
              <w:jc w:val="right"/>
              <w:rPr>
                <w:i/>
                <w:sz w:val="14"/>
                <w:lang w:val="en-GB"/>
              </w:rPr>
            </w:pPr>
            <w:r w:rsidRPr="008131DD">
              <w:rPr>
                <w:i/>
                <w:sz w:val="14"/>
                <w:lang w:val="fr-FR"/>
              </w:rPr>
              <w:t>Nombre de naissances</w:t>
            </w:r>
          </w:p>
        </w:tc>
        <w:tc>
          <w:tcPr>
            <w:tcW w:w="1282" w:type="dxa"/>
            <w:tcBorders>
              <w:top w:val="single" w:sz="4" w:space="0" w:color="auto"/>
              <w:bottom w:val="single" w:sz="12" w:space="0" w:color="auto"/>
            </w:tcBorders>
            <w:vAlign w:val="bottom"/>
            <w:hideMark/>
          </w:tcPr>
          <w:p w14:paraId="2D64E457" w14:textId="77777777" w:rsidR="0065628A" w:rsidRPr="008131DD" w:rsidRDefault="0065628A" w:rsidP="00A27A7D">
            <w:pPr>
              <w:spacing w:before="81" w:after="81" w:line="160" w:lineRule="exact"/>
              <w:ind w:right="43"/>
              <w:jc w:val="right"/>
              <w:rPr>
                <w:i/>
                <w:sz w:val="14"/>
                <w:lang w:val="en-GB"/>
              </w:rPr>
            </w:pPr>
            <w:r w:rsidRPr="008131DD">
              <w:rPr>
                <w:i/>
                <w:sz w:val="14"/>
                <w:lang w:val="fr-FR"/>
              </w:rPr>
              <w:t>Avortements</w:t>
            </w:r>
          </w:p>
        </w:tc>
        <w:tc>
          <w:tcPr>
            <w:tcW w:w="1283" w:type="dxa"/>
            <w:tcBorders>
              <w:top w:val="single" w:sz="4" w:space="0" w:color="auto"/>
              <w:bottom w:val="single" w:sz="12" w:space="0" w:color="auto"/>
            </w:tcBorders>
            <w:vAlign w:val="bottom"/>
            <w:hideMark/>
          </w:tcPr>
          <w:p w14:paraId="12989CB3" w14:textId="467D667B" w:rsidR="0065628A" w:rsidRPr="008131DD" w:rsidRDefault="0065628A" w:rsidP="00A27A7D">
            <w:pPr>
              <w:spacing w:before="81" w:after="81" w:line="160" w:lineRule="exact"/>
              <w:ind w:right="43"/>
              <w:jc w:val="right"/>
              <w:rPr>
                <w:i/>
                <w:sz w:val="14"/>
                <w:lang w:val="en-GB"/>
              </w:rPr>
            </w:pPr>
            <w:r w:rsidRPr="008131DD">
              <w:rPr>
                <w:i/>
                <w:sz w:val="14"/>
                <w:lang w:val="fr-FR"/>
              </w:rPr>
              <w:t>Taux d’avortement</w:t>
            </w:r>
          </w:p>
        </w:tc>
        <w:tc>
          <w:tcPr>
            <w:tcW w:w="2190" w:type="dxa"/>
            <w:gridSpan w:val="2"/>
            <w:tcBorders>
              <w:top w:val="single" w:sz="4" w:space="0" w:color="auto"/>
              <w:bottom w:val="single" w:sz="12" w:space="0" w:color="auto"/>
            </w:tcBorders>
            <w:vAlign w:val="bottom"/>
            <w:hideMark/>
          </w:tcPr>
          <w:p w14:paraId="03C03042" w14:textId="140A653F" w:rsidR="0065628A" w:rsidRPr="00A27A7D" w:rsidRDefault="0065628A" w:rsidP="00E6484D">
            <w:pPr>
              <w:spacing w:before="81" w:after="81" w:line="160" w:lineRule="exact"/>
              <w:ind w:right="43"/>
              <w:jc w:val="center"/>
              <w:rPr>
                <w:i/>
                <w:sz w:val="14"/>
                <w:lang w:val="en-GB"/>
              </w:rPr>
            </w:pPr>
            <w:r w:rsidRPr="008131DD">
              <w:rPr>
                <w:i/>
                <w:sz w:val="14"/>
                <w:lang w:val="fr-FR"/>
              </w:rPr>
              <w:t xml:space="preserve">Ratio : </w:t>
            </w:r>
            <w:r w:rsidRPr="008131DD">
              <w:rPr>
                <w:i/>
                <w:sz w:val="14"/>
                <w:lang w:val="fr-FR"/>
              </w:rPr>
              <w:br/>
              <w:t>Naissances/Avortements</w:t>
            </w:r>
          </w:p>
        </w:tc>
      </w:tr>
      <w:tr w:rsidR="00A27A7D" w:rsidRPr="00A27A7D" w14:paraId="3AC218BF" w14:textId="77777777" w:rsidTr="00E6484D">
        <w:trPr>
          <w:trHeight w:hRule="exact" w:val="115"/>
          <w:tblHeader/>
        </w:trPr>
        <w:tc>
          <w:tcPr>
            <w:tcW w:w="1282" w:type="dxa"/>
            <w:tcBorders>
              <w:top w:val="single" w:sz="12" w:space="0" w:color="auto"/>
            </w:tcBorders>
            <w:vAlign w:val="bottom"/>
          </w:tcPr>
          <w:p w14:paraId="63A5864B" w14:textId="77777777" w:rsidR="00A27A7D" w:rsidRPr="00A27A7D" w:rsidRDefault="00A27A7D" w:rsidP="00A27A7D">
            <w:pPr>
              <w:spacing w:before="40" w:after="40" w:line="210" w:lineRule="exact"/>
              <w:ind w:right="40"/>
              <w:rPr>
                <w:sz w:val="17"/>
                <w:lang w:val="fr-FR"/>
              </w:rPr>
            </w:pPr>
          </w:p>
        </w:tc>
        <w:tc>
          <w:tcPr>
            <w:tcW w:w="1283" w:type="dxa"/>
            <w:tcBorders>
              <w:top w:val="single" w:sz="12" w:space="0" w:color="auto"/>
            </w:tcBorders>
            <w:vAlign w:val="bottom"/>
          </w:tcPr>
          <w:p w14:paraId="601DD651" w14:textId="77777777" w:rsidR="00A27A7D" w:rsidRPr="00A27A7D" w:rsidRDefault="00A27A7D" w:rsidP="00A27A7D">
            <w:pPr>
              <w:spacing w:before="40" w:after="40" w:line="210" w:lineRule="exact"/>
              <w:ind w:right="43"/>
              <w:jc w:val="right"/>
              <w:rPr>
                <w:sz w:val="17"/>
                <w:lang w:val="fr-FR"/>
              </w:rPr>
            </w:pPr>
          </w:p>
        </w:tc>
        <w:tc>
          <w:tcPr>
            <w:tcW w:w="1282" w:type="dxa"/>
            <w:tcBorders>
              <w:top w:val="single" w:sz="12" w:space="0" w:color="auto"/>
            </w:tcBorders>
            <w:vAlign w:val="bottom"/>
          </w:tcPr>
          <w:p w14:paraId="73B3D0EB" w14:textId="77777777" w:rsidR="00A27A7D" w:rsidRPr="00A27A7D" w:rsidRDefault="00A27A7D" w:rsidP="00A27A7D">
            <w:pPr>
              <w:spacing w:before="40" w:after="40" w:line="210" w:lineRule="exact"/>
              <w:ind w:right="43"/>
              <w:jc w:val="right"/>
              <w:rPr>
                <w:sz w:val="17"/>
                <w:lang w:val="fr-FR"/>
              </w:rPr>
            </w:pPr>
          </w:p>
        </w:tc>
        <w:tc>
          <w:tcPr>
            <w:tcW w:w="1283" w:type="dxa"/>
            <w:tcBorders>
              <w:top w:val="single" w:sz="12" w:space="0" w:color="auto"/>
            </w:tcBorders>
            <w:vAlign w:val="bottom"/>
          </w:tcPr>
          <w:p w14:paraId="5462AC00" w14:textId="77777777" w:rsidR="00A27A7D" w:rsidRPr="00A27A7D" w:rsidRDefault="00A27A7D" w:rsidP="00A27A7D">
            <w:pPr>
              <w:spacing w:before="40" w:after="40" w:line="210" w:lineRule="exact"/>
              <w:ind w:right="43"/>
              <w:jc w:val="right"/>
              <w:rPr>
                <w:sz w:val="17"/>
                <w:lang w:val="fr-FR"/>
              </w:rPr>
            </w:pPr>
          </w:p>
        </w:tc>
        <w:tc>
          <w:tcPr>
            <w:tcW w:w="970" w:type="dxa"/>
            <w:tcBorders>
              <w:top w:val="single" w:sz="12" w:space="0" w:color="auto"/>
            </w:tcBorders>
            <w:noWrap/>
            <w:vAlign w:val="bottom"/>
          </w:tcPr>
          <w:p w14:paraId="686D53BD" w14:textId="77777777" w:rsidR="00A27A7D" w:rsidRPr="00A27A7D" w:rsidRDefault="00A27A7D" w:rsidP="00A27A7D">
            <w:pPr>
              <w:spacing w:before="40" w:after="40" w:line="210" w:lineRule="exact"/>
              <w:ind w:right="43"/>
              <w:jc w:val="right"/>
              <w:rPr>
                <w:sz w:val="17"/>
                <w:lang w:val="fr-FR"/>
              </w:rPr>
            </w:pPr>
          </w:p>
        </w:tc>
        <w:tc>
          <w:tcPr>
            <w:tcW w:w="1220" w:type="dxa"/>
            <w:tcBorders>
              <w:top w:val="single" w:sz="12" w:space="0" w:color="auto"/>
            </w:tcBorders>
            <w:noWrap/>
            <w:vAlign w:val="bottom"/>
          </w:tcPr>
          <w:p w14:paraId="45326E66" w14:textId="77777777" w:rsidR="00A27A7D" w:rsidRPr="00A27A7D" w:rsidRDefault="00A27A7D" w:rsidP="00A27A7D">
            <w:pPr>
              <w:spacing w:before="40" w:after="40" w:line="210" w:lineRule="exact"/>
              <w:ind w:right="43"/>
              <w:jc w:val="right"/>
              <w:rPr>
                <w:sz w:val="17"/>
                <w:lang w:val="fr-FR"/>
              </w:rPr>
            </w:pPr>
          </w:p>
        </w:tc>
      </w:tr>
      <w:tr w:rsidR="00C1643D" w:rsidRPr="00A27A7D" w14:paraId="1684A2E6" w14:textId="77777777" w:rsidTr="00E6484D">
        <w:tc>
          <w:tcPr>
            <w:tcW w:w="1282" w:type="dxa"/>
            <w:vAlign w:val="bottom"/>
            <w:hideMark/>
          </w:tcPr>
          <w:p w14:paraId="74040870"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2015</w:t>
            </w:r>
          </w:p>
        </w:tc>
        <w:tc>
          <w:tcPr>
            <w:tcW w:w="1283" w:type="dxa"/>
            <w:vAlign w:val="bottom"/>
            <w:hideMark/>
          </w:tcPr>
          <w:p w14:paraId="59C49A1C"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32 715</w:t>
            </w:r>
          </w:p>
        </w:tc>
        <w:tc>
          <w:tcPr>
            <w:tcW w:w="1282" w:type="dxa"/>
            <w:vAlign w:val="bottom"/>
            <w:hideMark/>
          </w:tcPr>
          <w:p w14:paraId="665913E3"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5 880</w:t>
            </w:r>
          </w:p>
        </w:tc>
        <w:tc>
          <w:tcPr>
            <w:tcW w:w="1283" w:type="dxa"/>
            <w:vAlign w:val="bottom"/>
            <w:hideMark/>
          </w:tcPr>
          <w:p w14:paraId="025CE501"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180</w:t>
            </w:r>
          </w:p>
        </w:tc>
        <w:tc>
          <w:tcPr>
            <w:tcW w:w="970" w:type="dxa"/>
            <w:noWrap/>
            <w:vAlign w:val="bottom"/>
            <w:hideMark/>
          </w:tcPr>
          <w:p w14:paraId="40C9FC4E"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5,6</w:t>
            </w:r>
          </w:p>
        </w:tc>
        <w:tc>
          <w:tcPr>
            <w:tcW w:w="1220" w:type="dxa"/>
            <w:noWrap/>
            <w:vAlign w:val="bottom"/>
            <w:hideMark/>
          </w:tcPr>
          <w:p w14:paraId="1FE104DF" w14:textId="0EC37384"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193A0306" w14:textId="77777777" w:rsidTr="00E6484D">
        <w:tc>
          <w:tcPr>
            <w:tcW w:w="1282" w:type="dxa"/>
            <w:vAlign w:val="bottom"/>
            <w:hideMark/>
          </w:tcPr>
          <w:p w14:paraId="796A1AC2"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2016</w:t>
            </w:r>
          </w:p>
        </w:tc>
        <w:tc>
          <w:tcPr>
            <w:tcW w:w="1283" w:type="dxa"/>
            <w:vAlign w:val="bottom"/>
            <w:hideMark/>
          </w:tcPr>
          <w:p w14:paraId="76917012"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31 733</w:t>
            </w:r>
          </w:p>
        </w:tc>
        <w:tc>
          <w:tcPr>
            <w:tcW w:w="1282" w:type="dxa"/>
            <w:vAlign w:val="bottom"/>
            <w:hideMark/>
          </w:tcPr>
          <w:p w14:paraId="44855C73"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5 410</w:t>
            </w:r>
          </w:p>
        </w:tc>
        <w:tc>
          <w:tcPr>
            <w:tcW w:w="1283" w:type="dxa"/>
            <w:vAlign w:val="bottom"/>
            <w:hideMark/>
          </w:tcPr>
          <w:p w14:paraId="4B386FA2"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170</w:t>
            </w:r>
          </w:p>
        </w:tc>
        <w:tc>
          <w:tcPr>
            <w:tcW w:w="970" w:type="dxa"/>
            <w:noWrap/>
            <w:vAlign w:val="bottom"/>
            <w:hideMark/>
          </w:tcPr>
          <w:p w14:paraId="4F1F7B1C"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5,9</w:t>
            </w:r>
          </w:p>
        </w:tc>
        <w:tc>
          <w:tcPr>
            <w:tcW w:w="1220" w:type="dxa"/>
            <w:noWrap/>
            <w:vAlign w:val="bottom"/>
            <w:hideMark/>
          </w:tcPr>
          <w:p w14:paraId="05C2B22C" w14:textId="7B334426"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0185FD2C" w14:textId="77777777" w:rsidTr="00E6484D">
        <w:tc>
          <w:tcPr>
            <w:tcW w:w="1282" w:type="dxa"/>
            <w:vAlign w:val="bottom"/>
            <w:hideMark/>
          </w:tcPr>
          <w:p w14:paraId="6192CA21"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2017</w:t>
            </w:r>
          </w:p>
        </w:tc>
        <w:tc>
          <w:tcPr>
            <w:tcW w:w="1283" w:type="dxa"/>
            <w:vAlign w:val="bottom"/>
            <w:hideMark/>
          </w:tcPr>
          <w:p w14:paraId="576142BB"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30 869</w:t>
            </w:r>
          </w:p>
        </w:tc>
        <w:tc>
          <w:tcPr>
            <w:tcW w:w="1282" w:type="dxa"/>
            <w:vAlign w:val="bottom"/>
            <w:hideMark/>
          </w:tcPr>
          <w:p w14:paraId="4949EB9B"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5 279</w:t>
            </w:r>
          </w:p>
        </w:tc>
        <w:tc>
          <w:tcPr>
            <w:tcW w:w="1283" w:type="dxa"/>
            <w:vAlign w:val="bottom"/>
            <w:hideMark/>
          </w:tcPr>
          <w:p w14:paraId="33E073D3"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171</w:t>
            </w:r>
          </w:p>
        </w:tc>
        <w:tc>
          <w:tcPr>
            <w:tcW w:w="970" w:type="dxa"/>
            <w:noWrap/>
            <w:vAlign w:val="bottom"/>
            <w:hideMark/>
          </w:tcPr>
          <w:p w14:paraId="44C82950"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5,8</w:t>
            </w:r>
          </w:p>
        </w:tc>
        <w:tc>
          <w:tcPr>
            <w:tcW w:w="1220" w:type="dxa"/>
            <w:noWrap/>
            <w:vAlign w:val="bottom"/>
            <w:hideMark/>
          </w:tcPr>
          <w:p w14:paraId="4DE5BCBA" w14:textId="78CA64A8"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13CEDB9F" w14:textId="77777777" w:rsidTr="00E6484D">
        <w:tc>
          <w:tcPr>
            <w:tcW w:w="1282" w:type="dxa"/>
            <w:vAlign w:val="bottom"/>
            <w:hideMark/>
          </w:tcPr>
          <w:p w14:paraId="0C4E2D0C"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2018</w:t>
            </w:r>
          </w:p>
        </w:tc>
        <w:tc>
          <w:tcPr>
            <w:tcW w:w="1283" w:type="dxa"/>
            <w:vAlign w:val="bottom"/>
            <w:hideMark/>
          </w:tcPr>
          <w:p w14:paraId="2E22D158"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28 934</w:t>
            </w:r>
          </w:p>
        </w:tc>
        <w:tc>
          <w:tcPr>
            <w:tcW w:w="1282" w:type="dxa"/>
            <w:vAlign w:val="bottom"/>
            <w:hideMark/>
          </w:tcPr>
          <w:p w14:paraId="08C5F3DA"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5 532</w:t>
            </w:r>
          </w:p>
        </w:tc>
        <w:tc>
          <w:tcPr>
            <w:tcW w:w="1283" w:type="dxa"/>
            <w:vAlign w:val="bottom"/>
            <w:hideMark/>
          </w:tcPr>
          <w:p w14:paraId="2D28A9FB"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191</w:t>
            </w:r>
          </w:p>
        </w:tc>
        <w:tc>
          <w:tcPr>
            <w:tcW w:w="970" w:type="dxa"/>
            <w:noWrap/>
            <w:vAlign w:val="bottom"/>
            <w:hideMark/>
          </w:tcPr>
          <w:p w14:paraId="0C0DD1B9"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5,2</w:t>
            </w:r>
          </w:p>
        </w:tc>
        <w:tc>
          <w:tcPr>
            <w:tcW w:w="1220" w:type="dxa"/>
            <w:noWrap/>
            <w:vAlign w:val="bottom"/>
            <w:hideMark/>
          </w:tcPr>
          <w:p w14:paraId="093365A3" w14:textId="07846ECE"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4361636E" w14:textId="77777777" w:rsidTr="00E6484D">
        <w:tc>
          <w:tcPr>
            <w:tcW w:w="1282" w:type="dxa"/>
            <w:vAlign w:val="bottom"/>
          </w:tcPr>
          <w:p w14:paraId="01CC23D7"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2019</w:t>
            </w:r>
          </w:p>
        </w:tc>
        <w:tc>
          <w:tcPr>
            <w:tcW w:w="1283" w:type="dxa"/>
            <w:vAlign w:val="bottom"/>
          </w:tcPr>
          <w:p w14:paraId="0F87AC5D"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28 561</w:t>
            </w:r>
          </w:p>
        </w:tc>
        <w:tc>
          <w:tcPr>
            <w:tcW w:w="1282" w:type="dxa"/>
            <w:vAlign w:val="bottom"/>
          </w:tcPr>
          <w:p w14:paraId="62EC1EED"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5 183</w:t>
            </w:r>
          </w:p>
        </w:tc>
        <w:tc>
          <w:tcPr>
            <w:tcW w:w="1283" w:type="dxa"/>
            <w:vAlign w:val="bottom"/>
          </w:tcPr>
          <w:p w14:paraId="176B4699"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181</w:t>
            </w:r>
          </w:p>
        </w:tc>
        <w:tc>
          <w:tcPr>
            <w:tcW w:w="970" w:type="dxa"/>
            <w:noWrap/>
            <w:vAlign w:val="bottom"/>
          </w:tcPr>
          <w:p w14:paraId="09802B4F"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5,5</w:t>
            </w:r>
          </w:p>
        </w:tc>
        <w:tc>
          <w:tcPr>
            <w:tcW w:w="1220" w:type="dxa"/>
            <w:noWrap/>
            <w:vAlign w:val="bottom"/>
          </w:tcPr>
          <w:p w14:paraId="150A335E" w14:textId="7E9B8C5B"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7478066E" w14:textId="77777777" w:rsidTr="00E6484D">
        <w:tc>
          <w:tcPr>
            <w:tcW w:w="1282" w:type="dxa"/>
            <w:vAlign w:val="bottom"/>
          </w:tcPr>
          <w:p w14:paraId="0A305B57"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2020</w:t>
            </w:r>
          </w:p>
        </w:tc>
        <w:tc>
          <w:tcPr>
            <w:tcW w:w="1283" w:type="dxa"/>
            <w:vAlign w:val="bottom"/>
          </w:tcPr>
          <w:p w14:paraId="7C2CCD0D"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28 075</w:t>
            </w:r>
          </w:p>
        </w:tc>
        <w:tc>
          <w:tcPr>
            <w:tcW w:w="1282" w:type="dxa"/>
            <w:vAlign w:val="bottom"/>
          </w:tcPr>
          <w:p w14:paraId="5DC3719E" w14:textId="39CC2574"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w:t>
            </w:r>
            <w:r w:rsidR="008131DD">
              <w:rPr>
                <w:sz w:val="17"/>
                <w:lang w:val="fr-FR"/>
              </w:rPr>
              <w:t> </w:t>
            </w:r>
            <w:r w:rsidRPr="00A27A7D">
              <w:rPr>
                <w:sz w:val="17"/>
                <w:lang w:val="fr-FR"/>
              </w:rPr>
              <w:t>540</w:t>
            </w:r>
          </w:p>
        </w:tc>
        <w:tc>
          <w:tcPr>
            <w:tcW w:w="1283" w:type="dxa"/>
            <w:vAlign w:val="bottom"/>
          </w:tcPr>
          <w:p w14:paraId="2DEAAB04"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162</w:t>
            </w:r>
          </w:p>
        </w:tc>
        <w:tc>
          <w:tcPr>
            <w:tcW w:w="970" w:type="dxa"/>
            <w:noWrap/>
            <w:vAlign w:val="bottom"/>
          </w:tcPr>
          <w:p w14:paraId="1EAF9285"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6,2</w:t>
            </w:r>
          </w:p>
        </w:tc>
        <w:tc>
          <w:tcPr>
            <w:tcW w:w="1220" w:type="dxa"/>
            <w:noWrap/>
            <w:vAlign w:val="bottom"/>
          </w:tcPr>
          <w:p w14:paraId="5094B887" w14:textId="30646FC1"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5127F3A1" w14:textId="77777777" w:rsidTr="00E6484D">
        <w:tc>
          <w:tcPr>
            <w:tcW w:w="1282" w:type="dxa"/>
            <w:vAlign w:val="bottom"/>
          </w:tcPr>
          <w:p w14:paraId="3B9B9FAD"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2021</w:t>
            </w:r>
          </w:p>
        </w:tc>
        <w:tc>
          <w:tcPr>
            <w:tcW w:w="1283" w:type="dxa"/>
            <w:vAlign w:val="bottom"/>
          </w:tcPr>
          <w:p w14:paraId="5C49711C"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27 211</w:t>
            </w:r>
          </w:p>
        </w:tc>
        <w:tc>
          <w:tcPr>
            <w:tcW w:w="1282" w:type="dxa"/>
            <w:vAlign w:val="bottom"/>
          </w:tcPr>
          <w:p w14:paraId="08852108" w14:textId="73DE9969"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w:t>
            </w:r>
            <w:r w:rsidR="008131DD">
              <w:rPr>
                <w:sz w:val="17"/>
                <w:lang w:val="fr-FR"/>
              </w:rPr>
              <w:t> </w:t>
            </w:r>
            <w:r w:rsidRPr="00A27A7D">
              <w:rPr>
                <w:sz w:val="17"/>
                <w:lang w:val="fr-FR"/>
              </w:rPr>
              <w:t>463</w:t>
            </w:r>
          </w:p>
        </w:tc>
        <w:tc>
          <w:tcPr>
            <w:tcW w:w="1283" w:type="dxa"/>
            <w:vAlign w:val="bottom"/>
          </w:tcPr>
          <w:p w14:paraId="7650EBEC"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164</w:t>
            </w:r>
          </w:p>
        </w:tc>
        <w:tc>
          <w:tcPr>
            <w:tcW w:w="970" w:type="dxa"/>
            <w:noWrap/>
            <w:vAlign w:val="bottom"/>
          </w:tcPr>
          <w:p w14:paraId="1977A988"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6,1</w:t>
            </w:r>
          </w:p>
        </w:tc>
        <w:tc>
          <w:tcPr>
            <w:tcW w:w="1220" w:type="dxa"/>
            <w:noWrap/>
            <w:vAlign w:val="bottom"/>
          </w:tcPr>
          <w:p w14:paraId="1EAF965B" w14:textId="181FF9C9"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2246F0D4" w14:textId="77777777" w:rsidTr="00E6484D">
        <w:tc>
          <w:tcPr>
            <w:tcW w:w="1282" w:type="dxa"/>
            <w:vAlign w:val="bottom"/>
          </w:tcPr>
          <w:p w14:paraId="04BA47C6"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2022</w:t>
            </w:r>
          </w:p>
        </w:tc>
        <w:tc>
          <w:tcPr>
            <w:tcW w:w="1283" w:type="dxa"/>
            <w:vAlign w:val="bottom"/>
          </w:tcPr>
          <w:p w14:paraId="79603A10"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23 575</w:t>
            </w:r>
          </w:p>
        </w:tc>
        <w:tc>
          <w:tcPr>
            <w:tcW w:w="1282" w:type="dxa"/>
            <w:vAlign w:val="bottom"/>
          </w:tcPr>
          <w:p w14:paraId="7BA06E6C" w14:textId="74C3E581"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w:t>
            </w:r>
            <w:r w:rsidR="008131DD">
              <w:rPr>
                <w:sz w:val="17"/>
                <w:lang w:val="fr-FR"/>
              </w:rPr>
              <w:t> </w:t>
            </w:r>
            <w:r w:rsidRPr="00A27A7D">
              <w:rPr>
                <w:sz w:val="17"/>
                <w:lang w:val="fr-FR"/>
              </w:rPr>
              <w:t>199</w:t>
            </w:r>
          </w:p>
        </w:tc>
        <w:tc>
          <w:tcPr>
            <w:tcW w:w="1283" w:type="dxa"/>
            <w:vAlign w:val="bottom"/>
          </w:tcPr>
          <w:p w14:paraId="54B913C1"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178</w:t>
            </w:r>
          </w:p>
        </w:tc>
        <w:tc>
          <w:tcPr>
            <w:tcW w:w="970" w:type="dxa"/>
            <w:noWrap/>
            <w:vAlign w:val="bottom"/>
          </w:tcPr>
          <w:p w14:paraId="5B37A9F4"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5,6</w:t>
            </w:r>
          </w:p>
        </w:tc>
        <w:tc>
          <w:tcPr>
            <w:tcW w:w="1220" w:type="dxa"/>
            <w:noWrap/>
            <w:vAlign w:val="bottom"/>
          </w:tcPr>
          <w:p w14:paraId="017FE37D" w14:textId="1DBE501D"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511FBAC8" w14:textId="77777777" w:rsidTr="00E6484D">
        <w:tc>
          <w:tcPr>
            <w:tcW w:w="1282" w:type="dxa"/>
            <w:vAlign w:val="bottom"/>
          </w:tcPr>
          <w:p w14:paraId="1691B442"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2023</w:t>
            </w:r>
          </w:p>
        </w:tc>
        <w:tc>
          <w:tcPr>
            <w:tcW w:w="1283" w:type="dxa"/>
            <w:vAlign w:val="bottom"/>
          </w:tcPr>
          <w:p w14:paraId="6EBD12A4"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23 617</w:t>
            </w:r>
          </w:p>
        </w:tc>
        <w:tc>
          <w:tcPr>
            <w:tcW w:w="1282" w:type="dxa"/>
            <w:vAlign w:val="bottom"/>
          </w:tcPr>
          <w:p w14:paraId="66810AC9" w14:textId="6C1E7908"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w:t>
            </w:r>
            <w:r w:rsidR="008131DD">
              <w:rPr>
                <w:sz w:val="17"/>
                <w:lang w:val="fr-FR"/>
              </w:rPr>
              <w:t> </w:t>
            </w:r>
            <w:r w:rsidRPr="00A27A7D">
              <w:rPr>
                <w:sz w:val="17"/>
                <w:lang w:val="fr-FR"/>
              </w:rPr>
              <w:t>188</w:t>
            </w:r>
          </w:p>
        </w:tc>
        <w:tc>
          <w:tcPr>
            <w:tcW w:w="1283" w:type="dxa"/>
            <w:vAlign w:val="bottom"/>
          </w:tcPr>
          <w:p w14:paraId="7F87A425"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177</w:t>
            </w:r>
          </w:p>
        </w:tc>
        <w:tc>
          <w:tcPr>
            <w:tcW w:w="970" w:type="dxa"/>
            <w:noWrap/>
            <w:vAlign w:val="bottom"/>
          </w:tcPr>
          <w:p w14:paraId="11B12B8F"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5,3</w:t>
            </w:r>
          </w:p>
        </w:tc>
        <w:tc>
          <w:tcPr>
            <w:tcW w:w="1220" w:type="dxa"/>
            <w:noWrap/>
            <w:vAlign w:val="bottom"/>
          </w:tcPr>
          <w:p w14:paraId="54E0DA33" w14:textId="291435F0"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r w:rsidR="00C1643D" w:rsidRPr="00A27A7D" w14:paraId="47798B6E" w14:textId="77777777" w:rsidTr="00E6484D">
        <w:tc>
          <w:tcPr>
            <w:tcW w:w="1282" w:type="dxa"/>
            <w:tcBorders>
              <w:bottom w:val="single" w:sz="12" w:space="0" w:color="auto"/>
            </w:tcBorders>
            <w:vAlign w:val="bottom"/>
          </w:tcPr>
          <w:p w14:paraId="494D65D8" w14:textId="77777777" w:rsidR="00C1643D" w:rsidRPr="00A27A7D" w:rsidRDefault="00C1643D" w:rsidP="00A27A7D">
            <w:pPr>
              <w:tabs>
                <w:tab w:val="left" w:pos="288"/>
                <w:tab w:val="left" w:pos="576"/>
                <w:tab w:val="left" w:pos="864"/>
                <w:tab w:val="left" w:pos="1152"/>
              </w:tabs>
              <w:spacing w:before="40" w:after="40" w:line="210" w:lineRule="exact"/>
              <w:ind w:right="40"/>
              <w:rPr>
                <w:sz w:val="17"/>
                <w:lang w:val="en-GB"/>
              </w:rPr>
            </w:pPr>
            <w:r w:rsidRPr="00A27A7D">
              <w:rPr>
                <w:sz w:val="17"/>
                <w:lang w:val="fr-FR"/>
              </w:rPr>
              <w:t>2024</w:t>
            </w:r>
          </w:p>
        </w:tc>
        <w:tc>
          <w:tcPr>
            <w:tcW w:w="1283" w:type="dxa"/>
            <w:tcBorders>
              <w:bottom w:val="single" w:sz="12" w:space="0" w:color="auto"/>
            </w:tcBorders>
            <w:vAlign w:val="bottom"/>
          </w:tcPr>
          <w:p w14:paraId="3948EB7B"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23 310</w:t>
            </w:r>
          </w:p>
        </w:tc>
        <w:tc>
          <w:tcPr>
            <w:tcW w:w="1282" w:type="dxa"/>
            <w:tcBorders>
              <w:bottom w:val="single" w:sz="12" w:space="0" w:color="auto"/>
            </w:tcBorders>
            <w:vAlign w:val="bottom"/>
          </w:tcPr>
          <w:p w14:paraId="3D7EA99F" w14:textId="58D5D672"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4</w:t>
            </w:r>
            <w:r w:rsidR="008131DD">
              <w:rPr>
                <w:sz w:val="17"/>
                <w:lang w:val="fr-FR"/>
              </w:rPr>
              <w:t> </w:t>
            </w:r>
            <w:r w:rsidRPr="00A27A7D">
              <w:rPr>
                <w:sz w:val="17"/>
                <w:lang w:val="fr-FR"/>
              </w:rPr>
              <w:t>192</w:t>
            </w:r>
          </w:p>
        </w:tc>
        <w:tc>
          <w:tcPr>
            <w:tcW w:w="1283" w:type="dxa"/>
            <w:tcBorders>
              <w:bottom w:val="single" w:sz="12" w:space="0" w:color="auto"/>
            </w:tcBorders>
            <w:vAlign w:val="bottom"/>
          </w:tcPr>
          <w:p w14:paraId="3F3E0DBB"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180</w:t>
            </w:r>
          </w:p>
        </w:tc>
        <w:tc>
          <w:tcPr>
            <w:tcW w:w="970" w:type="dxa"/>
            <w:tcBorders>
              <w:bottom w:val="single" w:sz="12" w:space="0" w:color="auto"/>
            </w:tcBorders>
            <w:noWrap/>
            <w:vAlign w:val="bottom"/>
          </w:tcPr>
          <w:p w14:paraId="4AA19806" w14:textId="77777777" w:rsidR="00C1643D" w:rsidRPr="00A27A7D" w:rsidRDefault="00C1643D" w:rsidP="00A27A7D">
            <w:pPr>
              <w:tabs>
                <w:tab w:val="left" w:pos="288"/>
                <w:tab w:val="left" w:pos="576"/>
                <w:tab w:val="left" w:pos="864"/>
                <w:tab w:val="left" w:pos="1152"/>
              </w:tabs>
              <w:spacing w:before="40" w:after="40" w:line="210" w:lineRule="exact"/>
              <w:ind w:right="43"/>
              <w:jc w:val="right"/>
              <w:rPr>
                <w:sz w:val="17"/>
                <w:lang w:val="en-GB"/>
              </w:rPr>
            </w:pPr>
            <w:r w:rsidRPr="00A27A7D">
              <w:rPr>
                <w:sz w:val="17"/>
                <w:lang w:val="fr-FR"/>
              </w:rPr>
              <w:t>5,6</w:t>
            </w:r>
          </w:p>
        </w:tc>
        <w:tc>
          <w:tcPr>
            <w:tcW w:w="1220" w:type="dxa"/>
            <w:tcBorders>
              <w:bottom w:val="single" w:sz="12" w:space="0" w:color="auto"/>
            </w:tcBorders>
            <w:noWrap/>
            <w:vAlign w:val="bottom"/>
          </w:tcPr>
          <w:p w14:paraId="3451F6E5" w14:textId="07660405" w:rsidR="00C1643D" w:rsidRPr="00A27A7D" w:rsidRDefault="00C1643D" w:rsidP="00E6484D">
            <w:pPr>
              <w:tabs>
                <w:tab w:val="left" w:pos="288"/>
                <w:tab w:val="left" w:pos="576"/>
                <w:tab w:val="left" w:pos="864"/>
                <w:tab w:val="left" w:pos="1152"/>
              </w:tabs>
              <w:spacing w:before="40" w:after="40" w:line="210" w:lineRule="exact"/>
              <w:ind w:left="72" w:right="43"/>
              <w:rPr>
                <w:sz w:val="17"/>
                <w:lang w:val="en-GB"/>
              </w:rPr>
            </w:pPr>
            <w:r w:rsidRPr="00A27A7D">
              <w:rPr>
                <w:sz w:val="17"/>
                <w:lang w:val="fr-FR"/>
              </w:rPr>
              <w:t>:1</w:t>
            </w:r>
          </w:p>
        </w:tc>
      </w:tr>
    </w:tbl>
    <w:p w14:paraId="15C77621" w14:textId="77777777" w:rsidR="00C1643D" w:rsidRPr="00C1643D" w:rsidRDefault="00C1643D" w:rsidP="00C1643D">
      <w:pPr>
        <w:pStyle w:val="SingleTxt"/>
        <w:spacing w:after="0" w:line="120" w:lineRule="exact"/>
        <w:rPr>
          <w:sz w:val="10"/>
          <w:lang w:val="fr-FR"/>
        </w:rPr>
      </w:pPr>
    </w:p>
    <w:p w14:paraId="1CE6C571" w14:textId="5D9E1CE5" w:rsidR="00C1643D" w:rsidRPr="00C1643D" w:rsidRDefault="00C1643D" w:rsidP="00C1643D">
      <w:pPr>
        <w:pStyle w:val="FootnoteText"/>
        <w:tabs>
          <w:tab w:val="clear" w:pos="418"/>
          <w:tab w:val="right" w:pos="1476"/>
          <w:tab w:val="left" w:pos="1548"/>
          <w:tab w:val="right" w:pos="1836"/>
          <w:tab w:val="left" w:pos="1908"/>
        </w:tabs>
        <w:ind w:left="1548" w:right="1267" w:hanging="288"/>
        <w:rPr>
          <w:lang w:val="fr-FR"/>
        </w:rPr>
      </w:pPr>
      <w:r w:rsidRPr="00C1643D">
        <w:rPr>
          <w:lang w:val="fr-FR"/>
        </w:rPr>
        <w:tab/>
      </w:r>
      <w:r w:rsidRPr="00C1643D">
        <w:rPr>
          <w:i/>
          <w:iCs/>
          <w:lang w:val="fr-FR"/>
        </w:rPr>
        <w:t>Source</w:t>
      </w:r>
      <w:r w:rsidRPr="00C1643D">
        <w:rPr>
          <w:lang w:val="fr-FR"/>
        </w:rPr>
        <w:t> : Ministère de la santé et de la protection sociale.</w:t>
      </w:r>
    </w:p>
    <w:p w14:paraId="0869B585" w14:textId="0708EC29" w:rsidR="00C1643D" w:rsidRPr="00A27A7D" w:rsidRDefault="00A27A7D" w:rsidP="00A27A7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7C588588" wp14:editId="6583C31B">
                <wp:simplePos x="0" y="0"/>
                <wp:positionH relativeFrom="page">
                  <wp:posOffset>3429000</wp:posOffset>
                </wp:positionH>
                <wp:positionV relativeFrom="paragraph">
                  <wp:posOffset>304800</wp:posOffset>
                </wp:positionV>
                <wp:extent cx="914400" cy="0"/>
                <wp:effectExtent l="0" t="0" r="0" b="0"/>
                <wp:wrapNone/>
                <wp:docPr id="119353503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C6A5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commentRangeStart w:id="1"/>
      <w:commentRangeEnd w:id="1"/>
      <w:r w:rsidR="00FF34D0" w:rsidRPr="00A27A7D">
        <w:rPr>
          <w:rStyle w:val="CommentReference"/>
          <w:sz w:val="20"/>
        </w:rPr>
        <w:commentReference w:id="1"/>
      </w:r>
    </w:p>
    <w:sectPr w:rsidR="00C1643D" w:rsidRPr="00A27A7D" w:rsidSect="00C1643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tart" w:date="2026-05-18T17:19:00Z" w:initials="Start">
    <w:p w14:paraId="101524AB" w14:textId="77777777" w:rsidR="00FF34D0" w:rsidRDefault="00FF34D0">
      <w:pPr>
        <w:pStyle w:val="CommentText"/>
      </w:pPr>
      <w:r>
        <w:rPr>
          <w:rStyle w:val="CommentReference"/>
        </w:rPr>
        <w:annotationRef/>
      </w:r>
      <w:r>
        <w:t>&lt;&lt;ODS JOB NO&gt;&gt;N2610635F&lt;&lt;ODS JOB NO&gt;&gt;</w:t>
      </w:r>
    </w:p>
    <w:p w14:paraId="4291B31B" w14:textId="77777777" w:rsidR="00FF34D0" w:rsidRDefault="00FF34D0">
      <w:pPr>
        <w:pStyle w:val="CommentText"/>
      </w:pPr>
      <w:r>
        <w:t>&lt;&lt;ODS DOC SYMBOL1&gt;&gt;CEDAW/C/ALB/FCO/5&lt;&lt;ODS DOC SYMBOL1&gt;&gt;</w:t>
      </w:r>
    </w:p>
    <w:p w14:paraId="62970660" w14:textId="6A90E36E" w:rsidR="00FF34D0" w:rsidRDefault="00FF34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9706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F83743" w16cex:dateUtc="2026-05-18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970660" w16cid:durableId="02F837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A21C3" w14:textId="77777777" w:rsidR="00D469FE" w:rsidRDefault="00D469FE" w:rsidP="00331D20">
      <w:r>
        <w:separator/>
      </w:r>
    </w:p>
  </w:endnote>
  <w:endnote w:type="continuationSeparator" w:id="0">
    <w:p w14:paraId="6D0756BC" w14:textId="77777777" w:rsidR="00D469FE" w:rsidRDefault="00D469F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34D0" w14:paraId="3CF8CB1F" w14:textId="77777777" w:rsidTr="00FF34D0">
      <w:tc>
        <w:tcPr>
          <w:tcW w:w="4920" w:type="dxa"/>
        </w:tcPr>
        <w:p w14:paraId="1A6926D1" w14:textId="149F9CA2" w:rsidR="00FF34D0" w:rsidRPr="00FF34D0" w:rsidRDefault="00FF34D0" w:rsidP="00FF34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26-06421</w:t>
          </w:r>
          <w:r>
            <w:rPr>
              <w:b w:val="0"/>
              <w:w w:val="103"/>
              <w:sz w:val="14"/>
            </w:rPr>
            <w:fldChar w:fldCharType="end"/>
          </w:r>
        </w:p>
      </w:tc>
      <w:tc>
        <w:tcPr>
          <w:tcW w:w="4920" w:type="dxa"/>
        </w:tcPr>
        <w:p w14:paraId="4F02E42F" w14:textId="5BA4066C" w:rsidR="00FF34D0" w:rsidRPr="00FF34D0" w:rsidRDefault="00FF34D0" w:rsidP="00FF34D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97CDC0" w14:textId="77777777" w:rsidR="00FF34D0" w:rsidRPr="00FF34D0" w:rsidRDefault="00FF34D0" w:rsidP="00FF3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34D0" w14:paraId="3E6B2047" w14:textId="77777777" w:rsidTr="00FF34D0">
      <w:tc>
        <w:tcPr>
          <w:tcW w:w="4920" w:type="dxa"/>
        </w:tcPr>
        <w:p w14:paraId="252ED3BC" w14:textId="7530E143" w:rsidR="00FF34D0" w:rsidRPr="00FF34D0" w:rsidRDefault="00FF34D0" w:rsidP="00FF34D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07D9FE0" w14:textId="3CF2C43A" w:rsidR="00FF34D0" w:rsidRPr="00FF34D0" w:rsidRDefault="00FF34D0" w:rsidP="00FF34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26-06421</w:t>
          </w:r>
          <w:r>
            <w:rPr>
              <w:b w:val="0"/>
              <w:w w:val="103"/>
              <w:sz w:val="14"/>
            </w:rPr>
            <w:fldChar w:fldCharType="end"/>
          </w:r>
        </w:p>
      </w:tc>
    </w:tr>
  </w:tbl>
  <w:p w14:paraId="5C648728" w14:textId="77777777" w:rsidR="00FF34D0" w:rsidRPr="00FF34D0" w:rsidRDefault="00FF34D0" w:rsidP="00FF34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28FB2" w14:textId="041D9129" w:rsidR="00FF34D0" w:rsidRDefault="00FF34D0">
    <w:pPr>
      <w:pStyle w:val="Footer"/>
    </w:pPr>
    <w:r>
      <w:drawing>
        <wp:anchor distT="0" distB="0" distL="114300" distR="114300" simplePos="0" relativeHeight="251658240" behindDoc="0" locked="0" layoutInCell="1" allowOverlap="1" wp14:anchorId="586460CF" wp14:editId="27397700">
          <wp:simplePos x="0" y="0"/>
          <wp:positionH relativeFrom="column">
            <wp:posOffset>5532120</wp:posOffset>
          </wp:positionH>
          <wp:positionV relativeFrom="paragraph">
            <wp:posOffset>-228600</wp:posOffset>
          </wp:positionV>
          <wp:extent cx="694690" cy="694690"/>
          <wp:effectExtent l="0" t="0" r="0" b="0"/>
          <wp:wrapNone/>
          <wp:docPr id="1517958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F34D0" w14:paraId="29EB7844" w14:textId="77777777" w:rsidTr="00FF34D0">
      <w:tc>
        <w:tcPr>
          <w:tcW w:w="3758" w:type="dxa"/>
        </w:tcPr>
        <w:p w14:paraId="2D936FFF" w14:textId="39F7C253" w:rsidR="00FF34D0" w:rsidRDefault="00FF34D0" w:rsidP="00FF34D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26-06421 (F)</w:t>
          </w:r>
          <w:r>
            <w:rPr>
              <w:b w:val="0"/>
              <w:sz w:val="20"/>
            </w:rPr>
            <w:fldChar w:fldCharType="end"/>
          </w:r>
          <w:r>
            <w:rPr>
              <w:b w:val="0"/>
              <w:sz w:val="20"/>
            </w:rPr>
            <w:t xml:space="preserve">    </w:t>
          </w:r>
          <w:r w:rsidR="00C1643D">
            <w:rPr>
              <w:b w:val="0"/>
              <w:sz w:val="20"/>
            </w:rPr>
            <w:t>05</w:t>
          </w:r>
          <w:r>
            <w:rPr>
              <w:b w:val="0"/>
              <w:sz w:val="20"/>
            </w:rPr>
            <w:t xml:space="preserve">0526    </w:t>
          </w:r>
          <w:r w:rsidR="00C1643D">
            <w:rPr>
              <w:b w:val="0"/>
              <w:sz w:val="20"/>
            </w:rPr>
            <w:t>29</w:t>
          </w:r>
          <w:r>
            <w:rPr>
              <w:b w:val="0"/>
              <w:sz w:val="20"/>
            </w:rPr>
            <w:t>0526</w:t>
          </w:r>
        </w:p>
        <w:p w14:paraId="1D0B6A87" w14:textId="324A31CE" w:rsidR="00FF34D0" w:rsidRPr="00FF34D0" w:rsidRDefault="00FF34D0" w:rsidP="00FF34D0">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*2606421*</w:t>
          </w:r>
          <w:r>
            <w:rPr>
              <w:rFonts w:ascii="Barcode 3 of 9 by request" w:hAnsi="Barcode 3 of 9 by request"/>
              <w:sz w:val="24"/>
            </w:rPr>
            <w:fldChar w:fldCharType="end"/>
          </w:r>
        </w:p>
      </w:tc>
      <w:tc>
        <w:tcPr>
          <w:tcW w:w="4920" w:type="dxa"/>
        </w:tcPr>
        <w:p w14:paraId="5A026BB9" w14:textId="4861740C" w:rsidR="00FF34D0" w:rsidRDefault="00FF34D0" w:rsidP="00FF34D0">
          <w:pPr>
            <w:pStyle w:val="Footer"/>
            <w:spacing w:line="240" w:lineRule="atLeast"/>
            <w:jc w:val="right"/>
            <w:rPr>
              <w:b w:val="0"/>
              <w:sz w:val="20"/>
            </w:rPr>
          </w:pPr>
          <w:r>
            <w:rPr>
              <w:b w:val="0"/>
              <w:sz w:val="20"/>
            </w:rPr>
            <w:drawing>
              <wp:inline distT="0" distB="0" distL="0" distR="0" wp14:anchorId="5DADC088" wp14:editId="7B219A05">
                <wp:extent cx="1109474" cy="231648"/>
                <wp:effectExtent l="0" t="0" r="0" b="0"/>
                <wp:docPr id="933869334" name="Picture 2"/>
                <wp:cNvGraphicFramePr/>
                <a:graphic xmlns:a="http://schemas.openxmlformats.org/drawingml/2006/main">
                  <a:graphicData uri="http://schemas.openxmlformats.org/drawingml/2006/picture">
                    <pic:pic xmlns:pic="http://schemas.openxmlformats.org/drawingml/2006/picture">
                      <pic:nvPicPr>
                        <pic:cNvPr id="93386933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93FEEE1" w14:textId="77777777" w:rsidR="00FF34D0" w:rsidRPr="00FF34D0" w:rsidRDefault="00FF34D0" w:rsidP="00FF34D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D02D5" w14:textId="77777777" w:rsidR="00D469FE" w:rsidRPr="00A27A7D" w:rsidRDefault="00D469FE" w:rsidP="00A27A7D">
      <w:pPr>
        <w:pStyle w:val="Footer"/>
        <w:spacing w:after="80"/>
        <w:ind w:left="792"/>
        <w:rPr>
          <w:sz w:val="16"/>
        </w:rPr>
      </w:pPr>
      <w:r w:rsidRPr="00A27A7D">
        <w:rPr>
          <w:sz w:val="16"/>
        </w:rPr>
        <w:t>__________________</w:t>
      </w:r>
    </w:p>
  </w:footnote>
  <w:footnote w:type="continuationSeparator" w:id="0">
    <w:p w14:paraId="3FFABB6B" w14:textId="77777777" w:rsidR="00D469FE" w:rsidRPr="00A27A7D" w:rsidRDefault="00D469FE" w:rsidP="00A27A7D">
      <w:pPr>
        <w:pStyle w:val="Footer"/>
        <w:spacing w:after="80"/>
        <w:ind w:left="792"/>
        <w:rPr>
          <w:sz w:val="16"/>
        </w:rPr>
      </w:pPr>
      <w:r w:rsidRPr="00A27A7D">
        <w:rPr>
          <w:sz w:val="16"/>
        </w:rPr>
        <w:t>__________________</w:t>
      </w:r>
    </w:p>
  </w:footnote>
  <w:footnote w:id="1">
    <w:p w14:paraId="5C3148A8" w14:textId="77777777" w:rsidR="00C1643D" w:rsidRPr="008131DD" w:rsidRDefault="00C1643D" w:rsidP="00A27A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8131DD">
        <w:rPr>
          <w:spacing w:val="4"/>
          <w:w w:val="103"/>
          <w:kern w:val="14"/>
          <w:lang w:val="fr-FR"/>
        </w:rPr>
        <w:t>*</w:t>
      </w:r>
      <w:r w:rsidRPr="008131DD">
        <w:rPr>
          <w:spacing w:val="4"/>
          <w:w w:val="103"/>
          <w:kern w:val="14"/>
          <w:lang w:val="fr-FR"/>
        </w:rPr>
        <w:tab/>
        <w:t>La version originale du présent document n’a pas été revue par les services d’édition.</w:t>
      </w:r>
    </w:p>
  </w:footnote>
  <w:footnote w:id="2">
    <w:p w14:paraId="69BD2F3E" w14:textId="77777777" w:rsidR="00C1643D" w:rsidRPr="008131DD" w:rsidRDefault="00C1643D" w:rsidP="00A27A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8131DD">
        <w:rPr>
          <w:sz w:val="20"/>
          <w:lang w:val="fr-FR"/>
        </w:rPr>
        <w:tab/>
      </w:r>
      <w:r w:rsidRPr="008131DD">
        <w:rPr>
          <w:rStyle w:val="FootnoteReference"/>
          <w:spacing w:val="4"/>
          <w:lang w:val="fr-FR"/>
        </w:rPr>
        <w:footnoteRef/>
      </w:r>
      <w:r w:rsidRPr="008131DD">
        <w:rPr>
          <w:spacing w:val="4"/>
          <w:w w:val="103"/>
          <w:kern w:val="14"/>
          <w:lang w:val="fr-FR"/>
        </w:rPr>
        <w:tab/>
        <w:t>Loi n</w:t>
      </w:r>
      <w:r w:rsidRPr="008131DD">
        <w:rPr>
          <w:spacing w:val="4"/>
          <w:w w:val="103"/>
          <w:kern w:val="14"/>
          <w:vertAlign w:val="superscript"/>
          <w:lang w:val="fr-FR"/>
        </w:rPr>
        <w:t>o</w:t>
      </w:r>
      <w:r w:rsidRPr="008131DD">
        <w:rPr>
          <w:spacing w:val="4"/>
          <w:w w:val="103"/>
          <w:kern w:val="14"/>
          <w:lang w:val="fr-FR"/>
        </w:rPr>
        <w:t xml:space="preserve"> 64/2025 sur l’égalité des genres, publiée au </w:t>
      </w:r>
      <w:r w:rsidRPr="00E6484D">
        <w:rPr>
          <w:i/>
          <w:iCs/>
          <w:spacing w:val="4"/>
          <w:w w:val="103"/>
          <w:kern w:val="14"/>
          <w:lang w:val="fr-FR"/>
        </w:rPr>
        <w:t>Journal officiel</w:t>
      </w:r>
      <w:r w:rsidRPr="008131DD">
        <w:rPr>
          <w:spacing w:val="4"/>
          <w:w w:val="103"/>
          <w:kern w:val="14"/>
          <w:lang w:val="fr-FR"/>
        </w:rPr>
        <w:t xml:space="preserve"> n</w:t>
      </w:r>
      <w:r w:rsidRPr="008131DD">
        <w:rPr>
          <w:spacing w:val="4"/>
          <w:w w:val="103"/>
          <w:kern w:val="14"/>
          <w:vertAlign w:val="superscript"/>
          <w:lang w:val="fr-FR"/>
        </w:rPr>
        <w:t>o</w:t>
      </w:r>
      <w:r w:rsidRPr="008131DD">
        <w:rPr>
          <w:spacing w:val="4"/>
          <w:w w:val="103"/>
          <w:kern w:val="14"/>
          <w:lang w:val="fr-FR"/>
        </w:rPr>
        <w:t xml:space="preserve"> 229 du 10 décembre 2025, disponible à l’adresse </w:t>
      </w:r>
      <w:hyperlink r:id="rId1" w:history="1">
        <w:r w:rsidRPr="008131DD">
          <w:rPr>
            <w:rStyle w:val="Hyperlink"/>
            <w:spacing w:val="4"/>
            <w:w w:val="103"/>
            <w:kern w:val="14"/>
            <w:lang w:val="fr-FR"/>
          </w:rPr>
          <w:t>http://qbz.gov.al/eli/ligj/2025/11/06/64</w:t>
        </w:r>
      </w:hyperlink>
      <w:r w:rsidRPr="008131DD">
        <w:rPr>
          <w:spacing w:val="4"/>
          <w:w w:val="103"/>
          <w:kern w:val="14"/>
          <w:lang w:val="fr-FR"/>
        </w:rPr>
        <w:t>.</w:t>
      </w:r>
      <w:hyperlink r:id="rId2" w:history="1"/>
    </w:p>
  </w:footnote>
  <w:footnote w:id="3">
    <w:p w14:paraId="19CA520A" w14:textId="77777777" w:rsidR="00C1643D" w:rsidRPr="008131DD" w:rsidRDefault="00C1643D" w:rsidP="00A27A7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8131DD">
        <w:rPr>
          <w:sz w:val="20"/>
          <w:lang w:val="fr-FR"/>
        </w:rPr>
        <w:tab/>
      </w:r>
      <w:r w:rsidRPr="008131DD">
        <w:rPr>
          <w:rStyle w:val="FootnoteReference"/>
          <w:spacing w:val="4"/>
          <w:lang w:val="fr-FR"/>
        </w:rPr>
        <w:footnoteRef/>
      </w:r>
      <w:r w:rsidRPr="008131DD">
        <w:rPr>
          <w:spacing w:val="4"/>
          <w:w w:val="103"/>
          <w:kern w:val="14"/>
          <w:lang w:val="fr-FR"/>
        </w:rPr>
        <w:tab/>
        <w:t>Loi n</w:t>
      </w:r>
      <w:r w:rsidRPr="008131DD">
        <w:rPr>
          <w:spacing w:val="4"/>
          <w:w w:val="103"/>
          <w:kern w:val="14"/>
          <w:vertAlign w:val="superscript"/>
          <w:lang w:val="fr-FR"/>
        </w:rPr>
        <w:t>o</w:t>
      </w:r>
      <w:r w:rsidRPr="008131DD">
        <w:rPr>
          <w:spacing w:val="4"/>
          <w:w w:val="103"/>
          <w:kern w:val="14"/>
          <w:lang w:val="fr-FR"/>
        </w:rPr>
        <w:t xml:space="preserve"> 11/2026 sur la prévention de la violence à l’égard des femmes et de la violence domestique et la protection contre ces formes de violence, publiée au </w:t>
      </w:r>
      <w:r w:rsidRPr="00E6484D">
        <w:rPr>
          <w:i/>
          <w:iCs/>
          <w:spacing w:val="4"/>
          <w:w w:val="103"/>
          <w:kern w:val="14"/>
          <w:lang w:val="fr-FR"/>
        </w:rPr>
        <w:t>Journal officiel</w:t>
      </w:r>
      <w:r w:rsidRPr="008131DD">
        <w:rPr>
          <w:spacing w:val="4"/>
          <w:w w:val="103"/>
          <w:kern w:val="14"/>
          <w:lang w:val="fr-FR"/>
        </w:rPr>
        <w:t xml:space="preserve"> n</w:t>
      </w:r>
      <w:r w:rsidRPr="008131DD">
        <w:rPr>
          <w:spacing w:val="4"/>
          <w:w w:val="103"/>
          <w:kern w:val="14"/>
          <w:vertAlign w:val="superscript"/>
          <w:lang w:val="fr-FR"/>
        </w:rPr>
        <w:t>o</w:t>
      </w:r>
      <w:r w:rsidRPr="008131DD">
        <w:rPr>
          <w:spacing w:val="4"/>
          <w:w w:val="103"/>
          <w:kern w:val="14"/>
          <w:lang w:val="fr-FR"/>
        </w:rPr>
        <w:t xml:space="preserve"> 34 du 12 février 2026, disponible à l’adresse </w:t>
      </w:r>
      <w:hyperlink r:id="rId3" w:history="1">
        <w:r w:rsidRPr="008131DD">
          <w:rPr>
            <w:rStyle w:val="Hyperlink"/>
            <w:spacing w:val="4"/>
            <w:w w:val="103"/>
            <w:kern w:val="14"/>
            <w:lang w:val="fr-FR"/>
          </w:rPr>
          <w:t>http://qbz.gov.al/eli/ligj/2026/01/28/11</w:t>
        </w:r>
      </w:hyperlink>
      <w:r w:rsidRPr="008131DD">
        <w:rPr>
          <w:spacing w:val="4"/>
          <w:w w:val="103"/>
          <w:kern w:val="14"/>
          <w:lang w:val="fr-FR"/>
        </w:rPr>
        <w:t>.</w:t>
      </w:r>
      <w:hyperlink r:id="rId4" w:history="1"/>
    </w:p>
  </w:footnote>
  <w:footnote w:id="4">
    <w:p w14:paraId="59C7EEF8" w14:textId="162EA62C" w:rsidR="00C1643D" w:rsidRPr="005B778A" w:rsidRDefault="00C1643D" w:rsidP="00A27A7D">
      <w:pPr>
        <w:pStyle w:val="FootnoteText"/>
        <w:tabs>
          <w:tab w:val="clear" w:pos="418"/>
          <w:tab w:val="right" w:pos="1195"/>
          <w:tab w:val="left" w:pos="1267"/>
          <w:tab w:val="left" w:pos="1742"/>
          <w:tab w:val="left" w:pos="2218"/>
          <w:tab w:val="left" w:pos="2693"/>
        </w:tabs>
        <w:ind w:left="1267" w:right="1260" w:hanging="576"/>
        <w:rPr>
          <w:lang w:val="fr-FR"/>
        </w:rPr>
      </w:pPr>
      <w:r w:rsidRPr="008131DD">
        <w:rPr>
          <w:lang w:val="fr-FR"/>
        </w:rPr>
        <w:tab/>
      </w:r>
      <w:r w:rsidRPr="008131DD">
        <w:rPr>
          <w:rStyle w:val="FootnoteReference"/>
          <w:spacing w:val="4"/>
          <w:lang w:val="fr-FR"/>
        </w:rPr>
        <w:footnoteRef/>
      </w:r>
      <w:r w:rsidRPr="008131DD">
        <w:rPr>
          <w:spacing w:val="4"/>
          <w:w w:val="103"/>
          <w:kern w:val="14"/>
          <w:lang w:val="fr-FR"/>
        </w:rPr>
        <w:tab/>
        <w:t>Modifications du Code pénal, loi n</w:t>
      </w:r>
      <w:r w:rsidRPr="008131DD">
        <w:rPr>
          <w:spacing w:val="4"/>
          <w:w w:val="103"/>
          <w:kern w:val="14"/>
          <w:vertAlign w:val="superscript"/>
          <w:lang w:val="fr-FR"/>
        </w:rPr>
        <w:t>o</w:t>
      </w:r>
      <w:r w:rsidRPr="008131DD">
        <w:rPr>
          <w:spacing w:val="4"/>
          <w:w w:val="103"/>
          <w:kern w:val="14"/>
          <w:lang w:val="fr-FR"/>
        </w:rPr>
        <w:t xml:space="preserve"> 8/2026 amendant et complétant la loi n</w:t>
      </w:r>
      <w:r w:rsidRPr="008131DD">
        <w:rPr>
          <w:spacing w:val="4"/>
          <w:w w:val="103"/>
          <w:kern w:val="14"/>
          <w:vertAlign w:val="superscript"/>
          <w:lang w:val="fr-FR"/>
        </w:rPr>
        <w:t>o</w:t>
      </w:r>
      <w:r w:rsidRPr="008131DD">
        <w:rPr>
          <w:spacing w:val="4"/>
          <w:w w:val="103"/>
          <w:kern w:val="14"/>
          <w:lang w:val="fr-FR"/>
        </w:rPr>
        <w:t xml:space="preserve"> 7895 du 27 janvier 1995 relative au Code pénal de la République d’Albanie, telle que modifiée.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34D0" w14:paraId="2544116C" w14:textId="77777777" w:rsidTr="00FF34D0">
      <w:trPr>
        <w:trHeight w:hRule="exact" w:val="864"/>
      </w:trPr>
      <w:tc>
        <w:tcPr>
          <w:tcW w:w="4920" w:type="dxa"/>
          <w:vAlign w:val="bottom"/>
        </w:tcPr>
        <w:p w14:paraId="6D9FD445" w14:textId="4031AA19" w:rsidR="00FF34D0" w:rsidRPr="00FF34D0" w:rsidRDefault="00FF34D0" w:rsidP="00FF34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CEDAW/C/ALB/FCO/5</w:t>
          </w:r>
          <w:r>
            <w:rPr>
              <w:b/>
              <w:color w:val="000000"/>
            </w:rPr>
            <w:fldChar w:fldCharType="end"/>
          </w:r>
        </w:p>
      </w:tc>
      <w:tc>
        <w:tcPr>
          <w:tcW w:w="4920" w:type="dxa"/>
          <w:vAlign w:val="bottom"/>
        </w:tcPr>
        <w:p w14:paraId="279F4C6F" w14:textId="77777777" w:rsidR="00FF34D0" w:rsidRDefault="00FF34D0" w:rsidP="00FF34D0">
          <w:pPr>
            <w:pStyle w:val="Header"/>
          </w:pPr>
        </w:p>
      </w:tc>
    </w:tr>
  </w:tbl>
  <w:p w14:paraId="3D8EB8B3" w14:textId="77777777" w:rsidR="00FF34D0" w:rsidRPr="00FF34D0" w:rsidRDefault="00FF34D0" w:rsidP="00FF34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34D0" w14:paraId="49DCA6EC" w14:textId="77777777" w:rsidTr="00FF34D0">
      <w:trPr>
        <w:trHeight w:hRule="exact" w:val="864"/>
      </w:trPr>
      <w:tc>
        <w:tcPr>
          <w:tcW w:w="4920" w:type="dxa"/>
          <w:vAlign w:val="bottom"/>
        </w:tcPr>
        <w:p w14:paraId="2C9CD5E9" w14:textId="77777777" w:rsidR="00FF34D0" w:rsidRDefault="00FF34D0" w:rsidP="00FF34D0">
          <w:pPr>
            <w:pStyle w:val="Header"/>
          </w:pPr>
        </w:p>
      </w:tc>
      <w:tc>
        <w:tcPr>
          <w:tcW w:w="4920" w:type="dxa"/>
          <w:vAlign w:val="bottom"/>
        </w:tcPr>
        <w:p w14:paraId="17C70A23" w14:textId="567DF7A5" w:rsidR="00FF34D0" w:rsidRPr="00FF34D0" w:rsidRDefault="00FF34D0" w:rsidP="00FF34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CEDAW/C/ALB/FCO/5</w:t>
          </w:r>
          <w:r>
            <w:rPr>
              <w:b/>
              <w:color w:val="000000"/>
            </w:rPr>
            <w:fldChar w:fldCharType="end"/>
          </w:r>
        </w:p>
      </w:tc>
    </w:tr>
  </w:tbl>
  <w:p w14:paraId="20645566" w14:textId="77777777" w:rsidR="00FF34D0" w:rsidRPr="00FF34D0" w:rsidRDefault="00FF34D0" w:rsidP="00FF34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F34D0" w:rsidRPr="00C1643D" w14:paraId="24639CF8" w14:textId="77777777" w:rsidTr="00FF34D0">
      <w:trPr>
        <w:trHeight w:hRule="exact" w:val="864"/>
      </w:trPr>
      <w:tc>
        <w:tcPr>
          <w:tcW w:w="1267" w:type="dxa"/>
          <w:tcBorders>
            <w:bottom w:val="single" w:sz="4" w:space="0" w:color="auto"/>
          </w:tcBorders>
          <w:vAlign w:val="bottom"/>
        </w:tcPr>
        <w:p w14:paraId="1F055F23" w14:textId="77777777" w:rsidR="00FF34D0" w:rsidRPr="00C1643D" w:rsidRDefault="00FF34D0" w:rsidP="00FF34D0">
          <w:pPr>
            <w:pStyle w:val="Header"/>
            <w:spacing w:after="120"/>
            <w:rPr>
              <w:noProof w:val="0"/>
              <w:lang w:val="fr-FR"/>
            </w:rPr>
          </w:pPr>
        </w:p>
      </w:tc>
      <w:tc>
        <w:tcPr>
          <w:tcW w:w="2059" w:type="dxa"/>
          <w:tcBorders>
            <w:bottom w:val="single" w:sz="4" w:space="0" w:color="auto"/>
          </w:tcBorders>
          <w:vAlign w:val="bottom"/>
        </w:tcPr>
        <w:p w14:paraId="2C1F7AE3" w14:textId="632B70BC" w:rsidR="00FF34D0" w:rsidRPr="00C1643D" w:rsidRDefault="00FF34D0" w:rsidP="00FF34D0">
          <w:pPr>
            <w:pStyle w:val="HCh"/>
            <w:spacing w:after="80"/>
            <w:rPr>
              <w:b w:val="0"/>
              <w:color w:val="010000"/>
              <w:spacing w:val="2"/>
              <w:w w:val="96"/>
              <w:lang w:val="fr-FR"/>
            </w:rPr>
          </w:pPr>
          <w:r w:rsidRPr="00C1643D">
            <w:rPr>
              <w:b w:val="0"/>
              <w:color w:val="010000"/>
              <w:spacing w:val="2"/>
              <w:w w:val="96"/>
              <w:lang w:val="fr-FR"/>
            </w:rPr>
            <w:t>Nations Unies</w:t>
          </w:r>
        </w:p>
      </w:tc>
      <w:tc>
        <w:tcPr>
          <w:tcW w:w="58" w:type="dxa"/>
          <w:tcBorders>
            <w:bottom w:val="single" w:sz="4" w:space="0" w:color="auto"/>
          </w:tcBorders>
          <w:vAlign w:val="bottom"/>
        </w:tcPr>
        <w:p w14:paraId="4EBA20A5" w14:textId="77777777" w:rsidR="00FF34D0" w:rsidRPr="00C1643D" w:rsidRDefault="00FF34D0" w:rsidP="00FF34D0">
          <w:pPr>
            <w:pStyle w:val="Header"/>
            <w:spacing w:after="120"/>
            <w:rPr>
              <w:noProof w:val="0"/>
              <w:lang w:val="fr-FR"/>
            </w:rPr>
          </w:pPr>
        </w:p>
      </w:tc>
      <w:tc>
        <w:tcPr>
          <w:tcW w:w="6466" w:type="dxa"/>
          <w:gridSpan w:val="3"/>
          <w:tcBorders>
            <w:bottom w:val="single" w:sz="4" w:space="0" w:color="auto"/>
          </w:tcBorders>
          <w:vAlign w:val="bottom"/>
        </w:tcPr>
        <w:p w14:paraId="55832D09" w14:textId="10B076FB" w:rsidR="00FF34D0" w:rsidRPr="00C1643D" w:rsidRDefault="00FF34D0" w:rsidP="00FF34D0">
          <w:pPr>
            <w:spacing w:after="80" w:line="240" w:lineRule="auto"/>
            <w:jc w:val="right"/>
            <w:rPr>
              <w:position w:val="-4"/>
              <w:lang w:val="fr-FR"/>
            </w:rPr>
          </w:pPr>
          <w:r w:rsidRPr="00C1643D">
            <w:rPr>
              <w:position w:val="-4"/>
              <w:sz w:val="40"/>
              <w:lang w:val="fr-FR"/>
            </w:rPr>
            <w:t>CEDAW</w:t>
          </w:r>
          <w:r w:rsidRPr="00C1643D">
            <w:rPr>
              <w:position w:val="-4"/>
              <w:lang w:val="fr-FR"/>
            </w:rPr>
            <w:t>/C/ALB/FCO/5</w:t>
          </w:r>
        </w:p>
      </w:tc>
    </w:tr>
    <w:tr w:rsidR="00FF34D0" w:rsidRPr="00C1643D" w14:paraId="215208E1" w14:textId="77777777" w:rsidTr="00FF34D0">
      <w:trPr>
        <w:trHeight w:hRule="exact" w:val="2880"/>
      </w:trPr>
      <w:tc>
        <w:tcPr>
          <w:tcW w:w="1267" w:type="dxa"/>
          <w:tcBorders>
            <w:top w:val="single" w:sz="4" w:space="0" w:color="auto"/>
            <w:bottom w:val="single" w:sz="12" w:space="0" w:color="auto"/>
          </w:tcBorders>
        </w:tcPr>
        <w:p w14:paraId="1C89A2BF" w14:textId="0C2D957A" w:rsidR="00FF34D0" w:rsidRPr="00C1643D" w:rsidRDefault="00FF34D0" w:rsidP="00FF34D0">
          <w:pPr>
            <w:pStyle w:val="Header"/>
            <w:spacing w:before="120"/>
            <w:ind w:left="-72"/>
            <w:jc w:val="center"/>
            <w:rPr>
              <w:noProof w:val="0"/>
              <w:lang w:val="fr-FR"/>
            </w:rPr>
          </w:pPr>
          <w:r w:rsidRPr="00C1643D">
            <w:rPr>
              <w:noProof w:val="0"/>
              <w:lang w:val="fr-FR"/>
            </w:rPr>
            <w:t xml:space="preserve">  </w:t>
          </w:r>
          <w:r w:rsidRPr="00C1643D">
            <w:rPr>
              <w:lang w:val="fr-FR"/>
            </w:rPr>
            <w:drawing>
              <wp:inline distT="0" distB="0" distL="0" distR="0" wp14:anchorId="4BCC1DB2" wp14:editId="4D07DA25">
                <wp:extent cx="713232" cy="594360"/>
                <wp:effectExtent l="0" t="0" r="0" b="0"/>
                <wp:docPr id="721578957" name="Picture 1"/>
                <wp:cNvGraphicFramePr/>
                <a:graphic xmlns:a="http://schemas.openxmlformats.org/drawingml/2006/main">
                  <a:graphicData uri="http://schemas.openxmlformats.org/drawingml/2006/picture">
                    <pic:pic xmlns:pic="http://schemas.openxmlformats.org/drawingml/2006/picture">
                      <pic:nvPicPr>
                        <pic:cNvPr id="72157895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7354C41" w14:textId="41489795" w:rsidR="00FF34D0" w:rsidRPr="00C1643D" w:rsidRDefault="00FF34D0" w:rsidP="00FF34D0">
          <w:pPr>
            <w:pStyle w:val="XLarge"/>
            <w:spacing w:before="120" w:line="360" w:lineRule="exact"/>
            <w:rPr>
              <w:sz w:val="36"/>
              <w:lang w:val="fr-FR"/>
            </w:rPr>
          </w:pPr>
          <w:r w:rsidRPr="00C1643D">
            <w:rPr>
              <w:sz w:val="36"/>
              <w:lang w:val="fr-FR"/>
            </w:rPr>
            <w:t>Convention sur l’élimination</w:t>
          </w:r>
          <w:r w:rsidRPr="00C1643D">
            <w:rPr>
              <w:sz w:val="36"/>
              <w:lang w:val="fr-FR"/>
            </w:rPr>
            <w:br/>
            <w:t>de toutes les formes</w:t>
          </w:r>
          <w:r w:rsidRPr="00C1643D">
            <w:rPr>
              <w:sz w:val="36"/>
              <w:lang w:val="fr-FR"/>
            </w:rPr>
            <w:br/>
            <w:t>de discrimination à l’égard</w:t>
          </w:r>
          <w:r w:rsidRPr="00C1643D">
            <w:rPr>
              <w:sz w:val="36"/>
              <w:lang w:val="fr-FR"/>
            </w:rPr>
            <w:br/>
            <w:t xml:space="preserve">des femmes </w:t>
          </w:r>
        </w:p>
      </w:tc>
      <w:tc>
        <w:tcPr>
          <w:tcW w:w="245" w:type="dxa"/>
          <w:tcBorders>
            <w:top w:val="single" w:sz="4" w:space="0" w:color="auto"/>
            <w:bottom w:val="single" w:sz="12" w:space="0" w:color="auto"/>
          </w:tcBorders>
        </w:tcPr>
        <w:p w14:paraId="02BB55C6" w14:textId="77777777" w:rsidR="00FF34D0" w:rsidRPr="00C1643D" w:rsidRDefault="00FF34D0" w:rsidP="00FF34D0">
          <w:pPr>
            <w:pStyle w:val="Header"/>
            <w:spacing w:before="109"/>
            <w:rPr>
              <w:noProof w:val="0"/>
              <w:lang w:val="fr-FR"/>
            </w:rPr>
          </w:pPr>
        </w:p>
      </w:tc>
      <w:tc>
        <w:tcPr>
          <w:tcW w:w="3110" w:type="dxa"/>
          <w:tcBorders>
            <w:top w:val="single" w:sz="4" w:space="0" w:color="auto"/>
            <w:bottom w:val="single" w:sz="12" w:space="0" w:color="auto"/>
          </w:tcBorders>
        </w:tcPr>
        <w:p w14:paraId="08F925F5" w14:textId="77777777" w:rsidR="00FF34D0" w:rsidRPr="00C1643D" w:rsidRDefault="00FF34D0" w:rsidP="00FF34D0">
          <w:pPr>
            <w:pStyle w:val="Distribution"/>
            <w:spacing w:before="240"/>
            <w:rPr>
              <w:color w:val="000000"/>
              <w:lang w:val="fr-FR"/>
            </w:rPr>
          </w:pPr>
          <w:r w:rsidRPr="00C1643D">
            <w:rPr>
              <w:color w:val="000000"/>
              <w:lang w:val="fr-FR"/>
            </w:rPr>
            <w:t>Distr. générale</w:t>
          </w:r>
        </w:p>
        <w:p w14:paraId="6218EBE5" w14:textId="5CD9DD47" w:rsidR="00FF34D0" w:rsidRPr="00C1643D" w:rsidRDefault="00951411" w:rsidP="00FF34D0">
          <w:pPr>
            <w:pStyle w:val="Publication"/>
            <w:rPr>
              <w:color w:val="000000"/>
              <w:lang w:val="fr-FR"/>
            </w:rPr>
          </w:pPr>
          <w:r>
            <w:rPr>
              <w:color w:val="000000"/>
              <w:lang w:val="fr-FR"/>
            </w:rPr>
            <w:t>5</w:t>
          </w:r>
          <w:r w:rsidR="00FF34D0" w:rsidRPr="00C1643D">
            <w:rPr>
              <w:color w:val="000000"/>
              <w:lang w:val="fr-FR"/>
            </w:rPr>
            <w:t xml:space="preserve"> mai 2026</w:t>
          </w:r>
        </w:p>
        <w:p w14:paraId="293CC031" w14:textId="77777777" w:rsidR="00FF34D0" w:rsidRPr="00C1643D" w:rsidRDefault="00FF34D0" w:rsidP="00FF34D0">
          <w:pPr>
            <w:rPr>
              <w:lang w:val="fr-FR"/>
            </w:rPr>
          </w:pPr>
          <w:r w:rsidRPr="00C1643D">
            <w:rPr>
              <w:lang w:val="fr-FR"/>
            </w:rPr>
            <w:t>Français</w:t>
          </w:r>
        </w:p>
        <w:p w14:paraId="5B4DCAA8" w14:textId="77777777" w:rsidR="00FF34D0" w:rsidRDefault="00FF34D0" w:rsidP="00FF34D0">
          <w:pPr>
            <w:pStyle w:val="Original"/>
            <w:rPr>
              <w:color w:val="000000"/>
              <w:lang w:val="fr-FR"/>
            </w:rPr>
          </w:pPr>
          <w:r w:rsidRPr="00C1643D">
            <w:rPr>
              <w:color w:val="000000"/>
              <w:lang w:val="fr-FR"/>
            </w:rPr>
            <w:t>Original</w:t>
          </w:r>
          <w:r w:rsidR="00C1643D" w:rsidRPr="00C1643D">
            <w:rPr>
              <w:color w:val="000000"/>
              <w:lang w:val="fr-FR"/>
            </w:rPr>
            <w:t> </w:t>
          </w:r>
          <w:r w:rsidRPr="00C1643D">
            <w:rPr>
              <w:color w:val="000000"/>
              <w:lang w:val="fr-FR"/>
            </w:rPr>
            <w:t>: anglais</w:t>
          </w:r>
        </w:p>
        <w:p w14:paraId="67D63F94" w14:textId="52648172" w:rsidR="00951411" w:rsidRPr="00951411" w:rsidRDefault="00951411" w:rsidP="00951411">
          <w:pPr>
            <w:rPr>
              <w:lang w:val="fr-FR"/>
            </w:rPr>
          </w:pPr>
          <w:r>
            <w:rPr>
              <w:color w:val="000000"/>
              <w:lang w:val="fr-FR"/>
            </w:rPr>
            <w:t>Anglais, espagnol et français seulement</w:t>
          </w:r>
        </w:p>
      </w:tc>
    </w:tr>
  </w:tbl>
  <w:p w14:paraId="4D44E1C0" w14:textId="77777777" w:rsidR="00FF34D0" w:rsidRPr="00C1643D" w:rsidRDefault="00FF34D0" w:rsidP="00FF34D0">
    <w:pPr>
      <w:pStyle w:val="Header"/>
      <w:rPr>
        <w:noProof w:val="0"/>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9A0E33"/>
    <w:multiLevelType w:val="hybridMultilevel"/>
    <w:tmpl w:val="FD809FEA"/>
    <w:lvl w:ilvl="0" w:tplc="1E60897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C822A19"/>
    <w:multiLevelType w:val="singleLevel"/>
    <w:tmpl w:val="69D0DCCE"/>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C7E6323"/>
    <w:multiLevelType w:val="singleLevel"/>
    <w:tmpl w:val="69D0DCCE"/>
    <w:lvl w:ilvl="0">
      <w:start w:val="1"/>
      <w:numFmt w:val="decimal"/>
      <w:lvlRestart w:val="0"/>
      <w:lvlText w:val="%1."/>
      <w:lvlJc w:val="left"/>
      <w:pPr>
        <w:tabs>
          <w:tab w:val="num" w:pos="475"/>
        </w:tabs>
        <w:ind w:left="0" w:firstLine="0"/>
      </w:pPr>
      <w:rPr>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51940221">
    <w:abstractNumId w:val="13"/>
  </w:num>
  <w:num w:numId="27" w16cid:durableId="757211798">
    <w:abstractNumId w:val="5"/>
  </w:num>
  <w:num w:numId="28" w16cid:durableId="848494912">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1*"/>
    <w:docVar w:name="CreationDt" w:val="18/05/2026 17:19:22"/>
    <w:docVar w:name="DocCategory" w:val="Doc"/>
    <w:docVar w:name="DocType" w:val="Final"/>
    <w:docVar w:name="DutyStation" w:val="New York"/>
    <w:docVar w:name="FooterJN" w:val="26-06421"/>
    <w:docVar w:name="jobn" w:val="26-06421 (F)"/>
    <w:docVar w:name="jobnDT" w:val="26-06421 (F)   180526"/>
    <w:docVar w:name="jobnDTDT" w:val="26-06421 (F)   180526   180526"/>
    <w:docVar w:name="JobNo" w:val="2606421F"/>
    <w:docVar w:name="JobNo2" w:val="2610635F"/>
    <w:docVar w:name="LocalDrive" w:val="-1"/>
    <w:docVar w:name="OandT" w:val="CMA"/>
    <w:docVar w:name="sss1" w:val="CEDAW/C/ALB/FCO/5"/>
    <w:docVar w:name="sss2" w:val="-"/>
    <w:docVar w:name="Symbol1" w:val="CEDAW/C/ALB/FCO/5"/>
    <w:docVar w:name="Symbol2" w:val="-"/>
    <w:docVar w:name="Title1" w:val="_x0009__x0009_Renseignements reçus de l’Albanie au sujet de la suite donnée aux observations finales concernant son cinquième rapport périodique*_x000d_"/>
  </w:docVars>
  <w:rsids>
    <w:rsidRoot w:val="00587806"/>
    <w:rsid w:val="00001169"/>
    <w:rsid w:val="00001967"/>
    <w:rsid w:val="000055DF"/>
    <w:rsid w:val="00007205"/>
    <w:rsid w:val="000202C9"/>
    <w:rsid w:val="0003223F"/>
    <w:rsid w:val="000416EC"/>
    <w:rsid w:val="00045B4E"/>
    <w:rsid w:val="00065FC5"/>
    <w:rsid w:val="000665B7"/>
    <w:rsid w:val="00070C4A"/>
    <w:rsid w:val="000A7107"/>
    <w:rsid w:val="000D59B1"/>
    <w:rsid w:val="000D678C"/>
    <w:rsid w:val="000E0CFB"/>
    <w:rsid w:val="000E18D6"/>
    <w:rsid w:val="000F6C75"/>
    <w:rsid w:val="00104DBF"/>
    <w:rsid w:val="00105618"/>
    <w:rsid w:val="0011022B"/>
    <w:rsid w:val="001325B0"/>
    <w:rsid w:val="00142021"/>
    <w:rsid w:val="00151F81"/>
    <w:rsid w:val="00153BF4"/>
    <w:rsid w:val="00157E3A"/>
    <w:rsid w:val="00162B8E"/>
    <w:rsid w:val="00171CDD"/>
    <w:rsid w:val="00176F04"/>
    <w:rsid w:val="00194664"/>
    <w:rsid w:val="001978D5"/>
    <w:rsid w:val="0019790C"/>
    <w:rsid w:val="001A6145"/>
    <w:rsid w:val="001B7B98"/>
    <w:rsid w:val="001F4B67"/>
    <w:rsid w:val="0022664A"/>
    <w:rsid w:val="00243BAB"/>
    <w:rsid w:val="0024624B"/>
    <w:rsid w:val="00247400"/>
    <w:rsid w:val="00253EF6"/>
    <w:rsid w:val="00263DCB"/>
    <w:rsid w:val="00265CE1"/>
    <w:rsid w:val="002700D3"/>
    <w:rsid w:val="0027492E"/>
    <w:rsid w:val="00275B92"/>
    <w:rsid w:val="0029108F"/>
    <w:rsid w:val="00293C15"/>
    <w:rsid w:val="00293F2A"/>
    <w:rsid w:val="002A37F5"/>
    <w:rsid w:val="002B0604"/>
    <w:rsid w:val="002C351B"/>
    <w:rsid w:val="002E304D"/>
    <w:rsid w:val="002E5447"/>
    <w:rsid w:val="002E6B7E"/>
    <w:rsid w:val="002F548F"/>
    <w:rsid w:val="00312356"/>
    <w:rsid w:val="00320BEB"/>
    <w:rsid w:val="0032565A"/>
    <w:rsid w:val="00326100"/>
    <w:rsid w:val="00326E75"/>
    <w:rsid w:val="00331D20"/>
    <w:rsid w:val="00334787"/>
    <w:rsid w:val="00342ADF"/>
    <w:rsid w:val="00353621"/>
    <w:rsid w:val="00365FD7"/>
    <w:rsid w:val="00373732"/>
    <w:rsid w:val="00380D6A"/>
    <w:rsid w:val="003852E4"/>
    <w:rsid w:val="00387FBA"/>
    <w:rsid w:val="00390CD0"/>
    <w:rsid w:val="0039570F"/>
    <w:rsid w:val="003B1D1B"/>
    <w:rsid w:val="003C37AF"/>
    <w:rsid w:val="003C76D1"/>
    <w:rsid w:val="003D74E1"/>
    <w:rsid w:val="003E0899"/>
    <w:rsid w:val="003E5E54"/>
    <w:rsid w:val="003F75F8"/>
    <w:rsid w:val="004200C7"/>
    <w:rsid w:val="0042310D"/>
    <w:rsid w:val="00425C60"/>
    <w:rsid w:val="00442FDD"/>
    <w:rsid w:val="00443AE6"/>
    <w:rsid w:val="0045117C"/>
    <w:rsid w:val="004535A4"/>
    <w:rsid w:val="004536CE"/>
    <w:rsid w:val="0045772E"/>
    <w:rsid w:val="00460B0E"/>
    <w:rsid w:val="0047638E"/>
    <w:rsid w:val="00477B68"/>
    <w:rsid w:val="00484669"/>
    <w:rsid w:val="004867C9"/>
    <w:rsid w:val="00492A32"/>
    <w:rsid w:val="00495E7B"/>
    <w:rsid w:val="0049669D"/>
    <w:rsid w:val="004A10C3"/>
    <w:rsid w:val="004A3CE7"/>
    <w:rsid w:val="004B30A6"/>
    <w:rsid w:val="004B5BF3"/>
    <w:rsid w:val="004C520B"/>
    <w:rsid w:val="004F5722"/>
    <w:rsid w:val="005051C4"/>
    <w:rsid w:val="0051063E"/>
    <w:rsid w:val="00523576"/>
    <w:rsid w:val="0054211F"/>
    <w:rsid w:val="005610B1"/>
    <w:rsid w:val="005651B8"/>
    <w:rsid w:val="00587806"/>
    <w:rsid w:val="005B0F7F"/>
    <w:rsid w:val="005B4455"/>
    <w:rsid w:val="005C3C3A"/>
    <w:rsid w:val="005D4F00"/>
    <w:rsid w:val="005E67A9"/>
    <w:rsid w:val="005E7EEB"/>
    <w:rsid w:val="00626876"/>
    <w:rsid w:val="006308BF"/>
    <w:rsid w:val="0063094D"/>
    <w:rsid w:val="00645A3E"/>
    <w:rsid w:val="0065628A"/>
    <w:rsid w:val="00665001"/>
    <w:rsid w:val="0066705D"/>
    <w:rsid w:val="006743C6"/>
    <w:rsid w:val="00680A79"/>
    <w:rsid w:val="006837DD"/>
    <w:rsid w:val="00684C11"/>
    <w:rsid w:val="0068710D"/>
    <w:rsid w:val="006A1127"/>
    <w:rsid w:val="006A31AA"/>
    <w:rsid w:val="006A3C28"/>
    <w:rsid w:val="006A67B7"/>
    <w:rsid w:val="006B474D"/>
    <w:rsid w:val="006C4584"/>
    <w:rsid w:val="006C7738"/>
    <w:rsid w:val="006D2926"/>
    <w:rsid w:val="006D4A16"/>
    <w:rsid w:val="006E5D24"/>
    <w:rsid w:val="006F1F84"/>
    <w:rsid w:val="006F6C15"/>
    <w:rsid w:val="00702701"/>
    <w:rsid w:val="00704CC6"/>
    <w:rsid w:val="0071149A"/>
    <w:rsid w:val="00717106"/>
    <w:rsid w:val="0072498C"/>
    <w:rsid w:val="00727155"/>
    <w:rsid w:val="00734B74"/>
    <w:rsid w:val="007400B8"/>
    <w:rsid w:val="007633C9"/>
    <w:rsid w:val="00765031"/>
    <w:rsid w:val="0078108F"/>
    <w:rsid w:val="0078367C"/>
    <w:rsid w:val="00783D43"/>
    <w:rsid w:val="007A4347"/>
    <w:rsid w:val="007B304F"/>
    <w:rsid w:val="007B396A"/>
    <w:rsid w:val="007B4CD6"/>
    <w:rsid w:val="007C3668"/>
    <w:rsid w:val="007D2256"/>
    <w:rsid w:val="007D3523"/>
    <w:rsid w:val="007D36F1"/>
    <w:rsid w:val="007E1808"/>
    <w:rsid w:val="007E42EC"/>
    <w:rsid w:val="007E475E"/>
    <w:rsid w:val="007F11EF"/>
    <w:rsid w:val="007F6B2A"/>
    <w:rsid w:val="0080338E"/>
    <w:rsid w:val="00811870"/>
    <w:rsid w:val="008131DD"/>
    <w:rsid w:val="008132F6"/>
    <w:rsid w:val="008138CB"/>
    <w:rsid w:val="00824188"/>
    <w:rsid w:val="0083434C"/>
    <w:rsid w:val="00843E23"/>
    <w:rsid w:val="0085134F"/>
    <w:rsid w:val="00863195"/>
    <w:rsid w:val="00871053"/>
    <w:rsid w:val="00872F86"/>
    <w:rsid w:val="0087641B"/>
    <w:rsid w:val="00877270"/>
    <w:rsid w:val="0088056D"/>
    <w:rsid w:val="0088138B"/>
    <w:rsid w:val="00883123"/>
    <w:rsid w:val="00883FC4"/>
    <w:rsid w:val="0089791E"/>
    <w:rsid w:val="008A2590"/>
    <w:rsid w:val="008A7CE5"/>
    <w:rsid w:val="008B6772"/>
    <w:rsid w:val="008C0B31"/>
    <w:rsid w:val="008F11CA"/>
    <w:rsid w:val="008F2E55"/>
    <w:rsid w:val="009071DA"/>
    <w:rsid w:val="00911D71"/>
    <w:rsid w:val="00923E9F"/>
    <w:rsid w:val="00927E6A"/>
    <w:rsid w:val="00944514"/>
    <w:rsid w:val="00950180"/>
    <w:rsid w:val="00951411"/>
    <w:rsid w:val="00954207"/>
    <w:rsid w:val="00976519"/>
    <w:rsid w:val="00995FE2"/>
    <w:rsid w:val="009A03DE"/>
    <w:rsid w:val="009A405F"/>
    <w:rsid w:val="009A7E7A"/>
    <w:rsid w:val="009B00E9"/>
    <w:rsid w:val="009B58EC"/>
    <w:rsid w:val="009B6168"/>
    <w:rsid w:val="009C034E"/>
    <w:rsid w:val="009D24DB"/>
    <w:rsid w:val="009D56BA"/>
    <w:rsid w:val="009F73C7"/>
    <w:rsid w:val="00A043B2"/>
    <w:rsid w:val="00A11097"/>
    <w:rsid w:val="00A11E46"/>
    <w:rsid w:val="00A13FA6"/>
    <w:rsid w:val="00A2668B"/>
    <w:rsid w:val="00A27A7D"/>
    <w:rsid w:val="00A412C8"/>
    <w:rsid w:val="00A416B8"/>
    <w:rsid w:val="00A62CF0"/>
    <w:rsid w:val="00A63897"/>
    <w:rsid w:val="00A670B0"/>
    <w:rsid w:val="00A709FA"/>
    <w:rsid w:val="00A72797"/>
    <w:rsid w:val="00A75FBD"/>
    <w:rsid w:val="00A82C2F"/>
    <w:rsid w:val="00A84EFD"/>
    <w:rsid w:val="00AA29EE"/>
    <w:rsid w:val="00AA42EF"/>
    <w:rsid w:val="00AA771D"/>
    <w:rsid w:val="00AB7235"/>
    <w:rsid w:val="00AC7755"/>
    <w:rsid w:val="00AE1195"/>
    <w:rsid w:val="00AE305E"/>
    <w:rsid w:val="00AE454F"/>
    <w:rsid w:val="00AF3F1B"/>
    <w:rsid w:val="00B028C7"/>
    <w:rsid w:val="00B125A0"/>
    <w:rsid w:val="00B272FA"/>
    <w:rsid w:val="00B27698"/>
    <w:rsid w:val="00B27C58"/>
    <w:rsid w:val="00B30A24"/>
    <w:rsid w:val="00B3650B"/>
    <w:rsid w:val="00B43357"/>
    <w:rsid w:val="00B43769"/>
    <w:rsid w:val="00B53668"/>
    <w:rsid w:val="00B64AA0"/>
    <w:rsid w:val="00B7299C"/>
    <w:rsid w:val="00B74E35"/>
    <w:rsid w:val="00B8101A"/>
    <w:rsid w:val="00B901FD"/>
    <w:rsid w:val="00B954E3"/>
    <w:rsid w:val="00BC2C8A"/>
    <w:rsid w:val="00BC5EA0"/>
    <w:rsid w:val="00BE7E3C"/>
    <w:rsid w:val="00BF5ECC"/>
    <w:rsid w:val="00C13BA6"/>
    <w:rsid w:val="00C1643D"/>
    <w:rsid w:val="00C16A02"/>
    <w:rsid w:val="00C16D72"/>
    <w:rsid w:val="00C174A0"/>
    <w:rsid w:val="00C27D12"/>
    <w:rsid w:val="00C60123"/>
    <w:rsid w:val="00C6119A"/>
    <w:rsid w:val="00C64247"/>
    <w:rsid w:val="00C75CAB"/>
    <w:rsid w:val="00C90666"/>
    <w:rsid w:val="00CA12D7"/>
    <w:rsid w:val="00CA1970"/>
    <w:rsid w:val="00CA4E79"/>
    <w:rsid w:val="00CB71A3"/>
    <w:rsid w:val="00CC2D86"/>
    <w:rsid w:val="00CE047E"/>
    <w:rsid w:val="00CE35F9"/>
    <w:rsid w:val="00CE6391"/>
    <w:rsid w:val="00CF3DCC"/>
    <w:rsid w:val="00D042CD"/>
    <w:rsid w:val="00D23FFB"/>
    <w:rsid w:val="00D2658E"/>
    <w:rsid w:val="00D409D0"/>
    <w:rsid w:val="00D4413A"/>
    <w:rsid w:val="00D469FE"/>
    <w:rsid w:val="00D473C8"/>
    <w:rsid w:val="00D7136D"/>
    <w:rsid w:val="00D72D37"/>
    <w:rsid w:val="00D750C4"/>
    <w:rsid w:val="00DB0712"/>
    <w:rsid w:val="00DB652C"/>
    <w:rsid w:val="00DB672C"/>
    <w:rsid w:val="00DC5B69"/>
    <w:rsid w:val="00DE0535"/>
    <w:rsid w:val="00DE254A"/>
    <w:rsid w:val="00DF5802"/>
    <w:rsid w:val="00E10DBF"/>
    <w:rsid w:val="00E166B5"/>
    <w:rsid w:val="00E16CEC"/>
    <w:rsid w:val="00E53294"/>
    <w:rsid w:val="00E53A74"/>
    <w:rsid w:val="00E548DF"/>
    <w:rsid w:val="00E56A0F"/>
    <w:rsid w:val="00E6484D"/>
    <w:rsid w:val="00E8036E"/>
    <w:rsid w:val="00E8617A"/>
    <w:rsid w:val="00E9043A"/>
    <w:rsid w:val="00EA1709"/>
    <w:rsid w:val="00EA1DE5"/>
    <w:rsid w:val="00EF0E3B"/>
    <w:rsid w:val="00F003B9"/>
    <w:rsid w:val="00F01698"/>
    <w:rsid w:val="00F05AC4"/>
    <w:rsid w:val="00F2443E"/>
    <w:rsid w:val="00F51011"/>
    <w:rsid w:val="00F53CB4"/>
    <w:rsid w:val="00F65F4F"/>
    <w:rsid w:val="00F73466"/>
    <w:rsid w:val="00F76E31"/>
    <w:rsid w:val="00F90579"/>
    <w:rsid w:val="00F95E56"/>
    <w:rsid w:val="00FB0BBE"/>
    <w:rsid w:val="00FB0FD3"/>
    <w:rsid w:val="00FC5DD8"/>
    <w:rsid w:val="00FD1B9D"/>
    <w:rsid w:val="00FE3DBB"/>
    <w:rsid w:val="00FE5495"/>
    <w:rsid w:val="00FF34D0"/>
    <w:rsid w:val="00FF37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10CE6"/>
  <w15:chartTrackingRefBased/>
  <w15:docId w15:val="{77800767-5513-4649-9754-E2D3371A7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587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80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878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806"/>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878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7806"/>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87806"/>
    <w:pPr>
      <w:ind w:left="720"/>
      <w:contextualSpacing/>
    </w:pPr>
  </w:style>
  <w:style w:type="character" w:styleId="IntenseEmphasis">
    <w:name w:val="Intense Emphasis"/>
    <w:basedOn w:val="DefaultParagraphFont"/>
    <w:uiPriority w:val="21"/>
    <w:qFormat/>
    <w:rsid w:val="00587806"/>
    <w:rPr>
      <w:i/>
      <w:iCs/>
      <w:color w:val="2F5496" w:themeColor="accent1" w:themeShade="BF"/>
    </w:rPr>
  </w:style>
  <w:style w:type="paragraph" w:styleId="IntenseQuote">
    <w:name w:val="Intense Quote"/>
    <w:basedOn w:val="Normal"/>
    <w:next w:val="Normal"/>
    <w:link w:val="IntenseQuoteChar"/>
    <w:uiPriority w:val="30"/>
    <w:qFormat/>
    <w:rsid w:val="005878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7806"/>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87806"/>
    <w:rPr>
      <w:b/>
      <w:bCs/>
      <w:smallCaps/>
      <w:color w:val="2F5496" w:themeColor="accent1" w:themeShade="BF"/>
      <w:spacing w:val="5"/>
    </w:rPr>
  </w:style>
  <w:style w:type="paragraph" w:styleId="CommentText">
    <w:name w:val="annotation text"/>
    <w:basedOn w:val="Normal"/>
    <w:link w:val="CommentTextChar"/>
    <w:uiPriority w:val="99"/>
    <w:semiHidden/>
    <w:unhideWhenUsed/>
    <w:rsid w:val="00FF34D0"/>
    <w:pPr>
      <w:spacing w:line="240" w:lineRule="auto"/>
    </w:pPr>
    <w:rPr>
      <w:szCs w:val="20"/>
    </w:rPr>
  </w:style>
  <w:style w:type="character" w:customStyle="1" w:styleId="CommentTextChar">
    <w:name w:val="Comment Text Char"/>
    <w:basedOn w:val="DefaultParagraphFont"/>
    <w:link w:val="CommentText"/>
    <w:uiPriority w:val="99"/>
    <w:semiHidden/>
    <w:rsid w:val="00FF34D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F34D0"/>
    <w:rPr>
      <w:b/>
      <w:bCs/>
    </w:rPr>
  </w:style>
  <w:style w:type="character" w:customStyle="1" w:styleId="CommentSubjectChar">
    <w:name w:val="Comment Subject Char"/>
    <w:basedOn w:val="CommentTextChar"/>
    <w:link w:val="CommentSubject"/>
    <w:uiPriority w:val="99"/>
    <w:semiHidden/>
    <w:rsid w:val="00FF34D0"/>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A27A7D"/>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omments" Target="comments.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docs.un.org/fr/CEDAW/C/ALB/CO/5" TargetMode="External"/><Relationship Id="rId2" Type="http://schemas.openxmlformats.org/officeDocument/2006/relationships/customXml" Target="../customXml/item2.xml"/><Relationship Id="rId16" Type="http://schemas.openxmlformats.org/officeDocument/2006/relationships/hyperlink" Target="https://docs.un.org/fr/CEDAW/C/ALB/CO/5"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qbz.gov.al/eli/ligj/2026/01/28/11" TargetMode="External"/><Relationship Id="rId2" Type="http://schemas.openxmlformats.org/officeDocument/2006/relationships/hyperlink" Target="http://qbz.gov.al/eli/ligj/2025/11/06/64" TargetMode="External"/><Relationship Id="rId1" Type="http://schemas.openxmlformats.org/officeDocument/2006/relationships/hyperlink" Target="http://qbz.gov.al/eli/ligj/2025/11/06/64" TargetMode="External"/><Relationship Id="rId4" Type="http://schemas.openxmlformats.org/officeDocument/2006/relationships/hyperlink" Target="http://qbz.gov.al/eli/ligj/2026/01/28/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3861</Words>
  <Characters>22010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2</cp:revision>
  <dcterms:created xsi:type="dcterms:W3CDTF">2026-05-19T21:03:00Z</dcterms:created>
  <dcterms:modified xsi:type="dcterms:W3CDTF">2026-05-19T21:03:00Z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2606421F</vt:lpwstr>
  </property>
  <property fmtid="{D5CDD505-2E9C-101B-9397-08002B2CF9AE}" pid="3" name="ODSRefJobNo">
    <vt:lpwstr>2610635F</vt:lpwstr>
  </property>
  <property fmtid="{D5CDD505-2E9C-101B-9397-08002B2CF9AE}" pid="4" name="Symbol1">
    <vt:lpwstr>CEDAW/C/ALB/FCO/5</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Renseignements reçus de l’Albanie au sujet de la suite donnée aux observations finales concernant son cinquième rapport périodique</vt:lpwstr>
  </property>
</Properties>
</file>