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FC6A4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7572D9" w:rsidP="007572D9">
            <w:pPr>
              <w:jc w:val="right"/>
            </w:pPr>
            <w:r w:rsidRPr="007572D9">
              <w:rPr>
                <w:sz w:val="40"/>
              </w:rPr>
              <w:t>CCPR</w:t>
            </w:r>
            <w:r>
              <w:t>/C/SR.2946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572D9" w:rsidRDefault="00DB721C" w:rsidP="00464EEE">
            <w:pPr>
              <w:spacing w:before="240"/>
            </w:pPr>
            <w:r>
              <w:t>Distr. générale</w:t>
            </w:r>
          </w:p>
          <w:p w:rsidR="008F36C8" w:rsidRDefault="00FD1467" w:rsidP="007572D9">
            <w:pPr>
              <w:spacing w:line="240" w:lineRule="exact"/>
            </w:pPr>
            <w:r>
              <w:t>05</w:t>
            </w:r>
            <w:r w:rsidR="007572D9">
              <w:t xml:space="preserve"> novembre 2012</w:t>
            </w:r>
          </w:p>
          <w:p w:rsidR="00A56342" w:rsidRDefault="00A56342" w:rsidP="007572D9">
            <w:pPr>
              <w:spacing w:line="240" w:lineRule="exact"/>
            </w:pPr>
          </w:p>
          <w:p w:rsidR="00AF1CE8" w:rsidRPr="00DB58B5" w:rsidRDefault="007572D9" w:rsidP="007572D9">
            <w:pPr>
              <w:spacing w:line="240" w:lineRule="exact"/>
            </w:pPr>
            <w:r>
              <w:t>Original: français</w:t>
            </w:r>
          </w:p>
        </w:tc>
      </w:tr>
    </w:tbl>
    <w:p w:rsidR="00FC6A49" w:rsidRPr="00FC6A49" w:rsidRDefault="00FC6A49" w:rsidP="00FC6A49">
      <w:pPr>
        <w:spacing w:before="120"/>
        <w:rPr>
          <w:b/>
          <w:sz w:val="24"/>
          <w:szCs w:val="24"/>
        </w:rPr>
      </w:pPr>
      <w:r w:rsidRPr="00FC6A49">
        <w:rPr>
          <w:b/>
          <w:sz w:val="24"/>
          <w:szCs w:val="24"/>
        </w:rPr>
        <w:t>Comité des droits de l</w:t>
      </w:r>
      <w:r w:rsidR="008F36C8">
        <w:rPr>
          <w:b/>
          <w:sz w:val="24"/>
          <w:szCs w:val="24"/>
        </w:rPr>
        <w:t>’</w:t>
      </w:r>
      <w:r w:rsidRPr="00FC6A49">
        <w:rPr>
          <w:b/>
          <w:sz w:val="24"/>
          <w:szCs w:val="24"/>
        </w:rPr>
        <w:t>homme</w:t>
      </w:r>
    </w:p>
    <w:p w:rsidR="00FC6A49" w:rsidRPr="00FC6A49" w:rsidRDefault="008A53D4" w:rsidP="00FC6A49">
      <w:pPr>
        <w:spacing w:after="120"/>
        <w:rPr>
          <w:b/>
        </w:rPr>
      </w:pPr>
      <w:r>
        <w:rPr>
          <w:b/>
        </w:rPr>
        <w:t>10</w:t>
      </w:r>
      <w:r w:rsidR="00397858">
        <w:rPr>
          <w:b/>
        </w:rPr>
        <w:t>6</w:t>
      </w:r>
      <w:r w:rsidRPr="008A53D4">
        <w:rPr>
          <w:b/>
          <w:vertAlign w:val="superscript"/>
        </w:rPr>
        <w:t>e</w:t>
      </w:r>
      <w:r w:rsidR="00D40914">
        <w:rPr>
          <w:b/>
        </w:rPr>
        <w:t xml:space="preserve"> session</w:t>
      </w:r>
    </w:p>
    <w:p w:rsidR="00FC6A49" w:rsidRPr="00FC6A49" w:rsidRDefault="00FC6A49" w:rsidP="00FC6A49">
      <w:pPr>
        <w:rPr>
          <w:b/>
        </w:rPr>
      </w:pPr>
      <w:r w:rsidRPr="00FC6A49">
        <w:rPr>
          <w:b/>
        </w:rPr>
        <w:t xml:space="preserve">Compte rendu analytique de la </w:t>
      </w:r>
      <w:r w:rsidR="00EA5BC1">
        <w:rPr>
          <w:b/>
        </w:rPr>
        <w:t xml:space="preserve">deuxième </w:t>
      </w:r>
      <w:r w:rsidR="00926413">
        <w:rPr>
          <w:b/>
        </w:rPr>
        <w:t>partie (</w:t>
      </w:r>
      <w:r w:rsidR="00D935B7">
        <w:rPr>
          <w:b/>
        </w:rPr>
        <w:t>publique</w:t>
      </w:r>
      <w:r w:rsidR="00926413">
        <w:rPr>
          <w:b/>
        </w:rPr>
        <w:t>)</w:t>
      </w:r>
      <w:r w:rsidR="007451D0" w:rsidRPr="007451D0">
        <w:rPr>
          <w:rStyle w:val="FootnoteReference"/>
          <w:sz w:val="20"/>
          <w:vertAlign w:val="baseline"/>
        </w:rPr>
        <w:footnoteReference w:customMarkFollows="1" w:id="2"/>
        <w:t>*</w:t>
      </w:r>
      <w:r w:rsidR="00926413">
        <w:rPr>
          <w:b/>
        </w:rPr>
        <w:t xml:space="preserve"> de la </w:t>
      </w:r>
      <w:r w:rsidR="007572D9">
        <w:rPr>
          <w:b/>
        </w:rPr>
        <w:t>2946</w:t>
      </w:r>
      <w:r w:rsidRPr="00FC6A49">
        <w:rPr>
          <w:b/>
          <w:vertAlign w:val="superscript"/>
        </w:rPr>
        <w:t>e</w:t>
      </w:r>
      <w:r w:rsidRPr="00FC6A49">
        <w:rPr>
          <w:b/>
        </w:rPr>
        <w:t xml:space="preserve"> séance</w:t>
      </w:r>
    </w:p>
    <w:p w:rsidR="00FC6A49" w:rsidRDefault="00FC6A49" w:rsidP="00FC6A49">
      <w:pPr>
        <w:spacing w:after="120"/>
      </w:pPr>
      <w:r>
        <w:t xml:space="preserve">Tenue au Palais Wilson, à Genève, le </w:t>
      </w:r>
      <w:r w:rsidR="007572D9">
        <w:t xml:space="preserve">mercredi 31 octobre </w:t>
      </w:r>
      <w:r>
        <w:t>20</w:t>
      </w:r>
      <w:r w:rsidR="00EA265D">
        <w:t>1</w:t>
      </w:r>
      <w:r w:rsidR="00DA0780">
        <w:t>2</w:t>
      </w:r>
      <w:r>
        <w:t>,</w:t>
      </w:r>
      <w:r w:rsidR="007572D9">
        <w:t xml:space="preserve"> à 15 heures</w:t>
      </w:r>
    </w:p>
    <w:p w:rsidR="00FC6A49" w:rsidRDefault="00C53832" w:rsidP="00301AE7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</w:r>
      <w:r w:rsidR="00FC6A49" w:rsidRPr="004F0396">
        <w:rPr>
          <w:i/>
        </w:rPr>
        <w:t>Président</w:t>
      </w:r>
      <w:r w:rsidR="001420FF">
        <w:rPr>
          <w:i/>
        </w:rPr>
        <w:t>e</w:t>
      </w:r>
      <w:r w:rsidR="00FC6A49">
        <w:t>:</w:t>
      </w:r>
      <w:r w:rsidR="004F0396">
        <w:tab/>
      </w:r>
      <w:r w:rsidR="007572D9">
        <w:t>M</w:t>
      </w:r>
      <w:r w:rsidR="007572D9" w:rsidRPr="00D91DA2">
        <w:rPr>
          <w:vertAlign w:val="superscript"/>
        </w:rPr>
        <w:t>me</w:t>
      </w:r>
      <w:r w:rsidR="007572D9">
        <w:t> </w:t>
      </w:r>
      <w:proofErr w:type="spellStart"/>
      <w:r w:rsidR="007572D9">
        <w:t>Majodina</w:t>
      </w:r>
      <w:proofErr w:type="spellEnd"/>
    </w:p>
    <w:p w:rsidR="00FF1DBD" w:rsidRDefault="00FC6A49" w:rsidP="004F0396">
      <w:pPr>
        <w:spacing w:before="360" w:after="240"/>
        <w:rPr>
          <w:sz w:val="28"/>
          <w:szCs w:val="28"/>
        </w:rPr>
      </w:pPr>
      <w:r w:rsidRPr="004F0396">
        <w:rPr>
          <w:sz w:val="28"/>
          <w:szCs w:val="28"/>
        </w:rPr>
        <w:t>S</w:t>
      </w:r>
      <w:r w:rsidR="004F0396" w:rsidRPr="004F0396">
        <w:rPr>
          <w:sz w:val="28"/>
          <w:szCs w:val="28"/>
        </w:rPr>
        <w:t>ommaire</w:t>
      </w:r>
    </w:p>
    <w:p w:rsidR="007451D0" w:rsidRDefault="007572D9" w:rsidP="007572D9">
      <w:pPr>
        <w:pStyle w:val="SingleTxtG"/>
      </w:pPr>
      <w:r>
        <w:t>Suivi des constatations adoptées au ti</w:t>
      </w:r>
      <w:r w:rsidR="009505A3">
        <w:t>t</w:t>
      </w:r>
      <w:r>
        <w:t>re du Protocole facultatif</w:t>
      </w:r>
    </w:p>
    <w:p w:rsidR="007451D0" w:rsidRDefault="007451D0" w:rsidP="007451D0">
      <w:pPr>
        <w:pStyle w:val="SingleTxtG"/>
        <w:rPr>
          <w:i/>
        </w:rPr>
      </w:pPr>
      <w:r>
        <w:br w:type="page"/>
      </w:r>
      <w:r w:rsidRPr="00C27EBA">
        <w:rPr>
          <w:i/>
        </w:rPr>
        <w:t xml:space="preserve">La </w:t>
      </w:r>
      <w:r>
        <w:rPr>
          <w:i/>
        </w:rPr>
        <w:t xml:space="preserve">deuxième partie (publique) de la </w:t>
      </w:r>
      <w:r w:rsidRPr="00C27EBA">
        <w:rPr>
          <w:i/>
        </w:rPr>
        <w:t xml:space="preserve">séance est ouverte </w:t>
      </w:r>
      <w:r>
        <w:rPr>
          <w:i/>
        </w:rPr>
        <w:t>à 17 h 35.</w:t>
      </w:r>
    </w:p>
    <w:p w:rsidR="007451D0" w:rsidRPr="007102F0" w:rsidRDefault="007451D0" w:rsidP="007451D0">
      <w:pPr>
        <w:pStyle w:val="H23G"/>
      </w:pPr>
      <w:r>
        <w:tab/>
      </w:r>
      <w:r>
        <w:tab/>
        <w:t>Suivi des constatations adoptées au titre du Protocole facultatif</w:t>
      </w:r>
    </w:p>
    <w:p w:rsidR="007451D0" w:rsidRDefault="007451D0" w:rsidP="007451D0">
      <w:pPr>
        <w:pStyle w:val="SingleTxtG"/>
      </w:pPr>
      <w:r>
        <w:t>1.</w:t>
      </w:r>
      <w:r>
        <w:rPr>
          <w:i/>
        </w:rPr>
        <w:tab/>
      </w:r>
      <w:r w:rsidRPr="007451D0">
        <w:rPr>
          <w:b/>
        </w:rPr>
        <w:t>La </w:t>
      </w:r>
      <w:r w:rsidRPr="00C27EBA">
        <w:rPr>
          <w:b/>
        </w:rPr>
        <w:t>Présidente</w:t>
      </w:r>
      <w:r>
        <w:rPr>
          <w:b/>
          <w:i/>
        </w:rPr>
        <w:t xml:space="preserve"> </w:t>
      </w:r>
      <w:r w:rsidRPr="00C27EBA">
        <w:t>invite</w:t>
      </w:r>
      <w:r>
        <w:rPr>
          <w:i/>
        </w:rPr>
        <w:t xml:space="preserve"> </w:t>
      </w:r>
      <w:r>
        <w:t>M. Thelin, Rapporteur spécial chargé du suivi des constatations, à présenter son rapport intérimaire.</w:t>
      </w:r>
    </w:p>
    <w:p w:rsidR="007451D0" w:rsidRDefault="007451D0" w:rsidP="007451D0">
      <w:pPr>
        <w:pStyle w:val="SingleTxtG"/>
      </w:pPr>
      <w:r>
        <w:t>2.</w:t>
      </w:r>
      <w:r>
        <w:tab/>
      </w:r>
      <w:r>
        <w:rPr>
          <w:b/>
        </w:rPr>
        <w:t>M. </w:t>
      </w:r>
      <w:r w:rsidRPr="0092648A">
        <w:rPr>
          <w:b/>
        </w:rPr>
        <w:t>Thelin</w:t>
      </w:r>
      <w:r>
        <w:t xml:space="preserve"> (Rapporteur spécial chargé du suivi des constatations) dit qu</w:t>
      </w:r>
      <w:r w:rsidR="008F36C8">
        <w:t>’</w:t>
      </w:r>
      <w:r>
        <w:t>en raison de contraintes budgétaires, il n</w:t>
      </w:r>
      <w:r w:rsidR="008F36C8">
        <w:t>’</w:t>
      </w:r>
      <w:r>
        <w:t>a pas été en mesure d</w:t>
      </w:r>
      <w:r w:rsidR="008F36C8">
        <w:t>’</w:t>
      </w:r>
      <w:r>
        <w:t>établir un rapport écrit sur les principaux faits survenus depuis la précédente session, de sorte qu</w:t>
      </w:r>
      <w:r w:rsidR="008F36C8">
        <w:t>’</w:t>
      </w:r>
      <w:r>
        <w:t>il les présentera oralement dans leurs grandes lignes.</w:t>
      </w:r>
    </w:p>
    <w:p w:rsidR="007451D0" w:rsidRDefault="007451D0" w:rsidP="007451D0">
      <w:pPr>
        <w:pStyle w:val="SingleTxtG"/>
      </w:pPr>
      <w:r>
        <w:t>3.</w:t>
      </w:r>
      <w:r>
        <w:tab/>
        <w:t>Concernant l</w:t>
      </w:r>
      <w:r w:rsidR="008F36C8">
        <w:t>’</w:t>
      </w:r>
      <w:r>
        <w:t xml:space="preserve">affaire </w:t>
      </w:r>
      <w:r>
        <w:rPr>
          <w:i/>
        </w:rPr>
        <w:t xml:space="preserve">L. N. P. </w:t>
      </w:r>
      <w:r w:rsidRPr="007451D0">
        <w:t>c.</w:t>
      </w:r>
      <w:r>
        <w:rPr>
          <w:i/>
        </w:rPr>
        <w:t xml:space="preserve"> Argentine </w:t>
      </w:r>
      <w:r w:rsidRPr="002A7D00">
        <w:t>(</w:t>
      </w:r>
      <w:r>
        <w:t>c</w:t>
      </w:r>
      <w:r w:rsidRPr="002A7D00">
        <w:t xml:space="preserve">ommunication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Pr="002A7D00">
        <w:t>1610/200</w:t>
      </w:r>
      <w:r>
        <w:t>7), dans laquelle le Comité</w:t>
      </w:r>
      <w:r w:rsidRPr="00AE1C05">
        <w:t xml:space="preserve"> </w:t>
      </w:r>
      <w:r>
        <w:t>a c</w:t>
      </w:r>
      <w:r w:rsidRPr="00A92A10">
        <w:t>onstat</w:t>
      </w:r>
      <w:r>
        <w:t>é</w:t>
      </w:r>
      <w:r w:rsidRPr="00A92A10">
        <w:t xml:space="preserve"> </w:t>
      </w:r>
      <w:r>
        <w:t xml:space="preserve">une </w:t>
      </w:r>
      <w:r w:rsidRPr="00A92A10">
        <w:t xml:space="preserve">violation des articles 7 et </w:t>
      </w:r>
      <w:r>
        <w:t>14 du Pacte et demandé l</w:t>
      </w:r>
      <w:r w:rsidR="008F36C8">
        <w:t>’</w:t>
      </w:r>
      <w:r>
        <w:t>exécution complète des mesures de réparation convenues à l</w:t>
      </w:r>
      <w:r w:rsidR="008F36C8">
        <w:t>’</w:t>
      </w:r>
      <w:r>
        <w:t>amiable entre l</w:t>
      </w:r>
      <w:r w:rsidR="008F36C8">
        <w:t>’</w:t>
      </w:r>
      <w:r>
        <w:t>auteur et l</w:t>
      </w:r>
      <w:r w:rsidR="008F36C8">
        <w:t>’</w:t>
      </w:r>
      <w:r>
        <w:t>État partie, le secrétariat a reçu des renseignements indiquant que les victimes s</w:t>
      </w:r>
      <w:r w:rsidR="008F36C8">
        <w:t>’</w:t>
      </w:r>
      <w:r>
        <w:t>étaient vu allouer une indemnité forfaitaire de 53 000 dollars des États-Unis et une pension mensuelle à vie.</w:t>
      </w:r>
    </w:p>
    <w:p w:rsidR="007451D0" w:rsidRDefault="007451D0" w:rsidP="008F36C8">
      <w:pPr>
        <w:pStyle w:val="SingleTxtG"/>
        <w:rPr>
          <w:rFonts w:eastAsia="SimSun"/>
          <w:iCs/>
          <w:lang w:eastAsia="zh-CN"/>
        </w:rPr>
      </w:pPr>
      <w:r>
        <w:t>4.</w:t>
      </w:r>
      <w:r>
        <w:tab/>
        <w:t xml:space="preserve">Pour ce qui est de la communication </w:t>
      </w:r>
      <w:r w:rsidRPr="00C14D2A">
        <w:t>n</w:t>
      </w:r>
      <w:r w:rsidRPr="00C14D2A">
        <w:rPr>
          <w:vertAlign w:val="superscript"/>
        </w:rPr>
        <w:t>o</w:t>
      </w:r>
      <w:r>
        <w:t xml:space="preserve"> 1611/2007, </w:t>
      </w:r>
      <w:r w:rsidRPr="00142242">
        <w:rPr>
          <w:rFonts w:eastAsia="SimSun"/>
          <w:i/>
          <w:iCs/>
          <w:lang w:eastAsia="zh-CN"/>
        </w:rPr>
        <w:t xml:space="preserve">Bonilla Lerma </w:t>
      </w:r>
      <w:r>
        <w:rPr>
          <w:rFonts w:eastAsia="SimSun"/>
          <w:iCs/>
          <w:lang w:eastAsia="zh-CN"/>
        </w:rPr>
        <w:t>c.</w:t>
      </w:r>
      <w:r w:rsidRPr="00142242">
        <w:rPr>
          <w:rFonts w:eastAsia="SimSun"/>
          <w:i/>
          <w:iCs/>
          <w:lang w:eastAsia="zh-CN"/>
        </w:rPr>
        <w:t xml:space="preserve"> Colombi</w:t>
      </w:r>
      <w:r>
        <w:rPr>
          <w:rFonts w:eastAsia="SimSun"/>
          <w:i/>
          <w:iCs/>
          <w:lang w:eastAsia="zh-CN"/>
        </w:rPr>
        <w:t>e</w:t>
      </w:r>
      <w:r w:rsidRPr="007451D0">
        <w:rPr>
          <w:rFonts w:eastAsia="SimSun"/>
          <w:iCs/>
          <w:lang w:eastAsia="zh-CN"/>
        </w:rPr>
        <w:t>,</w:t>
      </w:r>
      <w:r>
        <w:t xml:space="preserve"> dans laquelle le Comité a cons</w:t>
      </w:r>
      <w:r w:rsidR="00A62BD8">
        <w:t>taté une violation de l</w:t>
      </w:r>
      <w:r w:rsidR="008F36C8">
        <w:t>’</w:t>
      </w:r>
      <w:r w:rsidR="00A62BD8">
        <w:t>article </w:t>
      </w:r>
      <w:r>
        <w:t>14, l</w:t>
      </w:r>
      <w:r w:rsidR="008F36C8">
        <w:t>’</w:t>
      </w:r>
      <w:r>
        <w:t>État partie a fait savoir qu</w:t>
      </w:r>
      <w:r w:rsidR="008F36C8">
        <w:t>’</w:t>
      </w:r>
      <w:r>
        <w:t xml:space="preserve">une loi </w:t>
      </w:r>
      <w:r>
        <w:rPr>
          <w:rFonts w:eastAsia="SimSun"/>
          <w:iCs/>
          <w:lang w:eastAsia="zh-CN"/>
        </w:rPr>
        <w:t xml:space="preserve">reconnaissant la force obligatoire des décisions </w:t>
      </w:r>
      <w:r w:rsidR="00A62BD8">
        <w:rPr>
          <w:rFonts w:eastAsia="SimSun"/>
          <w:iCs/>
          <w:lang w:eastAsia="zh-CN"/>
        </w:rPr>
        <w:t>d</w:t>
      </w:r>
      <w:r w:rsidR="008F36C8">
        <w:rPr>
          <w:rFonts w:eastAsia="SimSun"/>
          <w:iCs/>
          <w:lang w:eastAsia="zh-CN"/>
        </w:rPr>
        <w:t>’</w:t>
      </w:r>
      <w:r w:rsidR="00A62BD8">
        <w:rPr>
          <w:rFonts w:eastAsia="SimSun"/>
          <w:iCs/>
          <w:lang w:eastAsia="zh-CN"/>
        </w:rPr>
        <w:t xml:space="preserve">instances </w:t>
      </w:r>
      <w:r>
        <w:rPr>
          <w:rFonts w:eastAsia="SimSun"/>
          <w:iCs/>
          <w:lang w:eastAsia="zh-CN"/>
        </w:rPr>
        <w:t>internationales, dont le Comité des droits de l</w:t>
      </w:r>
      <w:r w:rsidR="008F36C8">
        <w:rPr>
          <w:rFonts w:eastAsia="SimSun"/>
          <w:iCs/>
          <w:lang w:eastAsia="zh-CN"/>
        </w:rPr>
        <w:t>’</w:t>
      </w:r>
      <w:r>
        <w:rPr>
          <w:rFonts w:eastAsia="SimSun"/>
          <w:iCs/>
          <w:lang w:eastAsia="zh-CN"/>
        </w:rPr>
        <w:t>homme, avait été adoptée et que cette mesure aurait également une incidence sur 14 autres af</w:t>
      </w:r>
      <w:r w:rsidR="00A62BD8">
        <w:rPr>
          <w:rFonts w:eastAsia="SimSun"/>
          <w:iCs/>
          <w:lang w:eastAsia="zh-CN"/>
        </w:rPr>
        <w:t>faires examinées par le Comité.</w:t>
      </w:r>
    </w:p>
    <w:p w:rsidR="007451D0" w:rsidRDefault="00A62BD8" w:rsidP="007451D0">
      <w:pPr>
        <w:pStyle w:val="SingleTxtG"/>
        <w:rPr>
          <w:iCs/>
        </w:rPr>
      </w:pPr>
      <w:r>
        <w:rPr>
          <w:rFonts w:eastAsia="SimSun"/>
          <w:iCs/>
          <w:lang w:eastAsia="zh-CN"/>
        </w:rPr>
        <w:t>5.</w:t>
      </w:r>
      <w:r w:rsidR="007451D0">
        <w:rPr>
          <w:rFonts w:eastAsia="SimSun"/>
          <w:iCs/>
          <w:lang w:eastAsia="zh-CN"/>
        </w:rPr>
        <w:tab/>
        <w:t>Le Rapporteur spécial s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est également entretenu avec des représentants de l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Ukraine au sujet de l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 xml:space="preserve">affaire </w:t>
      </w:r>
      <w:proofErr w:type="spellStart"/>
      <w:r w:rsidR="007451D0" w:rsidRPr="008F1C85">
        <w:rPr>
          <w:rFonts w:eastAsia="SimSun"/>
          <w:i/>
          <w:iCs/>
          <w:lang w:eastAsia="zh-CN"/>
        </w:rPr>
        <w:t>Aliev</w:t>
      </w:r>
      <w:proofErr w:type="spellEnd"/>
      <w:r w:rsidR="007451D0" w:rsidRPr="008F1C85">
        <w:rPr>
          <w:rFonts w:eastAsia="SimSun"/>
          <w:i/>
          <w:iCs/>
          <w:lang w:eastAsia="zh-CN"/>
        </w:rPr>
        <w:t xml:space="preserve"> </w:t>
      </w:r>
      <w:r w:rsidR="007451D0">
        <w:rPr>
          <w:rFonts w:eastAsia="SimSun"/>
          <w:iCs/>
          <w:lang w:eastAsia="zh-CN"/>
        </w:rPr>
        <w:t>(</w:t>
      </w:r>
      <w:r w:rsidR="007451D0" w:rsidRPr="009B793C">
        <w:rPr>
          <w:rFonts w:eastAsia="SimSun"/>
          <w:iCs/>
          <w:lang w:eastAsia="zh-CN"/>
        </w:rPr>
        <w:t xml:space="preserve">communication </w:t>
      </w:r>
      <w:r w:rsidRPr="00A62BD8">
        <w:rPr>
          <w:rFonts w:eastAsia="SimSun"/>
          <w:iCs/>
          <w:lang w:eastAsia="zh-CN"/>
        </w:rPr>
        <w:t>n</w:t>
      </w:r>
      <w:r w:rsidRPr="00A62BD8">
        <w:rPr>
          <w:rFonts w:eastAsia="SimSun"/>
          <w:iCs/>
          <w:vertAlign w:val="superscript"/>
          <w:lang w:eastAsia="zh-CN"/>
        </w:rPr>
        <w:t>o</w:t>
      </w:r>
      <w:r>
        <w:rPr>
          <w:rFonts w:eastAsia="SimSun"/>
          <w:iCs/>
          <w:lang w:eastAsia="zh-CN"/>
        </w:rPr>
        <w:t> </w:t>
      </w:r>
      <w:r w:rsidR="007451D0" w:rsidRPr="009B793C">
        <w:rPr>
          <w:rFonts w:eastAsia="SimSun"/>
          <w:iCs/>
          <w:lang w:eastAsia="zh-CN"/>
        </w:rPr>
        <w:t>781/1997</w:t>
      </w:r>
      <w:r w:rsidR="007451D0">
        <w:rPr>
          <w:rFonts w:eastAsia="SimSun"/>
          <w:iCs/>
          <w:lang w:eastAsia="zh-CN"/>
        </w:rPr>
        <w:t>),</w:t>
      </w:r>
      <w:r w:rsidR="007451D0" w:rsidRPr="009B793C">
        <w:rPr>
          <w:rFonts w:eastAsia="SimSun"/>
          <w:iCs/>
          <w:lang w:eastAsia="zh-CN"/>
        </w:rPr>
        <w:t xml:space="preserve"> </w:t>
      </w:r>
      <w:r w:rsidR="007451D0">
        <w:rPr>
          <w:rFonts w:eastAsia="SimSun"/>
          <w:iCs/>
          <w:lang w:eastAsia="zh-CN"/>
        </w:rPr>
        <w:t>relat</w:t>
      </w:r>
      <w:r>
        <w:rPr>
          <w:rFonts w:eastAsia="SimSun"/>
          <w:iCs/>
          <w:lang w:eastAsia="zh-CN"/>
        </w:rPr>
        <w:t>ive à une violation des articles </w:t>
      </w:r>
      <w:r w:rsidR="007451D0">
        <w:rPr>
          <w:rFonts w:eastAsia="SimSun"/>
          <w:iCs/>
          <w:lang w:eastAsia="zh-CN"/>
        </w:rPr>
        <w:t>7 et 14 du Pacte, dans laquelle le Comité avait demandé la libération anticipée de l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auteur. Même si l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État partie n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a pas changé de position, les représentants ont prêté une oreille attentive aux arguments du Rapporteur spécial; il importe donc de poursuivre le dialogue. C</w:t>
      </w:r>
      <w:r w:rsidR="007451D0" w:rsidRPr="009E2B60">
        <w:rPr>
          <w:iCs/>
        </w:rPr>
        <w:t xml:space="preserve">oncernant </w:t>
      </w:r>
      <w:r w:rsidR="007451D0">
        <w:rPr>
          <w:rFonts w:eastAsia="SimSun"/>
          <w:iCs/>
          <w:lang w:eastAsia="zh-CN"/>
        </w:rPr>
        <w:t xml:space="preserve">les affaires </w:t>
      </w:r>
      <w:r w:rsidR="007451D0" w:rsidRPr="00A16DAC">
        <w:rPr>
          <w:rFonts w:eastAsia="SimSun"/>
          <w:i/>
          <w:iCs/>
          <w:lang w:eastAsia="zh-CN"/>
        </w:rPr>
        <w:t xml:space="preserve">Butovenko </w:t>
      </w:r>
      <w:r w:rsidR="007451D0">
        <w:rPr>
          <w:rFonts w:eastAsia="SimSun"/>
          <w:iCs/>
          <w:lang w:eastAsia="zh-CN"/>
        </w:rPr>
        <w:t>(c</w:t>
      </w:r>
      <w:r w:rsidR="007451D0" w:rsidRPr="00A16DAC">
        <w:rPr>
          <w:rFonts w:eastAsia="SimSun"/>
          <w:lang w:eastAsia="zh-CN"/>
        </w:rPr>
        <w:t xml:space="preserve">ommunication </w:t>
      </w:r>
      <w:r w:rsidRPr="00A62BD8">
        <w:rPr>
          <w:rFonts w:eastAsia="MS Mincho"/>
        </w:rPr>
        <w:t>n</w:t>
      </w:r>
      <w:r w:rsidRPr="00A62BD8">
        <w:rPr>
          <w:rFonts w:eastAsia="MS Mincho"/>
          <w:vertAlign w:val="superscript"/>
        </w:rPr>
        <w:t>o</w:t>
      </w:r>
      <w:r>
        <w:rPr>
          <w:rFonts w:eastAsia="MS Mincho"/>
        </w:rPr>
        <w:t> </w:t>
      </w:r>
      <w:r w:rsidR="007451D0" w:rsidRPr="00A16DAC">
        <w:rPr>
          <w:rFonts w:eastAsia="SimSun"/>
          <w:lang w:eastAsia="zh-CN"/>
        </w:rPr>
        <w:t>1412/</w:t>
      </w:r>
      <w:r w:rsidR="007451D0" w:rsidRPr="00A16DAC">
        <w:rPr>
          <w:rFonts w:eastAsia="SimSun"/>
          <w:color w:val="000000"/>
          <w:lang w:eastAsia="zh-CN"/>
        </w:rPr>
        <w:t>2005</w:t>
      </w:r>
      <w:r w:rsidR="007451D0">
        <w:rPr>
          <w:rFonts w:eastAsia="SimSun"/>
          <w:color w:val="000000"/>
          <w:lang w:eastAsia="zh-CN"/>
        </w:rPr>
        <w:t xml:space="preserve">) et </w:t>
      </w:r>
      <w:r w:rsidR="007451D0" w:rsidRPr="00A16DAC">
        <w:rPr>
          <w:i/>
          <w:iCs/>
        </w:rPr>
        <w:t xml:space="preserve">Shchetka </w:t>
      </w:r>
      <w:r w:rsidR="007451D0">
        <w:rPr>
          <w:rFonts w:eastAsia="SimSun"/>
          <w:color w:val="000000"/>
          <w:lang w:eastAsia="zh-CN"/>
        </w:rPr>
        <w:t>(c</w:t>
      </w:r>
      <w:r w:rsidR="007451D0" w:rsidRPr="00A16DAC">
        <w:rPr>
          <w:rFonts w:eastAsia="SimSun"/>
          <w:color w:val="000000"/>
          <w:lang w:eastAsia="zh-CN"/>
        </w:rPr>
        <w:t>ommunication</w:t>
      </w:r>
      <w:r w:rsidR="007451D0" w:rsidRPr="00A16DAC">
        <w:rPr>
          <w:rFonts w:eastAsia="SimSun"/>
          <w:lang w:eastAsia="zh-CN"/>
        </w:rPr>
        <w:t xml:space="preserve"> </w:t>
      </w:r>
      <w:r w:rsidRPr="00A62BD8">
        <w:rPr>
          <w:rFonts w:eastAsia="SimSun"/>
          <w:lang w:eastAsia="zh-CN"/>
        </w:rPr>
        <w:t>n</w:t>
      </w:r>
      <w:r w:rsidRPr="00A62BD8">
        <w:rPr>
          <w:rFonts w:eastAsia="SimSun"/>
          <w:vertAlign w:val="superscript"/>
          <w:lang w:eastAsia="zh-CN"/>
        </w:rPr>
        <w:t>o</w:t>
      </w:r>
      <w:r>
        <w:rPr>
          <w:rFonts w:eastAsia="SimSun"/>
          <w:lang w:eastAsia="zh-CN"/>
        </w:rPr>
        <w:t> </w:t>
      </w:r>
      <w:r w:rsidR="007451D0" w:rsidRPr="00A16DAC">
        <w:t>1535/2006</w:t>
      </w:r>
      <w:r w:rsidR="007451D0">
        <w:t>), également relatives à des violations des articl</w:t>
      </w:r>
      <w:r>
        <w:t>es </w:t>
      </w:r>
      <w:r w:rsidR="007451D0">
        <w:t>7 et 14 du Pacte, l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>Ukraine n</w:t>
      </w:r>
      <w:r w:rsidR="008F36C8">
        <w:rPr>
          <w:rFonts w:eastAsia="SimSun"/>
          <w:iCs/>
          <w:lang w:eastAsia="zh-CN"/>
        </w:rPr>
        <w:t>’</w:t>
      </w:r>
      <w:r w:rsidR="007451D0">
        <w:rPr>
          <w:rFonts w:eastAsia="SimSun"/>
          <w:iCs/>
          <w:lang w:eastAsia="zh-CN"/>
        </w:rPr>
        <w:t xml:space="preserve">a soumis à ce jour aucune réponse </w:t>
      </w:r>
      <w:r w:rsidR="007451D0">
        <w:rPr>
          <w:iCs/>
        </w:rPr>
        <w:t>écrite. Les auteurs ont fait savoir qu</w:t>
      </w:r>
      <w:r w:rsidR="008F36C8">
        <w:rPr>
          <w:iCs/>
        </w:rPr>
        <w:t>’</w:t>
      </w:r>
      <w:r w:rsidR="007451D0">
        <w:rPr>
          <w:iCs/>
        </w:rPr>
        <w:t xml:space="preserve">ils avaient saisi la Cour suprême ukrainienne du </w:t>
      </w:r>
      <w:r w:rsidR="007451D0" w:rsidRPr="001771CA">
        <w:t>réexamen de l</w:t>
      </w:r>
      <w:r w:rsidR="007451D0">
        <w:t>eur</w:t>
      </w:r>
      <w:r w:rsidR="007451D0" w:rsidRPr="001771CA">
        <w:t xml:space="preserve"> condamnation</w:t>
      </w:r>
      <w:r w:rsidR="007451D0">
        <w:t xml:space="preserve"> et que celle-ci, s</w:t>
      </w:r>
      <w:r w:rsidR="008F36C8">
        <w:t>’</w:t>
      </w:r>
      <w:r w:rsidR="007451D0">
        <w:t>appuy</w:t>
      </w:r>
      <w:r>
        <w:t>ant exclusivement sur l</w:t>
      </w:r>
      <w:r w:rsidR="008F36C8">
        <w:t>’</w:t>
      </w:r>
      <w:r>
        <w:t>article </w:t>
      </w:r>
      <w:r w:rsidR="007451D0">
        <w:t>400-12 du Code de procédure pénale, avait estimé que les décisions du Comité des droits de l</w:t>
      </w:r>
      <w:r w:rsidR="008F36C8">
        <w:t>’</w:t>
      </w:r>
      <w:r w:rsidR="007451D0">
        <w:t>homme n</w:t>
      </w:r>
      <w:r w:rsidR="008F36C8">
        <w:t>’</w:t>
      </w:r>
      <w:r w:rsidR="007451D0">
        <w:t>avaient pas force obligatoire. Les discussions tenues avec les représentants ukrainiens sur la nécessité de modifier la disposition concernée se sont toutefois révélées encourageantes</w:t>
      </w:r>
      <w:r>
        <w:rPr>
          <w:iCs/>
        </w:rPr>
        <w:t>.</w:t>
      </w:r>
    </w:p>
    <w:p w:rsidR="007451D0" w:rsidRDefault="00A62BD8" w:rsidP="007451D0">
      <w:pPr>
        <w:pStyle w:val="SingleTxtG"/>
      </w:pPr>
      <w:r>
        <w:t>6.</w:t>
      </w:r>
      <w:r w:rsidR="007451D0">
        <w:tab/>
        <w:t xml:space="preserve">À propos des affaires </w:t>
      </w:r>
      <w:r w:rsidR="007451D0" w:rsidRPr="00CF6690">
        <w:rPr>
          <w:i/>
        </w:rPr>
        <w:t>Fardon</w:t>
      </w:r>
      <w:r w:rsidR="007451D0">
        <w:t xml:space="preserve"> (communication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7451D0">
        <w:t xml:space="preserve">1629/2007) et </w:t>
      </w:r>
      <w:r w:rsidR="007451D0" w:rsidRPr="00C9296A">
        <w:rPr>
          <w:i/>
        </w:rPr>
        <w:t>Tillman</w:t>
      </w:r>
      <w:r w:rsidR="007451D0">
        <w:rPr>
          <w:i/>
        </w:rPr>
        <w:t xml:space="preserve"> </w:t>
      </w:r>
      <w:r w:rsidR="007451D0" w:rsidRPr="00CF6690">
        <w:t>(</w:t>
      </w:r>
      <w:r w:rsidR="007451D0">
        <w:t xml:space="preserve">communication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7451D0">
        <w:t>1635/2007)</w:t>
      </w:r>
      <w:r w:rsidR="007451D0">
        <w:rPr>
          <w:i/>
        </w:rPr>
        <w:t xml:space="preserve">, </w:t>
      </w:r>
      <w:r w:rsidR="007451D0" w:rsidRPr="00C9296A">
        <w:t xml:space="preserve">dans lesquelles </w:t>
      </w:r>
      <w:r w:rsidR="007451D0">
        <w:t>le Comité demandait qu</w:t>
      </w:r>
      <w:r w:rsidR="008F36C8">
        <w:t>’</w:t>
      </w:r>
      <w:r w:rsidR="007451D0">
        <w:t xml:space="preserve">il soit mis un terme à la détention des auteurs </w:t>
      </w:r>
      <w:r w:rsidR="007451D0" w:rsidRPr="00A16DAC">
        <w:t>au titre de la loi sur les infractions pénales</w:t>
      </w:r>
      <w:r w:rsidR="007451D0">
        <w:t>, l</w:t>
      </w:r>
      <w:r w:rsidR="008F36C8">
        <w:t>’</w:t>
      </w:r>
      <w:r w:rsidR="007451D0">
        <w:t>Australie continue de contester le raisonnement juridique suivi par le Comité, de sorte que des avancées semblent peu probables. Concernant enfin l</w:t>
      </w:r>
      <w:r w:rsidR="008F36C8">
        <w:t>’</w:t>
      </w:r>
      <w:r w:rsidR="007451D0">
        <w:t xml:space="preserve">affaire </w:t>
      </w:r>
      <w:proofErr w:type="spellStart"/>
      <w:r w:rsidR="007451D0" w:rsidRPr="009F2BFB">
        <w:rPr>
          <w:i/>
        </w:rPr>
        <w:t>Nystrom</w:t>
      </w:r>
      <w:proofErr w:type="spellEnd"/>
      <w:r w:rsidR="007451D0" w:rsidRPr="009F2BFB">
        <w:rPr>
          <w:i/>
        </w:rPr>
        <w:t xml:space="preserve"> et consorts</w:t>
      </w:r>
      <w:r w:rsidR="007451D0">
        <w:t xml:space="preserve"> c.</w:t>
      </w:r>
      <w:r>
        <w:t> </w:t>
      </w:r>
      <w:r w:rsidR="007451D0" w:rsidRPr="009F2BFB">
        <w:rPr>
          <w:i/>
        </w:rPr>
        <w:t>Australie</w:t>
      </w:r>
      <w:r w:rsidR="007451D0">
        <w:t xml:space="preserve"> (communication </w:t>
      </w:r>
      <w:r w:rsidRPr="00C14D2A">
        <w:t>n</w:t>
      </w:r>
      <w:r w:rsidRPr="00C14D2A">
        <w:rPr>
          <w:vertAlign w:val="superscript"/>
        </w:rPr>
        <w:t>o</w:t>
      </w:r>
      <w:r>
        <w:t> </w:t>
      </w:r>
      <w:r w:rsidR="007451D0">
        <w:t>1557/2007), l</w:t>
      </w:r>
      <w:r w:rsidR="008F36C8">
        <w:t>’</w:t>
      </w:r>
      <w:r w:rsidR="007451D0">
        <w:t>État partie fait siennes les opinons individuelles dissidentes jointes</w:t>
      </w:r>
      <w:r>
        <w:t xml:space="preserve"> aux constatations du Comité</w:t>
      </w:r>
      <w:r w:rsidR="007451D0">
        <w:t>; dès lors, il ne semble p</w:t>
      </w:r>
      <w:r w:rsidR="00FD1467">
        <w:t>as y </w:t>
      </w:r>
      <w:r w:rsidR="007451D0">
        <w:t>avoir lieu de poursuivre le dialogue à cet égard.</w:t>
      </w:r>
    </w:p>
    <w:p w:rsidR="00A62BD8" w:rsidRPr="00A62BD8" w:rsidRDefault="00A62BD8" w:rsidP="007451D0">
      <w:pPr>
        <w:pStyle w:val="SingleTxtG"/>
      </w:pPr>
      <w:r>
        <w:t>7.</w:t>
      </w:r>
      <w:r>
        <w:tab/>
      </w:r>
      <w:r>
        <w:rPr>
          <w:b/>
        </w:rPr>
        <w:t>La Présidente</w:t>
      </w:r>
      <w:r>
        <w:t xml:space="preserve"> remercie M. Thelin de sa présentation et, relevant que son mandat s</w:t>
      </w:r>
      <w:r w:rsidR="008F36C8">
        <w:t>’</w:t>
      </w:r>
      <w:r>
        <w:t>achève à la fin de la session, salue sa contribution aux travaux de Comité.</w:t>
      </w:r>
    </w:p>
    <w:p w:rsidR="005D19B1" w:rsidRPr="004F0396" w:rsidRDefault="007451D0" w:rsidP="007451D0">
      <w:pPr>
        <w:pStyle w:val="SingleTxtG"/>
      </w:pPr>
      <w:r w:rsidRPr="00AC5DEA">
        <w:rPr>
          <w:i/>
        </w:rPr>
        <w:t>La séance est levé</w:t>
      </w:r>
      <w:r>
        <w:rPr>
          <w:i/>
        </w:rPr>
        <w:t>e</w:t>
      </w:r>
      <w:r w:rsidRPr="00AC5DEA">
        <w:rPr>
          <w:i/>
        </w:rPr>
        <w:t xml:space="preserve"> à 18 heures.</w:t>
      </w:r>
    </w:p>
    <w:sectPr w:rsidR="005D19B1" w:rsidRPr="004F0396" w:rsidSect="007572D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635" w:rsidRDefault="00CE5635"/>
  </w:endnote>
  <w:endnote w:type="continuationSeparator" w:id="0">
    <w:p w:rsidR="00CE5635" w:rsidRDefault="00CE5635"/>
  </w:endnote>
  <w:endnote w:type="continuationNotice" w:id="1">
    <w:p w:rsidR="00CE5635" w:rsidRPr="005E29AA" w:rsidRDefault="00CE5635" w:rsidP="005E29AA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D9" w:rsidRPr="007572D9" w:rsidRDefault="007572D9" w:rsidP="007572D9">
    <w:pPr>
      <w:pStyle w:val="Footer"/>
      <w:tabs>
        <w:tab w:val="right" w:pos="9638"/>
      </w:tabs>
    </w:pPr>
    <w:r w:rsidRPr="007572D9">
      <w:rPr>
        <w:b/>
        <w:sz w:val="18"/>
      </w:rPr>
      <w:fldChar w:fldCharType="begin"/>
    </w:r>
    <w:r w:rsidRPr="007572D9">
      <w:rPr>
        <w:b/>
        <w:sz w:val="18"/>
      </w:rPr>
      <w:instrText xml:space="preserve"> PAGE  \* MERGEFORMAT </w:instrText>
    </w:r>
    <w:r w:rsidRPr="007572D9">
      <w:rPr>
        <w:b/>
        <w:sz w:val="18"/>
      </w:rPr>
      <w:fldChar w:fldCharType="separate"/>
    </w:r>
    <w:r w:rsidR="005E5B96">
      <w:rPr>
        <w:b/>
        <w:noProof/>
        <w:sz w:val="18"/>
      </w:rPr>
      <w:t>2</w:t>
    </w:r>
    <w:r w:rsidRPr="007572D9">
      <w:rPr>
        <w:b/>
        <w:sz w:val="18"/>
      </w:rPr>
      <w:fldChar w:fldCharType="end"/>
    </w:r>
    <w:r>
      <w:rPr>
        <w:b/>
        <w:sz w:val="18"/>
      </w:rPr>
      <w:tab/>
    </w:r>
    <w:r>
      <w:t>GE.12-47085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D9" w:rsidRPr="007572D9" w:rsidRDefault="007572D9" w:rsidP="007572D9">
    <w:pPr>
      <w:pStyle w:val="Footer"/>
      <w:tabs>
        <w:tab w:val="right" w:pos="9638"/>
      </w:tabs>
      <w:rPr>
        <w:b/>
        <w:sz w:val="18"/>
      </w:rPr>
    </w:pPr>
    <w:r>
      <w:t>GE.12-47085</w:t>
    </w:r>
    <w:r>
      <w:tab/>
    </w:r>
    <w:r w:rsidRPr="007572D9">
      <w:rPr>
        <w:b/>
        <w:sz w:val="18"/>
      </w:rPr>
      <w:fldChar w:fldCharType="begin"/>
    </w:r>
    <w:r w:rsidRPr="007572D9">
      <w:rPr>
        <w:b/>
        <w:sz w:val="18"/>
      </w:rPr>
      <w:instrText xml:space="preserve"> PAGE  \* MERGEFORMAT </w:instrText>
    </w:r>
    <w:r w:rsidRPr="007572D9">
      <w:rPr>
        <w:b/>
        <w:sz w:val="18"/>
      </w:rPr>
      <w:fldChar w:fldCharType="separate"/>
    </w:r>
    <w:r w:rsidR="007451D0">
      <w:rPr>
        <w:b/>
        <w:noProof/>
        <w:sz w:val="18"/>
      </w:rPr>
      <w:t>3</w:t>
    </w:r>
    <w:r w:rsidRPr="007572D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0CD" w:rsidRDefault="008E30CD" w:rsidP="004F0396">
    <w:pPr>
      <w:pBdr>
        <w:bottom w:val="single" w:sz="4" w:space="1" w:color="auto"/>
      </w:pBdr>
      <w:spacing w:line="240" w:lineRule="auto"/>
    </w:pPr>
  </w:p>
  <w:p w:rsidR="008E30CD" w:rsidRDefault="008E30CD" w:rsidP="00D935B7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8E30CD" w:rsidRDefault="008E30CD" w:rsidP="00D935B7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D935B7">
      <w:rPr>
        <w:i/>
      </w:rPr>
      <w:t>une semaine au plus tard à compter de la date du présent document</w:t>
    </w:r>
    <w:r>
      <w:t>, au Groupe d’édition, bureau E.4108, Palais des Nations, Genève.</w:t>
    </w:r>
  </w:p>
  <w:p w:rsidR="008E30CD" w:rsidRDefault="008E30CD" w:rsidP="00D935B7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 rectificatif unique qui sera publié peu après la session.</w:t>
    </w:r>
  </w:p>
  <w:p w:rsidR="008E30CD" w:rsidRPr="007572D9" w:rsidRDefault="007572D9" w:rsidP="00EE3B7E">
    <w:pPr>
      <w:pStyle w:val="FootnoteText"/>
      <w:tabs>
        <w:tab w:val="clear" w:pos="1021"/>
      </w:tabs>
      <w:spacing w:line="240" w:lineRule="auto"/>
      <w:rPr>
        <w:sz w:val="20"/>
      </w:rPr>
    </w:pPr>
    <w:r>
      <w:rPr>
        <w:sz w:val="20"/>
      </w:rPr>
      <w:t>GE.</w:t>
    </w:r>
    <w:r w:rsidR="008E30CD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12-47085  (F)    021112    </w:t>
    </w:r>
    <w:r w:rsidR="00FD1467">
      <w:rPr>
        <w:sz w:val="20"/>
      </w:rPr>
      <w:t>051112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635" w:rsidRPr="00D27D5E" w:rsidRDefault="00CE563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5635" w:rsidRDefault="00CE5635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CE5635" w:rsidRPr="005E29AA" w:rsidRDefault="00CE5635" w:rsidP="005E29AA">
      <w:pPr>
        <w:spacing w:line="240" w:lineRule="auto"/>
        <w:rPr>
          <w:sz w:val="2"/>
          <w:szCs w:val="2"/>
        </w:rPr>
      </w:pPr>
    </w:p>
  </w:footnote>
  <w:footnote w:id="2">
    <w:p w:rsidR="007451D0" w:rsidRPr="007451D0" w:rsidRDefault="007451D0">
      <w:pPr>
        <w:pStyle w:val="FootnoteText"/>
      </w:pPr>
      <w:r>
        <w:tab/>
      </w:r>
      <w:r w:rsidRPr="007451D0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n’a pas été établi de compte rendu analytique pour la première partie (privée) de la séance.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D9" w:rsidRPr="007572D9" w:rsidRDefault="007572D9">
    <w:pPr>
      <w:pStyle w:val="Header"/>
    </w:pPr>
    <w:r>
      <w:t>CCPR/C/SR.2946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2D9" w:rsidRPr="007572D9" w:rsidRDefault="007572D9" w:rsidP="007572D9">
    <w:pPr>
      <w:pStyle w:val="Header"/>
      <w:jc w:val="right"/>
    </w:pPr>
    <w:r>
      <w:t>CCPR/C/SR.2946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6966D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B41899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8"/>
    <w:multiLevelType w:val="singleLevel"/>
    <w:tmpl w:val="18A4B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0CD"/>
    <w:rsid w:val="00016AC5"/>
    <w:rsid w:val="000516CE"/>
    <w:rsid w:val="00084E67"/>
    <w:rsid w:val="000A147A"/>
    <w:rsid w:val="000B47FE"/>
    <w:rsid w:val="000B4EC5"/>
    <w:rsid w:val="000F41F2"/>
    <w:rsid w:val="001420FF"/>
    <w:rsid w:val="00151A84"/>
    <w:rsid w:val="00160540"/>
    <w:rsid w:val="00171A47"/>
    <w:rsid w:val="00192EEB"/>
    <w:rsid w:val="001A20FB"/>
    <w:rsid w:val="001D601E"/>
    <w:rsid w:val="001D7F8A"/>
    <w:rsid w:val="001E3FEB"/>
    <w:rsid w:val="001E4A02"/>
    <w:rsid w:val="0021414B"/>
    <w:rsid w:val="00225712"/>
    <w:rsid w:val="00225A8C"/>
    <w:rsid w:val="0026493E"/>
    <w:rsid w:val="002659F1"/>
    <w:rsid w:val="00287E79"/>
    <w:rsid w:val="002928F9"/>
    <w:rsid w:val="002A5D07"/>
    <w:rsid w:val="002E1A7F"/>
    <w:rsid w:val="003016B7"/>
    <w:rsid w:val="00301AE7"/>
    <w:rsid w:val="003515AA"/>
    <w:rsid w:val="0035426C"/>
    <w:rsid w:val="00354658"/>
    <w:rsid w:val="0037157F"/>
    <w:rsid w:val="00374106"/>
    <w:rsid w:val="003976D5"/>
    <w:rsid w:val="00397858"/>
    <w:rsid w:val="003D6C68"/>
    <w:rsid w:val="003F2096"/>
    <w:rsid w:val="00406ACA"/>
    <w:rsid w:val="004159D0"/>
    <w:rsid w:val="00445E40"/>
    <w:rsid w:val="0045320F"/>
    <w:rsid w:val="00464EEE"/>
    <w:rsid w:val="004B1626"/>
    <w:rsid w:val="004B6494"/>
    <w:rsid w:val="004C6E2D"/>
    <w:rsid w:val="004F0396"/>
    <w:rsid w:val="005338D3"/>
    <w:rsid w:val="00543D5E"/>
    <w:rsid w:val="00562DB3"/>
    <w:rsid w:val="00563548"/>
    <w:rsid w:val="00571F41"/>
    <w:rsid w:val="005D19B1"/>
    <w:rsid w:val="005E29AA"/>
    <w:rsid w:val="005E5B96"/>
    <w:rsid w:val="005E5D1F"/>
    <w:rsid w:val="00611D43"/>
    <w:rsid w:val="00612D48"/>
    <w:rsid w:val="00616B45"/>
    <w:rsid w:val="00630D9B"/>
    <w:rsid w:val="00631953"/>
    <w:rsid w:val="0063431C"/>
    <w:rsid w:val="006439EC"/>
    <w:rsid w:val="006B4590"/>
    <w:rsid w:val="006C340C"/>
    <w:rsid w:val="0070347C"/>
    <w:rsid w:val="007176C1"/>
    <w:rsid w:val="00725DC9"/>
    <w:rsid w:val="007451D0"/>
    <w:rsid w:val="007572D9"/>
    <w:rsid w:val="007A6F3A"/>
    <w:rsid w:val="007F55CB"/>
    <w:rsid w:val="0081184D"/>
    <w:rsid w:val="00844750"/>
    <w:rsid w:val="008528CE"/>
    <w:rsid w:val="00873B3C"/>
    <w:rsid w:val="00892241"/>
    <w:rsid w:val="008A53D4"/>
    <w:rsid w:val="008B44C4"/>
    <w:rsid w:val="008E30CD"/>
    <w:rsid w:val="008E7FAE"/>
    <w:rsid w:val="008F36C8"/>
    <w:rsid w:val="008F53ED"/>
    <w:rsid w:val="00911BF7"/>
    <w:rsid w:val="00926413"/>
    <w:rsid w:val="009505A3"/>
    <w:rsid w:val="00977EC8"/>
    <w:rsid w:val="00995D84"/>
    <w:rsid w:val="009D3A8C"/>
    <w:rsid w:val="009E7956"/>
    <w:rsid w:val="00A228B4"/>
    <w:rsid w:val="00A2492E"/>
    <w:rsid w:val="00A556E3"/>
    <w:rsid w:val="00A56342"/>
    <w:rsid w:val="00A62BD8"/>
    <w:rsid w:val="00A720C2"/>
    <w:rsid w:val="00AB51C8"/>
    <w:rsid w:val="00AC1732"/>
    <w:rsid w:val="00AC67A1"/>
    <w:rsid w:val="00AC7977"/>
    <w:rsid w:val="00AD43F6"/>
    <w:rsid w:val="00AE1E7D"/>
    <w:rsid w:val="00AE352C"/>
    <w:rsid w:val="00AF1CE8"/>
    <w:rsid w:val="00AF5F33"/>
    <w:rsid w:val="00B32E2D"/>
    <w:rsid w:val="00B61990"/>
    <w:rsid w:val="00B84D5A"/>
    <w:rsid w:val="00BE5481"/>
    <w:rsid w:val="00BF0556"/>
    <w:rsid w:val="00BF57B9"/>
    <w:rsid w:val="00C0443E"/>
    <w:rsid w:val="00C261F8"/>
    <w:rsid w:val="00C33100"/>
    <w:rsid w:val="00C4083C"/>
    <w:rsid w:val="00C53832"/>
    <w:rsid w:val="00C773C2"/>
    <w:rsid w:val="00CA6A02"/>
    <w:rsid w:val="00CD1A71"/>
    <w:rsid w:val="00CD1FBB"/>
    <w:rsid w:val="00CE5635"/>
    <w:rsid w:val="00CF2942"/>
    <w:rsid w:val="00CF5128"/>
    <w:rsid w:val="00D016B5"/>
    <w:rsid w:val="00D034F1"/>
    <w:rsid w:val="00D27D5E"/>
    <w:rsid w:val="00D35B2D"/>
    <w:rsid w:val="00D40914"/>
    <w:rsid w:val="00D935B7"/>
    <w:rsid w:val="00DA0780"/>
    <w:rsid w:val="00DA5B7F"/>
    <w:rsid w:val="00DB721C"/>
    <w:rsid w:val="00DC09A6"/>
    <w:rsid w:val="00DD6567"/>
    <w:rsid w:val="00DE6D90"/>
    <w:rsid w:val="00DF002F"/>
    <w:rsid w:val="00E00D17"/>
    <w:rsid w:val="00E0244D"/>
    <w:rsid w:val="00E144C5"/>
    <w:rsid w:val="00E31C4A"/>
    <w:rsid w:val="00E368FF"/>
    <w:rsid w:val="00E66935"/>
    <w:rsid w:val="00E81E94"/>
    <w:rsid w:val="00E82607"/>
    <w:rsid w:val="00EA265D"/>
    <w:rsid w:val="00EA5BC1"/>
    <w:rsid w:val="00EC6F83"/>
    <w:rsid w:val="00ED6E8D"/>
    <w:rsid w:val="00EE3B7E"/>
    <w:rsid w:val="00F02EFA"/>
    <w:rsid w:val="00F25D58"/>
    <w:rsid w:val="00F33865"/>
    <w:rsid w:val="00F55FCF"/>
    <w:rsid w:val="00FA5A79"/>
    <w:rsid w:val="00FB0BFE"/>
    <w:rsid w:val="00FB4C51"/>
    <w:rsid w:val="00FB7B44"/>
    <w:rsid w:val="00FC6A49"/>
    <w:rsid w:val="00FD1467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5E29AA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E29AA"/>
    <w:pPr>
      <w:outlineLvl w:val="1"/>
    </w:pPr>
  </w:style>
  <w:style w:type="paragraph" w:styleId="Heading3">
    <w:name w:val="heading 3"/>
    <w:basedOn w:val="Normal"/>
    <w:next w:val="Normal"/>
    <w:qFormat/>
    <w:rsid w:val="005E29AA"/>
    <w:pPr>
      <w:outlineLvl w:val="2"/>
    </w:pPr>
  </w:style>
  <w:style w:type="paragraph" w:styleId="Heading4">
    <w:name w:val="heading 4"/>
    <w:basedOn w:val="Normal"/>
    <w:next w:val="Normal"/>
    <w:qFormat/>
    <w:rsid w:val="005E29AA"/>
    <w:pPr>
      <w:outlineLvl w:val="3"/>
    </w:pPr>
  </w:style>
  <w:style w:type="paragraph" w:styleId="Heading5">
    <w:name w:val="heading 5"/>
    <w:basedOn w:val="Normal"/>
    <w:next w:val="Normal"/>
    <w:qFormat/>
    <w:rsid w:val="005E29AA"/>
    <w:pPr>
      <w:outlineLvl w:val="4"/>
    </w:pPr>
  </w:style>
  <w:style w:type="paragraph" w:styleId="Heading6">
    <w:name w:val="heading 6"/>
    <w:basedOn w:val="Normal"/>
    <w:next w:val="Normal"/>
    <w:qFormat/>
    <w:rsid w:val="005E29AA"/>
    <w:pPr>
      <w:outlineLvl w:val="5"/>
    </w:pPr>
  </w:style>
  <w:style w:type="paragraph" w:styleId="Heading7">
    <w:name w:val="heading 7"/>
    <w:basedOn w:val="Normal"/>
    <w:next w:val="Normal"/>
    <w:qFormat/>
    <w:rsid w:val="005E29AA"/>
    <w:pPr>
      <w:outlineLvl w:val="6"/>
    </w:pPr>
  </w:style>
  <w:style w:type="paragraph" w:styleId="Heading8">
    <w:name w:val="heading 8"/>
    <w:basedOn w:val="Normal"/>
    <w:next w:val="Normal"/>
    <w:qFormat/>
    <w:rsid w:val="005E29AA"/>
    <w:pPr>
      <w:outlineLvl w:val="7"/>
    </w:pPr>
  </w:style>
  <w:style w:type="paragraph" w:styleId="Heading9">
    <w:name w:val="heading 9"/>
    <w:basedOn w:val="Normal"/>
    <w:next w:val="Normal"/>
    <w:qFormat/>
    <w:rsid w:val="005E29AA"/>
    <w:pPr>
      <w:outlineLvl w:val="8"/>
    </w:pPr>
  </w:style>
  <w:style w:type="character" w:default="1" w:styleId="DefaultParagraphFont">
    <w:name w:val="Default Paragraph Font"/>
    <w:semiHidden/>
    <w:rsid w:val="005E29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E29AA"/>
  </w:style>
  <w:style w:type="paragraph" w:customStyle="1" w:styleId="HMG">
    <w:name w:val="_ H __M_G"/>
    <w:basedOn w:val="Normal"/>
    <w:next w:val="Normal"/>
    <w:rsid w:val="005E29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E29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5E29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E29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E29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E29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5E29AA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5E29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5E29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5E29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5E29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E29AA"/>
    <w:pPr>
      <w:numPr>
        <w:numId w:val="6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5E29AA"/>
    <w:pPr>
      <w:numPr>
        <w:numId w:val="7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5E29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5E29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5E29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5E29A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E29AA"/>
  </w:style>
  <w:style w:type="character" w:styleId="PageNumber">
    <w:name w:val="page number"/>
    <w:aliases w:val="7_G"/>
    <w:rsid w:val="005E29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5E29AA"/>
    <w:pPr>
      <w:spacing w:line="240" w:lineRule="auto"/>
    </w:pPr>
    <w:rPr>
      <w:sz w:val="16"/>
    </w:rPr>
  </w:style>
  <w:style w:type="character" w:styleId="Hyperlink">
    <w:name w:val="Hyperlink"/>
    <w:semiHidden/>
    <w:rsid w:val="005E29AA"/>
    <w:rPr>
      <w:color w:val="auto"/>
      <w:u w:val="none"/>
    </w:rPr>
  </w:style>
  <w:style w:type="character" w:styleId="FollowedHyperlink">
    <w:name w:val="FollowedHyperlink"/>
    <w:semiHidden/>
    <w:rsid w:val="005E29AA"/>
    <w:rPr>
      <w:color w:val="auto"/>
      <w:u w:val="none"/>
    </w:rPr>
  </w:style>
  <w:style w:type="table" w:styleId="TableGrid">
    <w:name w:val="Table Grid"/>
    <w:basedOn w:val="TableNormal"/>
    <w:semiHidden/>
    <w:rsid w:val="005E29AA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R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R5</Template>
  <TotalTime>1</TotalTime>
  <Pages>2</Pages>
  <Words>585</Words>
  <Characters>3237</Characters>
  <Application>Microsoft Office Word</Application>
  <DocSecurity>4</DocSecurity>
  <Lines>61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CCPR/C/SR.2946</vt:lpstr>
    </vt:vector>
  </TitlesOfParts>
  <Company>CSD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CCPR/C/SR.2946</dc:title>
  <dc:subject>FINAL</dc:subject>
  <dc:creator>Morin</dc:creator>
  <cp:keywords/>
  <dc:description/>
  <cp:lastModifiedBy>Diane</cp:lastModifiedBy>
  <cp:revision>2</cp:revision>
  <cp:lastPrinted>2012-11-05T09:11:00Z</cp:lastPrinted>
  <dcterms:created xsi:type="dcterms:W3CDTF">2012-11-05T10:24:00Z</dcterms:created>
  <dcterms:modified xsi:type="dcterms:W3CDTF">2012-11-05T10:24:00Z</dcterms:modified>
</cp:coreProperties>
</file>