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139F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139F7" w:rsidP="000139F7">
            <w:pPr>
              <w:spacing w:after="20"/>
              <w:jc w:val="right"/>
            </w:pPr>
            <w:r w:rsidRPr="000139F7">
              <w:rPr>
                <w:sz w:val="40"/>
              </w:rPr>
              <w:t>CCPR</w:t>
            </w:r>
            <w:r>
              <w:t>/C/HRV/CO/2</w:t>
            </w:r>
          </w:p>
        </w:tc>
      </w:tr>
      <w:tr w:rsidR="002D5AAC" w:rsidTr="000139F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139F7" w:rsidRDefault="000139F7" w:rsidP="000139F7">
            <w:pPr>
              <w:spacing w:before="240"/>
            </w:pPr>
            <w:r>
              <w:t>Distr. general</w:t>
            </w:r>
          </w:p>
          <w:p w:rsidR="000139F7" w:rsidRDefault="000139F7" w:rsidP="000139F7">
            <w:r>
              <w:t>4 de noviembre de 2009</w:t>
            </w:r>
          </w:p>
          <w:p w:rsidR="000139F7" w:rsidRDefault="000139F7" w:rsidP="000139F7">
            <w:r>
              <w:t>Español</w:t>
            </w:r>
          </w:p>
          <w:p w:rsidR="002D5AAC" w:rsidRDefault="000139F7" w:rsidP="000139F7">
            <w:r>
              <w:t>Original: inglés</w:t>
            </w:r>
          </w:p>
        </w:tc>
      </w:tr>
    </w:tbl>
    <w:p w:rsidR="000139F7" w:rsidRPr="00567804" w:rsidRDefault="000139F7" w:rsidP="000139F7">
      <w:pPr>
        <w:spacing w:before="120" w:line="240" w:lineRule="auto"/>
        <w:rPr>
          <w:b/>
          <w:sz w:val="24"/>
          <w:szCs w:val="24"/>
        </w:rPr>
      </w:pPr>
      <w:r w:rsidRPr="00567804">
        <w:rPr>
          <w:b/>
          <w:sz w:val="24"/>
          <w:szCs w:val="24"/>
        </w:rPr>
        <w:t>Comité de Derechos Humanos</w:t>
      </w:r>
    </w:p>
    <w:p w:rsidR="000139F7" w:rsidRPr="00567804" w:rsidRDefault="000139F7" w:rsidP="000139F7">
      <w:pPr>
        <w:spacing w:line="240" w:lineRule="auto"/>
        <w:rPr>
          <w:b/>
        </w:rPr>
      </w:pPr>
      <w:r w:rsidRPr="00567804">
        <w:rPr>
          <w:b/>
        </w:rPr>
        <w:t>97º período de sesiones</w:t>
      </w:r>
    </w:p>
    <w:p w:rsidR="000139F7" w:rsidRPr="00F702AE" w:rsidRDefault="000139F7" w:rsidP="000139F7">
      <w:pPr>
        <w:spacing w:after="240" w:line="240" w:lineRule="auto"/>
      </w:pPr>
      <w:r w:rsidRPr="00F702AE">
        <w:t>12 a 30 de octubre de 2009</w:t>
      </w:r>
    </w:p>
    <w:p w:rsidR="000139F7" w:rsidRPr="00F702AE" w:rsidRDefault="000139F7" w:rsidP="000139F7">
      <w:pPr>
        <w:pStyle w:val="HChG"/>
      </w:pPr>
      <w:r>
        <w:tab/>
      </w:r>
      <w:r>
        <w:tab/>
        <w:t xml:space="preserve">Examen </w:t>
      </w:r>
      <w:r w:rsidRPr="00F702AE">
        <w:t>de los informes presentados por los Estados partes en virtud del artículo 40 del Pacto</w:t>
      </w:r>
    </w:p>
    <w:p w:rsidR="000139F7" w:rsidRPr="00F702AE" w:rsidRDefault="000139F7" w:rsidP="000139F7">
      <w:pPr>
        <w:pStyle w:val="H1G"/>
      </w:pPr>
      <w:r>
        <w:tab/>
      </w:r>
      <w:r>
        <w:tab/>
      </w:r>
      <w:r w:rsidRPr="00F702AE">
        <w:t>Observaciones finales del Comité de Derechos Humanos</w:t>
      </w:r>
    </w:p>
    <w:p w:rsidR="000139F7" w:rsidRPr="00F702AE" w:rsidRDefault="000139F7" w:rsidP="000139F7">
      <w:pPr>
        <w:pStyle w:val="HChG"/>
      </w:pPr>
      <w:r>
        <w:tab/>
      </w:r>
      <w:r>
        <w:tab/>
      </w:r>
      <w:r w:rsidRPr="00F702AE">
        <w:t>Croacia</w:t>
      </w:r>
    </w:p>
    <w:p w:rsidR="000139F7" w:rsidRPr="00F702AE" w:rsidRDefault="000139F7" w:rsidP="000139F7">
      <w:pPr>
        <w:pStyle w:val="SingleTxtG"/>
      </w:pPr>
      <w:r w:rsidRPr="00F702AE">
        <w:t>1.</w:t>
      </w:r>
      <w:r w:rsidRPr="00F702AE">
        <w:tab/>
        <w:t xml:space="preserve">El Comité de Derechos Humanos examinó el segundo informe periódico de Croacia (CCPR/C/HRV/2) en sus sesiones 2661ª y 2662ª, celebradas los días 14 y 15 de octubre de 2009 (CCPR/C/SR.2661 y 2662). En su </w:t>
      </w:r>
      <w:r>
        <w:t xml:space="preserve">2681ª </w:t>
      </w:r>
      <w:r w:rsidRPr="00F702AE">
        <w:t xml:space="preserve">sesión, celebrada el </w:t>
      </w:r>
      <w:r>
        <w:t xml:space="preserve">28 </w:t>
      </w:r>
      <w:r w:rsidRPr="00F702AE">
        <w:t>de octubre de 2009 (CCPR/C/SR</w:t>
      </w:r>
      <w:r>
        <w:t>.2</w:t>
      </w:r>
      <w:r w:rsidR="00E91EB9">
        <w:t>6</w:t>
      </w:r>
      <w:r>
        <w:t>81</w:t>
      </w:r>
      <w:r w:rsidRPr="00F702AE">
        <w:t>), aprobó las observaciones finales que aparecen a continuación.</w:t>
      </w:r>
    </w:p>
    <w:p w:rsidR="000139F7" w:rsidRPr="00F702AE" w:rsidRDefault="000139F7" w:rsidP="000139F7">
      <w:pPr>
        <w:pStyle w:val="H1G"/>
      </w:pPr>
      <w:r>
        <w:tab/>
      </w:r>
      <w:r w:rsidRPr="00F702AE">
        <w:t>A.</w:t>
      </w:r>
      <w:r w:rsidRPr="00F702AE">
        <w:tab/>
        <w:t>Introducción</w:t>
      </w:r>
    </w:p>
    <w:p w:rsidR="000139F7" w:rsidRPr="00F702AE" w:rsidRDefault="000139F7" w:rsidP="000139F7">
      <w:pPr>
        <w:pStyle w:val="SingleTxtG"/>
      </w:pPr>
      <w:r w:rsidRPr="00F702AE">
        <w:t>2.</w:t>
      </w:r>
      <w:r w:rsidRPr="00F702AE">
        <w:tab/>
        <w:t>El Comité celebra la presentación del segundo informe periódico del Estado parte, que proporciona información detalla</w:t>
      </w:r>
      <w:r>
        <w:t>da</w:t>
      </w:r>
      <w:r w:rsidRPr="00F702AE">
        <w:t xml:space="preserve"> sobre las medidas </w:t>
      </w:r>
      <w:r>
        <w:t xml:space="preserve">que ha aprobado </w:t>
      </w:r>
      <w:r w:rsidRPr="00F702AE">
        <w:t>para mejorar la aplicación del Pacto.</w:t>
      </w:r>
      <w:r>
        <w:t xml:space="preserve"> </w:t>
      </w:r>
      <w:r w:rsidRPr="00F702AE">
        <w:t xml:space="preserve">Además, agradece las respuestas </w:t>
      </w:r>
      <w:r>
        <w:t xml:space="preserve">que presentó </w:t>
      </w:r>
      <w:r w:rsidRPr="00F702AE">
        <w:t xml:space="preserve">anticipadamente por escrito el Estado parte (CCPR/C/HRV/Q/2/Add.1), así como las </w:t>
      </w:r>
      <w:r>
        <w:t xml:space="preserve">contestaciones dadas </w:t>
      </w:r>
      <w:r w:rsidRPr="00F702AE">
        <w:t xml:space="preserve">por la delegación al Comité durante el examen del informe, y la información adicional proporcionada </w:t>
      </w:r>
      <w:r>
        <w:t xml:space="preserve">tras dicho </w:t>
      </w:r>
      <w:r w:rsidRPr="00F702AE">
        <w:t>examen.</w:t>
      </w:r>
    </w:p>
    <w:p w:rsidR="000139F7" w:rsidRPr="00F702AE" w:rsidRDefault="000139F7" w:rsidP="000139F7">
      <w:pPr>
        <w:pStyle w:val="H1G"/>
      </w:pPr>
      <w:r>
        <w:tab/>
      </w:r>
      <w:r w:rsidRPr="00F702AE">
        <w:t>B.</w:t>
      </w:r>
      <w:r w:rsidRPr="00F702AE">
        <w:tab/>
        <w:t>Aspectos positivos</w:t>
      </w:r>
    </w:p>
    <w:p w:rsidR="000139F7" w:rsidRDefault="000139F7" w:rsidP="000139F7">
      <w:pPr>
        <w:pStyle w:val="SingleTxtG"/>
      </w:pPr>
      <w:r>
        <w:t>3.</w:t>
      </w:r>
      <w:r>
        <w:tab/>
        <w:t>El Comité acoge con satisfacción las distintas enmiendas constitucionales introducidas y las medidas de carácter legislativo, administrativo y práctico adoptadas desde el examen del informe inicial para mejorar la promoción y protección de los derechos humanos en el Estado parte, en particular:</w:t>
      </w:r>
    </w:p>
    <w:p w:rsidR="000139F7" w:rsidRPr="00F702AE" w:rsidRDefault="000139F7" w:rsidP="000139F7">
      <w:pPr>
        <w:pStyle w:val="SingleTxtG"/>
      </w:pPr>
      <w:r>
        <w:tab/>
        <w:t>a)</w:t>
      </w:r>
      <w:r w:rsidRPr="00F702AE">
        <w:tab/>
      </w:r>
      <w:r>
        <w:t xml:space="preserve">El </w:t>
      </w:r>
      <w:r w:rsidRPr="00F702AE">
        <w:t>hecho de que las disposiciones del Pacto tengan la fuerza de derecho constitucional y los tribunal</w:t>
      </w:r>
      <w:r>
        <w:t>es hayan comenzado a aplicarlas;</w:t>
      </w:r>
    </w:p>
    <w:p w:rsidR="000139F7" w:rsidRPr="00F702AE" w:rsidRDefault="000139F7" w:rsidP="000139F7">
      <w:pPr>
        <w:pStyle w:val="SingleTxtG"/>
      </w:pPr>
      <w:r>
        <w:tab/>
        <w:t>b)</w:t>
      </w:r>
      <w:r w:rsidRPr="00F702AE">
        <w:tab/>
        <w:t xml:space="preserve">La aprobación de la Ley </w:t>
      </w:r>
      <w:r>
        <w:t xml:space="preserve">de lucha </w:t>
      </w:r>
      <w:r w:rsidRPr="00F702AE">
        <w:t>contra la discriminación</w:t>
      </w:r>
      <w:r>
        <w:t>, de 2008;</w:t>
      </w:r>
    </w:p>
    <w:p w:rsidR="000139F7" w:rsidRPr="00F702AE" w:rsidRDefault="000139F7" w:rsidP="000139F7">
      <w:pPr>
        <w:pStyle w:val="SingleTxtG"/>
      </w:pPr>
      <w:r>
        <w:tab/>
        <w:t>c)</w:t>
      </w:r>
      <w:r w:rsidRPr="00F702AE">
        <w:tab/>
        <w:t>Los progresos alcanzados en relación con la igualdad de género, con inclusión de lo siguiente:</w:t>
      </w:r>
    </w:p>
    <w:p w:rsidR="000139F7" w:rsidRDefault="000139F7" w:rsidP="000139F7">
      <w:pPr>
        <w:pStyle w:val="SingleTxtG"/>
        <w:ind w:left="1701" w:hanging="567"/>
      </w:pPr>
      <w:r w:rsidRPr="00F702AE">
        <w:tab/>
      </w:r>
      <w:r>
        <w:t>i</w:t>
      </w:r>
      <w:r w:rsidRPr="00F702AE">
        <w:t>)</w:t>
      </w:r>
      <w:r w:rsidRPr="00F702AE">
        <w:tab/>
        <w:t>La aprobación de leyes pertinentes, como la Le</w:t>
      </w:r>
      <w:r>
        <w:t>y de igualdad de género en 2008;</w:t>
      </w:r>
    </w:p>
    <w:p w:rsidR="000139F7" w:rsidRPr="00F702AE" w:rsidRDefault="000139F7" w:rsidP="000139F7">
      <w:pPr>
        <w:pStyle w:val="SingleTxtG"/>
        <w:ind w:left="1701" w:hanging="567"/>
      </w:pPr>
      <w:r>
        <w:tab/>
        <w:t>ii)</w:t>
      </w:r>
      <w:r>
        <w:tab/>
        <w:t>El establecimiento de un mecanismo nacional para la promoción de la mujer, que incluye comités en los condados para la igualdad entre los géneros; y</w:t>
      </w:r>
    </w:p>
    <w:p w:rsidR="000139F7" w:rsidRPr="00F702AE" w:rsidRDefault="000139F7" w:rsidP="000139F7">
      <w:pPr>
        <w:pStyle w:val="SingleTxtG"/>
      </w:pPr>
      <w:r>
        <w:tab/>
        <w:t>d)</w:t>
      </w:r>
      <w:r w:rsidRPr="00F702AE">
        <w:tab/>
        <w:t xml:space="preserve">Las medidas adoptadas para combatir </w:t>
      </w:r>
      <w:r>
        <w:t xml:space="preserve">y evitar </w:t>
      </w:r>
      <w:r w:rsidRPr="00F702AE">
        <w:t xml:space="preserve">la trata </w:t>
      </w:r>
      <w:r>
        <w:t>de personas</w:t>
      </w:r>
      <w:r w:rsidRPr="00F702AE">
        <w:t xml:space="preserve">, </w:t>
      </w:r>
      <w:r>
        <w:t xml:space="preserve">entre otras, </w:t>
      </w:r>
      <w:r w:rsidRPr="00F702AE">
        <w:t xml:space="preserve">el Plan de Acción </w:t>
      </w:r>
      <w:r>
        <w:t xml:space="preserve">Nacional </w:t>
      </w:r>
      <w:r w:rsidRPr="00F702AE">
        <w:t xml:space="preserve">para la </w:t>
      </w:r>
      <w:r>
        <w:t>re</w:t>
      </w:r>
      <w:r w:rsidRPr="00F702AE">
        <w:t xml:space="preserve">presión de la trata de </w:t>
      </w:r>
      <w:r>
        <w:t xml:space="preserve">personas correspondiente a </w:t>
      </w:r>
      <w:r w:rsidRPr="00F702AE">
        <w:t xml:space="preserve">2009-2011, y el acuerdo de cooperación entre los ministerios y </w:t>
      </w:r>
      <w:r>
        <w:t xml:space="preserve">diversas </w:t>
      </w:r>
      <w:r w:rsidRPr="00F702AE">
        <w:t>organizaciones no gubernamentales, así como los acuerdos de cooperación con países vecinos.</w:t>
      </w:r>
    </w:p>
    <w:p w:rsidR="000139F7" w:rsidRPr="00F702AE" w:rsidRDefault="000139F7" w:rsidP="000139F7">
      <w:pPr>
        <w:pStyle w:val="H1G"/>
      </w:pPr>
      <w:r>
        <w:tab/>
      </w:r>
      <w:r w:rsidRPr="00F702AE">
        <w:t>C.</w:t>
      </w:r>
      <w:r w:rsidRPr="00F702AE">
        <w:tab/>
        <w:t>Principales motivos de preocupación y recomendaciones</w:t>
      </w:r>
    </w:p>
    <w:p w:rsidR="000139F7" w:rsidRPr="00F702AE" w:rsidRDefault="000139F7" w:rsidP="000139F7">
      <w:pPr>
        <w:pStyle w:val="SingleTxtG"/>
      </w:pPr>
      <w:r>
        <w:t>4</w:t>
      </w:r>
      <w:r w:rsidRPr="00F702AE">
        <w:t>.</w:t>
      </w:r>
      <w:r w:rsidRPr="00F702AE">
        <w:tab/>
        <w:t xml:space="preserve">El Comité, aunque toma nota de la intención del Estado parte de iniciar un examen </w:t>
      </w:r>
      <w:r>
        <w:t>de</w:t>
      </w:r>
      <w:r w:rsidRPr="00F702AE">
        <w:t xml:space="preserve"> su Constitución, </w:t>
      </w:r>
      <w:r>
        <w:t xml:space="preserve">teme que algunas de sus </w:t>
      </w:r>
      <w:r w:rsidRPr="00F702AE">
        <w:t xml:space="preserve">disposiciones limiten algunos derechos </w:t>
      </w:r>
      <w:r>
        <w:t xml:space="preserve">solamente </w:t>
      </w:r>
      <w:r w:rsidRPr="00F702AE">
        <w:t xml:space="preserve">a los </w:t>
      </w:r>
      <w:r>
        <w:t>"</w:t>
      </w:r>
      <w:r w:rsidRPr="00F702AE">
        <w:t>ciudadanos</w:t>
      </w:r>
      <w:r>
        <w:t>"</w:t>
      </w:r>
      <w:r w:rsidRPr="00F702AE">
        <w:t xml:space="preserve">, </w:t>
      </w:r>
      <w:r>
        <w:t xml:space="preserve">como </w:t>
      </w:r>
      <w:r w:rsidRPr="00F702AE">
        <w:t>la igualdad ante los tribunales (art. 26) (art</w:t>
      </w:r>
      <w:r>
        <w:t>ículo</w:t>
      </w:r>
      <w:r w:rsidRPr="00F702AE">
        <w:t xml:space="preserve"> 2 del Pacto).</w:t>
      </w:r>
    </w:p>
    <w:p w:rsidR="000139F7" w:rsidRPr="00FC24C4" w:rsidRDefault="000139F7" w:rsidP="000139F7">
      <w:pPr>
        <w:pStyle w:val="SingleTxtG"/>
        <w:rPr>
          <w:b/>
        </w:rPr>
      </w:pPr>
      <w:r w:rsidRPr="00FC24C4">
        <w:rPr>
          <w:b/>
        </w:rPr>
        <w:t>El Estado parte debería armonizar todas sus disposiciones jurídicas con las del artículo 2</w:t>
      </w:r>
      <w:r>
        <w:rPr>
          <w:b/>
        </w:rPr>
        <w:t xml:space="preserve">, párrafo 1, y </w:t>
      </w:r>
      <w:r w:rsidRPr="00FC24C4">
        <w:rPr>
          <w:b/>
        </w:rPr>
        <w:t xml:space="preserve">el artículo 26 del </w:t>
      </w:r>
      <w:r>
        <w:rPr>
          <w:b/>
        </w:rPr>
        <w:t>P</w:t>
      </w:r>
      <w:r w:rsidRPr="00FC24C4">
        <w:rPr>
          <w:b/>
        </w:rPr>
        <w:t xml:space="preserve">acto, tomando en consideración la Observación general Nº </w:t>
      </w:r>
      <w:r>
        <w:rPr>
          <w:b/>
        </w:rPr>
        <w:t>1</w:t>
      </w:r>
      <w:r w:rsidRPr="00FC24C4">
        <w:rPr>
          <w:b/>
        </w:rPr>
        <w:t xml:space="preserve">5 </w:t>
      </w:r>
      <w:r>
        <w:rPr>
          <w:b/>
        </w:rPr>
        <w:t xml:space="preserve">(1986) </w:t>
      </w:r>
      <w:r w:rsidRPr="00FC24C4">
        <w:rPr>
          <w:b/>
        </w:rPr>
        <w:t>del Comité respecto de la situación de los extranjeros a tenor del Pacto.</w:t>
      </w:r>
    </w:p>
    <w:p w:rsidR="000139F7" w:rsidRPr="00F702AE" w:rsidRDefault="000139F7" w:rsidP="000139F7">
      <w:pPr>
        <w:pStyle w:val="SingleTxtG"/>
      </w:pPr>
      <w:r>
        <w:t>5</w:t>
      </w:r>
      <w:r w:rsidRPr="00F702AE">
        <w:t>.</w:t>
      </w:r>
      <w:r w:rsidRPr="00F702AE">
        <w:tab/>
        <w:t xml:space="preserve">Tras </w:t>
      </w:r>
      <w:r>
        <w:t xml:space="preserve">observar </w:t>
      </w:r>
      <w:r w:rsidRPr="00F702AE">
        <w:t>las amplias medidas adoptadas para prevenir la dis</w:t>
      </w:r>
      <w:r>
        <w:t>criminación contra las minorías</w:t>
      </w:r>
      <w:r w:rsidRPr="00F702AE">
        <w:t>, así como los delitos provocados por el odio y lu</w:t>
      </w:r>
      <w:r>
        <w:t xml:space="preserve">char contra ellos, </w:t>
      </w:r>
      <w:r w:rsidRPr="00F702AE">
        <w:t xml:space="preserve">el Comité sigue preocupado por la discriminación y tolerancia </w:t>
      </w:r>
      <w:r w:rsidRPr="00F702AE">
        <w:rPr>
          <w:i/>
        </w:rPr>
        <w:t>de facto</w:t>
      </w:r>
      <w:r w:rsidRPr="00F702AE">
        <w:t xml:space="preserve"> </w:t>
      </w:r>
      <w:r w:rsidR="00E91EB9">
        <w:t xml:space="preserve">que </w:t>
      </w:r>
      <w:r>
        <w:t xml:space="preserve">sufren los </w:t>
      </w:r>
      <w:r w:rsidRPr="00F702AE">
        <w:t xml:space="preserve">miembros de las minorías étnicas, </w:t>
      </w:r>
      <w:r>
        <w:t xml:space="preserve">por </w:t>
      </w:r>
      <w:r w:rsidRPr="00F702AE">
        <w:t xml:space="preserve">las informaciones sobre </w:t>
      </w:r>
      <w:r>
        <w:t>agresiones física</w:t>
      </w:r>
      <w:r w:rsidRPr="00F702AE">
        <w:t>s y verbales</w:t>
      </w:r>
      <w:r>
        <w:t xml:space="preserve">, y por la lentitud </w:t>
      </w:r>
      <w:r w:rsidRPr="00F702AE">
        <w:t xml:space="preserve">de las </w:t>
      </w:r>
      <w:r>
        <w:t xml:space="preserve">investigaciones y los </w:t>
      </w:r>
      <w:r w:rsidRPr="00F702AE">
        <w:t>enjuiciamiento</w:t>
      </w:r>
      <w:r>
        <w:t>s</w:t>
      </w:r>
      <w:r w:rsidRPr="00F702AE">
        <w:t>.</w:t>
      </w:r>
      <w:r>
        <w:t xml:space="preserve"> Inquieta </w:t>
      </w:r>
      <w:r w:rsidRPr="00F702AE">
        <w:t xml:space="preserve">también al Comité que las </w:t>
      </w:r>
      <w:r>
        <w:t xml:space="preserve">regiones </w:t>
      </w:r>
      <w:r w:rsidRPr="00F702AE">
        <w:t xml:space="preserve">de especial </w:t>
      </w:r>
      <w:r>
        <w:t>interés público</w:t>
      </w:r>
      <w:r w:rsidRPr="00F702AE">
        <w:t>, a las que vuelven la mayoría de los repatriados de origen serbio, sigan estando a la zaga de las demás en cuanto a desarrollo económico y social (artículos 2 y 26 del Pacto).</w:t>
      </w:r>
    </w:p>
    <w:p w:rsidR="000139F7" w:rsidRPr="006B4D50" w:rsidRDefault="000139F7" w:rsidP="000139F7">
      <w:pPr>
        <w:pStyle w:val="SingleTxtG"/>
        <w:rPr>
          <w:b/>
        </w:rPr>
      </w:pPr>
      <w:r w:rsidRPr="006B4D50">
        <w:rPr>
          <w:b/>
        </w:rPr>
        <w:t xml:space="preserve">El Estado parte debería </w:t>
      </w:r>
      <w:r>
        <w:rPr>
          <w:b/>
        </w:rPr>
        <w:t xml:space="preserve">reforzar </w:t>
      </w:r>
      <w:r w:rsidRPr="006B4D50">
        <w:rPr>
          <w:b/>
        </w:rPr>
        <w:t xml:space="preserve">sus medidas para luchar contra la discriminación y contra </w:t>
      </w:r>
      <w:r>
        <w:rPr>
          <w:b/>
        </w:rPr>
        <w:t xml:space="preserve">las agresiones </w:t>
      </w:r>
      <w:r w:rsidRPr="006B4D50">
        <w:rPr>
          <w:b/>
        </w:rPr>
        <w:t>físic</w:t>
      </w:r>
      <w:r>
        <w:rPr>
          <w:b/>
        </w:rPr>
        <w:t>a</w:t>
      </w:r>
      <w:r w:rsidRPr="006B4D50">
        <w:rPr>
          <w:b/>
        </w:rPr>
        <w:t xml:space="preserve">s y verbales </w:t>
      </w:r>
      <w:r>
        <w:rPr>
          <w:b/>
        </w:rPr>
        <w:t xml:space="preserve">de que son víctimas los </w:t>
      </w:r>
      <w:r w:rsidRPr="006B4D50">
        <w:rPr>
          <w:b/>
        </w:rPr>
        <w:t>miembros de las minorías étnicas, especialmente de la minoría</w:t>
      </w:r>
      <w:r>
        <w:rPr>
          <w:b/>
        </w:rPr>
        <w:t xml:space="preserve"> serbia</w:t>
      </w:r>
      <w:r w:rsidRPr="006B4D50">
        <w:rPr>
          <w:b/>
        </w:rPr>
        <w:t>.</w:t>
      </w:r>
      <w:r>
        <w:rPr>
          <w:b/>
        </w:rPr>
        <w:t xml:space="preserve"> </w:t>
      </w:r>
      <w:r w:rsidRPr="006B4D50">
        <w:rPr>
          <w:b/>
        </w:rPr>
        <w:t xml:space="preserve">También debería intensificar sus esfuerzos por lograr </w:t>
      </w:r>
      <w:r>
        <w:rPr>
          <w:b/>
        </w:rPr>
        <w:t xml:space="preserve">el cese de </w:t>
      </w:r>
      <w:r w:rsidRPr="006B4D50">
        <w:rPr>
          <w:b/>
        </w:rPr>
        <w:t>es</w:t>
      </w:r>
      <w:r>
        <w:rPr>
          <w:b/>
        </w:rPr>
        <w:t>a</w:t>
      </w:r>
      <w:r w:rsidRPr="006B4D50">
        <w:rPr>
          <w:b/>
        </w:rPr>
        <w:t xml:space="preserve">s </w:t>
      </w:r>
      <w:r>
        <w:rPr>
          <w:b/>
        </w:rPr>
        <w:t>agresiones y</w:t>
      </w:r>
      <w:r w:rsidRPr="006B4D50">
        <w:rPr>
          <w:b/>
        </w:rPr>
        <w:t xml:space="preserve"> la pronta investigación y el rápido enjuiciamiento de esos delitos, y proporcionar a las víctimas acceso a recursos eficaces.</w:t>
      </w:r>
      <w:r>
        <w:rPr>
          <w:b/>
        </w:rPr>
        <w:t xml:space="preserve"> Asimismo, </w:t>
      </w:r>
      <w:r w:rsidRPr="006B4D50">
        <w:rPr>
          <w:b/>
        </w:rPr>
        <w:t xml:space="preserve">debería llevar a cabo campañas intensas de información pública para </w:t>
      </w:r>
      <w:r>
        <w:rPr>
          <w:b/>
        </w:rPr>
        <w:t xml:space="preserve">eliminar </w:t>
      </w:r>
      <w:r w:rsidRPr="006B4D50">
        <w:rPr>
          <w:b/>
        </w:rPr>
        <w:t>los prejuicios contra las minorías étnicas.</w:t>
      </w:r>
      <w:r>
        <w:rPr>
          <w:b/>
        </w:rPr>
        <w:t xml:space="preserve"> </w:t>
      </w:r>
      <w:r w:rsidRPr="006B4D50">
        <w:rPr>
          <w:b/>
        </w:rPr>
        <w:t>El Estado parte debería proseguir sus esfuerzos por acelerar el desarrollo económico de las regiones en las que habitan principalmente los repatriados de origen serbio.</w:t>
      </w:r>
    </w:p>
    <w:p w:rsidR="000139F7" w:rsidRPr="00F702AE" w:rsidRDefault="000139F7" w:rsidP="000139F7">
      <w:pPr>
        <w:pStyle w:val="SingleTxtG"/>
      </w:pPr>
      <w:r>
        <w:t>6</w:t>
      </w:r>
      <w:r w:rsidRPr="00F702AE">
        <w:t>.</w:t>
      </w:r>
      <w:r w:rsidRPr="00F702AE">
        <w:tab/>
      </w:r>
      <w:r>
        <w:t xml:space="preserve">Si bien </w:t>
      </w:r>
      <w:r w:rsidRPr="00F702AE">
        <w:t>celebra la adopción de diversas medidas encaminadas a que todas las personas desplazadas puedan volver al Estado parte, siguen preocupando al Comité los obstáculos que enfrentan los repatriados, especialmente los miembros de la minoría serbia, que tropiezan con dificultades para recuperar sus derecho</w:t>
      </w:r>
      <w:r>
        <w:t xml:space="preserve">s como propietarios o inquilinos, recibir </w:t>
      </w:r>
      <w:r w:rsidRPr="00F702AE">
        <w:t xml:space="preserve">asistencia para </w:t>
      </w:r>
      <w:r>
        <w:t xml:space="preserve">la </w:t>
      </w:r>
      <w:r w:rsidRPr="00F702AE">
        <w:t>reconstrucción</w:t>
      </w:r>
      <w:r>
        <w:t xml:space="preserve"> y reintegrarse </w:t>
      </w:r>
      <w:r w:rsidRPr="00F702AE">
        <w:t>en la sociedad croata.</w:t>
      </w:r>
      <w:r>
        <w:t xml:space="preserve"> </w:t>
      </w:r>
      <w:r w:rsidRPr="00F702AE">
        <w:t xml:space="preserve">Le </w:t>
      </w:r>
      <w:r>
        <w:t xml:space="preserve">inquietan </w:t>
      </w:r>
      <w:r w:rsidRPr="00F702AE">
        <w:t xml:space="preserve">también las informaciones de que muchos refugiados optan por no volver </w:t>
      </w:r>
      <w:r>
        <w:t xml:space="preserve">a establecerse de </w:t>
      </w:r>
      <w:r w:rsidRPr="00F702AE">
        <w:t xml:space="preserve">forma permanente </w:t>
      </w:r>
      <w:r>
        <w:t xml:space="preserve">en el </w:t>
      </w:r>
      <w:r w:rsidRPr="00F702AE">
        <w:t>Estado parte.</w:t>
      </w:r>
      <w:r>
        <w:t xml:space="preserve"> </w:t>
      </w:r>
      <w:r w:rsidRPr="00F702AE">
        <w:t xml:space="preserve">El Comité lamenta la escasez de datos sobre el acceso a la vivienda de los anteriores </w:t>
      </w:r>
      <w:r>
        <w:t>inquilinos</w:t>
      </w:r>
      <w:r w:rsidRPr="00F702AE">
        <w:t>, desglosados por origen étnico y por género (artículos 2, 12 y 26 del Pacto).</w:t>
      </w:r>
    </w:p>
    <w:p w:rsidR="000139F7" w:rsidRPr="00262258" w:rsidRDefault="000139F7" w:rsidP="000139F7">
      <w:pPr>
        <w:pStyle w:val="SingleTxtG"/>
        <w:rPr>
          <w:b/>
        </w:rPr>
      </w:pPr>
      <w:r w:rsidRPr="00262258">
        <w:rPr>
          <w:b/>
        </w:rPr>
        <w:t xml:space="preserve">El Estado parte debería </w:t>
      </w:r>
      <w:r>
        <w:rPr>
          <w:b/>
        </w:rPr>
        <w:t xml:space="preserve">redoblar </w:t>
      </w:r>
      <w:r w:rsidRPr="00262258">
        <w:rPr>
          <w:b/>
        </w:rPr>
        <w:t xml:space="preserve">sus esfuerzos por facilitar el retorno y la </w:t>
      </w:r>
      <w:r>
        <w:rPr>
          <w:b/>
        </w:rPr>
        <w:t xml:space="preserve">reintegración en la sociedad </w:t>
      </w:r>
      <w:r w:rsidRPr="00262258">
        <w:rPr>
          <w:b/>
        </w:rPr>
        <w:t xml:space="preserve">de todas las personas desplazadas </w:t>
      </w:r>
      <w:r>
        <w:rPr>
          <w:b/>
        </w:rPr>
        <w:t xml:space="preserve">a fin de que </w:t>
      </w:r>
      <w:r w:rsidRPr="00262258">
        <w:rPr>
          <w:b/>
        </w:rPr>
        <w:t>puedan residir permanentemente en el Estado parte.</w:t>
      </w:r>
      <w:r>
        <w:rPr>
          <w:b/>
        </w:rPr>
        <w:t xml:space="preserve"> </w:t>
      </w:r>
      <w:r w:rsidRPr="00262258">
        <w:rPr>
          <w:b/>
        </w:rPr>
        <w:t xml:space="preserve">También debería tratar de verificar el número de personas desplazadas que no quieren o no pueden retornar y explorar en mayor medida sus motivos para </w:t>
      </w:r>
      <w:r>
        <w:rPr>
          <w:b/>
        </w:rPr>
        <w:t>ello</w:t>
      </w:r>
      <w:r w:rsidRPr="00262258">
        <w:rPr>
          <w:b/>
        </w:rPr>
        <w:t>.</w:t>
      </w:r>
      <w:r>
        <w:rPr>
          <w:b/>
        </w:rPr>
        <w:t xml:space="preserve"> </w:t>
      </w:r>
      <w:r w:rsidRPr="00262258">
        <w:rPr>
          <w:b/>
        </w:rPr>
        <w:t xml:space="preserve">Debería </w:t>
      </w:r>
      <w:r>
        <w:rPr>
          <w:b/>
        </w:rPr>
        <w:t xml:space="preserve">igualmente </w:t>
      </w:r>
      <w:r w:rsidRPr="00262258">
        <w:rPr>
          <w:b/>
        </w:rPr>
        <w:t xml:space="preserve">agilizar la oferta de vivienda adecuada a los antiguos inquilinos </w:t>
      </w:r>
      <w:r>
        <w:rPr>
          <w:b/>
        </w:rPr>
        <w:t xml:space="preserve">y propietarios </w:t>
      </w:r>
      <w:r w:rsidRPr="00262258">
        <w:rPr>
          <w:b/>
        </w:rPr>
        <w:t>que deseen volver al Estado parte.</w:t>
      </w:r>
      <w:r>
        <w:rPr>
          <w:b/>
        </w:rPr>
        <w:t xml:space="preserve"> Asimismo, </w:t>
      </w:r>
      <w:r w:rsidRPr="00262258">
        <w:rPr>
          <w:b/>
        </w:rPr>
        <w:t>debería velar por que se procesaran con rapidez y en forma no discriminatoria las solicitudes y apelaciones restantes sobre fondos para la reconstrucción por daños de guerra y posguerra.</w:t>
      </w:r>
    </w:p>
    <w:p w:rsidR="000139F7" w:rsidRPr="00262258" w:rsidRDefault="000139F7" w:rsidP="000139F7">
      <w:pPr>
        <w:pStyle w:val="SingleTxtG"/>
      </w:pPr>
      <w:r>
        <w:t>7</w:t>
      </w:r>
      <w:r w:rsidRPr="00262258">
        <w:t>.</w:t>
      </w:r>
      <w:r w:rsidRPr="00262258">
        <w:tab/>
        <w:t xml:space="preserve">Preocupa al Comité que, a pesar de los progresos alcanzados respecto del adelanto de la mujer, especialmente en su participación en la vida política y en la </w:t>
      </w:r>
      <w:r>
        <w:t>función pública</w:t>
      </w:r>
      <w:r w:rsidRPr="00262258">
        <w:t>, persistan las desigualdades entre hombres y mujeres en muchas esferas.</w:t>
      </w:r>
      <w:r>
        <w:t xml:space="preserve"> </w:t>
      </w:r>
      <w:r w:rsidRPr="00262258">
        <w:t xml:space="preserve">Reitera su </w:t>
      </w:r>
      <w:r>
        <w:t xml:space="preserve">inquietud </w:t>
      </w:r>
      <w:r w:rsidRPr="00262258">
        <w:t xml:space="preserve">respecto de la alta tasa de desempleo entre las mujeres y </w:t>
      </w:r>
      <w:r>
        <w:t>su</w:t>
      </w:r>
      <w:r w:rsidRPr="00262258">
        <w:t xml:space="preserve"> representación insuficiente en los órganos legislativos y ejecutivos.</w:t>
      </w:r>
      <w:r>
        <w:t xml:space="preserve"> </w:t>
      </w:r>
      <w:r w:rsidRPr="00262258">
        <w:t>Le preocupan asimismo los estereotipos que subsisten respecto de la función de la mujer en la sociedad (artículos 3, 25 y 26 del Pacto).</w:t>
      </w:r>
    </w:p>
    <w:p w:rsidR="000139F7" w:rsidRPr="00262258" w:rsidRDefault="000139F7" w:rsidP="000139F7">
      <w:pPr>
        <w:pStyle w:val="SingleTxtG"/>
        <w:rPr>
          <w:b/>
        </w:rPr>
      </w:pPr>
      <w:r w:rsidRPr="00262258">
        <w:rPr>
          <w:b/>
        </w:rPr>
        <w:t>El Estado parte debería reforzar sus medidas para lograr la igualdad entre hombres y mujeres en todas las esferas, en particular mediante una aplicación más efectiva de la legislación pertinente, y aumentar la financiación para las instituciones establecidas con el fin de promover y proteger la igualdad de género.</w:t>
      </w:r>
      <w:r>
        <w:rPr>
          <w:b/>
        </w:rPr>
        <w:t xml:space="preserve"> </w:t>
      </w:r>
      <w:r w:rsidRPr="00262258">
        <w:rPr>
          <w:b/>
        </w:rPr>
        <w:t>También debería adoptar medidas positivas y coordinadas para seguir aumentando la participación de la mujer en la vida pública y política, así como en el sector privado, y proporcionar, en su próximo informe periódico, información sobre los resultados concretos que se hayan logrado, especialmente respecto del empleo en el sector privado.</w:t>
      </w:r>
      <w:r>
        <w:rPr>
          <w:b/>
        </w:rPr>
        <w:t xml:space="preserve"> </w:t>
      </w:r>
      <w:r w:rsidRPr="00262258">
        <w:rPr>
          <w:b/>
        </w:rPr>
        <w:t>El Estado parte debería intensificar sus esfuerzos para eliminar los estereotipos de género con miras a cambiar la percepción de la función de la mujer en la sociedad, entre otras cosas, mediante campañas de educación pública a nivel nacional y local y la capacitación de los maestros de escuela en el tema de la igualdad de género.</w:t>
      </w:r>
    </w:p>
    <w:p w:rsidR="000139F7" w:rsidRPr="00262258" w:rsidRDefault="000139F7" w:rsidP="000139F7">
      <w:pPr>
        <w:pStyle w:val="SingleTxtG"/>
      </w:pPr>
      <w:r>
        <w:t>8</w:t>
      </w:r>
      <w:r w:rsidRPr="00262258">
        <w:t>.</w:t>
      </w:r>
      <w:r w:rsidRPr="00262258">
        <w:tab/>
        <w:t xml:space="preserve">El Comité, aunque toma nota de los considerables esfuerzos desplegados por el Estado parte, sigue preocupado por los incidentes de violencia </w:t>
      </w:r>
      <w:r>
        <w:t xml:space="preserve">doméstica y la </w:t>
      </w:r>
      <w:r w:rsidRPr="00262258">
        <w:t>impunidad a causa de la baja tasa de condenas.</w:t>
      </w:r>
      <w:r>
        <w:t xml:space="preserve"> </w:t>
      </w:r>
      <w:r w:rsidRPr="00262258">
        <w:t>Lamenta la escasez de estadísticas sobre denuncias, juicios, penas e indemnizaci</w:t>
      </w:r>
      <w:r>
        <w:t>ones</w:t>
      </w:r>
      <w:r w:rsidRPr="00262258">
        <w:t xml:space="preserve"> en los casos de violencia contra la mujer, </w:t>
      </w:r>
      <w:r>
        <w:t xml:space="preserve">y la poca información con que se cuenta sobre albergues </w:t>
      </w:r>
      <w:r w:rsidRPr="00262258">
        <w:t>a los que puedan acudir las víctimas (artículos 3, 7, 23 y 26 del Pacto).</w:t>
      </w:r>
    </w:p>
    <w:p w:rsidR="000139F7" w:rsidRPr="00262258" w:rsidRDefault="000139F7" w:rsidP="000139F7">
      <w:pPr>
        <w:pStyle w:val="SingleTxtG"/>
        <w:rPr>
          <w:b/>
        </w:rPr>
      </w:pPr>
      <w:r w:rsidRPr="00262258">
        <w:rPr>
          <w:b/>
        </w:rPr>
        <w:t xml:space="preserve">El Estado parte debería intensificar sus esfuerzos en pos de la eliminación de la violencia </w:t>
      </w:r>
      <w:r>
        <w:rPr>
          <w:b/>
        </w:rPr>
        <w:t>doméstica</w:t>
      </w:r>
      <w:r w:rsidRPr="00262258">
        <w:rPr>
          <w:b/>
        </w:rPr>
        <w:t>, entre otras cosas, mediante lo siguiente:</w:t>
      </w:r>
    </w:p>
    <w:p w:rsidR="000139F7" w:rsidRPr="00262258" w:rsidRDefault="000139F7" w:rsidP="000139F7">
      <w:pPr>
        <w:pStyle w:val="SingleTxtG"/>
        <w:rPr>
          <w:b/>
        </w:rPr>
      </w:pPr>
      <w:r>
        <w:rPr>
          <w:b/>
        </w:rPr>
        <w:tab/>
      </w:r>
      <w:r w:rsidRPr="00262258">
        <w:rPr>
          <w:b/>
        </w:rPr>
        <w:t>a)</w:t>
      </w:r>
      <w:r w:rsidRPr="00262258">
        <w:rPr>
          <w:b/>
        </w:rPr>
        <w:tab/>
        <w:t xml:space="preserve">La aplicación efectiva de la Ley de protección </w:t>
      </w:r>
      <w:r>
        <w:rPr>
          <w:b/>
        </w:rPr>
        <w:t xml:space="preserve">frente a </w:t>
      </w:r>
      <w:r w:rsidRPr="00262258">
        <w:rPr>
          <w:b/>
        </w:rPr>
        <w:t>la violencia en la familia y otras leyes pertinentes;</w:t>
      </w:r>
    </w:p>
    <w:p w:rsidR="000139F7" w:rsidRPr="00262258" w:rsidRDefault="000139F7" w:rsidP="000139F7">
      <w:pPr>
        <w:pStyle w:val="SingleTxtG"/>
        <w:rPr>
          <w:b/>
        </w:rPr>
      </w:pPr>
      <w:r>
        <w:rPr>
          <w:b/>
        </w:rPr>
        <w:tab/>
      </w:r>
      <w:r w:rsidRPr="00262258">
        <w:rPr>
          <w:b/>
        </w:rPr>
        <w:t>b)</w:t>
      </w:r>
      <w:r w:rsidRPr="00262258">
        <w:rPr>
          <w:b/>
        </w:rPr>
        <w:tab/>
        <w:t xml:space="preserve">La preparación de estadísticas </w:t>
      </w:r>
      <w:r>
        <w:rPr>
          <w:b/>
        </w:rPr>
        <w:t>adecuadas</w:t>
      </w:r>
      <w:r w:rsidRPr="00262258">
        <w:rPr>
          <w:b/>
        </w:rPr>
        <w:t xml:space="preserve">, que incluyan el sexo, la edad y el parentesco </w:t>
      </w:r>
      <w:r>
        <w:rPr>
          <w:b/>
        </w:rPr>
        <w:t xml:space="preserve">de </w:t>
      </w:r>
      <w:r w:rsidRPr="00262258">
        <w:rPr>
          <w:b/>
        </w:rPr>
        <w:t>las víctimas y los autores de los delitos, el tipo de sanciones impuestas y la indemnización proporcionada a las víctimas</w:t>
      </w:r>
      <w:r>
        <w:rPr>
          <w:b/>
        </w:rPr>
        <w:t>;</w:t>
      </w:r>
      <w:r w:rsidRPr="00262258">
        <w:rPr>
          <w:b/>
        </w:rPr>
        <w:t xml:space="preserve"> y</w:t>
      </w:r>
    </w:p>
    <w:p w:rsidR="000139F7" w:rsidRPr="00262258" w:rsidRDefault="000139F7" w:rsidP="000139F7">
      <w:pPr>
        <w:pStyle w:val="SingleTxtG"/>
        <w:rPr>
          <w:b/>
        </w:rPr>
      </w:pPr>
      <w:r>
        <w:rPr>
          <w:b/>
        </w:rPr>
        <w:tab/>
      </w:r>
      <w:r w:rsidRPr="00262258">
        <w:rPr>
          <w:b/>
        </w:rPr>
        <w:t>c)</w:t>
      </w:r>
      <w:r w:rsidRPr="00262258">
        <w:rPr>
          <w:b/>
        </w:rPr>
        <w:tab/>
        <w:t xml:space="preserve">La </w:t>
      </w:r>
      <w:r>
        <w:rPr>
          <w:b/>
        </w:rPr>
        <w:t xml:space="preserve">prestación adecuada y </w:t>
      </w:r>
      <w:r w:rsidRPr="00262258">
        <w:rPr>
          <w:b/>
        </w:rPr>
        <w:t>suficiente de servicios a las víctimas, con inclusión de un número suficiente de albergues y programas de rehabilitación.</w:t>
      </w:r>
    </w:p>
    <w:p w:rsidR="000139F7" w:rsidRPr="00262258" w:rsidRDefault="000139F7" w:rsidP="000139F7">
      <w:pPr>
        <w:pStyle w:val="SingleTxtG"/>
      </w:pPr>
      <w:r>
        <w:t>9</w:t>
      </w:r>
      <w:r w:rsidRPr="00262258">
        <w:t>.</w:t>
      </w:r>
      <w:r w:rsidRPr="00262258">
        <w:tab/>
        <w:t xml:space="preserve">A pesar de la explicación dada por la delegación, el Comité reitera su temor de que el artículo 17 de la Constitución del Estado parte </w:t>
      </w:r>
      <w:r>
        <w:t xml:space="preserve">no sea </w:t>
      </w:r>
      <w:r w:rsidRPr="00262258">
        <w:t xml:space="preserve">enteramente </w:t>
      </w:r>
      <w:r>
        <w:t xml:space="preserve">coherente </w:t>
      </w:r>
      <w:r w:rsidRPr="00262258">
        <w:t>con el artículo 4 del Pacto</w:t>
      </w:r>
      <w:r>
        <w:t>,</w:t>
      </w:r>
      <w:r w:rsidRPr="00262258">
        <w:t xml:space="preserve"> pues las bases constitucionales para justificar </w:t>
      </w:r>
      <w:r>
        <w:t xml:space="preserve">la suspensión de un derecho </w:t>
      </w:r>
      <w:r w:rsidRPr="00262258">
        <w:t xml:space="preserve">son más amplias que los requisitos del artículo 4, las medidas de </w:t>
      </w:r>
      <w:r>
        <w:t xml:space="preserve">restricción </w:t>
      </w:r>
      <w:r w:rsidRPr="00262258">
        <w:t xml:space="preserve">no están limitadas a las necesarias por las exigencias de la situación y no se incluyen </w:t>
      </w:r>
      <w:r>
        <w:t xml:space="preserve">en el artículo 17 </w:t>
      </w:r>
      <w:r w:rsidRPr="00262258">
        <w:t xml:space="preserve">algunos derechos que no </w:t>
      </w:r>
      <w:r>
        <w:t xml:space="preserve">se pueden suspender con arreglo al </w:t>
      </w:r>
      <w:r w:rsidRPr="00262258">
        <w:t>Pacto (artículo 4 del Pacto).</w:t>
      </w:r>
    </w:p>
    <w:p w:rsidR="000139F7" w:rsidRPr="00262258" w:rsidRDefault="000139F7" w:rsidP="000139F7">
      <w:pPr>
        <w:pStyle w:val="SingleTxtG"/>
        <w:rPr>
          <w:b/>
        </w:rPr>
      </w:pPr>
      <w:r w:rsidRPr="00262258">
        <w:rPr>
          <w:b/>
        </w:rPr>
        <w:t xml:space="preserve">El Estado parte debería lograr que sus disposiciones constitucionales sobre los estados de </w:t>
      </w:r>
      <w:r>
        <w:rPr>
          <w:b/>
        </w:rPr>
        <w:t xml:space="preserve">excepción fueran </w:t>
      </w:r>
      <w:r w:rsidRPr="00262258">
        <w:rPr>
          <w:b/>
        </w:rPr>
        <w:t>totalmente compatibles con el artículo 4 del Pacto.</w:t>
      </w:r>
      <w:r>
        <w:rPr>
          <w:b/>
        </w:rPr>
        <w:t xml:space="preserve"> </w:t>
      </w:r>
      <w:r w:rsidRPr="00262258">
        <w:rPr>
          <w:b/>
        </w:rPr>
        <w:t xml:space="preserve">A este respecto, el Comité señala a la atención del Estado parte su Observación general Nº 29 (2001) sobre las restricciones durante un estado de </w:t>
      </w:r>
      <w:r>
        <w:rPr>
          <w:b/>
        </w:rPr>
        <w:t>excepción</w:t>
      </w:r>
      <w:r w:rsidRPr="00262258">
        <w:rPr>
          <w:b/>
        </w:rPr>
        <w:t>.</w:t>
      </w:r>
    </w:p>
    <w:p w:rsidR="000139F7" w:rsidRPr="0066006D" w:rsidRDefault="000139F7" w:rsidP="000139F7">
      <w:pPr>
        <w:pStyle w:val="SingleTxtG"/>
      </w:pPr>
      <w:r w:rsidRPr="0066006D">
        <w:t>1</w:t>
      </w:r>
      <w:r>
        <w:t>0</w:t>
      </w:r>
      <w:r w:rsidRPr="0066006D">
        <w:t>.</w:t>
      </w:r>
      <w:r>
        <w:tab/>
      </w:r>
      <w:r w:rsidRPr="0066006D">
        <w:t>Aunque el Estado parte se ha comprometido públicamente a llevar adelante los procesos de todos los casos de crímenes de guerra pendientes, sigue preocupando al Comité la informaci</w:t>
      </w:r>
      <w:r>
        <w:t>ón</w:t>
      </w:r>
      <w:r w:rsidRPr="0066006D">
        <w:t xml:space="preserve"> de que aún no se han resuelto muchos posibles casos de crímenes de guerra, y que </w:t>
      </w:r>
      <w:r>
        <w:t xml:space="preserve">se han seleccionado de manera desproporcionada los casos de </w:t>
      </w:r>
      <w:r w:rsidRPr="0066006D">
        <w:t xml:space="preserve">miembros de la etnia serbia. El Comité lamenta que el Estado parte no haya proporcionado información estadística sobre el origen étnico de los </w:t>
      </w:r>
      <w:r>
        <w:t xml:space="preserve">autores </w:t>
      </w:r>
      <w:r w:rsidRPr="0066006D">
        <w:t xml:space="preserve">y las víctimas en los procesos nacionales por crímenes de guerra, y observa el escaso número de casos juzgados por las salas especiales de crímenes de guerra. Lamenta también la falta de información pormenorizada sobre los casos en que se ha aplicado la Ley de amnistía. Por último, </w:t>
      </w:r>
      <w:r>
        <w:t xml:space="preserve">señala </w:t>
      </w:r>
      <w:r w:rsidRPr="0066006D">
        <w:t>con preocupación de que el Estado parte aún no ha localizado ni entregado al Tribunal Penal Internacional para la ex Yugoslavia los documentos sobre los bombardeos realizados por las fuerzas croatas durante la Operación Tormenta, en 1995, que son necesarios para que el Tribunal pueda proceder a la investigación (artículos 2, 6, 7 y 14 del Pacto)</w:t>
      </w:r>
      <w:r>
        <w:t>.</w:t>
      </w:r>
    </w:p>
    <w:p w:rsidR="000139F7" w:rsidRPr="000B669C" w:rsidRDefault="000139F7" w:rsidP="000139F7">
      <w:pPr>
        <w:pStyle w:val="SingleTxtG"/>
        <w:rPr>
          <w:b/>
        </w:rPr>
      </w:pPr>
      <w:r w:rsidRPr="000B669C">
        <w:rPr>
          <w:b/>
        </w:rPr>
        <w:t xml:space="preserve">El Estado parte debería: </w:t>
      </w:r>
    </w:p>
    <w:p w:rsidR="000139F7" w:rsidRPr="000B669C" w:rsidRDefault="000139F7" w:rsidP="000139F7">
      <w:pPr>
        <w:pStyle w:val="SingleTxtG"/>
        <w:rPr>
          <w:b/>
        </w:rPr>
      </w:pPr>
      <w:r>
        <w:rPr>
          <w:b/>
        </w:rPr>
        <w:tab/>
      </w:r>
      <w:r w:rsidRPr="000B669C">
        <w:rPr>
          <w:b/>
        </w:rPr>
        <w:t>a)</w:t>
      </w:r>
      <w:r>
        <w:rPr>
          <w:b/>
        </w:rPr>
        <w:tab/>
        <w:t xml:space="preserve">Determinar </w:t>
      </w:r>
      <w:r w:rsidRPr="000B669C">
        <w:rPr>
          <w:b/>
        </w:rPr>
        <w:t>sin demora el número y la gama de los crímenes de guerra cometidos, independientemente del origen étnico de las personas implicadas, a fin de procesar rápidamente los casos</w:t>
      </w:r>
      <w:r>
        <w:rPr>
          <w:b/>
        </w:rPr>
        <w:t xml:space="preserve"> pendientes</w:t>
      </w:r>
      <w:r w:rsidRPr="000B669C">
        <w:rPr>
          <w:b/>
        </w:rPr>
        <w:t>;</w:t>
      </w:r>
    </w:p>
    <w:p w:rsidR="000139F7" w:rsidRPr="000B669C" w:rsidRDefault="000139F7" w:rsidP="000139F7">
      <w:pPr>
        <w:pStyle w:val="SingleTxtG"/>
        <w:rPr>
          <w:b/>
        </w:rPr>
      </w:pPr>
      <w:r>
        <w:rPr>
          <w:b/>
        </w:rPr>
        <w:tab/>
      </w:r>
      <w:r w:rsidRPr="000B669C">
        <w:rPr>
          <w:b/>
        </w:rPr>
        <w:t>b)</w:t>
      </w:r>
      <w:r>
        <w:rPr>
          <w:b/>
        </w:rPr>
        <w:tab/>
        <w:t>A</w:t>
      </w:r>
      <w:r w:rsidRPr="000B669C">
        <w:rPr>
          <w:b/>
        </w:rPr>
        <w:t xml:space="preserve">doptar medidas efectivas para que todos los casos de crímenes de guerra sean objeto de procesos judiciales no discriminatorios, independientemente del origen étnico de los </w:t>
      </w:r>
      <w:r>
        <w:rPr>
          <w:b/>
        </w:rPr>
        <w:t>autores</w:t>
      </w:r>
      <w:r w:rsidRPr="000B669C">
        <w:rPr>
          <w:b/>
        </w:rPr>
        <w:t xml:space="preserve">, y recopilar los datos estadísticos relativos a las víctimas y los </w:t>
      </w:r>
      <w:r>
        <w:rPr>
          <w:b/>
        </w:rPr>
        <w:t xml:space="preserve">acusados de </w:t>
      </w:r>
      <w:r w:rsidRPr="000B669C">
        <w:rPr>
          <w:b/>
        </w:rPr>
        <w:t>crímenes de guerra en juicios ya realizados y en curso;</w:t>
      </w:r>
    </w:p>
    <w:p w:rsidR="000139F7" w:rsidRPr="000B669C" w:rsidRDefault="000139F7" w:rsidP="000139F7">
      <w:pPr>
        <w:pStyle w:val="SingleTxtG"/>
        <w:rPr>
          <w:b/>
        </w:rPr>
      </w:pPr>
      <w:r>
        <w:rPr>
          <w:b/>
        </w:rPr>
        <w:tab/>
      </w:r>
      <w:r w:rsidRPr="000B669C">
        <w:rPr>
          <w:b/>
        </w:rPr>
        <w:t>c)</w:t>
      </w:r>
      <w:r>
        <w:rPr>
          <w:b/>
        </w:rPr>
        <w:tab/>
        <w:t xml:space="preserve">Redoblar los esfuerzos </w:t>
      </w:r>
      <w:r w:rsidRPr="000B669C">
        <w:rPr>
          <w:b/>
        </w:rPr>
        <w:t xml:space="preserve">para </w:t>
      </w:r>
      <w:r>
        <w:rPr>
          <w:b/>
        </w:rPr>
        <w:t xml:space="preserve">lograr </w:t>
      </w:r>
      <w:r w:rsidRPr="000B669C">
        <w:rPr>
          <w:b/>
        </w:rPr>
        <w:t>que se utilice al máximo la posibilidad de remitir los casos a las salas especiales de crímenes de guerra;</w:t>
      </w:r>
    </w:p>
    <w:p w:rsidR="000139F7" w:rsidRPr="000B669C" w:rsidRDefault="000139F7" w:rsidP="000139F7">
      <w:pPr>
        <w:pStyle w:val="SingleTxtG"/>
        <w:rPr>
          <w:b/>
        </w:rPr>
      </w:pPr>
      <w:r>
        <w:rPr>
          <w:b/>
        </w:rPr>
        <w:tab/>
      </w:r>
      <w:r w:rsidRPr="000B669C">
        <w:rPr>
          <w:b/>
        </w:rPr>
        <w:t>d)</w:t>
      </w:r>
      <w:r>
        <w:rPr>
          <w:b/>
        </w:rPr>
        <w:tab/>
        <w:t>A</w:t>
      </w:r>
      <w:r w:rsidRPr="000B669C">
        <w:rPr>
          <w:b/>
        </w:rPr>
        <w:t xml:space="preserve">segurar que la Ley de amnistía no se aplique en casos de violaciones graves de los derechos humanos </w:t>
      </w:r>
      <w:r>
        <w:rPr>
          <w:b/>
        </w:rPr>
        <w:t xml:space="preserve">ni de </w:t>
      </w:r>
      <w:r w:rsidRPr="000B669C">
        <w:rPr>
          <w:b/>
        </w:rPr>
        <w:t>violaciones que constituy</w:t>
      </w:r>
      <w:r>
        <w:rPr>
          <w:b/>
        </w:rPr>
        <w:t>a</w:t>
      </w:r>
      <w:r w:rsidRPr="000B669C">
        <w:rPr>
          <w:b/>
        </w:rPr>
        <w:t xml:space="preserve">n crímenes de lesa humanidad o crímenes de guerra; </w:t>
      </w:r>
    </w:p>
    <w:p w:rsidR="000139F7" w:rsidRDefault="000139F7" w:rsidP="000139F7">
      <w:pPr>
        <w:pStyle w:val="SingleTxtG"/>
        <w:rPr>
          <w:b/>
        </w:rPr>
      </w:pPr>
      <w:r>
        <w:rPr>
          <w:b/>
        </w:rPr>
        <w:tab/>
      </w:r>
      <w:r w:rsidRPr="000B669C">
        <w:rPr>
          <w:b/>
        </w:rPr>
        <w:t>e)</w:t>
      </w:r>
      <w:r>
        <w:rPr>
          <w:b/>
        </w:rPr>
        <w:tab/>
        <w:t>A</w:t>
      </w:r>
      <w:r w:rsidRPr="000B669C">
        <w:rPr>
          <w:b/>
        </w:rPr>
        <w:t>celerar el proceso de recuperación y entrega de los documentos de las operaciones militares croatas que necesita el Tribunal Penal Internacional para la ex Yugoslavia pa</w:t>
      </w:r>
      <w:r>
        <w:rPr>
          <w:b/>
        </w:rPr>
        <w:t>ra terminar sus investigaciones;</w:t>
      </w:r>
    </w:p>
    <w:p w:rsidR="000139F7" w:rsidRPr="000B669C" w:rsidRDefault="000139F7" w:rsidP="000139F7">
      <w:pPr>
        <w:pStyle w:val="SingleTxtG"/>
        <w:rPr>
          <w:b/>
        </w:rPr>
      </w:pPr>
      <w:r>
        <w:rPr>
          <w:b/>
        </w:rPr>
        <w:tab/>
        <w:t>f)</w:t>
      </w:r>
      <w:r>
        <w:rPr>
          <w:b/>
        </w:rPr>
        <w:tab/>
        <w:t>Asegurar la suspensión de la prescripción extintiva para el período correspondiente al conflicto, de manera que se puedan enjuiciar los casos graves de torturas y asesinatos.</w:t>
      </w:r>
    </w:p>
    <w:p w:rsidR="000139F7" w:rsidRPr="0066006D" w:rsidRDefault="000139F7" w:rsidP="000139F7">
      <w:pPr>
        <w:pStyle w:val="SingleTxtG"/>
      </w:pPr>
      <w:r w:rsidRPr="0066006D">
        <w:t>1</w:t>
      </w:r>
      <w:r>
        <w:t>1</w:t>
      </w:r>
      <w:r w:rsidRPr="0066006D">
        <w:t>.</w:t>
      </w:r>
      <w:r>
        <w:tab/>
      </w:r>
      <w:r w:rsidRPr="0066006D">
        <w:t>El Comité expresa preocupación por los juicios de crímenes de guerra sustanciados en rebeldía, y toma nota de la oposición de la Fiscalía General a la celebración de esos juicios (artículo 14 del Pacto).</w:t>
      </w:r>
    </w:p>
    <w:p w:rsidR="000139F7" w:rsidRPr="000B669C" w:rsidRDefault="000139F7" w:rsidP="000139F7">
      <w:pPr>
        <w:pStyle w:val="SingleTxtG"/>
        <w:rPr>
          <w:b/>
        </w:rPr>
      </w:pPr>
      <w:r w:rsidRPr="000B669C">
        <w:rPr>
          <w:b/>
          <w:bCs/>
        </w:rPr>
        <w:t xml:space="preserve">El Estado parte debe </w:t>
      </w:r>
      <w:r>
        <w:rPr>
          <w:b/>
          <w:bCs/>
        </w:rPr>
        <w:t xml:space="preserve">asegurar </w:t>
      </w:r>
      <w:r w:rsidRPr="000B669C">
        <w:rPr>
          <w:b/>
          <w:bCs/>
        </w:rPr>
        <w:t xml:space="preserve">que las personas condenadas en rebeldía tengan a su disposición recursos eficaces que incluyan la posibilidad de </w:t>
      </w:r>
      <w:r>
        <w:rPr>
          <w:b/>
          <w:bCs/>
        </w:rPr>
        <w:t>re</w:t>
      </w:r>
      <w:r w:rsidRPr="000B669C">
        <w:rPr>
          <w:b/>
          <w:bCs/>
        </w:rPr>
        <w:t xml:space="preserve">abrir la causa, y que todos los juicios </w:t>
      </w:r>
      <w:r>
        <w:rPr>
          <w:b/>
          <w:bCs/>
        </w:rPr>
        <w:t xml:space="preserve">de ese tipo </w:t>
      </w:r>
      <w:r w:rsidRPr="000B669C">
        <w:rPr>
          <w:b/>
          <w:bCs/>
        </w:rPr>
        <w:t xml:space="preserve">en curso y </w:t>
      </w:r>
      <w:r>
        <w:rPr>
          <w:b/>
          <w:bCs/>
        </w:rPr>
        <w:t xml:space="preserve">futuros </w:t>
      </w:r>
      <w:r w:rsidRPr="000B669C">
        <w:rPr>
          <w:b/>
          <w:bCs/>
        </w:rPr>
        <w:t xml:space="preserve">se </w:t>
      </w:r>
      <w:r>
        <w:rPr>
          <w:b/>
          <w:bCs/>
        </w:rPr>
        <w:t xml:space="preserve">celebren </w:t>
      </w:r>
      <w:r w:rsidRPr="000B669C">
        <w:rPr>
          <w:b/>
          <w:bCs/>
        </w:rPr>
        <w:t>de conformidad con el artículo 14 del Pacto</w:t>
      </w:r>
      <w:r>
        <w:rPr>
          <w:b/>
          <w:bCs/>
        </w:rPr>
        <w:t xml:space="preserve"> y teniendo en cuenta la Observación general Nº 32 (2007) del Comité, relativa al derecho a un juicio imparcial y a la igualdad ante los tribunales y cortes de justicia (párrs. 31 y 36)</w:t>
      </w:r>
      <w:r w:rsidRPr="000B669C">
        <w:rPr>
          <w:b/>
          <w:bCs/>
        </w:rPr>
        <w:t>.</w:t>
      </w:r>
    </w:p>
    <w:p w:rsidR="000139F7" w:rsidRPr="0066006D" w:rsidRDefault="000139F7" w:rsidP="000139F7">
      <w:pPr>
        <w:pStyle w:val="SingleTxtG"/>
      </w:pPr>
      <w:r w:rsidRPr="0066006D">
        <w:t>1</w:t>
      </w:r>
      <w:r>
        <w:t>2</w:t>
      </w:r>
      <w:r w:rsidRPr="0066006D">
        <w:t>.</w:t>
      </w:r>
      <w:r>
        <w:tab/>
      </w:r>
      <w:r w:rsidRPr="0066006D">
        <w:t xml:space="preserve">Si bien toma nota de la declaración </w:t>
      </w:r>
      <w:r>
        <w:t xml:space="preserve">del Estado parte </w:t>
      </w:r>
      <w:r w:rsidRPr="0066006D">
        <w:t xml:space="preserve">sobre </w:t>
      </w:r>
      <w:r>
        <w:t xml:space="preserve">su </w:t>
      </w:r>
      <w:r w:rsidRPr="0066006D">
        <w:t>compromiso de eliminar el uso en las instituciones de camas para limitar los movimientos (camas jaulas/camas con red) como medio de contención de</w:t>
      </w:r>
      <w:r>
        <w:t xml:space="preserve"> los</w:t>
      </w:r>
      <w:r w:rsidRPr="0066006D">
        <w:t xml:space="preserve"> enfermos mentales, incluidos niños, </w:t>
      </w:r>
      <w:r>
        <w:t xml:space="preserve">preocupa al Comité que esas camas se utilicen </w:t>
      </w:r>
      <w:r w:rsidRPr="0066006D">
        <w:t>en la actualidad. El Comité recuerda que esa práctica constituye un trato inhumano y degradante (artículos 7, 9 y 10 del Pacto).</w:t>
      </w:r>
    </w:p>
    <w:p w:rsidR="000139F7" w:rsidRPr="004B3513" w:rsidRDefault="000139F7" w:rsidP="000139F7">
      <w:pPr>
        <w:pStyle w:val="SingleTxtG"/>
        <w:rPr>
          <w:b/>
          <w:bCs/>
        </w:rPr>
      </w:pPr>
      <w:r w:rsidRPr="004B3513">
        <w:rPr>
          <w:b/>
          <w:bCs/>
        </w:rPr>
        <w:t xml:space="preserve">El Estado parte debería adoptar </w:t>
      </w:r>
      <w:r>
        <w:rPr>
          <w:b/>
          <w:bCs/>
        </w:rPr>
        <w:t>inmediatamente</w:t>
      </w:r>
      <w:r w:rsidRPr="004B3513">
        <w:rPr>
          <w:b/>
          <w:bCs/>
        </w:rPr>
        <w:t xml:space="preserve"> </w:t>
      </w:r>
      <w:r>
        <w:rPr>
          <w:b/>
          <w:bCs/>
        </w:rPr>
        <w:t xml:space="preserve">medidas </w:t>
      </w:r>
      <w:r w:rsidRPr="004B3513">
        <w:rPr>
          <w:b/>
          <w:bCs/>
        </w:rPr>
        <w:t>para eliminar la utilización de camas que limit</w:t>
      </w:r>
      <w:r>
        <w:rPr>
          <w:b/>
          <w:bCs/>
        </w:rPr>
        <w:t>e</w:t>
      </w:r>
      <w:r w:rsidRPr="004B3513">
        <w:rPr>
          <w:b/>
          <w:bCs/>
        </w:rPr>
        <w:t xml:space="preserve">n los movimientos en las instituciones psiquiátricas y conexas. Asimismo, debería establecer un sistema de inspección </w:t>
      </w:r>
      <w:r>
        <w:rPr>
          <w:b/>
          <w:bCs/>
        </w:rPr>
        <w:t>que tuviera</w:t>
      </w:r>
      <w:r w:rsidRPr="004B3513">
        <w:rPr>
          <w:b/>
          <w:bCs/>
        </w:rPr>
        <w:t xml:space="preserve"> en cuenta los Principios de las Naciones Unidas para la protección de los enfermos mentales y para el mejoramiento de la atención de la salud mental.</w:t>
      </w:r>
    </w:p>
    <w:p w:rsidR="000139F7" w:rsidRPr="0066006D" w:rsidRDefault="000139F7" w:rsidP="000139F7">
      <w:pPr>
        <w:pStyle w:val="SingleTxtG"/>
      </w:pPr>
      <w:r w:rsidRPr="0066006D">
        <w:t>1</w:t>
      </w:r>
      <w:r>
        <w:t>3</w:t>
      </w:r>
      <w:r w:rsidRPr="0066006D">
        <w:t>.</w:t>
      </w:r>
      <w:r>
        <w:tab/>
      </w:r>
      <w:r w:rsidRPr="0066006D">
        <w:t xml:space="preserve">El Comité toma nota de la legislación adoptada por el Estado parte para mejorar las condiciones de detención, en particular el Plan de Acción de la Estrategia de reforma judicial, de 2008, y el Plan de Acción para mejorar el sistema carcelario, de 2009, pero expresa </w:t>
      </w:r>
      <w:r>
        <w:t xml:space="preserve">su inquietud </w:t>
      </w:r>
      <w:r w:rsidRPr="0066006D">
        <w:t xml:space="preserve">por </w:t>
      </w:r>
      <w:r>
        <w:t xml:space="preserve">las </w:t>
      </w:r>
      <w:r w:rsidRPr="0066006D">
        <w:t>persistente</w:t>
      </w:r>
      <w:r>
        <w:t>s</w:t>
      </w:r>
      <w:r w:rsidRPr="0066006D">
        <w:t xml:space="preserve"> malas condiciones </w:t>
      </w:r>
      <w:r>
        <w:t xml:space="preserve">reinantes </w:t>
      </w:r>
      <w:r w:rsidRPr="0066006D">
        <w:t>en los establecimiento</w:t>
      </w:r>
      <w:r>
        <w:t xml:space="preserve">s de detención del Estado parte, entre otras cosas, el hacinamiento y el acceso insuficiente a servicios médicos </w:t>
      </w:r>
      <w:r w:rsidRPr="0066006D">
        <w:t>(artículos 7 y 10 del Pacto).</w:t>
      </w:r>
    </w:p>
    <w:p w:rsidR="000139F7" w:rsidRPr="00E46933" w:rsidRDefault="000139F7" w:rsidP="000139F7">
      <w:pPr>
        <w:pStyle w:val="SingleTxtG"/>
        <w:rPr>
          <w:b/>
          <w:bCs/>
        </w:rPr>
      </w:pPr>
      <w:r w:rsidRPr="00E46933">
        <w:rPr>
          <w:b/>
          <w:bCs/>
        </w:rPr>
        <w:t>El Estado parte debe</w:t>
      </w:r>
      <w:r>
        <w:rPr>
          <w:b/>
          <w:bCs/>
        </w:rPr>
        <w:t>ría</w:t>
      </w:r>
      <w:r w:rsidRPr="00E46933">
        <w:rPr>
          <w:b/>
          <w:bCs/>
        </w:rPr>
        <w:t xml:space="preserve"> intensificar sus esfuerzos </w:t>
      </w:r>
      <w:r>
        <w:rPr>
          <w:b/>
          <w:bCs/>
        </w:rPr>
        <w:t xml:space="preserve">por </w:t>
      </w:r>
      <w:r w:rsidRPr="00E46933">
        <w:rPr>
          <w:b/>
          <w:bCs/>
        </w:rPr>
        <w:t>mejorar las condiciones de encarcelamiento de todos los presos, a fin de cumplir plenamente los requisitos de las Reglas mínimas para el tratamiento de los reclusos. Debe</w:t>
      </w:r>
      <w:r>
        <w:rPr>
          <w:b/>
          <w:bCs/>
        </w:rPr>
        <w:t>ría</w:t>
      </w:r>
      <w:r w:rsidRPr="00E46933">
        <w:rPr>
          <w:b/>
          <w:bCs/>
        </w:rPr>
        <w:t xml:space="preserve"> tratar de resolver</w:t>
      </w:r>
      <w:r>
        <w:rPr>
          <w:b/>
          <w:bCs/>
        </w:rPr>
        <w:t xml:space="preserve">, con carácter </w:t>
      </w:r>
      <w:r w:rsidRPr="00E46933">
        <w:rPr>
          <w:b/>
          <w:bCs/>
        </w:rPr>
        <w:t>prioritari</w:t>
      </w:r>
      <w:r>
        <w:rPr>
          <w:b/>
          <w:bCs/>
        </w:rPr>
        <w:t>o,</w:t>
      </w:r>
      <w:r w:rsidRPr="00E46933">
        <w:rPr>
          <w:b/>
          <w:bCs/>
        </w:rPr>
        <w:t xml:space="preserve"> el problema del hacinamiento mediante, entre otras cosas, </w:t>
      </w:r>
      <w:r>
        <w:rPr>
          <w:b/>
          <w:bCs/>
        </w:rPr>
        <w:t>una mayor</w:t>
      </w:r>
      <w:r w:rsidRPr="00E46933">
        <w:rPr>
          <w:b/>
          <w:bCs/>
        </w:rPr>
        <w:t xml:space="preserve"> aplicación de </w:t>
      </w:r>
      <w:r>
        <w:rPr>
          <w:b/>
          <w:bCs/>
        </w:rPr>
        <w:t xml:space="preserve">las </w:t>
      </w:r>
      <w:r w:rsidRPr="00E46933">
        <w:rPr>
          <w:b/>
          <w:bCs/>
        </w:rPr>
        <w:t>penas alternativas y una menor utilización de la detención preventiva. En su próximo informe periódico el Estado parte debe</w:t>
      </w:r>
      <w:r>
        <w:rPr>
          <w:b/>
          <w:bCs/>
        </w:rPr>
        <w:t>ría</w:t>
      </w:r>
      <w:r w:rsidRPr="00E46933">
        <w:rPr>
          <w:b/>
          <w:bCs/>
        </w:rPr>
        <w:t xml:space="preserve"> proporcionar al Comité datos estadísticos y otras informaciones que ilustren los progresos realizados </w:t>
      </w:r>
      <w:r>
        <w:rPr>
          <w:b/>
          <w:bCs/>
        </w:rPr>
        <w:t>a ese respecto</w:t>
      </w:r>
      <w:r w:rsidRPr="00E46933">
        <w:rPr>
          <w:b/>
          <w:bCs/>
        </w:rPr>
        <w:t>.</w:t>
      </w:r>
    </w:p>
    <w:p w:rsidR="000139F7" w:rsidRPr="0066006D" w:rsidRDefault="000139F7" w:rsidP="000139F7">
      <w:pPr>
        <w:pStyle w:val="SingleTxtG"/>
      </w:pPr>
      <w:r w:rsidRPr="0066006D">
        <w:t>1</w:t>
      </w:r>
      <w:r>
        <w:t>4</w:t>
      </w:r>
      <w:r w:rsidRPr="0066006D">
        <w:t>.</w:t>
      </w:r>
      <w:r>
        <w:tab/>
      </w:r>
      <w:r w:rsidRPr="0066006D">
        <w:t xml:space="preserve">Si bien el Comité toma nota del bajo número de desplazados internos y </w:t>
      </w:r>
      <w:r>
        <w:t xml:space="preserve">de </w:t>
      </w:r>
      <w:r w:rsidRPr="0066006D">
        <w:t xml:space="preserve">los esfuerzos que ha </w:t>
      </w:r>
      <w:r>
        <w:t xml:space="preserve">hecho </w:t>
      </w:r>
      <w:r w:rsidRPr="0066006D">
        <w:t xml:space="preserve">el Estado parte para resolver su difícil situación, considera </w:t>
      </w:r>
      <w:r>
        <w:t xml:space="preserve">inquietante </w:t>
      </w:r>
      <w:r w:rsidRPr="0066006D">
        <w:t>que muchas de esas personas permanezcan en alojamientos colectivos (art</w:t>
      </w:r>
      <w:r>
        <w:t>.</w:t>
      </w:r>
      <w:r w:rsidRPr="0066006D">
        <w:t xml:space="preserve"> 12).</w:t>
      </w:r>
    </w:p>
    <w:p w:rsidR="000139F7" w:rsidRPr="00E46933" w:rsidRDefault="000139F7" w:rsidP="000139F7">
      <w:pPr>
        <w:pStyle w:val="SingleTxtG"/>
        <w:rPr>
          <w:b/>
        </w:rPr>
      </w:pPr>
      <w:r w:rsidRPr="00E46933">
        <w:rPr>
          <w:b/>
        </w:rPr>
        <w:t xml:space="preserve">El Estado </w:t>
      </w:r>
      <w:r>
        <w:rPr>
          <w:b/>
        </w:rPr>
        <w:t>p</w:t>
      </w:r>
      <w:r w:rsidRPr="00E46933">
        <w:rPr>
          <w:b/>
        </w:rPr>
        <w:t>arte debe</w:t>
      </w:r>
      <w:r>
        <w:rPr>
          <w:b/>
        </w:rPr>
        <w:t>ría</w:t>
      </w:r>
      <w:r w:rsidRPr="00E46933">
        <w:rPr>
          <w:b/>
        </w:rPr>
        <w:t xml:space="preserve"> encontrar sin más demora soluciones duraderas para todos los desplazados internos, en consulta con las personas que todavía están desplazadas y de conformidad con los Principios Rectores de los desplazamientos internos (E/CN.4/1998/53/Add.2).</w:t>
      </w:r>
    </w:p>
    <w:p w:rsidR="000139F7" w:rsidRPr="0066006D" w:rsidRDefault="000139F7" w:rsidP="000139F7">
      <w:pPr>
        <w:pStyle w:val="SingleTxtG"/>
      </w:pPr>
      <w:r w:rsidRPr="0066006D">
        <w:t>1</w:t>
      </w:r>
      <w:r>
        <w:t>5</w:t>
      </w:r>
      <w:r w:rsidRPr="0066006D">
        <w:t>.</w:t>
      </w:r>
      <w:r>
        <w:tab/>
      </w:r>
      <w:r w:rsidRPr="0066006D">
        <w:t xml:space="preserve">El Comité </w:t>
      </w:r>
      <w:r>
        <w:t xml:space="preserve">observa </w:t>
      </w:r>
      <w:r w:rsidRPr="0066006D">
        <w:t xml:space="preserve">los progresos </w:t>
      </w:r>
      <w:r>
        <w:t xml:space="preserve">alcanzados </w:t>
      </w:r>
      <w:r w:rsidRPr="0066006D">
        <w:t>por el Estado parte en el aumento de la eficiencia del sistema judicial mediante, entre otras cosas, la adopción de la Estrategia de 2005</w:t>
      </w:r>
      <w:r>
        <w:t xml:space="preserve"> </w:t>
      </w:r>
      <w:r w:rsidRPr="0066006D">
        <w:t xml:space="preserve">para </w:t>
      </w:r>
      <w:r>
        <w:t>la reforma del sistema judicial</w:t>
      </w:r>
      <w:r w:rsidRPr="0066006D">
        <w:t xml:space="preserve">, </w:t>
      </w:r>
      <w:r>
        <w:t xml:space="preserve">pero </w:t>
      </w:r>
      <w:r w:rsidRPr="0066006D">
        <w:t xml:space="preserve">expresa preocupación por la acumulación </w:t>
      </w:r>
      <w:r>
        <w:t xml:space="preserve">considerable </w:t>
      </w:r>
      <w:r w:rsidRPr="0066006D">
        <w:t>de casos judiciales y las demoras de los procesos en los tribunales (artículo 14 del Pacto).</w:t>
      </w:r>
    </w:p>
    <w:p w:rsidR="000139F7" w:rsidRPr="00E46933" w:rsidRDefault="000139F7" w:rsidP="000139F7">
      <w:pPr>
        <w:pStyle w:val="SingleTxtG"/>
        <w:rPr>
          <w:b/>
          <w:bCs/>
        </w:rPr>
      </w:pPr>
      <w:r w:rsidRPr="00E46933">
        <w:rPr>
          <w:b/>
          <w:bCs/>
        </w:rPr>
        <w:t xml:space="preserve">El Estado parte </w:t>
      </w:r>
      <w:r w:rsidRPr="004B3513">
        <w:rPr>
          <w:b/>
        </w:rPr>
        <w:t>debería</w:t>
      </w:r>
      <w:r w:rsidRPr="00E46933">
        <w:rPr>
          <w:b/>
          <w:bCs/>
        </w:rPr>
        <w:t xml:space="preserve"> </w:t>
      </w:r>
      <w:r>
        <w:rPr>
          <w:b/>
          <w:bCs/>
        </w:rPr>
        <w:t xml:space="preserve">seguir aplicando </w:t>
      </w:r>
      <w:r w:rsidRPr="00E46933">
        <w:rPr>
          <w:b/>
          <w:bCs/>
        </w:rPr>
        <w:t xml:space="preserve">y reforzando las medidas para reducir la acumulación de causas y las demoras de los procesos judiciales. </w:t>
      </w:r>
    </w:p>
    <w:p w:rsidR="000139F7" w:rsidRPr="0066006D" w:rsidRDefault="000139F7" w:rsidP="000139F7">
      <w:pPr>
        <w:pStyle w:val="SingleTxtG"/>
        <w:rPr>
          <w:bCs/>
          <w:iCs/>
        </w:rPr>
      </w:pPr>
      <w:r w:rsidRPr="0066006D">
        <w:rPr>
          <w:bCs/>
          <w:iCs/>
        </w:rPr>
        <w:t>1</w:t>
      </w:r>
      <w:r>
        <w:rPr>
          <w:bCs/>
          <w:iCs/>
        </w:rPr>
        <w:t>6</w:t>
      </w:r>
      <w:r w:rsidRPr="0066006D">
        <w:rPr>
          <w:bCs/>
          <w:iCs/>
        </w:rPr>
        <w:t>.</w:t>
      </w:r>
      <w:r>
        <w:rPr>
          <w:bCs/>
          <w:iCs/>
        </w:rPr>
        <w:tab/>
      </w:r>
      <w:r w:rsidRPr="0066006D">
        <w:rPr>
          <w:bCs/>
          <w:iCs/>
        </w:rPr>
        <w:t xml:space="preserve">El Comité reconoce los esfuerzos realizados por el Estado parte para asegurar la igualdad de acceso a la ciudadanía, pero expresa </w:t>
      </w:r>
      <w:r>
        <w:rPr>
          <w:bCs/>
          <w:iCs/>
        </w:rPr>
        <w:t xml:space="preserve">su </w:t>
      </w:r>
      <w:r w:rsidRPr="0066006D">
        <w:rPr>
          <w:bCs/>
          <w:iCs/>
        </w:rPr>
        <w:t>preocupación por la informaci</w:t>
      </w:r>
      <w:r>
        <w:rPr>
          <w:bCs/>
          <w:iCs/>
        </w:rPr>
        <w:t>ón</w:t>
      </w:r>
      <w:r w:rsidRPr="0066006D">
        <w:rPr>
          <w:bCs/>
          <w:iCs/>
        </w:rPr>
        <w:t xml:space="preserve"> de que algunos grupos minoritarios, como los romaníes</w:t>
      </w:r>
      <w:r>
        <w:rPr>
          <w:bCs/>
          <w:iCs/>
        </w:rPr>
        <w:t xml:space="preserve"> y los serbios</w:t>
      </w:r>
      <w:r w:rsidRPr="0066006D">
        <w:rPr>
          <w:bCs/>
          <w:iCs/>
        </w:rPr>
        <w:t>, siguen afrontando dificultades para obtener la ciudadanía (artículos 16, 26 y 27 del Pacto).</w:t>
      </w:r>
    </w:p>
    <w:p w:rsidR="000139F7" w:rsidRPr="00E46933" w:rsidRDefault="000139F7" w:rsidP="000139F7">
      <w:pPr>
        <w:pStyle w:val="SingleTxtG"/>
        <w:rPr>
          <w:b/>
          <w:bCs/>
          <w:iCs/>
        </w:rPr>
      </w:pPr>
      <w:r w:rsidRPr="00E46933">
        <w:rPr>
          <w:b/>
          <w:bCs/>
          <w:iCs/>
        </w:rPr>
        <w:t xml:space="preserve">El Estado parte debería </w:t>
      </w:r>
      <w:r>
        <w:rPr>
          <w:b/>
          <w:bCs/>
          <w:iCs/>
        </w:rPr>
        <w:t xml:space="preserve">seguir </w:t>
      </w:r>
      <w:r w:rsidRPr="00E46933">
        <w:rPr>
          <w:b/>
          <w:bCs/>
          <w:iCs/>
        </w:rPr>
        <w:t xml:space="preserve">intensificando sus esfuerzos para facilitar la igualdad de acceso a la ciudadanía, en particular para los miembros de grupos minoritarios, y asegurar que los procedimientos administrativos y las disposiciones legislativas sobre </w:t>
      </w:r>
      <w:r>
        <w:rPr>
          <w:b/>
          <w:bCs/>
          <w:iCs/>
        </w:rPr>
        <w:t xml:space="preserve">la </w:t>
      </w:r>
      <w:r w:rsidRPr="00E46933">
        <w:rPr>
          <w:b/>
          <w:bCs/>
          <w:iCs/>
        </w:rPr>
        <w:t>ciudadanía no perjudiquen a las personas de origen no croata.</w:t>
      </w:r>
    </w:p>
    <w:p w:rsidR="000139F7" w:rsidRPr="0066006D" w:rsidRDefault="000139F7" w:rsidP="000139F7">
      <w:pPr>
        <w:pStyle w:val="SingleTxtG"/>
        <w:rPr>
          <w:bCs/>
          <w:iCs/>
        </w:rPr>
      </w:pPr>
      <w:r>
        <w:rPr>
          <w:bCs/>
          <w:iCs/>
        </w:rPr>
        <w:t>17</w:t>
      </w:r>
      <w:r w:rsidRPr="0066006D">
        <w:rPr>
          <w:bCs/>
          <w:iCs/>
        </w:rPr>
        <w:t>.</w:t>
      </w:r>
      <w:r>
        <w:rPr>
          <w:bCs/>
          <w:iCs/>
        </w:rPr>
        <w:tab/>
        <w:t xml:space="preserve">Inquieta </w:t>
      </w:r>
      <w:r w:rsidRPr="0066006D">
        <w:rPr>
          <w:bCs/>
          <w:iCs/>
        </w:rPr>
        <w:t>al Comité la</w:t>
      </w:r>
      <w:r>
        <w:rPr>
          <w:bCs/>
          <w:iCs/>
        </w:rPr>
        <w:t xml:space="preserve"> información </w:t>
      </w:r>
      <w:r w:rsidRPr="0066006D">
        <w:rPr>
          <w:bCs/>
          <w:iCs/>
        </w:rPr>
        <w:t xml:space="preserve">de que el Estado parte no ha investigado adecuadamente los actos de intimidación y </w:t>
      </w:r>
      <w:r>
        <w:rPr>
          <w:bCs/>
          <w:iCs/>
        </w:rPr>
        <w:t xml:space="preserve">las agresiones </w:t>
      </w:r>
      <w:r w:rsidRPr="0066006D">
        <w:rPr>
          <w:bCs/>
          <w:iCs/>
        </w:rPr>
        <w:t xml:space="preserve">contra periodistas y de que la </w:t>
      </w:r>
      <w:r>
        <w:rPr>
          <w:bCs/>
          <w:iCs/>
        </w:rPr>
        <w:t xml:space="preserve">percepción </w:t>
      </w:r>
      <w:r w:rsidRPr="0066006D">
        <w:rPr>
          <w:bCs/>
          <w:iCs/>
        </w:rPr>
        <w:t>de la alta vulnerabilidad de estos a</w:t>
      </w:r>
      <w:r>
        <w:rPr>
          <w:bCs/>
          <w:iCs/>
        </w:rPr>
        <w:t xml:space="preserve"> los </w:t>
      </w:r>
      <w:r w:rsidRPr="0066006D">
        <w:rPr>
          <w:bCs/>
          <w:iCs/>
        </w:rPr>
        <w:t xml:space="preserve">ataques tiene un efecto paralizante sobre el ejercicio de la libertad de prensa </w:t>
      </w:r>
      <w:r w:rsidRPr="0066006D">
        <w:t xml:space="preserve">(artículos 14 y 19 del </w:t>
      </w:r>
      <w:r>
        <w:t>Pacto</w:t>
      </w:r>
      <w:r w:rsidRPr="0066006D">
        <w:t>)</w:t>
      </w:r>
      <w:r>
        <w:t>.</w:t>
      </w:r>
    </w:p>
    <w:p w:rsidR="000139F7" w:rsidRPr="00BD7F66" w:rsidRDefault="000139F7" w:rsidP="000139F7">
      <w:pPr>
        <w:pStyle w:val="SingleTxtG"/>
        <w:rPr>
          <w:b/>
          <w:bCs/>
          <w:i/>
          <w:iCs/>
        </w:rPr>
      </w:pPr>
      <w:r w:rsidRPr="00BD7F66">
        <w:rPr>
          <w:b/>
          <w:bCs/>
          <w:iCs/>
        </w:rPr>
        <w:t>El Estado parte debe</w:t>
      </w:r>
      <w:r>
        <w:rPr>
          <w:b/>
          <w:bCs/>
          <w:iCs/>
        </w:rPr>
        <w:t>ría</w:t>
      </w:r>
      <w:r w:rsidRPr="00BD7F66">
        <w:rPr>
          <w:b/>
          <w:bCs/>
          <w:iCs/>
        </w:rPr>
        <w:t xml:space="preserve"> reforzar las medidas para impedir la intimidación de los periodistas, investigar sin demora</w:t>
      </w:r>
      <w:r>
        <w:rPr>
          <w:b/>
          <w:bCs/>
          <w:iCs/>
        </w:rPr>
        <w:t xml:space="preserve"> las agresiones o las amenazas de que son objeto</w:t>
      </w:r>
      <w:r w:rsidRPr="00BD7F66">
        <w:rPr>
          <w:b/>
          <w:bCs/>
          <w:iCs/>
        </w:rPr>
        <w:t xml:space="preserve">, llevar a juicio y castigar a </w:t>
      </w:r>
      <w:r>
        <w:rPr>
          <w:b/>
          <w:bCs/>
          <w:iCs/>
        </w:rPr>
        <w:t>sus autores</w:t>
      </w:r>
      <w:r w:rsidRPr="00BD7F66">
        <w:rPr>
          <w:b/>
          <w:bCs/>
          <w:iCs/>
        </w:rPr>
        <w:t xml:space="preserve">, e indemnizar a las víctimas. Asimismo, debe condenar públicamente los actos de intimidación y </w:t>
      </w:r>
      <w:r>
        <w:rPr>
          <w:b/>
          <w:bCs/>
          <w:iCs/>
        </w:rPr>
        <w:t>las agresiones</w:t>
      </w:r>
      <w:r w:rsidRPr="00BD7F66">
        <w:rPr>
          <w:b/>
          <w:bCs/>
          <w:iCs/>
        </w:rPr>
        <w:t xml:space="preserve">, y adoptar medidas enérgicas </w:t>
      </w:r>
      <w:r>
        <w:rPr>
          <w:b/>
          <w:bCs/>
          <w:iCs/>
        </w:rPr>
        <w:t xml:space="preserve">en general para garantizar </w:t>
      </w:r>
      <w:r w:rsidRPr="00BD7F66">
        <w:rPr>
          <w:b/>
          <w:bCs/>
          <w:iCs/>
        </w:rPr>
        <w:t>la libertad de prensa.</w:t>
      </w:r>
    </w:p>
    <w:p w:rsidR="000139F7" w:rsidRPr="0066006D" w:rsidRDefault="000139F7" w:rsidP="000139F7">
      <w:pPr>
        <w:pStyle w:val="SingleTxtG"/>
        <w:rPr>
          <w:bCs/>
          <w:iCs/>
        </w:rPr>
      </w:pPr>
      <w:r>
        <w:rPr>
          <w:bCs/>
          <w:iCs/>
        </w:rPr>
        <w:t>18</w:t>
      </w:r>
      <w:r w:rsidRPr="0066006D">
        <w:rPr>
          <w:bCs/>
          <w:iCs/>
        </w:rPr>
        <w:t>.</w:t>
      </w:r>
      <w:r>
        <w:rPr>
          <w:bCs/>
          <w:iCs/>
        </w:rPr>
        <w:tab/>
      </w:r>
      <w:r w:rsidRPr="0066006D">
        <w:rPr>
          <w:bCs/>
          <w:iCs/>
        </w:rPr>
        <w:t xml:space="preserve">El Comité acoge con agrado los progresos </w:t>
      </w:r>
      <w:r>
        <w:rPr>
          <w:bCs/>
          <w:iCs/>
        </w:rPr>
        <w:t xml:space="preserve">alcanzados respecto de </w:t>
      </w:r>
      <w:r w:rsidRPr="0066006D">
        <w:rPr>
          <w:bCs/>
          <w:iCs/>
        </w:rPr>
        <w:t xml:space="preserve">la participación de miembros de las minorías étnicas en la vida pública; no obstante, expresa preocupación por la baja representación de las minorías en los niveles de gobierno local y regional </w:t>
      </w:r>
      <w:r w:rsidRPr="0066006D">
        <w:t>(artículos 25, 26 y 27 del Pacto).</w:t>
      </w:r>
    </w:p>
    <w:p w:rsidR="000139F7" w:rsidRPr="00BD7F66" w:rsidRDefault="000139F7" w:rsidP="000139F7">
      <w:pPr>
        <w:pStyle w:val="SingleTxtG"/>
        <w:rPr>
          <w:b/>
          <w:bCs/>
          <w:iCs/>
        </w:rPr>
      </w:pPr>
      <w:r w:rsidRPr="00BD7F66">
        <w:rPr>
          <w:b/>
          <w:bCs/>
          <w:iCs/>
        </w:rPr>
        <w:t>El Estad</w:t>
      </w:r>
      <w:r>
        <w:rPr>
          <w:b/>
          <w:bCs/>
          <w:iCs/>
        </w:rPr>
        <w:t>o parte debería intensificar su</w:t>
      </w:r>
      <w:r w:rsidRPr="00BD7F66">
        <w:rPr>
          <w:b/>
          <w:bCs/>
          <w:iCs/>
        </w:rPr>
        <w:t xml:space="preserve"> </w:t>
      </w:r>
      <w:r>
        <w:rPr>
          <w:b/>
          <w:bCs/>
          <w:iCs/>
        </w:rPr>
        <w:t xml:space="preserve">labor </w:t>
      </w:r>
      <w:r w:rsidRPr="00BD7F66">
        <w:rPr>
          <w:b/>
          <w:bCs/>
          <w:iCs/>
        </w:rPr>
        <w:t>para asegurar la representación política y la participación adecuadas de las minorías</w:t>
      </w:r>
      <w:r>
        <w:rPr>
          <w:b/>
          <w:bCs/>
          <w:iCs/>
        </w:rPr>
        <w:t xml:space="preserve"> </w:t>
      </w:r>
      <w:r w:rsidRPr="00BD7F66">
        <w:rPr>
          <w:b/>
          <w:bCs/>
          <w:iCs/>
        </w:rPr>
        <w:t>en todos los niveles de gobierno, en particular las minorías romaní y serbia.</w:t>
      </w:r>
    </w:p>
    <w:p w:rsidR="000139F7" w:rsidRPr="0066006D" w:rsidRDefault="000139F7" w:rsidP="000139F7">
      <w:pPr>
        <w:pStyle w:val="SingleTxtG"/>
      </w:pPr>
      <w:r>
        <w:t>19</w:t>
      </w:r>
      <w:r w:rsidRPr="0066006D">
        <w:t>.</w:t>
      </w:r>
      <w:r>
        <w:tab/>
      </w:r>
      <w:r w:rsidRPr="0066006D">
        <w:t>Si bien son encomiables las medidas adoptadas por el Estado parte para mejorar la situación de los romaníes, en particular el Programa nacional para los romaníes y el Plan de Acción para el Decenio de la Inclusión Romaní 2005-2015, preocupa al Comité que en algunas escuelas se segregue de hecho a los alumnos romaníes (artículos 26 y 27 del Pacto).</w:t>
      </w:r>
    </w:p>
    <w:p w:rsidR="000139F7" w:rsidRPr="00BD7F66" w:rsidRDefault="000139F7" w:rsidP="000139F7">
      <w:pPr>
        <w:pStyle w:val="SingleTxtG"/>
        <w:rPr>
          <w:b/>
          <w:bCs/>
          <w:i/>
          <w:iCs/>
        </w:rPr>
      </w:pPr>
      <w:r w:rsidRPr="00BD7F66">
        <w:rPr>
          <w:b/>
        </w:rPr>
        <w:t xml:space="preserve">El Estado parte debería </w:t>
      </w:r>
      <w:r>
        <w:rPr>
          <w:b/>
        </w:rPr>
        <w:t xml:space="preserve">redoblar </w:t>
      </w:r>
      <w:r w:rsidRPr="00BD7F66">
        <w:rPr>
          <w:b/>
        </w:rPr>
        <w:t xml:space="preserve">sus esfuerzos para </w:t>
      </w:r>
      <w:r>
        <w:rPr>
          <w:b/>
        </w:rPr>
        <w:t xml:space="preserve">aplicar </w:t>
      </w:r>
      <w:r w:rsidRPr="00BD7F66">
        <w:rPr>
          <w:b/>
        </w:rPr>
        <w:t xml:space="preserve">disposiciones legislativas </w:t>
      </w:r>
      <w:r>
        <w:rPr>
          <w:b/>
        </w:rPr>
        <w:t xml:space="preserve">destinadas </w:t>
      </w:r>
      <w:r w:rsidRPr="00BD7F66">
        <w:rPr>
          <w:b/>
        </w:rPr>
        <w:t>a poner fin realmente a la segregación de hecho de niños romaníes en las escuelas</w:t>
      </w:r>
      <w:r w:rsidRPr="00BD7F66">
        <w:rPr>
          <w:b/>
          <w:bCs/>
        </w:rPr>
        <w:t>.</w:t>
      </w:r>
    </w:p>
    <w:p w:rsidR="000139F7" w:rsidRPr="0066006D" w:rsidRDefault="000139F7" w:rsidP="000139F7">
      <w:pPr>
        <w:pStyle w:val="SingleTxtG"/>
      </w:pPr>
      <w:r>
        <w:t>20</w:t>
      </w:r>
      <w:r w:rsidRPr="0066006D">
        <w:t>.</w:t>
      </w:r>
      <w:r>
        <w:tab/>
      </w:r>
      <w:r w:rsidRPr="0066006D">
        <w:t>El Estado parte debe</w:t>
      </w:r>
      <w:r>
        <w:t>ría</w:t>
      </w:r>
      <w:r w:rsidRPr="0066006D">
        <w:t xml:space="preserve"> dar amplia difusión al texto de su segundo informe periódico, a las respuestas que ha presentado por escrito a la lista de cuestiones elaborada por el Comité y a las presentes observaciones finales entre el público en general y entre las autoridades judiciales, legislativas y administrativas, la sociedad civil y las organizaciones no gubernamentales que trabajan en el país.</w:t>
      </w:r>
      <w:r>
        <w:t xml:space="preserve"> </w:t>
      </w:r>
      <w:r w:rsidRPr="0066006D">
        <w:t>Deben distribuirse ejemplares de esos documentos a las universidades, bibliotecas públicas, la biblioteca del Parlamento y cualquier otra institución pertinente.</w:t>
      </w:r>
      <w:r>
        <w:t xml:space="preserve"> </w:t>
      </w:r>
      <w:r w:rsidRPr="0066006D">
        <w:t xml:space="preserve">El Comité sugiere también que el informe y las observaciones finales se traduzcan a los idiomas oficiales del Estado parte. </w:t>
      </w:r>
    </w:p>
    <w:p w:rsidR="000139F7" w:rsidRPr="0066006D" w:rsidRDefault="000139F7" w:rsidP="000139F7">
      <w:pPr>
        <w:pStyle w:val="SingleTxtG"/>
      </w:pPr>
      <w:r>
        <w:rPr>
          <w:bCs/>
        </w:rPr>
        <w:t>21</w:t>
      </w:r>
      <w:r w:rsidRPr="0066006D">
        <w:rPr>
          <w:bCs/>
        </w:rPr>
        <w:t>.</w:t>
      </w:r>
      <w:r>
        <w:rPr>
          <w:bCs/>
        </w:rPr>
        <w:tab/>
      </w:r>
      <w:r w:rsidRPr="0066006D">
        <w:rPr>
          <w:bCs/>
        </w:rPr>
        <w:t>De conformidad con el párrafo 5 del artículo 71 del reglamento del Comité, el Estado parte debe</w:t>
      </w:r>
      <w:r>
        <w:rPr>
          <w:bCs/>
        </w:rPr>
        <w:t>ría</w:t>
      </w:r>
      <w:r w:rsidRPr="0066006D">
        <w:rPr>
          <w:bCs/>
        </w:rPr>
        <w:t xml:space="preserve"> facilitar, en el plazo de un año, información pertinente sobre la aplicación de las recomendaciones del Com</w:t>
      </w:r>
      <w:r>
        <w:rPr>
          <w:bCs/>
        </w:rPr>
        <w:t>ité que figuran en los párrafos 5, 10 y 17.</w:t>
      </w:r>
    </w:p>
    <w:p w:rsidR="000139F7" w:rsidRPr="0066006D" w:rsidRDefault="000139F7" w:rsidP="000139F7">
      <w:pPr>
        <w:pStyle w:val="SingleTxtG"/>
      </w:pPr>
      <w:r>
        <w:t>22</w:t>
      </w:r>
      <w:r w:rsidRPr="0066006D">
        <w:t>.</w:t>
      </w:r>
      <w:r>
        <w:tab/>
      </w:r>
      <w:r w:rsidRPr="0066006D">
        <w:t xml:space="preserve">El Comité pide al Estado parte que proporcione en su tercer informe periódico, que deberá ser presentado a más tardar el </w:t>
      </w:r>
      <w:r>
        <w:rPr>
          <w:bCs/>
        </w:rPr>
        <w:t>30 de octubre de 2013</w:t>
      </w:r>
      <w:r w:rsidRPr="0066006D">
        <w:rPr>
          <w:bCs/>
        </w:rPr>
        <w:t>,</w:t>
      </w:r>
      <w:r>
        <w:t xml:space="preserve"> </w:t>
      </w:r>
      <w:r w:rsidRPr="0066006D">
        <w:t>información concreta y actualizada sobre la aplicación de todas sus recomendaciones y del Pacto en general.</w:t>
      </w:r>
      <w:r>
        <w:t xml:space="preserve"> </w:t>
      </w:r>
      <w:r w:rsidRPr="0066006D">
        <w:t>El Comité pide igualmente al Estado parte que, al elaborar el tercer informe periódico, consulte con la sociedad civil y las organizaciones no gubernamentales que trabajan en el país.</w:t>
      </w:r>
    </w:p>
    <w:p w:rsidR="000139F7" w:rsidRPr="00BD7F66" w:rsidRDefault="000139F7" w:rsidP="000139F7">
      <w:pPr>
        <w:pStyle w:val="SingleTxtG"/>
        <w:spacing w:before="240"/>
        <w:jc w:val="center"/>
        <w:rPr>
          <w:u w:val="single"/>
        </w:rPr>
      </w:pPr>
      <w:r>
        <w:rPr>
          <w:u w:val="single"/>
        </w:rPr>
        <w:tab/>
      </w:r>
      <w:r>
        <w:rPr>
          <w:u w:val="single"/>
        </w:rPr>
        <w:tab/>
      </w:r>
      <w:r>
        <w:rPr>
          <w:u w:val="single"/>
        </w:rPr>
        <w:tab/>
      </w:r>
    </w:p>
    <w:p w:rsidR="000139F7" w:rsidRDefault="000139F7" w:rsidP="001075E9"/>
    <w:sectPr w:rsidR="000139F7" w:rsidSect="000139F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698" w:rsidRDefault="00A60698">
      <w:r>
        <w:separator/>
      </w:r>
    </w:p>
  </w:endnote>
  <w:endnote w:type="continuationSeparator" w:id="0">
    <w:p w:rsidR="00A60698" w:rsidRDefault="00A606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9F7" w:rsidRPr="000139F7" w:rsidRDefault="000139F7" w:rsidP="000139F7">
    <w:pPr>
      <w:pStyle w:val="Footer"/>
      <w:tabs>
        <w:tab w:val="right" w:pos="9598"/>
      </w:tabs>
    </w:pPr>
    <w:r w:rsidRPr="000139F7">
      <w:rPr>
        <w:b/>
        <w:sz w:val="18"/>
      </w:rPr>
      <w:fldChar w:fldCharType="begin"/>
    </w:r>
    <w:r w:rsidRPr="000139F7">
      <w:rPr>
        <w:b/>
        <w:sz w:val="18"/>
      </w:rPr>
      <w:instrText xml:space="preserve"> PAGE  \* MERGEFORMAT </w:instrText>
    </w:r>
    <w:r w:rsidRPr="000139F7">
      <w:rPr>
        <w:b/>
        <w:sz w:val="18"/>
      </w:rPr>
      <w:fldChar w:fldCharType="separate"/>
    </w:r>
    <w:r w:rsidR="00D879F6">
      <w:rPr>
        <w:b/>
        <w:noProof/>
        <w:sz w:val="18"/>
      </w:rPr>
      <w:t>6</w:t>
    </w:r>
    <w:r w:rsidRPr="000139F7">
      <w:rPr>
        <w:b/>
        <w:sz w:val="18"/>
      </w:rPr>
      <w:fldChar w:fldCharType="end"/>
    </w:r>
    <w:r>
      <w:rPr>
        <w:b/>
        <w:sz w:val="18"/>
      </w:rPr>
      <w:tab/>
    </w:r>
    <w:r>
      <w:t>GE.09-46083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9F7" w:rsidRPr="000139F7" w:rsidRDefault="000139F7" w:rsidP="000139F7">
    <w:pPr>
      <w:pStyle w:val="Footer"/>
      <w:tabs>
        <w:tab w:val="right" w:pos="9598"/>
      </w:tabs>
      <w:rPr>
        <w:b/>
        <w:sz w:val="18"/>
      </w:rPr>
    </w:pPr>
    <w:r>
      <w:t>GE.09-46083</w:t>
    </w:r>
    <w:r>
      <w:tab/>
    </w:r>
    <w:r w:rsidRPr="000139F7">
      <w:rPr>
        <w:b/>
        <w:sz w:val="18"/>
      </w:rPr>
      <w:fldChar w:fldCharType="begin"/>
    </w:r>
    <w:r w:rsidRPr="000139F7">
      <w:rPr>
        <w:b/>
        <w:sz w:val="18"/>
      </w:rPr>
      <w:instrText xml:space="preserve"> PAGE  \* MERGEFORMAT </w:instrText>
    </w:r>
    <w:r w:rsidRPr="000139F7">
      <w:rPr>
        <w:b/>
        <w:sz w:val="18"/>
      </w:rPr>
      <w:fldChar w:fldCharType="separate"/>
    </w:r>
    <w:r w:rsidR="002F4B03">
      <w:rPr>
        <w:b/>
        <w:noProof/>
        <w:sz w:val="18"/>
      </w:rPr>
      <w:t>5</w:t>
    </w:r>
    <w:r w:rsidRPr="000139F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B33" w:rsidRDefault="000139F7">
    <w:pPr>
      <w:pStyle w:val="Footer"/>
    </w:pPr>
    <w:r>
      <w:rPr>
        <w:sz w:val="20"/>
      </w:rPr>
      <w:t>GE.09-46083</w:t>
    </w:r>
    <w:r w:rsidR="00537B3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F26A2B">
      <w:rPr>
        <w:sz w:val="20"/>
      </w:rPr>
      <w:t xml:space="preserve">    </w:t>
    </w:r>
    <w:r w:rsidR="002F4B03">
      <w:rPr>
        <w:sz w:val="20"/>
      </w:rPr>
      <w:t>261109    261109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698" w:rsidRPr="001075E9" w:rsidRDefault="00A60698" w:rsidP="001075E9">
      <w:pPr>
        <w:tabs>
          <w:tab w:val="right" w:pos="2155"/>
        </w:tabs>
        <w:spacing w:after="80" w:line="240" w:lineRule="auto"/>
        <w:ind w:left="680"/>
        <w:rPr>
          <w:u w:val="single"/>
        </w:rPr>
      </w:pPr>
      <w:r>
        <w:rPr>
          <w:u w:val="single"/>
        </w:rPr>
        <w:tab/>
      </w:r>
    </w:p>
  </w:footnote>
  <w:footnote w:type="continuationSeparator" w:id="0">
    <w:p w:rsidR="00A60698" w:rsidRDefault="00A60698"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9F7" w:rsidRPr="000139F7" w:rsidRDefault="000139F7" w:rsidP="000139F7">
    <w:pPr>
      <w:pStyle w:val="Header"/>
    </w:pPr>
    <w:r w:rsidRPr="000139F7">
      <w:t>CCPR/C/HRV/CO/2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9F7" w:rsidRPr="000139F7" w:rsidRDefault="000139F7" w:rsidP="000139F7">
    <w:pPr>
      <w:pStyle w:val="Header"/>
      <w:jc w:val="right"/>
    </w:pPr>
    <w:r w:rsidRPr="000139F7">
      <w:t>CCPR/C/HRV/CO/2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7B33"/>
    <w:rsid w:val="00006BB9"/>
    <w:rsid w:val="000139F7"/>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2F4B03"/>
    <w:rsid w:val="00301299"/>
    <w:rsid w:val="00322004"/>
    <w:rsid w:val="003402C2"/>
    <w:rsid w:val="00381C24"/>
    <w:rsid w:val="003958D0"/>
    <w:rsid w:val="003E1F6E"/>
    <w:rsid w:val="00454E07"/>
    <w:rsid w:val="004875CF"/>
    <w:rsid w:val="004E4B46"/>
    <w:rsid w:val="0050108D"/>
    <w:rsid w:val="00537B33"/>
    <w:rsid w:val="00572E19"/>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A17DFD"/>
    <w:rsid w:val="00A60698"/>
    <w:rsid w:val="00A917B3"/>
    <w:rsid w:val="00AB4B51"/>
    <w:rsid w:val="00AE0E02"/>
    <w:rsid w:val="00AE4CC4"/>
    <w:rsid w:val="00B10CC7"/>
    <w:rsid w:val="00B62458"/>
    <w:rsid w:val="00B94C65"/>
    <w:rsid w:val="00B94EED"/>
    <w:rsid w:val="00BD33EE"/>
    <w:rsid w:val="00C33381"/>
    <w:rsid w:val="00C56FC7"/>
    <w:rsid w:val="00C60F0C"/>
    <w:rsid w:val="00C76505"/>
    <w:rsid w:val="00C805C9"/>
    <w:rsid w:val="00CA1679"/>
    <w:rsid w:val="00D5042C"/>
    <w:rsid w:val="00D80BBB"/>
    <w:rsid w:val="00D879F6"/>
    <w:rsid w:val="00D90138"/>
    <w:rsid w:val="00DE44AD"/>
    <w:rsid w:val="00E73F76"/>
    <w:rsid w:val="00E91EB9"/>
    <w:rsid w:val="00EF1360"/>
    <w:rsid w:val="00EF3220"/>
    <w:rsid w:val="00F26A2B"/>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2941</Words>
  <Characters>16179</Characters>
  <Application>Microsoft Office Outlook</Application>
  <DocSecurity>4</DocSecurity>
  <Lines>134</Lines>
  <Paragraphs>38</Paragraphs>
  <ScaleCrop>false</ScaleCrop>
  <HeadingPairs>
    <vt:vector size="2" baseType="variant">
      <vt:variant>
        <vt:lpstr>Título</vt:lpstr>
      </vt:variant>
      <vt:variant>
        <vt:i4>1</vt:i4>
      </vt:variant>
    </vt:vector>
  </HeadingPairs>
  <TitlesOfParts>
    <vt:vector size="1" baseType="lpstr">
      <vt:lpstr>CCPR/C/HRV/CO/2</vt:lpstr>
    </vt:vector>
  </TitlesOfParts>
  <Company/>
  <LinksUpToDate>false</LinksUpToDate>
  <CharactersWithSpaces>19082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CCPR/C/HRV/CO/2</dc:title>
  <dc:subject>final</dc:subject>
  <dc:creator>Carlos Martínez</dc:creator>
  <cp:keywords/>
  <dc:description/>
  <cp:lastModifiedBy>Admieng</cp:lastModifiedBy>
  <cp:revision>2</cp:revision>
  <cp:lastPrinted>2008-01-16T09:37:00Z</cp:lastPrinted>
  <dcterms:created xsi:type="dcterms:W3CDTF">2009-11-26T15:06:00Z</dcterms:created>
  <dcterms:modified xsi:type="dcterms:W3CDTF">2009-11-26T15:06:00Z</dcterms:modified>
</cp:coreProperties>
</file>