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tabs>
                <w:tab w:val="clear" w:pos="7086"/>
              </w:tabs>
            </w:pPr>
            <w: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CAT/C/SR.405</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22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ENGLISH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pPr>
    </w:p>
    <w:p w:rsidR="00000000" w:rsidRDefault="00000000">
      <w:pPr>
        <w:spacing w:line="240" w:lineRule="auto"/>
        <w:jc w:val="center"/>
      </w:pPr>
      <w:r>
        <w:t>Двадцать третья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405-го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среду,</w:t>
      </w:r>
    </w:p>
    <w:p w:rsidR="00000000" w:rsidRDefault="00000000">
      <w:pPr>
        <w:spacing w:line="240" w:lineRule="auto"/>
        <w:jc w:val="center"/>
      </w:pPr>
      <w:r>
        <w:t>17 ноября 1999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 xml:space="preserve">) </w:t>
      </w:r>
    </w:p>
    <w:p w:rsidR="00000000" w:rsidRDefault="00000000">
      <w:pPr>
        <w:spacing w:line="240" w:lineRule="auto"/>
      </w:pPr>
    </w:p>
    <w:p w:rsidR="00000000" w:rsidRDefault="00000000">
      <w:pPr>
        <w:spacing w:line="240" w:lineRule="auto"/>
      </w:pPr>
      <w:r>
        <w:tab/>
      </w:r>
      <w:r>
        <w:rPr>
          <w:u w:val="single"/>
        </w:rPr>
        <w:t>Первоначальный доклад Узбекистана</w:t>
      </w:r>
      <w:r>
        <w:t xml:space="preserve"> </w:t>
      </w:r>
      <w:r>
        <w:rPr>
          <w:lang w:val="en-US"/>
        </w:rPr>
        <w:t>(CAT/C/32/Add.3)</w:t>
      </w:r>
    </w:p>
    <w:p w:rsidR="00000000" w:rsidRDefault="00000000">
      <w:pPr>
        <w:pStyle w:val="FootnoteText"/>
      </w:pPr>
    </w:p>
    <w:p w:rsidR="00000000" w:rsidRDefault="00000000">
      <w:pPr>
        <w:pStyle w:val="FootnoteText"/>
      </w:pPr>
    </w:p>
    <w:p w:rsidR="00000000" w:rsidRDefault="00000000">
      <w:pPr>
        <w:spacing w:line="240" w:lineRule="auto"/>
        <w:rPr>
          <w:sz w:val="22"/>
        </w:rPr>
      </w:pPr>
      <w:r>
        <w:rPr>
          <w:sz w:val="22"/>
        </w:rPr>
        <w:t>__________________</w:t>
      </w:r>
    </w:p>
    <w:p w:rsidR="00000000" w:rsidRDefault="00000000">
      <w:pPr>
        <w:spacing w:line="240" w:lineRule="auto"/>
        <w:rPr>
          <w:sz w:val="22"/>
        </w:rPr>
      </w:pPr>
    </w:p>
    <w:p w:rsidR="00000000" w:rsidRDefault="00000000">
      <w:pPr>
        <w:spacing w:line="240" w:lineRule="auto"/>
        <w:rPr>
          <w:sz w:val="22"/>
        </w:rPr>
      </w:pPr>
      <w:r>
        <w:rPr>
          <w:sz w:val="22"/>
        </w:rPr>
        <w:tab/>
        <w:t>*</w:t>
      </w:r>
      <w:r>
        <w:rPr>
          <w:sz w:val="22"/>
        </w:rPr>
        <w:tab/>
        <w:t>Краткий отчет о второй (закрытой) части заседаний издан в качестве документа САТ/С/SR.405/Add.1.</w:t>
      </w:r>
    </w:p>
    <w:p w:rsidR="00000000" w:rsidRDefault="00000000">
      <w:pPr>
        <w:spacing w:line="240" w:lineRule="auto"/>
        <w:rPr>
          <w:sz w:val="22"/>
        </w:rPr>
      </w:pPr>
    </w:p>
    <w:p w:rsidR="00000000" w:rsidRDefault="00000000">
      <w:pPr>
        <w:pStyle w:val="FootnoteText"/>
        <w:rPr>
          <w:sz w:val="22"/>
        </w:rPr>
      </w:pPr>
      <w:r>
        <w:rPr>
          <w:sz w:val="22"/>
        </w:rPr>
        <w:t>_____________________________________________________________________________</w:t>
      </w:r>
    </w:p>
    <w:p w:rsidR="00000000" w:rsidRDefault="00000000">
      <w:pPr>
        <w:spacing w:line="240" w:lineRule="auto"/>
        <w:rPr>
          <w:sz w:val="22"/>
        </w:rPr>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Все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tabs>
          <w:tab w:val="left" w:pos="0"/>
          <w:tab w:val="left" w:pos="7086"/>
        </w:tabs>
        <w:suppressAutoHyphens/>
        <w:spacing w:line="240" w:lineRule="auto"/>
        <w:rPr>
          <w:sz w:val="22"/>
          <w:lang w:val="en-US"/>
        </w:rPr>
      </w:pPr>
    </w:p>
    <w:p w:rsidR="00000000" w:rsidRDefault="00000000">
      <w:pPr>
        <w:spacing w:line="240" w:lineRule="auto"/>
        <w:rPr>
          <w:lang w:val="en-US"/>
        </w:rPr>
      </w:pPr>
      <w:r>
        <w:rPr>
          <w:lang w:val="en-US"/>
        </w:rPr>
        <w:t>GE.99-45756   (R)</w:t>
      </w:r>
    </w:p>
    <w:p w:rsidR="00000000" w:rsidRDefault="00000000">
      <w:pPr>
        <w:jc w:val="center"/>
      </w:pPr>
      <w:r>
        <w:rPr>
          <w:u w:val="single"/>
        </w:rPr>
        <w:br w:type="page"/>
        <w:t>Заседание открывается в 10 час. 00 мин</w:t>
      </w:r>
      <w:r>
        <w:t>.</w:t>
      </w:r>
    </w:p>
    <w:p w:rsidR="00000000" w:rsidRDefault="00000000">
      <w:pPr>
        <w:pStyle w:val="16"/>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 xml:space="preserve">) </w:t>
      </w:r>
    </w:p>
    <w:p w:rsidR="00000000" w:rsidRDefault="00000000">
      <w:pPr>
        <w:spacing w:line="240" w:lineRule="auto"/>
      </w:pPr>
    </w:p>
    <w:p w:rsidR="00000000" w:rsidRDefault="00000000">
      <w:pPr>
        <w:pStyle w:val="FootnoteText"/>
        <w:spacing w:line="288" w:lineRule="auto"/>
        <w:rPr>
          <w:lang w:val="en-US"/>
        </w:rPr>
      </w:pPr>
      <w:r>
        <w:tab/>
      </w:r>
      <w:r>
        <w:rPr>
          <w:u w:val="single"/>
        </w:rPr>
        <w:t>Первоначальный доклад Узбекистана</w:t>
      </w:r>
      <w:r>
        <w:t xml:space="preserve"> (</w:t>
      </w:r>
      <w:r>
        <w:rPr>
          <w:lang w:val="en-US"/>
        </w:rPr>
        <w:t>CAT/C/32/Add.3)</w:t>
      </w:r>
    </w:p>
    <w:p w:rsidR="00000000" w:rsidRDefault="00000000">
      <w:pPr>
        <w:pStyle w:val="FootnoteText"/>
        <w:spacing w:line="288" w:lineRule="auto"/>
        <w:rPr>
          <w:lang w:val="en-US"/>
        </w:rPr>
      </w:pPr>
    </w:p>
    <w:p w:rsidR="00000000" w:rsidRDefault="00000000">
      <w:pPr>
        <w:pStyle w:val="FootnoteText"/>
        <w:spacing w:line="288" w:lineRule="auto"/>
      </w:pPr>
      <w:r>
        <w:t>1.</w:t>
      </w:r>
      <w:r>
        <w:tab/>
      </w:r>
      <w:r>
        <w:rPr>
          <w:u w:val="single"/>
        </w:rPr>
        <w:t>По приглашению Председателя члены делегации Узбекистана (г-н Алишер Вахидов</w:t>
      </w:r>
      <w:r>
        <w:t xml:space="preserve">, </w:t>
      </w:r>
      <w:r>
        <w:rPr>
          <w:u w:val="single"/>
        </w:rPr>
        <w:t>г-н Пулатов, г-н Усманов и г-н Каримов) занимают места за столом Комитета</w:t>
      </w:r>
      <w:r>
        <w:t>.</w:t>
      </w:r>
    </w:p>
    <w:p w:rsidR="00000000" w:rsidRDefault="00000000">
      <w:pPr>
        <w:pStyle w:val="FootnoteText"/>
        <w:spacing w:line="288" w:lineRule="auto"/>
      </w:pPr>
    </w:p>
    <w:p w:rsidR="00000000" w:rsidRDefault="00000000">
      <w:pPr>
        <w:pStyle w:val="FootnoteText"/>
        <w:spacing w:line="288" w:lineRule="auto"/>
      </w:pPr>
      <w:r>
        <w:t>2.</w:t>
      </w:r>
      <w:r>
        <w:tab/>
      </w:r>
      <w:r>
        <w:rPr>
          <w:u w:val="single"/>
        </w:rPr>
        <w:t>ПРЕДСЕДАТЕЛЬ</w:t>
      </w:r>
      <w:r>
        <w:t xml:space="preserve"> предлагает главе делегации представить ее членов и сделать представление первоначального доклада.</w:t>
      </w:r>
    </w:p>
    <w:p w:rsidR="00000000" w:rsidRDefault="00000000">
      <w:pPr>
        <w:pStyle w:val="FootnoteText"/>
        <w:spacing w:line="288" w:lineRule="auto"/>
      </w:pPr>
    </w:p>
    <w:p w:rsidR="00000000" w:rsidRDefault="00000000">
      <w:pPr>
        <w:pStyle w:val="FootnoteText"/>
        <w:spacing w:line="288" w:lineRule="auto"/>
      </w:pPr>
      <w:r>
        <w:t>3.</w:t>
      </w:r>
      <w:r>
        <w:tab/>
      </w:r>
      <w:r>
        <w:rPr>
          <w:u w:val="single"/>
        </w:rPr>
        <w:t>Г-н АЛИШЕР ВАХИДОВ</w:t>
      </w:r>
      <w:r>
        <w:t xml:space="preserve"> (Узбекистан) просит Комитет о снисхождении, поскольку это первый доклад Узбекистана и первая встреча представителей этой страны с Комитетом, в силу чего у них отсутствует опыт представления докладов, а также опыт, касающийся процедур Комитета.  Со времени обретения независимости Республикой Узбекистан проводившиеся экономические и демократические преобразования поставили перед государственными властями совершенно новые задачи.  Только в области прав человека Узбекистан уже ратифицировал более 40 международных договоров и соглашений, обладающих разной правовой силой, включая Конвенцию против пыток, которая была ратифицирована парламентом Узбекистана 31 августа 1995 года.</w:t>
      </w:r>
    </w:p>
    <w:p w:rsidR="00000000" w:rsidRDefault="00000000">
      <w:pPr>
        <w:pStyle w:val="FootnoteText"/>
        <w:spacing w:line="288" w:lineRule="auto"/>
      </w:pPr>
    </w:p>
    <w:p w:rsidR="00000000" w:rsidRDefault="00000000">
      <w:pPr>
        <w:pStyle w:val="FootnoteText"/>
        <w:spacing w:line="288" w:lineRule="auto"/>
      </w:pPr>
      <w:r>
        <w:t>4.</w:t>
      </w:r>
      <w:r>
        <w:tab/>
        <w:t>Применение пыток и других жестоких, бесчеловечных или унижающих достоинство видов обращения и наказания четко запрещено законами Узбекистана, прежде всего статьей 25 Конституции ("Каждый человек имеет право на свободу и неприкосновенность личности.  Никто не может быть задержан или помещен под стражу иначе, как на основании закона") и статьи 26 ("Никто не может подвергаться пыткам, насилию и другим видам жестокого или унижающего достоинство обращения").  Кроме того, были созданы законодательные, административные и судебные механизмы защиты.  Конкретные нормы о запрете действий, противоречащих правам человека, и о формировании структуры правовых гарантий содержатся в статьях 18-46 Конституции и во многих других законодательных актах, включая Уголовный кодекс (1994 года), Уголовно-процессуальный кодекс (1994 года), Кодекс об административной ответственности (1994 года) и Уголовно-исполнительный кодекс (1997 года).  Гарантии защиты лиц, подозреваемых в совершении преступлений, также вошли в Уголовно-процессуальный кодекс (статьи 11-27).</w:t>
      </w:r>
    </w:p>
    <w:p w:rsidR="00000000" w:rsidRDefault="00000000">
      <w:pPr>
        <w:pStyle w:val="FootnoteText"/>
        <w:spacing w:line="288" w:lineRule="auto"/>
      </w:pPr>
    </w:p>
    <w:p w:rsidR="00000000" w:rsidRDefault="00000000">
      <w:pPr>
        <w:pStyle w:val="FootnoteText"/>
        <w:spacing w:line="288" w:lineRule="auto"/>
      </w:pPr>
      <w:r>
        <w:t>5.</w:t>
      </w:r>
      <w:r>
        <w:tab/>
        <w:t>Система законодательных гарантий включает в себя также статутные нормы (пункт 60) и усилена дополнительными нормативными актами, такими, как президентские указы и распоряжения, решения пленарных сессий Верховного суда, а также сводами правил, принятых следующими министерствами и ведомствами:  министерством внутренних дел, Службой национальной безопасности и Генеральной прокуратурой.  Согласно уголовному законодательству Узбекистана, сотрудники правоохранительных органов ответственны за применение пыток, жестокого и бесчеловечного обращения и наказания.  Основополагающие принципы Уголовного кодекса запрещают применение пыток, а в его статьях 1-10 закреплено, что такая практика является уголовным преступлением, наказуемым как таковое, и что его юридические последствия определены в Уголовном кодексе.</w:t>
      </w:r>
    </w:p>
    <w:p w:rsidR="00000000" w:rsidRDefault="00000000">
      <w:pPr>
        <w:pStyle w:val="FootnoteText"/>
        <w:spacing w:line="288" w:lineRule="auto"/>
      </w:pPr>
    </w:p>
    <w:p w:rsidR="00000000" w:rsidRDefault="00000000">
      <w:pPr>
        <w:pStyle w:val="FootnoteText"/>
        <w:spacing w:line="288" w:lineRule="auto"/>
      </w:pPr>
      <w:r>
        <w:t>6.</w:t>
      </w:r>
      <w:r>
        <w:tab/>
        <w:t>Помимо судебных гарантий существует работающий институциональный механизм защиты прав в рамках уголовной процедуры с участием высших административных органов государства, правоохранительных органов и внесудебных организаций.  В то же время, несмотря на существующую систему контроля и надзора за соблюдением прав человека, по</w:t>
      </w:r>
      <w:r>
        <w:noBreakHyphen/>
        <w:t>прежнему в деятельности некоторых правоохранительных органов встречаются незаконные проявления оскорбительного и унижающего достоинство обращения и наказания.  Эти правоохранительные органы пытаются скрыть нарушения и не допустить наказания совершивших их лиц.  Даже уже осужденные правонарушители в некоторых случаях были впоследствии реабилитированы судами.  Девятнадцать сотрудников правоохранительных органов были осуждены только за преступления, охватываемые статьями 235 и 236 Уголовного кодекса.  Другим нарушением Конвенции является сокрытие противоправных арестов.  За прошлый год было зарегистрировано лишь семь таких случаев на всей территории страны, но проверка, осуществленная работниками Генеральной прокуратуры в Самарканде обнаружила пять таких случаев, которые имели место только в этом городе при участии сотрудников министерства внутренних дел.  Проверки также выявили следующие нарушения законодательства о порядке содержания осужденных под стражей:  переполненность пенитенциарных учреждений, антисанитарные условия содержания, отсутствие доступа к медицинской помощи, а также серьезные нарушения законности со стороны тюремных охранников и других сотрудников.  Одиннадцать работников правоохранительных органов были приговорены к длительным срокам заключения за уголовное преследование невиновного, неправомерный арест и принуждение к даче показаний.</w:t>
      </w:r>
    </w:p>
    <w:p w:rsidR="00000000" w:rsidRDefault="00000000">
      <w:pPr>
        <w:pStyle w:val="FootnoteText"/>
        <w:spacing w:line="288" w:lineRule="auto"/>
      </w:pPr>
    </w:p>
    <w:p w:rsidR="00000000" w:rsidRDefault="00000000">
      <w:pPr>
        <w:pStyle w:val="FootnoteText"/>
        <w:spacing w:line="288" w:lineRule="auto"/>
      </w:pPr>
      <w:r>
        <w:t>7.</w:t>
      </w:r>
      <w:r>
        <w:tab/>
        <w:t>Признавая свою ответственность перед международным сообществом за соблюдение ратифицированных соглашений по правам человека, правоохранительные органы Узбекистана пытаются проводить координированную политику.  По инициативе Генеральной прокуратуры и в сотрудничестве с омбудсменом, Национальны центром по правам человека и благотворительным фондом "Махалля" руководители правоохранительных органов создали Координационный совет правоохранительных органов (пункт 64).  Одно из основных направлений деятельности этого совета является кардинальное исправление ситуации в области осуществления предварительного следствия, дознания, отправления правосудия и исполнения наказаний, в интересах предотвращения нарушений прав человека.</w:t>
      </w:r>
    </w:p>
    <w:p w:rsidR="00000000" w:rsidRDefault="00000000">
      <w:pPr>
        <w:pStyle w:val="FootnoteText"/>
        <w:spacing w:line="288" w:lineRule="auto"/>
      </w:pPr>
    </w:p>
    <w:p w:rsidR="00000000" w:rsidRDefault="00000000">
      <w:pPr>
        <w:pStyle w:val="FootnoteText"/>
        <w:spacing w:line="288" w:lineRule="auto"/>
      </w:pPr>
      <w:r>
        <w:t>8.</w:t>
      </w:r>
      <w:r>
        <w:tab/>
        <w:t>Основывающиеся на законе наказания и другие действия не направлены на причинение физического страдания или на унижение.  Строгие наказания могут накладываться только в том случае, если соответствующая цель не может быть достигнута более мягкими мерами.  Кроме того, наказание должно быть справедливым и адекватным тяжести преступления, степени уголовной ответственности и опасности, которую осужденный представляет собой для общества.</w:t>
      </w:r>
    </w:p>
    <w:p w:rsidR="00000000" w:rsidRDefault="00000000">
      <w:pPr>
        <w:pStyle w:val="FootnoteText"/>
        <w:spacing w:line="288" w:lineRule="auto"/>
      </w:pPr>
    </w:p>
    <w:p w:rsidR="00000000" w:rsidRDefault="00000000">
      <w:pPr>
        <w:pStyle w:val="FootnoteText"/>
        <w:spacing w:line="288" w:lineRule="auto"/>
      </w:pPr>
      <w:r>
        <w:t>9.</w:t>
      </w:r>
      <w:r>
        <w:tab/>
        <w:t>Пытки и жестокое обращение также запрещены статьями 230-241 главы </w:t>
      </w:r>
      <w:r>
        <w:rPr>
          <w:lang w:val="en-US"/>
        </w:rPr>
        <w:t>XVI</w:t>
      </w:r>
      <w:r>
        <w:t xml:space="preserve"> Уголовного кодекса, озаглавленной "Преступления против правосудия", в которой устанавливается уголовная ответственность должностных лиц за противоправное уголовное преследование, вынесение несправедливых приговоров, отказ от выполнения судебных решений, а также за осуществление неправомерных арестов и задержаний.  В статьях 234 и 253 устанавливается уголовная ответственность должностных лиц за незаконное лишение свободы, а также за оказание физического или психологического  давления на подозреваемых, обвиняемых, свидетелей, жертв или экспертов.  За такие действия предусмотрено различное наказание от штрафа до восьми лет лишения свободы.</w:t>
      </w:r>
    </w:p>
    <w:p w:rsidR="00000000" w:rsidRDefault="00000000">
      <w:pPr>
        <w:pStyle w:val="FootnoteText"/>
        <w:spacing w:line="288" w:lineRule="auto"/>
      </w:pPr>
    </w:p>
    <w:p w:rsidR="00000000" w:rsidRDefault="00000000">
      <w:pPr>
        <w:pStyle w:val="FootnoteText"/>
        <w:spacing w:line="288" w:lineRule="auto"/>
      </w:pPr>
      <w:r>
        <w:t>10.</w:t>
      </w:r>
      <w:r>
        <w:tab/>
        <w:t>Наибольшее число нарушений было отмечено в деятельности органов внутренних дел, и они в основном были связаны с низким уровнем юридического и общего образования, а также слабой теоретической подготовкой их высшего руководящего звена.  В настоящее время государственные власти увольняют из органов некомпетентных офицеров, признанных виновными в неправомерных поступках.  В распоряжении президента о создании комиссий по проведению  аттестации руководящих работников органов внутренних дел Республики Узбекистан было отмечено, что сотрудничество между министерством внутренних дел и правоохранительными органами не привело к снижению числа уголовных преступлений со стороны представителей государственной власти.  Широкое распространение получили случаи злоупотребления властью, неприемлемого обращения с гражданами и другие нарушения.  Было принято решение проводить аттестацию всех сотрудников органов внутренних дел на регулярной основе.</w:t>
      </w:r>
    </w:p>
    <w:p w:rsidR="00000000" w:rsidRDefault="00000000">
      <w:pPr>
        <w:pStyle w:val="FootnoteText"/>
        <w:spacing w:line="288" w:lineRule="auto"/>
      </w:pPr>
    </w:p>
    <w:p w:rsidR="00000000" w:rsidRDefault="00000000">
      <w:pPr>
        <w:pStyle w:val="FootnoteText"/>
        <w:spacing w:line="288" w:lineRule="auto"/>
      </w:pPr>
      <w:r>
        <w:t>11.</w:t>
      </w:r>
      <w:r>
        <w:tab/>
        <w:t>Динамика изменений отражена в докладе, подготовленном различными министерствами и ведомствами при содействии соответствующих НПО.  В настоящее время Узбекистан делает крупные шаги в направлении демократии.  Самая серьезная проблема состоит в обеспечении соответствия законодательства этой страны с нормами международного права.  В этой связи Национальный центр Республики Узбекистан подготовил сводный доклад об осуществлении Конвенции против пыток, что является одним из основных компонентов демократических реформ, в настоящее время проводимых в стране.</w:t>
      </w:r>
    </w:p>
    <w:p w:rsidR="00000000" w:rsidRDefault="00000000">
      <w:pPr>
        <w:pStyle w:val="FootnoteText"/>
        <w:spacing w:line="288" w:lineRule="auto"/>
      </w:pPr>
    </w:p>
    <w:p w:rsidR="00000000" w:rsidRDefault="00000000">
      <w:pPr>
        <w:pStyle w:val="FootnoteText"/>
        <w:spacing w:line="288" w:lineRule="auto"/>
      </w:pPr>
      <w:r>
        <w:t>12.</w:t>
      </w:r>
      <w:r>
        <w:tab/>
      </w:r>
      <w:r>
        <w:rPr>
          <w:u w:val="single"/>
        </w:rPr>
        <w:t>ПРЕДСЕДАТЕЛЬ</w:t>
      </w:r>
      <w:r>
        <w:t xml:space="preserve"> благодарит главу делегации за его выступление и предлагает Докладчику по стране задать вопросы делегации.</w:t>
      </w:r>
    </w:p>
    <w:p w:rsidR="00000000" w:rsidRDefault="00000000">
      <w:pPr>
        <w:pStyle w:val="FootnoteText"/>
        <w:spacing w:line="288" w:lineRule="auto"/>
      </w:pPr>
    </w:p>
    <w:p w:rsidR="00000000" w:rsidRDefault="00000000">
      <w:pPr>
        <w:pStyle w:val="FootnoteText"/>
        <w:spacing w:line="288" w:lineRule="auto"/>
      </w:pPr>
      <w:r>
        <w:t>13.</w:t>
      </w:r>
      <w:r>
        <w:tab/>
      </w:r>
      <w:r>
        <w:rPr>
          <w:u w:val="single"/>
        </w:rPr>
        <w:t>Г-н КАМАРА</w:t>
      </w:r>
      <w:r>
        <w:t xml:space="preserve"> (Докладчик по стране) приветствует делегацию, впервые встречающуюся с Комитетом.  Он заверяет ее членов, что у него создалось благоприятное впечатление от доклада, который носит откровенный и исчерпывающий характер;  в докладе содержатся ответы на необходимые вопросы и в нем не делается попытки скрыть неприятные факты.  Даже государства, располагающие значительно более богатым опытом, редко представляют столь полные доклады.</w:t>
      </w:r>
    </w:p>
    <w:p w:rsidR="00000000" w:rsidRDefault="00000000">
      <w:pPr>
        <w:pStyle w:val="FootnoteText"/>
        <w:spacing w:line="288" w:lineRule="auto"/>
      </w:pPr>
    </w:p>
    <w:p w:rsidR="00000000" w:rsidRDefault="00000000">
      <w:pPr>
        <w:pStyle w:val="FootnoteText"/>
        <w:spacing w:line="288" w:lineRule="auto"/>
      </w:pPr>
      <w:r>
        <w:t>14.</w:t>
      </w:r>
      <w:r>
        <w:tab/>
        <w:t>С учетом изложения многочисленных подробностей вопросы Докладчика будут направлены на ряд общих широких областей, прежде всего касающихся определений и наказания за пытки.  Конституция (пункт 2 статьи 26) содержит четкое запрещение применения пыток, за которые полагается лишение свободы на срок до девяти лет, но ему хотелось бы получить подтверждение того, что в законах действительно содержится определение пыток.  У него есть ряд оговорок, в частности относительно роли международных соглашений в законодательстве Узбекистана.  Обладает ли Конвенция силой закона только в том случае, если она непосредственно включена в законодательство Узбекистана, или на основании ее ратификации она автоматически обладает той же силой, что и любой внутренний закон, принятый парламентом Узбекистана?</w:t>
      </w:r>
    </w:p>
    <w:p w:rsidR="00000000" w:rsidRDefault="00000000">
      <w:pPr>
        <w:pStyle w:val="FootnoteText"/>
        <w:spacing w:line="288" w:lineRule="auto"/>
      </w:pPr>
    </w:p>
    <w:p w:rsidR="00000000" w:rsidRDefault="00000000">
      <w:pPr>
        <w:pStyle w:val="FootnoteText"/>
        <w:spacing w:line="288" w:lineRule="auto"/>
      </w:pPr>
      <w:r>
        <w:t>15.</w:t>
      </w:r>
      <w:r>
        <w:tab/>
        <w:t>Другим важным вопросом является сфера применимости законодательства против пыток.  Например, если пытки совершаются лицом, не являющимся государственным служащим, но по приказанию или при подстрекательстве со стороны государственного служащего, то каким образом будет наказано лицо, применившее пытки?  Насколько Докладчик понимает определение, уголовному преследованию могут подвергаться только государственные служащие.  Несмотря на это, в соответствии со статьей 1 Конвенции ответственность несут также лица, совершающие преступление пытки при подстрекательстве со стороны государственного служащего.  Это поднимает вопрос соучастия согласно общему уголовному праву.  Если лицо, применившее пытки, не является государственным должностным лицом и подвергается уголовному преследованию только за "насильственные действия", то будет ли государственное должностное лицо привлечено к уголовной ответственности за преступление пыток в качестве "соучастника"?  Поскольку за преступление пыток предусмотрено более строгое наказание, чем за насильственные действия, то будет ли государственное должностное лицо, выступавшее в качестве подстрекателя, наказано более сурово, чем лицо, фактически применявшее пытки, будучи "инструментом" в руках государственного служащего?  Каким образом согласно уголовному праву наказывается попытка применения пыток?</w:t>
      </w:r>
    </w:p>
    <w:p w:rsidR="00000000" w:rsidRDefault="00000000">
      <w:pPr>
        <w:pStyle w:val="FootnoteText"/>
        <w:spacing w:line="288" w:lineRule="auto"/>
      </w:pPr>
    </w:p>
    <w:p w:rsidR="00000000" w:rsidRDefault="00000000">
      <w:pPr>
        <w:pStyle w:val="FootnoteText"/>
        <w:spacing w:line="288" w:lineRule="auto"/>
      </w:pPr>
      <w:r>
        <w:t>16.</w:t>
      </w:r>
      <w:r>
        <w:tab/>
        <w:t>Что касается статей 1, 2 и 4, то ему хотелось бы узнать дополнительные подробности о содержании под стражей и превентивном заключении, прежде всего относительно его продолжительности и наличия доступа к адвокату.  Например, при каких условиях задержанное лицо имеет доступ к адвокату и по истечении какого периода задержания доступ к адвокату становится обязательным?  Может ли задержанный получить доступ к врачебной помощи?  Какой применяется контроль за режимом?</w:t>
      </w:r>
    </w:p>
    <w:p w:rsidR="00000000" w:rsidRDefault="00000000">
      <w:pPr>
        <w:pStyle w:val="FootnoteText"/>
        <w:spacing w:line="288" w:lineRule="auto"/>
      </w:pPr>
    </w:p>
    <w:p w:rsidR="00000000" w:rsidRDefault="00000000">
      <w:pPr>
        <w:pStyle w:val="FootnoteText"/>
        <w:spacing w:line="288" w:lineRule="auto"/>
      </w:pPr>
      <w:r>
        <w:t>17.</w:t>
      </w:r>
      <w:r>
        <w:tab/>
        <w:t>В исключительных случаях объявления чрезвычайного положения допускаются ли какие-либо отступления от общего права, которые имеют последствия для запрещения пыток?  Станет ли практика пыток ненаказуемой в случае объявления чрезвычайного положения, или она наказуема при любых обстоятельствах согласно требованиям статьи 2 Конвенции?  В пунктах 45-49 доклада упомянуто 155 965 письменных жалоб, но говорится лишь об 11 осужденных.  Учитывая такое противоречие, действительно ли эффективна система контроля за рассмотрением жалоб?  В пунктах 89-91 разъясняется уголовная ответственность за принятие неправомерных решений.  Докладчик обеспокоен тем, что судьи могут допускать ошибки и неверное толкование законов или применять их не должным образом;  страх последующего уголовного преследования за действительные ошибки может заставить судей отказываться от рассмотрения таких дел.  Не может ли это быть одним из объяснений противоречия между числом жалоб и количеством осужденных?</w:t>
      </w:r>
    </w:p>
    <w:p w:rsidR="00000000" w:rsidRDefault="00000000">
      <w:pPr>
        <w:pStyle w:val="FootnoteText"/>
        <w:spacing w:line="288" w:lineRule="auto"/>
      </w:pPr>
    </w:p>
    <w:p w:rsidR="00000000" w:rsidRDefault="00000000">
      <w:pPr>
        <w:pStyle w:val="FootnoteText"/>
        <w:spacing w:line="288" w:lineRule="auto"/>
      </w:pPr>
      <w:r>
        <w:t>18.</w:t>
      </w:r>
      <w:r>
        <w:tab/>
        <w:t>Какова точная роль и позиция судебной власти в системе Узбекистана?  Какие применяются критерии и процедуры для набора на работу, подготовки, продвижения по службе, увольнения, выхода на пенсию, подачи жалоб и, прежде всего, отчетности?  В большинстве стран судья не может нести уголовную ответственность за принятые им решения и вынесенные приговоры.</w:t>
      </w:r>
    </w:p>
    <w:p w:rsidR="00000000" w:rsidRDefault="00000000">
      <w:pPr>
        <w:pStyle w:val="FootnoteText"/>
        <w:spacing w:line="288" w:lineRule="auto"/>
      </w:pPr>
    </w:p>
    <w:p w:rsidR="00000000" w:rsidRDefault="00000000">
      <w:pPr>
        <w:pStyle w:val="FootnoteText"/>
        <w:spacing w:line="288" w:lineRule="auto"/>
      </w:pPr>
      <w:r>
        <w:t>19.</w:t>
      </w:r>
      <w:r>
        <w:tab/>
        <w:t>Обеспокоенность Докладчика вызвал пункт 79, в котором утверждается, что законодательство Узбекистана не содержит каких-либо специальных норм, запрещающих высылку, возврат и выдачу какого-либо лица другому государству, если существует серьезное основание полагать, что в его отношении могут быть применены пытки.  Это явно не в полной мере отвечает целям Конвенции.  Существует ли уже или запланировано создание в Узбекистане специальной системы наказания за все случаи применения пыток?  Если судить по докладу, то это не соответствует действительности.  Конвенция требует "всеобщей компетенции" для рассмотрения случаев пыток независимо от того, совершены они гражданами Узбекистана или других государств на территории страны или за ее пределами.  Преступление пытки должно быть рассмотрено судом, и при любых обстоятельствах за него должно быть вынесено наказание.</w:t>
      </w:r>
    </w:p>
    <w:p w:rsidR="00000000" w:rsidRDefault="00000000">
      <w:pPr>
        <w:pStyle w:val="FootnoteText"/>
        <w:spacing w:line="288" w:lineRule="auto"/>
      </w:pPr>
    </w:p>
    <w:p w:rsidR="00000000" w:rsidRDefault="00000000">
      <w:pPr>
        <w:pStyle w:val="FootnoteText"/>
        <w:spacing w:line="288" w:lineRule="auto"/>
      </w:pPr>
      <w:r>
        <w:t>20.</w:t>
      </w:r>
      <w:r>
        <w:tab/>
        <w:t>В докладах международных правозащитных НПО, таких, как организация "Международная амнистия" и Организация по наблюдению за соблюдением прав человека, приводятся конкретные примеры действий, противоречащих обязательству по предотвращению пыток и уголовному преследованию совершивших их лиц.  Докладчик считает, что законодательная система прилагает необходимые усилия, но описанные случаи свидетельствуют о том, что пока не обеспечено полного господства права, и по</w:t>
      </w:r>
      <w:r>
        <w:noBreakHyphen/>
        <w:t>прежнему широко распространена безнаказанность правонарушений.  Законодательные нормы ценны сами по себе, но их подлинное значение состоит в их осуществлении и в действиях, направленных на обеспечение их применения.  В Узбекистане существует политическая воля, направленная на выполнение его обязательств по Конвенции, но, как представляется, в настоящее время они осуществляются не в полной мере.  Может ли делегация подтвердить эту точку зрения?  Доклад носит откровенный, основательный и подробный характер, но он свидетельствует о том, что государство пока не в состоянии должным образом обеспечить наказание всех случаев пыток.</w:t>
      </w:r>
    </w:p>
    <w:p w:rsidR="00000000" w:rsidRDefault="00000000">
      <w:pPr>
        <w:pStyle w:val="FootnoteText"/>
        <w:spacing w:line="288" w:lineRule="auto"/>
      </w:pPr>
    </w:p>
    <w:p w:rsidR="00000000" w:rsidRDefault="00000000">
      <w:pPr>
        <w:pStyle w:val="FootnoteText"/>
        <w:spacing w:line="288" w:lineRule="auto"/>
      </w:pPr>
      <w:r>
        <w:t>21.</w:t>
      </w:r>
      <w:r>
        <w:tab/>
      </w:r>
      <w:r>
        <w:rPr>
          <w:u w:val="single"/>
        </w:rPr>
        <w:t>Г-н СИЛВА ЭНРИКИШ ГАШПАР</w:t>
      </w:r>
      <w:r>
        <w:t xml:space="preserve"> (заместитель Докладчика по стране), поблагодарив делегацию Узбекистана за весьма полный доклад, говорит, что его замечания будут касаться статей 10-16 Конвенции.</w:t>
      </w:r>
    </w:p>
    <w:p w:rsidR="00000000" w:rsidRDefault="00000000">
      <w:pPr>
        <w:pStyle w:val="FootnoteText"/>
        <w:spacing w:line="288" w:lineRule="auto"/>
      </w:pPr>
    </w:p>
    <w:p w:rsidR="00000000" w:rsidRDefault="00000000">
      <w:pPr>
        <w:pStyle w:val="FootnoteText"/>
        <w:spacing w:line="288" w:lineRule="auto"/>
      </w:pPr>
      <w:r>
        <w:t>22.</w:t>
      </w:r>
      <w:r>
        <w:tab/>
        <w:t>Относительно статьи 10 Комитет приветствует меры, принимаемые в области профессиональной подготовки, а также значительные усилия в сфере образования по правам человека.  Он спрашивает, каким требованиям должны отвечать кандидаты на работу в правоохранительных органах.  Предоставлена ли сотрудникам полиции возможность посещать теоретические или практические занятия по правилам обращения с задержанными?  Ему также хотелось бы знать, какая подготовка без отрыва от работы предоставляется руководящим кадрам и работникам среднего звена, которые по признанию правительства Узбекистана в пункте 127 по</w:t>
      </w:r>
      <w:r>
        <w:noBreakHyphen/>
        <w:t>прежнему сильно подвержены стереотипам административно-командной системы.  В первоначальном докладе ничего не сказано о порядке информирования тюремных врачей о конкретных нуждах задержанных.  Какая подготовка без отрыва от работы предоставляется судьям?</w:t>
      </w:r>
    </w:p>
    <w:p w:rsidR="00000000" w:rsidRDefault="00000000">
      <w:pPr>
        <w:pStyle w:val="FootnoteText"/>
        <w:spacing w:line="288" w:lineRule="auto"/>
      </w:pPr>
      <w:r>
        <w:t>23.</w:t>
      </w:r>
      <w:r>
        <w:tab/>
        <w:t>Комитет констатирует сделанное в пунктах 143 и 144 откровенное признание того, что при рассмотрении соответствующих случаев по</w:t>
      </w:r>
      <w:r>
        <w:noBreakHyphen/>
        <w:t>прежнему существуют недостатки и что Верховный суд обратил внимание на необходимость строгого соблюдения процессуального законодательства в ходе судебного разбирательства уголовных дел (пункт 146).  Комитет получил сообщения о том, что подозреваемым не предоставляют доступа к адвокату, что зачастую адвокатам не разрешают встретиться с задержанными в течение нескольких дней после задержания и что некоторые задержанные даже подвергаются жестокому обращению.  Запланировано ли принятие каких-либо мер для урегулирования очевидного противоречия между указаниями Верховного суда и фактической практикой работы сотрудников правоохранительных органов?</w:t>
      </w:r>
    </w:p>
    <w:p w:rsidR="00000000" w:rsidRDefault="00000000">
      <w:pPr>
        <w:pStyle w:val="FootnoteText"/>
        <w:spacing w:line="288" w:lineRule="auto"/>
      </w:pPr>
    </w:p>
    <w:p w:rsidR="00000000" w:rsidRDefault="00000000">
      <w:pPr>
        <w:pStyle w:val="FootnoteText"/>
        <w:spacing w:line="288" w:lineRule="auto"/>
      </w:pPr>
      <w:r>
        <w:t>24.</w:t>
      </w:r>
      <w:r>
        <w:tab/>
        <w:t>Что касается статей 12 и 13 Конвенции, то оратор отмечает, что в первоначальном докладе весьма откровенно признается, что в деятельности ряда правоохранительных органов все еще отмечаются факты неправомерного, унижающего честь и достоинство человека обращения и наказания (пункт 159), и что в практической деятельности ряда правоохранительных органов отмечаются факты игнорирования жалоб граждан и формального отношения к ним (пункт 170).  Какие меры запланировано принять для исправления этого положения?  Может ли Генеральный прокурор или суды возбуждать расследования в целях проверки выполнения существующих положений, а также для наказания случаев их невыполнения?  Какие дисциплинарные органы контролируют работу судов и полиции после возбуждения расследований?</w:t>
      </w:r>
    </w:p>
    <w:p w:rsidR="00000000" w:rsidRDefault="00000000">
      <w:pPr>
        <w:pStyle w:val="FootnoteText"/>
        <w:spacing w:line="288" w:lineRule="auto"/>
      </w:pPr>
    </w:p>
    <w:p w:rsidR="00000000" w:rsidRDefault="00000000">
      <w:pPr>
        <w:pStyle w:val="FootnoteText"/>
        <w:spacing w:line="288" w:lineRule="auto"/>
      </w:pPr>
      <w:r>
        <w:t>25.</w:t>
      </w:r>
      <w:r>
        <w:tab/>
        <w:t>Комитет получил информацию, согласно которой суды, включая Верховный суд, по</w:t>
      </w:r>
      <w:r>
        <w:noBreakHyphen/>
        <w:t>прежнему считает приемлемыми признания, полученные под принуждением.  Какие меры приняты для обеспечения того, чтобы суды выполняли решение Верховного суда, лишающего юридической силы доказательства, полученные с нарушением закона (пункт 172)?  Если поступают сообщения о применении пыток или жестокого обращения, отдают ли суды распоряжение об их расследовании, и проводится ли такое расследование на практике в полной мере?</w:t>
      </w:r>
    </w:p>
    <w:p w:rsidR="00000000" w:rsidRDefault="00000000">
      <w:pPr>
        <w:pStyle w:val="FootnoteText"/>
        <w:spacing w:line="288" w:lineRule="auto"/>
      </w:pPr>
    </w:p>
    <w:p w:rsidR="00000000" w:rsidRDefault="00000000">
      <w:pPr>
        <w:pStyle w:val="FootnoteText"/>
        <w:spacing w:line="288" w:lineRule="auto"/>
      </w:pPr>
      <w:r>
        <w:t>26.</w:t>
      </w:r>
      <w:r>
        <w:tab/>
        <w:t>Что касается статьи 16 Конвенции, то оратору хотелось бы знать, должным ли образом задержанных информируют об их правах, включая право на подачу жалобы.  Может ли делегация сообщить данные о количестве заключенных?  В соответствии с докладом, в недавнее время опубликованным одной из неправительственных организаций (НПО), в настоящее время в Узбекистане в тюрьмах содержится 100 000 человек, половина из которых осуждена в связи с религиозной деятельностью.  Организация "Международная амнистия" сообщила, что в одном из отдаленных районов страны создано две колонии с ужасными условиями содержания, в которых к тому же широко распространен принудительный труд.  Другие НПО сообщили Комитету, что 36 заключенных умерли в результате применения пыток в колонии Джаслук и что в 1998 году 38 заключенных умерли в колонии, расположенной вблизи селения Жаслык.  Не могла бы делегация Узбекистана прокомментировать эти сообщения?  Проводится ли систематическое расследование случаев смерти лиц, находящихся под стражей?  Существует ли официальный реестр тюрем и заключенных?  Имеются ли статистические данные о применении смертной казни?  Какой метод казни используется?</w:t>
      </w:r>
    </w:p>
    <w:p w:rsidR="00000000" w:rsidRDefault="00000000">
      <w:pPr>
        <w:pStyle w:val="FootnoteText"/>
        <w:spacing w:line="288" w:lineRule="auto"/>
      </w:pPr>
    </w:p>
    <w:p w:rsidR="00000000" w:rsidRDefault="00000000">
      <w:pPr>
        <w:pStyle w:val="FootnoteText"/>
        <w:spacing w:line="288" w:lineRule="auto"/>
      </w:pPr>
      <w:r>
        <w:t>27.</w:t>
      </w:r>
      <w:r>
        <w:tab/>
      </w:r>
      <w:r>
        <w:rPr>
          <w:u w:val="single"/>
        </w:rPr>
        <w:t>Г-н МАВРОММАТИС</w:t>
      </w:r>
      <w:r>
        <w:t xml:space="preserve"> благодарит делегацию Узбекистана за представление, возможно, наиболее откровенного доклада за последние несколько десятилетий.  Особенно его поразило в докладе значительное число жалоб и сообщений относительно нарушений прав человека.  Как представляется, судьи не имеют гарантии от необоснованного увольнения и лишены иммунитета в связи с принимаемыми ими решениями, а в судебной системе, по</w:t>
      </w:r>
      <w:r>
        <w:noBreakHyphen/>
        <w:t>видимому, не предусмотрен механизм для действенного осуществления процесса апелляций и пересмотра.  Узбекистан, видимо, может быть заинтересован в информации о том, что Управление Верховного комиссара по правам человека готовит прекрасные учебные пособия для использования при подготовке сотрудников полиции.</w:t>
      </w:r>
    </w:p>
    <w:p w:rsidR="00000000" w:rsidRDefault="00000000">
      <w:pPr>
        <w:pStyle w:val="FootnoteText"/>
        <w:spacing w:line="288" w:lineRule="auto"/>
      </w:pPr>
    </w:p>
    <w:p w:rsidR="00000000" w:rsidRDefault="00000000">
      <w:pPr>
        <w:pStyle w:val="FootnoteText"/>
        <w:spacing w:line="288" w:lineRule="auto"/>
      </w:pPr>
      <w:r>
        <w:t>28.</w:t>
      </w:r>
      <w:r>
        <w:tab/>
        <w:t>У оратора есть ряд конкретных вопросов.  В пункте 46 приведена очень большая цифра полученных жалоб </w:t>
      </w:r>
      <w:r>
        <w:noBreakHyphen/>
        <w:t xml:space="preserve"> 155 965, причем 110 513 из них были сочтены обоснованными.  Это обнадеживает, так как означает, что данный процесс действует;  Комитет ни разу не был свидетелем столь высокого соотношения.  Существует ли какая-либо информация о том, что фактически было сделано для урегулирования жалоб?  В пункте 53 утверждается, что подавляющее большинство жалоб, полученных омбудсменом, касалось деятельности судов и правоохранительных органов.  Нельзя ли предоставить дополнительную информацию о характере этих жалоб?  Приняты ли по ним какие-либо меры?  Он также спрашивает, доступна ли юридическая помощь лицам, обладающим скромными доходами.  В соответствии с пунктом 55 юридическая помощь оказывалась во всех случаях, связанных с нарушением прав человека правоохранительными органами.  Не могла бы делегация Узбекистана проинформировать Комитет о характере предоставляемых консультаций?  Какие действия предпринимались по жалобам, упомянутым в этом пункте?</w:t>
      </w:r>
    </w:p>
    <w:p w:rsidR="00000000" w:rsidRDefault="00000000">
      <w:pPr>
        <w:pStyle w:val="FootnoteText"/>
        <w:spacing w:line="288" w:lineRule="auto"/>
      </w:pPr>
    </w:p>
    <w:p w:rsidR="00000000" w:rsidRDefault="00000000">
      <w:pPr>
        <w:pStyle w:val="FootnoteText"/>
        <w:spacing w:line="288" w:lineRule="auto"/>
      </w:pPr>
      <w:r>
        <w:t>29.</w:t>
      </w:r>
      <w:r>
        <w:tab/>
        <w:t>Некоторые из правонарушений, перечисленных в пункте 59, как представляется, не столь серьезны, чтобы их совершение наказывалось смертной казнью, к тому же в любом случае Узбекистану следует предпринять усилия по ее отмене.  В пункте 58 утверждается, что в отношении женщин смертная казнь не применяется.  Каково логическое обоснование исключения женщин из этого вида наказания?</w:t>
      </w:r>
    </w:p>
    <w:p w:rsidR="00000000" w:rsidRDefault="00000000">
      <w:pPr>
        <w:pStyle w:val="FootnoteText"/>
        <w:spacing w:line="288" w:lineRule="auto"/>
      </w:pPr>
    </w:p>
    <w:p w:rsidR="00000000" w:rsidRDefault="00000000">
      <w:pPr>
        <w:pStyle w:val="FootnoteText"/>
        <w:spacing w:line="288" w:lineRule="auto"/>
      </w:pPr>
      <w:r>
        <w:t>30.</w:t>
      </w:r>
      <w:r>
        <w:tab/>
        <w:t>В связи с пунктом 66 он спрашивает, существуют ли какие-либо иные независимые органы, представители которых посещают тюрьмы, так как это содействовало бы обеспечению соответствия условий тюремного содержания положениям Конвенции.  Наконец, в пункте 82 говорится, что уголовным преступлением является привлечение заведомо невиновного к ответственности в качестве обвиняемого в совершении общественно опасного деяния.  Оратору хотелось бы знать, что означает термин "общественно опасное деяние".  Как можно установить, что судебным работникам в соответствующий момент было известно о невиновности того или иного лица?</w:t>
      </w:r>
    </w:p>
    <w:p w:rsidR="00000000" w:rsidRDefault="00000000">
      <w:pPr>
        <w:pStyle w:val="FootnoteText"/>
        <w:spacing w:line="288" w:lineRule="auto"/>
      </w:pPr>
    </w:p>
    <w:p w:rsidR="00000000" w:rsidRDefault="00000000">
      <w:pPr>
        <w:pStyle w:val="FootnoteText"/>
        <w:spacing w:line="288" w:lineRule="auto"/>
      </w:pPr>
      <w:r>
        <w:t>31.</w:t>
      </w:r>
      <w:r>
        <w:tab/>
      </w:r>
      <w:r>
        <w:rPr>
          <w:u w:val="single"/>
        </w:rPr>
        <w:t>Г-н ЮЙ Мэнцзя</w:t>
      </w:r>
      <w:r>
        <w:t>, возвращаясь к вопросу г-на Силвы Энрикиша Гашпара, говорит, что в случае найма на работу лиц, не обладающих необходимой квалификацией, впоследствии они могут быть уволены, но до их увольнения они могут совершить противоправные деяния;  это подчеркивает важность надлежащего найма на работу.  Не могла бы делегация Узбекистана описать процесс найма на работу?  Выступающему хотелось бы знать, что в пункте 120 понимается под "национальными особенностями", которым необходимо уделять особое внимание в процессе формирования правосознания.  Что касается пункта 144, то рассмотрит ли Узбекистан возможность создания механизма для предотвращения необоснованного отказа в удовлетворении ходатайств участников процесса?  Касательно пункта 171 следует отметить, что не очень распространенной практикой является возмещение морального ущерба, нанесенного противоправными действиями.  Каким образом Узбекистан намерен исправить такую ситуацию?</w:t>
      </w:r>
    </w:p>
    <w:p w:rsidR="00000000" w:rsidRDefault="00000000">
      <w:pPr>
        <w:pStyle w:val="FootnoteText"/>
        <w:spacing w:line="288" w:lineRule="auto"/>
      </w:pPr>
    </w:p>
    <w:p w:rsidR="00000000" w:rsidRDefault="00000000">
      <w:pPr>
        <w:pStyle w:val="FootnoteText"/>
        <w:spacing w:line="288" w:lineRule="auto"/>
      </w:pPr>
      <w:r>
        <w:t>32.</w:t>
      </w:r>
      <w:r>
        <w:tab/>
      </w:r>
      <w:r>
        <w:rPr>
          <w:u w:val="single"/>
        </w:rPr>
        <w:t>Г-н ГОНСАЛЕС ПОБЛЕТЕ</w:t>
      </w:r>
      <w:r>
        <w:t>, касаясь пункта 125, спрашивает, рассматривается ли возможность разработки каких-либо положений, на основании которых сотрудники полиции должны незамедлительно информировать задержанных об их правах.  Пытки зачастую могут иметь место именно потому, что у задержанных нет возможности сообщить своим родственникам о своем местонахождении.  Кроме того, задержанные должны иметь право на получение врачебной консультации и на доступ к адвокату с момента задержания.  В каких нормах закреплены эти права?</w:t>
      </w:r>
    </w:p>
    <w:p w:rsidR="00000000" w:rsidRDefault="00000000">
      <w:pPr>
        <w:pStyle w:val="FootnoteText"/>
        <w:spacing w:line="288" w:lineRule="auto"/>
      </w:pPr>
    </w:p>
    <w:p w:rsidR="00000000" w:rsidRDefault="00000000">
      <w:pPr>
        <w:pStyle w:val="FootnoteText"/>
        <w:spacing w:line="288" w:lineRule="auto"/>
      </w:pPr>
      <w:r>
        <w:t>33.</w:t>
      </w:r>
      <w:r>
        <w:tab/>
      </w:r>
      <w:r>
        <w:rPr>
          <w:u w:val="single"/>
        </w:rPr>
        <w:t>Г-н ЯКОВЛЕВ</w:t>
      </w:r>
      <w:r>
        <w:t xml:space="preserve"> спрашивает, имеется ли статистический материал за последние годы о количестве арестов и осуждений, о лицах, находящихся под стражей до суда, и о причинах ареста.  Какие тенденции были выявлены?</w:t>
      </w:r>
    </w:p>
    <w:p w:rsidR="00000000" w:rsidRDefault="00000000">
      <w:pPr>
        <w:pStyle w:val="FootnoteText"/>
        <w:spacing w:line="288" w:lineRule="auto"/>
      </w:pPr>
    </w:p>
    <w:p w:rsidR="00000000" w:rsidRDefault="00000000">
      <w:pPr>
        <w:pStyle w:val="FootnoteText"/>
        <w:spacing w:line="288" w:lineRule="auto"/>
      </w:pPr>
      <w:r>
        <w:t>34.</w:t>
      </w:r>
      <w:r>
        <w:tab/>
      </w:r>
      <w:r>
        <w:rPr>
          <w:u w:val="single"/>
        </w:rPr>
        <w:t>Г-н СОРЕНСЕН</w:t>
      </w:r>
      <w:r>
        <w:t xml:space="preserve"> говорит, что Комитет получил значительное число жалоб на жестокое обращение, и он подчеркивает необходимость возмещения, компенсации и реабилитации в отношении жертв пыток.  Это особенно важно для страны, находящейся на переходном этапе, которая старается заложить основу для демократического развития, в связи с чем необходимо признать факты жестокого обращения и их противоправный характер.  Реабилитация жертв также играет первоочередную роль.  Лица, подвергаемые жестоким пыткам, должны иметь право на лечение, поскольку во многих случаях оно для них жизненно необходимо.  Правительству следует рассмотреть возможность создания реабилитационного центра для жертв пыток.  Международное сообщество создало Добровольный фонд Организации Объединенных Наций для жертв пыток, для которого необходимы не только денежные средства, но и моральная поддержка.  Несмотря на экономические сложности, с которыми сталкивается Узбекистан, его правительство могло бы оказать этому фонду значительную поддержку, внеся хотя бы чисто символический взнос, что послужило бы также очень важным посланием для жертв пыток в самом Узбекистане.</w:t>
      </w:r>
    </w:p>
    <w:p w:rsidR="00000000" w:rsidRDefault="00000000">
      <w:pPr>
        <w:pStyle w:val="FootnoteText"/>
        <w:spacing w:line="288" w:lineRule="auto"/>
      </w:pPr>
    </w:p>
    <w:p w:rsidR="00000000" w:rsidRDefault="00000000">
      <w:r>
        <w:t>35.</w:t>
      </w:r>
      <w:r>
        <w:tab/>
      </w:r>
      <w:r>
        <w:rPr>
          <w:u w:val="single"/>
        </w:rPr>
        <w:t>ПРЕДСЕДАТЕЛЬ</w:t>
      </w:r>
      <w:r>
        <w:t xml:space="preserve"> говорит, что Узбекистан сталкивается с теми же проблемами, которые стоят перед всеми бывшими республиками Советского Союза, включая необходимость перехода от "командной" к рыночной экономике.  Равным образом, советская система отправления правосудия также была системой "командного правосудия", в рамках которой судьи в целом проводили линию, навязываемую им другими участниками процесса, прежде всего прокурорами.  Центральная роль прокурора в советской системе является одним из аспектов, который необходимо преодолеть всем бывшим республикам Советского Союза, если они действительно намерены создать систему защиты прав человека.  В такой системе соответствующая роль прокуроров и судей будет четко разграничена, причем судьи получат бóльшие полномочия и будут действовать в качестве важнейших гарантов соблюдения прав человека.</w:t>
      </w:r>
    </w:p>
    <w:p w:rsidR="00000000" w:rsidRDefault="00000000"/>
    <w:p w:rsidR="00000000" w:rsidRDefault="00000000">
      <w:r>
        <w:t>36.</w:t>
      </w:r>
      <w:r>
        <w:tab/>
        <w:t>Согласно информации организации "Международная амнистия" пленум Верховного суда Узбекистана недавно принял решение о том, что статья 44 Конституции дает судам право рассматривать любые жалобы о неправомерных действиях государственных властей.  Это решение Верховного суда о придании таких полномочий носит очень важный характер, и Комитет полностью его поддерживает.  Несмотря на это, на практике большинство судов, включая даже Верховный суд, по</w:t>
      </w:r>
      <w:r>
        <w:noBreakHyphen/>
        <w:t>прежнему игнорируют это указание и не принимают действий по жалобам о применении пыток и жестокого обращения независимо от того, были ли жалобы направлены в эти суды или поданы в ходе судебного процесса.  Как констатировал целый ряд членов Комитета, при реформировании государственной системы правозащитный аспект приобретает важнейшее значение.  Может понадобиться жизнь одного или двух поколений, чтобы система заработала надлежащим образом.</w:t>
      </w:r>
    </w:p>
    <w:p w:rsidR="00000000" w:rsidRDefault="00000000"/>
    <w:p w:rsidR="00000000" w:rsidRDefault="00000000">
      <w:r>
        <w:t>37.</w:t>
      </w:r>
      <w:r>
        <w:tab/>
        <w:t>Каким образом в Узбекистане действует процесс уголовного судопроизводства?  Могут ли сотрудники полиции в интересах следствия осуществлять аресты по упрощенной схеме или для этого необходим ордер или другое разрешение, отдаваемое судом или прокурором?  Если такие аресты разрешены, то какова максимальная продолжительность содержания под стражей до суда?  Может ли срок такого содержания под стражей быть продлен на основании распоряжения прокурора или суда?  С его точки зрения, задержанного, которому отказывают в доступе к адвокату или врачу по его выбору, или к его родственникам, следует считать содержащимся в условиях изоляции от внешнего мира независимо от того, имеет ли такое лицо доступ к прокурору, который в любом случае является участником "командной" системы отправления правосудия.  Применяется ли такое заключение в условиях изоляции от внешнего мира в каких-либо случаях?  Если оно применяется, то в течение какого срока?  Применяется ли какой-либо судебный приказ или распоряжение, аналогичные судебному приказу о доставлении в суд лица, содержащегося под стражей, для выяснения правомерности содержания его под стражей, на основании чего любое лицо могло бы обратиться к суду с просьбой изучить факт правомерности задержания?  Как представляется, Верховный суд своим решением предоставил судам такие полномочия.</w:t>
      </w:r>
    </w:p>
    <w:p w:rsidR="00000000" w:rsidRDefault="00000000"/>
    <w:p w:rsidR="00000000" w:rsidRDefault="00000000">
      <w:r>
        <w:t>38.</w:t>
      </w:r>
      <w:r>
        <w:tab/>
        <w:t>Применяется ли до сих пор смертная казнь, по</w:t>
      </w:r>
      <w:r>
        <w:noBreakHyphen/>
        <w:t>прежнему официально предусмотренная законодательством?  Было бы полезным, если бы делегация могла представить статистические данные о количестве смертных приговоров, вынесенных и осуществленных в последние два года.  Какой применяется способ казни, и осуществляется ли она публично?  Существует ли в Узбекистане практика принятия законов о всеобщей амнистии?  Если такая практика существует, то в отношении каких преступлений такие законы применяются?  Применимы ли они к преступлению пытки?</w:t>
      </w:r>
    </w:p>
    <w:p w:rsidR="00000000" w:rsidRDefault="00000000"/>
    <w:p w:rsidR="00000000" w:rsidRDefault="00000000">
      <w:r>
        <w:t>39.</w:t>
      </w:r>
      <w:r>
        <w:tab/>
        <w:t>Комитет получил значительную информацию от неправительственных организаций относительно жестокого обращения, которое, как представляется, имеет место в чрезмерно большом числе случаев.  Было бы очень желательно, чтобы делегация прокомментировала эти случаи.  Его особенную обеспокоенность вызывает значительное количество женщин, которые, как представляется, стали жертвами жестокого обращения.  В соответствии с данными Общества по правам человека Узбекистана, которое привело некоторые вызывающие тревогу подробности, практика применения пыток в отношении женщин становится все более распространенной.  Не могла бы делегация предоставить какую-либо информацию о количестве соответствующих жалоб и, в случае ее наличия, данные в разбивке по полу, с тем чтобы Комитет мог получить более полное представление о сложившейся ситуации.</w:t>
      </w:r>
    </w:p>
    <w:p w:rsidR="00000000" w:rsidRDefault="00000000"/>
    <w:p w:rsidR="00000000" w:rsidRDefault="00000000">
      <w:r>
        <w:t>40.</w:t>
      </w:r>
      <w:r>
        <w:tab/>
        <w:t>Организация "Международная амнистия" утверждала, что в отдельных пустынных районах страны создано две неофициальные колонии, большинство заключенных которых, по сообщениям, являются членами независимых исламских конгрегаций, обвиняемых в поддержке запрещенной исламской политической оппозиции.  По сведениям, в этих колониях существуют крайне тяжелые условия содержания, заключенных принуждают к труду, и они страдают от недостатка питьевой воды.  Не могла бы делегация подтвердить или опровергнуть факт существования этих колоний?  Если они существуют, не могла бы делегация прокомментировать условия содержания в них?</w:t>
      </w:r>
    </w:p>
    <w:p w:rsidR="00000000" w:rsidRDefault="00000000"/>
    <w:p w:rsidR="00000000" w:rsidRDefault="00000000">
      <w:r>
        <w:t>41.</w:t>
      </w:r>
      <w:r>
        <w:tab/>
        <w:t>Весьма впечатляющим является предложение о создании комиссии по проведению аттестации работников системы правосудия.  Любая такая аттестация не должна ограничиваться нижними эшелонами, а распространяться также на высокопоставленных должностных лиц, которые определяли политику в прошлом, тем более что в настоящее время система правосудия реформируется в интересах отказа от командных механизмов.  Это предложение отражает желание правительства обеспечить переход к действительно правовому и демократическому обществу.</w:t>
      </w:r>
    </w:p>
    <w:p w:rsidR="00000000" w:rsidRDefault="00000000"/>
    <w:p w:rsidR="00000000" w:rsidRDefault="00000000">
      <w:pPr>
        <w:jc w:val="center"/>
      </w:pPr>
      <w:r>
        <w:rPr>
          <w:u w:val="single"/>
        </w:rPr>
        <w:t>Открытая часть заседания закрывается в 11 час. 35 мин</w:t>
      </w:r>
      <w:r>
        <w:t>.</w:t>
      </w:r>
    </w:p>
    <w:p w:rsidR="00000000" w:rsidRDefault="00000000">
      <w:pPr>
        <w:jc w:val="center"/>
      </w:pPr>
    </w:p>
    <w:p w:rsidR="00000000" w:rsidRDefault="00000000">
      <w:pPr>
        <w:jc w:val="center"/>
      </w:pPr>
      <w:r>
        <w:t>-----</w:t>
      </w:r>
    </w:p>
    <w:p w:rsidR="00000000" w:rsidRDefault="00000000">
      <w:pPr>
        <w:jc w:val="cente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CAT/C/SR.405</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CAT/C/SR.405</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4594</Words>
  <Characters>26186</Characters>
  <Application>Microsoft Office Word</Application>
  <DocSecurity>4</DocSecurity>
  <Lines>218</Lines>
  <Paragraphs>52</Paragraphs>
  <ScaleCrop>false</ScaleCrop>
  <HeadingPairs>
    <vt:vector size="2" baseType="variant">
      <vt:variant>
        <vt:lpstr>Title</vt:lpstr>
      </vt:variant>
      <vt:variant>
        <vt:i4>1</vt:i4>
      </vt:variant>
    </vt:vector>
  </HeadingPairs>
  <TitlesOfParts>
    <vt:vector size="1" baseType="lpstr">
      <vt:lpstr>99-45756.doc</vt:lpstr>
    </vt:vector>
  </TitlesOfParts>
  <Company>ONU</Company>
  <LinksUpToDate>false</LinksUpToDate>
  <CharactersWithSpaces>32158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99-45756.doc</dc:title>
  <dc:subject/>
  <dc:creator>TPS</dc:creator>
  <cp:keywords/>
  <dc:description/>
  <cp:lastModifiedBy>odsdba</cp:lastModifiedBy>
  <cp:revision>3</cp:revision>
  <cp:lastPrinted>2002-05-17T07:41:00Z</cp:lastPrinted>
  <dcterms:created xsi:type="dcterms:W3CDTF">2002-03-22T12:01:00Z</dcterms:created>
  <dcterms:modified xsi:type="dcterms:W3CDTF">2002-05-17T07:42:00Z</dcterms:modified>
</cp:coreProperties>
</file>