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1191"/>
        <w:gridCol w:w="5480"/>
        <w:gridCol w:w="2697"/>
      </w:tblGrid>
      <w:tr w:rsidR="00D80435">
        <w:tblPrEx>
          <w:tblCellMar>
            <w:top w:w="0" w:type="dxa"/>
            <w:left w:w="0" w:type="dxa"/>
            <w:bottom w:w="0" w:type="dxa"/>
            <w:right w:w="0" w:type="dxa"/>
          </w:tblCellMar>
        </w:tblPrEx>
        <w:tc>
          <w:tcPr>
            <w:tcW w:w="6671" w:type="dxa"/>
            <w:gridSpan w:val="2"/>
            <w:tcBorders>
              <w:bottom w:val="single" w:sz="12" w:space="0" w:color="auto"/>
            </w:tcBorders>
          </w:tcPr>
          <w:p w:rsidR="00D80435" w:rsidRDefault="00D80435">
            <w:pPr>
              <w:tabs>
                <w:tab w:val="left" w:pos="680"/>
                <w:tab w:val="left" w:pos="1361"/>
              </w:tabs>
              <w:spacing w:before="120" w:after="60"/>
              <w:rPr>
                <w:b/>
                <w:sz w:val="24"/>
                <w:lang w:val="ru-RU"/>
              </w:rPr>
            </w:pPr>
            <w:r>
              <w:rPr>
                <w:b/>
                <w:sz w:val="28"/>
                <w:lang w:val="ru-RU"/>
              </w:rPr>
              <w:t>Организация Объединенных Наций</w:t>
            </w:r>
          </w:p>
        </w:tc>
        <w:tc>
          <w:tcPr>
            <w:tcW w:w="2697" w:type="dxa"/>
            <w:tcBorders>
              <w:bottom w:val="single" w:sz="12" w:space="0" w:color="auto"/>
            </w:tcBorders>
          </w:tcPr>
          <w:p w:rsidR="00D80435" w:rsidRDefault="00D80435">
            <w:pPr>
              <w:tabs>
                <w:tab w:val="left" w:pos="680"/>
                <w:tab w:val="left" w:pos="1361"/>
              </w:tabs>
              <w:spacing w:before="120" w:after="60"/>
              <w:rPr>
                <w:b/>
                <w:sz w:val="24"/>
              </w:rPr>
            </w:pPr>
            <w:r>
              <w:rPr>
                <w:b/>
                <w:sz w:val="40"/>
              </w:rPr>
              <w:t>CEDAW/</w:t>
            </w:r>
            <w:r>
              <w:t>C/IND/2-3</w:t>
            </w:r>
          </w:p>
        </w:tc>
      </w:tr>
      <w:tr w:rsidR="00D80435">
        <w:tblPrEx>
          <w:tblCellMar>
            <w:top w:w="0" w:type="dxa"/>
            <w:left w:w="0" w:type="dxa"/>
            <w:bottom w:w="0" w:type="dxa"/>
            <w:right w:w="0" w:type="dxa"/>
          </w:tblCellMar>
        </w:tblPrEx>
        <w:tc>
          <w:tcPr>
            <w:tcW w:w="1191" w:type="dxa"/>
            <w:tcBorders>
              <w:top w:val="single" w:sz="12" w:space="0" w:color="auto"/>
            </w:tcBorders>
          </w:tcPr>
          <w:p w:rsidR="00D80435" w:rsidRDefault="00D80435">
            <w:pPr>
              <w:tabs>
                <w:tab w:val="left" w:pos="680"/>
                <w:tab w:val="left" w:pos="1361"/>
              </w:tabs>
              <w:spacing w:after="0"/>
              <w:rPr>
                <w:b/>
                <w:sz w:val="24"/>
              </w:rPr>
            </w:pPr>
          </w:p>
        </w:tc>
        <w:tc>
          <w:tcPr>
            <w:tcW w:w="5480" w:type="dxa"/>
            <w:tcBorders>
              <w:top w:val="single" w:sz="12" w:space="0" w:color="auto"/>
            </w:tcBorders>
          </w:tcPr>
          <w:p w:rsidR="00D80435" w:rsidRDefault="00D80435">
            <w:pPr>
              <w:tabs>
                <w:tab w:val="left" w:pos="680"/>
                <w:tab w:val="left" w:pos="1361"/>
              </w:tabs>
              <w:spacing w:after="0"/>
              <w:rPr>
                <w:b/>
                <w:sz w:val="24"/>
              </w:rPr>
            </w:pPr>
          </w:p>
        </w:tc>
        <w:tc>
          <w:tcPr>
            <w:tcW w:w="2697" w:type="dxa"/>
            <w:tcBorders>
              <w:top w:val="single" w:sz="12" w:space="0" w:color="auto"/>
            </w:tcBorders>
          </w:tcPr>
          <w:p w:rsidR="00D80435" w:rsidRDefault="00D80435">
            <w:pPr>
              <w:tabs>
                <w:tab w:val="left" w:pos="680"/>
                <w:tab w:val="left" w:pos="1361"/>
              </w:tabs>
              <w:spacing w:after="0"/>
              <w:rPr>
                <w:b/>
                <w:sz w:val="24"/>
              </w:rPr>
            </w:pPr>
          </w:p>
        </w:tc>
      </w:tr>
      <w:tr w:rsidR="00D80435">
        <w:tblPrEx>
          <w:tblCellMar>
            <w:top w:w="0" w:type="dxa"/>
            <w:left w:w="0" w:type="dxa"/>
            <w:bottom w:w="0" w:type="dxa"/>
            <w:right w:w="0" w:type="dxa"/>
          </w:tblCellMar>
        </w:tblPrEx>
        <w:tc>
          <w:tcPr>
            <w:tcW w:w="1191" w:type="dxa"/>
            <w:tcBorders>
              <w:bottom w:val="single" w:sz="12" w:space="0" w:color="auto"/>
            </w:tcBorders>
          </w:tcPr>
          <w:p w:rsidR="00D80435" w:rsidRDefault="00D80435">
            <w:pPr>
              <w:tabs>
                <w:tab w:val="left" w:pos="680"/>
                <w:tab w:val="left" w:pos="1361"/>
              </w:tabs>
              <w:rPr>
                <w:b/>
                <w:sz w:val="24"/>
              </w:rPr>
            </w:pP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3.5pt" fillcolor="window">
                  <v:imagedata r:id="rId7" o:title=""/>
                </v:shape>
              </w:pict>
            </w:r>
          </w:p>
        </w:tc>
        <w:tc>
          <w:tcPr>
            <w:tcW w:w="5480" w:type="dxa"/>
            <w:tcBorders>
              <w:bottom w:val="single" w:sz="12" w:space="0" w:color="auto"/>
            </w:tcBorders>
          </w:tcPr>
          <w:p w:rsidR="00D80435" w:rsidRDefault="00D80435">
            <w:pPr>
              <w:tabs>
                <w:tab w:val="left" w:pos="680"/>
                <w:tab w:val="left" w:pos="1361"/>
              </w:tabs>
              <w:spacing w:after="0"/>
              <w:jc w:val="left"/>
              <w:rPr>
                <w:b/>
                <w:sz w:val="24"/>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697" w:type="dxa"/>
            <w:tcBorders>
              <w:bottom w:val="single" w:sz="12" w:space="0" w:color="auto"/>
            </w:tcBorders>
          </w:tcPr>
          <w:p w:rsidR="00D80435" w:rsidRDefault="00D80435">
            <w:pPr>
              <w:tabs>
                <w:tab w:val="left" w:pos="680"/>
                <w:tab w:val="left" w:pos="1361"/>
              </w:tabs>
              <w:spacing w:after="0"/>
            </w:pPr>
            <w:r>
              <w:t>Distr.: General</w:t>
            </w:r>
          </w:p>
          <w:p w:rsidR="00D80435" w:rsidRDefault="00D80435">
            <w:pPr>
              <w:pStyle w:val="Header"/>
              <w:tabs>
                <w:tab w:val="left" w:pos="680"/>
                <w:tab w:val="left" w:pos="1361"/>
              </w:tabs>
              <w:spacing w:after="120"/>
            </w:pPr>
            <w:r>
              <w:t>19 October 2005</w:t>
            </w:r>
          </w:p>
          <w:p w:rsidR="00D80435" w:rsidRDefault="00D80435">
            <w:pPr>
              <w:pStyle w:val="Heading9"/>
              <w:tabs>
                <w:tab w:val="left" w:pos="680"/>
                <w:tab w:val="left" w:pos="1361"/>
              </w:tabs>
              <w:spacing w:before="0" w:after="0"/>
              <w:jc w:val="both"/>
              <w:rPr>
                <w:rFonts w:ascii="Times New Roman" w:hAnsi="Times New Roman"/>
                <w:lang w:val="ru-RU"/>
              </w:rPr>
            </w:pPr>
            <w:r>
              <w:rPr>
                <w:rFonts w:ascii="Times New Roman" w:hAnsi="Times New Roman"/>
                <w:lang w:val="en-US"/>
              </w:rPr>
              <w:t>Russian</w:t>
            </w:r>
          </w:p>
          <w:p w:rsidR="00D80435" w:rsidRDefault="00D80435">
            <w:pPr>
              <w:pStyle w:val="Heading9"/>
              <w:tabs>
                <w:tab w:val="left" w:pos="680"/>
                <w:tab w:val="left" w:pos="1361"/>
              </w:tabs>
              <w:spacing w:before="0" w:after="0"/>
              <w:jc w:val="both"/>
              <w:rPr>
                <w:rFonts w:ascii="Times New Roman" w:hAnsi="Times New Roman"/>
                <w:sz w:val="20"/>
                <w:lang w:val="ru-RU"/>
              </w:rPr>
            </w:pPr>
            <w:r>
              <w:rPr>
                <w:rFonts w:ascii="Times New Roman" w:hAnsi="Times New Roman"/>
                <w:lang w:val="en-US"/>
              </w:rPr>
              <w:t>Original</w:t>
            </w:r>
            <w:r>
              <w:rPr>
                <w:rFonts w:ascii="Times New Roman" w:hAnsi="Times New Roman"/>
                <w:lang w:val="ru-RU"/>
              </w:rPr>
              <w:t xml:space="preserve">: </w:t>
            </w:r>
            <w:r>
              <w:rPr>
                <w:rFonts w:ascii="Times New Roman" w:hAnsi="Times New Roman"/>
                <w:lang w:val="en-US"/>
              </w:rPr>
              <w:t>English</w:t>
            </w:r>
          </w:p>
          <w:p w:rsidR="00D80435" w:rsidRDefault="00D80435">
            <w:pPr>
              <w:tabs>
                <w:tab w:val="left" w:pos="680"/>
                <w:tab w:val="left" w:pos="1361"/>
              </w:tabs>
              <w:spacing w:after="0"/>
              <w:rPr>
                <w:lang w:val="ru-RU"/>
              </w:rPr>
            </w:pPr>
          </w:p>
          <w:p w:rsidR="00D80435" w:rsidRDefault="00D80435">
            <w:pPr>
              <w:tabs>
                <w:tab w:val="left" w:pos="680"/>
                <w:tab w:val="left" w:pos="1361"/>
              </w:tabs>
              <w:spacing w:after="0"/>
              <w:rPr>
                <w:lang w:val="ru-RU"/>
              </w:rPr>
            </w:pPr>
          </w:p>
          <w:p w:rsidR="00D80435" w:rsidRDefault="00D80435">
            <w:pPr>
              <w:tabs>
                <w:tab w:val="left" w:pos="680"/>
                <w:tab w:val="left" w:pos="1361"/>
              </w:tabs>
              <w:spacing w:after="0"/>
              <w:rPr>
                <w:lang w:val="ru-RU"/>
              </w:rPr>
            </w:pPr>
          </w:p>
          <w:p w:rsidR="00D80435" w:rsidRDefault="00D80435">
            <w:pPr>
              <w:tabs>
                <w:tab w:val="left" w:pos="680"/>
                <w:tab w:val="left" w:pos="1361"/>
              </w:tabs>
              <w:spacing w:after="0"/>
              <w:rPr>
                <w:lang w:val="ru-RU"/>
              </w:rPr>
            </w:pPr>
          </w:p>
          <w:p w:rsidR="00D80435" w:rsidRDefault="00D80435">
            <w:pPr>
              <w:tabs>
                <w:tab w:val="left" w:pos="680"/>
                <w:tab w:val="left" w:pos="1361"/>
              </w:tabs>
              <w:spacing w:after="0"/>
              <w:rPr>
                <w:b/>
                <w:sz w:val="24"/>
                <w:lang w:val="ru-RU"/>
              </w:rPr>
            </w:pPr>
          </w:p>
        </w:tc>
      </w:tr>
    </w:tbl>
    <w:p w:rsidR="00D80435" w:rsidRDefault="00D80435">
      <w:pPr>
        <w:pStyle w:val="BodyTextIndent2"/>
        <w:tabs>
          <w:tab w:val="left" w:pos="680"/>
          <w:tab w:val="left" w:pos="1361"/>
        </w:tabs>
        <w:spacing w:before="120" w:after="1080"/>
        <w:ind w:left="284" w:hanging="284"/>
        <w:jc w:val="left"/>
        <w:rPr>
          <w:b/>
          <w:caps/>
          <w:sz w:val="24"/>
        </w:rPr>
      </w:pPr>
      <w:r>
        <w:rPr>
          <w:rStyle w:val="CommentReference"/>
          <w:vanish/>
        </w:rPr>
        <w:commentReference w:id="0"/>
      </w:r>
      <w:r>
        <w:rPr>
          <w:b/>
          <w:sz w:val="24"/>
        </w:rPr>
        <w:t xml:space="preserve">Комитет по ликвидации дискриминации </w:t>
      </w:r>
      <w:r>
        <w:rPr>
          <w:b/>
          <w:sz w:val="24"/>
        </w:rPr>
        <w:br/>
        <w:t>в отношении женщин</w:t>
      </w:r>
    </w:p>
    <w:p w:rsidR="00D80435" w:rsidRDefault="00D80435">
      <w:pPr>
        <w:tabs>
          <w:tab w:val="left" w:pos="680"/>
          <w:tab w:val="left" w:pos="1361"/>
        </w:tabs>
        <w:spacing w:after="720"/>
        <w:jc w:val="center"/>
        <w:rPr>
          <w:b/>
          <w:sz w:val="28"/>
          <w:lang w:val="ru-RU"/>
        </w:rPr>
      </w:pPr>
      <w:r>
        <w:rPr>
          <w:b/>
          <w:caps/>
          <w:sz w:val="28"/>
          <w:lang w:val="ru-RU"/>
        </w:rPr>
        <w:t>р</w:t>
      </w:r>
      <w:r>
        <w:rPr>
          <w:b/>
          <w:sz w:val="28"/>
          <w:lang w:val="ru-RU"/>
        </w:rPr>
        <w:t>ассмотрение докладов, представленных государствами-участниками</w:t>
      </w:r>
      <w:r>
        <w:rPr>
          <w:b/>
          <w:sz w:val="28"/>
          <w:lang w:val="ru-RU"/>
        </w:rPr>
        <w:br/>
        <w:t>в соответствии со статьей 18 Конвенции о ликвидации</w:t>
      </w:r>
      <w:r>
        <w:rPr>
          <w:b/>
          <w:sz w:val="28"/>
          <w:lang w:val="ru-RU"/>
        </w:rPr>
        <w:br/>
        <w:t>всех форм дискриминации в отношении женщин</w:t>
      </w:r>
    </w:p>
    <w:p w:rsidR="00D80435" w:rsidRDefault="00D80435">
      <w:pPr>
        <w:tabs>
          <w:tab w:val="left" w:pos="680"/>
          <w:tab w:val="left" w:pos="1361"/>
        </w:tabs>
        <w:spacing w:after="1080"/>
        <w:jc w:val="center"/>
        <w:rPr>
          <w:sz w:val="24"/>
          <w:lang w:val="ru-RU"/>
        </w:rPr>
      </w:pPr>
      <w:r>
        <w:rPr>
          <w:lang w:val="ru-RU"/>
        </w:rPr>
        <w:t>Сводные второй и третий периодические доклады государств-участников</w:t>
      </w:r>
    </w:p>
    <w:p w:rsidR="00D80435" w:rsidRDefault="00D80435">
      <w:pPr>
        <w:pStyle w:val="BodyText"/>
        <w:tabs>
          <w:tab w:val="left" w:pos="680"/>
          <w:tab w:val="left" w:pos="1361"/>
        </w:tabs>
        <w:spacing w:after="0"/>
        <w:jc w:val="center"/>
        <w:rPr>
          <w:b w:val="0"/>
        </w:rPr>
      </w:pPr>
      <w:r>
        <w:rPr>
          <w:sz w:val="28"/>
        </w:rPr>
        <w:t>Индия</w:t>
      </w:r>
      <w:r>
        <w:rPr>
          <w:rStyle w:val="FootnoteReference"/>
          <w:position w:val="2"/>
          <w:vertAlign w:val="baseline"/>
        </w:rPr>
        <w:footnoteReference w:customMarkFollows="1" w:id="1"/>
        <w:t>*</w:t>
      </w:r>
    </w:p>
    <w:p w:rsidR="00D80435" w:rsidRDefault="00D80435">
      <w:pPr>
        <w:pStyle w:val="Heading1"/>
        <w:tabs>
          <w:tab w:val="left" w:pos="680"/>
          <w:tab w:val="left" w:pos="1361"/>
        </w:tabs>
        <w:rPr>
          <w:b w:val="0"/>
        </w:rPr>
        <w:sectPr w:rsidR="00D80435">
          <w:headerReference w:type="default" r:id="rId9"/>
          <w:footerReference w:type="even" r:id="rId10"/>
          <w:footerReference w:type="default" r:id="rId11"/>
          <w:footerReference w:type="first" r:id="rId12"/>
          <w:pgSz w:w="12242" w:h="15842" w:code="1"/>
          <w:pgMar w:top="907" w:right="1418" w:bottom="1247" w:left="1418" w:header="0" w:footer="907" w:gutter="0"/>
          <w:pgNumType w:start="1"/>
          <w:cols w:space="720"/>
          <w:titlePg/>
        </w:sectPr>
      </w:pPr>
    </w:p>
    <w:p w:rsidR="00D80435" w:rsidRDefault="00D80435">
      <w:pPr>
        <w:spacing w:after="120"/>
        <w:rPr>
          <w:b/>
          <w:sz w:val="24"/>
        </w:rPr>
      </w:pPr>
      <w:r>
        <w:rPr>
          <w:b/>
          <w:sz w:val="24"/>
        </w:rPr>
        <w:t>Сокращения</w:t>
      </w:r>
    </w:p>
    <w:p w:rsidR="00D80435" w:rsidRDefault="00D80435">
      <w:pPr>
        <w:tabs>
          <w:tab w:val="clear" w:pos="680"/>
          <w:tab w:val="clear" w:pos="1361"/>
          <w:tab w:val="left" w:pos="1701"/>
        </w:tabs>
        <w:spacing w:before="40" w:after="40"/>
        <w:ind w:left="1701" w:hanging="1701"/>
        <w:jc w:val="left"/>
        <w:rPr>
          <w:lang w:val="ru-RU"/>
        </w:rPr>
      </w:pPr>
      <w:r>
        <w:rPr>
          <w:lang w:val="ru-RU"/>
        </w:rPr>
        <w:t>АВПР</w:t>
      </w:r>
      <w:r>
        <w:rPr>
          <w:lang w:val="ru-RU"/>
        </w:rPr>
        <w:tab/>
        <w:t>Агентство по вопросам переселения и развития Майсура</w:t>
      </w:r>
    </w:p>
    <w:p w:rsidR="00D80435" w:rsidRDefault="00D80435">
      <w:pPr>
        <w:tabs>
          <w:tab w:val="clear" w:pos="680"/>
          <w:tab w:val="clear" w:pos="1361"/>
          <w:tab w:val="left" w:pos="1701"/>
        </w:tabs>
        <w:spacing w:before="40" w:after="40"/>
        <w:ind w:left="1701" w:hanging="1701"/>
        <w:jc w:val="left"/>
        <w:rPr>
          <w:lang w:val="ru-RU"/>
        </w:rPr>
      </w:pPr>
      <w:r>
        <w:rPr>
          <w:lang w:val="ru-RU"/>
        </w:rPr>
        <w:t>БРМП</w:t>
      </w:r>
      <w:r>
        <w:rPr>
          <w:lang w:val="ru-RU"/>
        </w:rPr>
        <w:tab/>
        <w:t>Банк развития малых промышленных предприятий Индии</w:t>
      </w:r>
    </w:p>
    <w:p w:rsidR="00D80435" w:rsidRDefault="00D80435">
      <w:pPr>
        <w:tabs>
          <w:tab w:val="clear" w:pos="680"/>
          <w:tab w:val="clear" w:pos="1361"/>
          <w:tab w:val="left" w:pos="1701"/>
        </w:tabs>
        <w:spacing w:before="40" w:after="40"/>
        <w:ind w:left="1701" w:hanging="1701"/>
        <w:jc w:val="left"/>
        <w:rPr>
          <w:lang w:val="ru-RU"/>
        </w:rPr>
      </w:pPr>
      <w:r>
        <w:rPr>
          <w:lang w:val="ru-RU"/>
        </w:rPr>
        <w:t>БЦЖ</w:t>
      </w:r>
      <w:r>
        <w:rPr>
          <w:lang w:val="ru-RU"/>
        </w:rPr>
        <w:tab/>
        <w:t>противотуберкулезная вакцина</w:t>
      </w:r>
    </w:p>
    <w:p w:rsidR="00D80435" w:rsidRDefault="00D80435">
      <w:pPr>
        <w:tabs>
          <w:tab w:val="clear" w:pos="680"/>
          <w:tab w:val="clear" w:pos="1361"/>
          <w:tab w:val="left" w:pos="1701"/>
        </w:tabs>
        <w:spacing w:before="40" w:after="40"/>
        <w:ind w:left="1701" w:hanging="1701"/>
        <w:jc w:val="left"/>
        <w:rPr>
          <w:lang w:val="ru-RU"/>
        </w:rPr>
      </w:pPr>
      <w:r>
        <w:rPr>
          <w:lang w:val="ru-RU"/>
        </w:rPr>
        <w:t>ГДОЗ</w:t>
      </w:r>
      <w:r>
        <w:rPr>
          <w:lang w:val="ru-RU"/>
        </w:rPr>
        <w:tab/>
        <w:t>Генеральная дирекция обучения и занятости</w:t>
      </w:r>
    </w:p>
    <w:p w:rsidR="00D80435" w:rsidRDefault="00D80435">
      <w:pPr>
        <w:tabs>
          <w:tab w:val="clear" w:pos="680"/>
          <w:tab w:val="clear" w:pos="1361"/>
          <w:tab w:val="left" w:pos="1701"/>
        </w:tabs>
        <w:spacing w:before="40" w:after="40"/>
        <w:ind w:left="1701" w:hanging="1701"/>
        <w:jc w:val="left"/>
        <w:rPr>
          <w:lang w:val="ru-RU"/>
        </w:rPr>
      </w:pPr>
      <w:r>
        <w:rPr>
          <w:lang w:val="ru-RU"/>
        </w:rPr>
        <w:t>ГСМ</w:t>
      </w:r>
      <w:r>
        <w:rPr>
          <w:lang w:val="ru-RU"/>
        </w:rPr>
        <w:tab/>
        <w:t>группы самопомощи</w:t>
      </w:r>
    </w:p>
    <w:p w:rsidR="00D80435" w:rsidRDefault="00D80435">
      <w:pPr>
        <w:tabs>
          <w:tab w:val="clear" w:pos="680"/>
          <w:tab w:val="clear" w:pos="1361"/>
          <w:tab w:val="left" w:pos="1701"/>
        </w:tabs>
        <w:spacing w:before="40" w:after="40"/>
        <w:ind w:left="1701" w:hanging="1701"/>
        <w:jc w:val="left"/>
        <w:rPr>
          <w:lang w:val="ru-RU"/>
        </w:rPr>
      </w:pPr>
      <w:r>
        <w:rPr>
          <w:lang w:val="ru-RU"/>
        </w:rPr>
        <w:t>ДОК</w:t>
      </w:r>
      <w:r>
        <w:rPr>
          <w:lang w:val="ru-RU"/>
        </w:rPr>
        <w:tab/>
        <w:t>"другие отсталые классы населения"</w:t>
      </w:r>
    </w:p>
    <w:p w:rsidR="00D80435" w:rsidRDefault="00D80435">
      <w:pPr>
        <w:tabs>
          <w:tab w:val="clear" w:pos="680"/>
          <w:tab w:val="clear" w:pos="1361"/>
          <w:tab w:val="left" w:pos="1701"/>
        </w:tabs>
        <w:spacing w:before="40" w:after="40"/>
        <w:ind w:left="1701" w:hanging="1701"/>
        <w:jc w:val="left"/>
        <w:rPr>
          <w:lang w:val="ru-RU"/>
        </w:rPr>
      </w:pPr>
      <w:r>
        <w:rPr>
          <w:lang w:val="ru-RU"/>
        </w:rPr>
        <w:t>ДРЖД</w:t>
      </w:r>
      <w:r>
        <w:rPr>
          <w:lang w:val="ru-RU"/>
        </w:rPr>
        <w:tab/>
        <w:t>Департамент развития женщин и детей</w:t>
      </w:r>
    </w:p>
    <w:p w:rsidR="00D80435" w:rsidRDefault="00D80435">
      <w:pPr>
        <w:tabs>
          <w:tab w:val="clear" w:pos="680"/>
          <w:tab w:val="clear" w:pos="1361"/>
          <w:tab w:val="left" w:pos="1701"/>
        </w:tabs>
        <w:spacing w:before="40" w:after="40"/>
        <w:ind w:left="1701" w:hanging="1701"/>
        <w:jc w:val="left"/>
        <w:rPr>
          <w:lang w:val="ru-RU"/>
        </w:rPr>
      </w:pPr>
      <w:r>
        <w:rPr>
          <w:lang w:val="ru-RU"/>
        </w:rPr>
        <w:t>ЗЗГП</w:t>
      </w:r>
      <w:r>
        <w:rPr>
          <w:lang w:val="ru-RU"/>
        </w:rPr>
        <w:tab/>
        <w:t>Закон о защите гражданских прав</w:t>
      </w:r>
    </w:p>
    <w:p w:rsidR="00D80435" w:rsidRDefault="00D80435">
      <w:pPr>
        <w:tabs>
          <w:tab w:val="clear" w:pos="680"/>
          <w:tab w:val="clear" w:pos="1361"/>
          <w:tab w:val="left" w:pos="1701"/>
        </w:tabs>
        <w:spacing w:before="40" w:after="40"/>
        <w:ind w:left="1701" w:hanging="1701"/>
        <w:jc w:val="left"/>
        <w:rPr>
          <w:lang w:val="ru-RU"/>
        </w:rPr>
      </w:pPr>
      <w:r>
        <w:rPr>
          <w:lang w:val="ru-RU"/>
        </w:rPr>
        <w:t>ЗМДД</w:t>
      </w:r>
      <w:r>
        <w:rPr>
          <w:lang w:val="ru-RU"/>
        </w:rPr>
        <w:tab/>
        <w:t>Закон о методах дородовой диагностики</w:t>
      </w:r>
    </w:p>
    <w:p w:rsidR="00D80435" w:rsidRDefault="00D80435">
      <w:pPr>
        <w:tabs>
          <w:tab w:val="clear" w:pos="680"/>
          <w:tab w:val="clear" w:pos="1361"/>
          <w:tab w:val="left" w:pos="1701"/>
        </w:tabs>
        <w:spacing w:before="40" w:after="40"/>
        <w:ind w:left="1701" w:hanging="1701"/>
        <w:jc w:val="left"/>
        <w:rPr>
          <w:lang w:val="ru-RU"/>
        </w:rPr>
      </w:pPr>
      <w:r>
        <w:rPr>
          <w:lang w:val="ru-RU"/>
        </w:rPr>
        <w:t>ЗМПБ</w:t>
      </w:r>
      <w:r>
        <w:rPr>
          <w:lang w:val="ru-RU"/>
        </w:rPr>
        <w:tab/>
        <w:t>Закон о медицинском прекращении беременности</w:t>
      </w:r>
    </w:p>
    <w:p w:rsidR="00D80435" w:rsidRDefault="00D80435">
      <w:pPr>
        <w:tabs>
          <w:tab w:val="clear" w:pos="680"/>
          <w:tab w:val="clear" w:pos="1361"/>
          <w:tab w:val="left" w:pos="1701"/>
        </w:tabs>
        <w:spacing w:before="40" w:after="40"/>
        <w:ind w:left="1701" w:hanging="1701"/>
        <w:jc w:val="left"/>
        <w:rPr>
          <w:lang w:val="ru-RU"/>
        </w:rPr>
      </w:pPr>
      <w:r>
        <w:rPr>
          <w:lang w:val="ru-RU"/>
        </w:rPr>
        <w:t>ЗПАТ</w:t>
      </w:r>
      <w:r>
        <w:rPr>
          <w:lang w:val="ru-RU"/>
        </w:rPr>
        <w:tab/>
        <w:t>Закон о (предотвращении) аморальной торговли людьми</w:t>
      </w:r>
    </w:p>
    <w:p w:rsidR="00D80435" w:rsidRDefault="00D80435">
      <w:pPr>
        <w:tabs>
          <w:tab w:val="clear" w:pos="680"/>
          <w:tab w:val="clear" w:pos="1361"/>
          <w:tab w:val="left" w:pos="1701"/>
        </w:tabs>
        <w:spacing w:before="40" w:after="40"/>
        <w:ind w:left="1701" w:hanging="1701"/>
        <w:jc w:val="left"/>
        <w:rPr>
          <w:lang w:val="ru-RU"/>
        </w:rPr>
      </w:pPr>
      <w:r>
        <w:rPr>
          <w:lang w:val="ru-RU"/>
        </w:rPr>
        <w:t>ИПР</w:t>
      </w:r>
      <w:r>
        <w:rPr>
          <w:lang w:val="ru-RU"/>
        </w:rPr>
        <w:tab/>
        <w:t>институты панчаят радж</w:t>
      </w:r>
    </w:p>
    <w:p w:rsidR="00D80435" w:rsidRDefault="00D80435">
      <w:pPr>
        <w:tabs>
          <w:tab w:val="clear" w:pos="680"/>
          <w:tab w:val="clear" w:pos="1361"/>
          <w:tab w:val="left" w:pos="1701"/>
        </w:tabs>
        <w:spacing w:before="40" w:after="40"/>
        <w:ind w:left="1701" w:hanging="1701"/>
        <w:jc w:val="left"/>
        <w:rPr>
          <w:lang w:val="ru-RU"/>
        </w:rPr>
      </w:pPr>
      <w:r>
        <w:rPr>
          <w:lang w:val="ru-RU"/>
        </w:rPr>
        <w:t>ИРГФ</w:t>
      </w:r>
      <w:r>
        <w:rPr>
          <w:lang w:val="ru-RU"/>
        </w:rPr>
        <w:tab/>
        <w:t>индекс развития с учетом гендерного фактора</w:t>
      </w:r>
    </w:p>
    <w:p w:rsidR="00D80435" w:rsidRDefault="00D80435">
      <w:pPr>
        <w:tabs>
          <w:tab w:val="clear" w:pos="680"/>
          <w:tab w:val="clear" w:pos="1361"/>
          <w:tab w:val="left" w:pos="1701"/>
        </w:tabs>
        <w:spacing w:before="40" w:after="40"/>
        <w:ind w:left="1701" w:hanging="1701"/>
        <w:jc w:val="left"/>
        <w:rPr>
          <w:lang w:val="ru-RU"/>
        </w:rPr>
      </w:pPr>
      <w:r>
        <w:rPr>
          <w:lang w:val="ru-RU"/>
        </w:rPr>
        <w:t>КЛДЖ</w:t>
      </w:r>
      <w:r>
        <w:rPr>
          <w:lang w:val="ru-RU"/>
        </w:rPr>
        <w:tab/>
        <w:t>Конвенция о ликвидации дискриминации в отношении женщин</w:t>
      </w:r>
    </w:p>
    <w:p w:rsidR="00D80435" w:rsidRDefault="00D80435">
      <w:pPr>
        <w:tabs>
          <w:tab w:val="clear" w:pos="680"/>
          <w:tab w:val="clear" w:pos="1361"/>
          <w:tab w:val="left" w:pos="1701"/>
        </w:tabs>
        <w:spacing w:before="40" w:after="40"/>
        <w:ind w:left="1701" w:hanging="1701"/>
        <w:jc w:val="left"/>
        <w:rPr>
          <w:lang w:val="ru-RU"/>
        </w:rPr>
      </w:pPr>
      <w:r>
        <w:rPr>
          <w:lang w:val="ru-RU"/>
        </w:rPr>
        <w:t>КМС</w:t>
      </w:r>
      <w:r>
        <w:rPr>
          <w:lang w:val="ru-RU"/>
        </w:rPr>
        <w:tab/>
        <w:t>коэффициент младенческой смертности</w:t>
      </w:r>
    </w:p>
    <w:p w:rsidR="00D80435" w:rsidRDefault="00D80435">
      <w:pPr>
        <w:tabs>
          <w:tab w:val="clear" w:pos="680"/>
          <w:tab w:val="clear" w:pos="1361"/>
          <w:tab w:val="left" w:pos="1701"/>
        </w:tabs>
        <w:spacing w:before="40" w:after="40"/>
        <w:ind w:left="1701" w:hanging="1701"/>
        <w:jc w:val="left"/>
        <w:rPr>
          <w:lang w:val="ru-RU"/>
        </w:rPr>
      </w:pPr>
      <w:r>
        <w:rPr>
          <w:lang w:val="ru-RU"/>
        </w:rPr>
        <w:t>КОЗО</w:t>
      </w:r>
      <w:r>
        <w:rPr>
          <w:lang w:val="ru-RU"/>
        </w:rPr>
        <w:tab/>
        <w:t>Концепция оценки запросов общин</w:t>
      </w:r>
    </w:p>
    <w:p w:rsidR="00D80435" w:rsidRDefault="00D80435">
      <w:pPr>
        <w:tabs>
          <w:tab w:val="clear" w:pos="680"/>
          <w:tab w:val="clear" w:pos="1361"/>
          <w:tab w:val="left" w:pos="1701"/>
        </w:tabs>
        <w:spacing w:before="40" w:after="40"/>
        <w:ind w:left="1701" w:hanging="1701"/>
        <w:jc w:val="left"/>
        <w:rPr>
          <w:lang w:val="ru-RU"/>
        </w:rPr>
      </w:pPr>
      <w:r>
        <w:rPr>
          <w:lang w:val="ru-RU"/>
        </w:rPr>
        <w:t>КПДР</w:t>
      </w:r>
      <w:r>
        <w:rPr>
          <w:lang w:val="ru-RU"/>
        </w:rPr>
        <w:tab/>
        <w:t>Комплексный план оказания услуг в сфере детского развития</w:t>
      </w:r>
    </w:p>
    <w:p w:rsidR="00D80435" w:rsidRDefault="00D80435">
      <w:pPr>
        <w:tabs>
          <w:tab w:val="clear" w:pos="680"/>
          <w:tab w:val="clear" w:pos="1361"/>
          <w:tab w:val="left" w:pos="1701"/>
        </w:tabs>
        <w:spacing w:before="40" w:after="40"/>
        <w:ind w:left="1701" w:hanging="1701"/>
        <w:jc w:val="left"/>
        <w:rPr>
          <w:lang w:val="ru-RU"/>
        </w:rPr>
      </w:pPr>
      <w:r>
        <w:rPr>
          <w:lang w:val="ru-RU"/>
        </w:rPr>
        <w:t>КСВ</w:t>
      </w:r>
      <w:r>
        <w:rPr>
          <w:lang w:val="ru-RU"/>
        </w:rPr>
        <w:tab/>
        <w:t>Комиссия по стипендиям в вузах</w:t>
      </w:r>
    </w:p>
    <w:p w:rsidR="00D80435" w:rsidRDefault="00D80435">
      <w:pPr>
        <w:tabs>
          <w:tab w:val="clear" w:pos="680"/>
          <w:tab w:val="clear" w:pos="1361"/>
          <w:tab w:val="left" w:pos="1701"/>
        </w:tabs>
        <w:spacing w:before="40" w:after="40"/>
        <w:ind w:left="1701" w:hanging="1701"/>
        <w:jc w:val="left"/>
        <w:rPr>
          <w:lang w:val="ru-RU"/>
        </w:rPr>
      </w:pPr>
      <w:r>
        <w:rPr>
          <w:lang w:val="ru-RU"/>
        </w:rPr>
        <w:t>ЛОВ</w:t>
      </w:r>
      <w:r>
        <w:rPr>
          <w:lang w:val="ru-RU"/>
        </w:rPr>
        <w:tab/>
        <w:t>лица с ограниченными возможностями</w:t>
      </w:r>
    </w:p>
    <w:p w:rsidR="00D80435" w:rsidRDefault="00D80435">
      <w:pPr>
        <w:tabs>
          <w:tab w:val="clear" w:pos="680"/>
          <w:tab w:val="clear" w:pos="1361"/>
          <w:tab w:val="left" w:pos="1701"/>
        </w:tabs>
        <w:spacing w:before="40" w:after="40"/>
        <w:ind w:left="1701" w:hanging="1701"/>
        <w:jc w:val="left"/>
        <w:rPr>
          <w:lang w:val="ru-RU"/>
        </w:rPr>
      </w:pPr>
      <w:r>
        <w:rPr>
          <w:lang w:val="ru-RU"/>
        </w:rPr>
        <w:t>ММК</w:t>
      </w:r>
      <w:r>
        <w:rPr>
          <w:lang w:val="ru-RU"/>
        </w:rPr>
        <w:tab/>
        <w:t>Межминистерский комитет</w:t>
      </w:r>
    </w:p>
    <w:p w:rsidR="00D80435" w:rsidRDefault="00D80435">
      <w:pPr>
        <w:tabs>
          <w:tab w:val="clear" w:pos="680"/>
          <w:tab w:val="clear" w:pos="1361"/>
          <w:tab w:val="left" w:pos="1701"/>
        </w:tabs>
        <w:spacing w:before="40" w:after="40"/>
        <w:ind w:left="1701" w:hanging="1701"/>
        <w:jc w:val="left"/>
        <w:rPr>
          <w:lang w:val="ru-RU"/>
        </w:rPr>
      </w:pPr>
      <w:r>
        <w:rPr>
          <w:lang w:val="ru-RU"/>
        </w:rPr>
        <w:t>НБРСР</w:t>
      </w:r>
      <w:r>
        <w:rPr>
          <w:lang w:val="ru-RU"/>
        </w:rPr>
        <w:tab/>
        <w:t>Национальный банк для (сельского хозяйства) развития сельских районов</w:t>
      </w:r>
    </w:p>
    <w:p w:rsidR="00D80435" w:rsidRDefault="00D80435">
      <w:pPr>
        <w:tabs>
          <w:tab w:val="clear" w:pos="680"/>
          <w:tab w:val="clear" w:pos="1361"/>
          <w:tab w:val="left" w:pos="1701"/>
        </w:tabs>
        <w:spacing w:before="40" w:after="40"/>
        <w:ind w:left="1701" w:hanging="1701"/>
        <w:jc w:val="left"/>
        <w:rPr>
          <w:lang w:val="ru-RU"/>
        </w:rPr>
      </w:pPr>
      <w:r>
        <w:rPr>
          <w:lang w:val="ru-RU"/>
        </w:rPr>
        <w:t>НБФК</w:t>
      </w:r>
      <w:r>
        <w:rPr>
          <w:lang w:val="ru-RU"/>
        </w:rPr>
        <w:tab/>
        <w:t>небанковские финансовые компании</w:t>
      </w:r>
    </w:p>
    <w:p w:rsidR="00D80435" w:rsidRDefault="00D80435">
      <w:pPr>
        <w:tabs>
          <w:tab w:val="clear" w:pos="680"/>
          <w:tab w:val="clear" w:pos="1361"/>
          <w:tab w:val="left" w:pos="1701"/>
        </w:tabs>
        <w:spacing w:before="40" w:after="40"/>
        <w:ind w:left="1701" w:hanging="1701"/>
        <w:jc w:val="left"/>
        <w:rPr>
          <w:lang w:val="ru-RU"/>
        </w:rPr>
      </w:pPr>
      <w:r>
        <w:rPr>
          <w:lang w:val="ru-RU"/>
        </w:rPr>
        <w:t>НИОСРД</w:t>
      </w:r>
      <w:r>
        <w:rPr>
          <w:lang w:val="ru-RU"/>
        </w:rPr>
        <w:tab/>
        <w:t>Национальный институт общественного сотрудничества и развития ребенка</w:t>
      </w:r>
    </w:p>
    <w:p w:rsidR="00D80435" w:rsidRDefault="00D80435">
      <w:pPr>
        <w:tabs>
          <w:tab w:val="clear" w:pos="680"/>
          <w:tab w:val="clear" w:pos="1361"/>
          <w:tab w:val="left" w:pos="1701"/>
        </w:tabs>
        <w:spacing w:before="40" w:after="40"/>
        <w:ind w:left="1701" w:hanging="1701"/>
        <w:jc w:val="left"/>
        <w:rPr>
          <w:lang w:val="ru-RU"/>
        </w:rPr>
      </w:pPr>
      <w:r>
        <w:rPr>
          <w:lang w:val="ru-RU"/>
        </w:rPr>
        <w:t>НИПАУ</w:t>
      </w:r>
      <w:r>
        <w:rPr>
          <w:lang w:val="ru-RU"/>
        </w:rPr>
        <w:tab/>
        <w:t>Национальный институт планирования и административного управления учебным процессом</w:t>
      </w:r>
    </w:p>
    <w:p w:rsidR="00D80435" w:rsidRDefault="00D80435">
      <w:pPr>
        <w:tabs>
          <w:tab w:val="clear" w:pos="680"/>
          <w:tab w:val="clear" w:pos="1361"/>
          <w:tab w:val="left" w:pos="1701"/>
        </w:tabs>
        <w:spacing w:before="40" w:after="40"/>
        <w:ind w:left="1701" w:hanging="1701"/>
        <w:jc w:val="left"/>
        <w:rPr>
          <w:lang w:val="ru-RU"/>
        </w:rPr>
      </w:pPr>
      <w:r>
        <w:rPr>
          <w:lang w:val="ru-RU"/>
        </w:rPr>
        <w:t>НИПТОЖ</w:t>
      </w:r>
      <w:r>
        <w:rPr>
          <w:lang w:val="ru-RU"/>
        </w:rPr>
        <w:tab/>
        <w:t>Национальный институт профессионально-технического образования женщин</w:t>
      </w:r>
    </w:p>
    <w:p w:rsidR="00D80435" w:rsidRDefault="00D80435">
      <w:pPr>
        <w:tabs>
          <w:tab w:val="clear" w:pos="680"/>
          <w:tab w:val="clear" w:pos="1361"/>
          <w:tab w:val="left" w:pos="1701"/>
        </w:tabs>
        <w:spacing w:before="40" w:after="40"/>
        <w:ind w:left="1701" w:hanging="1701"/>
        <w:jc w:val="left"/>
        <w:rPr>
          <w:lang w:val="ru-RU"/>
        </w:rPr>
      </w:pPr>
      <w:r>
        <w:rPr>
          <w:lang w:val="ru-RU"/>
        </w:rPr>
        <w:t>НКЖ</w:t>
      </w:r>
      <w:r>
        <w:rPr>
          <w:lang w:val="ru-RU"/>
        </w:rPr>
        <w:tab/>
        <w:t>Национальная комиссия по делам женщин</w:t>
      </w:r>
    </w:p>
    <w:p w:rsidR="00D80435" w:rsidRDefault="00D80435">
      <w:pPr>
        <w:tabs>
          <w:tab w:val="clear" w:pos="680"/>
          <w:tab w:val="clear" w:pos="1361"/>
          <w:tab w:val="left" w:pos="1701"/>
        </w:tabs>
        <w:spacing w:before="40" w:after="40"/>
        <w:ind w:left="1701" w:hanging="1701"/>
        <w:jc w:val="left"/>
        <w:rPr>
          <w:lang w:val="ru-RU"/>
        </w:rPr>
      </w:pPr>
      <w:r>
        <w:rPr>
          <w:lang w:val="ru-RU"/>
        </w:rPr>
        <w:t>НКПЧ</w:t>
      </w:r>
      <w:r>
        <w:rPr>
          <w:lang w:val="ru-RU"/>
        </w:rPr>
        <w:tab/>
        <w:t>Национальная комиссия по правам человека</w:t>
      </w:r>
    </w:p>
    <w:p w:rsidR="00D80435" w:rsidRDefault="00D80435">
      <w:pPr>
        <w:tabs>
          <w:tab w:val="clear" w:pos="680"/>
          <w:tab w:val="clear" w:pos="1361"/>
          <w:tab w:val="left" w:pos="1701"/>
        </w:tabs>
        <w:spacing w:before="40" w:after="40"/>
        <w:ind w:left="1701" w:hanging="1701"/>
        <w:jc w:val="left"/>
        <w:rPr>
          <w:lang w:val="ru-RU"/>
        </w:rPr>
      </w:pPr>
      <w:r>
        <w:rPr>
          <w:lang w:val="ru-RU"/>
        </w:rPr>
        <w:t>НКРФМ</w:t>
      </w:r>
      <w:r>
        <w:rPr>
          <w:lang w:val="ru-RU"/>
        </w:rPr>
        <w:tab/>
        <w:t>Национальная корпорация по развитию и финансированию меньшинств</w:t>
      </w:r>
    </w:p>
    <w:p w:rsidR="00D80435" w:rsidRDefault="00D80435">
      <w:pPr>
        <w:tabs>
          <w:tab w:val="clear" w:pos="680"/>
          <w:tab w:val="clear" w:pos="1361"/>
          <w:tab w:val="left" w:pos="1701"/>
        </w:tabs>
        <w:spacing w:before="40" w:after="40"/>
        <w:ind w:left="1701" w:hanging="1701"/>
        <w:jc w:val="left"/>
        <w:rPr>
          <w:lang w:val="ru-RU"/>
        </w:rPr>
      </w:pPr>
      <w:r>
        <w:rPr>
          <w:lang w:val="ru-RU"/>
        </w:rPr>
        <w:t>НКФРКП</w:t>
      </w:r>
      <w:r>
        <w:rPr>
          <w:lang w:val="ru-RU"/>
        </w:rPr>
        <w:tab/>
        <w:t>Национальная корпорация по финансированию и развитию включенных в списки каст и племен</w:t>
      </w:r>
    </w:p>
    <w:p w:rsidR="00D80435" w:rsidRDefault="00D80435">
      <w:pPr>
        <w:tabs>
          <w:tab w:val="clear" w:pos="680"/>
          <w:tab w:val="clear" w:pos="1361"/>
          <w:tab w:val="left" w:pos="1701"/>
        </w:tabs>
        <w:spacing w:before="40" w:after="40"/>
        <w:ind w:left="1701" w:hanging="1701"/>
        <w:jc w:val="left"/>
        <w:rPr>
          <w:lang w:val="ru-RU"/>
        </w:rPr>
      </w:pPr>
      <w:r>
        <w:rPr>
          <w:lang w:val="ru-RU"/>
        </w:rPr>
        <w:t>НМГ</w:t>
      </w:r>
      <w:r>
        <w:rPr>
          <w:lang w:val="ru-RU"/>
        </w:rPr>
        <w:tab/>
        <w:t>Национальная миссия по грамотности</w:t>
      </w:r>
    </w:p>
    <w:p w:rsidR="00D80435" w:rsidRDefault="00D80435">
      <w:pPr>
        <w:tabs>
          <w:tab w:val="clear" w:pos="680"/>
          <w:tab w:val="clear" w:pos="1361"/>
          <w:tab w:val="left" w:pos="1701"/>
        </w:tabs>
        <w:spacing w:before="40" w:after="40"/>
        <w:ind w:left="1701" w:hanging="1701"/>
        <w:jc w:val="left"/>
        <w:rPr>
          <w:lang w:val="ru-RU"/>
        </w:rPr>
      </w:pPr>
      <w:r>
        <w:rPr>
          <w:lang w:val="ru-RU"/>
        </w:rPr>
        <w:t>НОБС</w:t>
      </w:r>
      <w:r>
        <w:rPr>
          <w:lang w:val="ru-RU"/>
        </w:rPr>
        <w:tab/>
        <w:t>Национальная организация по борьбе со СПИДом</w:t>
      </w:r>
    </w:p>
    <w:p w:rsidR="00D80435" w:rsidRDefault="00D80435">
      <w:pPr>
        <w:tabs>
          <w:tab w:val="clear" w:pos="680"/>
          <w:tab w:val="clear" w:pos="1361"/>
          <w:tab w:val="left" w:pos="1701"/>
        </w:tabs>
        <w:spacing w:before="40" w:after="40"/>
        <w:ind w:left="1701" w:hanging="1701"/>
        <w:jc w:val="left"/>
        <w:rPr>
          <w:lang w:val="ru-RU"/>
        </w:rPr>
      </w:pPr>
      <w:r>
        <w:rPr>
          <w:lang w:val="ru-RU"/>
        </w:rPr>
        <w:t>НПДТ</w:t>
      </w:r>
      <w:r>
        <w:rPr>
          <w:lang w:val="ru-RU"/>
        </w:rPr>
        <w:tab/>
        <w:t>Национальные проекты в области детского труда</w:t>
      </w:r>
    </w:p>
    <w:p w:rsidR="00D80435" w:rsidRDefault="00D80435">
      <w:pPr>
        <w:tabs>
          <w:tab w:val="clear" w:pos="680"/>
          <w:tab w:val="clear" w:pos="1361"/>
          <w:tab w:val="left" w:pos="1701"/>
        </w:tabs>
        <w:spacing w:before="40" w:after="40"/>
        <w:ind w:left="1701" w:hanging="1701"/>
        <w:jc w:val="left"/>
        <w:rPr>
          <w:lang w:val="ru-RU"/>
        </w:rPr>
      </w:pPr>
      <w:r>
        <w:rPr>
          <w:lang w:val="ru-RU"/>
        </w:rPr>
        <w:t>НПМОС</w:t>
      </w:r>
      <w:r>
        <w:rPr>
          <w:lang w:val="ru-RU"/>
        </w:rPr>
        <w:tab/>
        <w:t>Национальная программа медицинского обслуживания сельского населения</w:t>
      </w:r>
    </w:p>
    <w:p w:rsidR="00D80435" w:rsidRDefault="00D80435">
      <w:pPr>
        <w:tabs>
          <w:tab w:val="clear" w:pos="680"/>
          <w:tab w:val="clear" w:pos="1361"/>
          <w:tab w:val="left" w:pos="1701"/>
        </w:tabs>
        <w:spacing w:before="40" w:after="40"/>
        <w:ind w:left="1701" w:hanging="1701"/>
        <w:jc w:val="left"/>
        <w:rPr>
          <w:lang w:val="ru-RU"/>
        </w:rPr>
      </w:pPr>
      <w:r>
        <w:rPr>
          <w:lang w:val="ru-RU"/>
        </w:rPr>
        <w:t>НПНОД</w:t>
      </w:r>
      <w:r>
        <w:rPr>
          <w:lang w:val="ru-RU"/>
        </w:rPr>
        <w:tab/>
        <w:t>Национальная программа начального образования для девочек</w:t>
      </w:r>
    </w:p>
    <w:p w:rsidR="00D80435" w:rsidRDefault="00D80435">
      <w:pPr>
        <w:tabs>
          <w:tab w:val="clear" w:pos="680"/>
          <w:tab w:val="clear" w:pos="1361"/>
          <w:tab w:val="left" w:pos="1701"/>
        </w:tabs>
        <w:spacing w:before="40" w:after="40"/>
        <w:ind w:left="1701" w:hanging="1701"/>
        <w:jc w:val="left"/>
        <w:rPr>
          <w:lang w:val="ru-RU"/>
        </w:rPr>
      </w:pPr>
      <w:r>
        <w:rPr>
          <w:lang w:val="ru-RU"/>
        </w:rPr>
        <w:t>НППБР</w:t>
      </w:r>
      <w:r>
        <w:rPr>
          <w:lang w:val="ru-RU"/>
        </w:rPr>
        <w:tab/>
        <w:t>Национальный план пособий по беременности и родам</w:t>
      </w:r>
    </w:p>
    <w:p w:rsidR="00D80435" w:rsidRDefault="00D80435">
      <w:pPr>
        <w:tabs>
          <w:tab w:val="clear" w:pos="680"/>
          <w:tab w:val="clear" w:pos="1361"/>
          <w:tab w:val="left" w:pos="1701"/>
        </w:tabs>
        <w:spacing w:before="40" w:after="40"/>
        <w:ind w:left="1701" w:hanging="1701"/>
        <w:rPr>
          <w:lang w:val="ru-RU"/>
        </w:rPr>
      </w:pPr>
      <w:r>
        <w:rPr>
          <w:lang w:val="ru-RU"/>
        </w:rPr>
        <w:t>НППР</w:t>
      </w:r>
      <w:r>
        <w:rPr>
          <w:lang w:val="ru-RU"/>
        </w:rPr>
        <w:tab/>
        <w:t>Национальная программа "Продовольствие за работу"</w:t>
      </w:r>
    </w:p>
    <w:p w:rsidR="00D80435" w:rsidRDefault="00D80435">
      <w:pPr>
        <w:tabs>
          <w:tab w:val="clear" w:pos="680"/>
          <w:tab w:val="clear" w:pos="1361"/>
          <w:tab w:val="left" w:pos="1701"/>
        </w:tabs>
        <w:spacing w:before="40" w:after="40"/>
        <w:ind w:left="1701" w:hanging="1701"/>
        <w:rPr>
          <w:lang w:val="ru-RU"/>
        </w:rPr>
      </w:pPr>
      <w:r>
        <w:rPr>
          <w:lang w:val="ru-RU"/>
        </w:rPr>
        <w:t>НППС</w:t>
      </w:r>
      <w:r>
        <w:rPr>
          <w:lang w:val="ru-RU"/>
        </w:rPr>
        <w:tab/>
        <w:t>Национальный план предоставления пенсий по старости</w:t>
      </w:r>
    </w:p>
    <w:p w:rsidR="00D80435" w:rsidRDefault="00D80435">
      <w:pPr>
        <w:tabs>
          <w:tab w:val="clear" w:pos="680"/>
          <w:tab w:val="clear" w:pos="1361"/>
          <w:tab w:val="left" w:pos="1701"/>
        </w:tabs>
        <w:spacing w:before="40" w:after="40"/>
        <w:ind w:left="1701" w:hanging="1701"/>
        <w:rPr>
          <w:lang w:val="ru-RU"/>
        </w:rPr>
      </w:pPr>
      <w:r>
        <w:rPr>
          <w:lang w:val="ru-RU"/>
        </w:rPr>
        <w:t>НПСП</w:t>
      </w:r>
      <w:r>
        <w:rPr>
          <w:lang w:val="ru-RU"/>
        </w:rPr>
        <w:tab/>
        <w:t>Национальная программа социальной помощи</w:t>
      </w:r>
    </w:p>
    <w:p w:rsidR="00D80435" w:rsidRDefault="00D80435">
      <w:pPr>
        <w:tabs>
          <w:tab w:val="clear" w:pos="680"/>
          <w:tab w:val="clear" w:pos="1361"/>
          <w:tab w:val="left" w:pos="1701"/>
        </w:tabs>
        <w:spacing w:before="40" w:after="40"/>
        <w:ind w:left="1701" w:hanging="1701"/>
        <w:rPr>
          <w:lang w:val="ru-RU"/>
        </w:rPr>
      </w:pPr>
      <w:r>
        <w:rPr>
          <w:lang w:val="ru-RU"/>
        </w:rPr>
        <w:t>НПСП</w:t>
      </w:r>
      <w:r>
        <w:rPr>
          <w:lang w:val="ru-RU"/>
        </w:rPr>
        <w:tab/>
        <w:t>Национальный план семейных пособий</w:t>
      </w:r>
    </w:p>
    <w:p w:rsidR="00D80435" w:rsidRDefault="00D80435">
      <w:pPr>
        <w:tabs>
          <w:tab w:val="clear" w:pos="680"/>
          <w:tab w:val="clear" w:pos="1361"/>
          <w:tab w:val="left" w:pos="1701"/>
        </w:tabs>
        <w:spacing w:before="40" w:after="40"/>
        <w:ind w:left="1701" w:hanging="1701"/>
        <w:jc w:val="left"/>
        <w:rPr>
          <w:lang w:val="ru-RU"/>
        </w:rPr>
      </w:pPr>
      <w:r>
        <w:rPr>
          <w:lang w:val="ru-RU"/>
        </w:rPr>
        <w:t>НСИПО</w:t>
      </w:r>
      <w:r>
        <w:rPr>
          <w:lang w:val="ru-RU"/>
        </w:rPr>
        <w:tab/>
        <w:t>Национальные совет по исследованиям и программам профессиональной подготовки в сфере образования</w:t>
      </w:r>
    </w:p>
    <w:p w:rsidR="00D80435" w:rsidRDefault="00D80435">
      <w:pPr>
        <w:tabs>
          <w:tab w:val="clear" w:pos="680"/>
          <w:tab w:val="clear" w:pos="1361"/>
          <w:tab w:val="left" w:pos="1701"/>
        </w:tabs>
        <w:spacing w:before="40" w:after="40"/>
        <w:ind w:left="1701" w:hanging="1701"/>
        <w:rPr>
          <w:lang w:val="ru-RU"/>
        </w:rPr>
      </w:pPr>
      <w:r>
        <w:rPr>
          <w:lang w:val="ru-RU"/>
        </w:rPr>
        <w:t>НСПЛ</w:t>
      </w:r>
      <w:r>
        <w:rPr>
          <w:lang w:val="ru-RU"/>
        </w:rPr>
        <w:tab/>
        <w:t>Национальный совет по делам пожилых людей</w:t>
      </w:r>
    </w:p>
    <w:p w:rsidR="00D80435" w:rsidRDefault="00D80435">
      <w:pPr>
        <w:tabs>
          <w:tab w:val="clear" w:pos="680"/>
          <w:tab w:val="clear" w:pos="1361"/>
          <w:tab w:val="left" w:pos="1701"/>
        </w:tabs>
        <w:spacing w:before="40" w:after="40"/>
        <w:ind w:left="1701" w:hanging="1701"/>
        <w:rPr>
          <w:lang w:val="ru-RU"/>
        </w:rPr>
      </w:pPr>
      <w:r>
        <w:rPr>
          <w:lang w:val="ru-RU"/>
        </w:rPr>
        <w:t>НУЛДТ</w:t>
      </w:r>
      <w:r>
        <w:rPr>
          <w:lang w:val="ru-RU"/>
        </w:rPr>
        <w:tab/>
        <w:t>Национальное управление по ликвидации детского труда</w:t>
      </w:r>
    </w:p>
    <w:p w:rsidR="00D80435" w:rsidRDefault="00D80435">
      <w:pPr>
        <w:tabs>
          <w:tab w:val="clear" w:pos="680"/>
          <w:tab w:val="clear" w:pos="1361"/>
          <w:tab w:val="left" w:pos="1701"/>
        </w:tabs>
        <w:spacing w:before="40" w:after="40"/>
        <w:ind w:left="1701" w:hanging="1701"/>
        <w:rPr>
          <w:lang w:val="ru-RU"/>
        </w:rPr>
      </w:pPr>
      <w:r>
        <w:rPr>
          <w:lang w:val="ru-RU"/>
        </w:rPr>
        <w:t>ОМС</w:t>
      </w:r>
      <w:r>
        <w:rPr>
          <w:lang w:val="ru-RU"/>
        </w:rPr>
        <w:tab/>
        <w:t>общинный медицинский центр</w:t>
      </w:r>
    </w:p>
    <w:p w:rsidR="00D80435" w:rsidRDefault="00D80435">
      <w:pPr>
        <w:tabs>
          <w:tab w:val="clear" w:pos="680"/>
          <w:tab w:val="clear" w:pos="1361"/>
          <w:tab w:val="left" w:pos="1701"/>
        </w:tabs>
        <w:spacing w:before="40" w:after="40"/>
        <w:ind w:left="1701" w:hanging="1701"/>
        <w:rPr>
          <w:lang w:val="ru-RU"/>
        </w:rPr>
      </w:pPr>
      <w:r>
        <w:rPr>
          <w:lang w:val="ru-RU"/>
        </w:rPr>
        <w:t>ОПВ</w:t>
      </w:r>
      <w:r>
        <w:rPr>
          <w:lang w:val="ru-RU"/>
        </w:rPr>
        <w:tab/>
        <w:t>полиомиелит</w:t>
      </w:r>
    </w:p>
    <w:p w:rsidR="00D80435" w:rsidRDefault="00D80435">
      <w:pPr>
        <w:tabs>
          <w:tab w:val="clear" w:pos="680"/>
          <w:tab w:val="clear" w:pos="1361"/>
          <w:tab w:val="left" w:pos="1701"/>
        </w:tabs>
        <w:spacing w:before="40" w:after="40"/>
        <w:ind w:left="1701" w:hanging="1701"/>
        <w:rPr>
          <w:lang w:val="ru-RU"/>
        </w:rPr>
      </w:pPr>
      <w:r>
        <w:rPr>
          <w:lang w:val="ru-RU"/>
        </w:rPr>
        <w:t>ОРСР</w:t>
      </w:r>
      <w:r>
        <w:rPr>
          <w:lang w:val="ru-RU"/>
        </w:rPr>
        <w:tab/>
        <w:t>Организация по развитию сельских районов</w:t>
      </w:r>
    </w:p>
    <w:p w:rsidR="00D80435" w:rsidRDefault="00D80435">
      <w:pPr>
        <w:tabs>
          <w:tab w:val="clear" w:pos="680"/>
          <w:tab w:val="clear" w:pos="1361"/>
          <w:tab w:val="left" w:pos="1701"/>
        </w:tabs>
        <w:spacing w:before="40" w:after="40"/>
        <w:ind w:left="1701" w:hanging="1701"/>
        <w:rPr>
          <w:lang w:val="ru-RU"/>
        </w:rPr>
      </w:pPr>
      <w:r>
        <w:rPr>
          <w:lang w:val="ru-RU"/>
        </w:rPr>
        <w:t>ОУПБ</w:t>
      </w:r>
      <w:r>
        <w:rPr>
          <w:lang w:val="ru-RU"/>
        </w:rPr>
        <w:tab/>
        <w:t>Общество по улучшению положения сельской бедноты</w:t>
      </w:r>
    </w:p>
    <w:p w:rsidR="00D80435" w:rsidRDefault="00D80435">
      <w:pPr>
        <w:tabs>
          <w:tab w:val="clear" w:pos="680"/>
          <w:tab w:val="clear" w:pos="1361"/>
          <w:tab w:val="left" w:pos="1701"/>
        </w:tabs>
        <w:spacing w:before="40" w:after="40"/>
        <w:ind w:left="1701" w:hanging="1701"/>
        <w:rPr>
          <w:lang w:val="ru-RU"/>
        </w:rPr>
      </w:pPr>
      <w:r>
        <w:rPr>
          <w:lang w:val="ru-RU"/>
        </w:rPr>
        <w:t>ПДЖ</w:t>
      </w:r>
      <w:r>
        <w:rPr>
          <w:lang w:val="ru-RU"/>
        </w:rPr>
        <w:tab/>
        <w:t>План по учету доли женщин</w:t>
      </w:r>
    </w:p>
    <w:p w:rsidR="00D80435" w:rsidRDefault="00D80435">
      <w:pPr>
        <w:tabs>
          <w:tab w:val="clear" w:pos="680"/>
          <w:tab w:val="clear" w:pos="1361"/>
          <w:tab w:val="left" w:pos="1701"/>
        </w:tabs>
        <w:spacing w:before="40" w:after="40"/>
        <w:ind w:left="1701" w:hanging="1701"/>
        <w:rPr>
          <w:lang w:val="ru-RU"/>
        </w:rPr>
      </w:pPr>
      <w:r>
        <w:rPr>
          <w:lang w:val="ru-RU"/>
        </w:rPr>
        <w:t>ПЗРР</w:t>
      </w:r>
      <w:r>
        <w:rPr>
          <w:lang w:val="ru-RU"/>
        </w:rPr>
        <w:tab/>
        <w:t>предотвращение заражения ребенка родителями</w:t>
      </w:r>
    </w:p>
    <w:p w:rsidR="00D80435" w:rsidRDefault="00D80435">
      <w:pPr>
        <w:tabs>
          <w:tab w:val="clear" w:pos="680"/>
          <w:tab w:val="clear" w:pos="1361"/>
          <w:tab w:val="left" w:pos="1701"/>
        </w:tabs>
        <w:spacing w:before="40" w:after="40"/>
        <w:ind w:left="1701" w:hanging="1701"/>
        <w:rPr>
          <w:lang w:val="ru-RU"/>
        </w:rPr>
      </w:pPr>
      <w:r>
        <w:rPr>
          <w:lang w:val="ru-RU"/>
        </w:rPr>
        <w:t>ПОРЗД</w:t>
      </w:r>
      <w:r>
        <w:rPr>
          <w:lang w:val="ru-RU"/>
        </w:rPr>
        <w:tab/>
        <w:t>Программа охраны репродуктивного здоровья и здоровья детей</w:t>
      </w:r>
    </w:p>
    <w:p w:rsidR="00D80435" w:rsidRDefault="00D80435">
      <w:pPr>
        <w:tabs>
          <w:tab w:val="clear" w:pos="680"/>
          <w:tab w:val="clear" w:pos="1361"/>
          <w:tab w:val="left" w:pos="1701"/>
        </w:tabs>
        <w:spacing w:before="40" w:after="40"/>
        <w:ind w:left="1701" w:hanging="1701"/>
        <w:rPr>
          <w:lang w:val="ru-RU"/>
        </w:rPr>
      </w:pPr>
      <w:r>
        <w:rPr>
          <w:lang w:val="ru-RU"/>
        </w:rPr>
        <w:t>ПОСЗГН</w:t>
      </w:r>
      <w:r>
        <w:rPr>
          <w:lang w:val="ru-RU"/>
        </w:rPr>
        <w:tab/>
        <w:t>Программа обеспечения самостоятельной занятости городского населения</w:t>
      </w:r>
    </w:p>
    <w:p w:rsidR="00D80435" w:rsidRDefault="00D80435">
      <w:pPr>
        <w:tabs>
          <w:tab w:val="clear" w:pos="680"/>
          <w:tab w:val="clear" w:pos="1361"/>
          <w:tab w:val="left" w:pos="1701"/>
        </w:tabs>
        <w:spacing w:before="40" w:after="40"/>
        <w:ind w:left="1701" w:hanging="1701"/>
        <w:rPr>
          <w:lang w:val="ru-RU"/>
        </w:rPr>
      </w:pPr>
      <w:r>
        <w:rPr>
          <w:lang w:val="ru-RU"/>
        </w:rPr>
        <w:t>ППД</w:t>
      </w:r>
      <w:r>
        <w:rPr>
          <w:lang w:val="ru-RU"/>
        </w:rPr>
        <w:tab/>
        <w:t>Пекинская декларация и Платформа действий</w:t>
      </w:r>
    </w:p>
    <w:p w:rsidR="00D80435" w:rsidRDefault="00D80435">
      <w:pPr>
        <w:tabs>
          <w:tab w:val="clear" w:pos="680"/>
          <w:tab w:val="clear" w:pos="1361"/>
          <w:tab w:val="left" w:pos="1701"/>
        </w:tabs>
        <w:spacing w:before="40" w:after="40"/>
        <w:ind w:left="1701" w:hanging="1701"/>
        <w:rPr>
          <w:lang w:val="ru-RU"/>
        </w:rPr>
      </w:pPr>
      <w:r>
        <w:rPr>
          <w:lang w:val="ru-RU"/>
        </w:rPr>
        <w:t>ППО</w:t>
      </w:r>
      <w:r>
        <w:rPr>
          <w:lang w:val="ru-RU"/>
        </w:rPr>
        <w:tab/>
        <w:t>Программа повышения осведомленности</w:t>
      </w:r>
    </w:p>
    <w:p w:rsidR="00D80435" w:rsidRDefault="00D80435">
      <w:pPr>
        <w:tabs>
          <w:tab w:val="clear" w:pos="680"/>
          <w:tab w:val="clear" w:pos="1361"/>
          <w:tab w:val="left" w:pos="1701"/>
        </w:tabs>
        <w:spacing w:before="40" w:after="40"/>
        <w:ind w:left="1701" w:hanging="1701"/>
        <w:jc w:val="left"/>
        <w:rPr>
          <w:lang w:val="ru-RU"/>
        </w:rPr>
      </w:pPr>
      <w:r>
        <w:rPr>
          <w:lang w:val="ru-RU"/>
        </w:rPr>
        <w:t>ПППЗ</w:t>
      </w:r>
      <w:r>
        <w:rPr>
          <w:lang w:val="ru-RU"/>
        </w:rPr>
        <w:tab/>
        <w:t>Программа помощи в области профессиональной подготовки и занятости женщин</w:t>
      </w:r>
    </w:p>
    <w:p w:rsidR="00D80435" w:rsidRDefault="00D80435">
      <w:pPr>
        <w:tabs>
          <w:tab w:val="clear" w:pos="680"/>
          <w:tab w:val="clear" w:pos="1361"/>
          <w:tab w:val="left" w:pos="1701"/>
        </w:tabs>
        <w:spacing w:before="40" w:after="40"/>
        <w:ind w:left="1701" w:hanging="1701"/>
        <w:rPr>
          <w:lang w:val="ru-RU"/>
        </w:rPr>
      </w:pPr>
      <w:r>
        <w:rPr>
          <w:lang w:val="ru-RU"/>
        </w:rPr>
        <w:t>ППР</w:t>
      </w:r>
      <w:r>
        <w:rPr>
          <w:lang w:val="ru-RU"/>
        </w:rPr>
        <w:tab/>
        <w:t>Программа профессиональной помощи развитию</w:t>
      </w:r>
    </w:p>
    <w:p w:rsidR="00D80435" w:rsidRDefault="00D80435">
      <w:pPr>
        <w:tabs>
          <w:tab w:val="clear" w:pos="680"/>
          <w:tab w:val="clear" w:pos="1361"/>
          <w:tab w:val="left" w:pos="1701"/>
        </w:tabs>
        <w:spacing w:before="40" w:after="40"/>
        <w:ind w:left="1701" w:hanging="1701"/>
        <w:rPr>
          <w:lang w:val="ru-RU"/>
        </w:rPr>
      </w:pPr>
      <w:r>
        <w:rPr>
          <w:lang w:val="ru-RU"/>
        </w:rPr>
        <w:t>ПРОДД</w:t>
      </w:r>
      <w:r>
        <w:rPr>
          <w:lang w:val="ru-RU"/>
        </w:rPr>
        <w:tab/>
        <w:t>Программа развития и образования детей дошкольного возраста</w:t>
      </w:r>
    </w:p>
    <w:p w:rsidR="00D80435" w:rsidRDefault="00D80435">
      <w:pPr>
        <w:tabs>
          <w:tab w:val="clear" w:pos="680"/>
          <w:tab w:val="clear" w:pos="1361"/>
          <w:tab w:val="left" w:pos="1701"/>
        </w:tabs>
        <w:spacing w:before="40" w:after="40"/>
        <w:ind w:left="1701" w:hanging="1701"/>
        <w:rPr>
          <w:lang w:val="ru-RU"/>
        </w:rPr>
      </w:pPr>
      <w:r>
        <w:rPr>
          <w:lang w:val="ru-RU"/>
        </w:rPr>
        <w:t>ПСК</w:t>
      </w:r>
      <w:r>
        <w:rPr>
          <w:lang w:val="ru-RU"/>
        </w:rPr>
        <w:tab/>
        <w:t>План специального компонента</w:t>
      </w:r>
    </w:p>
    <w:p w:rsidR="00D80435" w:rsidRDefault="00D80435">
      <w:pPr>
        <w:tabs>
          <w:tab w:val="clear" w:pos="680"/>
          <w:tab w:val="clear" w:pos="1361"/>
          <w:tab w:val="left" w:pos="1701"/>
        </w:tabs>
        <w:spacing w:before="40" w:after="40"/>
        <w:ind w:left="1701" w:hanging="1701"/>
        <w:rPr>
          <w:lang w:val="ru-RU"/>
        </w:rPr>
      </w:pPr>
      <w:r>
        <w:rPr>
          <w:lang w:val="ru-RU"/>
        </w:rPr>
        <w:t>СААРК</w:t>
      </w:r>
      <w:r>
        <w:rPr>
          <w:lang w:val="ru-RU"/>
        </w:rPr>
        <w:tab/>
        <w:t>Ассоциация регионального сотрудничества стран Южной Азии</w:t>
      </w:r>
    </w:p>
    <w:p w:rsidR="00D80435" w:rsidRDefault="00D80435">
      <w:pPr>
        <w:tabs>
          <w:tab w:val="clear" w:pos="680"/>
          <w:tab w:val="clear" w:pos="1361"/>
          <w:tab w:val="left" w:pos="1701"/>
        </w:tabs>
        <w:spacing w:before="40" w:after="40"/>
        <w:ind w:left="1701" w:hanging="1701"/>
        <w:rPr>
          <w:lang w:val="ru-RU"/>
        </w:rPr>
      </w:pPr>
      <w:r>
        <w:rPr>
          <w:lang w:val="ru-RU"/>
        </w:rPr>
        <w:t>СК</w:t>
      </w:r>
      <w:r>
        <w:rPr>
          <w:lang w:val="ru-RU"/>
        </w:rPr>
        <w:tab/>
        <w:t>включенные в списки касты</w:t>
      </w:r>
    </w:p>
    <w:p w:rsidR="00D80435" w:rsidRDefault="00D80435">
      <w:pPr>
        <w:tabs>
          <w:tab w:val="clear" w:pos="680"/>
          <w:tab w:val="clear" w:pos="1361"/>
          <w:tab w:val="left" w:pos="1701"/>
        </w:tabs>
        <w:spacing w:before="40" w:after="40"/>
        <w:ind w:left="1701" w:hanging="1701"/>
        <w:rPr>
          <w:lang w:val="ru-RU"/>
        </w:rPr>
      </w:pPr>
      <w:r>
        <w:rPr>
          <w:lang w:val="ru-RU"/>
        </w:rPr>
        <w:t>СМТТ</w:t>
      </w:r>
      <w:r>
        <w:rPr>
          <w:lang w:val="ru-RU"/>
        </w:rPr>
        <w:tab/>
        <w:t>Соглашение о международной торговле текстилем</w:t>
      </w:r>
    </w:p>
    <w:p w:rsidR="00D80435" w:rsidRDefault="00D80435">
      <w:pPr>
        <w:tabs>
          <w:tab w:val="clear" w:pos="680"/>
          <w:tab w:val="clear" w:pos="1361"/>
          <w:tab w:val="left" w:pos="1701"/>
        </w:tabs>
        <w:spacing w:before="40" w:after="40"/>
        <w:ind w:left="1701" w:hanging="1701"/>
        <w:rPr>
          <w:lang w:val="ru-RU"/>
        </w:rPr>
      </w:pPr>
      <w:r>
        <w:rPr>
          <w:lang w:val="ru-RU"/>
        </w:rPr>
        <w:t>СОДПЛ</w:t>
      </w:r>
      <w:r>
        <w:rPr>
          <w:lang w:val="ru-RU"/>
        </w:rPr>
        <w:tab/>
        <w:t>Национальный проект "Социальное обеспечение и доход пожилых людей"</w:t>
      </w:r>
    </w:p>
    <w:p w:rsidR="00D80435" w:rsidRDefault="00D80435">
      <w:pPr>
        <w:tabs>
          <w:tab w:val="clear" w:pos="680"/>
          <w:tab w:val="clear" w:pos="1361"/>
          <w:tab w:val="left" w:pos="1701"/>
        </w:tabs>
        <w:spacing w:before="40" w:after="40"/>
        <w:ind w:left="1701" w:hanging="1701"/>
        <w:rPr>
          <w:lang w:val="ru-RU"/>
        </w:rPr>
      </w:pPr>
      <w:r>
        <w:rPr>
          <w:lang w:val="ru-RU"/>
        </w:rPr>
        <w:t>СП</w:t>
      </w:r>
      <w:r>
        <w:rPr>
          <w:lang w:val="ru-RU"/>
        </w:rPr>
        <w:tab/>
        <w:t>включенные в списки племена</w:t>
      </w:r>
    </w:p>
    <w:p w:rsidR="00D80435" w:rsidRDefault="00D80435">
      <w:pPr>
        <w:tabs>
          <w:tab w:val="clear" w:pos="680"/>
          <w:tab w:val="clear" w:pos="1361"/>
          <w:tab w:val="left" w:pos="1701"/>
        </w:tabs>
        <w:spacing w:before="40" w:after="40"/>
        <w:ind w:left="1701" w:hanging="1701"/>
        <w:rPr>
          <w:lang w:val="ru-RU"/>
        </w:rPr>
      </w:pPr>
      <w:r>
        <w:rPr>
          <w:lang w:val="ru-RU"/>
        </w:rPr>
        <w:t>СПИ</w:t>
      </w:r>
      <w:r>
        <w:rPr>
          <w:lang w:val="ru-RU"/>
        </w:rPr>
        <w:tab/>
        <w:t>Совет по прессе Индии</w:t>
      </w:r>
    </w:p>
    <w:p w:rsidR="00D80435" w:rsidRDefault="00D80435">
      <w:pPr>
        <w:tabs>
          <w:tab w:val="clear" w:pos="680"/>
          <w:tab w:val="clear" w:pos="1361"/>
          <w:tab w:val="left" w:pos="1701"/>
        </w:tabs>
        <w:spacing w:before="40" w:after="40"/>
        <w:ind w:left="1701" w:hanging="1701"/>
        <w:rPr>
          <w:lang w:val="ru-RU"/>
        </w:rPr>
      </w:pPr>
      <w:r>
        <w:rPr>
          <w:lang w:val="ru-RU"/>
        </w:rPr>
        <w:t>УКИ</w:t>
      </w:r>
      <w:r>
        <w:rPr>
          <w:lang w:val="ru-RU"/>
        </w:rPr>
        <w:tab/>
        <w:t>Уголовный кодекс Индии</w:t>
      </w:r>
    </w:p>
    <w:p w:rsidR="00D80435" w:rsidRDefault="00D80435">
      <w:pPr>
        <w:tabs>
          <w:tab w:val="clear" w:pos="680"/>
          <w:tab w:val="clear" w:pos="1361"/>
          <w:tab w:val="left" w:pos="1701"/>
        </w:tabs>
        <w:spacing w:before="40" w:after="40"/>
        <w:ind w:left="1701" w:hanging="1701"/>
        <w:rPr>
          <w:lang w:val="ru-RU"/>
        </w:rPr>
      </w:pPr>
      <w:r>
        <w:rPr>
          <w:lang w:val="ru-RU"/>
        </w:rPr>
        <w:t>УМФ</w:t>
      </w:r>
      <w:r>
        <w:rPr>
          <w:lang w:val="ru-RU"/>
        </w:rPr>
        <w:tab/>
        <w:t>учреждения по микрофинансированию</w:t>
      </w:r>
    </w:p>
    <w:p w:rsidR="00D80435" w:rsidRDefault="00D80435">
      <w:pPr>
        <w:tabs>
          <w:tab w:val="clear" w:pos="680"/>
          <w:tab w:val="clear" w:pos="1361"/>
          <w:tab w:val="left" w:pos="1701"/>
        </w:tabs>
        <w:spacing w:before="40" w:after="40"/>
        <w:ind w:left="1701" w:hanging="1701"/>
        <w:rPr>
          <w:lang w:val="ru-RU"/>
        </w:rPr>
      </w:pPr>
      <w:r>
        <w:rPr>
          <w:lang w:val="ru-RU"/>
        </w:rPr>
        <w:t>ЦБР</w:t>
      </w:r>
      <w:r>
        <w:rPr>
          <w:lang w:val="ru-RU"/>
        </w:rPr>
        <w:tab/>
        <w:t>Центральное бюро расследований</w:t>
      </w:r>
    </w:p>
    <w:p w:rsidR="00D80435" w:rsidRDefault="00D80435">
      <w:pPr>
        <w:tabs>
          <w:tab w:val="clear" w:pos="680"/>
          <w:tab w:val="clear" w:pos="1361"/>
          <w:tab w:val="left" w:pos="1701"/>
        </w:tabs>
        <w:spacing w:before="40" w:after="40"/>
        <w:ind w:left="1701" w:hanging="1701"/>
        <w:rPr>
          <w:lang w:val="ru-RU"/>
        </w:rPr>
      </w:pPr>
      <w:r>
        <w:rPr>
          <w:lang w:val="ru-RU"/>
        </w:rPr>
        <w:t>ЦГР</w:t>
      </w:r>
      <w:r>
        <w:rPr>
          <w:lang w:val="ru-RU"/>
        </w:rPr>
        <w:tab/>
        <w:t>Центр гендерных ресурсов</w:t>
      </w:r>
    </w:p>
    <w:p w:rsidR="00D80435" w:rsidRDefault="00D80435">
      <w:pPr>
        <w:tabs>
          <w:tab w:val="clear" w:pos="680"/>
          <w:tab w:val="clear" w:pos="1361"/>
          <w:tab w:val="left" w:pos="1701"/>
        </w:tabs>
        <w:spacing w:before="40" w:after="40"/>
        <w:ind w:left="1701" w:hanging="1701"/>
        <w:rPr>
          <w:lang w:val="ru-RU"/>
        </w:rPr>
      </w:pPr>
      <w:r>
        <w:rPr>
          <w:lang w:val="ru-RU"/>
        </w:rPr>
        <w:t>ЦПМП</w:t>
      </w:r>
      <w:r>
        <w:rPr>
          <w:lang w:val="ru-RU"/>
        </w:rPr>
        <w:tab/>
        <w:t>центр первичной медицинской помощи</w:t>
      </w:r>
    </w:p>
    <w:p w:rsidR="00D80435" w:rsidRDefault="00D80435">
      <w:pPr>
        <w:tabs>
          <w:tab w:val="clear" w:pos="680"/>
          <w:tab w:val="clear" w:pos="1361"/>
          <w:tab w:val="left" w:pos="1701"/>
        </w:tabs>
        <w:spacing w:before="40" w:after="40"/>
        <w:ind w:left="1701" w:hanging="1701"/>
        <w:rPr>
          <w:lang w:val="ru-RU"/>
        </w:rPr>
      </w:pPr>
      <w:r>
        <w:rPr>
          <w:lang w:val="ru-RU"/>
        </w:rPr>
        <w:t>ЦСОР</w:t>
      </w:r>
      <w:r>
        <w:rPr>
          <w:lang w:val="ru-RU"/>
        </w:rPr>
        <w:tab/>
        <w:t>Целевая система общественного распределения</w:t>
      </w:r>
    </w:p>
    <w:p w:rsidR="00D80435" w:rsidRDefault="00D80435">
      <w:pPr>
        <w:tabs>
          <w:tab w:val="clear" w:pos="680"/>
          <w:tab w:val="clear" w:pos="1361"/>
          <w:tab w:val="left" w:pos="1701"/>
        </w:tabs>
        <w:spacing w:before="40" w:after="40"/>
        <w:ind w:left="1701" w:hanging="1701"/>
        <w:rPr>
          <w:lang w:val="ru-RU"/>
        </w:rPr>
      </w:pPr>
      <w:r>
        <w:rPr>
          <w:lang w:val="ru-RU"/>
        </w:rPr>
        <w:t>ЦССО</w:t>
      </w:r>
      <w:r>
        <w:rPr>
          <w:lang w:val="ru-RU"/>
        </w:rPr>
        <w:tab/>
        <w:t>Центральный совет социального обеспечения</w:t>
      </w:r>
    </w:p>
    <w:p w:rsidR="00D80435" w:rsidRDefault="00D80435">
      <w:pPr>
        <w:tabs>
          <w:tab w:val="clear" w:pos="680"/>
          <w:tab w:val="clear" w:pos="1361"/>
          <w:tab w:val="left" w:pos="1701"/>
        </w:tabs>
        <w:spacing w:before="40" w:after="40"/>
        <w:ind w:left="1701" w:hanging="1701"/>
        <w:rPr>
          <w:lang w:val="ru-RU"/>
        </w:rPr>
      </w:pPr>
      <w:r>
        <w:rPr>
          <w:lang w:val="ru-RU"/>
        </w:rPr>
        <w:t>ЦССФ</w:t>
      </w:r>
      <w:r>
        <w:rPr>
          <w:lang w:val="ru-RU"/>
        </w:rPr>
        <w:tab/>
        <w:t>Центральный совет по сертификации фильмов</w:t>
      </w:r>
    </w:p>
    <w:p w:rsidR="00D80435" w:rsidRDefault="00D80435">
      <w:pPr>
        <w:pStyle w:val="Heading7"/>
        <w:rPr>
          <w:sz w:val="24"/>
          <w:lang w:val="ru-RU"/>
        </w:rPr>
      </w:pPr>
      <w:r>
        <w:rPr>
          <w:lang w:val="ru-RU"/>
        </w:rPr>
        <w:br w:type="page"/>
      </w:r>
      <w:r>
        <w:rPr>
          <w:sz w:val="24"/>
          <w:lang w:val="ru-RU"/>
        </w:rPr>
        <w:t>ПРАВИТЕЛЬСТВО ИНДИИ</w:t>
      </w:r>
    </w:p>
    <w:p w:rsidR="00D80435" w:rsidRDefault="00D80435">
      <w:pPr>
        <w:jc w:val="center"/>
        <w:rPr>
          <w:b/>
          <w:lang w:val="ru-RU"/>
        </w:rPr>
      </w:pPr>
      <w:r>
        <w:rPr>
          <w:b/>
          <w:sz w:val="24"/>
          <w:lang w:val="ru-RU"/>
        </w:rPr>
        <w:t>Сводные второй и третий периодические доклады о выполнении положений Конвенции о ликвидации всех форм дискриминации в отношении женщин</w:t>
      </w:r>
    </w:p>
    <w:p w:rsidR="00D80435" w:rsidRDefault="00D80435">
      <w:pPr>
        <w:rPr>
          <w:b/>
          <w:lang w:val="ru-RU"/>
        </w:rPr>
      </w:pPr>
      <w:r>
        <w:rPr>
          <w:b/>
          <w:lang w:val="ru-RU"/>
        </w:rPr>
        <w:t xml:space="preserve">Введение </w:t>
      </w:r>
    </w:p>
    <w:p w:rsidR="00D80435" w:rsidRDefault="00D80435">
      <w:pPr>
        <w:rPr>
          <w:lang w:val="ru-RU"/>
        </w:rPr>
      </w:pPr>
      <w:r>
        <w:rPr>
          <w:lang w:val="ru-RU"/>
        </w:rPr>
        <w:t>В августе 1998 года правительство Индии представило свой Первоначальный доклад о мерах, принятых для претворения в жизнь положений Конвенции о ликвидации всех форм дискриминации в отношении женщин (КЛДЖ). Комитет по ликвидации дискриминации в отношении женщин рассмотрел этот доклад на своей 22-й сессии на заседаниях 24 и 31 января 2000 года. Настоящий доклад не ставит перед собой цели повторять справочную информацию, приведенную в части I Первоначального доклада. Главным образом он касается "основных проблемных областей и рекомендаций" Комитета, изложенных в его заключительных замечания по докладу Индии, включает информацию, которая отсутствует в первоначальном докладе, а также освещает достижения, которые имели место за последние годы – с 1997 по 2005.</w:t>
      </w:r>
    </w:p>
    <w:p w:rsidR="00D80435" w:rsidRDefault="00D80435">
      <w:pPr>
        <w:spacing w:after="0"/>
        <w:rPr>
          <w:b/>
          <w:lang w:val="ru-RU"/>
        </w:rPr>
      </w:pPr>
    </w:p>
    <w:p w:rsidR="00D80435" w:rsidRDefault="00D80435">
      <w:pPr>
        <w:jc w:val="center"/>
        <w:rPr>
          <w:b/>
          <w:sz w:val="24"/>
          <w:lang w:val="ru-RU"/>
        </w:rPr>
      </w:pPr>
      <w:r>
        <w:rPr>
          <w:b/>
          <w:sz w:val="24"/>
          <w:lang w:val="ru-RU"/>
        </w:rPr>
        <w:t xml:space="preserve">Часть </w:t>
      </w:r>
      <w:r>
        <w:rPr>
          <w:b/>
          <w:sz w:val="24"/>
        </w:rPr>
        <w:t>I</w:t>
      </w:r>
      <w:r>
        <w:rPr>
          <w:b/>
          <w:sz w:val="24"/>
          <w:lang w:val="ru-RU"/>
        </w:rPr>
        <w:t xml:space="preserve">.  Развитие событий в проблемных областях </w:t>
      </w:r>
      <w:r>
        <w:rPr>
          <w:b/>
          <w:sz w:val="24"/>
          <w:lang w:val="ru-RU"/>
        </w:rPr>
        <w:br/>
        <w:t>и рекомендации Комитета</w:t>
      </w:r>
    </w:p>
    <w:p w:rsidR="00D80435" w:rsidRDefault="00D80435">
      <w:pPr>
        <w:pStyle w:val="BodyText3"/>
        <w:spacing w:before="120"/>
        <w:jc w:val="left"/>
      </w:pPr>
      <w:r>
        <w:t xml:space="preserve">Учет положений Пекинской платформы действий при разработке политики и программ (пункты 54, 55 заключительных замечаний) </w:t>
      </w:r>
    </w:p>
    <w:p w:rsidR="00D80435" w:rsidRDefault="00D80435">
      <w:pPr>
        <w:rPr>
          <w:lang w:val="ru-RU"/>
        </w:rPr>
      </w:pPr>
      <w:r>
        <w:rPr>
          <w:lang w:val="ru-RU"/>
        </w:rPr>
        <w:t>1.</w:t>
      </w:r>
      <w:r>
        <w:rPr>
          <w:lang w:val="ru-RU"/>
        </w:rPr>
        <w:tab/>
        <w:t>Пекинская платформа действий отражена в 10-м Пятилетнем плане и в Национальной политике по расширению прав и возможностей женщин 2001 года. Актуализация гендерной проблематики является одни</w:t>
      </w:r>
      <w:r>
        <w:t>м</w:t>
      </w:r>
      <w:r>
        <w:rPr>
          <w:lang w:val="ru-RU"/>
        </w:rPr>
        <w:t xml:space="preserve"> из краеугольных камней бюджетного процесса и политических инициатив в стране в контексте обеспечения распределения ресурсов с учетом гендерных особенностей и активизации макроэкономической политики.</w:t>
      </w:r>
    </w:p>
    <w:p w:rsidR="00D80435" w:rsidRDefault="00D80435">
      <w:pPr>
        <w:jc w:val="left"/>
        <w:rPr>
          <w:b/>
          <w:lang w:val="ru-RU"/>
        </w:rPr>
      </w:pPr>
      <w:r>
        <w:rPr>
          <w:b/>
          <w:lang w:val="ru-RU"/>
        </w:rPr>
        <w:t xml:space="preserve">Нехватка ресурсов, выделяемых на цели развития женщин (пункты 56, 57 заключительных замечаний) </w:t>
      </w:r>
    </w:p>
    <w:p w:rsidR="00D80435" w:rsidRDefault="00D80435">
      <w:pPr>
        <w:rPr>
          <w:lang w:val="ru-RU"/>
        </w:rPr>
      </w:pPr>
      <w:r>
        <w:rPr>
          <w:lang w:val="ru-RU"/>
        </w:rPr>
        <w:t>2.</w:t>
      </w:r>
      <w:r>
        <w:rPr>
          <w:lang w:val="ru-RU"/>
        </w:rPr>
        <w:tab/>
        <w:t>Индия – это огромная страна с большим населением, имеющим различную культуру и разное социально-экономическое положение, с неравным региональным распределением природных ресурсов и уровнем развития. Если принять во внимание эти факторы, то распределение ресурсов сродни "хождению по натянутому канату". Однако наблюдался значительный рост бюджетных ассигнований на Департамент развития женщин и детей. Объем общей бюджетной поддержки министерств и ведомств по 9-му Плану составил 20 39 820 млн. рупий. Кроме этого, центральное правительство ввело в действие План по учету доли женщин (ПДЖ), согласно которому 30 процентов от планируемых ассигнований должны быть израсходованы в интересах женщин по линии всех министерств и ведомств. Согласно 9</w:t>
      </w:r>
      <w:r>
        <w:rPr>
          <w:lang w:val="ru-RU"/>
        </w:rPr>
        <w:noBreakHyphen/>
        <w:t>му Плану, процентная доля ПДЖ в объеме общей бюджетной поддержки составляет 25,5 процента. Существует, однако, ряд департаментов, как, например, Департамент по вопросам благосостояния семьи, 70 процентов бюджетов которых расходуется на женщин. Изучение этого вопроса выявило, что ПДЖ значительно повысил осведомленность и информированность среди разработчиков планов, политических деятелей и руководящих работников и позволил обеспечить, чтобы фонды и/или пособия, выделенные на другие цели в области развития, не реализовывались в обход женщин. Согласно ПДЖ, фонды выделяются на те программы, которые направлены на обеспечение интересов женщин и девочек и имеют значительный "женский компонент". На начальном этапе данным планом были охвачены шестнадцать департаментов, а теперь пересмотренные руководящие принципы разработаны для всех департаментов.</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5"/>
        <w:gridCol w:w="528"/>
        <w:gridCol w:w="4443"/>
      </w:tblGrid>
      <w:tr w:rsidR="00D80435">
        <w:tblPrEx>
          <w:tblCellMar>
            <w:top w:w="0" w:type="dxa"/>
            <w:bottom w:w="0" w:type="dxa"/>
          </w:tblCellMar>
        </w:tblPrEx>
        <w:tc>
          <w:tcPr>
            <w:tcW w:w="4315" w:type="dxa"/>
          </w:tcPr>
          <w:p w:rsidR="00D80435" w:rsidRDefault="00D80435">
            <w:pPr>
              <w:spacing w:before="20" w:after="20"/>
              <w:jc w:val="left"/>
              <w:rPr>
                <w:b/>
                <w:sz w:val="20"/>
                <w:lang w:val="ru-RU"/>
              </w:rPr>
            </w:pPr>
            <w:r>
              <w:rPr>
                <w:lang w:val="ru-RU"/>
              </w:rPr>
              <w:br w:type="page"/>
            </w:r>
            <w:r>
              <w:rPr>
                <w:b/>
                <w:sz w:val="20"/>
                <w:lang w:val="ru-RU"/>
              </w:rPr>
              <w:t xml:space="preserve">Бюджетные ассигнования по Департаменту развития женщин и детей </w:t>
            </w:r>
          </w:p>
          <w:p w:rsidR="00D80435" w:rsidRDefault="00D80435">
            <w:pPr>
              <w:tabs>
                <w:tab w:val="clear" w:pos="680"/>
              </w:tabs>
              <w:spacing w:before="20" w:after="20"/>
              <w:ind w:left="851"/>
              <w:rPr>
                <w:sz w:val="20"/>
                <w:lang w:val="ru-RU"/>
              </w:rPr>
            </w:pPr>
          </w:p>
          <w:p w:rsidR="00D80435" w:rsidRDefault="00D80435">
            <w:pPr>
              <w:tabs>
                <w:tab w:val="clear" w:pos="680"/>
              </w:tabs>
              <w:spacing w:before="20" w:after="80"/>
              <w:ind w:left="851"/>
              <w:rPr>
                <w:sz w:val="20"/>
                <w:lang w:val="ru-RU"/>
              </w:rPr>
            </w:pPr>
            <w:r>
              <w:rPr>
                <w:sz w:val="20"/>
                <w:lang w:val="ru-RU"/>
              </w:rPr>
              <w:t>Годовой план (млн. рупий)</w:t>
            </w:r>
          </w:p>
          <w:p w:rsidR="00D80435" w:rsidRDefault="00D80435">
            <w:pPr>
              <w:tabs>
                <w:tab w:val="clear" w:pos="680"/>
              </w:tabs>
              <w:spacing w:before="20" w:after="80"/>
              <w:ind w:left="851"/>
              <w:rPr>
                <w:sz w:val="20"/>
                <w:lang w:val="ru-RU"/>
              </w:rPr>
            </w:pPr>
            <w:r>
              <w:rPr>
                <w:sz w:val="20"/>
                <w:lang w:val="ru-RU"/>
              </w:rPr>
              <w:t>1997-98</w:t>
            </w:r>
            <w:r>
              <w:rPr>
                <w:sz w:val="20"/>
                <w:lang w:val="ru-RU"/>
              </w:rPr>
              <w:tab/>
            </w:r>
            <w:r>
              <w:rPr>
                <w:sz w:val="20"/>
                <w:lang w:val="ru-RU"/>
              </w:rPr>
              <w:tab/>
              <w:t xml:space="preserve">  9 000,00</w:t>
            </w:r>
          </w:p>
          <w:p w:rsidR="00D80435" w:rsidRDefault="00D80435">
            <w:pPr>
              <w:tabs>
                <w:tab w:val="clear" w:pos="680"/>
              </w:tabs>
              <w:spacing w:before="20" w:after="80"/>
              <w:ind w:left="851"/>
              <w:rPr>
                <w:sz w:val="20"/>
                <w:lang w:val="ru-RU"/>
              </w:rPr>
            </w:pPr>
            <w:r>
              <w:rPr>
                <w:sz w:val="20"/>
                <w:lang w:val="ru-RU"/>
              </w:rPr>
              <w:t>1998-99</w:t>
            </w:r>
            <w:r>
              <w:rPr>
                <w:sz w:val="20"/>
                <w:lang w:val="ru-RU"/>
              </w:rPr>
              <w:tab/>
            </w:r>
            <w:r>
              <w:rPr>
                <w:sz w:val="20"/>
                <w:lang w:val="ru-RU"/>
              </w:rPr>
              <w:tab/>
              <w:t>12 250,95</w:t>
            </w:r>
          </w:p>
          <w:p w:rsidR="00D80435" w:rsidRDefault="00D80435">
            <w:pPr>
              <w:tabs>
                <w:tab w:val="clear" w:pos="680"/>
              </w:tabs>
              <w:spacing w:before="20" w:after="80"/>
              <w:ind w:left="851"/>
              <w:rPr>
                <w:sz w:val="20"/>
                <w:lang w:val="ru-RU"/>
              </w:rPr>
            </w:pPr>
            <w:r>
              <w:rPr>
                <w:sz w:val="20"/>
                <w:lang w:val="ru-RU"/>
              </w:rPr>
              <w:t>1999-00</w:t>
            </w:r>
            <w:r>
              <w:rPr>
                <w:sz w:val="20"/>
                <w:lang w:val="ru-RU"/>
              </w:rPr>
              <w:tab/>
            </w:r>
            <w:r>
              <w:rPr>
                <w:sz w:val="20"/>
                <w:lang w:val="ru-RU"/>
              </w:rPr>
              <w:tab/>
              <w:t>13 200,00</w:t>
            </w:r>
          </w:p>
          <w:p w:rsidR="00D80435" w:rsidRDefault="00D80435">
            <w:pPr>
              <w:tabs>
                <w:tab w:val="clear" w:pos="680"/>
              </w:tabs>
              <w:spacing w:before="20" w:after="80"/>
              <w:ind w:left="851"/>
              <w:rPr>
                <w:sz w:val="20"/>
                <w:lang w:val="ru-RU"/>
              </w:rPr>
            </w:pPr>
            <w:r>
              <w:rPr>
                <w:sz w:val="20"/>
                <w:lang w:val="ru-RU"/>
              </w:rPr>
              <w:t>2000-01</w:t>
            </w:r>
            <w:r>
              <w:rPr>
                <w:sz w:val="20"/>
                <w:lang w:val="ru-RU"/>
              </w:rPr>
              <w:tab/>
            </w:r>
            <w:r>
              <w:rPr>
                <w:sz w:val="20"/>
                <w:lang w:val="ru-RU"/>
              </w:rPr>
              <w:tab/>
              <w:t>14 600,00</w:t>
            </w:r>
          </w:p>
          <w:p w:rsidR="00D80435" w:rsidRDefault="00D80435">
            <w:pPr>
              <w:tabs>
                <w:tab w:val="clear" w:pos="680"/>
              </w:tabs>
              <w:spacing w:before="20" w:after="80"/>
              <w:ind w:left="851"/>
              <w:rPr>
                <w:sz w:val="20"/>
                <w:lang w:val="ru-RU"/>
              </w:rPr>
            </w:pPr>
            <w:r>
              <w:rPr>
                <w:sz w:val="20"/>
                <w:lang w:val="ru-RU"/>
              </w:rPr>
              <w:t>2001-02</w:t>
            </w:r>
            <w:r>
              <w:rPr>
                <w:sz w:val="20"/>
                <w:lang w:val="ru-RU"/>
              </w:rPr>
              <w:tab/>
            </w:r>
            <w:r>
              <w:rPr>
                <w:sz w:val="20"/>
                <w:lang w:val="ru-RU"/>
              </w:rPr>
              <w:tab/>
              <w:t>16 500,00</w:t>
            </w:r>
          </w:p>
          <w:p w:rsidR="00D80435" w:rsidRDefault="00D80435">
            <w:pPr>
              <w:tabs>
                <w:tab w:val="clear" w:pos="680"/>
              </w:tabs>
              <w:spacing w:before="20" w:after="80"/>
              <w:ind w:left="851"/>
              <w:rPr>
                <w:sz w:val="20"/>
                <w:lang w:val="ru-RU"/>
              </w:rPr>
            </w:pPr>
            <w:r>
              <w:rPr>
                <w:sz w:val="20"/>
                <w:lang w:val="ru-RU"/>
              </w:rPr>
              <w:t>2002-03</w:t>
            </w:r>
            <w:r>
              <w:rPr>
                <w:sz w:val="20"/>
                <w:lang w:val="ru-RU"/>
              </w:rPr>
              <w:tab/>
            </w:r>
            <w:r>
              <w:rPr>
                <w:sz w:val="20"/>
                <w:lang w:val="ru-RU"/>
              </w:rPr>
              <w:tab/>
              <w:t>22 000,00</w:t>
            </w:r>
          </w:p>
          <w:p w:rsidR="00D80435" w:rsidRDefault="00D80435">
            <w:pPr>
              <w:tabs>
                <w:tab w:val="clear" w:pos="680"/>
              </w:tabs>
              <w:spacing w:before="20" w:after="80"/>
              <w:ind w:left="851"/>
              <w:rPr>
                <w:sz w:val="20"/>
                <w:lang w:val="ru-RU"/>
              </w:rPr>
            </w:pPr>
            <w:r>
              <w:rPr>
                <w:sz w:val="20"/>
                <w:lang w:val="ru-RU"/>
              </w:rPr>
              <w:t>2003-04</w:t>
            </w:r>
            <w:r>
              <w:rPr>
                <w:sz w:val="20"/>
                <w:lang w:val="ru-RU"/>
              </w:rPr>
              <w:tab/>
            </w:r>
            <w:r>
              <w:rPr>
                <w:sz w:val="20"/>
                <w:lang w:val="ru-RU"/>
              </w:rPr>
              <w:tab/>
              <w:t>26 000,00</w:t>
            </w:r>
          </w:p>
          <w:p w:rsidR="00D80435" w:rsidRDefault="00D80435">
            <w:pPr>
              <w:tabs>
                <w:tab w:val="clear" w:pos="680"/>
              </w:tabs>
              <w:spacing w:before="20" w:after="80"/>
              <w:ind w:left="851"/>
              <w:rPr>
                <w:sz w:val="20"/>
                <w:lang w:val="ru-RU"/>
              </w:rPr>
            </w:pPr>
            <w:r>
              <w:rPr>
                <w:sz w:val="20"/>
                <w:lang w:val="ru-RU"/>
              </w:rPr>
              <w:t>2004-05</w:t>
            </w:r>
            <w:r>
              <w:rPr>
                <w:sz w:val="20"/>
                <w:lang w:val="ru-RU"/>
              </w:rPr>
              <w:tab/>
            </w:r>
            <w:r>
              <w:rPr>
                <w:sz w:val="20"/>
                <w:lang w:val="ru-RU"/>
              </w:rPr>
              <w:tab/>
              <w:t>24 000,00</w:t>
            </w:r>
          </w:p>
          <w:p w:rsidR="00D80435" w:rsidRDefault="00D80435">
            <w:pPr>
              <w:spacing w:before="20" w:after="20"/>
              <w:ind w:left="851"/>
              <w:rPr>
                <w:b/>
                <w:sz w:val="20"/>
                <w:lang w:val="ru-RU"/>
              </w:rPr>
            </w:pPr>
            <w:r>
              <w:rPr>
                <w:sz w:val="20"/>
                <w:lang w:val="ru-RU"/>
              </w:rPr>
              <w:t>2005-06</w:t>
            </w:r>
            <w:r>
              <w:rPr>
                <w:sz w:val="20"/>
                <w:lang w:val="ru-RU"/>
              </w:rPr>
              <w:tab/>
            </w:r>
            <w:r>
              <w:rPr>
                <w:sz w:val="20"/>
                <w:lang w:val="ru-RU"/>
              </w:rPr>
              <w:tab/>
              <w:t>39 000,00</w:t>
            </w:r>
          </w:p>
        </w:tc>
        <w:tc>
          <w:tcPr>
            <w:tcW w:w="528" w:type="dxa"/>
            <w:tcBorders>
              <w:top w:val="nil"/>
              <w:bottom w:val="nil"/>
            </w:tcBorders>
          </w:tcPr>
          <w:p w:rsidR="00D80435" w:rsidRDefault="00D80435">
            <w:pPr>
              <w:spacing w:before="20" w:after="20"/>
              <w:rPr>
                <w:b/>
                <w:sz w:val="20"/>
                <w:lang w:val="ru-RU"/>
              </w:rPr>
            </w:pPr>
          </w:p>
        </w:tc>
        <w:tc>
          <w:tcPr>
            <w:tcW w:w="4443" w:type="dxa"/>
          </w:tcPr>
          <w:p w:rsidR="00D80435" w:rsidRDefault="00D80435">
            <w:pPr>
              <w:spacing w:before="20" w:after="20"/>
              <w:jc w:val="left"/>
              <w:rPr>
                <w:sz w:val="20"/>
                <w:lang w:val="ru-RU"/>
              </w:rPr>
            </w:pPr>
            <w:r>
              <w:rPr>
                <w:b/>
                <w:sz w:val="20"/>
                <w:lang w:val="ru-RU"/>
              </w:rPr>
              <w:t>Бюджетные ассигнования на программу социального обеспечения после принятия обязательств по Пекинской платформе действий. Плановые расходы на социальные услуги</w:t>
            </w:r>
          </w:p>
          <w:p w:rsidR="00D80435" w:rsidRDefault="00D80435">
            <w:pPr>
              <w:spacing w:before="20" w:after="20"/>
              <w:rPr>
                <w:sz w:val="20"/>
                <w:lang w:val="ru-RU"/>
              </w:rPr>
            </w:pPr>
            <w:r>
              <w:rPr>
                <w:sz w:val="20"/>
                <w:lang w:val="ru-RU"/>
              </w:rPr>
              <w:t>Год</w:t>
            </w:r>
            <w:r>
              <w:rPr>
                <w:sz w:val="20"/>
                <w:lang w:val="ru-RU"/>
              </w:rPr>
              <w:tab/>
            </w:r>
            <w:r>
              <w:rPr>
                <w:sz w:val="20"/>
                <w:lang w:val="ru-RU"/>
              </w:rPr>
              <w:tab/>
              <w:t>Распределение (%)</w:t>
            </w:r>
          </w:p>
          <w:p w:rsidR="00D80435" w:rsidRDefault="00D80435">
            <w:pPr>
              <w:tabs>
                <w:tab w:val="clear" w:pos="1361"/>
                <w:tab w:val="left" w:pos="1820"/>
              </w:tabs>
              <w:spacing w:before="20" w:after="20"/>
              <w:rPr>
                <w:sz w:val="20"/>
                <w:lang w:val="en-GB"/>
              </w:rPr>
            </w:pPr>
            <w:r>
              <w:rPr>
                <w:sz w:val="20"/>
                <w:lang w:val="en-GB"/>
              </w:rPr>
              <w:t>1997-98</w:t>
            </w:r>
            <w:r>
              <w:rPr>
                <w:sz w:val="20"/>
                <w:lang w:val="en-GB"/>
              </w:rPr>
              <w:tab/>
            </w:r>
            <w:r>
              <w:rPr>
                <w:sz w:val="20"/>
                <w:lang w:val="en-GB"/>
              </w:rPr>
              <w:tab/>
              <w:t>20,7</w:t>
            </w:r>
          </w:p>
          <w:p w:rsidR="00D80435" w:rsidRDefault="00D80435">
            <w:pPr>
              <w:tabs>
                <w:tab w:val="clear" w:pos="1361"/>
                <w:tab w:val="left" w:pos="1820"/>
              </w:tabs>
              <w:spacing w:before="20" w:after="20"/>
              <w:rPr>
                <w:sz w:val="20"/>
                <w:lang w:val="en-GB"/>
              </w:rPr>
            </w:pPr>
            <w:r>
              <w:rPr>
                <w:sz w:val="20"/>
                <w:lang w:val="en-GB"/>
              </w:rPr>
              <w:t>1998-99</w:t>
            </w:r>
            <w:r>
              <w:rPr>
                <w:sz w:val="20"/>
                <w:lang w:val="en-GB"/>
              </w:rPr>
              <w:tab/>
            </w:r>
            <w:r>
              <w:rPr>
                <w:sz w:val="20"/>
                <w:lang w:val="en-GB"/>
              </w:rPr>
              <w:tab/>
              <w:t>25,6</w:t>
            </w:r>
          </w:p>
          <w:p w:rsidR="00D80435" w:rsidRDefault="00D80435">
            <w:pPr>
              <w:tabs>
                <w:tab w:val="clear" w:pos="1361"/>
                <w:tab w:val="left" w:pos="1820"/>
              </w:tabs>
              <w:spacing w:before="20" w:after="20"/>
              <w:rPr>
                <w:sz w:val="20"/>
                <w:lang w:val="en-GB"/>
              </w:rPr>
            </w:pPr>
            <w:r>
              <w:rPr>
                <w:sz w:val="20"/>
                <w:lang w:val="en-GB"/>
              </w:rPr>
              <w:t>1999-00</w:t>
            </w:r>
            <w:r>
              <w:rPr>
                <w:sz w:val="20"/>
                <w:lang w:val="en-GB"/>
              </w:rPr>
              <w:tab/>
            </w:r>
            <w:r>
              <w:rPr>
                <w:sz w:val="20"/>
                <w:lang w:val="en-GB"/>
              </w:rPr>
              <w:tab/>
              <w:t>23,9</w:t>
            </w:r>
          </w:p>
          <w:p w:rsidR="00D80435" w:rsidRDefault="00D80435">
            <w:pPr>
              <w:tabs>
                <w:tab w:val="clear" w:pos="1361"/>
                <w:tab w:val="left" w:pos="1820"/>
              </w:tabs>
              <w:spacing w:before="20" w:after="20"/>
              <w:rPr>
                <w:sz w:val="20"/>
                <w:lang w:val="en-GB"/>
              </w:rPr>
            </w:pPr>
            <w:r>
              <w:rPr>
                <w:sz w:val="20"/>
                <w:lang w:val="en-GB"/>
              </w:rPr>
              <w:t>2000-01</w:t>
            </w:r>
            <w:r>
              <w:rPr>
                <w:sz w:val="20"/>
                <w:lang w:val="en-GB"/>
              </w:rPr>
              <w:tab/>
            </w:r>
            <w:r>
              <w:rPr>
                <w:sz w:val="20"/>
                <w:lang w:val="en-GB"/>
              </w:rPr>
              <w:tab/>
              <w:t>22,0</w:t>
            </w:r>
          </w:p>
          <w:p w:rsidR="00D80435" w:rsidRDefault="00D80435">
            <w:pPr>
              <w:tabs>
                <w:tab w:val="clear" w:pos="1361"/>
                <w:tab w:val="left" w:pos="1820"/>
              </w:tabs>
              <w:spacing w:before="20" w:after="20"/>
              <w:rPr>
                <w:sz w:val="20"/>
                <w:lang w:val="en-GB"/>
              </w:rPr>
            </w:pPr>
            <w:r>
              <w:rPr>
                <w:sz w:val="20"/>
                <w:lang w:val="en-GB"/>
              </w:rPr>
              <w:t>2001-02</w:t>
            </w:r>
            <w:r>
              <w:rPr>
                <w:sz w:val="20"/>
                <w:lang w:val="en-GB"/>
              </w:rPr>
              <w:tab/>
            </w:r>
            <w:r>
              <w:rPr>
                <w:sz w:val="20"/>
                <w:lang w:val="en-GB"/>
              </w:rPr>
              <w:tab/>
              <w:t>24,9</w:t>
            </w:r>
          </w:p>
          <w:p w:rsidR="00D80435" w:rsidRDefault="00D80435">
            <w:pPr>
              <w:tabs>
                <w:tab w:val="clear" w:pos="1361"/>
                <w:tab w:val="left" w:pos="1820"/>
              </w:tabs>
              <w:spacing w:before="20" w:after="20"/>
              <w:rPr>
                <w:sz w:val="20"/>
                <w:lang w:val="en-GB"/>
              </w:rPr>
            </w:pPr>
            <w:r>
              <w:rPr>
                <w:sz w:val="20"/>
                <w:lang w:val="en-GB"/>
              </w:rPr>
              <w:t>2002-03</w:t>
            </w:r>
            <w:r>
              <w:rPr>
                <w:sz w:val="20"/>
                <w:lang w:val="en-GB"/>
              </w:rPr>
              <w:tab/>
            </w:r>
            <w:r>
              <w:rPr>
                <w:sz w:val="20"/>
                <w:lang w:val="en-GB"/>
              </w:rPr>
              <w:tab/>
              <w:t>27,1</w:t>
            </w:r>
          </w:p>
          <w:p w:rsidR="00D80435" w:rsidRDefault="00D80435">
            <w:pPr>
              <w:tabs>
                <w:tab w:val="clear" w:pos="1361"/>
                <w:tab w:val="left" w:pos="1820"/>
              </w:tabs>
              <w:spacing w:before="20" w:after="20"/>
              <w:rPr>
                <w:sz w:val="20"/>
                <w:lang w:val="en-GB"/>
              </w:rPr>
            </w:pPr>
            <w:r>
              <w:rPr>
                <w:sz w:val="20"/>
                <w:lang w:val="en-GB"/>
              </w:rPr>
              <w:t>2003-04</w:t>
            </w:r>
            <w:r>
              <w:rPr>
                <w:sz w:val="20"/>
                <w:lang w:val="en-GB"/>
              </w:rPr>
              <w:tab/>
            </w:r>
            <w:r>
              <w:rPr>
                <w:sz w:val="20"/>
                <w:lang w:val="en-GB"/>
              </w:rPr>
              <w:tab/>
              <w:t>27,3</w:t>
            </w:r>
          </w:p>
          <w:p w:rsidR="00D80435" w:rsidRDefault="00D80435">
            <w:pPr>
              <w:tabs>
                <w:tab w:val="clear" w:pos="1361"/>
                <w:tab w:val="left" w:pos="1820"/>
              </w:tabs>
              <w:spacing w:before="20" w:after="20"/>
              <w:rPr>
                <w:sz w:val="20"/>
                <w:lang w:val="en-GB"/>
              </w:rPr>
            </w:pPr>
            <w:r>
              <w:rPr>
                <w:sz w:val="20"/>
                <w:lang w:val="en-GB"/>
              </w:rPr>
              <w:t>2004-05</w:t>
            </w:r>
            <w:r>
              <w:rPr>
                <w:sz w:val="20"/>
                <w:lang w:val="en-GB"/>
              </w:rPr>
              <w:tab/>
            </w:r>
            <w:r>
              <w:rPr>
                <w:sz w:val="20"/>
                <w:lang w:val="en-GB"/>
              </w:rPr>
              <w:tab/>
              <w:t>23,3</w:t>
            </w:r>
          </w:p>
          <w:p w:rsidR="00D80435" w:rsidRDefault="00D80435">
            <w:pPr>
              <w:spacing w:before="20" w:after="20"/>
              <w:rPr>
                <w:sz w:val="20"/>
                <w:lang w:val="en-GB"/>
              </w:rPr>
            </w:pPr>
          </w:p>
          <w:p w:rsidR="00D80435" w:rsidRDefault="00D80435">
            <w:pPr>
              <w:spacing w:before="20" w:after="20"/>
              <w:rPr>
                <w:b/>
                <w:sz w:val="16"/>
                <w:lang w:val="en-GB"/>
              </w:rPr>
            </w:pPr>
            <w:r>
              <w:rPr>
                <w:i/>
                <w:sz w:val="16"/>
                <w:lang w:val="ru-RU"/>
              </w:rPr>
              <w:t>Источник</w:t>
            </w:r>
            <w:r>
              <w:rPr>
                <w:sz w:val="16"/>
                <w:lang w:val="en-GB"/>
              </w:rPr>
              <w:t xml:space="preserve">: </w:t>
            </w:r>
            <w:r>
              <w:rPr>
                <w:sz w:val="16"/>
              </w:rPr>
              <w:t>Economic</w:t>
            </w:r>
            <w:r>
              <w:rPr>
                <w:sz w:val="16"/>
                <w:lang w:val="en-GB"/>
              </w:rPr>
              <w:t xml:space="preserve"> </w:t>
            </w:r>
            <w:r>
              <w:rPr>
                <w:sz w:val="16"/>
              </w:rPr>
              <w:t>Survey</w:t>
            </w:r>
            <w:r>
              <w:rPr>
                <w:sz w:val="16"/>
                <w:lang w:val="en-GB"/>
              </w:rPr>
              <w:t xml:space="preserve"> 2004-05 </w:t>
            </w:r>
            <w:r>
              <w:rPr>
                <w:sz w:val="16"/>
              </w:rPr>
              <w:t>ST</w:t>
            </w:r>
            <w:r>
              <w:rPr>
                <w:sz w:val="16"/>
                <w:lang w:val="en-GB"/>
              </w:rPr>
              <w:t xml:space="preserve"> 23.3.</w:t>
            </w:r>
          </w:p>
        </w:tc>
      </w:tr>
    </w:tbl>
    <w:p w:rsidR="00D80435" w:rsidRDefault="00D80435">
      <w:pPr>
        <w:rPr>
          <w:b/>
          <w:lang w:val="en-GB"/>
        </w:rPr>
      </w:pPr>
    </w:p>
    <w:p w:rsidR="00D80435" w:rsidRDefault="00D80435">
      <w:pPr>
        <w:pStyle w:val="BodyText3"/>
        <w:spacing w:before="120"/>
      </w:pPr>
      <w:r>
        <w:t>Реформы законодательства в целях содействия обеспечению равенства и прав человека женщин (пункты 58 и 59 заключительных замечаний)</w:t>
      </w:r>
    </w:p>
    <w:p w:rsidR="00D80435" w:rsidRDefault="00D80435">
      <w:pPr>
        <w:spacing w:after="360"/>
        <w:rPr>
          <w:lang w:val="ru-RU"/>
        </w:rPr>
      </w:pPr>
      <w:r>
        <w:rPr>
          <w:lang w:val="ru-RU"/>
        </w:rPr>
        <w:t>3.</w:t>
      </w:r>
      <w:r>
        <w:rPr>
          <w:lang w:val="ru-RU"/>
        </w:rPr>
        <w:tab/>
        <w:t xml:space="preserve">Конституция гарантирует равноправие и запрещает дискриминацию по признаку пола. В соответствии с этой политикой правительство приняло целый ряд законов. Идет постоянный процесс пересмотра дискриминационных законодательных положений. Национальная комиссия по делам женщин, Департамент развития женщин и детей и Парламентский комитет по расширению прав и возможностей женщин изучили различные законы и рекомендовали внести поправки во многие из них в целях содействия обеспечению равенства и исправления дискриминационных положений (статья 1, пункт 36). Законодательные реформы были определены премьер-министром как одна из приоритетных сфер. В мае 2005 года был учрежден Межминистерский комитет, включающий в свой состав Национальную комиссию по делам женщин и неправительственные организации, работающие в этой области, с целью обзора существующего законодательства для решения проблемы дискриминации и обеспечения равноправия женщин. </w:t>
      </w:r>
    </w:p>
    <w:p w:rsidR="00D80435" w:rsidRDefault="00D80435">
      <w:pPr>
        <w:spacing w:before="320"/>
        <w:jc w:val="left"/>
        <w:rPr>
          <w:b/>
          <w:lang w:val="ru-RU"/>
        </w:rPr>
      </w:pPr>
      <w:r>
        <w:rPr>
          <w:b/>
          <w:lang w:val="ru-RU"/>
        </w:rPr>
        <w:t xml:space="preserve">Единый гражданский кодекс и персональное законодательство (пункты 60 и 61 заключительных замечаний) </w:t>
      </w:r>
    </w:p>
    <w:p w:rsidR="00D80435" w:rsidRDefault="00D80435">
      <w:pPr>
        <w:rPr>
          <w:lang w:val="ru-RU"/>
        </w:rPr>
      </w:pPr>
      <w:r>
        <w:rPr>
          <w:lang w:val="ru-RU"/>
        </w:rPr>
        <w:t>4.</w:t>
      </w:r>
      <w:r>
        <w:rPr>
          <w:b/>
          <w:lang w:val="ru-RU"/>
        </w:rPr>
        <w:tab/>
      </w:r>
      <w:r>
        <w:rPr>
          <w:lang w:val="ru-RU"/>
        </w:rPr>
        <w:t xml:space="preserve">Индия – светское государство с широким разнообразием культур и религий, которое с уважением относится к мировоззрениям всех своих общин, базирующимся на религии, языке и географическом местоположении. Конституция Индии (статья 44) налагает на государственную власть обязанность обеспечить гражданам единый гражданский кодекс. Верховный суд в нескольких своих решениях отметил необходимость принятия единого гражданского кодекса в целях ликвидации дискриминационных положений законов в отношении групп населения, исповедующих одну религию, и групп внутри одной религии. Центральное правительство придерживается мнения, что страна не готова к применению единого гражданского кодекса в отношении разнородных групп населения. Однако правительство в настоящее время предпринимает попытки рассмотреть каждый из персональных законов в отдельности, чтобы сделать их справедливыми в гендерном плане путем аннулирования дискриминационных положений. Это – шаг вперед на пути к достижению равенства между мужчинами и женщинами и принятия единого гражданского кодекса. В своей Национальной политике по расширению прав и возможностей женщин 2001 года правительство обязалось стимулировать внесение изменений в персональные законы, в частности, касающиеся брака, развода, алиментов и опеки, в целях ликвидации дискриминации в отношении женщин, с учетом мнений и в полном взаимодействии со всеми заинтересованными сторонами, включая руководство общин и религиозных лидеров. </w:t>
      </w:r>
    </w:p>
    <w:p w:rsidR="00D80435" w:rsidRDefault="00D80435">
      <w:pPr>
        <w:spacing w:after="300"/>
        <w:rPr>
          <w:lang w:val="ru-RU"/>
        </w:rPr>
      </w:pPr>
      <w:r>
        <w:rPr>
          <w:lang w:val="ru-RU"/>
        </w:rPr>
        <w:t>5.</w:t>
      </w:r>
      <w:r>
        <w:rPr>
          <w:lang w:val="ru-RU"/>
        </w:rPr>
        <w:tab/>
        <w:t>В соответствии с этой политикой были внесены поправки во многие персональные законы. Например, в 2001 году поправки были внесены в христианский закон, а индусский закон находится в процессе рассмотрения. Правительством были предприняты шаги по началу диалога с руководителями и религиозными лидерами всех общин с целью уменьшения гендерного неравноправия. Например, ЮНФПА, национальное правительство и правительства штатов, НПО, религиозные лидеры и корпоративный сектор объединились в коалицию по разъяснительной работе с целью предотвращения случаев селективных абортов с целью выбора пола ребенка. Есть надежда на то, что недавние решения Верховного суда об алиментах для женщин-мусульманок по делу Даниалы Латиф (</w:t>
      </w:r>
      <w:r>
        <w:t>AIR</w:t>
      </w:r>
      <w:r>
        <w:rPr>
          <w:lang w:val="ru-RU"/>
        </w:rPr>
        <w:t xml:space="preserve"> 2001 </w:t>
      </w:r>
      <w:r>
        <w:t>SC</w:t>
      </w:r>
      <w:r>
        <w:rPr>
          <w:lang w:val="ru-RU"/>
        </w:rPr>
        <w:t xml:space="preserve"> 1274) и в определении по ритуалу "тройной талак" (развод) в деле "Шаминар против штата Уттар-Прадеш" [(2002) 7 </w:t>
      </w:r>
      <w:r>
        <w:t>SCC</w:t>
      </w:r>
      <w:r>
        <w:rPr>
          <w:lang w:val="ru-RU"/>
        </w:rPr>
        <w:t xml:space="preserve"> 518] будут способствовать изменению общественного мнения в отношении выплаты содержания разведенным женщинам-мусульманкам и в отношении того, как должен заявляться "тройной талак" для того, чтобы быть правомерным с точки зрения суда. (У мусульман мужчина имеет право развестись со своей женой трижды произнеся слово "талак"). Недавно состоялась общенациональная дискуссия по ритуалу "тройной талак", а в июле 2004 года религиозные лидеры, входящие в Совет по мусульманскому персональному праву, провели встречу для обсуждения того, как должен заявляться "тройной талак", и для утверждения формы "никханама" (брачный договор). Религиозные лидеры постановили изучить общественное мнение в своих общинах по этим вопросам. 29 октября 2004 года Всеиндийский совет по мусульманскому персональному праву предложил основные положения для заключения типового брака, в которых произнесение три раза слова "талак" без весомой причины объявляется "тяжким грехом", а супругам рекомендуется прибегнуть к посредничеству, перед тем как начинать "талак". В апреле 2005 года Совет одобрил типовой брачный договор "никханама" и высказал мнение, что следует разубеждать мужчин произносить фразу "талак" и разводиться с женой. Правительство надеется, что эти инициативы в конечном счете приведут к благоприятным для женщин переменам во всех общинах. </w:t>
      </w:r>
    </w:p>
    <w:p w:rsidR="00D80435" w:rsidRDefault="00D80435">
      <w:pPr>
        <w:jc w:val="left"/>
        <w:rPr>
          <w:b/>
          <w:lang w:val="ru-RU"/>
        </w:rPr>
      </w:pPr>
      <w:r>
        <w:rPr>
          <w:b/>
          <w:lang w:val="ru-RU"/>
        </w:rPr>
        <w:t xml:space="preserve">Регистрация новорожденных и браков, оговорки и заявления (пункты 62, 63 заключительных замечаний) </w:t>
      </w:r>
    </w:p>
    <w:p w:rsidR="00D80435" w:rsidRDefault="00D80435">
      <w:pPr>
        <w:rPr>
          <w:lang w:val="ru-RU"/>
        </w:rPr>
      </w:pPr>
      <w:r>
        <w:rPr>
          <w:lang w:val="ru-RU"/>
        </w:rPr>
        <w:t>6.</w:t>
      </w:r>
      <w:r>
        <w:rPr>
          <w:lang w:val="ru-RU"/>
        </w:rPr>
        <w:tab/>
        <w:t>Как отмечено в Первоначальном докладе, Индия ратифицировала Конвенцию с двумя декларативными заявлениями по статьям 5 </w:t>
      </w:r>
      <w:r>
        <w:t>a</w:t>
      </w:r>
      <w:r>
        <w:rPr>
          <w:lang w:val="ru-RU"/>
        </w:rPr>
        <w:t xml:space="preserve">) и пунктам 1 и 2 статьи 16 Конвенции. Однако эти оговорки и заявления в настоящее время пересматриваются. </w:t>
      </w:r>
    </w:p>
    <w:p w:rsidR="00D80435" w:rsidRDefault="00D80435">
      <w:pPr>
        <w:rPr>
          <w:lang w:val="ru-RU"/>
        </w:rPr>
      </w:pPr>
      <w:r>
        <w:rPr>
          <w:lang w:val="ru-RU"/>
        </w:rPr>
        <w:t>7.</w:t>
      </w:r>
      <w:r>
        <w:rPr>
          <w:lang w:val="ru-RU"/>
        </w:rPr>
        <w:tab/>
        <w:t xml:space="preserve">Национальная политика в области народонаселения, принятая в 2000 году правительством Индии, поставила цель достичь к 2010 году 100-процентной регистрации новорожденных и умерших. Закон о регистрации новорожденных и умерших 1969 года предусматривает комплексную систему регистрации по всей стране и вменяет в обязанность медицинским учреждениям, родильным домам и т. д. уведомлять о произошедших в их стенах случаях рождения или смерти соответствующее Управление записи актов гражданского состояния для их регистрации. В случае свершения события на дому глава семьи отвечает за представление сообщения о случившемся. Законом также предусматривается ответственность определенных лиц в плане уведомления Управления ЗАГС о таких случаях. На сегодняшний день завершен начатый в 1999 году процесс реорганизации системы регистрации в стране, предусматривавший изменение регистрационных форм и процедур в целях упрощения процесса регистрации. Результатом этого стало упрощение и ускорение процесса получения ежемесячных докладов от Управлений ЗАГС штатов. Правительства штатов сформулировали правила в соответствии с Законом о регистрации новорожденных и умерших, предусмотрев процедуры регистрации актов гражданского состояния, а во многих штатах эти правила были упрощены. </w:t>
      </w:r>
    </w:p>
    <w:p w:rsidR="00D80435" w:rsidRDefault="00D80435">
      <w:pPr>
        <w:rPr>
          <w:lang w:val="ru-RU"/>
        </w:rPr>
      </w:pPr>
      <w:r>
        <w:rPr>
          <w:lang w:val="ru-RU"/>
        </w:rPr>
        <w:t>8.</w:t>
      </w:r>
      <w:r>
        <w:rPr>
          <w:lang w:val="ru-RU"/>
        </w:rPr>
        <w:tab/>
        <w:t xml:space="preserve">Хотя не существует национального законодательства об обязательной регистрации браков, некоторые штаты предпринимают попытки ввести такую обязательную регистрацию с помощью законов либо указов. Как отмечено в Первоначальном докладе, в Индии имеются различные персональные законы, касающиеся гражданских и супружеских прав, и при этом не существует единого закона о регистрации браков. Однако некоторыми персональными законами предусматривается регистрация браков. Специальный закон о бракосочетании 1956 года предусматривает обязательную регистрацию браков, и в соответствии с ним брак должен быть зарегистрирован вне зависимости от религии. Индийский закон о христианском браке 1936 года требует церковной регистрации брака. Закон о браке и разводе парсов 1936 года также предусматривает регистрацию браков. Что касается мусульман, то бракосочетание для них является "контрактом" и обычно сводится к процедуре "никханама" (брачного договора). Индусский Закон о браке 1955 года также предусматривает регистрацию браков, однако это не является обязательным. Согласно семейному законодательству штата Гоа регистрация брака является обязательной. В нем есть положение о наказании Управления ЗАГС за регистрацию брака с нарушением положений гражданского кодекса, что повышает меру ответственности должностных лиц. Кроме того, некоторые правительства штатов приняли законы о регистрации браков, например в штатах Андхра-Прадеш, Махараштра, Карнатака, Химачал-Прадеш. Штат Уттар-Прадеш в своей Политике в области народонаселения 2002 года придерживался правила обязательной регистрации браков и привлек "панчаяты" (местные советы) к обеспечению исполнения этих правил. Проблема регистрации браков привлекла внимание Верховного суда в деле "Сима против Ашвини Кумар" (2005 </w:t>
      </w:r>
      <w:r>
        <w:t>AIR</w:t>
      </w:r>
      <w:r>
        <w:rPr>
          <w:lang w:val="ru-RU"/>
        </w:rPr>
        <w:t xml:space="preserve"> </w:t>
      </w:r>
      <w:r>
        <w:t>SCW</w:t>
      </w:r>
      <w:r>
        <w:rPr>
          <w:lang w:val="ru-RU"/>
        </w:rPr>
        <w:t xml:space="preserve"> 2939), когда он предложил правительству издать директивные указания различным штатам и союзным территориям уполномочить конкретных должностных лиц вести запись браков до принятия надлежащего законодательства. Правительство в настоящее время обобщает мнения, высказанные правительствами различных штатов по вышеуказанному предложению. </w:t>
      </w:r>
    </w:p>
    <w:p w:rsidR="00D80435" w:rsidRDefault="00D80435">
      <w:pPr>
        <w:rPr>
          <w:lang w:val="ru-RU"/>
        </w:rPr>
      </w:pPr>
      <w:r>
        <w:rPr>
          <w:lang w:val="ru-RU"/>
        </w:rPr>
        <w:t>9.</w:t>
      </w:r>
      <w:r>
        <w:rPr>
          <w:lang w:val="ru-RU"/>
        </w:rPr>
        <w:tab/>
        <w:t>Парламентский комитет по расширению прав и возможностей женщин в своем 5-м Докладе, представленном парламенту 3 декабря 2001 года, рекомендовал правительству ввести обязательную регистрацию браков для предотвращения двоеженства. Правительство также одобрило рекомендацию внести поправки в Индусский закон о браке и сделать регистрацию браков обязательной. Правительство в своей Национальной политике по расширению прав и возможностей женщин 2001 года взяло обязательство к 2010 году ввести обязательную регистрацию браков, чтобы исключить возможность браков малолетних детей. Национальная комиссия по делам женщин в настоящее время работает над проектом закона об обязательной регистрации браков.</w:t>
      </w:r>
    </w:p>
    <w:p w:rsidR="00D80435" w:rsidRDefault="00D80435">
      <w:pPr>
        <w:rPr>
          <w:lang w:val="ru-RU"/>
        </w:rPr>
      </w:pPr>
      <w:r>
        <w:rPr>
          <w:lang w:val="ru-RU"/>
        </w:rPr>
        <w:t>10.</w:t>
      </w:r>
      <w:r>
        <w:rPr>
          <w:lang w:val="ru-RU"/>
        </w:rPr>
        <w:tab/>
        <w:t xml:space="preserve">Однако в отношении пункта 1 статьи 16 правительство заявляет, что на настоящий момент оно сохраняет приверженность своей Национальной политике по расширению прав и возможностей женщин, принятой в 2001 году. Эта политика нацелена на стимулирование изменений в персональном законодательстве, в частности законах, относящихся к браку, разводу, алиментам и опеке, с тем чтобы ликвидировать дискриминацию в отношении женщин. Эта работа будет проводиться по инициативе и с участием всех заинтересованных сторон, включая руководство общин и религиозных лидеров. Таким образом, вопрос об отзыве заявления будет рассмотрен в будущем. </w:t>
      </w:r>
    </w:p>
    <w:p w:rsidR="00D80435" w:rsidRDefault="00D80435">
      <w:pPr>
        <w:jc w:val="left"/>
        <w:rPr>
          <w:b/>
          <w:lang w:val="ru-RU"/>
        </w:rPr>
      </w:pPr>
      <w:r>
        <w:rPr>
          <w:b/>
          <w:lang w:val="ru-RU"/>
        </w:rPr>
        <w:t xml:space="preserve">Правительству необходимо включить в законодательство соответствующие положения, регламентирующие обязательный характер начального и среднего образования, </w:t>
      </w:r>
      <w:r>
        <w:rPr>
          <w:b/>
          <w:lang w:val="ru-RU"/>
        </w:rPr>
        <w:br/>
        <w:t xml:space="preserve">и обеспечить их соблюдение (пункты 64, 65 заключительных замечаний) </w:t>
      </w:r>
    </w:p>
    <w:p w:rsidR="00D80435" w:rsidRDefault="00D80435">
      <w:pPr>
        <w:spacing w:after="300"/>
        <w:rPr>
          <w:lang w:val="ru-RU"/>
        </w:rPr>
      </w:pPr>
      <w:r>
        <w:rPr>
          <w:lang w:val="ru-RU"/>
        </w:rPr>
        <w:t>11.</w:t>
      </w:r>
      <w:r>
        <w:rPr>
          <w:lang w:val="ru-RU"/>
        </w:rPr>
        <w:tab/>
        <w:t xml:space="preserve">Недавно принятая 86-я поправка к Конституции провозгласила бесплатное и обязательное образование основополагающим правом детей в возрасте от 6 до 14 лет. К 2010 году с помощью программы Сарва Шикша Абхиян, разработанной в целях достижения всеобщего начального образования, начальное образование получат все дети в возрастной группе 6–14 лет. Для поощрения девочек к продолжению образования после окончания начальной школы многие штаты сделали обучение девочек в старших классах средней школы бесплатным. Последовательные усилия в области образования требуют дополнительных средств, и финансирование на цели образования в 10-м Плане (2002–2007 годы) было увеличено до 43 825 млн. рупий против 24 908,4 млн. рупий в период осуществления 9-го Плана. Это означает увеличение финансирования на 72 процента. Расходы на образование в процентном отношении к ВВП в период 2000–2001 годов выросли до 4,27 процента. Правительство в своем годовом бюджете на 2004–2005 годы ввело особый 2-процентный налог на образование для выполнения обязательств правительства по введению всеобщего качественного начального образования. Правительство обязалось выделять на цели образования 6 процентов от ВВП из государственных и частных источников. Если учесть частные инвестиции в этом секторе, общий объем расходов на образование будет весьма близок к намеченному показателю в 6 процентов от ВВП. </w:t>
      </w:r>
    </w:p>
    <w:p w:rsidR="00D80435" w:rsidRDefault="00D80435">
      <w:pPr>
        <w:jc w:val="left"/>
        <w:rPr>
          <w:b/>
          <w:lang w:val="ru-RU"/>
        </w:rPr>
      </w:pPr>
      <w:r>
        <w:rPr>
          <w:b/>
          <w:lang w:val="ru-RU"/>
        </w:rPr>
        <w:t xml:space="preserve">Закон о дискриминации по признаку пола и применение стандартов, закрепленных в Конвенции и Конституции, к негосударственным субъектам (пункты 66, 67 заключительных замечаний) </w:t>
      </w:r>
    </w:p>
    <w:p w:rsidR="00D80435" w:rsidRDefault="00D80435">
      <w:pPr>
        <w:rPr>
          <w:lang w:val="ru-RU"/>
        </w:rPr>
      </w:pPr>
      <w:r>
        <w:rPr>
          <w:lang w:val="ru-RU"/>
        </w:rPr>
        <w:t>12.</w:t>
      </w:r>
      <w:r>
        <w:rPr>
          <w:lang w:val="ru-RU"/>
        </w:rPr>
        <w:tab/>
        <w:t xml:space="preserve">Правительство до настоящего времени не приняло отдельного закона, а именно закона о борьбе с дискриминацией. Однако многие из имеющихся законов реально обеспечивают запрещение дискриминации. Частный сектор также выполняет эти законы. Закон о минимальной оплате труда 1926 года предусматривает минимальные ставки заработной платы для неквалифицированных и полуквалифицированных работников и других категорий наемных работников, занятых на сдельных работах, включая строителей, рабочих, прокладчиков линий электропередачи, кабелей, водопроводов и канализационных труб и т. д. Закон о равном вознаграждении за труд 1976 года гарантирует равную плату за равноценный труд, в том числе женщинам. Наряду с этим, различные трудовые законы, например Закон о заводах и фабриках 1948 года, Закон о работниках плантаций 1951 года, Закон о контрактных работниках (регулирование и отмена) 1970 года, Закон о пособии по беременности и родам 1964 года, Закон об (условиях труда) работников предприятий табачной промышленности 1966 года, предоставляют особые условия женщинам-работницам, которые применимы также и к частному сектору. Закон о занятости в промышленности (правила внутреннего распорядка) 1946 года, применимый к частному сектору, предусматривает, что сексуальные домогательства на рабочем месте являются проступком, за который работник подлежит дисциплинарному наказанию. Закон о государственном страховании служащих 1948 года гарантирует медицинское обслуживание и социальное вспомоществование работникам, получающим заработную плату ниже определенного фиксированного минимума, а сфера действия Закона о резервном фонде служащих 1952 года также охватывает частный сектор. </w:t>
      </w:r>
    </w:p>
    <w:p w:rsidR="00D80435" w:rsidRDefault="00D80435">
      <w:pPr>
        <w:rPr>
          <w:lang w:val="ru-RU"/>
        </w:rPr>
      </w:pPr>
      <w:r>
        <w:rPr>
          <w:lang w:val="ru-RU"/>
        </w:rPr>
        <w:t>13.</w:t>
      </w:r>
      <w:r>
        <w:rPr>
          <w:lang w:val="ru-RU"/>
        </w:rPr>
        <w:tab/>
        <w:t xml:space="preserve">Работники неорганизованного сектора экономики, составляющие 93 процента от общей рабочей силы страны, не получают социальных пособий, в отличие от работников в организованном секторе. По имеющимся оценкам, из общей численности женской рабочей силы Индии свыше 90 процентов работают в неорганизованном секторе. Для решения этой проблемы правительство недавно ввело в действие План социального обеспечения работников неорганизованных отраслей, охватывающий работников неорганизованного сектора, получающих менее 6500 рупий в месяц. Резервный фонд служащих руководит этим полностью финансируемым государством планом, который обеспечивает тройную выгоду: пенсию, индивидуальное страхование от несчастного случая и медицинское страхование. </w:t>
      </w:r>
    </w:p>
    <w:p w:rsidR="00D80435" w:rsidRDefault="00D80435">
      <w:pPr>
        <w:spacing w:after="380"/>
        <w:rPr>
          <w:lang w:val="ru-RU"/>
        </w:rPr>
      </w:pPr>
      <w:r>
        <w:rPr>
          <w:lang w:val="ru-RU"/>
        </w:rPr>
        <w:t>14.</w:t>
      </w:r>
      <w:r>
        <w:rPr>
          <w:lang w:val="ru-RU"/>
        </w:rPr>
        <w:tab/>
        <w:t xml:space="preserve">Осуществление многих законов о труде и социальном обеспечении оказывается затруднительным в надомном/неформальном секторе, так как в этом случае сложно проследить за отношениями между работодателем и работником. Центральное правительство планирует внести законопроект о работниках неорганизованного сектора, в соответствии с которым предлагается ввести регулирование условий найма и труда, а также обеспечить безопасные условия труда, социальное страхование, охрану здоровья и улучшение бытовых условий. Он включает много специальных положений, например об отпуске по беременности и родам, яслях и равной оплате труда женщин. Претворение в жизнь стандартов Конвенции о ликвидации всех форм дискриминации в отношении женщин в бытовой сфере и в частном секторе остается проблемой, которую предстоит решать. </w:t>
      </w:r>
    </w:p>
    <w:p w:rsidR="00D80435" w:rsidRDefault="00D80435">
      <w:pPr>
        <w:rPr>
          <w:b/>
          <w:lang w:val="ru-RU"/>
        </w:rPr>
      </w:pPr>
      <w:r>
        <w:rPr>
          <w:b/>
          <w:lang w:val="ru-RU"/>
        </w:rPr>
        <w:t>Насилие в отношении женщин (пункты 68, 69, 70 заключительных замечаний)</w:t>
      </w:r>
    </w:p>
    <w:p w:rsidR="00D80435" w:rsidRDefault="00D80435">
      <w:pPr>
        <w:rPr>
          <w:lang w:val="ru-RU"/>
        </w:rPr>
      </w:pPr>
      <w:r>
        <w:rPr>
          <w:lang w:val="ru-RU"/>
        </w:rPr>
        <w:t>15.</w:t>
      </w:r>
      <w:r>
        <w:rPr>
          <w:lang w:val="ru-RU"/>
        </w:rPr>
        <w:tab/>
        <w:t xml:space="preserve">Сравнительный анализ данных о преступлениях, совершаемых в отношении женщин, с общей статистикой преступлений в Индии показал, что число преступлений в отношении женщин возросло с 135 771 в 1999 году до 140 601 в 2003 году. Однако в процентном отношении доля этих преступлений незначительно снизилась – с 2,76 процента в 1999 году до 2,56 процента в 2003 году. Увеличение числа зарегистрированных преступлений связано с тем, что растущая правовая осведомленность открыла людям доступ к системе правосудия. Для борьбы с насилием на вооружение были взяты стратегии, действующие в четырех направлениях, а именно: </w:t>
      </w:r>
      <w:r>
        <w:rPr>
          <w:lang w:val="ru-RU"/>
        </w:rPr>
        <w:br/>
      </w:r>
      <w:r>
        <w:t>a</w:t>
      </w:r>
      <w:r>
        <w:rPr>
          <w:lang w:val="ru-RU"/>
        </w:rPr>
        <w:t xml:space="preserve">) законодательные инициативы; </w:t>
      </w:r>
      <w:r>
        <w:t>b</w:t>
      </w:r>
      <w:r>
        <w:rPr>
          <w:lang w:val="ru-RU"/>
        </w:rPr>
        <w:t xml:space="preserve">) профессиональная подготовка и повышение информированности; </w:t>
      </w:r>
      <w:r>
        <w:t>c</w:t>
      </w:r>
      <w:r>
        <w:rPr>
          <w:lang w:val="ru-RU"/>
        </w:rPr>
        <w:t xml:space="preserve">) служба поддержки с помощью центра психологической помощи и реабилитации и групп по борьбе с преступлениями в отношении женщин; контроль над осуществлением программ сокращения нищеты, расширение возможностей образования для девочек, превентивные меры со стороны правоохранительных органов с участием неправительственных организаций; и </w:t>
      </w:r>
      <w:r>
        <w:t>d</w:t>
      </w:r>
      <w:r>
        <w:rPr>
          <w:lang w:val="ru-RU"/>
        </w:rPr>
        <w:t xml:space="preserve">) деятельность в социальной сфере, как, например, стимулирование НПО к формированию общественного мнения в отношении деятельности правоохранительных органов, женские группы самопомощи, организация "недель пропаганды гендерной проблематики" и т. д. В 14 штатах были созданы полицейские участки, где работают только женщины, чтобы облегчить представление сообщений о преступлениях против женщин. В полицейских участках были созданы "горячие телефонные линии" для приема звонков о случаях насилия в отношении женщин и принятия последующих мер. Также при полицейских участках были организованы "бюро добровольческих действий" и центры семейного консультирования, предоставляющие консультативные и реабилитационные услуги женщинам и детям, ставшим жертвами семейных неурядиц. Были созданы специальные судебные инстанции, в частности суды по семейным делам и суды ускоренной процедуры, а некоторые суды – исключительно для рассмотрения преступлений в отношении женщин. Периодически проводится информационно-просветительная работа по гендерной проблематике среди сотрудников правоохранительных органов, в частности полиции и судебных инстанций. </w:t>
      </w:r>
    </w:p>
    <w:p w:rsidR="00D80435" w:rsidRDefault="00D80435">
      <w:pPr>
        <w:spacing w:after="120"/>
        <w:rPr>
          <w:lang w:val="ru-RU"/>
        </w:rPr>
      </w:pPr>
      <w:r>
        <w:rPr>
          <w:lang w:val="ru-RU"/>
        </w:rPr>
        <w:t>16.</w:t>
      </w:r>
      <w:r>
        <w:rPr>
          <w:lang w:val="ru-RU"/>
        </w:rPr>
        <w:tab/>
        <w:t xml:space="preserve">Национальная политика по расширению прав и возможностей женщин 2001 года преследует цель рассмотреть вопросы, касающиеся всех форм насилия в отношении женщин, физического и психологического характера, на бытовом и общественном уровне, включая те, которые проистекают из обычаев, традиций или принятой практики, с целью их ликвидации. Она также предусматривает создание новых и укрепление существующих институтов и механизмов для предотвращения такого насилия, включая сексуальное домогательство на рабочем месте и такие обычаи, как требование приданого, а также для реабилитации жертв насилия, принятия эффективных акций против правонарушителей в этой области и специальных мер по искоренению торговли женщинами и детьми. </w:t>
      </w:r>
    </w:p>
    <w:p w:rsidR="00D80435" w:rsidRDefault="00D80435">
      <w:pPr>
        <w:spacing w:after="120"/>
        <w:jc w:val="left"/>
        <w:rPr>
          <w:b/>
          <w:lang w:val="ru-RU"/>
        </w:rPr>
      </w:pPr>
      <w:r>
        <w:rPr>
          <w:b/>
          <w:lang w:val="ru-RU"/>
        </w:rPr>
        <w:t xml:space="preserve">Закон (специальные положения) о вооруженных силах (пункты 71, 72 заключительных замечаний) </w:t>
      </w:r>
    </w:p>
    <w:p w:rsidR="00D80435" w:rsidRDefault="00D80435">
      <w:pPr>
        <w:spacing w:after="120"/>
        <w:rPr>
          <w:b/>
          <w:lang w:val="ru-RU"/>
        </w:rPr>
      </w:pPr>
      <w:r>
        <w:rPr>
          <w:lang w:val="ru-RU"/>
        </w:rPr>
        <w:t>17.</w:t>
      </w:r>
      <w:r>
        <w:rPr>
          <w:lang w:val="ru-RU"/>
        </w:rPr>
        <w:tab/>
        <w:t xml:space="preserve">Закон об (особых полномочиях) вооруженных сил 1958 годы был принят в условиях, когда Индия столкнулась с острейшей ситуацией нарушения законности и правопорядка в результате действий повстанцев в приграничных районах на востоке Индии. Территориально сфера действия этого законодательства ограничена рядом приграничных штатов и территорий на восточной границе. Этот закон оговаривает, что его положения вступят в силу только в тех районах, которые объявлены "беспокойными районами" губернатором, который является верховной гражданской властью и по конституции – главой соответствующего индийского штата. Наделяя высший орган власти штата правоспособностью объявлять какой-либо район "беспокойным районом", закон обеспечивает серьезную защиту против любого возможного злоупотребления властью при использовании полномочий по этому закону. Обоснованность и добросовестность использования полномочий в этом отношении может быть в любой момент подвергнута судебному контролю. Особые полномочия по этому закону могут осуществляться только в определенных ситуациях, а именно: разгон незаконного сборища, запрещение населению носить оружие, уничтожение складов оружия, обыск и конфискация, арест лиц, подозреваемых в совершении подсудных правонарушений. Более того, законом особо оговаривается, что как только служащий вооруженных сил арестовал и взял под стражу какое-либо лицо, оно должно быть передано в ближайший полицейский участок для обеспечения того, чтобы ему были предоставлены обычные права арестованного в соответствии с положениями Конституции и Уголовно-процессуального кодекса. Таким образом, особые полномочия армейских офицеров ограничены этапом производства ареста. Им был предоставлен определенный иммунитет, чтобы избежать гражданских и уголовных дел, которые могут быть возбуждены против них с целью причинить беспокойство, досадить и помешать надлежащему исполнению этими офицерами своих служебных обязанностей. Все гражданские правонарушения, допущенные военным персоналом в ходе борьбы с повстанческим движением, согласно Закону о вооруженных силах подлежат немедленному разбирательству, и виновные предаются правосудию. Армия опубликовала всеобъемлющие правила разрешенных и запрещенных действий для находящегося в таких зонах военного персонала, которые были одобрены Верховным судом по результатам рассмотрения дела "Движение народностей нага за права человека против Индийского союза" (1998 </w:t>
      </w:r>
      <w:r>
        <w:t>SCC</w:t>
      </w:r>
      <w:r>
        <w:rPr>
          <w:lang w:val="ru-RU"/>
        </w:rPr>
        <w:t xml:space="preserve"> 109). На практике центральное правительство выдает санкцию на судебное преследование во всех случаях, когда оно убеждено, что жалоба обоснована. В случаях насилия и домогательства, если таковые имеют место, о которых сообщается армии, против виновных принимаются надлежащие внутренние дисциплинарные меры. </w:t>
      </w:r>
    </w:p>
    <w:p w:rsidR="00D80435" w:rsidRDefault="00D80435">
      <w:pPr>
        <w:spacing w:after="120"/>
        <w:jc w:val="left"/>
        <w:rPr>
          <w:lang w:val="ru-RU"/>
        </w:rPr>
      </w:pPr>
      <w:r>
        <w:rPr>
          <w:b/>
          <w:lang w:val="ru-RU"/>
        </w:rPr>
        <w:t xml:space="preserve">Программы повышения осведомленности в области гендерной проблематики и прав человека для полицейских, сотрудников службы безопасности и медицинских работников (пункт 73 заключительных замечаний) </w:t>
      </w:r>
    </w:p>
    <w:p w:rsidR="00D80435" w:rsidRDefault="00D80435">
      <w:pPr>
        <w:rPr>
          <w:lang w:val="ru-RU"/>
        </w:rPr>
      </w:pPr>
      <w:r>
        <w:rPr>
          <w:lang w:val="ru-RU"/>
        </w:rPr>
        <w:t>18.</w:t>
      </w:r>
      <w:r>
        <w:rPr>
          <w:lang w:val="ru-RU"/>
        </w:rPr>
        <w:tab/>
        <w:t>Подготовка по вопросам, связанным с гендерной проблематикой, в настоящее время ведется среди персонала исполнительных, законодательных и судебных ветвей государственной власти с уделением особого внимания разработчикам политики и программ, учреждениям, работающим в области реализации программ развития, правоприменительным и судебным органам. Повышение информированности в гендерной проблематике входит в подготовку судейского корпуса в Национальной юридической академии. Большинство учебных заведений на уровне штатов включили курс повышения информированности в гендерных вопросах в программы профориентации для должностных лиц. Национальный исследовательский и учебный центр в Национальной академии управления им. Лала Бахадура Шастри для работников руководящего звена обеспечивает подготовку по гендерной проблематике, а гендерный анализ бюджета является частью учебного плана.</w:t>
      </w:r>
    </w:p>
    <w:p w:rsidR="00D80435" w:rsidRDefault="00D80435">
      <w:pPr>
        <w:spacing w:after="380"/>
        <w:rPr>
          <w:lang w:val="ru-RU"/>
        </w:rPr>
      </w:pPr>
      <w:r>
        <w:rPr>
          <w:lang w:val="ru-RU"/>
        </w:rPr>
        <w:t>19.</w:t>
      </w:r>
      <w:r>
        <w:rPr>
          <w:lang w:val="ru-RU"/>
        </w:rPr>
        <w:tab/>
        <w:t xml:space="preserve">Руководящие медицинские работники, ответственные за выполнение положений </w:t>
      </w:r>
      <w:r>
        <w:rPr>
          <w:b/>
          <w:lang w:val="ru-RU"/>
        </w:rPr>
        <w:t>Закона о методах дородовой диагностики (запрещении выбора пола) 1994 года  (ЗМДД)</w:t>
      </w:r>
      <w:r>
        <w:rPr>
          <w:lang w:val="ru-RU"/>
        </w:rPr>
        <w:t>, проходят инструктаж на региональных семинарах, проводимых в сотрудничестве с ЮНФПА министерством здравоохранения и благополучия семьи и правительствами штатов. Повышение осведомленности в области гендерной проблематики также включено в учебный курс подготовки работников здравоохранения в соответствии со 2-м этапом Программы охраны репродуктивного здоровья и здоровья детей (ПОРЗД). Департамент развития женщин и детей провел целый ряд программ профессиональной подготовки и ориентации в этой области. Деятельность департамента получила значительную поддержку от различных организаций гражданского общества. Само по себе гражданское общество проявляет высокую активность в области распространения информации, связанной с гендерной проблематикой, и играет весьма важную роль, содействуя повышению осведомленности в этой области.</w:t>
      </w:r>
    </w:p>
    <w:p w:rsidR="00D80435" w:rsidRDefault="00D80435">
      <w:pPr>
        <w:jc w:val="left"/>
        <w:rPr>
          <w:lang w:val="ru-RU"/>
        </w:rPr>
      </w:pPr>
      <w:r>
        <w:rPr>
          <w:b/>
          <w:lang w:val="ru-RU"/>
        </w:rPr>
        <w:t xml:space="preserve">Дискриминация по признаку кастовой принадлежности, включая насилие в отношении женщин общин далитов (пункты 74, 75 заключительных замечаний) </w:t>
      </w:r>
    </w:p>
    <w:p w:rsidR="00D80435" w:rsidRDefault="00D80435">
      <w:pPr>
        <w:spacing w:after="380"/>
        <w:rPr>
          <w:lang w:val="ru-RU"/>
        </w:rPr>
      </w:pPr>
      <w:r>
        <w:rPr>
          <w:lang w:val="ru-RU"/>
        </w:rPr>
        <w:t>20.</w:t>
      </w:r>
      <w:r>
        <w:rPr>
          <w:lang w:val="ru-RU"/>
        </w:rPr>
        <w:tab/>
        <w:t xml:space="preserve">Правительство, признавая исторические корни неблагоприятного положения и уязвимости женщин общины далитов, приняло ряд мер по решению их проблем, которым было уделено особое внимание в статье 4, пункты 97–100. Правительство приняло два закона, а именно Закон о защите гражданских прав (ЗЗГП) 1955 года и Закон о недопущении жестокого обращения с представителями включенных в списки каст и племен ("неприкасаемых") 1989 года, чтобы дать возможность далитам пользоваться правами человека наравне с другими слоями индийского общества и расширить их возможности в борьбе за свои права; однако преступления против далитов продолжаются. В 2003 году по всей стране число преступлений, зарегистрированных полицией, и случаев проявления жестокости в отношении внесенных в списки каст составило 26 252. В 2003 году процентная доля преступлений, совершенных в отношении включенных в списки каст и племен, от общего числа преступлений составила около 0,73 процента и 0,58 процента, соответственно. </w:t>
      </w:r>
    </w:p>
    <w:p w:rsidR="00D80435" w:rsidRDefault="00D80435">
      <w:pPr>
        <w:rPr>
          <w:b/>
          <w:lang w:val="ru-RU"/>
        </w:rPr>
      </w:pPr>
      <w:r>
        <w:rPr>
          <w:b/>
          <w:lang w:val="ru-RU"/>
        </w:rPr>
        <w:t xml:space="preserve">Торговля людьми (пункты 76, 77 заключительных положений) </w:t>
      </w:r>
    </w:p>
    <w:p w:rsidR="00D80435" w:rsidRDefault="00D80435">
      <w:pPr>
        <w:spacing w:after="360"/>
        <w:rPr>
          <w:lang w:val="ru-RU"/>
        </w:rPr>
      </w:pPr>
      <w:r>
        <w:rPr>
          <w:lang w:val="ru-RU"/>
        </w:rPr>
        <w:t>21.</w:t>
      </w:r>
      <w:r>
        <w:rPr>
          <w:lang w:val="ru-RU"/>
        </w:rPr>
        <w:tab/>
        <w:t>Правительство приняло ряд стратегий, направленных на решение проблемы торговли людьми. Они предусматривают правоприменительные меры, программы приносящей доход деятельности, расширение возможностей получения образования, меры по освобождению и реабилитации жертв, а также специальные проекты, такие как Свадхар и др. Был разработан Национальный план действий по борьбе с торговлей малолетними девочками. (Более детальная информация приведена в статье 6.)</w:t>
      </w:r>
    </w:p>
    <w:p w:rsidR="00D80435" w:rsidRDefault="00D80435">
      <w:pPr>
        <w:jc w:val="left"/>
        <w:rPr>
          <w:b/>
          <w:lang w:val="ru-RU"/>
        </w:rPr>
      </w:pPr>
      <w:r>
        <w:rPr>
          <w:b/>
          <w:lang w:val="ru-RU"/>
        </w:rPr>
        <w:t>Целостный подход к политике в области охраны здоровья женщин, коэффициенты материнской и младенческой смертности, соотношение по полу, аборты, обусловленные выбором пола ребенка, и меры в области планирования размера семьи, нацеленные на женщин (пункты 78, 79)</w:t>
      </w:r>
    </w:p>
    <w:p w:rsidR="00D80435" w:rsidRDefault="00D80435">
      <w:pPr>
        <w:spacing w:after="360"/>
        <w:rPr>
          <w:lang w:val="ru-RU"/>
        </w:rPr>
      </w:pPr>
      <w:r>
        <w:rPr>
          <w:lang w:val="ru-RU"/>
        </w:rPr>
        <w:t>22.</w:t>
      </w:r>
      <w:r>
        <w:rPr>
          <w:lang w:val="ru-RU"/>
        </w:rPr>
        <w:tab/>
        <w:t xml:space="preserve">С целью решения проблем материнской и младенческой смертности в рамках Национальной политики в области народонаселения 2000 года была вынесена на рассмотрение межсекторальная повестка дня для обеспечения целостной и комплексной системы мер по охране репродуктивного здоровья. В своей Программе охраны репродуктивного здоровья и здоровья детей правительство придерживалось подхода к состоянию здоровья женщин, включающего весь жизненный цикл женщины. Правительство ставит целью обеспечить создание медицинских служб, которые следят за здоровьем женщин на протяжении всей их жизни, начиная с рождения, в детские и юношеские годы и во взрослом возрасте. Эта программа нацелена на повышение внимания к репродуктивным процессам, с тем чтобы мужчины играли более заметную роль в принятии решений по продолжению рода и использованию противозачаточных средств. В рамках 10-го Пятилетнего плана предпринимаются усилия по созданию центров мужского репродуктивного здоровья, чтобы побудить мужчин признать необходимость планирования размера семьи. В январе 1998 года было начато осуществление проекта "Вазэктомия без хирургического вмешательства", призванного стимулировать участие мужчин в программах охраны семьи; процент подвергшихся стерилизации мужчин постепенно вырос с 1,8 процента в 1997 году до 2,46 процента в 2002 году. На настоящий момент данный проект был осуществлен в 20 штатах. В 2003 году в Закон о методах дородовой диагностики (о запрете выбора пола ребенка) 1994 года были внесены поправки в целях его ужесточения. Был одобрен ряд проектов по повышению информированности населения о положениях этого закона. В рамках мер по ужесточению положений этого закона правительство привлекло бывших полицейских руководителей к созданию Социального подразделения по борьбе с практикой умерщвления плода женского пола. Это подразделение должно выполнять надзорные функции в штатах Пенджаб, Харьяна, Гуджарат, Химачал-Прадеш и Дели. Его сотрудники имеют полномочия не только на проведение тайных операций, но и на уголовное преследование. Министерство здравоохранения должно сформировать соответствующий отдел под началом бывшего генерального директора Управления полиции, а его отделения на уровне штатов будут возглавляться бывшим офицером полиции в звании заместителя генерального инспектора или генерального инспектора. Для осуществления непрерывного надзора за выполнением условий Закона о методах дородовой диагностики были учреждены Национальный комитет по контролю и соответствующие комитеты на уровне штатов и союзных территорий. </w:t>
      </w:r>
    </w:p>
    <w:p w:rsidR="00D80435" w:rsidRDefault="00D80435">
      <w:pPr>
        <w:jc w:val="left"/>
        <w:rPr>
          <w:b/>
          <w:lang w:val="ru-RU"/>
        </w:rPr>
      </w:pPr>
      <w:r>
        <w:rPr>
          <w:b/>
          <w:lang w:val="ru-RU"/>
        </w:rPr>
        <w:t xml:space="preserve">Низкий уровень участия женщин в работе административных и судебных органов </w:t>
      </w:r>
      <w:r>
        <w:rPr>
          <w:b/>
          <w:lang w:val="ru-RU"/>
        </w:rPr>
        <w:br/>
        <w:t xml:space="preserve">(пункты 80, 81 заключительных замечаний) </w:t>
      </w:r>
    </w:p>
    <w:p w:rsidR="00D80435" w:rsidRDefault="00D80435">
      <w:pPr>
        <w:rPr>
          <w:lang w:val="ru-RU"/>
        </w:rPr>
      </w:pPr>
      <w:r>
        <w:rPr>
          <w:lang w:val="ru-RU"/>
        </w:rPr>
        <w:t>23.</w:t>
      </w:r>
      <w:r>
        <w:rPr>
          <w:lang w:val="ru-RU"/>
        </w:rPr>
        <w:tab/>
        <w:t xml:space="preserve">Хотя число женщин, работающих в административных органах, невелико, их ряды растут. По состоянию на 2000 год в Административной/полицейской службе Индии насчитывалось 645 женщин, что составляет около 7,65 процента по сравнению с 5,4 процента в 1987 году. В 2002 году на дипломатической службе Индии насчитывалось 78 женщин. По состоянию на 31 мая 2005 года в Верховном суде заседает одна женщина-судья, и 25 женщин-судей работают в судах высшей инстанции по всей стране из общего количества, соответственно, 25 из 514 судей. </w:t>
      </w:r>
    </w:p>
    <w:p w:rsidR="00D80435" w:rsidRDefault="00D80435">
      <w:pPr>
        <w:spacing w:before="40" w:after="200"/>
        <w:jc w:val="left"/>
        <w:rPr>
          <w:b/>
          <w:lang w:val="ru-RU"/>
        </w:rPr>
      </w:pPr>
      <w:r>
        <w:rPr>
          <w:b/>
          <w:lang w:val="ru-RU"/>
        </w:rPr>
        <w:t xml:space="preserve">Статистические данные, дезагрегированные по полу (пункт 81 заключительных замечаний) </w:t>
      </w:r>
    </w:p>
    <w:p w:rsidR="00D80435" w:rsidRDefault="00D80435">
      <w:pPr>
        <w:rPr>
          <w:lang w:val="ru-RU"/>
        </w:rPr>
      </w:pPr>
      <w:r>
        <w:rPr>
          <w:lang w:val="ru-RU"/>
        </w:rPr>
        <w:t>24.</w:t>
      </w:r>
      <w:r>
        <w:rPr>
          <w:lang w:val="ru-RU"/>
        </w:rPr>
        <w:tab/>
        <w:t>Правительство инициировало ряд мер по сбору и представлению данных в разбивке по полу по различным социально-экономическим показателям. Первым шагом стал гендерный анализ данных Национальной переписи населения 2001 года. Некоторые из имеющихся данных приведены в соответствующих статьях. Были определены такие показатели, как численность населения в возрастной группе 0–6 лет, грамотность, показатели участия в трудовой деятельности и т. д., и в настоящее время по ним ведется сбор дезагрегированных по полу данных в национальном масштабе, а также на уровне штатов и округов. Управление Начальника службы регистрации актов гражданского состояния и Комиссар по вопросам переписи населения активно поддерживают меры по повышению информированности в области гендерной проблематики и прав человека путем предоставления соответствующих данных. Отдел переписи населения представил данные и карты по изменению относительной численности полов, что позволяет выявить районы, требующие вмешательства. С помощью системы записи актов гражданского состояния рекомендуется ежемесячно собирать и отслеживать данные о соотношении полов родившихся в штатах детей в целях своевременного и надлежащего государственного вмешательства. Центральное статистическое управление (ЦСУ) регулярно публикует сборник "Женщины и мужчины в Индии", который содержит усовершенствованную базу данных по гендерной проблематике; оно также подготовило Национальный план действий, призванный ликвидировать пробелы в статистике с точки зрения гендерных проблем. Реализация плана привела к тому, что уже сегодня стали доступны статистические данные по целому ряду новых показателей, представляющих интерес. В целях анализа вклада женщин и мужчин в национальную экономику в форме неоплачиваемого домашнего труда, а также в целях изучения гендерного аспекта персональной трудовой деятельности центральное правительство провело в 1998–</w:t>
      </w:r>
      <w:r>
        <w:rPr>
          <w:lang w:val="ru-RU"/>
        </w:rPr>
        <w:br/>
        <w:t>1999 годах опытное обследование использования рабочего времени примерно в 18 600 домашних хозяйствах в 6 штатах, а именно Харьяна, Мадхья-Прадеш, Гуждарат, Орисса, Тамилнад и Мегхалайя, и в 2000 году опубликовало отчет. Оно также провело ряд исследований в рамках проектов "Оценка неоплачиваемого домашнего труда и общественных работ" и "Оценка состояния рабочей силы". Признавая необходимость привнесения в статистику гендерного аспекта посредством изменения привычных парадигм, ЦСУ с помощью проведения семинаров повышает информированность по этому кругу проблем. С помощью Центра гендерных ресурсов (ЦГР) будут проведены скоординированные мероприятия по сбору/обработке данных с разбивкой по полу и созданию всеобъемлющей базы данных по политике и проблемам в области сельского хозяйства, связанным с женщинами. Центр гендерных ресурсов также проведет оценку влияния, которое оказывают на женщин текущие программы правительства Индии в области сельского хозяйства, чтобы обеспечить поступление в адрес женщин-фермеров 30 процентов материальных средств, предусмотренных всеми этими программами.</w:t>
      </w:r>
    </w:p>
    <w:p w:rsidR="00D80435" w:rsidRDefault="00D80435">
      <w:pPr>
        <w:jc w:val="left"/>
        <w:rPr>
          <w:b/>
          <w:lang w:val="ru-RU"/>
        </w:rPr>
      </w:pPr>
      <w:r>
        <w:rPr>
          <w:b/>
          <w:lang w:val="ru-RU"/>
        </w:rPr>
        <w:t xml:space="preserve">Различие в показателях экономической активности и правах наследования (пункт 82 заключительных замечаний) </w:t>
      </w:r>
    </w:p>
    <w:p w:rsidR="00D80435" w:rsidRDefault="00D80435">
      <w:pPr>
        <w:rPr>
          <w:lang w:val="ru-RU"/>
        </w:rPr>
      </w:pPr>
      <w:r>
        <w:rPr>
          <w:lang w:val="ru-RU"/>
        </w:rPr>
        <w:t>25.</w:t>
      </w:r>
      <w:r>
        <w:rPr>
          <w:lang w:val="ru-RU"/>
        </w:rPr>
        <w:tab/>
        <w:t>Показатель участия женщин в трудовой деятельности возрастал на протяжении некоторого времени. Согласно данным переписи 2001 года, 25,6 процента женщин в общей численности рабочей силы имели работу по сравнению с 22,3 процента в 1991 году и 19,7 процента в 1981 году. Однако диспропорция между мужчинами и женщинами по-прежнему существует, причем работающие женщины в основном заняты в неформальных и маргинализованных секторах экономики.</w:t>
      </w:r>
    </w:p>
    <w:p w:rsidR="00D80435" w:rsidRDefault="00D80435">
      <w:pPr>
        <w:spacing w:after="300"/>
        <w:rPr>
          <w:lang w:val="ru-RU"/>
        </w:rPr>
      </w:pPr>
      <w:r>
        <w:rPr>
          <w:lang w:val="ru-RU"/>
        </w:rPr>
        <w:t>26.</w:t>
      </w:r>
      <w:r>
        <w:rPr>
          <w:lang w:val="ru-RU"/>
        </w:rPr>
        <w:tab/>
        <w:t>Правительство приняло к сведению, что практика лишения прав наследования земли в существовавшей патриархальной системе способствовала формированию подчиненного статуса женщин. Правительство обязалось приложить особые усилия, с тем чтобы рассмотреть и внести необходимые поправки в законодательство, касающееся владения имуществом и наследования, что позволит достичь согласия по данной проблеме и сделать более справедливыми законы Индии по отношению к мужчинам и женщинам. Некоторые штаты, например Андхра-Прадеш, Карнатака и Тамилнад, внесли поправки относительно совместно наследуемой собственности в Индусский закон о наследовании (родовое совместное семейное недвижимое имущество), чтобы дать возможность дочери наследовать родовое имущество. Центральное правительство предложило внести поправки в Индусский закон о наследовании в плане предоставления прав совместного наследования женщинам.</w:t>
      </w:r>
    </w:p>
    <w:p w:rsidR="00D80435" w:rsidRDefault="00D80435">
      <w:pPr>
        <w:pStyle w:val="BodyText3"/>
        <w:spacing w:after="200"/>
      </w:pPr>
      <w:r>
        <w:t xml:space="preserve">Подневольный труд (пункт 83 заключительных замечаний) </w:t>
      </w:r>
    </w:p>
    <w:p w:rsidR="00D80435" w:rsidRDefault="00D80435">
      <w:pPr>
        <w:spacing w:after="300"/>
        <w:rPr>
          <w:lang w:val="ru-RU"/>
        </w:rPr>
      </w:pPr>
      <w:r>
        <w:rPr>
          <w:lang w:val="ru-RU"/>
        </w:rPr>
        <w:t xml:space="preserve">27. </w:t>
      </w:r>
      <w:r>
        <w:rPr>
          <w:lang w:val="ru-RU"/>
        </w:rPr>
        <w:tab/>
        <w:t xml:space="preserve">Система подневольного труда была законодательно ликвидирована в соответствии с Законом об отмене подневольного труда 1976 года, который предусматривает уголовное наказание за использование подневольных работников. </w:t>
      </w:r>
      <w:r>
        <w:t>C</w:t>
      </w:r>
      <w:r>
        <w:rPr>
          <w:lang w:val="ru-RU"/>
        </w:rPr>
        <w:t xml:space="preserve"> 1981 года в министерстве труда функционирует отдельное Подразделение по планированию развития, которое осуществляет координацию политики в этой области, планирование и мониторинг исполнения Закона об отмене подневольного труда. Согласно плану реабилитации подневольных работников, финансируемому из средств центрального правительства, каждому такому работнику предоставляется материальная помощь в размере 20 тыс. рупий. По состоянию на март 2005 года, реабилитацию прошли 266 283 работника. Проблема подневольного труда привлекла внимание Верховного суда в деле "Пи-Ю-Си-Эл против штата Тамилнад" (</w:t>
      </w:r>
      <w:r>
        <w:t>AIR</w:t>
      </w:r>
      <w:r>
        <w:rPr>
          <w:lang w:val="ru-RU"/>
        </w:rPr>
        <w:t> 2004 </w:t>
      </w:r>
      <w:r>
        <w:t>SCW</w:t>
      </w:r>
      <w:r>
        <w:rPr>
          <w:lang w:val="ru-RU"/>
        </w:rPr>
        <w:t xml:space="preserve"> 3771). Верховный суд издал директиву выявлять и освобождать подневольных работников и обеспечивать для них надлежащую реабилитацию. В соответствии с этими распоряжениями Национальная комиссия по правам человека взяла на себя контроль за исполнением директив Верховного суда, а также Закона об отмене подневольного труда. Национальная комиссия по правам человека в сотрудничестве с министерством труда и занятости проводит семинары в целях повышения осведомленности чиновников, занимающихся проблемами подневольного труда на уровне штатов. Для контроля за исполнением Закона об отмене подневольного труда под председательством министра труда и занятости была сформирована специальная группа, которая уделяет пристальное внимание эффективному претворению в жизнь этого закона и усилиям по искоренению системы подневольного труда в тех местах, где она еще существует. </w:t>
      </w:r>
    </w:p>
    <w:p w:rsidR="00D80435" w:rsidRDefault="00D80435">
      <w:pPr>
        <w:rPr>
          <w:b/>
          <w:lang w:val="ru-RU"/>
        </w:rPr>
      </w:pPr>
      <w:r>
        <w:rPr>
          <w:b/>
          <w:lang w:val="ru-RU"/>
        </w:rPr>
        <w:t xml:space="preserve">Доступ сельских женщин к земле и кредитам (пункт 83 заключительных замечаний) </w:t>
      </w:r>
    </w:p>
    <w:p w:rsidR="00D80435" w:rsidRDefault="00D80435">
      <w:pPr>
        <w:rPr>
          <w:lang w:val="ru-RU"/>
        </w:rPr>
      </w:pPr>
      <w:r>
        <w:rPr>
          <w:lang w:val="ru-RU"/>
        </w:rPr>
        <w:t>28.</w:t>
      </w:r>
      <w:r>
        <w:rPr>
          <w:lang w:val="ru-RU"/>
        </w:rPr>
        <w:tab/>
        <w:t>Правительство провело земельные реформы и приняло законодательство о предельных ценах на сельскохозяйственные угодья. Пустующие государственные земли были распределены между безземельными крестьянами. Передавая наделы безземельным крестьянам, правительство выдавало совместные "патта" (документ, подтверждающий право на имущество) на имя мужа и жены, делая, таким образом, женщин совладельцами земли. Чтобы улучшить доступ женщин к земле, проводится эксперимент по предоставлению общинных пустующих и резервных земель, а также земель под паром женским группам самопомощи для "коллективной обработки" на долгосрочной арендной основе; прилагаются усилия по распространению практики выдачи совместных "патта". Все эти меры осуществляются в рамках совместной Программы продовольственной безопасности, организованной правительством Индии и ПРООН в штатах Уттар-Прадеш, Андхра-Прадеш и Орисса. Так, 4200 акров пустующих земель и земель под паром были переданы 2206 женским группам. В штате Орисса 355 акров земли, переданные 903 членам женских групп, были зарегистрированы по совместным "патта". Аналогичным образом, приблизительно 1000 акров земли, заложенных ростовщикам, были освобождены с помощью специальных мер, принятых в рамках проектов, и возвращены членам женских групп. Некоторые штаты, например Тамилнад, реализуют такие проекты, как Комплексная программа по пустующим землям, согласно которой пустующие участки земли сдаются в аренду группам самопомощи, при этом приоритет отдается женским группам. В рамках этого проекта, осуществляемого во взаимодействии с министерством сельского хозяйства, им предоставляются ссуды на строительство трубчатых колодцев и оказывается другая помощь. Департамент развития женщин и детей привлек внимание правительств других штатов к возможности осуществления аналогичных проектов, которые гарантируют женщинам средства существования и способствуют расширению прав и возможностей женщин. Правительство реализовало ряд проектов, в рамках которых осуществлялось альтернативное кредитование женщин путем выдачи микрокредитов, использования механизмов самопомощи и программы Раштрия Махила Кош (</w:t>
      </w:r>
      <w:r>
        <w:t>RMK</w:t>
      </w:r>
      <w:r>
        <w:rPr>
          <w:lang w:val="ru-RU"/>
        </w:rPr>
        <w:t xml:space="preserve">). </w:t>
      </w:r>
    </w:p>
    <w:p w:rsidR="00D80435" w:rsidRDefault="00D80435">
      <w:pPr>
        <w:jc w:val="left"/>
        <w:rPr>
          <w:b/>
          <w:lang w:val="ru-RU"/>
        </w:rPr>
      </w:pPr>
      <w:r>
        <w:rPr>
          <w:b/>
          <w:lang w:val="ru-RU"/>
        </w:rPr>
        <w:t xml:space="preserve">Национальная комиссия по делам женщин (пункты 84, 85 заключительных замечаний) </w:t>
      </w:r>
    </w:p>
    <w:p w:rsidR="00D80435" w:rsidRDefault="00D80435">
      <w:pPr>
        <w:spacing w:after="300"/>
        <w:rPr>
          <w:lang w:val="ru-RU"/>
        </w:rPr>
      </w:pPr>
      <w:r>
        <w:rPr>
          <w:lang w:val="ru-RU"/>
        </w:rPr>
        <w:t>29.</w:t>
      </w:r>
      <w:r>
        <w:rPr>
          <w:lang w:val="ru-RU"/>
        </w:rPr>
        <w:tab/>
        <w:t>Национальная комиссия по делам женщин (НКЖ) – государственный орган, учрежденный в 1992 году, в функции которого входят защита прав и интересов женщин путем обеспечения конституционных гарантий о равном статусе женщин, пересмотр действующего законодательства и мониторинг его эффективности, разработка рекомендаций о внесении поправок и предоставление трибуны для обсуждения и решения проблем. Аналогичным образом, многие штаты приняли закон о создании комиссий по делам женщин на уровне штатов. Комиссии по делам женщин были учреждены в 20 из 28 штатов и в 7 союзных территориях. Правительство ведет разъяснительную работу, призывая остальные штаты и союзные территории к созданию соответствующих комиссий. Хотя НКЖ и не является вышестоящей организацией для комиссий штатов, которые функционально независимы, комиссии сотрудничают друг с другом, стремясь координировать свою деятельность. Парламентский комитет по расширению прав и возможностей женщин, рассматривая в феврале 2003 года вопрос о полномочиях НКЖ, рекомендовал внести поправки в Закон о Национальной комиссии по делам женщин и предоставить ей более широкие полномочия при расследовании случаев нарушения конституционных прав, аналогичные мандату Национальной комиссии по правам человека, в том числе право на уголовное преследование и назначение Комиссара по правам женщин для проведения расследований и рассмотрения конкретных жалоб на проявление жестокости в отношении женщин. Рекомендации, сделанные Парламентским комитетом по расширению прав и возможностей женщин относительно НКЖ, а также Комитетом по ликвидации всех форм дискриминации в отношении женщин в заключительных замечаниях, в настоящее время тщательно изучаются правительством.</w:t>
      </w:r>
    </w:p>
    <w:p w:rsidR="00D80435" w:rsidRDefault="00D80435">
      <w:pPr>
        <w:rPr>
          <w:b/>
          <w:lang w:val="ru-RU"/>
        </w:rPr>
      </w:pPr>
      <w:r>
        <w:rPr>
          <w:b/>
          <w:lang w:val="ru-RU"/>
        </w:rPr>
        <w:t xml:space="preserve">Насилие в отношении правозащитников (пункты 86, 87 заключительных замечаний) </w:t>
      </w:r>
    </w:p>
    <w:p w:rsidR="00D80435" w:rsidRDefault="00D80435">
      <w:pPr>
        <w:spacing w:after="300"/>
        <w:rPr>
          <w:lang w:val="ru-RU"/>
        </w:rPr>
      </w:pPr>
      <w:r>
        <w:rPr>
          <w:lang w:val="ru-RU"/>
        </w:rPr>
        <w:t>30.</w:t>
      </w:r>
      <w:r>
        <w:rPr>
          <w:lang w:val="ru-RU"/>
        </w:rPr>
        <w:tab/>
        <w:t xml:space="preserve">Правительство активно привлекает неправительственные организации и женские группы к участию в целом ряде своих мероприятий, в том числе в области законодательных реформ, а также планирования, реализации и мониторинга проводимых им проектов и программ. В этих целях правительство развивает тесные партнерские отношения с этими группами. К сожалению, имели место несколько случаев насилия в отношении правозащитниц и женщин-активисток; правительство в соответствии с обязательствами, зафиксированными в Национальной политике по расширению прав и возможностей 2001 года, предложило провести расследование и принять меры по предотвращению актов насилия и преступлений в отношении женщин. </w:t>
      </w:r>
    </w:p>
    <w:p w:rsidR="00D80435" w:rsidRDefault="00D80435">
      <w:pPr>
        <w:rPr>
          <w:b/>
          <w:lang w:val="ru-RU"/>
        </w:rPr>
      </w:pPr>
      <w:r>
        <w:rPr>
          <w:b/>
          <w:lang w:val="ru-RU"/>
        </w:rPr>
        <w:t xml:space="preserve">Факультативный протокол (пункт 88 заключительных замечаний) </w:t>
      </w:r>
    </w:p>
    <w:p w:rsidR="00D80435" w:rsidRDefault="00D80435">
      <w:pPr>
        <w:rPr>
          <w:lang w:val="ru-RU"/>
        </w:rPr>
      </w:pPr>
      <w:r>
        <w:rPr>
          <w:lang w:val="ru-RU"/>
        </w:rPr>
        <w:t>31.</w:t>
      </w:r>
      <w:r>
        <w:rPr>
          <w:lang w:val="ru-RU"/>
        </w:rPr>
        <w:tab/>
        <w:t xml:space="preserve">Правительство изучает Факультативный протокол и его последствия для Индии, и этот вопрос будет рассмотрен в установленном порядке. </w:t>
      </w:r>
    </w:p>
    <w:p w:rsidR="00D80435" w:rsidRDefault="00D80435">
      <w:pPr>
        <w:jc w:val="left"/>
        <w:rPr>
          <w:b/>
          <w:lang w:val="ru-RU"/>
        </w:rPr>
      </w:pPr>
      <w:r>
        <w:rPr>
          <w:b/>
          <w:lang w:val="ru-RU"/>
        </w:rPr>
        <w:t xml:space="preserve">Распространение текста Конвенции о ликвидации всех форм дискриминации в отношении женщин (пункт 90 заключительных замечаний) </w:t>
      </w:r>
    </w:p>
    <w:p w:rsidR="00D80435" w:rsidRDefault="00D80435">
      <w:pPr>
        <w:rPr>
          <w:lang w:val="ru-RU"/>
        </w:rPr>
      </w:pPr>
      <w:r>
        <w:rPr>
          <w:lang w:val="ru-RU"/>
        </w:rPr>
        <w:t>32.</w:t>
      </w:r>
      <w:r>
        <w:rPr>
          <w:lang w:val="ru-RU"/>
        </w:rPr>
        <w:tab/>
        <w:t>Департамент развития женщин и детей принимает активное участие в распространении информации, связанной с КЛДЖ и заключительными замечаниями Комитета. В этом контексте все относящиеся к делу документы были переведены на хинди для лучшего понимания международных обязательств по созданию условий для равноправия полов. В июне 2004 года был учрежден Межминистерский комитет для наблюдения за выполнением обязательств по данной Конвенции. Этот Комитет предлагает разработать контрольные показатели для облегчения объективной оценки статуса осуществления Конвенции и различных программ, а также для дальнейшего планирования мероприятий в этой области.</w:t>
      </w:r>
    </w:p>
    <w:p w:rsidR="00D80435" w:rsidRDefault="00D80435">
      <w:pPr>
        <w:rPr>
          <w:b/>
          <w:lang w:val="ru-RU"/>
        </w:rPr>
      </w:pPr>
    </w:p>
    <w:p w:rsidR="00D80435" w:rsidRDefault="00D80435">
      <w:pPr>
        <w:jc w:val="center"/>
        <w:rPr>
          <w:b/>
          <w:sz w:val="24"/>
          <w:lang w:val="ru-RU"/>
        </w:rPr>
      </w:pPr>
      <w:r>
        <w:rPr>
          <w:b/>
          <w:sz w:val="24"/>
          <w:lang w:val="ru-RU"/>
        </w:rPr>
        <w:t xml:space="preserve">Часть </w:t>
      </w:r>
      <w:r>
        <w:rPr>
          <w:b/>
          <w:sz w:val="24"/>
        </w:rPr>
        <w:t>II</w:t>
      </w:r>
      <w:r>
        <w:rPr>
          <w:b/>
          <w:sz w:val="24"/>
          <w:lang w:val="ru-RU"/>
        </w:rPr>
        <w:t xml:space="preserve">.  Новые достижения в области ликвидации дискриминации </w:t>
      </w:r>
      <w:r>
        <w:rPr>
          <w:b/>
          <w:sz w:val="24"/>
          <w:lang w:val="ru-RU"/>
        </w:rPr>
        <w:br/>
        <w:t>в отношении женщин</w:t>
      </w:r>
    </w:p>
    <w:p w:rsidR="00D80435" w:rsidRDefault="00D80435">
      <w:pPr>
        <w:jc w:val="center"/>
        <w:rPr>
          <w:lang w:val="ru-RU"/>
        </w:rPr>
      </w:pPr>
      <w:r>
        <w:rPr>
          <w:b/>
          <w:sz w:val="24"/>
          <w:lang w:val="ru-RU"/>
        </w:rPr>
        <w:t xml:space="preserve">Статья 1. </w:t>
      </w:r>
      <w:r>
        <w:rPr>
          <w:b/>
          <w:sz w:val="24"/>
        </w:rPr>
        <w:t xml:space="preserve"> </w:t>
      </w:r>
      <w:r>
        <w:rPr>
          <w:b/>
          <w:sz w:val="24"/>
          <w:lang w:val="ru-RU"/>
        </w:rPr>
        <w:t>Недопущение дискриминации</w:t>
      </w:r>
    </w:p>
    <w:p w:rsidR="00D80435" w:rsidRDefault="00D80435">
      <w:pPr>
        <w:pStyle w:val="Heading2"/>
      </w:pPr>
      <w:r>
        <w:t>Основные сведения</w:t>
      </w:r>
    </w:p>
    <w:p w:rsidR="00D80435" w:rsidRDefault="00D80435">
      <w:pPr>
        <w:rPr>
          <w:lang w:val="ru-RU"/>
        </w:rPr>
      </w:pPr>
      <w:r>
        <w:rPr>
          <w:lang w:val="ru-RU"/>
        </w:rPr>
        <w:t>33.</w:t>
      </w:r>
      <w:r>
        <w:rPr>
          <w:lang w:val="ru-RU"/>
        </w:rPr>
        <w:tab/>
        <w:t>Конституция Индии гарантирует равенство и запрещает дискриминацию. Как было упомянуто в Первоначальном докладе, Конституция гарантировала основные права, а руководящие принципы государственной политики обязывают государство обеспечивать равноправие и ликвидировать дискриминацию по признаку пола и семейного положения.</w:t>
      </w:r>
    </w:p>
    <w:p w:rsidR="00D80435" w:rsidRDefault="00D80435">
      <w:pPr>
        <w:rPr>
          <w:lang w:val="ru-RU"/>
        </w:rPr>
      </w:pPr>
      <w:r>
        <w:rPr>
          <w:lang w:val="ru-RU"/>
        </w:rPr>
        <w:t>34.</w:t>
      </w:r>
      <w:r>
        <w:rPr>
          <w:lang w:val="ru-RU"/>
        </w:rPr>
        <w:tab/>
        <w:t>Термины "равноправие" и "дискриминация" не определены, их интерпретация оставлена на усмотрение судов. Верховный суд Индии и различные высшие суды придерживались принципов равноправия и принципов "материально-правового равенства", которые использовались для толкования термина "равноправие" во многих случаях судебной практики. По делу "Штат Керала против Н.М.</w:t>
      </w:r>
      <w:r>
        <w:t> </w:t>
      </w:r>
      <w:r>
        <w:rPr>
          <w:lang w:val="ru-RU"/>
        </w:rPr>
        <w:t>Томаса" (</w:t>
      </w:r>
      <w:r>
        <w:t>AIR </w:t>
      </w:r>
      <w:r>
        <w:rPr>
          <w:lang w:val="ru-RU"/>
        </w:rPr>
        <w:t>1976</w:t>
      </w:r>
      <w:r>
        <w:t> SC </w:t>
      </w:r>
      <w:r>
        <w:rPr>
          <w:lang w:val="ru-RU"/>
        </w:rPr>
        <w:t>490) Верховный суд в решении заявил: "Качество и концепция равенства заключаются в том, что лица с различным положением в обществе не могут быть уравнены одинаковым обращением. В этом мире неравенства размеры равного обхождения с людьми имеют разумные пределы. Равенство возможностей для неравных может означать только усугубление неравенства". В решении по делу "Секретарь электроэнергетического управления штата Харьяна против Суреша" (</w:t>
      </w:r>
      <w:r>
        <w:t>AIR </w:t>
      </w:r>
      <w:r>
        <w:rPr>
          <w:lang w:val="ru-RU"/>
        </w:rPr>
        <w:t>1999</w:t>
      </w:r>
      <w:r>
        <w:t> SC</w:t>
      </w:r>
      <w:r>
        <w:rPr>
          <w:lang w:val="ru-RU"/>
        </w:rPr>
        <w:t xml:space="preserve">1161) Верховный суд посчитал, что статья о равноправии в Конституции подразумевает не просто формальное равенство перед законом, но воплощает концепцию реального и материально-правового равенства, которое наносит удар по всем различиям, вызванным широкой социальной и экономической дифференциацией, и, следовательно, является неотъемлемой составляющей социальной и экономической справедливости. В деле Ашока Кумара Гупты [(1997) 5 </w:t>
      </w:r>
      <w:r>
        <w:t>SCC</w:t>
      </w:r>
      <w:r>
        <w:rPr>
          <w:lang w:val="ru-RU"/>
        </w:rPr>
        <w:t xml:space="preserve"> 2011] Верховный суд, руководствуясь этим принципом, поддержал положения о резервировании мест за представителями включенных в списки каст и племен даже при продвижении по службе.</w:t>
      </w:r>
    </w:p>
    <w:p w:rsidR="00D80435" w:rsidRDefault="00D80435">
      <w:pPr>
        <w:spacing w:after="360"/>
        <w:rPr>
          <w:lang w:val="ru-RU"/>
        </w:rPr>
      </w:pPr>
      <w:r>
        <w:rPr>
          <w:lang w:val="ru-RU"/>
        </w:rPr>
        <w:t>35.</w:t>
      </w:r>
      <w:r>
        <w:rPr>
          <w:lang w:val="ru-RU"/>
        </w:rPr>
        <w:tab/>
        <w:t>В ряде решений судебная власть отменила дискриминационные положения закона и правил, как в случае "Ч.Б. Мутхамма против Индийского союза" (</w:t>
      </w:r>
      <w:r>
        <w:t>AIR</w:t>
      </w:r>
      <w:r>
        <w:rPr>
          <w:lang w:val="ru-RU"/>
        </w:rPr>
        <w:t xml:space="preserve"> 1979 </w:t>
      </w:r>
      <w:r>
        <w:t>SC</w:t>
      </w:r>
      <w:r>
        <w:rPr>
          <w:lang w:val="ru-RU"/>
        </w:rPr>
        <w:t xml:space="preserve"> 1868), когда служебные правила, обязывающие работницу до замужества получать разрешение правительства в письменном виде и отказывающие ей в праве найма на основании замужнего положения, были признаны дискриминационными в отношении женщин. В деле "Эр Индиа против Наргиш Мирза" (</w:t>
      </w:r>
      <w:r>
        <w:t>AIR</w:t>
      </w:r>
      <w:r>
        <w:rPr>
          <w:lang w:val="ru-RU"/>
        </w:rPr>
        <w:t xml:space="preserve"> 1981 </w:t>
      </w:r>
      <w:r>
        <w:t>SC</w:t>
      </w:r>
      <w:r>
        <w:rPr>
          <w:lang w:val="ru-RU"/>
        </w:rPr>
        <w:t xml:space="preserve"> 1829) условие работы, на основании которого стюардесса увольнялась в случае ее беременности, было отменено как дискриминационное; в деле "Васантха против Индийского союза" (2001 (</w:t>
      </w:r>
      <w:r>
        <w:t>ii</w:t>
      </w:r>
      <w:r>
        <w:rPr>
          <w:lang w:val="ru-RU"/>
        </w:rPr>
        <w:t xml:space="preserve">) </w:t>
      </w:r>
      <w:r>
        <w:t>LLJ</w:t>
      </w:r>
      <w:r>
        <w:rPr>
          <w:lang w:val="ru-RU"/>
        </w:rPr>
        <w:t xml:space="preserve"> 843) раздел 66 Закона о заводах и фабриках, запрещающий женщинам работать в ночную смену, был признан дискриминационным; по делам "Мэри Рой против Индийского союза" [1986(2) </w:t>
      </w:r>
      <w:r>
        <w:t>SCC</w:t>
      </w:r>
      <w:r>
        <w:rPr>
          <w:lang w:val="ru-RU"/>
        </w:rPr>
        <w:t xml:space="preserve"> 209], "Мадху Кишвар против Индийского союза" (</w:t>
      </w:r>
      <w:r>
        <w:t>AIR </w:t>
      </w:r>
      <w:r>
        <w:rPr>
          <w:lang w:val="ru-RU"/>
        </w:rPr>
        <w:t>1996</w:t>
      </w:r>
      <w:r>
        <w:t> SC</w:t>
      </w:r>
      <w:r>
        <w:rPr>
          <w:lang w:val="ru-RU"/>
        </w:rPr>
        <w:t xml:space="preserve"> </w:t>
      </w:r>
      <w:r>
        <w:t>page </w:t>
      </w:r>
      <w:r>
        <w:rPr>
          <w:lang w:val="ru-RU"/>
        </w:rPr>
        <w:t>1864) и "Ч. Масиламани Мудлияр и др. против идола Сваминатхасвами Тхирукойл и др." (</w:t>
      </w:r>
      <w:r>
        <w:t>AIR </w:t>
      </w:r>
      <w:r>
        <w:rPr>
          <w:lang w:val="ru-RU"/>
        </w:rPr>
        <w:t>1996</w:t>
      </w:r>
      <w:r>
        <w:t> SC </w:t>
      </w:r>
      <w:r>
        <w:rPr>
          <w:lang w:val="ru-RU"/>
        </w:rPr>
        <w:t>1697) были вынесены решения в поддержку имущественных прав женщин; по делу "</w:t>
      </w:r>
      <w:r>
        <w:t>M</w:t>
      </w:r>
      <w:r>
        <w:rPr>
          <w:lang w:val="ru-RU"/>
        </w:rPr>
        <w:t>/с Макинон Макензи и Ко Лтд. против Одри д’Коста" (</w:t>
      </w:r>
      <w:r>
        <w:t>AIR </w:t>
      </w:r>
      <w:r>
        <w:rPr>
          <w:lang w:val="ru-RU"/>
        </w:rPr>
        <w:t>1987</w:t>
      </w:r>
      <w:r>
        <w:t> SC </w:t>
      </w:r>
      <w:r>
        <w:rPr>
          <w:lang w:val="ru-RU"/>
        </w:rPr>
        <w:t>1281) устанавливалась равная заработная плата; по делам "Делийский форум надомных работниц против Индийского союза" [(1995) 1</w:t>
      </w:r>
      <w:r>
        <w:t> SCC </w:t>
      </w:r>
      <w:r>
        <w:rPr>
          <w:lang w:val="ru-RU"/>
        </w:rPr>
        <w:t>14], "Бодхи Саттва Гаутам против Субхры Чакроборти" (</w:t>
      </w:r>
      <w:r>
        <w:t>AIR </w:t>
      </w:r>
      <w:r>
        <w:rPr>
          <w:lang w:val="ru-RU"/>
        </w:rPr>
        <w:t>1996</w:t>
      </w:r>
      <w:r>
        <w:t> SC </w:t>
      </w:r>
      <w:r>
        <w:rPr>
          <w:lang w:val="ru-RU"/>
        </w:rPr>
        <w:t>922) и "Начальник управления железной дороги против Чандримы Дас" (</w:t>
      </w:r>
      <w:r>
        <w:t>AIR </w:t>
      </w:r>
      <w:r>
        <w:rPr>
          <w:lang w:val="ru-RU"/>
        </w:rPr>
        <w:t>2000</w:t>
      </w:r>
      <w:r>
        <w:t> SC </w:t>
      </w:r>
      <w:r>
        <w:rPr>
          <w:lang w:val="ru-RU"/>
        </w:rPr>
        <w:t>988) устанавливалась компенсация в случаях изнасилования; решением по делу "Муниципальная корпорация Дели против работниц корпорации" (список состава) (</w:t>
      </w:r>
      <w:r>
        <w:t>AIR </w:t>
      </w:r>
      <w:r>
        <w:rPr>
          <w:lang w:val="ru-RU"/>
        </w:rPr>
        <w:t>2000</w:t>
      </w:r>
      <w:r>
        <w:t> SC </w:t>
      </w:r>
      <w:r>
        <w:rPr>
          <w:lang w:val="ru-RU"/>
        </w:rPr>
        <w:t>1274) было присуждено пособие по беременности и родам для контрактных работниц; в рассмотрении дела Гиты Харихаран об опекунских правах (</w:t>
      </w:r>
      <w:r>
        <w:t>AIR </w:t>
      </w:r>
      <w:r>
        <w:rPr>
          <w:lang w:val="ru-RU"/>
        </w:rPr>
        <w:t>1999</w:t>
      </w:r>
      <w:r>
        <w:t> SC </w:t>
      </w:r>
      <w:r>
        <w:rPr>
          <w:lang w:val="ru-RU"/>
        </w:rPr>
        <w:t>1149) было принято толкование положений в пользу интересов женщин, а решение по делу Даниалы Латиф [2001</w:t>
      </w:r>
      <w:r>
        <w:t> </w:t>
      </w:r>
      <w:r>
        <w:rPr>
          <w:lang w:val="ru-RU"/>
        </w:rPr>
        <w:t>(7)</w:t>
      </w:r>
      <w:r>
        <w:t> SCC </w:t>
      </w:r>
      <w:r>
        <w:rPr>
          <w:lang w:val="ru-RU"/>
        </w:rPr>
        <w:t>740] узаконило право мусульманской женщины на взыскание средств к существованию с мужа после развода.</w:t>
      </w:r>
    </w:p>
    <w:p w:rsidR="00D80435" w:rsidRDefault="00D80435">
      <w:pPr>
        <w:pStyle w:val="Heading2"/>
      </w:pPr>
      <w:r>
        <w:t>Государственные инициативы</w:t>
      </w:r>
    </w:p>
    <w:p w:rsidR="00D80435" w:rsidRDefault="00D80435">
      <w:pPr>
        <w:spacing w:after="360"/>
        <w:rPr>
          <w:lang w:val="ru-RU"/>
        </w:rPr>
      </w:pPr>
      <w:r>
        <w:rPr>
          <w:lang w:val="ru-RU"/>
        </w:rPr>
        <w:t>36.</w:t>
      </w:r>
      <w:r>
        <w:rPr>
          <w:lang w:val="ru-RU"/>
        </w:rPr>
        <w:tab/>
        <w:t>Дискриминационные положения законодательства постепенно пересматриваются несколькими органами, такими как Юридическая комиссия, Правовой департамент, Департамент развития женщин и детей (ДРЖД), Национальная комиссия по делам женщин и Национальная комиссия по правам человека. Национальная комиссия по делам женщин ведет постоянный обзор существующих законов дискриминационного характера. Ниже указываются некоторые из них: Закон о предотвращении аморальной торговли людьми, 1956</w:t>
      </w:r>
      <w:r>
        <w:t> </w:t>
      </w:r>
      <w:r>
        <w:rPr>
          <w:lang w:val="ru-RU"/>
        </w:rPr>
        <w:t>год; Закон о запрещении приданого, 1961 год; Закон о запрещении непристойного изображения женщин, 1986 год; Закон о предотвращении совершения сати, 1987 год; Закон об опекунах и подопечных, 1860 год; индийский Уголовный кодекс, 1860 год; Закон о христианском браке, 1872 год; индийский Закон о наследовании, 1925 год; Закон, ограничивающий вступление детей в брак, 1929 год; Закон о применении мусульманского персонального права (шариата), 1937 год; Закон о заводах и фабриках, 1948 год; Закон о минимальной заработной плате, 1948 год; Закон о государственном страховании служащих; Специальный закон о браке, 1954 год; индусский Закон о браке, 1955 год; индусский Закон об усыновлении и содержании, 1956 год; индусский Закон о несовершеннолетних и опеке, 1956 год; индусский Закон о наследовании, 1956 год; Закон о пособиях по беременности и родам, 1961 год; Закон о браке, заключенном за границей, 1969 год; индийский Закон о разводе, 1869 год; Закон о медицинском прекращении беременности, 1971 год; Закон об отмене подневольного труда, 1979 год; Закон о равном вознаграждении за труд, 1976 год; Закон о трудовом договоре (регламентация и отмена), 1979</w:t>
      </w:r>
      <w:r>
        <w:t> </w:t>
      </w:r>
      <w:r>
        <w:rPr>
          <w:lang w:val="ru-RU"/>
        </w:rPr>
        <w:t>год; Закон о судах по семейным делам, 1984 год; Закон о правосудии по делам несовершеннолетних, 1986 год; Закон о Национальной комиссии по делам женщин, 1990 год; Закон о рабочих, мигрирующих между штатами (регулирование вопросов найма и условий труда), 1979 год; Закон о методах дородовой диагностики (регулирование и предотвращение злоупотреблений), 1994 год; Закон о заменителях грудного молока, средствах искусственного вскармливания младенцев и детском питании (регулирование производства, поставок и распределения), 1992 год. Из 41 законодательного акта, имеющего отношение к женщинам, Национальная комиссия по делам женщин (НКЖ) рассмотрела и предложила поправки к мерам дискриминационного характера в 32</w:t>
      </w:r>
      <w:r>
        <w:t> </w:t>
      </w:r>
      <w:r>
        <w:rPr>
          <w:lang w:val="ru-RU"/>
        </w:rPr>
        <w:t>законах. Рабочая группа по проблемам женщин и детей, возглавляемая заместителем председателя Комиссии по планированию, подробно рассмотрела рекомендации НКЖ по 14 законам, и поправки были внесены в некоторые законоположения. Департамент развития женщин и детей предложил поправки к Закону о предотвращении совершения сати, 1987 год, Закону о непристойном изображении женщин (о проституции), 1986 год, и к Закону о предотвращении аморальной торговли, 1956 год. Министерство внутренних дел предложило поправки к нескольким разделам, касающимся изнасилования, в индийском Уголовном кодексе, индийском Законе о свидетельских показаниях и в Уголовно-процессуальном кодексе. Правительство предложило поправки к разделу 66 Закона о заводах и фабриках, открывающие женщинам доступ к работе в ночную смену. Для пересмотра существующих законов в интересах решения вопроса о дискриминации и обеспечения равноправия женщин в мае 2005 года был учрежден Межминистерский комитет, в состав которого вошли представители НКЖ и неправительственных организаций (НПО), работающих в этой области.</w:t>
      </w:r>
    </w:p>
    <w:p w:rsidR="00D80435" w:rsidRDefault="00D80435">
      <w:pPr>
        <w:pStyle w:val="Heading2"/>
      </w:pPr>
      <w:r>
        <w:t>Предстоящие задачи</w:t>
      </w:r>
    </w:p>
    <w:p w:rsidR="00D80435" w:rsidRDefault="00D80435">
      <w:pPr>
        <w:rPr>
          <w:lang w:val="ru-RU"/>
        </w:rPr>
      </w:pPr>
      <w:r>
        <w:rPr>
          <w:lang w:val="ru-RU"/>
        </w:rPr>
        <w:t>37.</w:t>
      </w:r>
      <w:r>
        <w:rPr>
          <w:lang w:val="ru-RU"/>
        </w:rPr>
        <w:tab/>
        <w:t>Несмотря на конституционное предписание о равном правовом статусе мужчин и женщин, это положение еще предстоит реализовать. Юридически оформленные законы не применяются на практике по различным причинам, таким как неграмотность, установившиеся обычаи, предрассудки, основанные на патриархальных ценностях культурные нормы, слабое представительство женщин в руководящем звене, нищета, диспропорции в региональном развитии, отсутствие доступа к информации и ресурсам, а также возможности использовать их в своих интересах и т. д. Правительство, выдвигая многочисленные инициативы, которые реализуются в рамках Национальной политики по расширению прав и возможностей женщин 2001 года, через бюджет, учитывающий гендерные аспекты, с помощью Плана по учету доли женщин и других программ, делает попытки сократить разрыв между обещаниями, отраженными в Конституции и Конвенции, и фактическим положением.</w:t>
      </w:r>
    </w:p>
    <w:p w:rsidR="00D80435" w:rsidRDefault="00D80435">
      <w:pPr>
        <w:pStyle w:val="Header"/>
        <w:tabs>
          <w:tab w:val="clear" w:pos="4677"/>
          <w:tab w:val="clear" w:pos="9355"/>
        </w:tabs>
        <w:spacing w:after="0"/>
        <w:rPr>
          <w:lang w:val="ru-RU"/>
        </w:rPr>
      </w:pPr>
    </w:p>
    <w:p w:rsidR="00D80435" w:rsidRDefault="00D80435">
      <w:pPr>
        <w:pStyle w:val="Heading4"/>
        <w:spacing w:after="340"/>
      </w:pPr>
      <w:r>
        <w:t>Статья 2.  Обязательство ликвидировать дискриминацию</w:t>
      </w:r>
    </w:p>
    <w:p w:rsidR="00D80435" w:rsidRDefault="00D80435">
      <w:pPr>
        <w:pStyle w:val="Heading2"/>
      </w:pPr>
      <w:r>
        <w:t>Справочная информация</w:t>
      </w:r>
    </w:p>
    <w:p w:rsidR="00D80435" w:rsidRDefault="00D80435">
      <w:pPr>
        <w:spacing w:after="340"/>
        <w:rPr>
          <w:lang w:val="ru-RU"/>
        </w:rPr>
      </w:pPr>
      <w:r>
        <w:rPr>
          <w:lang w:val="ru-RU"/>
        </w:rPr>
        <w:t>38.</w:t>
      </w:r>
      <w:r>
        <w:rPr>
          <w:lang w:val="ru-RU"/>
        </w:rPr>
        <w:tab/>
        <w:t>Как было упомянуто выше, Конституция Индии гарантирует равноправие и запрещает дискриминацию. Этот принцип лежит в основе многих законов и политики, разрабатываемых правительством. Государство предприняло целый ряд позитивных действий на пути к достижению равенства мужчин и женщин.</w:t>
      </w:r>
    </w:p>
    <w:p w:rsidR="00D80435" w:rsidRDefault="00D80435">
      <w:pPr>
        <w:pStyle w:val="Heading2"/>
      </w:pPr>
      <w:r>
        <w:t>Государственные инициативы</w:t>
      </w:r>
    </w:p>
    <w:p w:rsidR="00D80435" w:rsidRDefault="00D80435">
      <w:pPr>
        <w:rPr>
          <w:lang w:val="ru-RU"/>
        </w:rPr>
      </w:pPr>
      <w:r>
        <w:rPr>
          <w:lang w:val="ru-RU"/>
        </w:rPr>
        <w:t>39.</w:t>
      </w:r>
      <w:r>
        <w:rPr>
          <w:lang w:val="ru-RU"/>
        </w:rPr>
        <w:tab/>
        <w:t>Конституция гарантирует равноправие (статьи 14, 16), право на жизнь (статья 21), право на равенство перед законом и равную защиту со стороны закона (статья 15) и предусматривает различный подход в интересах женщин (пункт 3 статьи 15 и пункт</w:t>
      </w:r>
      <w:r>
        <w:t> </w:t>
      </w:r>
      <w:r>
        <w:rPr>
          <w:lang w:val="ru-RU"/>
        </w:rPr>
        <w:t>4 статьи 16). Опираясь на эти положения, правительство провело различные специальные мероприятия.</w:t>
      </w:r>
    </w:p>
    <w:p w:rsidR="00D80435" w:rsidRDefault="00D80435">
      <w:pPr>
        <w:rPr>
          <w:lang w:val="ru-RU"/>
        </w:rPr>
      </w:pPr>
      <w:r>
        <w:rPr>
          <w:lang w:val="ru-RU"/>
        </w:rPr>
        <w:t>40.</w:t>
      </w:r>
      <w:r>
        <w:rPr>
          <w:lang w:val="ru-RU"/>
        </w:rPr>
        <w:tab/>
        <w:t>Было принято множество законодательных актов с целью предоставления женщинам возможности пользоваться основными правами, гарантированными в Конституции. Некоторые из них были освещены в Первоначальном докладе. Эти законы постоянно пересматриваются; по мере необходимости в них вносятся поправки. Департамент развития женщин и детей и Национальная комиссия по делам женщин провели обзор этих законов и предложили поправки к дискриминационным положениям; некоторые из них были приняты правительством, другие находятся на различных стадиях проработки или ожидают рассмотрения.</w:t>
      </w:r>
    </w:p>
    <w:p w:rsidR="00D80435" w:rsidRDefault="00D80435">
      <w:pPr>
        <w:rPr>
          <w:lang w:val="ru-RU"/>
        </w:rPr>
      </w:pPr>
      <w:r>
        <w:rPr>
          <w:lang w:val="ru-RU"/>
        </w:rPr>
        <w:t>41.</w:t>
      </w:r>
      <w:r>
        <w:rPr>
          <w:lang w:val="ru-RU"/>
        </w:rPr>
        <w:tab/>
        <w:t xml:space="preserve">За последние три года были внесены поправки в следующие законы: </w:t>
      </w:r>
      <w:r>
        <w:rPr>
          <w:b/>
          <w:lang w:val="ru-RU"/>
        </w:rPr>
        <w:t>Закон о брачном праве (поправка) от 2001 года</w:t>
      </w:r>
      <w:r>
        <w:rPr>
          <w:lang w:val="ru-RU"/>
        </w:rPr>
        <w:t xml:space="preserve"> дополнил индусский Закон о браке, Закон о браке и разводе парсов и Уголовно-процессуальный кодекс, предусмотрев быстрое рассмотрение ходатайств о назначении содержания. В Уголовно-процессуальном кодексе было аннулировано положение о максимальной сумме содержания в 500 рупий, которую могла испрашивать женщина; а магистрату были предоставлены широкие полномочия в отношении присуждения надлежащих алиментов. Была внесена поправка в дискриминационное положение </w:t>
      </w:r>
      <w:r>
        <w:rPr>
          <w:b/>
          <w:lang w:val="ru-RU"/>
        </w:rPr>
        <w:t>индийского Закона о разводе</w:t>
      </w:r>
      <w:r>
        <w:rPr>
          <w:lang w:val="ru-RU"/>
        </w:rPr>
        <w:t xml:space="preserve">, которое обязывало женщину, добивающуюся развода, доказывать адюльтер в совокупности с жестоким обращением/оставлением жены (тогда как мужчина мог искать в суде развода только на одном из оснований). Новая поправка обеспечивала единообразные условия для мужчин и женщин при подаче на развод. Эта поправка также упраздняла устаревшее положение о необходимости обращаться в высший суд за подтверждением постановления суда по семейным делам; ранее подобная практика применялась только в отношении христиан. В 2002 году были внесены поправки в </w:t>
      </w:r>
      <w:r>
        <w:rPr>
          <w:b/>
          <w:lang w:val="ru-RU"/>
        </w:rPr>
        <w:t>индийский Закон о наследовании</w:t>
      </w:r>
      <w:r>
        <w:rPr>
          <w:lang w:val="ru-RU"/>
        </w:rPr>
        <w:t xml:space="preserve">, обеспечившие вдовам-христианкам получение доли в наследуемой собственности. </w:t>
      </w:r>
      <w:r>
        <w:rPr>
          <w:b/>
          <w:lang w:val="ru-RU"/>
        </w:rPr>
        <w:t>Закон о браке (поправка) от 2003 года</w:t>
      </w:r>
      <w:r>
        <w:rPr>
          <w:lang w:val="ru-RU"/>
        </w:rPr>
        <w:t xml:space="preserve"> внес изменения в индусский Закон о браке и Специальный закон о браке, давая таким образом женщинам право подавать иск по месту жительства и тем самым позволяя обойти общие правила отправления правосудия по месту возникновения причины судебного преследования. Озабоченность по поводу увеличения диспропорции в соотношении полов и числа селективных абортов с целью выбора пола ребенка обусловила появление поправок в 2002 и 2003</w:t>
      </w:r>
      <w:r>
        <w:t> </w:t>
      </w:r>
      <w:r>
        <w:rPr>
          <w:lang w:val="ru-RU"/>
        </w:rPr>
        <w:t xml:space="preserve">годах соответственно к </w:t>
      </w:r>
      <w:r>
        <w:rPr>
          <w:b/>
          <w:lang w:val="ru-RU"/>
        </w:rPr>
        <w:t xml:space="preserve">Закону о методах прекращении беременности (ЗМПБ) 1971 года </w:t>
      </w:r>
      <w:r>
        <w:rPr>
          <w:lang w:val="ru-RU"/>
        </w:rPr>
        <w:t xml:space="preserve">и </w:t>
      </w:r>
      <w:r>
        <w:rPr>
          <w:b/>
          <w:lang w:val="ru-RU"/>
        </w:rPr>
        <w:t>Закону о методах дородовой диагностики (запрещении выбора по признаку пола) (ЗМДД) 1994 года</w:t>
      </w:r>
      <w:r>
        <w:rPr>
          <w:lang w:val="ru-RU"/>
        </w:rPr>
        <w:t xml:space="preserve">. В Закон о методах прекращения беременности была внесена поправка, определяющая место и лиц, управомоченных совершать аборты, а также предусматривающая уголовное преследование лиц, неправомочных совершать аборты. ЗМДД запрещает использование методов дородовой диагностики для определения пола плода, ведущее к умерщвлению плода женского пола. Он предусматривает правила проведения ультразвуковых исследований в клиниках, правоприменительный механизм и строгое наказание за проведение селективных тестов и абортов для выбора пола ребенка. Для решения проблемы скрытой формы насилия в отношении женщин на домашнем фронте 8 марта 2002 года в парламенте был внесен новый закон о насилии в семье – </w:t>
      </w:r>
      <w:r>
        <w:rPr>
          <w:b/>
          <w:lang w:val="ru-RU"/>
        </w:rPr>
        <w:t>Билль о защите от насилия в семье</w:t>
      </w:r>
      <w:r>
        <w:rPr>
          <w:lang w:val="ru-RU"/>
        </w:rPr>
        <w:t xml:space="preserve">, 2002 год; однако с роспуском парламента в 2004 году закон потерял силу. Нынешнее правительство взяло обязательство ввести в действие закон о насилии в семье. Учитывая рекомендации женских групп и Парламентского постоянного комитета, правительство подготовило новый законопроект о насилии в семье. Предлагается также ввести </w:t>
      </w:r>
      <w:r>
        <w:rPr>
          <w:b/>
          <w:lang w:val="ru-RU"/>
        </w:rPr>
        <w:t>резервирование мест за женщинами в национальном парламенте и законодательных собраниях штатов</w:t>
      </w:r>
      <w:r>
        <w:rPr>
          <w:lang w:val="ru-RU"/>
        </w:rPr>
        <w:t>.</w:t>
      </w:r>
    </w:p>
    <w:p w:rsidR="00D80435" w:rsidRDefault="00D80435">
      <w:pPr>
        <w:spacing w:after="380"/>
        <w:rPr>
          <w:lang w:val="ru-RU"/>
        </w:rPr>
      </w:pPr>
      <w:r>
        <w:rPr>
          <w:lang w:val="ru-RU"/>
        </w:rPr>
        <w:t>42.</w:t>
      </w:r>
      <w:r>
        <w:rPr>
          <w:lang w:val="ru-RU"/>
        </w:rPr>
        <w:tab/>
        <w:t>Приняты специальные законы, запрещающие и предотвращающие такую практику, как девадаси (посвящение женщины божеству) и сати (самосожжение женщины на погребальном костре ее покойного мужа). Девадаси практикуется только в штатах Карнатака, Тамилнад, Андхра-Прадеш, Махараштра, Орисса и Гоа. Эта практика основана на религиозных верованиях; злоупотребление подобными обрядами зачастую является одной из причин вовлечения женщин в проституцию. В указанных штатах были приняты специальные законы, запрещающие обращение женщин и девушек в девадаси и карающие нарушителей. Закон о девадаси штата Карнатака (запрещение посвящения) от 1982 года, например, запрещает посвящение женщин и девушек в девадаси и истолковывает подобные действия как незаконные. Этот законодательный акт предусматривает меры, поощряющие женщину-девадаси к возвращению в нормальную жизнь и признает юридическую действительность брака, заключенного женщиной-девадаси, а детей от подобного брака – законнорожденными, несмотря на принадлежность женщины к девадаси. Закон о предотвращении совершения сати 1987 года был принят в целях недопущения актов самосожжения и наказания любого лица, кто непосредственно или опосредованно подстрекает к отправлению обычая сати и пропагандирует сати. ДРЖД предложил поправки, ужесточающие этот законопроект.</w:t>
      </w:r>
    </w:p>
    <w:p w:rsidR="00D80435" w:rsidRDefault="00D80435">
      <w:pPr>
        <w:pStyle w:val="Heading2"/>
      </w:pPr>
      <w:r>
        <w:t>Механизмы для удовлетворения жалоб</w:t>
      </w:r>
    </w:p>
    <w:p w:rsidR="00D80435" w:rsidRDefault="00D80435">
      <w:pPr>
        <w:rPr>
          <w:lang w:val="ru-RU"/>
        </w:rPr>
      </w:pPr>
      <w:r>
        <w:rPr>
          <w:lang w:val="ru-RU"/>
        </w:rPr>
        <w:t>43.</w:t>
      </w:r>
      <w:r>
        <w:rPr>
          <w:lang w:val="ru-RU"/>
        </w:rPr>
        <w:tab/>
        <w:t>Учрежденный в каждом штате высший суд, а также Верховный суд выступают гарантами публичных прав, препятствуя фактам превышения власти и нарушениям основных прав. Верховный суд и высшие суды наделены полномочиями издавать соответствующие указания/распоряжения/предписания, в том числе судебный приказ должностному лицу о выполнении требований истца, приказ о доставке в суд, приказ о запрещении производства по делу, судебные приказы о производстве расследования правомерности претензий и об истребовании дел из производства нижестоящего суда в защиту от произвольной или незаконной административной акции. Правовая норма, оглашенная Верховным судом, действует на всей территории страны, и его решения имеют обязательную силу для всех судов и органов управления. Решения, вынесенные Верховным судом, могут быть принудительно осуществлены, и в соответствии со статьей</w:t>
      </w:r>
      <w:r>
        <w:t> </w:t>
      </w:r>
      <w:r>
        <w:rPr>
          <w:lang w:val="ru-RU"/>
        </w:rPr>
        <w:t>144 Конституции всем органам гражданской и судебной власти вменяется в обязанность оказывать содействие Верховному суду.</w:t>
      </w:r>
    </w:p>
    <w:p w:rsidR="00D80435" w:rsidRDefault="00D80435">
      <w:pPr>
        <w:rPr>
          <w:lang w:val="ru-RU"/>
        </w:rPr>
      </w:pPr>
      <w:r>
        <w:rPr>
          <w:lang w:val="ru-RU"/>
        </w:rPr>
        <w:t>44.</w:t>
      </w:r>
      <w:r>
        <w:rPr>
          <w:lang w:val="ru-RU"/>
        </w:rPr>
        <w:tab/>
        <w:t>Для рассмотрения правонарушений в отношении женщин были созданы специальные суды, а для обеспечения безотлагательного рассмотрения дел учреждены суды ускоренного производства. С 1984 года в 18 штатах и союзных территориях было образовано примерно 84 специализированных суда, в том числе суды по семейным делам, которые призваны решать вопросы внутрисемейного характера, такие как заключение брака, развод, попечение над ребенком, опека, содержание и т. п. Однако в большинстве судов подавляющее большинство дел связано с требованиями выплаты мужем алиментов. Функционирование и эффективность этих судов привлекли внимание парламентского Комитета по расширению прав и возможностей женщин. В настоящее время предложения Комитета находятся на рассмотрении в правительстве. Правительство уделяет особое внимание увеличению числа женщин-судей в составе судов по семейным делам, как оговорено в Законе о судах по семейным делам 1984 года.</w:t>
      </w:r>
    </w:p>
    <w:p w:rsidR="00D80435" w:rsidRDefault="00D80435">
      <w:pPr>
        <w:rPr>
          <w:lang w:val="ru-RU"/>
        </w:rPr>
      </w:pPr>
      <w:r>
        <w:rPr>
          <w:lang w:val="ru-RU"/>
        </w:rPr>
        <w:t>45.</w:t>
      </w:r>
      <w:r>
        <w:rPr>
          <w:lang w:val="ru-RU"/>
        </w:rPr>
        <w:tab/>
        <w:t>НКЖ осуществляет поставленные задачи, работая в различных направлениях: рассматривает жалобы отдельных лиц на притеснения, умаление прав, сексуальные домогательства на рабочем месте и т.</w:t>
      </w:r>
      <w:r>
        <w:t> </w:t>
      </w:r>
      <w:r>
        <w:rPr>
          <w:lang w:val="ru-RU"/>
        </w:rPr>
        <w:t>п., организует "париварик/махила лок адалат" (альтернативное урегулирование споров), программы и выездные мероприятия по повышению правовой осведомленности; просматривает ориентированные на женскую проблематику и касающиеся интересов женщин законоположения и т.</w:t>
      </w:r>
      <w:r>
        <w:t> </w:t>
      </w:r>
      <w:r>
        <w:rPr>
          <w:lang w:val="ru-RU"/>
        </w:rPr>
        <w:t>д. С момента своего учреждения НКЖ рассмотрела 24</w:t>
      </w:r>
      <w:r>
        <w:t> </w:t>
      </w:r>
      <w:r>
        <w:rPr>
          <w:lang w:val="ru-RU"/>
        </w:rPr>
        <w:t>025 жалоб, подавляющее большинство которых связано со смертельными случаями, связанными с требованием приданого, и домогательством приданого. Для рассмотрения индивидуальных жалоб Комиссия применила самый новаторский и неформальный подход – организацию публичных слушаний. Комиссия успешно проводит документирование информации по многим важным проблемам, таким как изнасилование, аборты, практика девадаси, сексуальное домогательство, насилие в отношении женщин во время общественных беспорядков и бесчинств и т.</w:t>
      </w:r>
      <w:r>
        <w:t> </w:t>
      </w:r>
      <w:r>
        <w:rPr>
          <w:lang w:val="ru-RU"/>
        </w:rPr>
        <w:t>п., а также поддерживает исследования по различным вопросам, касающимся женщин.</w:t>
      </w:r>
    </w:p>
    <w:p w:rsidR="00D80435" w:rsidRDefault="00D80435">
      <w:pPr>
        <w:rPr>
          <w:lang w:val="ru-RU"/>
        </w:rPr>
      </w:pPr>
      <w:r>
        <w:rPr>
          <w:lang w:val="ru-RU"/>
        </w:rPr>
        <w:t>46.</w:t>
      </w:r>
      <w:r>
        <w:rPr>
          <w:lang w:val="ru-RU"/>
        </w:rPr>
        <w:tab/>
        <w:t>Закон о защите прав человека от 1993 года предусматривает учреждение Национальной комиссии по правам человека и комиссий по правам человека в каждом штате в целях упрочения механизмов защиты прав человека и обеспечения соблюдения последних. Национальная комиссия по правам человека (НКПЧ) была создана в октябре 1993 года. Она правомочна рассматривать все случаи нарушения прав человека государственными служащими. В компетенцию НКПЧ входит расследование случаев нарушения прав человека или подстрекательства к ним; обзор конституционных и законодательных гарантий для защиты прав человека с целью обеспечения их эффективного осуществления; проведение исследований в области прав человека; посещение тюрем и других мест лишения свободы, находящихся в ведении государства; рассмотрение факторов, включая терроризм, которые препятствуют пользованию правами человека; рекомендация мер по исправлению положения и стимулирование деятельности неправительственных организаций и институтов, работающих в интересах прав человека. НКПЧ имеет полномочия гражданского суда по вызову отдельных лиц, протоколированию доказательств и расследованию как коллективных, так и индивидуальных жалоб, а также случаев нарушения прав человека. Согласно закону, любое разбирательство, осуществляемое Комиссией, является судебным процессом.</w:t>
      </w:r>
    </w:p>
    <w:p w:rsidR="00D80435" w:rsidRDefault="00D80435">
      <w:pPr>
        <w:rPr>
          <w:lang w:val="ru-RU"/>
        </w:rPr>
      </w:pPr>
      <w:r>
        <w:rPr>
          <w:lang w:val="ru-RU"/>
        </w:rPr>
        <w:t>47.</w:t>
      </w:r>
      <w:r>
        <w:rPr>
          <w:lang w:val="ru-RU"/>
        </w:rPr>
        <w:tab/>
        <w:t>Национальная комиссия по отсталым классам и Национальная комиссия по включенными в списки кастам и племенам также имеют полномочия принимать на рассмотрение отдельные жалобы относительно нарушения прав представителей этих каст или племен.</w:t>
      </w:r>
    </w:p>
    <w:p w:rsidR="00D80435" w:rsidRDefault="00D80435">
      <w:pPr>
        <w:spacing w:after="340"/>
        <w:rPr>
          <w:lang w:val="ru-RU"/>
        </w:rPr>
      </w:pPr>
      <w:r>
        <w:rPr>
          <w:lang w:val="ru-RU"/>
        </w:rPr>
        <w:t>48.</w:t>
      </w:r>
      <w:r>
        <w:rPr>
          <w:lang w:val="ru-RU"/>
        </w:rPr>
        <w:tab/>
        <w:t>Для ускорения рассмотрения дел в интересах женщин были приняты поправки к некоторым законам. Закон (поправка) о брачном праве, 2001 год, внес изменения в индийский Закон о разводе, 1869 год, Закон о браке и разводе парсов, 1936 год, Специальный закон о браке, 1954 год, и индусский Закон о браке, 1955 год; в новой поправке оговорено, что решение по ходатайству о назначении алиментов в процессе рассмотрения дела или о содержании и образовании несовершеннолетних детей должно быть принято в течение 60 дней со дня вручения уведомления ответчику. Законы (поправки) к Гражданско-процессуальному кодексу от 1999 года и 2002 года также предусматривают ускоренное судопроизводство в гражданских делах для всех, включая женщин.</w:t>
      </w:r>
    </w:p>
    <w:p w:rsidR="00D80435" w:rsidRDefault="00D80435">
      <w:pPr>
        <w:pStyle w:val="Heading2"/>
      </w:pPr>
      <w:r>
        <w:t>Инициативы судебной власти</w:t>
      </w:r>
    </w:p>
    <w:p w:rsidR="00D80435" w:rsidRDefault="00D80435">
      <w:pPr>
        <w:rPr>
          <w:lang w:val="ru-RU"/>
        </w:rPr>
      </w:pPr>
      <w:r>
        <w:rPr>
          <w:lang w:val="ru-RU"/>
        </w:rPr>
        <w:t>49.</w:t>
      </w:r>
      <w:r>
        <w:rPr>
          <w:lang w:val="ru-RU"/>
        </w:rPr>
        <w:tab/>
        <w:t xml:space="preserve">Статья 51 Конституции налагает на государство обязательство поощрять уважение к международному праву и договору, однако не разрешает применять положения договора без включения их путем инкорпорации в действующее законодательство. </w:t>
      </w:r>
    </w:p>
    <w:p w:rsidR="00D80435" w:rsidRDefault="00D80435">
      <w:pPr>
        <w:rPr>
          <w:lang w:val="ru-RU"/>
        </w:rPr>
      </w:pPr>
      <w:r>
        <w:rPr>
          <w:lang w:val="ru-RU"/>
        </w:rPr>
        <w:t>50.</w:t>
      </w:r>
      <w:r>
        <w:rPr>
          <w:lang w:val="ru-RU"/>
        </w:rPr>
        <w:tab/>
        <w:t>Несмотря на то что Конвенция о ликвидации всех форм дискриминации в отношении женщин не была инкорпорирована в законодательство, судебные органы немало способствовали применению принципов этого документа в своих многочисленных решениях. В деле Вишаки (</w:t>
      </w:r>
      <w:r>
        <w:t>AIR</w:t>
      </w:r>
      <w:r>
        <w:rPr>
          <w:lang w:val="ru-RU"/>
        </w:rPr>
        <w:t xml:space="preserve"> 1997 </w:t>
      </w:r>
      <w:r>
        <w:t>SC</w:t>
      </w:r>
      <w:r>
        <w:rPr>
          <w:lang w:val="ru-RU"/>
        </w:rPr>
        <w:t xml:space="preserve"> 3011) Верховный суд постановил, что нормы любой международной конвенции, не противоречащие основным правам и соответствующие их принципам должны учитываться в этих положениях, чтобы расширить значение и содержание последних в целях укрепления конституционных гарантий. Это решение позволило женщинам ссылаться на положения международных договоров и их принудительное применение. По данному делу Верховный суд сформулировал руководящие указания для борьбы с сексуальными домогательствами, определение которых он заимствовал из Общий рекомендации 19 к Конвенции.</w:t>
      </w:r>
    </w:p>
    <w:p w:rsidR="00D80435" w:rsidRDefault="00D80435">
      <w:pPr>
        <w:rPr>
          <w:lang w:val="ru-RU"/>
        </w:rPr>
      </w:pPr>
      <w:r>
        <w:rPr>
          <w:lang w:val="ru-RU"/>
        </w:rPr>
        <w:t>51.</w:t>
      </w:r>
      <w:r>
        <w:rPr>
          <w:lang w:val="ru-RU"/>
        </w:rPr>
        <w:tab/>
        <w:t xml:space="preserve">В деле </w:t>
      </w:r>
      <w:r>
        <w:rPr>
          <w:b/>
          <w:lang w:val="ru-RU"/>
        </w:rPr>
        <w:t>Гиты Харихаран (</w:t>
      </w:r>
      <w:r>
        <w:rPr>
          <w:b/>
        </w:rPr>
        <w:t>AIR</w:t>
      </w:r>
      <w:r>
        <w:rPr>
          <w:b/>
          <w:lang w:val="ru-RU"/>
        </w:rPr>
        <w:t xml:space="preserve"> 1999 </w:t>
      </w:r>
      <w:r>
        <w:rPr>
          <w:b/>
        </w:rPr>
        <w:t>SC</w:t>
      </w:r>
      <w:r>
        <w:rPr>
          <w:b/>
          <w:lang w:val="ru-RU"/>
        </w:rPr>
        <w:t xml:space="preserve"> 1149)</w:t>
      </w:r>
      <w:r>
        <w:rPr>
          <w:lang w:val="ru-RU"/>
        </w:rPr>
        <w:t xml:space="preserve">, касающемся права женщины выступать в качестве опекуна несовершеннолетнего ребенка, руководствуясь принципами Конвенции, суд определил положения индусского Закона о несовершеннолетних и опеке от 1956 года </w:t>
      </w:r>
      <w:r>
        <w:rPr>
          <w:lang w:val="ru-RU"/>
        </w:rPr>
        <w:br/>
        <w:t>как дискриминационные. По делу</w:t>
      </w:r>
      <w:r>
        <w:rPr>
          <w:b/>
          <w:lang w:val="ru-RU"/>
        </w:rPr>
        <w:t xml:space="preserve"> Бандхуа Мукти Морча против Индийского союза, (1997) </w:t>
      </w:r>
      <w:r>
        <w:rPr>
          <w:b/>
          <w:lang w:val="ru-RU"/>
        </w:rPr>
        <w:br/>
        <w:t xml:space="preserve">10 </w:t>
      </w:r>
      <w:r>
        <w:rPr>
          <w:b/>
        </w:rPr>
        <w:t>SC</w:t>
      </w:r>
      <w:r>
        <w:rPr>
          <w:b/>
          <w:lang w:val="ru-RU"/>
        </w:rPr>
        <w:t xml:space="preserve"> 549</w:t>
      </w:r>
      <w:r>
        <w:rPr>
          <w:lang w:val="ru-RU"/>
        </w:rPr>
        <w:t xml:space="preserve"> в отношении использования детского труда, Верховный суд признал: "Без сомнения, правительство, ратифицируя Конвенцию с оговоркой о постепенной реализации ее установок, помнило о взятых на себя в силу этого соглашения обязательствах, которые не освобождают государство при осуществлении его руководящей роли от требований, закрепленных в руководящих принципах Конституции, в частности, статьях 45, 39</w:t>
      </w:r>
      <w:r>
        <w:t> </w:t>
      </w:r>
      <w:r>
        <w:rPr>
          <w:lang w:val="ru-RU"/>
        </w:rPr>
        <w:t xml:space="preserve">е) и </w:t>
      </w:r>
      <w:r>
        <w:t>f</w:t>
      </w:r>
      <w:r>
        <w:rPr>
          <w:lang w:val="ru-RU"/>
        </w:rPr>
        <w:t>), 46, прочитанных вместе с преамбулой, статьях 21, 23 и 24 Конституции, предусматривающих обеспечение социально-экономической справедливости по отношению к детям и расширение их прав, обеспечение условий для полного развития их личности – в социальном, образовательном и культурном аспектах – с правом на отдых и возможностью для развития реформаторского духа, любознательности, гуманизма и научных интересов с целью совершенствования личности как отдельного человека, так и всего общества". Кроме того, в решении по делу "М.Ч.</w:t>
      </w:r>
      <w:r>
        <w:t> </w:t>
      </w:r>
      <w:r>
        <w:rPr>
          <w:lang w:val="ru-RU"/>
        </w:rPr>
        <w:t xml:space="preserve">Мехта против штата Тамилнад" [1996) 6 </w:t>
      </w:r>
      <w:r>
        <w:t>SCC</w:t>
      </w:r>
      <w:r>
        <w:rPr>
          <w:lang w:val="ru-RU"/>
        </w:rPr>
        <w:t xml:space="preserve"> 756] Верховный суд предписал правительству осуществлять контроль и предотвращать случаи использования детского труда на предприятиях, производящих крекеры Шивакаси.</w:t>
      </w:r>
    </w:p>
    <w:p w:rsidR="00D80435" w:rsidRDefault="00D80435">
      <w:pPr>
        <w:spacing w:after="380"/>
        <w:rPr>
          <w:lang w:val="ru-RU"/>
        </w:rPr>
      </w:pPr>
      <w:r>
        <w:rPr>
          <w:lang w:val="ru-RU"/>
        </w:rPr>
        <w:t>52.</w:t>
      </w:r>
      <w:r>
        <w:rPr>
          <w:lang w:val="ru-RU"/>
        </w:rPr>
        <w:tab/>
        <w:t xml:space="preserve">По делу </w:t>
      </w:r>
      <w:r>
        <w:rPr>
          <w:b/>
          <w:lang w:val="ru-RU"/>
        </w:rPr>
        <w:t>Гаурава Джаина (</w:t>
      </w:r>
      <w:r>
        <w:rPr>
          <w:b/>
        </w:rPr>
        <w:t>AIR</w:t>
      </w:r>
      <w:r>
        <w:rPr>
          <w:b/>
          <w:lang w:val="ru-RU"/>
        </w:rPr>
        <w:t xml:space="preserve"> 1997 </w:t>
      </w:r>
      <w:r>
        <w:rPr>
          <w:b/>
        </w:rPr>
        <w:t>SC</w:t>
      </w:r>
      <w:r>
        <w:rPr>
          <w:b/>
          <w:lang w:val="ru-RU"/>
        </w:rPr>
        <w:t xml:space="preserve"> 3021)</w:t>
      </w:r>
      <w:r>
        <w:rPr>
          <w:lang w:val="ru-RU"/>
        </w:rPr>
        <w:t xml:space="preserve"> Верховный суд, касаясь женской проституции, повторил принципы, провозглашенные в Конвенции о ликвидации всех форм дискриминации в отношении женщин, и подтвердил, что права женщин, включая девочек, являются неотъемлемой составляющей всеобщих прав человека. В решении по делу </w:t>
      </w:r>
      <w:r>
        <w:rPr>
          <w:b/>
          <w:lang w:val="ru-RU"/>
        </w:rPr>
        <w:t>Совета по стимулированию экспорта швейных изделий (</w:t>
      </w:r>
      <w:r>
        <w:rPr>
          <w:b/>
        </w:rPr>
        <w:t>AIR</w:t>
      </w:r>
      <w:r>
        <w:rPr>
          <w:b/>
          <w:lang w:val="ru-RU"/>
        </w:rPr>
        <w:t xml:space="preserve"> 1999 </w:t>
      </w:r>
      <w:r>
        <w:rPr>
          <w:b/>
        </w:rPr>
        <w:t>SC</w:t>
      </w:r>
      <w:r>
        <w:rPr>
          <w:b/>
          <w:lang w:val="ru-RU"/>
        </w:rPr>
        <w:t xml:space="preserve"> 625)</w:t>
      </w:r>
      <w:r>
        <w:rPr>
          <w:lang w:val="ru-RU"/>
        </w:rPr>
        <w:t xml:space="preserve"> о сексуальном домогательстве Верховный суд признал, что международные правовые акты обязывают Индию учитывать в законодательстве гендерные аспекты, и возложил на суды обязанность следить за тем, чтобы этому положению международных документов уделялось должное внимание. Судам вменено в обязанность учитывать положения международных конвенций и правовых норм при толковании внутренних законов, особенно при отсутствии противоречий между ними и при наличии пробелов во внутреннем законодательстве. В решении по делу </w:t>
      </w:r>
      <w:r>
        <w:rPr>
          <w:b/>
          <w:lang w:val="ru-RU"/>
        </w:rPr>
        <w:t>Муниципальная корпорация Дели против работниц корпорации (список служащих) (</w:t>
      </w:r>
      <w:r>
        <w:rPr>
          <w:b/>
        </w:rPr>
        <w:t>AIR</w:t>
      </w:r>
      <w:r>
        <w:rPr>
          <w:b/>
          <w:lang w:val="ru-RU"/>
        </w:rPr>
        <w:t xml:space="preserve"> 2000 </w:t>
      </w:r>
      <w:r>
        <w:rPr>
          <w:b/>
        </w:rPr>
        <w:t>SC</w:t>
      </w:r>
      <w:r>
        <w:rPr>
          <w:b/>
          <w:lang w:val="ru-RU"/>
        </w:rPr>
        <w:t xml:space="preserve"> 1274)</w:t>
      </w:r>
      <w:r>
        <w:rPr>
          <w:lang w:val="ru-RU"/>
        </w:rPr>
        <w:t xml:space="preserve"> Верховный суд, касаясь прав женщин-поденщиц на пособия по беременности и родам, признал материнство социальной функцией женщины в соответствии со статьей 5</w:t>
      </w:r>
      <w:r>
        <w:t> b</w:t>
      </w:r>
      <w:r>
        <w:rPr>
          <w:lang w:val="ru-RU"/>
        </w:rPr>
        <w:t>) Конвенции о ликвидации всех форм дискриминации в отношении женщин. В решении по делу</w:t>
      </w:r>
      <w:r>
        <w:rPr>
          <w:b/>
          <w:lang w:val="ru-RU"/>
        </w:rPr>
        <w:t xml:space="preserve"> Ч.</w:t>
      </w:r>
      <w:r>
        <w:rPr>
          <w:b/>
        </w:rPr>
        <w:t> </w:t>
      </w:r>
      <w:r>
        <w:rPr>
          <w:b/>
          <w:lang w:val="ru-RU"/>
        </w:rPr>
        <w:t>Масиламани Мудлияр (</w:t>
      </w:r>
      <w:r>
        <w:rPr>
          <w:b/>
        </w:rPr>
        <w:t>AIR</w:t>
      </w:r>
      <w:r>
        <w:rPr>
          <w:b/>
          <w:lang w:val="ru-RU"/>
        </w:rPr>
        <w:t xml:space="preserve"> 1996 </w:t>
      </w:r>
      <w:r>
        <w:rPr>
          <w:b/>
        </w:rPr>
        <w:t>SC</w:t>
      </w:r>
      <w:r>
        <w:rPr>
          <w:b/>
          <w:lang w:val="ru-RU"/>
        </w:rPr>
        <w:t xml:space="preserve"> 1697)</w:t>
      </w:r>
      <w:r>
        <w:rPr>
          <w:lang w:val="ru-RU"/>
        </w:rPr>
        <w:t xml:space="preserve"> Верховный суд, касаясь имущественных прав женщин, признал, что основанные на священных текстах персональные законы, которые предоставляют неполноценный статус женщине, являются проклятием для равноправия. Суд призвал государство устранить препятствия, запретить любую дискриминацию по признаку пола, как предписано статьями 14 и 15 Конституции Индии. Согласно статье</w:t>
      </w:r>
      <w:r>
        <w:t> </w:t>
      </w:r>
      <w:r>
        <w:rPr>
          <w:lang w:val="ru-RU"/>
        </w:rPr>
        <w:t>2</w:t>
      </w:r>
      <w:r>
        <w:t> f</w:t>
      </w:r>
      <w:r>
        <w:rPr>
          <w:lang w:val="ru-RU"/>
        </w:rPr>
        <w:t xml:space="preserve">) и другим статьям Конвенции, относящимся к этому вопросу, государству надлежит принять все необходимые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 Так, в решении по делу </w:t>
      </w:r>
      <w:r>
        <w:rPr>
          <w:b/>
          <w:lang w:val="ru-RU"/>
        </w:rPr>
        <w:t>Валсаммы Пауля (</w:t>
      </w:r>
      <w:r>
        <w:rPr>
          <w:b/>
        </w:rPr>
        <w:t>AIR </w:t>
      </w:r>
      <w:r>
        <w:rPr>
          <w:b/>
          <w:lang w:val="ru-RU"/>
        </w:rPr>
        <w:t>1996</w:t>
      </w:r>
      <w:r>
        <w:rPr>
          <w:b/>
        </w:rPr>
        <w:t> SC</w:t>
      </w:r>
      <w:r>
        <w:rPr>
          <w:b/>
          <w:lang w:val="ru-RU"/>
        </w:rPr>
        <w:t xml:space="preserve"> 1011) </w:t>
      </w:r>
      <w:r>
        <w:rPr>
          <w:lang w:val="ru-RU"/>
        </w:rPr>
        <w:t>Верховный суд отметил, что "хотя правительство Индии придерживалось своих оговорок к статьям 5</w:t>
      </w:r>
      <w:r>
        <w:t> </w:t>
      </w:r>
      <w:r>
        <w:rPr>
          <w:lang w:val="ru-RU"/>
        </w:rPr>
        <w:t>а), пунктам 1 и 2 статьи 16 и статьи 29 Конвенции о ликвидации всех форм дискриминации в отношении женщин, их значение не столь велико, если учесть основные права, зафиксированные в пунктах 1 и 3 статьи 15 и статье</w:t>
      </w:r>
      <w:r>
        <w:t> </w:t>
      </w:r>
      <w:r>
        <w:rPr>
          <w:lang w:val="ru-RU"/>
        </w:rPr>
        <w:t xml:space="preserve">21, а также в руководящих принципах Конституции". В решении по делу </w:t>
      </w:r>
      <w:r>
        <w:rPr>
          <w:b/>
          <w:lang w:val="ru-RU"/>
        </w:rPr>
        <w:t>Джона Валламаттома (</w:t>
      </w:r>
      <w:r>
        <w:rPr>
          <w:b/>
        </w:rPr>
        <w:t>AIR</w:t>
      </w:r>
      <w:r>
        <w:rPr>
          <w:b/>
          <w:lang w:val="ru-RU"/>
        </w:rPr>
        <w:t xml:space="preserve"> </w:t>
      </w:r>
      <w:r>
        <w:rPr>
          <w:b/>
        </w:rPr>
        <w:t>SC</w:t>
      </w:r>
      <w:r>
        <w:rPr>
          <w:b/>
          <w:lang w:val="ru-RU"/>
        </w:rPr>
        <w:t xml:space="preserve"> 2003 2902)</w:t>
      </w:r>
      <w:r>
        <w:rPr>
          <w:lang w:val="ru-RU"/>
        </w:rPr>
        <w:t xml:space="preserve"> Верховный суд вновь подчеркнул необходимость составить общий гражданский кодекс в соответствии со статьей 44 Конституции, который помог бы устранить противоречия, проистекающие из различий в мировоззрении.</w:t>
      </w:r>
    </w:p>
    <w:p w:rsidR="00D80435" w:rsidRDefault="00D80435">
      <w:pPr>
        <w:pStyle w:val="Heading2"/>
      </w:pPr>
      <w:r>
        <w:t>Инициативы политических партий</w:t>
      </w:r>
    </w:p>
    <w:p w:rsidR="00D80435" w:rsidRDefault="00D80435">
      <w:pPr>
        <w:spacing w:after="380"/>
        <w:rPr>
          <w:lang w:val="ru-RU"/>
        </w:rPr>
      </w:pPr>
      <w:r>
        <w:rPr>
          <w:lang w:val="ru-RU"/>
        </w:rPr>
        <w:t>53.</w:t>
      </w:r>
      <w:r>
        <w:rPr>
          <w:lang w:val="ru-RU"/>
        </w:rPr>
        <w:tab/>
        <w:t>В Общей программе-минимум ныне действующее правительство обязалось внести законопроект о резервировании за женщинами не менее одной трети мест в парламенте и законодательных собраниях штатов. Кроме того, в Программе содержится обязательство внести законопроект о насилии в семье и дискриминации по признаку пола, внести поправки к дискриминационным законам и принять новые законодательные акты, предоставляющие женщинам равные права собственности на такое имущество, как дом и земля. Программа также должна обеспечить целевое использование трети фондов, выделяемых панчаятам, на осуществление программ развития женщин и детей, а также привлечь сельских женщин к активному участию в реализации проектов в области развития, в том числе мероприятий, связанных с обеспечением питьевой водой, программами в области образования, здравоохранения и т. п.</w:t>
      </w:r>
    </w:p>
    <w:p w:rsidR="00D80435" w:rsidRDefault="00D80435">
      <w:pPr>
        <w:pStyle w:val="Heading2"/>
      </w:pPr>
      <w:r>
        <w:t xml:space="preserve">Инициативы гражданского общества </w:t>
      </w:r>
    </w:p>
    <w:p w:rsidR="00D80435" w:rsidRDefault="00D80435">
      <w:pPr>
        <w:spacing w:after="380"/>
        <w:rPr>
          <w:lang w:val="ru-RU"/>
        </w:rPr>
      </w:pPr>
      <w:r>
        <w:rPr>
          <w:lang w:val="ru-RU"/>
        </w:rPr>
        <w:t>54.</w:t>
      </w:r>
      <w:r>
        <w:rPr>
          <w:lang w:val="ru-RU"/>
        </w:rPr>
        <w:tab/>
        <w:t>Гражданские общественные организации активно осуществляли контроль над выполнением государством его обязательств по ликвидации дискриминационных законов и содействию эффективному осуществлению правосудия в интересах женщин. Основными методами работы этих организаций являются информационно-пропагандистская деятельность, лоббирование и координация усилий. Они также сотрудничают с правительством при разработке законопроектов в области прав женщин.</w:t>
      </w:r>
    </w:p>
    <w:p w:rsidR="00D80435" w:rsidRDefault="00D80435">
      <w:pPr>
        <w:pStyle w:val="Heading2"/>
      </w:pPr>
      <w:r>
        <w:t>Предстоящие задачи</w:t>
      </w:r>
    </w:p>
    <w:p w:rsidR="00D80435" w:rsidRDefault="00D80435">
      <w:pPr>
        <w:rPr>
          <w:lang w:val="ru-RU"/>
        </w:rPr>
      </w:pPr>
      <w:r>
        <w:rPr>
          <w:lang w:val="ru-RU"/>
        </w:rPr>
        <w:t>55.</w:t>
      </w:r>
      <w:r>
        <w:rPr>
          <w:lang w:val="ru-RU"/>
        </w:rPr>
        <w:tab/>
        <w:t>Особое внимание правительство уделяет обеспечению равноправия и борьбе с дискриминацией. Женские инициативные группы выступают с требованием принятия антидискриминационного закона, предусматривающего обеспечение средств судебной защиты, возмещение ущерба, уголовное преследование и санкций против дискриминационной практики. В настоящее время правительство изучает предложение Комитета по ликвидации дискриминации в отношении женщин о подобном законодательном акте, сформулированное в его заключительных комментариях.</w:t>
      </w:r>
    </w:p>
    <w:p w:rsidR="00D80435" w:rsidRDefault="00D80435">
      <w:pPr>
        <w:rPr>
          <w:lang w:val="ru-RU"/>
        </w:rPr>
      </w:pPr>
    </w:p>
    <w:p w:rsidR="00D80435" w:rsidRDefault="00D80435">
      <w:pPr>
        <w:jc w:val="center"/>
        <w:rPr>
          <w:b/>
          <w:sz w:val="24"/>
          <w:lang w:val="ru-RU"/>
        </w:rPr>
      </w:pPr>
      <w:r>
        <w:rPr>
          <w:b/>
          <w:sz w:val="24"/>
          <w:lang w:val="ru-RU"/>
        </w:rPr>
        <w:t>Статья 3.  Меры по обеспечению развития и улучшения</w:t>
      </w:r>
      <w:r>
        <w:rPr>
          <w:b/>
          <w:sz w:val="24"/>
          <w:lang w:val="ru-RU"/>
        </w:rPr>
        <w:br/>
        <w:t xml:space="preserve"> положения женщин</w:t>
      </w:r>
    </w:p>
    <w:p w:rsidR="00D80435" w:rsidRDefault="00D80435">
      <w:pPr>
        <w:rPr>
          <w:lang w:val="ru-RU"/>
        </w:rPr>
      </w:pPr>
      <w:r>
        <w:rPr>
          <w:b/>
          <w:lang w:val="ru-RU"/>
        </w:rPr>
        <w:t>Основные сведения</w:t>
      </w:r>
    </w:p>
    <w:p w:rsidR="00D80435" w:rsidRDefault="00D80435">
      <w:pPr>
        <w:spacing w:after="380"/>
        <w:rPr>
          <w:lang w:val="ru-RU"/>
        </w:rPr>
      </w:pPr>
      <w:r>
        <w:rPr>
          <w:lang w:val="ru-RU"/>
        </w:rPr>
        <w:t>56.</w:t>
      </w:r>
      <w:r>
        <w:rPr>
          <w:lang w:val="ru-RU"/>
        </w:rPr>
        <w:tab/>
        <w:t>Помимо гарантий основных прав в Конституции предусмотрен целый ряд руководящих принципов государственной политики, которые обязывают государство обеспечить соответствующие условия, чтобы дать возможность гражданам пользоваться своими правами.</w:t>
      </w:r>
    </w:p>
    <w:p w:rsidR="00D80435" w:rsidRDefault="00D80435">
      <w:pPr>
        <w:pStyle w:val="Heading2"/>
      </w:pPr>
      <w:r>
        <w:t>Государственные инициативы</w:t>
      </w:r>
    </w:p>
    <w:p w:rsidR="00D80435" w:rsidRDefault="00D80435">
      <w:pPr>
        <w:rPr>
          <w:lang w:val="ru-RU"/>
        </w:rPr>
      </w:pPr>
      <w:r>
        <w:rPr>
          <w:lang w:val="ru-RU"/>
        </w:rPr>
        <w:t>57.</w:t>
      </w:r>
      <w:r>
        <w:rPr>
          <w:lang w:val="ru-RU"/>
        </w:rPr>
        <w:tab/>
        <w:t>Правительство выступило с рядом инициатив, позволяющих на практике обеспечить женщинам возможность осуществления и использования своих прав. Департамент развития женщин и детей является центральным органом, направляющим, координирующим и контролирующим действия правительства и неправительственных организаций; он работает во взаимодействии с другими институтами, такими как Центральный совет социального обеспечения (ЦССО), корпорации по развитию женщин, Национальный институт по общественному сотрудничеству и развитию детей (НИОСРД) и Раштрия Махила Кош (</w:t>
      </w:r>
      <w:r>
        <w:t>R</w:t>
      </w:r>
      <w:r>
        <w:rPr>
          <w:lang w:val="ru-RU"/>
        </w:rPr>
        <w:t>МК). На уровне штата институциональными механизмами являются Департамент по развитию женщин и детей, Комиссия по делам женщин, корпорации по развитию женщин и советы социального обеспечения. Комиссия по планированию проводит периодические обзоры мероприятий и анализирует их воздействие на положение женщин.</w:t>
      </w:r>
    </w:p>
    <w:p w:rsidR="00D80435" w:rsidRDefault="00D80435">
      <w:pPr>
        <w:rPr>
          <w:lang w:val="ru-RU"/>
        </w:rPr>
      </w:pPr>
      <w:r>
        <w:rPr>
          <w:lang w:val="ru-RU"/>
        </w:rPr>
        <w:t>58.</w:t>
      </w:r>
      <w:r>
        <w:rPr>
          <w:lang w:val="ru-RU"/>
        </w:rPr>
        <w:tab/>
        <w:t>В 1997 году правительство учредило Парламентский комитет по расширению прав и возможностей женщин. В 2004 году реформированному Комитету было поручено представлять доклады о мерах, принятых для улучшения статуса/положения женщин в сферах, находящихся в компетенции центрального правительства, включая союзные территории; проводить анализ мероприятий, осуществленных в целях обеспечения равноправия, социального статуса и достоинства женщин во всех сферах, и представлять отчетность об эффективности программ, направленных на улучшение положения женщин. По состоянию на февраль 2004 года Комитет рассмотрел и представил в парламент 18</w:t>
      </w:r>
      <w:r>
        <w:t> </w:t>
      </w:r>
      <w:r>
        <w:rPr>
          <w:lang w:val="ru-RU"/>
        </w:rPr>
        <w:t>докладов по различным вопросам, в том числе проекты развития потенциала сельских женщин, программы обучения женщин, доклады о положении женщин-заключенных и о насилии в отношении женщин во время общественных беспорядков, а также функционировании Национальной комиссии по делам женщин и комиссий штатов. Были также представлены разработанные для женщин программы по вопросам здравоохранения и охраны семьи, освещены вопросы, связанные с функционированием судов по семейным делам, образовательными программами для женщин и группами самопомощи, а также расширением полномочий женщин в органах местного самоуправления. Многие рекомендации, представленные НКЖ и Парламентским комитетом по расширению прав и возможностей женщин, в настоящее время рассматриваются правительством.</w:t>
      </w:r>
    </w:p>
    <w:p w:rsidR="00D80435" w:rsidRDefault="00D80435">
      <w:pPr>
        <w:rPr>
          <w:lang w:val="ru-RU"/>
        </w:rPr>
      </w:pPr>
      <w:r>
        <w:rPr>
          <w:lang w:val="ru-RU"/>
        </w:rPr>
        <w:t>59.</w:t>
      </w:r>
      <w:r>
        <w:rPr>
          <w:lang w:val="ru-RU"/>
        </w:rPr>
        <w:tab/>
        <w:t>ДРЖД, НКЖ и Парламентский комитет по расширению прав и возможностей женщин постоянно проводят обзор различных законов, политики и программ. При формулировании и пересмотре политики и законов учитываются гендерные аспекты и проблемы женщин.</w:t>
      </w:r>
    </w:p>
    <w:p w:rsidR="00D80435" w:rsidRDefault="00D80435">
      <w:pPr>
        <w:rPr>
          <w:lang w:val="ru-RU"/>
        </w:rPr>
      </w:pPr>
      <w:r>
        <w:rPr>
          <w:lang w:val="ru-RU"/>
        </w:rPr>
        <w:t>60.</w:t>
      </w:r>
      <w:r>
        <w:rPr>
          <w:lang w:val="ru-RU"/>
        </w:rPr>
        <w:tab/>
        <w:t>Закон об органах по предоставлению юридических услуг 1987 года с поправками от 2002 года обеспечивает женщинам доступ к органам правосудия. На основании этого закона правительство предоставляет бесплатную правовую помощь и услуги адвокатов бедным и неимущим женщинам независимо от характера судебного дела. Правительство проводит различные программы по обеспечению правовой грамотности на уровне общин и способствует формированию общественного правосознания. Оно также предусматривает альтернативные механизмы разрешения споров, такие как "лок адалат" (посредничество и примирение), и совместно с Национальной комиссией и комиссиями штатов по делам женщин обеспечивает функционирование "париварик адалат" (органа, занимающегося семейными спорами). Благодаря этим альтернативным механизмам многие разногласия были урегулированы без обращения в суд и женщины получили доступ к быстрому правосудию и решению их проблем.</w:t>
      </w:r>
    </w:p>
    <w:p w:rsidR="00D80435" w:rsidRDefault="00D80435">
      <w:pPr>
        <w:rPr>
          <w:lang w:val="ru-RU"/>
        </w:rPr>
      </w:pPr>
      <w:r>
        <w:rPr>
          <w:lang w:val="ru-RU"/>
        </w:rPr>
        <w:t>61.</w:t>
      </w:r>
      <w:r>
        <w:rPr>
          <w:lang w:val="ru-RU"/>
        </w:rPr>
        <w:tab/>
        <w:t>Национальная политика обеспечения питанием, принятая в 1993 году под эгидой ДРЖД, признает комплексный характер проблемы недостаточного питания и отстаивает многопрофильный подход для ее урегулирования. Для осуществления задач Национальной политики обеспечения питанием была учреждена Национальная миссия по обеспечению питанием под председательством премьер-министра.</w:t>
      </w:r>
    </w:p>
    <w:p w:rsidR="00D80435" w:rsidRDefault="00D80435">
      <w:pPr>
        <w:rPr>
          <w:lang w:val="ru-RU"/>
        </w:rPr>
      </w:pPr>
      <w:r>
        <w:rPr>
          <w:lang w:val="ru-RU"/>
        </w:rPr>
        <w:t>62.</w:t>
      </w:r>
      <w:r>
        <w:rPr>
          <w:lang w:val="ru-RU"/>
        </w:rPr>
        <w:tab/>
        <w:t>Принятая в 2002 году национальная политика в области здравоохранения призвана облегчить и расширить доступ женщин к первичной медицинской помощи и обеспечить комплексную охрану здоровья. Эта политика придает первостепенное значение финансированию целевых программ в интересах женщин. Принятые в этом направлении меры и достижения подробно изложены в статье 12.</w:t>
      </w:r>
    </w:p>
    <w:p w:rsidR="00D80435" w:rsidRDefault="00D80435">
      <w:pPr>
        <w:rPr>
          <w:lang w:val="ru-RU"/>
        </w:rPr>
      </w:pPr>
      <w:r>
        <w:rPr>
          <w:lang w:val="ru-RU"/>
        </w:rPr>
        <w:t>63.</w:t>
      </w:r>
      <w:r>
        <w:rPr>
          <w:lang w:val="ru-RU"/>
        </w:rPr>
        <w:tab/>
        <w:t>Национальная политика в области народонаселения, принятая в 2000 году, занимается вопросами, связанными со стабилизацией численности населения, и обеспечивает всеобщий доступ к качественным услугам в области контрацепции как способу достижения нормы "два ребенка на семью". Она нацелена на снижение коэффициента младенческой и материнской смертности, проведение всеобщей иммунизации детей, повышение возраста вступления в брак для девушек и увеличение числа родов в стационарных условиях.</w:t>
      </w:r>
    </w:p>
    <w:p w:rsidR="00D80435" w:rsidRDefault="00D80435">
      <w:pPr>
        <w:rPr>
          <w:lang w:val="ru-RU"/>
        </w:rPr>
      </w:pPr>
      <w:r>
        <w:rPr>
          <w:lang w:val="ru-RU"/>
        </w:rPr>
        <w:t>64.</w:t>
      </w:r>
      <w:r>
        <w:rPr>
          <w:lang w:val="ru-RU"/>
        </w:rPr>
        <w:tab/>
        <w:t>Национальная политика в области образования 1986 года (пересмотренная в 1992</w:t>
      </w:r>
      <w:r>
        <w:t> </w:t>
      </w:r>
      <w:r>
        <w:rPr>
          <w:lang w:val="ru-RU"/>
        </w:rPr>
        <w:t>году) дала значительный толчок делу введения системы всеобщего начального образования. Эта политика и соответствующий План действий 1992 года уделяют особое внимание устранению диспропорций. В рамках политики, в частности, делается акцент на роли всей системы образования как инструмента осуществления позитивных действий по расширению прав и возможностей женщин и предусматриваются специальные меры по оказанию женщинам помощи в получении образования и устранению факторов, препятствующих распространению знаний среди женщин и девочек. Национальная миссия по обеспечению грамотности, учрежденная в 1988 году для достижения полной грамотности населения, то есть устойчивого порогового уровня в 75</w:t>
      </w:r>
      <w:r>
        <w:t> </w:t>
      </w:r>
      <w:r>
        <w:rPr>
          <w:lang w:val="ru-RU"/>
        </w:rPr>
        <w:t>процентов к 2005</w:t>
      </w:r>
      <w:r>
        <w:t> </w:t>
      </w:r>
      <w:r>
        <w:rPr>
          <w:lang w:val="ru-RU"/>
        </w:rPr>
        <w:t>году, по-прежнему привержена многоцелевой стратегии искоренения неграмотности. На настоящий момент в 576 из 600 округов начата интенсивная работа по обеспечению грамотности. Из них 160 округов были охвачены кампанией по обеспечению всеобщей грамотности, 264 – кампанией по развитию навыков грамотности и 152 – проектом непрерывного образования. К декабрю 2000 года грамотными стали 91,43 млн. человек, 61</w:t>
      </w:r>
      <w:r>
        <w:t> </w:t>
      </w:r>
      <w:r>
        <w:rPr>
          <w:lang w:val="ru-RU"/>
        </w:rPr>
        <w:t>процент из которых составляли женщины. К 1999–2000 годам в рамках проекта неформального образования в 292</w:t>
      </w:r>
      <w:r>
        <w:t> </w:t>
      </w:r>
      <w:r>
        <w:rPr>
          <w:lang w:val="ru-RU"/>
        </w:rPr>
        <w:t>тыс. центрах неформального образования, созданных в 25 штатах и союзных территориях, прошло обучение 7,3 млн. человек. Проект был нацелен на детей, не посещающих школу, которые остались за рамками системы формального образования в силу социально-экономических причин и культурных традиций.</w:t>
      </w:r>
    </w:p>
    <w:p w:rsidR="00D80435" w:rsidRDefault="00D80435">
      <w:pPr>
        <w:rPr>
          <w:lang w:val="ru-RU"/>
        </w:rPr>
      </w:pPr>
      <w:r>
        <w:rPr>
          <w:lang w:val="ru-RU"/>
        </w:rPr>
        <w:t>65.</w:t>
      </w:r>
      <w:r>
        <w:rPr>
          <w:lang w:val="ru-RU"/>
        </w:rPr>
        <w:tab/>
        <w:t>Проект Махила Самахая начал осуществляться в 1989 году. Проект направлен в первую очередь на практическую реализацию задач Национальной политики в области образования в форме конкретных обучающих программ, направленных на расширение прав и возможностей женщин в сельских районах, в особенности женщин из отсталых в социальном и экономическом отношении слоев населения. С годами рамки программы были расширены, и в настоящее время она осуществляется в 13</w:t>
      </w:r>
      <w:r>
        <w:t> </w:t>
      </w:r>
      <w:r>
        <w:rPr>
          <w:lang w:val="ru-RU"/>
        </w:rPr>
        <w:t>247 деревнях в 61 округе на территории 9 штатов. Она дала возможность женским объединениям решить крупные социокультурные проблемы, традиционно препятствовавшие доступу женщин и девочек к образованию. Благодаря стратегии формирования массовых женских организаций эта программа создала форум и условия для получения женщинами образования на уровне общины. Эти низовые женские организации оказывают поддержку и расширяют возможности женщин, баллотирующихся на выборах в местные органы самоуправления в сельской местности.</w:t>
      </w:r>
    </w:p>
    <w:p w:rsidR="00D80435" w:rsidRDefault="00D80435">
      <w:pPr>
        <w:rPr>
          <w:lang w:val="ru-RU"/>
        </w:rPr>
      </w:pPr>
      <w:r>
        <w:rPr>
          <w:lang w:val="ru-RU"/>
        </w:rPr>
        <w:t>66.</w:t>
      </w:r>
      <w:r>
        <w:rPr>
          <w:lang w:val="ru-RU"/>
        </w:rPr>
        <w:tab/>
        <w:t>Национальная сельскохозяйственная политика, провозглашенная в 2000</w:t>
      </w:r>
      <w:r>
        <w:t> </w:t>
      </w:r>
      <w:r>
        <w:rPr>
          <w:lang w:val="ru-RU"/>
        </w:rPr>
        <w:t xml:space="preserve">году, предусматривает учет гендерной проблематики во всех аспектах деятельности в области сельского хозяйства. Предполагается провести ряд необходимых структурных, функциональных и организационных мероприятий, чтобы расширить возможности женщин, развить их потенциал и облегчить доступ к средствам производства, технологиям и другим сельскохозяйственным ресурсам. </w:t>
      </w:r>
    </w:p>
    <w:p w:rsidR="00D80435" w:rsidRDefault="00D80435">
      <w:pPr>
        <w:rPr>
          <w:lang w:val="ru-RU"/>
        </w:rPr>
      </w:pPr>
      <w:r>
        <w:rPr>
          <w:lang w:val="ru-RU"/>
        </w:rPr>
        <w:t>67.</w:t>
      </w:r>
      <w:r>
        <w:rPr>
          <w:lang w:val="ru-RU"/>
        </w:rPr>
        <w:tab/>
        <w:t>В целях ликвидации большого разрыва между задачами, сформулированными в Конституции, законодательстве, политике, планах и программах, и фактической ситуацией правительство в 2001 году приняло Национальную политику по расширению прав и возможностей женщин. Цель этой политики – добиться улучшения положения женщин, развития потенциала и расширения прав женщин. В конкретные задачи Политики входит создание условий для всестороннего развития женщин путем осуществления позитивных действий в экономической и социальной сфере, предоставление им возможностей для реализации своего потенциала, предоставление равного доступа к образованию, медицинскому обслуживанию, трудоустройству, социальной защите и государственной службе, а также обеспечение участия женщин в процессе принятия решений в социальной, политической и экономической областях и, следовательно, фактического равноправия. Эта политика также направлена на изменение общественных воззрений и общинной практики путем привлечения к активному участию как мужчин, так и женщин, на актуализацию гендерной проблематики и на ликвидацию дискриминации и всех форм насилия в отношении женщин и девочек, а также на установление и укрепление партнерских отношений с гражданским обществом, в том числе с женскими организациями.</w:t>
      </w:r>
    </w:p>
    <w:p w:rsidR="00D80435" w:rsidRDefault="00D80435">
      <w:pPr>
        <w:rPr>
          <w:highlight w:val="yellow"/>
          <w:lang w:val="ru-RU"/>
        </w:rPr>
      </w:pPr>
      <w:r>
        <w:rPr>
          <w:lang w:val="ru-RU"/>
        </w:rPr>
        <w:t>68.</w:t>
      </w:r>
      <w:r>
        <w:rPr>
          <w:lang w:val="ru-RU"/>
        </w:rPr>
        <w:tab/>
        <w:t>Вышеупомянутая политика предписывает конструктивные действия в таких областях, как правовая система, руководящие органы, включение гендерных аспектов в процессы перспективного планирования; реализацию экономических прав женщин путем расширения доступа к таким ресурсам, как микрокредиты, оптимизацию распределения ресурсов в соответствии с Планом по учету доли женщин, учитывающим гендерные аспекты бюджетных ассигнований и разработки гендерно-дифференцированных показателей развития; а также расширение социальных возможностей женщин через универсализацию образования, применение целостного подхода к охране здоровья женщин и т.</w:t>
      </w:r>
      <w:r>
        <w:t> </w:t>
      </w:r>
      <w:r>
        <w:rPr>
          <w:lang w:val="ru-RU"/>
        </w:rPr>
        <w:t>д. Политика учитывает новую тенденцию, сложившуюся в результате проведения экономических реформ, и влияние глобализации и либерализации на положение женщин, особенно в неформальном секторе.</w:t>
      </w:r>
    </w:p>
    <w:p w:rsidR="00D80435" w:rsidRDefault="00D80435">
      <w:pPr>
        <w:rPr>
          <w:lang w:val="ru-RU"/>
        </w:rPr>
      </w:pPr>
      <w:r>
        <w:rPr>
          <w:lang w:val="ru-RU"/>
        </w:rPr>
        <w:t>69.</w:t>
      </w:r>
      <w:r>
        <w:rPr>
          <w:lang w:val="ru-RU"/>
        </w:rPr>
        <w:tab/>
        <w:t>Оперативная стратегия вышеупомянутой политики предусматривает разработку ориентированных на конкретные сроки планов действий всеми центральными министерствами и министерствами штатов при консультативной помощи ДРЖД и Национальной комиссии и комиссий штатов по делам женщин, с тем чтобы претворить эту политику в комплекс конкретных мероприятий и измеряемые показатели, которые должны быть достигнуты к 2010 году. В рамках этой стратегии будут выделены ресурсы, определена ответственность за реализацию планов, создана структура и механизмы контроля и надзора и внедрены гендерные аспекты в процесс разработки бюджета. Предусмотрено создание Национального совета и советов штатов для наблюдения за реализацией этой политики. Национальный совет будет возглавлять премьер-министр, советы штатов – главные министры. В целях реализации указанной Политики был составлен проект Национального плана действий, который в настоящее время находится в процессе окончательно доработки. В Плане действий определяются объемы выделенных ресурсов и ответственность за выполнение, а также предусматриваются меры по укреплению институциональных механизмов и структур мониторинга.</w:t>
      </w:r>
    </w:p>
    <w:p w:rsidR="00D80435" w:rsidRDefault="00D80435">
      <w:pPr>
        <w:rPr>
          <w:highlight w:val="yellow"/>
          <w:lang w:val="ru-RU"/>
        </w:rPr>
      </w:pPr>
      <w:r>
        <w:rPr>
          <w:lang w:val="ru-RU"/>
        </w:rPr>
        <w:t>70.</w:t>
      </w:r>
      <w:r>
        <w:rPr>
          <w:lang w:val="ru-RU"/>
        </w:rPr>
        <w:tab/>
        <w:t xml:space="preserve">С течением времени стратегии планирования в интересах женщин эволюционировали от "социального обеспечения" к "улучшению положения" и "расширению прав и возможностей". </w:t>
      </w:r>
      <w:r>
        <w:rPr>
          <w:lang w:val="ru-RU"/>
        </w:rPr>
        <w:br/>
        <w:t>6-й Пятилетний план (1980–1985 годы) принял многопрофильный подход с особым упором на три стержневых сектора: здравоохранение, образование и трудоустройство. Эти направления были сохранены в последующих планах, о которых говорилось в Первоначальном докладе. Меры по расширению прав и возможностей женщин были сформулированы в качестве одной из конкретных задач 9-го Пятилетнего плана (1997–2002 годы); решение задачи предполагалось осуществить путем создания условий, благоприятных для свободного осуществления женщинами своих прав в семейном кругу и вне стен своего дома, в равноправном партнерстве с мужчинами. Авторы Плана попытались объединить существующий комплекс услуг, ресурсы, инфраструктуру и рабочую силу в специфически женских и связанных с женщинами секторах в рамках Плана по учету доли женщин, в соответствии с которым 30</w:t>
      </w:r>
      <w:r>
        <w:t> </w:t>
      </w:r>
      <w:r>
        <w:rPr>
          <w:lang w:val="ru-RU"/>
        </w:rPr>
        <w:t>процентов средств и пособий во всех секторах развития резервировались в интересах женщин.</w:t>
      </w:r>
    </w:p>
    <w:p w:rsidR="00D80435" w:rsidRDefault="00D80435">
      <w:pPr>
        <w:spacing w:after="300"/>
        <w:rPr>
          <w:lang w:val="ru-RU"/>
        </w:rPr>
      </w:pPr>
      <w:r>
        <w:rPr>
          <w:lang w:val="ru-RU"/>
        </w:rPr>
        <w:t>71.</w:t>
      </w:r>
      <w:r>
        <w:rPr>
          <w:lang w:val="ru-RU"/>
        </w:rPr>
        <w:tab/>
        <w:t xml:space="preserve">Задачи, поставленные в Национальной политике по расширению прав и возможностей женщин, легли в основу 10-го Пятилетнего плана (2002–2007 годы), который предусматривает план действий по реализации Национальной политики. Он берет на вооружение стратегию расширения возможностей женщин по трем направлениям: </w:t>
      </w:r>
    </w:p>
    <w:p w:rsidR="00D80435" w:rsidRDefault="00D80435">
      <w:pPr>
        <w:spacing w:after="300"/>
        <w:ind w:left="1361" w:hanging="1361"/>
        <w:rPr>
          <w:lang w:val="ru-RU"/>
        </w:rPr>
      </w:pPr>
      <w:r>
        <w:rPr>
          <w:lang w:val="ru-RU"/>
        </w:rPr>
        <w:tab/>
      </w:r>
      <w:r>
        <w:sym w:font="Symbol" w:char="F0B7"/>
      </w:r>
      <w:r>
        <w:rPr>
          <w:lang w:val="ru-RU"/>
        </w:rPr>
        <w:tab/>
        <w:t>расширение социальных возможностей: создание с помощью различных политических мер и программ условий для улучшения положения женщин, предоставление женщинам свободного и равного доступа ко всем базовым услугам, с тем чтобы они могли в полной мере реализовать свой потенциал;</w:t>
      </w:r>
    </w:p>
    <w:p w:rsidR="00D80435" w:rsidRDefault="00D80435">
      <w:pPr>
        <w:spacing w:after="300"/>
        <w:ind w:left="1361" w:hanging="1361"/>
        <w:rPr>
          <w:lang w:val="ru-RU"/>
        </w:rPr>
      </w:pPr>
      <w:r>
        <w:rPr>
          <w:lang w:val="ru-RU"/>
        </w:rPr>
        <w:tab/>
      </w:r>
      <w:r>
        <w:sym w:font="Symbol" w:char="F0B7"/>
      </w:r>
      <w:r>
        <w:rPr>
          <w:lang w:val="ru-RU"/>
        </w:rPr>
        <w:tab/>
        <w:t>расширение экономических возможностей: обеспечение услуг по профессиональной подготовке, трудоустройства и возможностей заниматься приносящей доход деятельностью, с тем чтобы сделать женщин экономически независимыми и самостоятельными;</w:t>
      </w:r>
    </w:p>
    <w:p w:rsidR="00D80435" w:rsidRDefault="00D80435">
      <w:pPr>
        <w:spacing w:after="300"/>
        <w:ind w:left="1361" w:hanging="1361"/>
        <w:rPr>
          <w:lang w:val="ru-RU"/>
        </w:rPr>
      </w:pPr>
      <w:r>
        <w:rPr>
          <w:lang w:val="ru-RU"/>
        </w:rPr>
        <w:tab/>
      </w:r>
      <w:r>
        <w:sym w:font="Symbol" w:char="F0B7"/>
      </w:r>
      <w:r>
        <w:rPr>
          <w:lang w:val="ru-RU"/>
        </w:rPr>
        <w:tab/>
        <w:t>установление гендерной справедливости: ликвидация всех форм дискриминации по признаку пола, что позволит женщинам не только де-юре, но и де-факто наравне с мужчинами пользоваться правами и основными свободами во всех сферах – политической, экономической, социальной, гражданской, культурной и т. д.</w:t>
      </w:r>
    </w:p>
    <w:p w:rsidR="00D80435" w:rsidRDefault="00D80435">
      <w:pPr>
        <w:rPr>
          <w:lang w:val="ru-RU"/>
        </w:rPr>
      </w:pPr>
      <w:r>
        <w:rPr>
          <w:lang w:val="ru-RU"/>
        </w:rPr>
        <w:t>72.</w:t>
      </w:r>
      <w:r>
        <w:rPr>
          <w:lang w:val="ru-RU"/>
        </w:rPr>
        <w:tab/>
        <w:t>Ниже перечислены измеримые и контролируемые задачи, поставленные в 10-м Пятилетнем плане, которые имеют непосредственное отношение к проблеме расширения прав и возможностей женщин:</w:t>
      </w:r>
    </w:p>
    <w:p w:rsidR="00D80435" w:rsidRDefault="00D80435">
      <w:pPr>
        <w:ind w:left="1361" w:hanging="1361"/>
        <w:rPr>
          <w:lang w:val="ru-RU"/>
        </w:rPr>
      </w:pPr>
      <w:r>
        <w:rPr>
          <w:lang w:val="ru-RU"/>
        </w:rPr>
        <w:tab/>
      </w:r>
      <w:r>
        <w:sym w:font="Symbol" w:char="F0B7"/>
      </w:r>
      <w:r>
        <w:rPr>
          <w:lang w:val="ru-RU"/>
        </w:rPr>
        <w:tab/>
        <w:t>сокращение уровня нищеты на 5 процентных пунктов к 2007 году и на 15</w:t>
      </w:r>
      <w:r>
        <w:t> </w:t>
      </w:r>
      <w:r>
        <w:rPr>
          <w:lang w:val="ru-RU"/>
        </w:rPr>
        <w:t>процентных пунктов к 2012 году;</w:t>
      </w:r>
    </w:p>
    <w:p w:rsidR="00D80435" w:rsidRDefault="00D80435">
      <w:pPr>
        <w:ind w:left="1361" w:hanging="1361"/>
        <w:rPr>
          <w:lang w:val="ru-RU"/>
        </w:rPr>
      </w:pPr>
      <w:r>
        <w:rPr>
          <w:lang w:val="ru-RU"/>
        </w:rPr>
        <w:tab/>
      </w:r>
      <w:r>
        <w:sym w:font="Symbol" w:char="F0B7"/>
      </w:r>
      <w:r>
        <w:rPr>
          <w:lang w:val="ru-RU"/>
        </w:rPr>
        <w:tab/>
        <w:t>обеспечение оплачиваемой работы и увеличение занятости;</w:t>
      </w:r>
    </w:p>
    <w:p w:rsidR="00D80435" w:rsidRDefault="00D80435">
      <w:pPr>
        <w:ind w:left="1361" w:hanging="1361"/>
        <w:rPr>
          <w:lang w:val="ru-RU"/>
        </w:rPr>
      </w:pPr>
      <w:r>
        <w:rPr>
          <w:lang w:val="ru-RU"/>
        </w:rPr>
        <w:tab/>
      </w:r>
      <w:r>
        <w:sym w:font="Symbol" w:char="F0B7"/>
      </w:r>
      <w:r>
        <w:rPr>
          <w:lang w:val="ru-RU"/>
        </w:rPr>
        <w:tab/>
        <w:t xml:space="preserve">обеспечение всеобщего обучения детей в школах к 2003 году и завершения ими </w:t>
      </w:r>
      <w:r>
        <w:rPr>
          <w:lang w:val="ru-RU"/>
        </w:rPr>
        <w:br/>
        <w:t xml:space="preserve">5-летнего школьного образования к 2007 году; </w:t>
      </w:r>
    </w:p>
    <w:p w:rsidR="00D80435" w:rsidRDefault="00D80435">
      <w:pPr>
        <w:ind w:left="1361" w:hanging="1361"/>
        <w:rPr>
          <w:lang w:val="ru-RU"/>
        </w:rPr>
      </w:pPr>
      <w:r>
        <w:rPr>
          <w:lang w:val="ru-RU"/>
        </w:rPr>
        <w:tab/>
      </w:r>
      <w:r>
        <w:sym w:font="Symbol" w:char="F0B7"/>
      </w:r>
      <w:r>
        <w:rPr>
          <w:lang w:val="ru-RU"/>
        </w:rPr>
        <w:tab/>
        <w:t xml:space="preserve">сокращение разрыва между мужчинами и женщинами в грамотности и в ставках заработной платы по меньше мере на 50 процентов к 2007 году; </w:t>
      </w:r>
    </w:p>
    <w:p w:rsidR="00D80435" w:rsidRDefault="00D80435">
      <w:pPr>
        <w:ind w:left="1361" w:hanging="1361"/>
        <w:rPr>
          <w:lang w:val="ru-RU"/>
        </w:rPr>
      </w:pPr>
      <w:r>
        <w:rPr>
          <w:lang w:val="ru-RU"/>
        </w:rPr>
        <w:tab/>
      </w:r>
      <w:r>
        <w:sym w:font="Symbol" w:char="F0B7"/>
      </w:r>
      <w:r>
        <w:rPr>
          <w:lang w:val="ru-RU"/>
        </w:rPr>
        <w:tab/>
        <w:t>снижение темпов прироста населения за десятилетие 2001–2011 годов до 16,2</w:t>
      </w:r>
      <w:r>
        <w:t> </w:t>
      </w:r>
      <w:r>
        <w:rPr>
          <w:lang w:val="ru-RU"/>
        </w:rPr>
        <w:t>процента;</w:t>
      </w:r>
    </w:p>
    <w:p w:rsidR="00D80435" w:rsidRDefault="00D80435">
      <w:pPr>
        <w:ind w:left="1361" w:hanging="1361"/>
        <w:rPr>
          <w:lang w:val="ru-RU"/>
        </w:rPr>
      </w:pPr>
      <w:r>
        <w:rPr>
          <w:lang w:val="ru-RU"/>
        </w:rPr>
        <w:tab/>
      </w:r>
      <w:r>
        <w:sym w:font="Symbol" w:char="F0B7"/>
      </w:r>
      <w:r>
        <w:rPr>
          <w:lang w:val="ru-RU"/>
        </w:rPr>
        <w:tab/>
        <w:t>повышение доли грамотных до 75 процентов за плановый период;</w:t>
      </w:r>
    </w:p>
    <w:p w:rsidR="00D80435" w:rsidRDefault="00D80435">
      <w:pPr>
        <w:ind w:left="1361" w:hanging="1361"/>
        <w:rPr>
          <w:lang w:val="ru-RU"/>
        </w:rPr>
      </w:pPr>
      <w:r>
        <w:rPr>
          <w:lang w:val="ru-RU"/>
        </w:rPr>
        <w:tab/>
      </w:r>
      <w:r>
        <w:sym w:font="Symbol" w:char="F0B7"/>
      </w:r>
      <w:r>
        <w:rPr>
          <w:lang w:val="ru-RU"/>
        </w:rPr>
        <w:tab/>
        <w:t>снижение коэффициента младенческой смертности до 45 случаев на 1000</w:t>
      </w:r>
      <w:r>
        <w:t> </w:t>
      </w:r>
      <w:r>
        <w:rPr>
          <w:lang w:val="ru-RU"/>
        </w:rPr>
        <w:t>живорождений к 2007 году и 28 случаев к 2012 году;</w:t>
      </w:r>
    </w:p>
    <w:p w:rsidR="00D80435" w:rsidRDefault="00D80435">
      <w:pPr>
        <w:ind w:left="1361" w:hanging="1361"/>
        <w:rPr>
          <w:lang w:val="ru-RU"/>
        </w:rPr>
      </w:pPr>
      <w:r>
        <w:rPr>
          <w:lang w:val="ru-RU"/>
        </w:rPr>
        <w:tab/>
      </w:r>
      <w:r>
        <w:sym w:font="Symbol" w:char="F0B7"/>
      </w:r>
      <w:r>
        <w:rPr>
          <w:lang w:val="ru-RU"/>
        </w:rPr>
        <w:tab/>
        <w:t>снижение коэффициента материнской смертности до 2 случаев на 1000 родов к 2007 году и 1 случая к 2012 году;</w:t>
      </w:r>
    </w:p>
    <w:p w:rsidR="00D80435" w:rsidRDefault="00D80435">
      <w:pPr>
        <w:ind w:left="1361" w:hanging="1361"/>
        <w:rPr>
          <w:lang w:val="ru-RU"/>
        </w:rPr>
      </w:pPr>
      <w:r>
        <w:rPr>
          <w:lang w:val="ru-RU"/>
        </w:rPr>
        <w:tab/>
      </w:r>
      <w:r>
        <w:sym w:font="Symbol" w:char="F0B7"/>
      </w:r>
      <w:r>
        <w:rPr>
          <w:lang w:val="ru-RU"/>
        </w:rPr>
        <w:tab/>
        <w:t>обеспечение постоянного доступа к источникам пригодной для питья воды в деревнях к 2007 году.</w:t>
      </w:r>
    </w:p>
    <w:p w:rsidR="00D80435" w:rsidRDefault="00D80435">
      <w:pPr>
        <w:rPr>
          <w:lang w:val="ru-RU"/>
        </w:rPr>
      </w:pPr>
      <w:r>
        <w:rPr>
          <w:lang w:val="ru-RU"/>
        </w:rPr>
        <w:t>73.</w:t>
      </w:r>
      <w:r>
        <w:rPr>
          <w:lang w:val="ru-RU"/>
        </w:rPr>
        <w:tab/>
        <w:t xml:space="preserve">ДРЖД начал проведение гендерно-дифференцированного анализа бюджетов центрального правительства и правительств штатов. Обзор Плана по учету доли женщин в период выполнения </w:t>
      </w:r>
      <w:r>
        <w:rPr>
          <w:lang w:val="ru-RU"/>
        </w:rPr>
        <w:br/>
        <w:t>9-го Пятилетнего плана (1997–2002 годы) показал, что почти 42,9</w:t>
      </w:r>
      <w:r>
        <w:t> </w:t>
      </w:r>
      <w:r>
        <w:rPr>
          <w:lang w:val="ru-RU"/>
        </w:rPr>
        <w:t>процента общих бюджетных затрат по 15 центральным министерствам и департаментам было израсходовано на проекты в интересах женщин. В пяти министерствах – социального обеспечения, здравоохранения, образования, по проблемам женщин и детей и по индийской медицине и гомеопатии – на нужды женщин было затрачено около 50–80</w:t>
      </w:r>
      <w:r>
        <w:t> </w:t>
      </w:r>
      <w:r>
        <w:rPr>
          <w:lang w:val="ru-RU"/>
        </w:rPr>
        <w:t xml:space="preserve">процентов плановых расходов. ДРЖД издал директивы по обеспечению надлежащего использования средств, предусмотренных в ПДЖ, и уже принимаются меры, чтобы не допустить перенаправления его ресурсов на другие цели и добиться их использования только по назначению. </w:t>
      </w:r>
    </w:p>
    <w:p w:rsidR="00D80435" w:rsidRDefault="00D80435">
      <w:pPr>
        <w:rPr>
          <w:lang w:val="ru-RU"/>
        </w:rPr>
      </w:pPr>
      <w:r>
        <w:rPr>
          <w:lang w:val="ru-RU"/>
        </w:rPr>
        <w:t>74.</w:t>
      </w:r>
      <w:r>
        <w:rPr>
          <w:lang w:val="ru-RU"/>
        </w:rPr>
        <w:tab/>
        <w:t>Признавая значение образования и его влияние на положение женщин, правительство в 2002 году 86</w:t>
      </w:r>
      <w:r>
        <w:rPr>
          <w:lang w:val="ru-RU"/>
        </w:rPr>
        <w:noBreakHyphen/>
        <w:t>й конституционной поправкой закрепило за правом на образование статус конституционного права. Согласно статье 21А Конституции государство обязано обеспечить обязательное бесплатное образование всем детям в возрасте 6–14 лет. Статья</w:t>
      </w:r>
      <w:r>
        <w:t> </w:t>
      </w:r>
      <w:r>
        <w:rPr>
          <w:lang w:val="ru-RU"/>
        </w:rPr>
        <w:t xml:space="preserve">45 гарантирует, что государство приложит все усилия, чтобы обеспечить уход и воспитание для всех детей в возрасте до 6 лет, а пункт </w:t>
      </w:r>
      <w:r>
        <w:t>k</w:t>
      </w:r>
      <w:r>
        <w:rPr>
          <w:lang w:val="ru-RU"/>
        </w:rPr>
        <w:t>) статьи</w:t>
      </w:r>
      <w:r>
        <w:t> </w:t>
      </w:r>
      <w:r>
        <w:rPr>
          <w:lang w:val="ru-RU"/>
        </w:rPr>
        <w:t>51А</w:t>
      </w:r>
      <w:r>
        <w:t> </w:t>
      </w:r>
      <w:r>
        <w:rPr>
          <w:lang w:val="ru-RU"/>
        </w:rPr>
        <w:t xml:space="preserve"> налагает на родителей или опекунов основную обязанность обеспечить возможности для получения образования своему ребенку в возрасте 6–14 лет.</w:t>
      </w:r>
    </w:p>
    <w:p w:rsidR="00D80435" w:rsidRDefault="00D80435">
      <w:pPr>
        <w:rPr>
          <w:lang w:val="ru-RU"/>
        </w:rPr>
      </w:pPr>
      <w:r>
        <w:rPr>
          <w:lang w:val="ru-RU"/>
        </w:rPr>
        <w:t>75.</w:t>
      </w:r>
      <w:r>
        <w:rPr>
          <w:lang w:val="ru-RU"/>
        </w:rPr>
        <w:tab/>
        <w:t>Для решения этой задачи правительство приступило к осуществлению Сарва Шикша Абхиян, национальной программы всеобщего начального образования. План действий в рамках этого проекта рассчитан до 2010 года и направлен на обеспечение доступа к начальной школе всех детей к 2003 году; план также предусматривает завершение пятилетнего обучения в начальной школе всеми детьми и сокращение гендерного разрыва на уровне первых классов к 2007 году. Он также ставит целью завершение всеми детьми восьмилетнего начального образования и преодоление гендерного разрыва в старших классах начальной школы к 2010 году. Кроме того, план нацелен на удержание детей в школах. На осуществление этого проекта выделено 170</w:t>
      </w:r>
      <w:r>
        <w:t> </w:t>
      </w:r>
      <w:r>
        <w:rPr>
          <w:lang w:val="ru-RU"/>
        </w:rPr>
        <w:t>000</w:t>
      </w:r>
      <w:r>
        <w:t> </w:t>
      </w:r>
      <w:r>
        <w:rPr>
          <w:lang w:val="ru-RU"/>
        </w:rPr>
        <w:t>млн. рупий.</w:t>
      </w:r>
    </w:p>
    <w:p w:rsidR="00D80435" w:rsidRDefault="00D80435">
      <w:pPr>
        <w:spacing w:after="400"/>
        <w:rPr>
          <w:lang w:val="ru-RU"/>
        </w:rPr>
      </w:pPr>
      <w:r>
        <w:rPr>
          <w:lang w:val="ru-RU"/>
        </w:rPr>
        <w:t>76.</w:t>
      </w:r>
      <w:r>
        <w:rPr>
          <w:lang w:val="ru-RU"/>
        </w:rPr>
        <w:tab/>
        <w:t>Недавно правительство выступило еще с одной инициативой – созданием Комитета по наблюдению и контролю за осуществлением положений Конвенции о ликвидации всех форм дискриминации в отношении женщин. В состав Комитета, учрежденного 24 июня 2004</w:t>
      </w:r>
      <w:r>
        <w:t> </w:t>
      </w:r>
      <w:r>
        <w:rPr>
          <w:lang w:val="ru-RU"/>
        </w:rPr>
        <w:t xml:space="preserve">года, вошли представители различных министерств. Цель создания этого межминистерского Комитета состояла в том, чтобы способствовать более широкому диалогу и координации действий между различными министерствами, ответственными за реализацию разного рода законодательных актов, политики и программ, разработанных для обеспечения равноправия женщин, а также для контроля за выполнением обязательств, взятых государством в рамках Конвенции. Первой и важнейшей обязанностью, возложенной на себя Комитетом, стала подготовка </w:t>
      </w:r>
      <w:r>
        <w:t>II</w:t>
      </w:r>
      <w:r>
        <w:rPr>
          <w:lang w:val="ru-RU"/>
        </w:rPr>
        <w:t xml:space="preserve"> и </w:t>
      </w:r>
      <w:r>
        <w:t>III</w:t>
      </w:r>
      <w:r>
        <w:rPr>
          <w:lang w:val="ru-RU"/>
        </w:rPr>
        <w:t xml:space="preserve"> периодических докладов после проведения широких консультаций с различными министерствами и департаментами, а также гражданским обществом и женскими группами. Этот Комитет также предполагает выработать контрольные показатели для обеспечения эффективного выполнения обязательств в рамках Конвенции.</w:t>
      </w:r>
    </w:p>
    <w:p w:rsidR="00D80435" w:rsidRDefault="00D80435">
      <w:pPr>
        <w:pStyle w:val="Heading2"/>
      </w:pPr>
      <w:r>
        <w:t>Проекты и программы</w:t>
      </w:r>
    </w:p>
    <w:p w:rsidR="00D80435" w:rsidRDefault="00D80435">
      <w:pPr>
        <w:rPr>
          <w:lang w:val="ru-RU"/>
        </w:rPr>
      </w:pPr>
      <w:r>
        <w:rPr>
          <w:lang w:val="ru-RU"/>
        </w:rPr>
        <w:t>77.</w:t>
      </w:r>
      <w:r>
        <w:rPr>
          <w:lang w:val="ru-RU"/>
        </w:rPr>
        <w:tab/>
        <w:t>В целях повышения благосостояния женщин и расширения их прав и возможностей правительство Индии реализует различные проекты и программы, в том числе программы по сокращению нищеты, повышению квалификации, микрокредитованию, проекты в области развития и устойчивого получения дохода, науки и техники, образования, медицинского обслуживания, просветительские программы, программы повышения правовой грамотности и вспомогательного обслуживания.</w:t>
      </w:r>
    </w:p>
    <w:p w:rsidR="00D80435" w:rsidRDefault="00D80435">
      <w:pPr>
        <w:spacing w:after="300"/>
        <w:rPr>
          <w:lang w:val="ru-RU"/>
        </w:rPr>
      </w:pPr>
      <w:r>
        <w:rPr>
          <w:lang w:val="ru-RU"/>
        </w:rPr>
        <w:t>78.</w:t>
      </w:r>
      <w:r>
        <w:rPr>
          <w:lang w:val="ru-RU"/>
        </w:rPr>
        <w:tab/>
        <w:t xml:space="preserve">В 57 округах 9 штатов правительство начало осуществление Свашакти – </w:t>
      </w:r>
      <w:r>
        <w:rPr>
          <w:b/>
          <w:lang w:val="ru-RU"/>
        </w:rPr>
        <w:t>Проекта по развитию и расширению прав и возможностей сельских женщин</w:t>
      </w:r>
      <w:r>
        <w:rPr>
          <w:lang w:val="ru-RU"/>
        </w:rPr>
        <w:t>, рассчитанного на пять лет. На настоящий момент в рамках проекта было сформировано 17</w:t>
      </w:r>
      <w:r>
        <w:t> </w:t>
      </w:r>
      <w:r>
        <w:rPr>
          <w:lang w:val="ru-RU"/>
        </w:rPr>
        <w:t>647 групп самопомощи (ГСП), что позволило 243</w:t>
      </w:r>
      <w:r>
        <w:t> </w:t>
      </w:r>
      <w:r>
        <w:rPr>
          <w:lang w:val="ru-RU"/>
        </w:rPr>
        <w:t>962 женщинам, участвовавшим в мероприятиях по развитию навыков и приносящей доход деятельности, обрести уверенность в своих силах и улучшить контроль над доходами. К марту 2004 года около 3904 млн. рупий было выплачено приблизительно 1,1 млн. ГСП, созданным в рамках Программы поддержки и связи, осуществляемой Национальным банком для сельского хозяйства и развития сельских районов (НБСХРСР). Около 90 процентов этих групп состоят только из женщин. Учреждения по микрофинансированию реально расширили сферу своей деятельности, а НПО оказывают содействие группам самопомощи на уровне деревни.</w:t>
      </w:r>
    </w:p>
    <w:p w:rsidR="00D80435" w:rsidRDefault="00D80435">
      <w:pPr>
        <w:spacing w:after="300"/>
        <w:rPr>
          <w:lang w:val="ru-RU"/>
        </w:rPr>
      </w:pPr>
      <w:r>
        <w:rPr>
          <w:lang w:val="ru-RU"/>
        </w:rPr>
        <w:t>79.</w:t>
      </w:r>
      <w:r>
        <w:rPr>
          <w:lang w:val="ru-RU"/>
        </w:rPr>
        <w:tab/>
        <w:t xml:space="preserve">В 2001 году был начат новый проект </w:t>
      </w:r>
      <w:r>
        <w:rPr>
          <w:b/>
          <w:lang w:val="ru-RU"/>
        </w:rPr>
        <w:t>Свадхар</w:t>
      </w:r>
      <w:r>
        <w:rPr>
          <w:lang w:val="ru-RU"/>
        </w:rPr>
        <w:t>, который использует гибкий и новаторский подход, ориентированный на удовлетворение нужд и потребностей женщин, оказавшихся в трудных обстоятельствах. Проект уделяет особое внимание реабилитации лиц, оказывающих платные сексуальные услуги, женщин и девушек, принесенных в дар храмам, – девадаси, басави, йогини; женщин и девушек, нарушивших правила поведения и моральные устои; нуждающихся, молодых и престарелых вдов; женщин из числа перемещенных лиц, одиноких женщин; членов семей, возглавляемых женщинами; женщин, пострадавших от стихийных бедствий, и других нуждающихся в помощи женщин, оказавшихся по различным причинам в бедственном положении. В рамках проекта женщинам, попавшим в трудное положение и не имеющим социально-экономической поддержки, предоставляется временное жилье, консультации и услуги по профессиональному обучению.</w:t>
      </w:r>
    </w:p>
    <w:p w:rsidR="00D80435" w:rsidRDefault="00D80435">
      <w:pPr>
        <w:spacing w:after="300"/>
        <w:rPr>
          <w:lang w:val="ru-RU"/>
        </w:rPr>
      </w:pPr>
      <w:r>
        <w:rPr>
          <w:lang w:val="ru-RU"/>
        </w:rPr>
        <w:t>80.</w:t>
      </w:r>
      <w:r>
        <w:rPr>
          <w:lang w:val="ru-RU"/>
        </w:rPr>
        <w:tab/>
      </w:r>
      <w:r>
        <w:rPr>
          <w:b/>
          <w:lang w:val="ru-RU"/>
        </w:rPr>
        <w:t>Сваямсидха</w:t>
      </w:r>
      <w:r>
        <w:rPr>
          <w:lang w:val="ru-RU"/>
        </w:rPr>
        <w:t xml:space="preserve"> – еще один проект, начатый в 2001 году, представляет собой комплексную программу, направленную на расширение прав и возможностей женщин с помощью сети женских групп самопомощи, имеющих прямой доступ к ресурсам и возможность контроля над ними. Проект ставит задачу обеспечить интеграцию всех проектов, осуществляемых центральным правительством и правительствами штатов в интересах женщин почти в 650 поселениях по всей стране. Еще одна важная программа ДРЖД – </w:t>
      </w:r>
      <w:r>
        <w:rPr>
          <w:b/>
          <w:lang w:val="ru-RU"/>
        </w:rPr>
        <w:t>Программа поддержки в области обучения и расширения прав и возможностей (ППОРП)</w:t>
      </w:r>
      <w:r>
        <w:rPr>
          <w:lang w:val="ru-RU"/>
        </w:rPr>
        <w:t>. Она направлена на распространение современных навыков и знаний среди бедных и неимущих женщин в таких традиционных отраслях, как производство молочных продуктов, животноводство, шелководство, ручное ткачество, лесное хозяйство и т.</w:t>
      </w:r>
      <w:r>
        <w:t> </w:t>
      </w:r>
      <w:r>
        <w:rPr>
          <w:lang w:val="ru-RU"/>
        </w:rPr>
        <w:t>п.</w:t>
      </w:r>
    </w:p>
    <w:p w:rsidR="00D80435" w:rsidRDefault="00D80435">
      <w:pPr>
        <w:spacing w:after="300"/>
        <w:rPr>
          <w:lang w:val="ru-RU"/>
        </w:rPr>
      </w:pPr>
      <w:r>
        <w:rPr>
          <w:lang w:val="ru-RU"/>
        </w:rPr>
        <w:t>81.</w:t>
      </w:r>
      <w:r>
        <w:rPr>
          <w:lang w:val="ru-RU"/>
        </w:rPr>
        <w:tab/>
      </w:r>
      <w:r>
        <w:rPr>
          <w:b/>
          <w:lang w:val="ru-RU"/>
        </w:rPr>
        <w:t>Раштрия Махила Кош</w:t>
      </w:r>
      <w:r>
        <w:rPr>
          <w:lang w:val="ru-RU"/>
        </w:rPr>
        <w:t xml:space="preserve"> </w:t>
      </w:r>
      <w:r>
        <w:rPr>
          <w:b/>
          <w:lang w:val="ru-RU"/>
        </w:rPr>
        <w:t>(</w:t>
      </w:r>
      <w:r>
        <w:rPr>
          <w:b/>
        </w:rPr>
        <w:t>RMK</w:t>
      </w:r>
      <w:r>
        <w:rPr>
          <w:b/>
          <w:lang w:val="ru-RU"/>
        </w:rPr>
        <w:t xml:space="preserve">) </w:t>
      </w:r>
      <w:r>
        <w:rPr>
          <w:lang w:val="ru-RU"/>
        </w:rPr>
        <w:t>со времени своей регистрации в 1993 году подтвердил свои полномочия в качестве главного учреждения по микрокредитованию, уделяющего особое внимание женщинам и расширению их экономических возможностей путем предоставления кредита бедным и неимущим женщинам в неформальном секторе. По состоянию на сентябрь 2004 года, он санкционировал около 1544</w:t>
      </w:r>
      <w:r>
        <w:t> </w:t>
      </w:r>
      <w:r>
        <w:rPr>
          <w:lang w:val="ru-RU"/>
        </w:rPr>
        <w:t>млн. рупий и выплатил около 1182 млн. рупий, оказав помощь приблизительно 507</w:t>
      </w:r>
      <w:r>
        <w:t> </w:t>
      </w:r>
      <w:r>
        <w:rPr>
          <w:lang w:val="ru-RU"/>
        </w:rPr>
        <w:t>650</w:t>
      </w:r>
      <w:r>
        <w:t> </w:t>
      </w:r>
      <w:r>
        <w:rPr>
          <w:lang w:val="ru-RU"/>
        </w:rPr>
        <w:t>женщинам через 1130 НПО.</w:t>
      </w:r>
    </w:p>
    <w:p w:rsidR="00D80435" w:rsidRDefault="00D80435">
      <w:pPr>
        <w:spacing w:after="300"/>
        <w:rPr>
          <w:lang w:val="ru-RU"/>
        </w:rPr>
      </w:pPr>
      <w:r>
        <w:rPr>
          <w:lang w:val="ru-RU"/>
        </w:rPr>
        <w:t>82.</w:t>
      </w:r>
      <w:r>
        <w:rPr>
          <w:lang w:val="ru-RU"/>
        </w:rPr>
        <w:tab/>
        <w:t xml:space="preserve">В области развития сельских районов основное внимание правительства уделялось программам борьбы с нищетой. Программа </w:t>
      </w:r>
      <w:r>
        <w:rPr>
          <w:b/>
          <w:lang w:val="ru-RU"/>
        </w:rPr>
        <w:t>Сварнаджаянти Грам Сварозгар Йоджана (</w:t>
      </w:r>
      <w:r>
        <w:rPr>
          <w:b/>
        </w:rPr>
        <w:t>SGSY</w:t>
      </w:r>
      <w:r>
        <w:rPr>
          <w:b/>
          <w:lang w:val="ru-RU"/>
        </w:rPr>
        <w:t>)</w:t>
      </w:r>
      <w:r>
        <w:rPr>
          <w:lang w:val="ru-RU"/>
        </w:rPr>
        <w:t xml:space="preserve"> направлена на повышение уровня жизни семей-бенефициаров, живущих ниже черты бедности, путем обеспечения их приносящими доход ресурсами и предоставления банковских кредитов в сочетании с государственными субсидиями. Хотя 40 процентов пособий по этому кредиту было зарезервировано за женщинами, по состоянию на 31</w:t>
      </w:r>
      <w:r>
        <w:t> </w:t>
      </w:r>
      <w:r>
        <w:rPr>
          <w:lang w:val="ru-RU"/>
        </w:rPr>
        <w:t>марта 2005 года доля женщин, получивших помощь, в процентном выражении составила 48,44. С апреля 1999 года в рамках этого проекта было создано около 2 млн. ГСП, из которых 1,36 млн. имеют в своем составе только женщин. Кредиты на общую сумму 29</w:t>
      </w:r>
      <w:r>
        <w:t> </w:t>
      </w:r>
      <w:r>
        <w:rPr>
          <w:lang w:val="ru-RU"/>
        </w:rPr>
        <w:t>431,7 млн. рупий были предоставлены 220</w:t>
      </w:r>
      <w:r>
        <w:t> </w:t>
      </w:r>
      <w:r>
        <w:rPr>
          <w:lang w:val="ru-RU"/>
        </w:rPr>
        <w:t>тыс. ГСП, занимающихся приносящей доход деятельностью, через которые к ссудам получили доступ 90</w:t>
      </w:r>
      <w:r>
        <w:t> </w:t>
      </w:r>
      <w:r>
        <w:rPr>
          <w:lang w:val="ru-RU"/>
        </w:rPr>
        <w:t xml:space="preserve">тыс. семей. Программа </w:t>
      </w:r>
      <w:r>
        <w:rPr>
          <w:b/>
          <w:lang w:val="ru-RU"/>
        </w:rPr>
        <w:t>Сампурна Грамин Розгар Йоджана (</w:t>
      </w:r>
      <w:r>
        <w:rPr>
          <w:b/>
        </w:rPr>
        <w:t>SGRY</w:t>
      </w:r>
      <w:r>
        <w:rPr>
          <w:b/>
          <w:lang w:val="ru-RU"/>
        </w:rPr>
        <w:t>)</w:t>
      </w:r>
      <w:r>
        <w:rPr>
          <w:lang w:val="ru-RU"/>
        </w:rPr>
        <w:t xml:space="preserve"> поставила целью обеспечить резервирование 30 процентов рабочих мест за женщинами. С 1</w:t>
      </w:r>
      <w:r>
        <w:t> </w:t>
      </w:r>
      <w:r>
        <w:rPr>
          <w:lang w:val="ru-RU"/>
        </w:rPr>
        <w:t>апреля 2001</w:t>
      </w:r>
      <w:r>
        <w:t> </w:t>
      </w:r>
      <w:r>
        <w:rPr>
          <w:lang w:val="ru-RU"/>
        </w:rPr>
        <w:t>года по 31 марта 2005 года было создано 2873,4 млн. человеко-дней, из них 761,1</w:t>
      </w:r>
      <w:r>
        <w:t> </w:t>
      </w:r>
      <w:r>
        <w:rPr>
          <w:lang w:val="ru-RU"/>
        </w:rPr>
        <w:t xml:space="preserve">млн. приходилось на долю женщин (26,49 процента). Программа </w:t>
      </w:r>
      <w:r>
        <w:rPr>
          <w:b/>
          <w:lang w:val="ru-RU"/>
        </w:rPr>
        <w:t>Индира Авас Йоджана (</w:t>
      </w:r>
      <w:r>
        <w:rPr>
          <w:b/>
        </w:rPr>
        <w:t>IAY</w:t>
      </w:r>
      <w:r>
        <w:rPr>
          <w:b/>
          <w:lang w:val="ru-RU"/>
        </w:rPr>
        <w:t>)</w:t>
      </w:r>
      <w:r>
        <w:rPr>
          <w:lang w:val="ru-RU"/>
        </w:rPr>
        <w:t xml:space="preserve"> предусматривает выделение домов на имя женщины или в совместное владение супругов. Национальный проект помощи материнству, разработанный для оказания помощи беременным женщинам, выделяет по 500 рупий на каждого из первых двух родившихся живыми детей. Недавно этот проект был пересмотрен и получил название </w:t>
      </w:r>
      <w:r>
        <w:rPr>
          <w:b/>
          <w:lang w:val="ru-RU"/>
        </w:rPr>
        <w:t>Джанани Суракша Йоджана</w:t>
      </w:r>
      <w:r>
        <w:rPr>
          <w:lang w:val="ru-RU"/>
        </w:rPr>
        <w:t xml:space="preserve">. Программа улучшения санитарных условий в сельской местности обеспечивает строительство специальных санитарных комплексов для женщин в тех деревнях, где нет условий для индивидуальных туалетов. В </w:t>
      </w:r>
      <w:r>
        <w:rPr>
          <w:b/>
          <w:lang w:val="ru-RU"/>
        </w:rPr>
        <w:t>рамках Программы обеспечения самостоятельной занятости городского населения (ПОСЗГН)</w:t>
      </w:r>
      <w:r>
        <w:rPr>
          <w:lang w:val="ru-RU"/>
        </w:rPr>
        <w:t xml:space="preserve"> </w:t>
      </w:r>
      <w:r>
        <w:rPr>
          <w:b/>
          <w:lang w:val="ru-RU"/>
        </w:rPr>
        <w:t>Сварна Джаянти Шахари Розгар Йоджана (</w:t>
      </w:r>
      <w:r>
        <w:rPr>
          <w:b/>
        </w:rPr>
        <w:t>SJSRY</w:t>
      </w:r>
      <w:r>
        <w:rPr>
          <w:b/>
          <w:lang w:val="ru-RU"/>
        </w:rPr>
        <w:t>)</w:t>
      </w:r>
      <w:r>
        <w:rPr>
          <w:lang w:val="ru-RU"/>
        </w:rPr>
        <w:t xml:space="preserve"> оказывается помощь городской бедноте, в особенности женщинам, живущим ниже черты бедности. Усилия, предпринятые правительством, привели к сокращению нищеты до 26 процентов в 2000</w:t>
      </w:r>
      <w:r>
        <w:t> </w:t>
      </w:r>
      <w:r>
        <w:rPr>
          <w:lang w:val="ru-RU"/>
        </w:rPr>
        <w:t>году по сравнению с 50 процентами в 1973 году. Абсолютное число людей, живущих ниже черты бедности, снизилось в 2000 году до 260 млн.</w:t>
      </w:r>
    </w:p>
    <w:p w:rsidR="00D80435" w:rsidRDefault="00D80435">
      <w:pPr>
        <w:spacing w:after="400"/>
        <w:rPr>
          <w:lang w:val="ru-RU"/>
        </w:rPr>
      </w:pPr>
      <w:r>
        <w:rPr>
          <w:lang w:val="ru-RU"/>
        </w:rPr>
        <w:t>83.</w:t>
      </w:r>
      <w:r>
        <w:rPr>
          <w:lang w:val="ru-RU"/>
        </w:rPr>
        <w:tab/>
        <w:t>Правительство признает, что все возрастающее насилие в отношении женщин является еще одним проявлением униженного и неравноправного положения женщин. Центральное правительство в 10-м Пятилетнем плане постановило в качестве первоочередной задачи приступить к решению проблемы насилия в отношении женщин путем осуществления детально проработанной Программы действий, предусматривающей принятие краткосрочных и долгосрочных мер на национальном уровне и уровне штатов. Кроме того, правительство намерено внести необходимые поправки в индийский Уголовный кодекс и другие законодательные акты в этой области. Еще одним направлением, предусмотренным в 10</w:t>
      </w:r>
      <w:r>
        <w:rPr>
          <w:lang w:val="ru-RU"/>
        </w:rPr>
        <w:noBreakHyphen/>
        <w:t>м Пятилетнем плане, является работа по формированию общественного мнения, которая будет осуществляться в тесном сотрудничестве с НПО, специализирующимися в этой области.</w:t>
      </w:r>
    </w:p>
    <w:p w:rsidR="00D80435" w:rsidRDefault="00D80435">
      <w:pPr>
        <w:pStyle w:val="Heading2"/>
      </w:pPr>
      <w:r>
        <w:t>Результаты государственных инициатив</w:t>
      </w:r>
    </w:p>
    <w:p w:rsidR="00D80435" w:rsidRDefault="00D80435">
      <w:pPr>
        <w:spacing w:after="300"/>
        <w:rPr>
          <w:lang w:val="ru-RU"/>
        </w:rPr>
      </w:pPr>
      <w:r>
        <w:rPr>
          <w:lang w:val="ru-RU"/>
        </w:rPr>
        <w:t>84.</w:t>
      </w:r>
      <w:r>
        <w:rPr>
          <w:lang w:val="ru-RU"/>
        </w:rPr>
        <w:tab/>
        <w:t>Результатом различных планов, программ и политики развития, реализованных правительством в последние несколько лет, стало заметное улучшение социально-экономического положения женщин, о чем свидетельствует таблица выборочных индексов развития с учетом гендерного фактора. Был отмечен небольшой прирост общей численности женщин, а соотношение полов незначительно улучшилось – с 927 в 1991</w:t>
      </w:r>
      <w:r>
        <w:t> </w:t>
      </w:r>
      <w:r>
        <w:rPr>
          <w:lang w:val="ru-RU"/>
        </w:rPr>
        <w:t>году до 933 в 2001 году. Уменьшились коэффициенты рождаемости и смертности, а также материнской смертности. Коэффициент рождаемости снизился с 35,6 в 1981 году до 25 в 2002 году; коэффициент смертности – с 12,5 в 1981 году до 8,1 в 2002 году. Уровень грамотности женщин повысился с 29,85 процента в 1981 году до 53,67 процента в 2001 году. Кроме того, увеличился процент поступающих в школу, снизился коэффициент отсева, возрос показатель занятости женщин в городских и сельских районах, незначительно увеличилось представительство женщин в директивных органах, таких как Индийская административная служба, Индийская полицейская служба и т.</w:t>
      </w:r>
      <w:r>
        <w:t> </w:t>
      </w:r>
      <w:r>
        <w:rPr>
          <w:lang w:val="ru-RU"/>
        </w:rPr>
        <w:t>д., а также в выборных органах.</w:t>
      </w:r>
    </w:p>
    <w:p w:rsidR="00D80435" w:rsidRDefault="00D80435">
      <w:pPr>
        <w:rPr>
          <w:lang w:val="ru-RU"/>
        </w:rPr>
      </w:pPr>
    </w:p>
    <w:p w:rsidR="00D80435" w:rsidRDefault="00D80435">
      <w:pPr>
        <w:pStyle w:val="Heading2"/>
      </w:pPr>
      <w:r>
        <w:t>Выборочные индексы развития с учетом гендерного фактора</w:t>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690"/>
        <w:gridCol w:w="3495"/>
        <w:gridCol w:w="983"/>
        <w:gridCol w:w="766"/>
        <w:gridCol w:w="772"/>
        <w:gridCol w:w="983"/>
        <w:gridCol w:w="766"/>
        <w:gridCol w:w="866"/>
      </w:tblGrid>
      <w:tr w:rsidR="00D80435">
        <w:tblPrEx>
          <w:tblCellMar>
            <w:top w:w="0" w:type="dxa"/>
            <w:bottom w:w="0" w:type="dxa"/>
          </w:tblCellMar>
        </w:tblPrEx>
        <w:trPr>
          <w:tblHeader/>
        </w:trPr>
        <w:tc>
          <w:tcPr>
            <w:tcW w:w="690" w:type="dxa"/>
          </w:tcPr>
          <w:p w:rsidR="00D80435" w:rsidRDefault="00D80435">
            <w:pPr>
              <w:spacing w:before="100" w:after="100"/>
              <w:jc w:val="center"/>
              <w:rPr>
                <w:b/>
                <w:sz w:val="20"/>
                <w:lang w:val="ru-RU"/>
              </w:rPr>
            </w:pPr>
            <w:r>
              <w:rPr>
                <w:b/>
                <w:sz w:val="20"/>
                <w:lang w:val="ru-RU"/>
              </w:rPr>
              <w:t xml:space="preserve">№ </w:t>
            </w:r>
            <w:r>
              <w:rPr>
                <w:b/>
                <w:sz w:val="20"/>
                <w:lang w:val="ru-RU"/>
              </w:rPr>
              <w:br/>
              <w:t>п/п</w:t>
            </w:r>
          </w:p>
        </w:tc>
        <w:tc>
          <w:tcPr>
            <w:tcW w:w="3495" w:type="dxa"/>
          </w:tcPr>
          <w:p w:rsidR="00D80435" w:rsidRDefault="00D80435">
            <w:pPr>
              <w:spacing w:before="100" w:after="100"/>
              <w:jc w:val="center"/>
              <w:rPr>
                <w:b/>
                <w:sz w:val="20"/>
                <w:lang w:val="ru-RU"/>
              </w:rPr>
            </w:pPr>
            <w:r>
              <w:rPr>
                <w:b/>
                <w:sz w:val="20"/>
                <w:lang w:val="ru-RU"/>
              </w:rPr>
              <w:t>Показатель</w:t>
            </w:r>
          </w:p>
        </w:tc>
        <w:tc>
          <w:tcPr>
            <w:tcW w:w="983" w:type="dxa"/>
          </w:tcPr>
          <w:p w:rsidR="00D80435" w:rsidRDefault="00D80435">
            <w:pPr>
              <w:spacing w:before="100" w:after="100"/>
              <w:jc w:val="center"/>
              <w:rPr>
                <w:b/>
                <w:sz w:val="20"/>
                <w:lang w:val="ru-RU"/>
              </w:rPr>
            </w:pPr>
            <w:r>
              <w:rPr>
                <w:b/>
                <w:sz w:val="20"/>
                <w:lang w:val="ru-RU"/>
              </w:rPr>
              <w:t>Жен-щины</w:t>
            </w:r>
          </w:p>
        </w:tc>
        <w:tc>
          <w:tcPr>
            <w:tcW w:w="766" w:type="dxa"/>
          </w:tcPr>
          <w:p w:rsidR="00D80435" w:rsidRDefault="00D80435">
            <w:pPr>
              <w:spacing w:before="100" w:after="100"/>
              <w:jc w:val="center"/>
              <w:rPr>
                <w:b/>
                <w:sz w:val="20"/>
                <w:lang w:val="ru-RU"/>
              </w:rPr>
            </w:pPr>
            <w:r>
              <w:rPr>
                <w:b/>
                <w:sz w:val="20"/>
                <w:lang w:val="ru-RU"/>
              </w:rPr>
              <w:t>Муж-чины</w:t>
            </w:r>
          </w:p>
        </w:tc>
        <w:tc>
          <w:tcPr>
            <w:tcW w:w="772" w:type="dxa"/>
          </w:tcPr>
          <w:p w:rsidR="00D80435" w:rsidRDefault="00D80435">
            <w:pPr>
              <w:spacing w:before="100" w:after="100"/>
              <w:jc w:val="center"/>
              <w:rPr>
                <w:b/>
                <w:sz w:val="20"/>
                <w:lang w:val="ru-RU"/>
              </w:rPr>
            </w:pPr>
            <w:r>
              <w:rPr>
                <w:b/>
                <w:sz w:val="20"/>
                <w:lang w:val="ru-RU"/>
              </w:rPr>
              <w:t>Всего</w:t>
            </w:r>
          </w:p>
        </w:tc>
        <w:tc>
          <w:tcPr>
            <w:tcW w:w="983" w:type="dxa"/>
          </w:tcPr>
          <w:p w:rsidR="00D80435" w:rsidRDefault="00D80435">
            <w:pPr>
              <w:spacing w:before="100" w:after="100"/>
              <w:jc w:val="center"/>
              <w:rPr>
                <w:b/>
                <w:sz w:val="20"/>
                <w:lang w:val="ru-RU"/>
              </w:rPr>
            </w:pPr>
            <w:r>
              <w:rPr>
                <w:b/>
                <w:sz w:val="20"/>
                <w:lang w:val="ru-RU"/>
              </w:rPr>
              <w:t>Жен-щины</w:t>
            </w:r>
          </w:p>
        </w:tc>
        <w:tc>
          <w:tcPr>
            <w:tcW w:w="766" w:type="dxa"/>
          </w:tcPr>
          <w:p w:rsidR="00D80435" w:rsidRDefault="00D80435">
            <w:pPr>
              <w:spacing w:before="100" w:after="100"/>
              <w:jc w:val="center"/>
              <w:rPr>
                <w:b/>
                <w:sz w:val="20"/>
                <w:lang w:val="ru-RU"/>
              </w:rPr>
            </w:pPr>
            <w:r>
              <w:rPr>
                <w:b/>
                <w:sz w:val="20"/>
                <w:lang w:val="ru-RU"/>
              </w:rPr>
              <w:t>Муж-чины</w:t>
            </w:r>
          </w:p>
        </w:tc>
        <w:tc>
          <w:tcPr>
            <w:tcW w:w="866" w:type="dxa"/>
          </w:tcPr>
          <w:p w:rsidR="00D80435" w:rsidRDefault="00D80435">
            <w:pPr>
              <w:spacing w:before="100" w:after="100"/>
              <w:jc w:val="center"/>
              <w:rPr>
                <w:b/>
                <w:sz w:val="20"/>
                <w:lang w:val="ru-RU"/>
              </w:rPr>
            </w:pPr>
            <w:r>
              <w:rPr>
                <w:b/>
                <w:sz w:val="20"/>
                <w:lang w:val="ru-RU"/>
              </w:rPr>
              <w:t>Всего</w:t>
            </w:r>
          </w:p>
        </w:tc>
      </w:tr>
      <w:tr w:rsidR="00D80435">
        <w:tblPrEx>
          <w:tblCellMar>
            <w:top w:w="0" w:type="dxa"/>
            <w:bottom w:w="0" w:type="dxa"/>
          </w:tblCellMar>
        </w:tblPrEx>
        <w:trPr>
          <w:cantSplit/>
        </w:trPr>
        <w:tc>
          <w:tcPr>
            <w:tcW w:w="9321" w:type="dxa"/>
            <w:gridSpan w:val="8"/>
          </w:tcPr>
          <w:p w:rsidR="00D80435" w:rsidRDefault="00D80435">
            <w:pPr>
              <w:pStyle w:val="Heading5"/>
              <w:spacing w:before="200" w:after="100"/>
            </w:pPr>
            <w:r>
              <w:t xml:space="preserve">              Демография и статистика естественного движения населения</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1</w:t>
            </w:r>
          </w:p>
        </w:tc>
        <w:tc>
          <w:tcPr>
            <w:tcW w:w="3495" w:type="dxa"/>
          </w:tcPr>
          <w:p w:rsidR="00D80435" w:rsidRDefault="00D80435">
            <w:pPr>
              <w:spacing w:before="100" w:after="100"/>
              <w:jc w:val="left"/>
              <w:rPr>
                <w:sz w:val="20"/>
                <w:lang w:val="ru-RU"/>
              </w:rPr>
            </w:pPr>
            <w:r>
              <w:rPr>
                <w:sz w:val="20"/>
                <w:lang w:val="ru-RU"/>
              </w:rPr>
              <w:t>Численность населения (млн., 1991 и  2001 гг.)</w:t>
            </w:r>
          </w:p>
        </w:tc>
        <w:tc>
          <w:tcPr>
            <w:tcW w:w="983" w:type="dxa"/>
          </w:tcPr>
          <w:p w:rsidR="00D80435" w:rsidRDefault="00D80435">
            <w:pPr>
              <w:spacing w:before="100" w:after="100"/>
              <w:jc w:val="center"/>
              <w:rPr>
                <w:sz w:val="20"/>
                <w:lang w:val="ru-RU"/>
              </w:rPr>
            </w:pPr>
            <w:r>
              <w:rPr>
                <w:sz w:val="20"/>
                <w:lang w:val="ru-RU"/>
              </w:rPr>
              <w:t>407,1</w:t>
            </w:r>
          </w:p>
        </w:tc>
        <w:tc>
          <w:tcPr>
            <w:tcW w:w="766" w:type="dxa"/>
          </w:tcPr>
          <w:p w:rsidR="00D80435" w:rsidRDefault="00D80435">
            <w:pPr>
              <w:spacing w:before="100" w:after="100"/>
              <w:jc w:val="center"/>
              <w:rPr>
                <w:sz w:val="20"/>
                <w:lang w:val="ru-RU"/>
              </w:rPr>
            </w:pPr>
            <w:r>
              <w:rPr>
                <w:sz w:val="20"/>
                <w:lang w:val="ru-RU"/>
              </w:rPr>
              <w:t>439,2</w:t>
            </w:r>
          </w:p>
        </w:tc>
        <w:tc>
          <w:tcPr>
            <w:tcW w:w="772" w:type="dxa"/>
          </w:tcPr>
          <w:p w:rsidR="00D80435" w:rsidRDefault="00D80435">
            <w:pPr>
              <w:spacing w:before="100" w:after="100"/>
              <w:jc w:val="center"/>
              <w:rPr>
                <w:sz w:val="20"/>
                <w:lang w:val="ru-RU"/>
              </w:rPr>
            </w:pPr>
            <w:r>
              <w:rPr>
                <w:sz w:val="20"/>
                <w:lang w:val="ru-RU"/>
              </w:rPr>
              <w:t>846,3</w:t>
            </w:r>
          </w:p>
        </w:tc>
        <w:tc>
          <w:tcPr>
            <w:tcW w:w="983" w:type="dxa"/>
          </w:tcPr>
          <w:p w:rsidR="00D80435" w:rsidRDefault="00D80435">
            <w:pPr>
              <w:spacing w:before="100" w:after="100"/>
              <w:jc w:val="center"/>
              <w:rPr>
                <w:sz w:val="20"/>
                <w:lang w:val="ru-RU"/>
              </w:rPr>
            </w:pPr>
            <w:r>
              <w:rPr>
                <w:sz w:val="20"/>
                <w:lang w:val="ru-RU"/>
              </w:rPr>
              <w:t>496,4</w:t>
            </w:r>
          </w:p>
        </w:tc>
        <w:tc>
          <w:tcPr>
            <w:tcW w:w="766" w:type="dxa"/>
          </w:tcPr>
          <w:p w:rsidR="00D80435" w:rsidRDefault="00D80435">
            <w:pPr>
              <w:spacing w:before="100" w:after="100"/>
              <w:jc w:val="center"/>
              <w:rPr>
                <w:sz w:val="20"/>
                <w:lang w:val="ru-RU"/>
              </w:rPr>
            </w:pPr>
            <w:r>
              <w:rPr>
                <w:sz w:val="20"/>
                <w:lang w:val="ru-RU"/>
              </w:rPr>
              <w:t>532,2</w:t>
            </w:r>
          </w:p>
        </w:tc>
        <w:tc>
          <w:tcPr>
            <w:tcW w:w="866" w:type="dxa"/>
          </w:tcPr>
          <w:p w:rsidR="00D80435" w:rsidRDefault="00D80435">
            <w:pPr>
              <w:spacing w:before="100" w:after="100"/>
              <w:jc w:val="center"/>
              <w:rPr>
                <w:sz w:val="20"/>
                <w:lang w:val="ru-RU"/>
              </w:rPr>
            </w:pPr>
            <w:r>
              <w:rPr>
                <w:sz w:val="20"/>
                <w:lang w:val="ru-RU"/>
              </w:rPr>
              <w:t>1028,6</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2</w:t>
            </w:r>
          </w:p>
        </w:tc>
        <w:tc>
          <w:tcPr>
            <w:tcW w:w="3495" w:type="dxa"/>
          </w:tcPr>
          <w:p w:rsidR="00D80435" w:rsidRDefault="00D80435">
            <w:pPr>
              <w:spacing w:before="100" w:after="100"/>
              <w:jc w:val="left"/>
              <w:rPr>
                <w:sz w:val="20"/>
                <w:lang w:val="ru-RU"/>
              </w:rPr>
            </w:pPr>
            <w:r>
              <w:rPr>
                <w:sz w:val="20"/>
                <w:lang w:val="ru-RU"/>
              </w:rPr>
              <w:t>Десятилетний прирост населения (1981 и 2001 гг.)</w:t>
            </w:r>
          </w:p>
        </w:tc>
        <w:tc>
          <w:tcPr>
            <w:tcW w:w="983" w:type="dxa"/>
          </w:tcPr>
          <w:p w:rsidR="00D80435" w:rsidRDefault="00D80435">
            <w:pPr>
              <w:spacing w:before="100" w:after="100"/>
              <w:jc w:val="center"/>
              <w:rPr>
                <w:sz w:val="20"/>
                <w:lang w:val="ru-RU"/>
              </w:rPr>
            </w:pPr>
            <w:r>
              <w:rPr>
                <w:sz w:val="20"/>
                <w:lang w:val="ru-RU"/>
              </w:rPr>
              <w:t>23,37</w:t>
            </w:r>
          </w:p>
        </w:tc>
        <w:tc>
          <w:tcPr>
            <w:tcW w:w="766" w:type="dxa"/>
          </w:tcPr>
          <w:p w:rsidR="00D80435" w:rsidRDefault="00D80435">
            <w:pPr>
              <w:spacing w:before="100" w:after="100"/>
              <w:jc w:val="center"/>
              <w:rPr>
                <w:sz w:val="20"/>
                <w:lang w:val="ru-RU"/>
              </w:rPr>
            </w:pPr>
            <w:r>
              <w:rPr>
                <w:sz w:val="20"/>
                <w:lang w:val="ru-RU"/>
              </w:rPr>
              <w:t>24,30</w:t>
            </w:r>
          </w:p>
        </w:tc>
        <w:tc>
          <w:tcPr>
            <w:tcW w:w="772" w:type="dxa"/>
          </w:tcPr>
          <w:p w:rsidR="00D80435" w:rsidRDefault="00D80435">
            <w:pPr>
              <w:spacing w:before="100" w:after="100"/>
              <w:jc w:val="center"/>
              <w:rPr>
                <w:sz w:val="20"/>
                <w:lang w:val="ru-RU"/>
              </w:rPr>
            </w:pPr>
            <w:r>
              <w:rPr>
                <w:sz w:val="20"/>
                <w:lang w:val="ru-RU"/>
              </w:rPr>
              <w:t>23,85</w:t>
            </w:r>
          </w:p>
        </w:tc>
        <w:tc>
          <w:tcPr>
            <w:tcW w:w="983" w:type="dxa"/>
          </w:tcPr>
          <w:p w:rsidR="00D80435" w:rsidRDefault="00D80435">
            <w:pPr>
              <w:spacing w:before="100" w:after="100"/>
              <w:jc w:val="center"/>
              <w:rPr>
                <w:sz w:val="20"/>
                <w:lang w:val="ru-RU"/>
              </w:rPr>
            </w:pPr>
            <w:r>
              <w:rPr>
                <w:sz w:val="20"/>
                <w:lang w:val="ru-RU"/>
              </w:rPr>
              <w:t>21,96</w:t>
            </w:r>
          </w:p>
        </w:tc>
        <w:tc>
          <w:tcPr>
            <w:tcW w:w="766" w:type="dxa"/>
          </w:tcPr>
          <w:p w:rsidR="00D80435" w:rsidRDefault="00D80435">
            <w:pPr>
              <w:spacing w:before="100" w:after="100"/>
              <w:jc w:val="center"/>
              <w:rPr>
                <w:sz w:val="20"/>
                <w:lang w:val="ru-RU"/>
              </w:rPr>
            </w:pPr>
            <w:r>
              <w:rPr>
                <w:sz w:val="20"/>
                <w:lang w:val="ru-RU"/>
              </w:rPr>
              <w:t>21,16</w:t>
            </w:r>
          </w:p>
        </w:tc>
        <w:tc>
          <w:tcPr>
            <w:tcW w:w="866" w:type="dxa"/>
          </w:tcPr>
          <w:p w:rsidR="00D80435" w:rsidRDefault="00D80435">
            <w:pPr>
              <w:spacing w:before="100" w:after="100"/>
              <w:jc w:val="center"/>
              <w:rPr>
                <w:sz w:val="20"/>
                <w:lang w:val="ru-RU"/>
              </w:rPr>
            </w:pPr>
            <w:r>
              <w:rPr>
                <w:sz w:val="20"/>
                <w:lang w:val="ru-RU"/>
              </w:rPr>
              <w:t>21,54</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3</w:t>
            </w:r>
          </w:p>
        </w:tc>
        <w:tc>
          <w:tcPr>
            <w:tcW w:w="3495" w:type="dxa"/>
          </w:tcPr>
          <w:p w:rsidR="00D80435" w:rsidRDefault="00D80435">
            <w:pPr>
              <w:spacing w:before="100" w:after="100"/>
              <w:jc w:val="left"/>
              <w:rPr>
                <w:sz w:val="20"/>
                <w:lang w:val="ru-RU"/>
              </w:rPr>
            </w:pPr>
            <w:r>
              <w:rPr>
                <w:sz w:val="20"/>
                <w:lang w:val="ru-RU"/>
              </w:rPr>
              <w:t>Соотношение полов (1991 и 2001</w:t>
            </w:r>
            <w:r>
              <w:rPr>
                <w:sz w:val="20"/>
              </w:rPr>
              <w:t> </w:t>
            </w:r>
            <w:r>
              <w:rPr>
                <w:sz w:val="20"/>
                <w:lang w:val="ru-RU"/>
              </w:rPr>
              <w:t>гг.)</w:t>
            </w:r>
          </w:p>
        </w:tc>
        <w:tc>
          <w:tcPr>
            <w:tcW w:w="983" w:type="dxa"/>
          </w:tcPr>
          <w:p w:rsidR="00D80435" w:rsidRDefault="00D80435">
            <w:pPr>
              <w:spacing w:before="100" w:after="100"/>
              <w:jc w:val="center"/>
              <w:rPr>
                <w:sz w:val="20"/>
                <w:lang w:val="ru-RU"/>
              </w:rPr>
            </w:pPr>
            <w:r>
              <w:rPr>
                <w:sz w:val="20"/>
                <w:lang w:val="ru-RU"/>
              </w:rPr>
              <w:t>927</w:t>
            </w:r>
          </w:p>
        </w:tc>
        <w:tc>
          <w:tcPr>
            <w:tcW w:w="766" w:type="dxa"/>
          </w:tcPr>
          <w:p w:rsidR="00D80435" w:rsidRDefault="00D80435">
            <w:pPr>
              <w:spacing w:before="100" w:after="100"/>
              <w:jc w:val="center"/>
              <w:rPr>
                <w:sz w:val="20"/>
                <w:lang w:val="ru-RU"/>
              </w:rPr>
            </w:pPr>
          </w:p>
        </w:tc>
        <w:tc>
          <w:tcPr>
            <w:tcW w:w="772" w:type="dxa"/>
          </w:tcPr>
          <w:p w:rsidR="00D80435" w:rsidRDefault="00D80435">
            <w:pPr>
              <w:spacing w:before="100" w:after="100"/>
              <w:jc w:val="center"/>
              <w:rPr>
                <w:sz w:val="20"/>
                <w:lang w:val="ru-RU"/>
              </w:rPr>
            </w:pPr>
          </w:p>
        </w:tc>
        <w:tc>
          <w:tcPr>
            <w:tcW w:w="983" w:type="dxa"/>
          </w:tcPr>
          <w:p w:rsidR="00D80435" w:rsidRDefault="00D80435">
            <w:pPr>
              <w:spacing w:before="100" w:after="100"/>
              <w:jc w:val="center"/>
              <w:rPr>
                <w:sz w:val="20"/>
                <w:lang w:val="ru-RU"/>
              </w:rPr>
            </w:pPr>
            <w:r>
              <w:rPr>
                <w:sz w:val="20"/>
                <w:lang w:val="ru-RU"/>
              </w:rPr>
              <w:t>933</w:t>
            </w:r>
          </w:p>
        </w:tc>
        <w:tc>
          <w:tcPr>
            <w:tcW w:w="766" w:type="dxa"/>
          </w:tcPr>
          <w:p w:rsidR="00D80435" w:rsidRDefault="00D80435">
            <w:pPr>
              <w:spacing w:before="100" w:after="100"/>
              <w:jc w:val="center"/>
              <w:rPr>
                <w:sz w:val="20"/>
                <w:lang w:val="ru-RU"/>
              </w:rPr>
            </w:pPr>
          </w:p>
        </w:tc>
        <w:tc>
          <w:tcPr>
            <w:tcW w:w="866" w:type="dxa"/>
          </w:tcPr>
          <w:p w:rsidR="00D80435" w:rsidRDefault="00D80435">
            <w:pPr>
              <w:spacing w:before="100" w:after="100"/>
              <w:jc w:val="center"/>
              <w:rPr>
                <w:sz w:val="20"/>
                <w:lang w:val="ru-RU"/>
              </w:rPr>
            </w:pP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4</w:t>
            </w:r>
          </w:p>
        </w:tc>
        <w:tc>
          <w:tcPr>
            <w:tcW w:w="3495" w:type="dxa"/>
          </w:tcPr>
          <w:p w:rsidR="00D80435" w:rsidRDefault="00D80435">
            <w:pPr>
              <w:spacing w:before="100" w:after="100"/>
              <w:jc w:val="left"/>
              <w:rPr>
                <w:sz w:val="20"/>
                <w:lang w:val="ru-RU"/>
              </w:rPr>
            </w:pPr>
            <w:r>
              <w:rPr>
                <w:sz w:val="20"/>
                <w:lang w:val="ru-RU"/>
              </w:rPr>
              <w:t>Продолжительность предстоящей жизни при рождении (годы, 1991 и 2001 гг.)</w:t>
            </w:r>
          </w:p>
        </w:tc>
        <w:tc>
          <w:tcPr>
            <w:tcW w:w="983" w:type="dxa"/>
          </w:tcPr>
          <w:p w:rsidR="00D80435" w:rsidRDefault="00D80435">
            <w:pPr>
              <w:spacing w:before="100" w:after="100"/>
              <w:jc w:val="center"/>
              <w:rPr>
                <w:sz w:val="20"/>
                <w:lang w:val="ru-RU"/>
              </w:rPr>
            </w:pPr>
            <w:r>
              <w:rPr>
                <w:sz w:val="20"/>
                <w:lang w:val="ru-RU"/>
              </w:rPr>
              <w:t>58,1</w:t>
            </w:r>
          </w:p>
        </w:tc>
        <w:tc>
          <w:tcPr>
            <w:tcW w:w="766" w:type="dxa"/>
          </w:tcPr>
          <w:p w:rsidR="00D80435" w:rsidRDefault="00D80435">
            <w:pPr>
              <w:spacing w:before="100" w:after="100"/>
              <w:jc w:val="center"/>
              <w:rPr>
                <w:sz w:val="20"/>
                <w:lang w:val="ru-RU"/>
              </w:rPr>
            </w:pPr>
            <w:r>
              <w:rPr>
                <w:sz w:val="20"/>
                <w:lang w:val="ru-RU"/>
              </w:rPr>
              <w:t>57,1</w:t>
            </w:r>
          </w:p>
        </w:tc>
        <w:tc>
          <w:tcPr>
            <w:tcW w:w="772" w:type="dxa"/>
          </w:tcPr>
          <w:p w:rsidR="00D80435" w:rsidRDefault="00D80435">
            <w:pPr>
              <w:spacing w:before="100" w:after="100"/>
              <w:jc w:val="center"/>
              <w:rPr>
                <w:sz w:val="20"/>
                <w:lang w:val="ru-RU"/>
              </w:rPr>
            </w:pPr>
          </w:p>
        </w:tc>
        <w:tc>
          <w:tcPr>
            <w:tcW w:w="983" w:type="dxa"/>
          </w:tcPr>
          <w:p w:rsidR="00D80435" w:rsidRDefault="00D80435">
            <w:pPr>
              <w:spacing w:before="100" w:after="100"/>
              <w:jc w:val="center"/>
              <w:rPr>
                <w:sz w:val="20"/>
                <w:lang w:val="ru-RU"/>
              </w:rPr>
            </w:pPr>
            <w:r>
              <w:rPr>
                <w:sz w:val="20"/>
                <w:lang w:val="ru-RU"/>
              </w:rPr>
              <w:t>65,3</w:t>
            </w:r>
          </w:p>
        </w:tc>
        <w:tc>
          <w:tcPr>
            <w:tcW w:w="766" w:type="dxa"/>
          </w:tcPr>
          <w:p w:rsidR="00D80435" w:rsidRDefault="00D80435">
            <w:pPr>
              <w:spacing w:before="100" w:after="100"/>
              <w:jc w:val="center"/>
              <w:rPr>
                <w:sz w:val="20"/>
                <w:lang w:val="ru-RU"/>
              </w:rPr>
            </w:pPr>
            <w:r>
              <w:rPr>
                <w:sz w:val="20"/>
                <w:lang w:val="ru-RU"/>
              </w:rPr>
              <w:t>62,3</w:t>
            </w:r>
          </w:p>
        </w:tc>
        <w:tc>
          <w:tcPr>
            <w:tcW w:w="866" w:type="dxa"/>
          </w:tcPr>
          <w:p w:rsidR="00D80435" w:rsidRDefault="00D80435">
            <w:pPr>
              <w:spacing w:before="100" w:after="100"/>
              <w:jc w:val="center"/>
              <w:rPr>
                <w:sz w:val="20"/>
                <w:lang w:val="ru-RU"/>
              </w:rPr>
            </w:pP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5</w:t>
            </w:r>
          </w:p>
        </w:tc>
        <w:tc>
          <w:tcPr>
            <w:tcW w:w="3495" w:type="dxa"/>
          </w:tcPr>
          <w:p w:rsidR="00D80435" w:rsidRDefault="00D80435">
            <w:pPr>
              <w:spacing w:before="100" w:after="100"/>
              <w:jc w:val="left"/>
              <w:rPr>
                <w:sz w:val="20"/>
                <w:lang w:val="ru-RU"/>
              </w:rPr>
            </w:pPr>
            <w:r>
              <w:rPr>
                <w:sz w:val="20"/>
                <w:lang w:val="ru-RU"/>
              </w:rPr>
              <w:t>Средний возраст вступления в брак (1981 и 1991 гг.)</w:t>
            </w:r>
          </w:p>
        </w:tc>
        <w:tc>
          <w:tcPr>
            <w:tcW w:w="983" w:type="dxa"/>
          </w:tcPr>
          <w:p w:rsidR="00D80435" w:rsidRDefault="00D80435">
            <w:pPr>
              <w:spacing w:before="100" w:after="100"/>
              <w:jc w:val="center"/>
              <w:rPr>
                <w:sz w:val="20"/>
                <w:lang w:val="ru-RU"/>
              </w:rPr>
            </w:pPr>
            <w:r>
              <w:rPr>
                <w:sz w:val="20"/>
                <w:lang w:val="ru-RU"/>
              </w:rPr>
              <w:t>18,3</w:t>
            </w:r>
          </w:p>
        </w:tc>
        <w:tc>
          <w:tcPr>
            <w:tcW w:w="766" w:type="dxa"/>
          </w:tcPr>
          <w:p w:rsidR="00D80435" w:rsidRDefault="00D80435">
            <w:pPr>
              <w:spacing w:before="100" w:after="100"/>
              <w:jc w:val="center"/>
              <w:rPr>
                <w:sz w:val="20"/>
                <w:lang w:val="ru-RU"/>
              </w:rPr>
            </w:pPr>
            <w:r>
              <w:rPr>
                <w:sz w:val="20"/>
                <w:lang w:val="ru-RU"/>
              </w:rPr>
              <w:t>23,3</w:t>
            </w:r>
          </w:p>
        </w:tc>
        <w:tc>
          <w:tcPr>
            <w:tcW w:w="772" w:type="dxa"/>
          </w:tcPr>
          <w:p w:rsidR="00D80435" w:rsidRDefault="00D80435">
            <w:pPr>
              <w:spacing w:before="100" w:after="100"/>
              <w:jc w:val="center"/>
              <w:rPr>
                <w:sz w:val="20"/>
                <w:lang w:val="ru-RU"/>
              </w:rPr>
            </w:pPr>
          </w:p>
        </w:tc>
        <w:tc>
          <w:tcPr>
            <w:tcW w:w="983" w:type="dxa"/>
          </w:tcPr>
          <w:p w:rsidR="00D80435" w:rsidRDefault="00D80435">
            <w:pPr>
              <w:spacing w:before="100" w:after="100"/>
              <w:jc w:val="center"/>
              <w:rPr>
                <w:sz w:val="20"/>
                <w:lang w:val="ru-RU"/>
              </w:rPr>
            </w:pPr>
            <w:r>
              <w:rPr>
                <w:sz w:val="20"/>
                <w:lang w:val="ru-RU"/>
              </w:rPr>
              <w:t>19,5</w:t>
            </w:r>
          </w:p>
        </w:tc>
        <w:tc>
          <w:tcPr>
            <w:tcW w:w="766" w:type="dxa"/>
          </w:tcPr>
          <w:p w:rsidR="00D80435" w:rsidRDefault="00D80435">
            <w:pPr>
              <w:spacing w:before="100" w:after="100"/>
              <w:jc w:val="center"/>
              <w:rPr>
                <w:sz w:val="20"/>
                <w:lang w:val="ru-RU"/>
              </w:rPr>
            </w:pPr>
            <w:r>
              <w:rPr>
                <w:sz w:val="20"/>
                <w:lang w:val="ru-RU"/>
              </w:rPr>
              <w:t>23,9</w:t>
            </w:r>
          </w:p>
        </w:tc>
        <w:tc>
          <w:tcPr>
            <w:tcW w:w="866" w:type="dxa"/>
          </w:tcPr>
          <w:p w:rsidR="00D80435" w:rsidRDefault="00D80435">
            <w:pPr>
              <w:spacing w:before="100" w:after="100"/>
              <w:jc w:val="center"/>
              <w:rPr>
                <w:sz w:val="20"/>
                <w:lang w:val="ru-RU"/>
              </w:rPr>
            </w:pPr>
          </w:p>
        </w:tc>
      </w:tr>
      <w:tr w:rsidR="00D80435">
        <w:tblPrEx>
          <w:tblCellMar>
            <w:top w:w="0" w:type="dxa"/>
            <w:bottom w:w="0" w:type="dxa"/>
          </w:tblCellMar>
        </w:tblPrEx>
        <w:trPr>
          <w:cantSplit/>
        </w:trPr>
        <w:tc>
          <w:tcPr>
            <w:tcW w:w="9321" w:type="dxa"/>
            <w:gridSpan w:val="8"/>
          </w:tcPr>
          <w:p w:rsidR="00D80435" w:rsidRDefault="00D80435">
            <w:pPr>
              <w:pStyle w:val="Heading5"/>
              <w:spacing w:before="200" w:after="100"/>
            </w:pPr>
            <w:r>
              <w:t xml:space="preserve">             Здоровье и благосостояние семьи</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6</w:t>
            </w:r>
          </w:p>
        </w:tc>
        <w:tc>
          <w:tcPr>
            <w:tcW w:w="3495" w:type="dxa"/>
          </w:tcPr>
          <w:p w:rsidR="00D80435" w:rsidRDefault="00D80435">
            <w:pPr>
              <w:spacing w:before="100" w:after="100"/>
              <w:jc w:val="left"/>
              <w:rPr>
                <w:sz w:val="20"/>
                <w:lang w:val="ru-RU"/>
              </w:rPr>
            </w:pPr>
            <w:r>
              <w:rPr>
                <w:sz w:val="20"/>
                <w:lang w:val="ru-RU"/>
              </w:rPr>
              <w:t>Коэффициент рождаемости (на 1000, 1981 и 2002 гг.)</w:t>
            </w:r>
          </w:p>
        </w:tc>
        <w:tc>
          <w:tcPr>
            <w:tcW w:w="983" w:type="dxa"/>
          </w:tcPr>
          <w:p w:rsidR="00D80435" w:rsidRDefault="00D80435">
            <w:pPr>
              <w:spacing w:before="100" w:after="100"/>
              <w:jc w:val="center"/>
              <w:rPr>
                <w:sz w:val="20"/>
                <w:lang w:val="ru-RU"/>
              </w:rPr>
            </w:pPr>
          </w:p>
        </w:tc>
        <w:tc>
          <w:tcPr>
            <w:tcW w:w="766" w:type="dxa"/>
          </w:tcPr>
          <w:p w:rsidR="00D80435" w:rsidRDefault="00D80435">
            <w:pPr>
              <w:spacing w:before="100" w:after="100"/>
              <w:jc w:val="center"/>
              <w:rPr>
                <w:sz w:val="20"/>
                <w:lang w:val="ru-RU"/>
              </w:rPr>
            </w:pPr>
          </w:p>
        </w:tc>
        <w:tc>
          <w:tcPr>
            <w:tcW w:w="772" w:type="dxa"/>
          </w:tcPr>
          <w:p w:rsidR="00D80435" w:rsidRDefault="00D80435">
            <w:pPr>
              <w:spacing w:before="100" w:after="100"/>
              <w:jc w:val="center"/>
              <w:rPr>
                <w:sz w:val="20"/>
                <w:lang w:val="ru-RU"/>
              </w:rPr>
            </w:pPr>
            <w:r>
              <w:rPr>
                <w:sz w:val="20"/>
                <w:lang w:val="ru-RU"/>
              </w:rPr>
              <w:t>35,6</w:t>
            </w:r>
          </w:p>
        </w:tc>
        <w:tc>
          <w:tcPr>
            <w:tcW w:w="983" w:type="dxa"/>
          </w:tcPr>
          <w:p w:rsidR="00D80435" w:rsidRDefault="00D80435">
            <w:pPr>
              <w:spacing w:before="100" w:after="100"/>
              <w:jc w:val="center"/>
              <w:rPr>
                <w:sz w:val="20"/>
                <w:lang w:val="ru-RU"/>
              </w:rPr>
            </w:pPr>
          </w:p>
        </w:tc>
        <w:tc>
          <w:tcPr>
            <w:tcW w:w="766" w:type="dxa"/>
          </w:tcPr>
          <w:p w:rsidR="00D80435" w:rsidRDefault="00D80435">
            <w:pPr>
              <w:spacing w:before="100" w:after="100"/>
              <w:jc w:val="center"/>
              <w:rPr>
                <w:sz w:val="20"/>
                <w:lang w:val="ru-RU"/>
              </w:rPr>
            </w:pPr>
          </w:p>
        </w:tc>
        <w:tc>
          <w:tcPr>
            <w:tcW w:w="866" w:type="dxa"/>
          </w:tcPr>
          <w:p w:rsidR="00D80435" w:rsidRDefault="00D80435">
            <w:pPr>
              <w:spacing w:before="100" w:after="100"/>
              <w:jc w:val="center"/>
              <w:rPr>
                <w:sz w:val="20"/>
                <w:lang w:val="ru-RU"/>
              </w:rPr>
            </w:pPr>
            <w:r>
              <w:rPr>
                <w:sz w:val="20"/>
                <w:lang w:val="ru-RU"/>
              </w:rPr>
              <w:t>25,0</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7</w:t>
            </w:r>
          </w:p>
        </w:tc>
        <w:tc>
          <w:tcPr>
            <w:tcW w:w="3495" w:type="dxa"/>
          </w:tcPr>
          <w:p w:rsidR="00D80435" w:rsidRDefault="00D80435">
            <w:pPr>
              <w:spacing w:before="100" w:after="100"/>
              <w:jc w:val="left"/>
              <w:rPr>
                <w:sz w:val="20"/>
                <w:lang w:val="ru-RU"/>
              </w:rPr>
            </w:pPr>
            <w:r>
              <w:rPr>
                <w:sz w:val="20"/>
                <w:lang w:val="ru-RU"/>
              </w:rPr>
              <w:t>Коэффициент смертности (на 1000, 1981 и 2002 гг.)</w:t>
            </w:r>
          </w:p>
        </w:tc>
        <w:tc>
          <w:tcPr>
            <w:tcW w:w="983" w:type="dxa"/>
          </w:tcPr>
          <w:p w:rsidR="00D80435" w:rsidRDefault="00D80435">
            <w:pPr>
              <w:spacing w:before="100" w:after="100"/>
              <w:jc w:val="center"/>
              <w:rPr>
                <w:sz w:val="20"/>
                <w:lang w:val="ru-RU"/>
              </w:rPr>
            </w:pPr>
            <w:r>
              <w:rPr>
                <w:sz w:val="20"/>
                <w:lang w:val="ru-RU"/>
              </w:rPr>
              <w:t>12,7</w:t>
            </w:r>
          </w:p>
        </w:tc>
        <w:tc>
          <w:tcPr>
            <w:tcW w:w="766" w:type="dxa"/>
          </w:tcPr>
          <w:p w:rsidR="00D80435" w:rsidRDefault="00D80435">
            <w:pPr>
              <w:spacing w:before="100" w:after="100"/>
              <w:jc w:val="center"/>
              <w:rPr>
                <w:sz w:val="20"/>
                <w:lang w:val="ru-RU"/>
              </w:rPr>
            </w:pPr>
            <w:r>
              <w:rPr>
                <w:sz w:val="20"/>
                <w:lang w:val="ru-RU"/>
              </w:rPr>
              <w:t>12,4</w:t>
            </w:r>
          </w:p>
        </w:tc>
        <w:tc>
          <w:tcPr>
            <w:tcW w:w="772" w:type="dxa"/>
          </w:tcPr>
          <w:p w:rsidR="00D80435" w:rsidRDefault="00D80435">
            <w:pPr>
              <w:spacing w:before="100" w:after="100"/>
              <w:jc w:val="center"/>
              <w:rPr>
                <w:sz w:val="20"/>
                <w:lang w:val="ru-RU"/>
              </w:rPr>
            </w:pPr>
            <w:r>
              <w:rPr>
                <w:sz w:val="20"/>
                <w:lang w:val="ru-RU"/>
              </w:rPr>
              <w:t>12,5</w:t>
            </w:r>
          </w:p>
        </w:tc>
        <w:tc>
          <w:tcPr>
            <w:tcW w:w="983" w:type="dxa"/>
          </w:tcPr>
          <w:p w:rsidR="00D80435" w:rsidRDefault="00D80435">
            <w:pPr>
              <w:spacing w:before="100" w:after="100"/>
              <w:jc w:val="center"/>
              <w:rPr>
                <w:sz w:val="20"/>
                <w:lang w:val="ru-RU"/>
              </w:rPr>
            </w:pPr>
            <w:r>
              <w:rPr>
                <w:sz w:val="20"/>
                <w:lang w:val="ru-RU"/>
              </w:rPr>
              <w:t>7,7</w:t>
            </w:r>
          </w:p>
        </w:tc>
        <w:tc>
          <w:tcPr>
            <w:tcW w:w="766" w:type="dxa"/>
          </w:tcPr>
          <w:p w:rsidR="00D80435" w:rsidRDefault="00D80435">
            <w:pPr>
              <w:spacing w:before="100" w:after="100"/>
              <w:jc w:val="center"/>
              <w:rPr>
                <w:sz w:val="20"/>
                <w:lang w:val="ru-RU"/>
              </w:rPr>
            </w:pPr>
            <w:r>
              <w:rPr>
                <w:sz w:val="20"/>
                <w:lang w:val="ru-RU"/>
              </w:rPr>
              <w:t>8,4</w:t>
            </w:r>
          </w:p>
        </w:tc>
        <w:tc>
          <w:tcPr>
            <w:tcW w:w="866" w:type="dxa"/>
          </w:tcPr>
          <w:p w:rsidR="00D80435" w:rsidRDefault="00D80435">
            <w:pPr>
              <w:spacing w:before="100" w:after="100"/>
              <w:jc w:val="center"/>
              <w:rPr>
                <w:sz w:val="20"/>
                <w:lang w:val="ru-RU"/>
              </w:rPr>
            </w:pPr>
            <w:r>
              <w:rPr>
                <w:sz w:val="20"/>
                <w:lang w:val="ru-RU"/>
              </w:rPr>
              <w:t>8,1</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8</w:t>
            </w:r>
          </w:p>
        </w:tc>
        <w:tc>
          <w:tcPr>
            <w:tcW w:w="3495" w:type="dxa"/>
          </w:tcPr>
          <w:p w:rsidR="00D80435" w:rsidRDefault="00D80435">
            <w:pPr>
              <w:spacing w:before="100" w:after="100"/>
              <w:jc w:val="left"/>
              <w:rPr>
                <w:sz w:val="20"/>
                <w:lang w:val="ru-RU"/>
              </w:rPr>
            </w:pPr>
            <w:r>
              <w:rPr>
                <w:sz w:val="20"/>
                <w:lang w:val="ru-RU"/>
              </w:rPr>
              <w:t xml:space="preserve">Коэффициент младенческой смертности (на 1000 живорождений, 1990 и 2002 гг.)  </w:t>
            </w:r>
          </w:p>
        </w:tc>
        <w:tc>
          <w:tcPr>
            <w:tcW w:w="983" w:type="dxa"/>
          </w:tcPr>
          <w:p w:rsidR="00D80435" w:rsidRDefault="00D80435">
            <w:pPr>
              <w:spacing w:before="100" w:after="100"/>
              <w:jc w:val="center"/>
              <w:rPr>
                <w:sz w:val="20"/>
                <w:lang w:val="ru-RU"/>
              </w:rPr>
            </w:pPr>
            <w:r>
              <w:rPr>
                <w:sz w:val="20"/>
                <w:lang w:val="ru-RU"/>
              </w:rPr>
              <w:t>81</w:t>
            </w:r>
          </w:p>
        </w:tc>
        <w:tc>
          <w:tcPr>
            <w:tcW w:w="766" w:type="dxa"/>
          </w:tcPr>
          <w:p w:rsidR="00D80435" w:rsidRDefault="00D80435">
            <w:pPr>
              <w:spacing w:before="100" w:after="100"/>
              <w:jc w:val="center"/>
              <w:rPr>
                <w:sz w:val="20"/>
                <w:lang w:val="ru-RU"/>
              </w:rPr>
            </w:pPr>
            <w:r>
              <w:rPr>
                <w:sz w:val="20"/>
                <w:lang w:val="ru-RU"/>
              </w:rPr>
              <w:t>78</w:t>
            </w:r>
          </w:p>
        </w:tc>
        <w:tc>
          <w:tcPr>
            <w:tcW w:w="772" w:type="dxa"/>
          </w:tcPr>
          <w:p w:rsidR="00D80435" w:rsidRDefault="00D80435">
            <w:pPr>
              <w:spacing w:before="100" w:after="100"/>
              <w:jc w:val="center"/>
              <w:rPr>
                <w:sz w:val="20"/>
                <w:lang w:val="ru-RU"/>
              </w:rPr>
            </w:pPr>
            <w:r>
              <w:rPr>
                <w:sz w:val="20"/>
                <w:lang w:val="ru-RU"/>
              </w:rPr>
              <w:t>80</w:t>
            </w:r>
          </w:p>
        </w:tc>
        <w:tc>
          <w:tcPr>
            <w:tcW w:w="983" w:type="dxa"/>
          </w:tcPr>
          <w:p w:rsidR="00D80435" w:rsidRDefault="00D80435">
            <w:pPr>
              <w:spacing w:before="100" w:after="100"/>
              <w:jc w:val="center"/>
              <w:rPr>
                <w:sz w:val="20"/>
                <w:lang w:val="ru-RU"/>
              </w:rPr>
            </w:pPr>
            <w:r>
              <w:rPr>
                <w:sz w:val="20"/>
                <w:lang w:val="ru-RU"/>
              </w:rPr>
              <w:t>65</w:t>
            </w:r>
          </w:p>
        </w:tc>
        <w:tc>
          <w:tcPr>
            <w:tcW w:w="766" w:type="dxa"/>
          </w:tcPr>
          <w:p w:rsidR="00D80435" w:rsidRDefault="00D80435">
            <w:pPr>
              <w:spacing w:before="100" w:after="100"/>
              <w:jc w:val="center"/>
              <w:rPr>
                <w:sz w:val="20"/>
                <w:lang w:val="ru-RU"/>
              </w:rPr>
            </w:pPr>
            <w:r>
              <w:rPr>
                <w:sz w:val="20"/>
                <w:lang w:val="ru-RU"/>
              </w:rPr>
              <w:t>62</w:t>
            </w:r>
          </w:p>
        </w:tc>
        <w:tc>
          <w:tcPr>
            <w:tcW w:w="866" w:type="dxa"/>
          </w:tcPr>
          <w:p w:rsidR="00D80435" w:rsidRDefault="00D80435">
            <w:pPr>
              <w:spacing w:before="100" w:after="100"/>
              <w:jc w:val="center"/>
              <w:rPr>
                <w:sz w:val="20"/>
                <w:lang w:val="ru-RU"/>
              </w:rPr>
            </w:pPr>
            <w:r>
              <w:rPr>
                <w:sz w:val="20"/>
                <w:lang w:val="ru-RU"/>
              </w:rPr>
              <w:t>64</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9</w:t>
            </w:r>
          </w:p>
        </w:tc>
        <w:tc>
          <w:tcPr>
            <w:tcW w:w="3495" w:type="dxa"/>
          </w:tcPr>
          <w:p w:rsidR="00D80435" w:rsidRDefault="00D80435">
            <w:pPr>
              <w:spacing w:before="100" w:after="100"/>
              <w:jc w:val="left"/>
              <w:rPr>
                <w:sz w:val="20"/>
                <w:lang w:val="ru-RU"/>
              </w:rPr>
            </w:pPr>
            <w:r>
              <w:rPr>
                <w:sz w:val="20"/>
                <w:lang w:val="ru-RU"/>
              </w:rPr>
              <w:t>Коэффициент детской смертности (на 1000 живорождений в возрасте до 5 лет, 1985 и 2001 гг.)</w:t>
            </w:r>
          </w:p>
        </w:tc>
        <w:tc>
          <w:tcPr>
            <w:tcW w:w="983" w:type="dxa"/>
          </w:tcPr>
          <w:p w:rsidR="00D80435" w:rsidRDefault="00D80435">
            <w:pPr>
              <w:spacing w:before="100" w:after="100"/>
              <w:jc w:val="center"/>
              <w:rPr>
                <w:sz w:val="20"/>
                <w:lang w:val="ru-RU"/>
              </w:rPr>
            </w:pPr>
            <w:r>
              <w:rPr>
                <w:sz w:val="20"/>
                <w:lang w:val="ru-RU"/>
              </w:rPr>
              <w:t>40,4</w:t>
            </w:r>
          </w:p>
        </w:tc>
        <w:tc>
          <w:tcPr>
            <w:tcW w:w="766" w:type="dxa"/>
          </w:tcPr>
          <w:p w:rsidR="00D80435" w:rsidRDefault="00D80435">
            <w:pPr>
              <w:spacing w:before="100" w:after="100"/>
              <w:jc w:val="center"/>
              <w:rPr>
                <w:sz w:val="20"/>
                <w:lang w:val="ru-RU"/>
              </w:rPr>
            </w:pPr>
            <w:r>
              <w:rPr>
                <w:sz w:val="20"/>
                <w:lang w:val="ru-RU"/>
              </w:rPr>
              <w:t>36,6</w:t>
            </w:r>
          </w:p>
        </w:tc>
        <w:tc>
          <w:tcPr>
            <w:tcW w:w="772" w:type="dxa"/>
          </w:tcPr>
          <w:p w:rsidR="00D80435" w:rsidRDefault="00D80435">
            <w:pPr>
              <w:spacing w:before="100" w:after="100"/>
              <w:jc w:val="center"/>
              <w:rPr>
                <w:sz w:val="20"/>
                <w:lang w:val="ru-RU"/>
              </w:rPr>
            </w:pPr>
            <w:r>
              <w:rPr>
                <w:sz w:val="20"/>
                <w:lang w:val="ru-RU"/>
              </w:rPr>
              <w:t>38,4</w:t>
            </w:r>
          </w:p>
        </w:tc>
        <w:tc>
          <w:tcPr>
            <w:tcW w:w="983" w:type="dxa"/>
          </w:tcPr>
          <w:p w:rsidR="00D80435" w:rsidRDefault="00D80435">
            <w:pPr>
              <w:spacing w:before="100" w:after="100"/>
              <w:jc w:val="center"/>
              <w:rPr>
                <w:sz w:val="20"/>
                <w:lang w:val="ru-RU"/>
              </w:rPr>
            </w:pPr>
            <w:r>
              <w:rPr>
                <w:sz w:val="20"/>
                <w:lang w:val="ru-RU"/>
              </w:rPr>
              <w:t>71,6</w:t>
            </w:r>
          </w:p>
        </w:tc>
        <w:tc>
          <w:tcPr>
            <w:tcW w:w="766" w:type="dxa"/>
          </w:tcPr>
          <w:p w:rsidR="00D80435" w:rsidRDefault="00D80435">
            <w:pPr>
              <w:spacing w:before="100" w:after="100"/>
              <w:jc w:val="center"/>
              <w:rPr>
                <w:sz w:val="20"/>
                <w:lang w:val="ru-RU"/>
              </w:rPr>
            </w:pPr>
            <w:r>
              <w:rPr>
                <w:sz w:val="20"/>
                <w:lang w:val="ru-RU"/>
              </w:rPr>
              <w:t>70,5</w:t>
            </w:r>
          </w:p>
        </w:tc>
        <w:tc>
          <w:tcPr>
            <w:tcW w:w="866" w:type="dxa"/>
          </w:tcPr>
          <w:p w:rsidR="00D80435" w:rsidRDefault="00D80435">
            <w:pPr>
              <w:spacing w:before="100" w:after="100"/>
              <w:jc w:val="center"/>
              <w:rPr>
                <w:sz w:val="20"/>
                <w:lang w:val="ru-RU"/>
              </w:rPr>
            </w:pPr>
            <w:r>
              <w:rPr>
                <w:sz w:val="20"/>
                <w:lang w:val="ru-RU"/>
              </w:rPr>
              <w:t>71,1</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10</w:t>
            </w:r>
          </w:p>
        </w:tc>
        <w:tc>
          <w:tcPr>
            <w:tcW w:w="3495" w:type="dxa"/>
          </w:tcPr>
          <w:p w:rsidR="00D80435" w:rsidRDefault="00D80435">
            <w:pPr>
              <w:spacing w:before="100" w:after="100"/>
              <w:jc w:val="left"/>
              <w:rPr>
                <w:sz w:val="20"/>
                <w:lang w:val="ru-RU"/>
              </w:rPr>
            </w:pPr>
            <w:r>
              <w:rPr>
                <w:sz w:val="20"/>
                <w:lang w:val="ru-RU"/>
              </w:rPr>
              <w:t>Коэффициент материнской смертности (на 100</w:t>
            </w:r>
            <w:r>
              <w:rPr>
                <w:sz w:val="20"/>
              </w:rPr>
              <w:t> </w:t>
            </w:r>
            <w:r>
              <w:rPr>
                <w:sz w:val="20"/>
                <w:lang w:val="ru-RU"/>
              </w:rPr>
              <w:t>000 живорождений, 1997 и 1998 гг.)</w:t>
            </w:r>
          </w:p>
        </w:tc>
        <w:tc>
          <w:tcPr>
            <w:tcW w:w="983" w:type="dxa"/>
          </w:tcPr>
          <w:p w:rsidR="00D80435" w:rsidRDefault="00D80435">
            <w:pPr>
              <w:spacing w:before="100" w:after="100"/>
              <w:jc w:val="center"/>
              <w:rPr>
                <w:sz w:val="20"/>
                <w:lang w:val="ru-RU"/>
              </w:rPr>
            </w:pPr>
            <w:r>
              <w:rPr>
                <w:sz w:val="20"/>
                <w:lang w:val="ru-RU"/>
              </w:rPr>
              <w:t>408</w:t>
            </w:r>
          </w:p>
        </w:tc>
        <w:tc>
          <w:tcPr>
            <w:tcW w:w="766" w:type="dxa"/>
          </w:tcPr>
          <w:p w:rsidR="00D80435" w:rsidRDefault="00D80435">
            <w:pPr>
              <w:spacing w:before="100" w:after="100"/>
              <w:jc w:val="center"/>
              <w:rPr>
                <w:sz w:val="20"/>
                <w:lang w:val="ru-RU"/>
              </w:rPr>
            </w:pPr>
          </w:p>
        </w:tc>
        <w:tc>
          <w:tcPr>
            <w:tcW w:w="772" w:type="dxa"/>
          </w:tcPr>
          <w:p w:rsidR="00D80435" w:rsidRDefault="00D80435">
            <w:pPr>
              <w:spacing w:before="100" w:after="100"/>
              <w:jc w:val="center"/>
              <w:rPr>
                <w:sz w:val="20"/>
                <w:lang w:val="ru-RU"/>
              </w:rPr>
            </w:pPr>
          </w:p>
        </w:tc>
        <w:tc>
          <w:tcPr>
            <w:tcW w:w="983" w:type="dxa"/>
          </w:tcPr>
          <w:p w:rsidR="00D80435" w:rsidRDefault="00D80435">
            <w:pPr>
              <w:spacing w:before="100" w:after="100"/>
              <w:jc w:val="center"/>
              <w:rPr>
                <w:sz w:val="20"/>
                <w:lang w:val="ru-RU"/>
              </w:rPr>
            </w:pPr>
            <w:r>
              <w:rPr>
                <w:sz w:val="20"/>
                <w:lang w:val="ru-RU"/>
              </w:rPr>
              <w:t>407</w:t>
            </w:r>
          </w:p>
        </w:tc>
        <w:tc>
          <w:tcPr>
            <w:tcW w:w="766" w:type="dxa"/>
          </w:tcPr>
          <w:p w:rsidR="00D80435" w:rsidRDefault="00D80435">
            <w:pPr>
              <w:spacing w:before="100" w:after="100"/>
              <w:jc w:val="center"/>
              <w:rPr>
                <w:sz w:val="20"/>
                <w:lang w:val="ru-RU"/>
              </w:rPr>
            </w:pPr>
          </w:p>
        </w:tc>
        <w:tc>
          <w:tcPr>
            <w:tcW w:w="866" w:type="dxa"/>
          </w:tcPr>
          <w:p w:rsidR="00D80435" w:rsidRDefault="00D80435">
            <w:pPr>
              <w:spacing w:before="100" w:after="100"/>
              <w:jc w:val="center"/>
              <w:rPr>
                <w:sz w:val="20"/>
                <w:lang w:val="ru-RU"/>
              </w:rPr>
            </w:pPr>
          </w:p>
        </w:tc>
      </w:tr>
      <w:tr w:rsidR="00D80435">
        <w:tblPrEx>
          <w:tblCellMar>
            <w:top w:w="0" w:type="dxa"/>
            <w:bottom w:w="0" w:type="dxa"/>
          </w:tblCellMar>
        </w:tblPrEx>
        <w:trPr>
          <w:cantSplit/>
        </w:trPr>
        <w:tc>
          <w:tcPr>
            <w:tcW w:w="9321" w:type="dxa"/>
            <w:gridSpan w:val="8"/>
          </w:tcPr>
          <w:p w:rsidR="00D80435" w:rsidRDefault="00D80435">
            <w:pPr>
              <w:pStyle w:val="Heading5"/>
              <w:spacing w:before="200" w:after="100"/>
            </w:pPr>
            <w:r>
              <w:t xml:space="preserve">                Грамотность и образование</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11</w:t>
            </w:r>
          </w:p>
        </w:tc>
        <w:tc>
          <w:tcPr>
            <w:tcW w:w="3495" w:type="dxa"/>
          </w:tcPr>
          <w:p w:rsidR="00D80435" w:rsidRDefault="00D80435">
            <w:pPr>
              <w:spacing w:before="100" w:after="100"/>
              <w:jc w:val="left"/>
              <w:rPr>
                <w:sz w:val="20"/>
                <w:lang w:val="ru-RU"/>
              </w:rPr>
            </w:pPr>
            <w:r>
              <w:rPr>
                <w:sz w:val="20"/>
                <w:lang w:val="ru-RU"/>
              </w:rPr>
              <w:t>Уровень грамотности (1991 и 2001</w:t>
            </w:r>
            <w:r>
              <w:rPr>
                <w:sz w:val="20"/>
              </w:rPr>
              <w:t> </w:t>
            </w:r>
            <w:r>
              <w:rPr>
                <w:sz w:val="20"/>
                <w:lang w:val="ru-RU"/>
              </w:rPr>
              <w:t>гг.) в процентах</w:t>
            </w:r>
          </w:p>
        </w:tc>
        <w:tc>
          <w:tcPr>
            <w:tcW w:w="983" w:type="dxa"/>
          </w:tcPr>
          <w:p w:rsidR="00D80435" w:rsidRDefault="00D80435">
            <w:pPr>
              <w:spacing w:before="100" w:after="100"/>
              <w:jc w:val="center"/>
              <w:rPr>
                <w:sz w:val="20"/>
                <w:lang w:val="ru-RU"/>
              </w:rPr>
            </w:pPr>
            <w:r>
              <w:rPr>
                <w:sz w:val="20"/>
                <w:lang w:val="ru-RU"/>
              </w:rPr>
              <w:t>39,29</w:t>
            </w:r>
          </w:p>
        </w:tc>
        <w:tc>
          <w:tcPr>
            <w:tcW w:w="766" w:type="dxa"/>
          </w:tcPr>
          <w:p w:rsidR="00D80435" w:rsidRDefault="00D80435">
            <w:pPr>
              <w:spacing w:before="100" w:after="100"/>
              <w:jc w:val="center"/>
              <w:rPr>
                <w:sz w:val="20"/>
                <w:lang w:val="ru-RU"/>
              </w:rPr>
            </w:pPr>
            <w:r>
              <w:rPr>
                <w:sz w:val="20"/>
                <w:lang w:val="ru-RU"/>
              </w:rPr>
              <w:t>64,13</w:t>
            </w:r>
          </w:p>
        </w:tc>
        <w:tc>
          <w:tcPr>
            <w:tcW w:w="772" w:type="dxa"/>
          </w:tcPr>
          <w:p w:rsidR="00D80435" w:rsidRDefault="00D80435">
            <w:pPr>
              <w:spacing w:before="100" w:after="100"/>
              <w:jc w:val="center"/>
              <w:rPr>
                <w:sz w:val="20"/>
                <w:lang w:val="ru-RU"/>
              </w:rPr>
            </w:pPr>
            <w:r>
              <w:rPr>
                <w:sz w:val="20"/>
                <w:lang w:val="ru-RU"/>
              </w:rPr>
              <w:t>52,21</w:t>
            </w:r>
          </w:p>
        </w:tc>
        <w:tc>
          <w:tcPr>
            <w:tcW w:w="983" w:type="dxa"/>
          </w:tcPr>
          <w:p w:rsidR="00D80435" w:rsidRDefault="00D80435">
            <w:pPr>
              <w:spacing w:before="100" w:after="100"/>
              <w:jc w:val="center"/>
              <w:rPr>
                <w:sz w:val="20"/>
                <w:lang w:val="ru-RU"/>
              </w:rPr>
            </w:pPr>
            <w:r>
              <w:rPr>
                <w:sz w:val="20"/>
                <w:lang w:val="ru-RU"/>
              </w:rPr>
              <w:t>53,67</w:t>
            </w:r>
          </w:p>
        </w:tc>
        <w:tc>
          <w:tcPr>
            <w:tcW w:w="766" w:type="dxa"/>
          </w:tcPr>
          <w:p w:rsidR="00D80435" w:rsidRDefault="00D80435">
            <w:pPr>
              <w:spacing w:before="100" w:after="100"/>
              <w:jc w:val="center"/>
              <w:rPr>
                <w:sz w:val="20"/>
                <w:lang w:val="ru-RU"/>
              </w:rPr>
            </w:pPr>
            <w:r>
              <w:rPr>
                <w:sz w:val="20"/>
                <w:lang w:val="ru-RU"/>
              </w:rPr>
              <w:t>75,26</w:t>
            </w:r>
          </w:p>
        </w:tc>
        <w:tc>
          <w:tcPr>
            <w:tcW w:w="866" w:type="dxa"/>
          </w:tcPr>
          <w:p w:rsidR="00D80435" w:rsidRDefault="00D80435">
            <w:pPr>
              <w:spacing w:before="100" w:after="100"/>
              <w:jc w:val="center"/>
              <w:rPr>
                <w:sz w:val="20"/>
                <w:lang w:val="ru-RU"/>
              </w:rPr>
            </w:pPr>
            <w:r>
              <w:rPr>
                <w:sz w:val="20"/>
                <w:lang w:val="ru-RU"/>
              </w:rPr>
              <w:t>64,84</w:t>
            </w:r>
          </w:p>
        </w:tc>
      </w:tr>
      <w:tr w:rsidR="00D80435">
        <w:tblPrEx>
          <w:tblCellMar>
            <w:top w:w="0" w:type="dxa"/>
            <w:bottom w:w="0" w:type="dxa"/>
          </w:tblCellMar>
        </w:tblPrEx>
        <w:trPr>
          <w:cantSplit/>
        </w:trPr>
        <w:tc>
          <w:tcPr>
            <w:tcW w:w="690" w:type="dxa"/>
            <w:vMerge w:val="restart"/>
          </w:tcPr>
          <w:p w:rsidR="00D80435" w:rsidRDefault="00D80435">
            <w:pPr>
              <w:spacing w:before="100" w:after="100"/>
              <w:rPr>
                <w:sz w:val="20"/>
                <w:lang w:val="ru-RU"/>
              </w:rPr>
            </w:pPr>
            <w:r>
              <w:rPr>
                <w:sz w:val="20"/>
                <w:lang w:val="ru-RU"/>
              </w:rPr>
              <w:t>12</w:t>
            </w:r>
          </w:p>
        </w:tc>
        <w:tc>
          <w:tcPr>
            <w:tcW w:w="3495" w:type="dxa"/>
          </w:tcPr>
          <w:p w:rsidR="00D80435" w:rsidRDefault="00D80435">
            <w:pPr>
              <w:spacing w:before="100" w:after="100"/>
              <w:jc w:val="left"/>
              <w:rPr>
                <w:sz w:val="20"/>
                <w:lang w:val="ru-RU"/>
              </w:rPr>
            </w:pPr>
            <w:r>
              <w:rPr>
                <w:sz w:val="20"/>
                <w:lang w:val="ru-RU"/>
              </w:rPr>
              <w:t>Общая доля учащихся (1990/91 и 2002/03 гг.)</w:t>
            </w:r>
          </w:p>
        </w:tc>
        <w:tc>
          <w:tcPr>
            <w:tcW w:w="983" w:type="dxa"/>
          </w:tcPr>
          <w:p w:rsidR="00D80435" w:rsidRDefault="00D80435">
            <w:pPr>
              <w:spacing w:before="100" w:after="100"/>
              <w:jc w:val="center"/>
              <w:rPr>
                <w:sz w:val="20"/>
                <w:lang w:val="ru-RU"/>
              </w:rPr>
            </w:pPr>
          </w:p>
        </w:tc>
        <w:tc>
          <w:tcPr>
            <w:tcW w:w="766" w:type="dxa"/>
          </w:tcPr>
          <w:p w:rsidR="00D80435" w:rsidRDefault="00D80435">
            <w:pPr>
              <w:spacing w:before="100" w:after="100"/>
              <w:jc w:val="center"/>
              <w:rPr>
                <w:sz w:val="20"/>
                <w:lang w:val="ru-RU"/>
              </w:rPr>
            </w:pPr>
          </w:p>
        </w:tc>
        <w:tc>
          <w:tcPr>
            <w:tcW w:w="772" w:type="dxa"/>
          </w:tcPr>
          <w:p w:rsidR="00D80435" w:rsidRDefault="00D80435">
            <w:pPr>
              <w:spacing w:before="100" w:after="100"/>
              <w:jc w:val="center"/>
              <w:rPr>
                <w:sz w:val="20"/>
                <w:lang w:val="ru-RU"/>
              </w:rPr>
            </w:pPr>
          </w:p>
        </w:tc>
        <w:tc>
          <w:tcPr>
            <w:tcW w:w="983" w:type="dxa"/>
          </w:tcPr>
          <w:p w:rsidR="00D80435" w:rsidRDefault="00D80435">
            <w:pPr>
              <w:spacing w:before="100" w:after="100"/>
              <w:jc w:val="center"/>
              <w:rPr>
                <w:sz w:val="20"/>
                <w:lang w:val="ru-RU"/>
              </w:rPr>
            </w:pPr>
          </w:p>
        </w:tc>
        <w:tc>
          <w:tcPr>
            <w:tcW w:w="766" w:type="dxa"/>
          </w:tcPr>
          <w:p w:rsidR="00D80435" w:rsidRDefault="00D80435">
            <w:pPr>
              <w:spacing w:before="100" w:after="100"/>
              <w:jc w:val="center"/>
              <w:rPr>
                <w:sz w:val="20"/>
                <w:lang w:val="ru-RU"/>
              </w:rPr>
            </w:pPr>
          </w:p>
        </w:tc>
        <w:tc>
          <w:tcPr>
            <w:tcW w:w="866" w:type="dxa"/>
          </w:tcPr>
          <w:p w:rsidR="00D80435" w:rsidRDefault="00D80435">
            <w:pPr>
              <w:spacing w:before="100" w:after="100"/>
              <w:jc w:val="center"/>
              <w:rPr>
                <w:sz w:val="20"/>
                <w:lang w:val="ru-RU"/>
              </w:rPr>
            </w:pPr>
          </w:p>
        </w:tc>
      </w:tr>
      <w:tr w:rsidR="00D80435">
        <w:tblPrEx>
          <w:tblCellMar>
            <w:top w:w="0" w:type="dxa"/>
            <w:bottom w:w="0" w:type="dxa"/>
          </w:tblCellMar>
        </w:tblPrEx>
        <w:trPr>
          <w:cantSplit/>
        </w:trPr>
        <w:tc>
          <w:tcPr>
            <w:tcW w:w="690" w:type="dxa"/>
            <w:vMerge/>
          </w:tcPr>
          <w:p w:rsidR="00D80435" w:rsidRDefault="00D80435">
            <w:pPr>
              <w:spacing w:before="100" w:after="100"/>
              <w:rPr>
                <w:sz w:val="20"/>
                <w:lang w:val="ru-RU"/>
              </w:rPr>
            </w:pPr>
          </w:p>
        </w:tc>
        <w:tc>
          <w:tcPr>
            <w:tcW w:w="3495" w:type="dxa"/>
          </w:tcPr>
          <w:p w:rsidR="00D80435" w:rsidRDefault="00D80435">
            <w:pPr>
              <w:spacing w:before="100" w:after="100"/>
              <w:jc w:val="left"/>
              <w:rPr>
                <w:sz w:val="20"/>
                <w:lang w:val="ru-RU"/>
              </w:rPr>
            </w:pPr>
            <w:r>
              <w:rPr>
                <w:sz w:val="20"/>
                <w:lang w:val="ru-RU"/>
              </w:rPr>
              <w:t xml:space="preserve">классы </w:t>
            </w:r>
            <w:r>
              <w:rPr>
                <w:sz w:val="20"/>
                <w:lang w:val="en-GB"/>
              </w:rPr>
              <w:t>I</w:t>
            </w:r>
            <w:r>
              <w:rPr>
                <w:sz w:val="20"/>
                <w:lang w:val="ru-RU"/>
              </w:rPr>
              <w:t>–</w:t>
            </w:r>
            <w:r>
              <w:rPr>
                <w:sz w:val="20"/>
                <w:lang w:val="en-GB"/>
              </w:rPr>
              <w:t>V</w:t>
            </w:r>
          </w:p>
        </w:tc>
        <w:tc>
          <w:tcPr>
            <w:tcW w:w="983" w:type="dxa"/>
          </w:tcPr>
          <w:p w:rsidR="00D80435" w:rsidRDefault="00D80435">
            <w:pPr>
              <w:spacing w:before="100" w:after="100"/>
              <w:jc w:val="center"/>
              <w:rPr>
                <w:sz w:val="20"/>
                <w:lang w:val="fr-FR"/>
              </w:rPr>
            </w:pPr>
            <w:r>
              <w:rPr>
                <w:sz w:val="20"/>
                <w:lang w:val="fr-FR"/>
              </w:rPr>
              <w:t>85,5</w:t>
            </w:r>
          </w:p>
        </w:tc>
        <w:tc>
          <w:tcPr>
            <w:tcW w:w="766" w:type="dxa"/>
          </w:tcPr>
          <w:p w:rsidR="00D80435" w:rsidRDefault="00D80435">
            <w:pPr>
              <w:spacing w:before="100" w:after="100"/>
              <w:jc w:val="center"/>
              <w:rPr>
                <w:sz w:val="20"/>
                <w:lang w:val="fr-FR"/>
              </w:rPr>
            </w:pPr>
            <w:r>
              <w:rPr>
                <w:sz w:val="20"/>
                <w:lang w:val="fr-FR"/>
              </w:rPr>
              <w:t>114,0</w:t>
            </w:r>
          </w:p>
        </w:tc>
        <w:tc>
          <w:tcPr>
            <w:tcW w:w="772" w:type="dxa"/>
          </w:tcPr>
          <w:p w:rsidR="00D80435" w:rsidRDefault="00D80435">
            <w:pPr>
              <w:spacing w:before="100" w:after="100"/>
              <w:jc w:val="center"/>
              <w:rPr>
                <w:sz w:val="20"/>
                <w:lang w:val="fr-FR"/>
              </w:rPr>
            </w:pPr>
            <w:r>
              <w:rPr>
                <w:sz w:val="20"/>
                <w:lang w:val="fr-FR"/>
              </w:rPr>
              <w:t>100,1</w:t>
            </w:r>
          </w:p>
        </w:tc>
        <w:tc>
          <w:tcPr>
            <w:tcW w:w="983" w:type="dxa"/>
          </w:tcPr>
          <w:p w:rsidR="00D80435" w:rsidRDefault="00D80435">
            <w:pPr>
              <w:spacing w:before="100" w:after="100"/>
              <w:jc w:val="center"/>
              <w:rPr>
                <w:sz w:val="20"/>
                <w:lang w:val="fr-FR"/>
              </w:rPr>
            </w:pPr>
            <w:r>
              <w:rPr>
                <w:sz w:val="20"/>
                <w:lang w:val="fr-FR"/>
              </w:rPr>
              <w:t>93,1</w:t>
            </w:r>
          </w:p>
        </w:tc>
        <w:tc>
          <w:tcPr>
            <w:tcW w:w="766" w:type="dxa"/>
          </w:tcPr>
          <w:p w:rsidR="00D80435" w:rsidRDefault="00D80435">
            <w:pPr>
              <w:spacing w:before="100" w:after="100"/>
              <w:jc w:val="center"/>
              <w:rPr>
                <w:sz w:val="20"/>
                <w:lang w:val="fr-FR"/>
              </w:rPr>
            </w:pPr>
            <w:r>
              <w:rPr>
                <w:sz w:val="20"/>
                <w:lang w:val="fr-FR"/>
              </w:rPr>
              <w:t>97,5</w:t>
            </w:r>
          </w:p>
        </w:tc>
        <w:tc>
          <w:tcPr>
            <w:tcW w:w="866" w:type="dxa"/>
          </w:tcPr>
          <w:p w:rsidR="00D80435" w:rsidRDefault="00D80435">
            <w:pPr>
              <w:spacing w:before="100" w:after="100"/>
              <w:jc w:val="center"/>
              <w:rPr>
                <w:sz w:val="20"/>
                <w:lang w:val="fr-FR"/>
              </w:rPr>
            </w:pPr>
            <w:r>
              <w:rPr>
                <w:sz w:val="20"/>
                <w:lang w:val="fr-FR"/>
              </w:rPr>
              <w:t>95,3</w:t>
            </w:r>
          </w:p>
        </w:tc>
      </w:tr>
      <w:tr w:rsidR="00D80435">
        <w:tblPrEx>
          <w:tblCellMar>
            <w:top w:w="0" w:type="dxa"/>
            <w:bottom w:w="0" w:type="dxa"/>
          </w:tblCellMar>
        </w:tblPrEx>
        <w:trPr>
          <w:cantSplit/>
        </w:trPr>
        <w:tc>
          <w:tcPr>
            <w:tcW w:w="690" w:type="dxa"/>
            <w:vMerge/>
          </w:tcPr>
          <w:p w:rsidR="00D80435" w:rsidRDefault="00D80435">
            <w:pPr>
              <w:spacing w:before="100" w:after="100"/>
              <w:rPr>
                <w:sz w:val="20"/>
                <w:lang w:val="fr-FR"/>
              </w:rPr>
            </w:pPr>
          </w:p>
        </w:tc>
        <w:tc>
          <w:tcPr>
            <w:tcW w:w="3495" w:type="dxa"/>
          </w:tcPr>
          <w:p w:rsidR="00D80435" w:rsidRDefault="00D80435">
            <w:pPr>
              <w:spacing w:before="100" w:after="100"/>
              <w:jc w:val="left"/>
              <w:rPr>
                <w:sz w:val="20"/>
                <w:lang w:val="fr-FR"/>
              </w:rPr>
            </w:pPr>
            <w:r>
              <w:rPr>
                <w:sz w:val="20"/>
                <w:lang w:val="ru-RU"/>
              </w:rPr>
              <w:t>классы</w:t>
            </w:r>
            <w:r>
              <w:rPr>
                <w:sz w:val="20"/>
                <w:lang w:val="fr-FR"/>
              </w:rPr>
              <w:t xml:space="preserve"> VI–VIII</w:t>
            </w:r>
          </w:p>
        </w:tc>
        <w:tc>
          <w:tcPr>
            <w:tcW w:w="983" w:type="dxa"/>
          </w:tcPr>
          <w:p w:rsidR="00D80435" w:rsidRDefault="00D80435">
            <w:pPr>
              <w:spacing w:before="100" w:after="100"/>
              <w:jc w:val="center"/>
              <w:rPr>
                <w:sz w:val="20"/>
                <w:lang w:val="ru-RU"/>
              </w:rPr>
            </w:pPr>
            <w:r>
              <w:rPr>
                <w:sz w:val="20"/>
                <w:lang w:val="ru-RU"/>
              </w:rPr>
              <w:t>47,0</w:t>
            </w:r>
          </w:p>
        </w:tc>
        <w:tc>
          <w:tcPr>
            <w:tcW w:w="766" w:type="dxa"/>
          </w:tcPr>
          <w:p w:rsidR="00D80435" w:rsidRDefault="00D80435">
            <w:pPr>
              <w:spacing w:before="100" w:after="100"/>
              <w:jc w:val="center"/>
              <w:rPr>
                <w:sz w:val="20"/>
                <w:lang w:val="ru-RU"/>
              </w:rPr>
            </w:pPr>
            <w:r>
              <w:rPr>
                <w:sz w:val="20"/>
                <w:lang w:val="ru-RU"/>
              </w:rPr>
              <w:t>76,6</w:t>
            </w:r>
          </w:p>
        </w:tc>
        <w:tc>
          <w:tcPr>
            <w:tcW w:w="772" w:type="dxa"/>
          </w:tcPr>
          <w:p w:rsidR="00D80435" w:rsidRDefault="00D80435">
            <w:pPr>
              <w:spacing w:before="100" w:after="100"/>
              <w:jc w:val="center"/>
              <w:rPr>
                <w:sz w:val="20"/>
                <w:lang w:val="ru-RU"/>
              </w:rPr>
            </w:pPr>
            <w:r>
              <w:rPr>
                <w:sz w:val="20"/>
                <w:lang w:val="ru-RU"/>
              </w:rPr>
              <w:t>62,1</w:t>
            </w:r>
          </w:p>
        </w:tc>
        <w:tc>
          <w:tcPr>
            <w:tcW w:w="983" w:type="dxa"/>
          </w:tcPr>
          <w:p w:rsidR="00D80435" w:rsidRDefault="00D80435">
            <w:pPr>
              <w:spacing w:before="100" w:after="100"/>
              <w:jc w:val="center"/>
              <w:rPr>
                <w:sz w:val="20"/>
                <w:lang w:val="ru-RU"/>
              </w:rPr>
            </w:pPr>
            <w:r>
              <w:rPr>
                <w:sz w:val="20"/>
                <w:lang w:val="ru-RU"/>
              </w:rPr>
              <w:t>56,2</w:t>
            </w:r>
          </w:p>
        </w:tc>
        <w:tc>
          <w:tcPr>
            <w:tcW w:w="766" w:type="dxa"/>
          </w:tcPr>
          <w:p w:rsidR="00D80435" w:rsidRDefault="00D80435">
            <w:pPr>
              <w:spacing w:before="100" w:after="100"/>
              <w:jc w:val="center"/>
              <w:rPr>
                <w:sz w:val="20"/>
                <w:lang w:val="ru-RU"/>
              </w:rPr>
            </w:pPr>
            <w:r>
              <w:rPr>
                <w:sz w:val="20"/>
                <w:lang w:val="ru-RU"/>
              </w:rPr>
              <w:t>65,3</w:t>
            </w:r>
          </w:p>
        </w:tc>
        <w:tc>
          <w:tcPr>
            <w:tcW w:w="866" w:type="dxa"/>
          </w:tcPr>
          <w:p w:rsidR="00D80435" w:rsidRDefault="00D80435">
            <w:pPr>
              <w:spacing w:before="100" w:after="100"/>
              <w:jc w:val="center"/>
              <w:rPr>
                <w:sz w:val="20"/>
                <w:lang w:val="ru-RU"/>
              </w:rPr>
            </w:pPr>
            <w:r>
              <w:rPr>
                <w:sz w:val="20"/>
                <w:lang w:val="ru-RU"/>
              </w:rPr>
              <w:t>61,0</w:t>
            </w:r>
          </w:p>
        </w:tc>
      </w:tr>
      <w:tr w:rsidR="00D80435">
        <w:tblPrEx>
          <w:tblCellMar>
            <w:top w:w="0" w:type="dxa"/>
            <w:bottom w:w="0" w:type="dxa"/>
          </w:tblCellMar>
        </w:tblPrEx>
        <w:tc>
          <w:tcPr>
            <w:tcW w:w="690" w:type="dxa"/>
          </w:tcPr>
          <w:p w:rsidR="00D80435" w:rsidRDefault="00D80435">
            <w:pPr>
              <w:spacing w:before="100" w:after="100"/>
              <w:rPr>
                <w:sz w:val="20"/>
                <w:lang w:val="ru-RU"/>
              </w:rPr>
            </w:pPr>
            <w:r>
              <w:rPr>
                <w:sz w:val="20"/>
                <w:lang w:val="ru-RU"/>
              </w:rPr>
              <w:t>13</w:t>
            </w:r>
          </w:p>
        </w:tc>
        <w:tc>
          <w:tcPr>
            <w:tcW w:w="3495" w:type="dxa"/>
          </w:tcPr>
          <w:p w:rsidR="00D80435" w:rsidRDefault="00D80435">
            <w:pPr>
              <w:spacing w:before="100" w:after="100"/>
              <w:jc w:val="left"/>
              <w:rPr>
                <w:sz w:val="20"/>
                <w:lang w:val="ru-RU"/>
              </w:rPr>
            </w:pPr>
            <w:r>
              <w:rPr>
                <w:sz w:val="20"/>
                <w:lang w:val="ru-RU"/>
              </w:rPr>
              <w:t xml:space="preserve">Коэффициент отсева (1990/91 и </w:t>
            </w:r>
            <w:r>
              <w:rPr>
                <w:sz w:val="20"/>
                <w:lang w:val="ru-RU"/>
              </w:rPr>
              <w:br/>
              <w:t>2002/03 гг.) в процентах</w:t>
            </w:r>
          </w:p>
        </w:tc>
        <w:tc>
          <w:tcPr>
            <w:tcW w:w="983" w:type="dxa"/>
          </w:tcPr>
          <w:p w:rsidR="00D80435" w:rsidRDefault="00D80435">
            <w:pPr>
              <w:spacing w:before="100" w:after="100"/>
              <w:jc w:val="center"/>
              <w:rPr>
                <w:sz w:val="20"/>
                <w:lang w:val="ru-RU"/>
              </w:rPr>
            </w:pPr>
          </w:p>
        </w:tc>
        <w:tc>
          <w:tcPr>
            <w:tcW w:w="766" w:type="dxa"/>
          </w:tcPr>
          <w:p w:rsidR="00D80435" w:rsidRDefault="00D80435">
            <w:pPr>
              <w:spacing w:before="100" w:after="100"/>
              <w:jc w:val="center"/>
              <w:rPr>
                <w:sz w:val="20"/>
                <w:lang w:val="ru-RU"/>
              </w:rPr>
            </w:pPr>
          </w:p>
        </w:tc>
        <w:tc>
          <w:tcPr>
            <w:tcW w:w="772" w:type="dxa"/>
          </w:tcPr>
          <w:p w:rsidR="00D80435" w:rsidRDefault="00D80435">
            <w:pPr>
              <w:spacing w:before="100" w:after="100"/>
              <w:jc w:val="center"/>
              <w:rPr>
                <w:sz w:val="20"/>
                <w:lang w:val="ru-RU"/>
              </w:rPr>
            </w:pPr>
          </w:p>
        </w:tc>
        <w:tc>
          <w:tcPr>
            <w:tcW w:w="983" w:type="dxa"/>
          </w:tcPr>
          <w:p w:rsidR="00D80435" w:rsidRDefault="00D80435">
            <w:pPr>
              <w:spacing w:before="100" w:after="100"/>
              <w:jc w:val="center"/>
              <w:rPr>
                <w:sz w:val="20"/>
                <w:lang w:val="ru-RU"/>
              </w:rPr>
            </w:pPr>
          </w:p>
        </w:tc>
        <w:tc>
          <w:tcPr>
            <w:tcW w:w="766" w:type="dxa"/>
          </w:tcPr>
          <w:p w:rsidR="00D80435" w:rsidRDefault="00D80435">
            <w:pPr>
              <w:spacing w:before="100" w:after="100"/>
              <w:jc w:val="center"/>
              <w:rPr>
                <w:sz w:val="20"/>
                <w:lang w:val="ru-RU"/>
              </w:rPr>
            </w:pPr>
          </w:p>
        </w:tc>
        <w:tc>
          <w:tcPr>
            <w:tcW w:w="866" w:type="dxa"/>
          </w:tcPr>
          <w:p w:rsidR="00D80435" w:rsidRDefault="00D80435">
            <w:pPr>
              <w:spacing w:before="100" w:after="100"/>
              <w:jc w:val="center"/>
              <w:rPr>
                <w:sz w:val="20"/>
                <w:lang w:val="ru-RU"/>
              </w:rPr>
            </w:pPr>
          </w:p>
        </w:tc>
      </w:tr>
      <w:tr w:rsidR="00D80435">
        <w:tblPrEx>
          <w:tblCellMar>
            <w:top w:w="0" w:type="dxa"/>
            <w:bottom w:w="0" w:type="dxa"/>
          </w:tblCellMar>
        </w:tblPrEx>
        <w:tc>
          <w:tcPr>
            <w:tcW w:w="690" w:type="dxa"/>
          </w:tcPr>
          <w:p w:rsidR="00D80435" w:rsidRDefault="00D80435">
            <w:pPr>
              <w:spacing w:before="100" w:after="100"/>
              <w:rPr>
                <w:sz w:val="20"/>
                <w:lang w:val="ru-RU"/>
              </w:rPr>
            </w:pPr>
          </w:p>
        </w:tc>
        <w:tc>
          <w:tcPr>
            <w:tcW w:w="3495" w:type="dxa"/>
          </w:tcPr>
          <w:p w:rsidR="00D80435" w:rsidRDefault="00D80435">
            <w:pPr>
              <w:spacing w:before="100" w:after="100"/>
              <w:rPr>
                <w:sz w:val="20"/>
                <w:lang w:val="ru-RU"/>
              </w:rPr>
            </w:pPr>
            <w:r>
              <w:rPr>
                <w:sz w:val="20"/>
                <w:lang w:val="ru-RU"/>
              </w:rPr>
              <w:t xml:space="preserve">классы </w:t>
            </w:r>
            <w:r>
              <w:rPr>
                <w:sz w:val="20"/>
                <w:lang w:val="en-GB"/>
              </w:rPr>
              <w:t>I</w:t>
            </w:r>
            <w:r>
              <w:rPr>
                <w:sz w:val="20"/>
                <w:lang w:val="ru-RU"/>
              </w:rPr>
              <w:t>–</w:t>
            </w:r>
            <w:r>
              <w:rPr>
                <w:sz w:val="20"/>
                <w:lang w:val="en-GB"/>
              </w:rPr>
              <w:t>V</w:t>
            </w:r>
          </w:p>
        </w:tc>
        <w:tc>
          <w:tcPr>
            <w:tcW w:w="983" w:type="dxa"/>
          </w:tcPr>
          <w:p w:rsidR="00D80435" w:rsidRDefault="00D80435">
            <w:pPr>
              <w:spacing w:before="100" w:after="100"/>
              <w:jc w:val="center"/>
              <w:rPr>
                <w:sz w:val="20"/>
                <w:lang w:val="fr-FR"/>
              </w:rPr>
            </w:pPr>
            <w:r>
              <w:rPr>
                <w:sz w:val="20"/>
                <w:lang w:val="fr-FR"/>
              </w:rPr>
              <w:t>46,0</w:t>
            </w:r>
          </w:p>
        </w:tc>
        <w:tc>
          <w:tcPr>
            <w:tcW w:w="766" w:type="dxa"/>
          </w:tcPr>
          <w:p w:rsidR="00D80435" w:rsidRDefault="00D80435">
            <w:pPr>
              <w:spacing w:before="100" w:after="100"/>
              <w:jc w:val="center"/>
              <w:rPr>
                <w:sz w:val="20"/>
                <w:lang w:val="fr-FR"/>
              </w:rPr>
            </w:pPr>
            <w:r>
              <w:rPr>
                <w:sz w:val="20"/>
                <w:lang w:val="fr-FR"/>
              </w:rPr>
              <w:t>40,1</w:t>
            </w:r>
          </w:p>
        </w:tc>
        <w:tc>
          <w:tcPr>
            <w:tcW w:w="772" w:type="dxa"/>
          </w:tcPr>
          <w:p w:rsidR="00D80435" w:rsidRDefault="00D80435">
            <w:pPr>
              <w:spacing w:before="100" w:after="100"/>
              <w:jc w:val="center"/>
              <w:rPr>
                <w:sz w:val="20"/>
                <w:lang w:val="fr-FR"/>
              </w:rPr>
            </w:pPr>
            <w:r>
              <w:rPr>
                <w:sz w:val="20"/>
                <w:lang w:val="fr-FR"/>
              </w:rPr>
              <w:t>42,6</w:t>
            </w:r>
          </w:p>
        </w:tc>
        <w:tc>
          <w:tcPr>
            <w:tcW w:w="983" w:type="dxa"/>
          </w:tcPr>
          <w:p w:rsidR="00D80435" w:rsidRDefault="00D80435">
            <w:pPr>
              <w:spacing w:before="100" w:after="100"/>
              <w:jc w:val="center"/>
              <w:rPr>
                <w:sz w:val="20"/>
                <w:lang w:val="fr-FR"/>
              </w:rPr>
            </w:pPr>
            <w:r>
              <w:rPr>
                <w:sz w:val="20"/>
                <w:lang w:val="fr-FR"/>
              </w:rPr>
              <w:t>33,7</w:t>
            </w:r>
          </w:p>
        </w:tc>
        <w:tc>
          <w:tcPr>
            <w:tcW w:w="766" w:type="dxa"/>
          </w:tcPr>
          <w:p w:rsidR="00D80435" w:rsidRDefault="00D80435">
            <w:pPr>
              <w:spacing w:before="100" w:after="100"/>
              <w:jc w:val="center"/>
              <w:rPr>
                <w:sz w:val="20"/>
                <w:lang w:val="fr-FR"/>
              </w:rPr>
            </w:pPr>
            <w:r>
              <w:rPr>
                <w:sz w:val="20"/>
                <w:lang w:val="fr-FR"/>
              </w:rPr>
              <w:t>35,8</w:t>
            </w:r>
          </w:p>
        </w:tc>
        <w:tc>
          <w:tcPr>
            <w:tcW w:w="866" w:type="dxa"/>
          </w:tcPr>
          <w:p w:rsidR="00D80435" w:rsidRDefault="00D80435">
            <w:pPr>
              <w:spacing w:before="100" w:after="100"/>
              <w:jc w:val="center"/>
              <w:rPr>
                <w:sz w:val="20"/>
                <w:lang w:val="fr-FR"/>
              </w:rPr>
            </w:pPr>
            <w:r>
              <w:rPr>
                <w:sz w:val="20"/>
                <w:lang w:val="fr-FR"/>
              </w:rPr>
              <w:t>34,9</w:t>
            </w:r>
          </w:p>
        </w:tc>
      </w:tr>
      <w:tr w:rsidR="00D80435">
        <w:tblPrEx>
          <w:tblCellMar>
            <w:top w:w="0" w:type="dxa"/>
            <w:bottom w:w="0" w:type="dxa"/>
          </w:tblCellMar>
        </w:tblPrEx>
        <w:tc>
          <w:tcPr>
            <w:tcW w:w="690" w:type="dxa"/>
          </w:tcPr>
          <w:p w:rsidR="00D80435" w:rsidRDefault="00D80435">
            <w:pPr>
              <w:spacing w:before="100" w:after="100"/>
              <w:rPr>
                <w:sz w:val="20"/>
                <w:lang w:val="fr-FR"/>
              </w:rPr>
            </w:pPr>
          </w:p>
        </w:tc>
        <w:tc>
          <w:tcPr>
            <w:tcW w:w="3495" w:type="dxa"/>
          </w:tcPr>
          <w:p w:rsidR="00D80435" w:rsidRDefault="00D80435">
            <w:pPr>
              <w:spacing w:before="100" w:after="100"/>
              <w:rPr>
                <w:sz w:val="20"/>
                <w:lang w:val="fr-FR"/>
              </w:rPr>
            </w:pPr>
            <w:r>
              <w:rPr>
                <w:sz w:val="20"/>
                <w:lang w:val="ru-RU"/>
              </w:rPr>
              <w:t>классы</w:t>
            </w:r>
            <w:r>
              <w:rPr>
                <w:sz w:val="20"/>
                <w:lang w:val="fr-FR"/>
              </w:rPr>
              <w:t xml:space="preserve"> </w:t>
            </w:r>
            <w:r>
              <w:rPr>
                <w:sz w:val="20"/>
              </w:rPr>
              <w:t>V</w:t>
            </w:r>
            <w:r>
              <w:rPr>
                <w:sz w:val="20"/>
                <w:lang w:val="fr-FR"/>
              </w:rPr>
              <w:t>I–VIII</w:t>
            </w:r>
          </w:p>
        </w:tc>
        <w:tc>
          <w:tcPr>
            <w:tcW w:w="983" w:type="dxa"/>
          </w:tcPr>
          <w:p w:rsidR="00D80435" w:rsidRDefault="00D80435">
            <w:pPr>
              <w:spacing w:before="100" w:after="100"/>
              <w:jc w:val="center"/>
              <w:rPr>
                <w:sz w:val="20"/>
                <w:lang w:val="ru-RU"/>
              </w:rPr>
            </w:pPr>
            <w:r>
              <w:rPr>
                <w:sz w:val="20"/>
                <w:lang w:val="ru-RU"/>
              </w:rPr>
              <w:t>65,1</w:t>
            </w:r>
          </w:p>
        </w:tc>
        <w:tc>
          <w:tcPr>
            <w:tcW w:w="766" w:type="dxa"/>
          </w:tcPr>
          <w:p w:rsidR="00D80435" w:rsidRDefault="00D80435">
            <w:pPr>
              <w:spacing w:before="100" w:after="100"/>
              <w:jc w:val="center"/>
              <w:rPr>
                <w:sz w:val="20"/>
                <w:lang w:val="ru-RU"/>
              </w:rPr>
            </w:pPr>
            <w:r>
              <w:rPr>
                <w:sz w:val="20"/>
                <w:lang w:val="ru-RU"/>
              </w:rPr>
              <w:t>59,1</w:t>
            </w:r>
          </w:p>
        </w:tc>
        <w:tc>
          <w:tcPr>
            <w:tcW w:w="772" w:type="dxa"/>
          </w:tcPr>
          <w:p w:rsidR="00D80435" w:rsidRDefault="00D80435">
            <w:pPr>
              <w:spacing w:before="100" w:after="100"/>
              <w:jc w:val="center"/>
              <w:rPr>
                <w:sz w:val="20"/>
                <w:lang w:val="ru-RU"/>
              </w:rPr>
            </w:pPr>
            <w:r>
              <w:rPr>
                <w:sz w:val="20"/>
                <w:lang w:val="ru-RU"/>
              </w:rPr>
              <w:t>60,9</w:t>
            </w:r>
          </w:p>
        </w:tc>
        <w:tc>
          <w:tcPr>
            <w:tcW w:w="983" w:type="dxa"/>
          </w:tcPr>
          <w:p w:rsidR="00D80435" w:rsidRDefault="00D80435">
            <w:pPr>
              <w:spacing w:before="100" w:after="100"/>
              <w:jc w:val="center"/>
              <w:rPr>
                <w:sz w:val="20"/>
                <w:lang w:val="ru-RU"/>
              </w:rPr>
            </w:pPr>
            <w:r>
              <w:rPr>
                <w:sz w:val="20"/>
                <w:lang w:val="ru-RU"/>
              </w:rPr>
              <w:t>52,3</w:t>
            </w:r>
          </w:p>
        </w:tc>
        <w:tc>
          <w:tcPr>
            <w:tcW w:w="766" w:type="dxa"/>
          </w:tcPr>
          <w:p w:rsidR="00D80435" w:rsidRDefault="00D80435">
            <w:pPr>
              <w:spacing w:before="100" w:after="100"/>
              <w:jc w:val="center"/>
              <w:rPr>
                <w:sz w:val="20"/>
                <w:lang w:val="ru-RU"/>
              </w:rPr>
            </w:pPr>
            <w:r>
              <w:rPr>
                <w:sz w:val="20"/>
                <w:lang w:val="ru-RU"/>
              </w:rPr>
              <w:t>53,4</w:t>
            </w:r>
          </w:p>
        </w:tc>
        <w:tc>
          <w:tcPr>
            <w:tcW w:w="866" w:type="dxa"/>
          </w:tcPr>
          <w:p w:rsidR="00D80435" w:rsidRDefault="00D80435">
            <w:pPr>
              <w:spacing w:before="100" w:after="100"/>
              <w:jc w:val="center"/>
              <w:rPr>
                <w:sz w:val="20"/>
                <w:lang w:val="ru-RU"/>
              </w:rPr>
            </w:pPr>
            <w:r>
              <w:rPr>
                <w:sz w:val="20"/>
                <w:lang w:val="ru-RU"/>
              </w:rPr>
              <w:t>52,8</w:t>
            </w:r>
          </w:p>
        </w:tc>
      </w:tr>
      <w:tr w:rsidR="00D80435">
        <w:tblPrEx>
          <w:tblCellMar>
            <w:top w:w="0" w:type="dxa"/>
            <w:bottom w:w="0" w:type="dxa"/>
          </w:tblCellMar>
        </w:tblPrEx>
        <w:trPr>
          <w:cantSplit/>
        </w:trPr>
        <w:tc>
          <w:tcPr>
            <w:tcW w:w="9321" w:type="dxa"/>
            <w:gridSpan w:val="8"/>
          </w:tcPr>
          <w:p w:rsidR="00D80435" w:rsidRDefault="00D80435">
            <w:pPr>
              <w:spacing w:before="100" w:after="100"/>
              <w:rPr>
                <w:b/>
                <w:sz w:val="20"/>
                <w:lang w:val="ru-RU"/>
              </w:rPr>
            </w:pPr>
            <w:r>
              <w:rPr>
                <w:b/>
                <w:sz w:val="20"/>
                <w:lang w:val="ru-RU"/>
              </w:rPr>
              <w:t xml:space="preserve">                Работа и занятость</w:t>
            </w:r>
          </w:p>
        </w:tc>
      </w:tr>
      <w:tr w:rsidR="00D80435">
        <w:tblPrEx>
          <w:tblCellMar>
            <w:top w:w="0" w:type="dxa"/>
            <w:bottom w:w="0" w:type="dxa"/>
          </w:tblCellMar>
        </w:tblPrEx>
        <w:tc>
          <w:tcPr>
            <w:tcW w:w="690" w:type="dxa"/>
          </w:tcPr>
          <w:p w:rsidR="00D80435" w:rsidRDefault="00D80435">
            <w:pPr>
              <w:spacing w:before="80" w:after="80"/>
              <w:rPr>
                <w:sz w:val="20"/>
                <w:lang w:val="ru-RU"/>
              </w:rPr>
            </w:pPr>
            <w:r>
              <w:rPr>
                <w:sz w:val="20"/>
                <w:lang w:val="ru-RU"/>
              </w:rPr>
              <w:t>14</w:t>
            </w:r>
          </w:p>
        </w:tc>
        <w:tc>
          <w:tcPr>
            <w:tcW w:w="3495" w:type="dxa"/>
          </w:tcPr>
          <w:p w:rsidR="00D80435" w:rsidRDefault="00D80435">
            <w:pPr>
              <w:spacing w:before="80" w:after="80"/>
              <w:jc w:val="left"/>
              <w:rPr>
                <w:sz w:val="20"/>
                <w:lang w:val="ru-RU"/>
              </w:rPr>
            </w:pPr>
            <w:r>
              <w:rPr>
                <w:sz w:val="20"/>
                <w:lang w:val="ru-RU"/>
              </w:rPr>
              <w:t>Участие в трудовой деятельности (1991 и 2001 гг.) в процентах</w:t>
            </w:r>
          </w:p>
        </w:tc>
        <w:tc>
          <w:tcPr>
            <w:tcW w:w="983" w:type="dxa"/>
          </w:tcPr>
          <w:p w:rsidR="00D80435" w:rsidRDefault="00D80435">
            <w:pPr>
              <w:spacing w:before="80" w:after="80"/>
              <w:jc w:val="center"/>
              <w:rPr>
                <w:sz w:val="20"/>
                <w:lang w:val="ru-RU"/>
              </w:rPr>
            </w:pPr>
            <w:r>
              <w:rPr>
                <w:sz w:val="20"/>
                <w:lang w:val="ru-RU"/>
              </w:rPr>
              <w:t>22,3</w:t>
            </w:r>
          </w:p>
        </w:tc>
        <w:tc>
          <w:tcPr>
            <w:tcW w:w="766" w:type="dxa"/>
          </w:tcPr>
          <w:p w:rsidR="00D80435" w:rsidRDefault="00D80435">
            <w:pPr>
              <w:spacing w:before="80" w:after="80"/>
              <w:jc w:val="center"/>
              <w:rPr>
                <w:sz w:val="20"/>
                <w:lang w:val="ru-RU"/>
              </w:rPr>
            </w:pPr>
            <w:r>
              <w:rPr>
                <w:sz w:val="20"/>
                <w:lang w:val="ru-RU"/>
              </w:rPr>
              <w:t>51,6</w:t>
            </w:r>
          </w:p>
        </w:tc>
        <w:tc>
          <w:tcPr>
            <w:tcW w:w="772" w:type="dxa"/>
          </w:tcPr>
          <w:p w:rsidR="00D80435" w:rsidRDefault="00D80435">
            <w:pPr>
              <w:spacing w:before="80" w:after="80"/>
              <w:jc w:val="center"/>
              <w:rPr>
                <w:sz w:val="20"/>
                <w:lang w:val="ru-RU"/>
              </w:rPr>
            </w:pPr>
            <w:r>
              <w:rPr>
                <w:sz w:val="20"/>
                <w:lang w:val="ru-RU"/>
              </w:rPr>
              <w:t>37,5</w:t>
            </w:r>
          </w:p>
        </w:tc>
        <w:tc>
          <w:tcPr>
            <w:tcW w:w="983" w:type="dxa"/>
          </w:tcPr>
          <w:p w:rsidR="00D80435" w:rsidRDefault="00D80435">
            <w:pPr>
              <w:spacing w:before="80" w:after="80"/>
              <w:jc w:val="center"/>
              <w:rPr>
                <w:sz w:val="20"/>
                <w:lang w:val="ru-RU"/>
              </w:rPr>
            </w:pPr>
            <w:r>
              <w:rPr>
                <w:sz w:val="20"/>
                <w:lang w:val="ru-RU"/>
              </w:rPr>
              <w:t>25,6</w:t>
            </w:r>
          </w:p>
        </w:tc>
        <w:tc>
          <w:tcPr>
            <w:tcW w:w="766" w:type="dxa"/>
          </w:tcPr>
          <w:p w:rsidR="00D80435" w:rsidRDefault="00D80435">
            <w:pPr>
              <w:spacing w:before="80" w:after="80"/>
              <w:jc w:val="center"/>
              <w:rPr>
                <w:sz w:val="20"/>
                <w:lang w:val="ru-RU"/>
              </w:rPr>
            </w:pPr>
            <w:r>
              <w:rPr>
                <w:sz w:val="20"/>
                <w:lang w:val="ru-RU"/>
              </w:rPr>
              <w:t>51,7</w:t>
            </w:r>
          </w:p>
        </w:tc>
        <w:tc>
          <w:tcPr>
            <w:tcW w:w="866" w:type="dxa"/>
          </w:tcPr>
          <w:p w:rsidR="00D80435" w:rsidRDefault="00D80435">
            <w:pPr>
              <w:spacing w:before="80" w:after="80"/>
              <w:jc w:val="center"/>
              <w:rPr>
                <w:sz w:val="20"/>
                <w:lang w:val="ru-RU"/>
              </w:rPr>
            </w:pPr>
            <w:r>
              <w:rPr>
                <w:sz w:val="20"/>
                <w:lang w:val="ru-RU"/>
              </w:rPr>
              <w:t>39,1</w:t>
            </w:r>
          </w:p>
        </w:tc>
      </w:tr>
      <w:tr w:rsidR="00D80435">
        <w:tblPrEx>
          <w:tblCellMar>
            <w:top w:w="0" w:type="dxa"/>
            <w:bottom w:w="0" w:type="dxa"/>
          </w:tblCellMar>
        </w:tblPrEx>
        <w:tc>
          <w:tcPr>
            <w:tcW w:w="690" w:type="dxa"/>
          </w:tcPr>
          <w:p w:rsidR="00D80435" w:rsidRDefault="00D80435">
            <w:pPr>
              <w:spacing w:before="80" w:after="80"/>
              <w:rPr>
                <w:sz w:val="20"/>
                <w:lang w:val="ru-RU"/>
              </w:rPr>
            </w:pPr>
            <w:r>
              <w:rPr>
                <w:sz w:val="20"/>
                <w:lang w:val="ru-RU"/>
              </w:rPr>
              <w:t>15</w:t>
            </w:r>
          </w:p>
        </w:tc>
        <w:tc>
          <w:tcPr>
            <w:tcW w:w="3495" w:type="dxa"/>
          </w:tcPr>
          <w:p w:rsidR="00D80435" w:rsidRDefault="00D80435">
            <w:pPr>
              <w:spacing w:before="80" w:after="80"/>
              <w:jc w:val="left"/>
              <w:rPr>
                <w:sz w:val="20"/>
                <w:lang w:val="ru-RU"/>
              </w:rPr>
            </w:pPr>
            <w:r>
              <w:rPr>
                <w:sz w:val="20"/>
                <w:lang w:val="ru-RU"/>
              </w:rPr>
              <w:t>Организованный сектор (млн. чел., 1981 и 1999 гг.) (данные Генеральной дирекции обучения и занятости)</w:t>
            </w:r>
          </w:p>
        </w:tc>
        <w:tc>
          <w:tcPr>
            <w:tcW w:w="983" w:type="dxa"/>
          </w:tcPr>
          <w:p w:rsidR="00D80435" w:rsidRDefault="00D80435">
            <w:pPr>
              <w:spacing w:before="80" w:after="80"/>
              <w:jc w:val="center"/>
              <w:rPr>
                <w:sz w:val="20"/>
                <w:lang w:val="ru-RU"/>
              </w:rPr>
            </w:pPr>
            <w:r>
              <w:rPr>
                <w:sz w:val="20"/>
                <w:lang w:val="ru-RU"/>
              </w:rPr>
              <w:t>2,80</w:t>
            </w:r>
            <w:r>
              <w:rPr>
                <w:sz w:val="20"/>
                <w:lang w:val="ru-RU"/>
              </w:rPr>
              <w:br/>
              <w:t>(12,2%)</w:t>
            </w:r>
          </w:p>
        </w:tc>
        <w:tc>
          <w:tcPr>
            <w:tcW w:w="766" w:type="dxa"/>
          </w:tcPr>
          <w:p w:rsidR="00D80435" w:rsidRDefault="00D80435">
            <w:pPr>
              <w:spacing w:before="80" w:after="80"/>
              <w:jc w:val="center"/>
              <w:rPr>
                <w:sz w:val="20"/>
                <w:lang w:val="ru-RU"/>
              </w:rPr>
            </w:pPr>
            <w:r>
              <w:rPr>
                <w:sz w:val="20"/>
                <w:lang w:val="ru-RU"/>
              </w:rPr>
              <w:t>20,5</w:t>
            </w:r>
          </w:p>
        </w:tc>
        <w:tc>
          <w:tcPr>
            <w:tcW w:w="772" w:type="dxa"/>
          </w:tcPr>
          <w:p w:rsidR="00D80435" w:rsidRDefault="00D80435">
            <w:pPr>
              <w:spacing w:before="80" w:after="80"/>
              <w:jc w:val="center"/>
              <w:rPr>
                <w:sz w:val="20"/>
                <w:lang w:val="ru-RU"/>
              </w:rPr>
            </w:pPr>
            <w:r>
              <w:rPr>
                <w:sz w:val="20"/>
                <w:lang w:val="ru-RU"/>
              </w:rPr>
              <w:t>22,85</w:t>
            </w:r>
          </w:p>
        </w:tc>
        <w:tc>
          <w:tcPr>
            <w:tcW w:w="983" w:type="dxa"/>
          </w:tcPr>
          <w:p w:rsidR="00D80435" w:rsidRDefault="00D80435">
            <w:pPr>
              <w:spacing w:before="80" w:after="80"/>
              <w:jc w:val="center"/>
              <w:rPr>
                <w:sz w:val="20"/>
                <w:lang w:val="ru-RU"/>
              </w:rPr>
            </w:pPr>
            <w:r>
              <w:rPr>
                <w:sz w:val="20"/>
                <w:lang w:val="ru-RU"/>
              </w:rPr>
              <w:t>4,83</w:t>
            </w:r>
            <w:r>
              <w:rPr>
                <w:sz w:val="20"/>
                <w:lang w:val="ru-RU"/>
              </w:rPr>
              <w:br/>
              <w:t>(17,2%)</w:t>
            </w:r>
          </w:p>
        </w:tc>
        <w:tc>
          <w:tcPr>
            <w:tcW w:w="766" w:type="dxa"/>
          </w:tcPr>
          <w:p w:rsidR="00D80435" w:rsidRDefault="00D80435">
            <w:pPr>
              <w:spacing w:before="80" w:after="80"/>
              <w:jc w:val="center"/>
              <w:rPr>
                <w:sz w:val="20"/>
                <w:lang w:val="ru-RU"/>
              </w:rPr>
            </w:pPr>
            <w:r>
              <w:rPr>
                <w:sz w:val="20"/>
                <w:lang w:val="ru-RU"/>
              </w:rPr>
              <w:t>23,20</w:t>
            </w:r>
          </w:p>
        </w:tc>
        <w:tc>
          <w:tcPr>
            <w:tcW w:w="866" w:type="dxa"/>
          </w:tcPr>
          <w:p w:rsidR="00D80435" w:rsidRDefault="00D80435">
            <w:pPr>
              <w:spacing w:before="80" w:after="80"/>
              <w:jc w:val="center"/>
              <w:rPr>
                <w:sz w:val="20"/>
                <w:lang w:val="ru-RU"/>
              </w:rPr>
            </w:pPr>
            <w:r>
              <w:rPr>
                <w:sz w:val="20"/>
                <w:lang w:val="ru-RU"/>
              </w:rPr>
              <w:t>28,11</w:t>
            </w:r>
          </w:p>
        </w:tc>
      </w:tr>
      <w:tr w:rsidR="00D80435">
        <w:tblPrEx>
          <w:tblCellMar>
            <w:top w:w="0" w:type="dxa"/>
            <w:bottom w:w="0" w:type="dxa"/>
          </w:tblCellMar>
        </w:tblPrEx>
        <w:tc>
          <w:tcPr>
            <w:tcW w:w="690" w:type="dxa"/>
          </w:tcPr>
          <w:p w:rsidR="00D80435" w:rsidRDefault="00D80435">
            <w:pPr>
              <w:spacing w:before="80" w:after="80"/>
              <w:rPr>
                <w:sz w:val="20"/>
                <w:lang w:val="ru-RU"/>
              </w:rPr>
            </w:pPr>
            <w:r>
              <w:rPr>
                <w:sz w:val="20"/>
                <w:lang w:val="ru-RU"/>
              </w:rPr>
              <w:t>16</w:t>
            </w:r>
          </w:p>
        </w:tc>
        <w:tc>
          <w:tcPr>
            <w:tcW w:w="3495" w:type="dxa"/>
          </w:tcPr>
          <w:p w:rsidR="00D80435" w:rsidRDefault="00D80435">
            <w:pPr>
              <w:spacing w:before="80" w:after="80"/>
              <w:jc w:val="left"/>
              <w:rPr>
                <w:sz w:val="20"/>
                <w:lang w:val="ru-RU"/>
              </w:rPr>
            </w:pPr>
            <w:r>
              <w:rPr>
                <w:sz w:val="20"/>
                <w:lang w:val="ru-RU"/>
              </w:rPr>
              <w:t>Государственный сектор (млн. чел., 1981 и 1999 гг.  (обзор занятости)</w:t>
            </w:r>
          </w:p>
        </w:tc>
        <w:tc>
          <w:tcPr>
            <w:tcW w:w="983" w:type="dxa"/>
          </w:tcPr>
          <w:p w:rsidR="00D80435" w:rsidRDefault="00D80435">
            <w:pPr>
              <w:spacing w:before="80" w:after="80"/>
              <w:jc w:val="center"/>
              <w:rPr>
                <w:sz w:val="20"/>
                <w:lang w:val="ru-RU"/>
              </w:rPr>
            </w:pPr>
            <w:r>
              <w:rPr>
                <w:sz w:val="20"/>
                <w:lang w:val="ru-RU"/>
              </w:rPr>
              <w:t>1,5</w:t>
            </w:r>
            <w:r>
              <w:rPr>
                <w:sz w:val="20"/>
                <w:lang w:val="ru-RU"/>
              </w:rPr>
              <w:br/>
              <w:t>(8,7%)</w:t>
            </w:r>
          </w:p>
        </w:tc>
        <w:tc>
          <w:tcPr>
            <w:tcW w:w="766" w:type="dxa"/>
          </w:tcPr>
          <w:p w:rsidR="00D80435" w:rsidRDefault="00D80435">
            <w:pPr>
              <w:spacing w:before="80" w:after="80"/>
              <w:jc w:val="center"/>
              <w:rPr>
                <w:sz w:val="20"/>
                <w:lang w:val="ru-RU"/>
              </w:rPr>
            </w:pPr>
            <w:r>
              <w:rPr>
                <w:sz w:val="20"/>
                <w:lang w:val="ru-RU"/>
              </w:rPr>
              <w:t>14,0</w:t>
            </w:r>
          </w:p>
        </w:tc>
        <w:tc>
          <w:tcPr>
            <w:tcW w:w="772" w:type="dxa"/>
          </w:tcPr>
          <w:p w:rsidR="00D80435" w:rsidRDefault="00D80435">
            <w:pPr>
              <w:spacing w:before="80" w:after="80"/>
              <w:jc w:val="center"/>
              <w:rPr>
                <w:sz w:val="20"/>
                <w:lang w:val="ru-RU"/>
              </w:rPr>
            </w:pPr>
            <w:r>
              <w:rPr>
                <w:sz w:val="20"/>
                <w:lang w:val="ru-RU"/>
              </w:rPr>
              <w:t>15,5</w:t>
            </w:r>
          </w:p>
        </w:tc>
        <w:tc>
          <w:tcPr>
            <w:tcW w:w="983" w:type="dxa"/>
          </w:tcPr>
          <w:p w:rsidR="00D80435" w:rsidRDefault="00D80435">
            <w:pPr>
              <w:spacing w:before="80" w:after="80"/>
              <w:jc w:val="center"/>
              <w:rPr>
                <w:sz w:val="20"/>
                <w:lang w:val="ru-RU"/>
              </w:rPr>
            </w:pPr>
            <w:r>
              <w:rPr>
                <w:sz w:val="20"/>
                <w:lang w:val="ru-RU"/>
              </w:rPr>
              <w:t>2,8</w:t>
            </w:r>
            <w:r>
              <w:rPr>
                <w:sz w:val="20"/>
                <w:lang w:val="ru-RU"/>
              </w:rPr>
              <w:br/>
              <w:t>(14,5%)</w:t>
            </w:r>
          </w:p>
        </w:tc>
        <w:tc>
          <w:tcPr>
            <w:tcW w:w="766" w:type="dxa"/>
          </w:tcPr>
          <w:p w:rsidR="00D80435" w:rsidRDefault="00D80435">
            <w:pPr>
              <w:spacing w:before="80" w:after="80"/>
              <w:jc w:val="center"/>
              <w:rPr>
                <w:sz w:val="20"/>
                <w:lang w:val="ru-RU"/>
              </w:rPr>
            </w:pPr>
            <w:r>
              <w:rPr>
                <w:sz w:val="20"/>
                <w:lang w:val="ru-RU"/>
              </w:rPr>
              <w:t>16,8</w:t>
            </w:r>
          </w:p>
        </w:tc>
        <w:tc>
          <w:tcPr>
            <w:tcW w:w="866" w:type="dxa"/>
          </w:tcPr>
          <w:p w:rsidR="00D80435" w:rsidRDefault="00D80435">
            <w:pPr>
              <w:spacing w:before="80" w:after="80"/>
              <w:jc w:val="center"/>
              <w:rPr>
                <w:sz w:val="20"/>
                <w:lang w:val="ru-RU"/>
              </w:rPr>
            </w:pPr>
            <w:r>
              <w:rPr>
                <w:sz w:val="20"/>
                <w:lang w:val="ru-RU"/>
              </w:rPr>
              <w:t>19,4</w:t>
            </w:r>
          </w:p>
        </w:tc>
      </w:tr>
      <w:tr w:rsidR="00D80435">
        <w:tblPrEx>
          <w:tblCellMar>
            <w:top w:w="0" w:type="dxa"/>
            <w:bottom w:w="0" w:type="dxa"/>
          </w:tblCellMar>
        </w:tblPrEx>
        <w:tc>
          <w:tcPr>
            <w:tcW w:w="690" w:type="dxa"/>
          </w:tcPr>
          <w:p w:rsidR="00D80435" w:rsidRDefault="00D80435">
            <w:pPr>
              <w:spacing w:before="80" w:after="80"/>
              <w:rPr>
                <w:sz w:val="20"/>
                <w:lang w:val="ru-RU"/>
              </w:rPr>
            </w:pPr>
            <w:r>
              <w:rPr>
                <w:sz w:val="20"/>
                <w:lang w:val="ru-RU"/>
              </w:rPr>
              <w:t>17</w:t>
            </w:r>
          </w:p>
        </w:tc>
        <w:tc>
          <w:tcPr>
            <w:tcW w:w="3495" w:type="dxa"/>
          </w:tcPr>
          <w:p w:rsidR="00D80435" w:rsidRDefault="00D80435">
            <w:pPr>
              <w:spacing w:before="80" w:after="80"/>
              <w:rPr>
                <w:sz w:val="20"/>
                <w:lang w:val="ru-RU"/>
              </w:rPr>
            </w:pPr>
            <w:r>
              <w:rPr>
                <w:sz w:val="20"/>
                <w:lang w:val="ru-RU"/>
              </w:rPr>
              <w:t>Правительственные учреждения (млн., 1981 и 1997</w:t>
            </w:r>
            <w:r>
              <w:rPr>
                <w:sz w:val="20"/>
              </w:rPr>
              <w:t> </w:t>
            </w:r>
            <w:r>
              <w:rPr>
                <w:sz w:val="20"/>
                <w:lang w:val="ru-RU"/>
              </w:rPr>
              <w:t>гг.)</w:t>
            </w:r>
          </w:p>
        </w:tc>
        <w:tc>
          <w:tcPr>
            <w:tcW w:w="983" w:type="dxa"/>
          </w:tcPr>
          <w:p w:rsidR="00D80435" w:rsidRDefault="00D80435">
            <w:pPr>
              <w:spacing w:before="80" w:after="80"/>
              <w:jc w:val="center"/>
              <w:rPr>
                <w:sz w:val="20"/>
                <w:lang w:val="ru-RU"/>
              </w:rPr>
            </w:pPr>
            <w:r>
              <w:rPr>
                <w:sz w:val="20"/>
                <w:lang w:val="ru-RU"/>
              </w:rPr>
              <w:t>1,2</w:t>
            </w:r>
            <w:r>
              <w:rPr>
                <w:sz w:val="20"/>
                <w:lang w:val="ru-RU"/>
              </w:rPr>
              <w:br/>
              <w:t>(11%)</w:t>
            </w:r>
          </w:p>
        </w:tc>
        <w:tc>
          <w:tcPr>
            <w:tcW w:w="766" w:type="dxa"/>
          </w:tcPr>
          <w:p w:rsidR="00D80435" w:rsidRDefault="00D80435">
            <w:pPr>
              <w:spacing w:before="80" w:after="80"/>
              <w:jc w:val="center"/>
              <w:rPr>
                <w:sz w:val="20"/>
                <w:lang w:val="ru-RU"/>
              </w:rPr>
            </w:pPr>
            <w:r>
              <w:rPr>
                <w:sz w:val="20"/>
                <w:lang w:val="ru-RU"/>
              </w:rPr>
              <w:t>9,7</w:t>
            </w:r>
          </w:p>
        </w:tc>
        <w:tc>
          <w:tcPr>
            <w:tcW w:w="772" w:type="dxa"/>
          </w:tcPr>
          <w:p w:rsidR="00D80435" w:rsidRDefault="00D80435">
            <w:pPr>
              <w:spacing w:before="80" w:after="80"/>
              <w:jc w:val="center"/>
              <w:rPr>
                <w:sz w:val="20"/>
                <w:lang w:val="ru-RU"/>
              </w:rPr>
            </w:pPr>
            <w:r>
              <w:rPr>
                <w:sz w:val="20"/>
                <w:lang w:val="ru-RU"/>
              </w:rPr>
              <w:t>10,9</w:t>
            </w:r>
          </w:p>
        </w:tc>
        <w:tc>
          <w:tcPr>
            <w:tcW w:w="983" w:type="dxa"/>
          </w:tcPr>
          <w:p w:rsidR="00D80435" w:rsidRDefault="00D80435">
            <w:pPr>
              <w:spacing w:before="80" w:after="80"/>
              <w:jc w:val="center"/>
              <w:rPr>
                <w:sz w:val="20"/>
                <w:lang w:val="ru-RU"/>
              </w:rPr>
            </w:pPr>
            <w:r>
              <w:rPr>
                <w:sz w:val="20"/>
                <w:lang w:val="ru-RU"/>
              </w:rPr>
              <w:t>1,6</w:t>
            </w:r>
            <w:r>
              <w:rPr>
                <w:sz w:val="20"/>
                <w:lang w:val="ru-RU"/>
              </w:rPr>
              <w:br/>
              <w:t>(14,6%)</w:t>
            </w:r>
          </w:p>
        </w:tc>
        <w:tc>
          <w:tcPr>
            <w:tcW w:w="766" w:type="dxa"/>
          </w:tcPr>
          <w:p w:rsidR="00D80435" w:rsidRDefault="00D80435">
            <w:pPr>
              <w:spacing w:before="80" w:after="80"/>
              <w:jc w:val="center"/>
              <w:rPr>
                <w:sz w:val="20"/>
                <w:lang w:val="ru-RU"/>
              </w:rPr>
            </w:pPr>
            <w:r>
              <w:rPr>
                <w:sz w:val="20"/>
                <w:lang w:val="ru-RU"/>
              </w:rPr>
              <w:t>9,1</w:t>
            </w:r>
          </w:p>
        </w:tc>
        <w:tc>
          <w:tcPr>
            <w:tcW w:w="866" w:type="dxa"/>
          </w:tcPr>
          <w:p w:rsidR="00D80435" w:rsidRDefault="00D80435">
            <w:pPr>
              <w:spacing w:before="80" w:after="80"/>
              <w:jc w:val="center"/>
              <w:rPr>
                <w:sz w:val="20"/>
                <w:lang w:val="ru-RU"/>
              </w:rPr>
            </w:pPr>
            <w:r>
              <w:rPr>
                <w:sz w:val="20"/>
                <w:lang w:val="ru-RU"/>
              </w:rPr>
              <w:t>10,1</w:t>
            </w:r>
          </w:p>
        </w:tc>
      </w:tr>
      <w:tr w:rsidR="00D80435">
        <w:tblPrEx>
          <w:tblCellMar>
            <w:top w:w="0" w:type="dxa"/>
            <w:bottom w:w="0" w:type="dxa"/>
          </w:tblCellMar>
        </w:tblPrEx>
        <w:trPr>
          <w:cantSplit/>
        </w:trPr>
        <w:tc>
          <w:tcPr>
            <w:tcW w:w="9321" w:type="dxa"/>
            <w:gridSpan w:val="8"/>
          </w:tcPr>
          <w:p w:rsidR="00D80435" w:rsidRDefault="00D80435">
            <w:pPr>
              <w:spacing w:before="80" w:after="80"/>
              <w:rPr>
                <w:b/>
                <w:sz w:val="20"/>
                <w:lang w:val="ru-RU"/>
              </w:rPr>
            </w:pPr>
            <w:r>
              <w:rPr>
                <w:b/>
                <w:sz w:val="20"/>
                <w:lang w:val="ru-RU"/>
              </w:rPr>
              <w:t xml:space="preserve">                Директивные органы</w:t>
            </w:r>
          </w:p>
        </w:tc>
      </w:tr>
      <w:tr w:rsidR="00D80435">
        <w:tblPrEx>
          <w:tblCellMar>
            <w:top w:w="0" w:type="dxa"/>
            <w:bottom w:w="0" w:type="dxa"/>
          </w:tblCellMar>
        </w:tblPrEx>
        <w:tc>
          <w:tcPr>
            <w:tcW w:w="690" w:type="dxa"/>
          </w:tcPr>
          <w:p w:rsidR="00D80435" w:rsidRDefault="00D80435">
            <w:pPr>
              <w:spacing w:before="80" w:after="80"/>
              <w:rPr>
                <w:sz w:val="20"/>
                <w:lang w:val="ru-RU"/>
              </w:rPr>
            </w:pPr>
            <w:r>
              <w:rPr>
                <w:sz w:val="20"/>
                <w:lang w:val="ru-RU"/>
              </w:rPr>
              <w:t>18</w:t>
            </w:r>
          </w:p>
        </w:tc>
        <w:tc>
          <w:tcPr>
            <w:tcW w:w="3495" w:type="dxa"/>
          </w:tcPr>
          <w:p w:rsidR="00D80435" w:rsidRDefault="00D80435">
            <w:pPr>
              <w:spacing w:before="80" w:after="80"/>
              <w:jc w:val="left"/>
              <w:rPr>
                <w:sz w:val="20"/>
                <w:lang w:val="ru-RU"/>
              </w:rPr>
            </w:pPr>
            <w:r>
              <w:rPr>
                <w:sz w:val="20"/>
                <w:lang w:val="ru-RU"/>
              </w:rPr>
              <w:t>Управление (число чел., административные службы и полиция, 1997 и 2000 гг.)</w:t>
            </w:r>
          </w:p>
        </w:tc>
        <w:tc>
          <w:tcPr>
            <w:tcW w:w="983" w:type="dxa"/>
          </w:tcPr>
          <w:p w:rsidR="00D80435" w:rsidRDefault="00D80435">
            <w:pPr>
              <w:spacing w:before="80" w:after="80"/>
              <w:jc w:val="center"/>
              <w:rPr>
                <w:sz w:val="20"/>
                <w:lang w:val="ru-RU"/>
              </w:rPr>
            </w:pPr>
            <w:r>
              <w:rPr>
                <w:sz w:val="20"/>
                <w:lang w:val="ru-RU"/>
              </w:rPr>
              <w:t>608</w:t>
            </w:r>
            <w:r>
              <w:rPr>
                <w:sz w:val="20"/>
                <w:lang w:val="ru-RU"/>
              </w:rPr>
              <w:br/>
              <w:t>(7,6%)</w:t>
            </w:r>
          </w:p>
        </w:tc>
        <w:tc>
          <w:tcPr>
            <w:tcW w:w="766" w:type="dxa"/>
          </w:tcPr>
          <w:p w:rsidR="00D80435" w:rsidRDefault="00D80435">
            <w:pPr>
              <w:spacing w:before="80" w:after="80"/>
              <w:jc w:val="center"/>
              <w:rPr>
                <w:sz w:val="20"/>
                <w:lang w:val="ru-RU"/>
              </w:rPr>
            </w:pPr>
            <w:r>
              <w:rPr>
                <w:sz w:val="20"/>
                <w:lang w:val="ru-RU"/>
              </w:rPr>
              <w:t>7347</w:t>
            </w:r>
          </w:p>
        </w:tc>
        <w:tc>
          <w:tcPr>
            <w:tcW w:w="772" w:type="dxa"/>
          </w:tcPr>
          <w:p w:rsidR="00D80435" w:rsidRDefault="00D80435">
            <w:pPr>
              <w:spacing w:before="80" w:after="80"/>
              <w:jc w:val="center"/>
              <w:rPr>
                <w:sz w:val="20"/>
                <w:lang w:val="ru-RU"/>
              </w:rPr>
            </w:pPr>
            <w:r>
              <w:rPr>
                <w:sz w:val="20"/>
                <w:lang w:val="ru-RU"/>
              </w:rPr>
              <w:t>7955</w:t>
            </w:r>
          </w:p>
        </w:tc>
        <w:tc>
          <w:tcPr>
            <w:tcW w:w="983" w:type="dxa"/>
          </w:tcPr>
          <w:p w:rsidR="00D80435" w:rsidRDefault="00D80435">
            <w:pPr>
              <w:spacing w:before="80" w:after="80"/>
              <w:jc w:val="center"/>
              <w:rPr>
                <w:sz w:val="20"/>
                <w:lang w:val="ru-RU"/>
              </w:rPr>
            </w:pPr>
            <w:r>
              <w:rPr>
                <w:sz w:val="20"/>
                <w:lang w:val="ru-RU"/>
              </w:rPr>
              <w:t>645</w:t>
            </w:r>
            <w:r>
              <w:rPr>
                <w:sz w:val="20"/>
                <w:lang w:val="ru-RU"/>
              </w:rPr>
              <w:br/>
              <w:t>(7,6%)</w:t>
            </w:r>
          </w:p>
        </w:tc>
        <w:tc>
          <w:tcPr>
            <w:tcW w:w="766" w:type="dxa"/>
          </w:tcPr>
          <w:p w:rsidR="00D80435" w:rsidRDefault="00D80435">
            <w:pPr>
              <w:spacing w:before="80" w:after="80"/>
              <w:jc w:val="center"/>
              <w:rPr>
                <w:sz w:val="20"/>
                <w:lang w:val="ru-RU"/>
              </w:rPr>
            </w:pPr>
            <w:r>
              <w:rPr>
                <w:sz w:val="20"/>
                <w:lang w:val="ru-RU"/>
              </w:rPr>
              <w:t>7860</w:t>
            </w:r>
          </w:p>
        </w:tc>
        <w:tc>
          <w:tcPr>
            <w:tcW w:w="866" w:type="dxa"/>
          </w:tcPr>
          <w:p w:rsidR="00D80435" w:rsidRDefault="00D80435">
            <w:pPr>
              <w:spacing w:before="80" w:after="80"/>
              <w:jc w:val="center"/>
              <w:rPr>
                <w:sz w:val="20"/>
                <w:lang w:val="ru-RU"/>
              </w:rPr>
            </w:pPr>
            <w:r>
              <w:rPr>
                <w:sz w:val="20"/>
                <w:lang w:val="ru-RU"/>
              </w:rPr>
              <w:t>8505</w:t>
            </w:r>
          </w:p>
        </w:tc>
      </w:tr>
      <w:tr w:rsidR="00D80435">
        <w:tblPrEx>
          <w:tblCellMar>
            <w:top w:w="0" w:type="dxa"/>
            <w:bottom w:w="0" w:type="dxa"/>
          </w:tblCellMar>
        </w:tblPrEx>
        <w:tc>
          <w:tcPr>
            <w:tcW w:w="690" w:type="dxa"/>
          </w:tcPr>
          <w:p w:rsidR="00D80435" w:rsidRDefault="00D80435">
            <w:pPr>
              <w:spacing w:before="80" w:after="80"/>
              <w:rPr>
                <w:sz w:val="20"/>
                <w:lang w:val="ru-RU"/>
              </w:rPr>
            </w:pPr>
            <w:r>
              <w:rPr>
                <w:sz w:val="20"/>
                <w:lang w:val="ru-RU"/>
              </w:rPr>
              <w:t>19</w:t>
            </w:r>
          </w:p>
        </w:tc>
        <w:tc>
          <w:tcPr>
            <w:tcW w:w="3495" w:type="dxa"/>
          </w:tcPr>
          <w:p w:rsidR="00D80435" w:rsidRDefault="00D80435">
            <w:pPr>
              <w:spacing w:before="80" w:after="80"/>
              <w:jc w:val="left"/>
              <w:rPr>
                <w:sz w:val="20"/>
                <w:lang w:val="ru-RU"/>
              </w:rPr>
            </w:pPr>
            <w:r>
              <w:rPr>
                <w:sz w:val="20"/>
                <w:lang w:val="ru-RU"/>
              </w:rPr>
              <w:t>Учреждения по связи с общественностью (число чел., 1985 и 2001 гг.)</w:t>
            </w:r>
          </w:p>
        </w:tc>
        <w:tc>
          <w:tcPr>
            <w:tcW w:w="983" w:type="dxa"/>
          </w:tcPr>
          <w:p w:rsidR="00D80435" w:rsidRDefault="00D80435">
            <w:pPr>
              <w:spacing w:before="80" w:after="80"/>
              <w:jc w:val="center"/>
              <w:rPr>
                <w:sz w:val="20"/>
                <w:lang w:val="ru-RU"/>
              </w:rPr>
            </w:pPr>
            <w:r>
              <w:rPr>
                <w:sz w:val="20"/>
                <w:lang w:val="ru-RU"/>
              </w:rPr>
              <w:t>318</w:t>
            </w:r>
            <w:r>
              <w:rPr>
                <w:sz w:val="20"/>
                <w:lang w:val="ru-RU"/>
              </w:rPr>
              <w:br/>
              <w:t>(33,5%)</w:t>
            </w:r>
          </w:p>
        </w:tc>
        <w:tc>
          <w:tcPr>
            <w:tcW w:w="766" w:type="dxa"/>
          </w:tcPr>
          <w:p w:rsidR="00D80435" w:rsidRDefault="00D80435">
            <w:pPr>
              <w:spacing w:before="80" w:after="80"/>
              <w:jc w:val="center"/>
              <w:rPr>
                <w:sz w:val="20"/>
                <w:lang w:val="ru-RU"/>
              </w:rPr>
            </w:pPr>
            <w:r>
              <w:rPr>
                <w:sz w:val="20"/>
                <w:lang w:val="ru-RU"/>
              </w:rPr>
              <w:t>630</w:t>
            </w:r>
          </w:p>
        </w:tc>
        <w:tc>
          <w:tcPr>
            <w:tcW w:w="772" w:type="dxa"/>
          </w:tcPr>
          <w:p w:rsidR="00D80435" w:rsidRDefault="00D80435">
            <w:pPr>
              <w:spacing w:before="80" w:after="80"/>
              <w:jc w:val="center"/>
              <w:rPr>
                <w:sz w:val="20"/>
                <w:lang w:val="ru-RU"/>
              </w:rPr>
            </w:pPr>
            <w:r>
              <w:rPr>
                <w:sz w:val="20"/>
                <w:lang w:val="ru-RU"/>
              </w:rPr>
              <w:t>948</w:t>
            </w:r>
          </w:p>
        </w:tc>
        <w:tc>
          <w:tcPr>
            <w:tcW w:w="983" w:type="dxa"/>
          </w:tcPr>
          <w:p w:rsidR="00D80435" w:rsidRDefault="00D80435">
            <w:pPr>
              <w:spacing w:before="80" w:after="80"/>
              <w:jc w:val="center"/>
              <w:rPr>
                <w:sz w:val="20"/>
                <w:lang w:val="ru-RU"/>
              </w:rPr>
            </w:pPr>
            <w:r>
              <w:rPr>
                <w:sz w:val="20"/>
                <w:lang w:val="ru-RU"/>
              </w:rPr>
              <w:t>725</w:t>
            </w:r>
            <w:r>
              <w:rPr>
                <w:sz w:val="20"/>
                <w:lang w:val="ru-RU"/>
              </w:rPr>
              <w:br/>
              <w:t>(22,6%)</w:t>
            </w:r>
          </w:p>
        </w:tc>
        <w:tc>
          <w:tcPr>
            <w:tcW w:w="766" w:type="dxa"/>
          </w:tcPr>
          <w:p w:rsidR="00D80435" w:rsidRDefault="00D80435">
            <w:pPr>
              <w:spacing w:before="80" w:after="80"/>
              <w:jc w:val="center"/>
              <w:rPr>
                <w:sz w:val="20"/>
                <w:lang w:val="ru-RU"/>
              </w:rPr>
            </w:pPr>
            <w:r>
              <w:rPr>
                <w:sz w:val="20"/>
                <w:lang w:val="ru-RU"/>
              </w:rPr>
              <w:t>1997</w:t>
            </w:r>
          </w:p>
        </w:tc>
        <w:tc>
          <w:tcPr>
            <w:tcW w:w="866" w:type="dxa"/>
          </w:tcPr>
          <w:p w:rsidR="00D80435" w:rsidRDefault="00D80435">
            <w:pPr>
              <w:spacing w:before="80" w:after="80"/>
              <w:jc w:val="center"/>
              <w:rPr>
                <w:sz w:val="20"/>
                <w:lang w:val="ru-RU"/>
              </w:rPr>
            </w:pPr>
            <w:r>
              <w:rPr>
                <w:sz w:val="20"/>
                <w:lang w:val="ru-RU"/>
              </w:rPr>
              <w:t>2722</w:t>
            </w:r>
          </w:p>
        </w:tc>
      </w:tr>
      <w:tr w:rsidR="00D80435">
        <w:tblPrEx>
          <w:tblCellMar>
            <w:top w:w="0" w:type="dxa"/>
            <w:bottom w:w="0" w:type="dxa"/>
          </w:tblCellMar>
        </w:tblPrEx>
        <w:tc>
          <w:tcPr>
            <w:tcW w:w="690" w:type="dxa"/>
          </w:tcPr>
          <w:p w:rsidR="00D80435" w:rsidRDefault="00D80435">
            <w:pPr>
              <w:spacing w:before="80" w:after="80"/>
              <w:rPr>
                <w:sz w:val="20"/>
                <w:lang w:val="ru-RU"/>
              </w:rPr>
            </w:pPr>
            <w:r>
              <w:rPr>
                <w:sz w:val="20"/>
                <w:lang w:val="ru-RU"/>
              </w:rPr>
              <w:t>20</w:t>
            </w:r>
          </w:p>
        </w:tc>
        <w:tc>
          <w:tcPr>
            <w:tcW w:w="3495" w:type="dxa"/>
          </w:tcPr>
          <w:p w:rsidR="00D80435" w:rsidRDefault="00D80435">
            <w:pPr>
              <w:spacing w:before="80" w:after="80"/>
              <w:jc w:val="left"/>
              <w:rPr>
                <w:sz w:val="20"/>
                <w:lang w:val="ru-RU"/>
              </w:rPr>
            </w:pPr>
            <w:r>
              <w:rPr>
                <w:sz w:val="20"/>
                <w:lang w:val="ru-RU"/>
              </w:rPr>
              <w:t xml:space="preserve">Парламент (число чел., 1991 и </w:t>
            </w:r>
            <w:r>
              <w:rPr>
                <w:sz w:val="20"/>
                <w:lang w:val="ru-RU"/>
              </w:rPr>
              <w:br/>
              <w:t>2004 гг.)</w:t>
            </w:r>
          </w:p>
        </w:tc>
        <w:tc>
          <w:tcPr>
            <w:tcW w:w="983" w:type="dxa"/>
          </w:tcPr>
          <w:p w:rsidR="00D80435" w:rsidRDefault="00D80435">
            <w:pPr>
              <w:spacing w:before="80" w:after="80"/>
              <w:jc w:val="center"/>
              <w:rPr>
                <w:sz w:val="20"/>
                <w:lang w:val="ru-RU"/>
              </w:rPr>
            </w:pPr>
            <w:r>
              <w:rPr>
                <w:sz w:val="20"/>
                <w:lang w:val="ru-RU"/>
              </w:rPr>
              <w:t>77</w:t>
            </w:r>
            <w:r>
              <w:rPr>
                <w:sz w:val="20"/>
                <w:lang w:val="ru-RU"/>
              </w:rPr>
              <w:br/>
              <w:t>(9,7%)</w:t>
            </w:r>
          </w:p>
        </w:tc>
        <w:tc>
          <w:tcPr>
            <w:tcW w:w="766" w:type="dxa"/>
          </w:tcPr>
          <w:p w:rsidR="00D80435" w:rsidRDefault="00D80435">
            <w:pPr>
              <w:spacing w:before="80" w:after="80"/>
              <w:jc w:val="center"/>
              <w:rPr>
                <w:sz w:val="20"/>
                <w:lang w:val="ru-RU"/>
              </w:rPr>
            </w:pPr>
            <w:r>
              <w:rPr>
                <w:sz w:val="20"/>
                <w:lang w:val="ru-RU"/>
              </w:rPr>
              <w:t>712</w:t>
            </w:r>
          </w:p>
        </w:tc>
        <w:tc>
          <w:tcPr>
            <w:tcW w:w="772" w:type="dxa"/>
          </w:tcPr>
          <w:p w:rsidR="00D80435" w:rsidRDefault="00D80435">
            <w:pPr>
              <w:spacing w:before="80" w:after="80"/>
              <w:jc w:val="center"/>
              <w:rPr>
                <w:sz w:val="20"/>
                <w:lang w:val="ru-RU"/>
              </w:rPr>
            </w:pPr>
            <w:r>
              <w:rPr>
                <w:sz w:val="20"/>
                <w:lang w:val="ru-RU"/>
              </w:rPr>
              <w:t>789</w:t>
            </w:r>
          </w:p>
        </w:tc>
        <w:tc>
          <w:tcPr>
            <w:tcW w:w="983" w:type="dxa"/>
          </w:tcPr>
          <w:p w:rsidR="00D80435" w:rsidRDefault="00D80435">
            <w:pPr>
              <w:spacing w:before="80" w:after="80"/>
              <w:jc w:val="center"/>
              <w:rPr>
                <w:sz w:val="20"/>
                <w:lang w:val="ru-RU"/>
              </w:rPr>
            </w:pPr>
            <w:r>
              <w:rPr>
                <w:sz w:val="20"/>
                <w:lang w:val="ru-RU"/>
              </w:rPr>
              <w:t>72</w:t>
            </w:r>
            <w:r>
              <w:rPr>
                <w:sz w:val="20"/>
                <w:lang w:val="ru-RU"/>
              </w:rPr>
              <w:br/>
              <w:t>(9,2%)</w:t>
            </w:r>
          </w:p>
        </w:tc>
        <w:tc>
          <w:tcPr>
            <w:tcW w:w="766" w:type="dxa"/>
          </w:tcPr>
          <w:p w:rsidR="00D80435" w:rsidRDefault="00D80435">
            <w:pPr>
              <w:spacing w:before="80" w:after="80"/>
              <w:jc w:val="center"/>
              <w:rPr>
                <w:sz w:val="20"/>
                <w:lang w:val="ru-RU"/>
              </w:rPr>
            </w:pPr>
            <w:r>
              <w:rPr>
                <w:sz w:val="20"/>
                <w:lang w:val="ru-RU"/>
              </w:rPr>
              <w:t>712</w:t>
            </w:r>
          </w:p>
        </w:tc>
        <w:tc>
          <w:tcPr>
            <w:tcW w:w="866" w:type="dxa"/>
          </w:tcPr>
          <w:p w:rsidR="00D80435" w:rsidRDefault="00D80435">
            <w:pPr>
              <w:spacing w:before="80" w:after="80"/>
              <w:jc w:val="center"/>
              <w:rPr>
                <w:sz w:val="20"/>
                <w:lang w:val="ru-RU"/>
              </w:rPr>
            </w:pPr>
            <w:r>
              <w:rPr>
                <w:sz w:val="20"/>
                <w:lang w:val="ru-RU"/>
              </w:rPr>
              <w:t>784</w:t>
            </w:r>
          </w:p>
        </w:tc>
      </w:tr>
      <w:tr w:rsidR="00D80435">
        <w:tblPrEx>
          <w:tblCellMar>
            <w:top w:w="0" w:type="dxa"/>
            <w:bottom w:w="0" w:type="dxa"/>
          </w:tblCellMar>
        </w:tblPrEx>
        <w:tc>
          <w:tcPr>
            <w:tcW w:w="690" w:type="dxa"/>
          </w:tcPr>
          <w:p w:rsidR="00D80435" w:rsidRDefault="00D80435">
            <w:pPr>
              <w:spacing w:before="80" w:after="80"/>
              <w:rPr>
                <w:sz w:val="20"/>
                <w:lang w:val="ru-RU"/>
              </w:rPr>
            </w:pPr>
            <w:r>
              <w:rPr>
                <w:sz w:val="20"/>
                <w:lang w:val="ru-RU"/>
              </w:rPr>
              <w:t>21</w:t>
            </w:r>
          </w:p>
        </w:tc>
        <w:tc>
          <w:tcPr>
            <w:tcW w:w="3495" w:type="dxa"/>
          </w:tcPr>
          <w:p w:rsidR="00D80435" w:rsidRDefault="00D80435">
            <w:pPr>
              <w:spacing w:before="80" w:after="80"/>
              <w:jc w:val="left"/>
              <w:rPr>
                <w:sz w:val="20"/>
                <w:lang w:val="ru-RU"/>
              </w:rPr>
            </w:pPr>
            <w:r>
              <w:rPr>
                <w:sz w:val="20"/>
                <w:lang w:val="ru-RU"/>
              </w:rPr>
              <w:t>Центральный совет министров (число чел., 1985 и 2001 гг.)</w:t>
            </w:r>
          </w:p>
        </w:tc>
        <w:tc>
          <w:tcPr>
            <w:tcW w:w="983" w:type="dxa"/>
          </w:tcPr>
          <w:p w:rsidR="00D80435" w:rsidRDefault="00D80435">
            <w:pPr>
              <w:spacing w:before="80" w:after="80"/>
              <w:jc w:val="center"/>
              <w:rPr>
                <w:sz w:val="20"/>
                <w:lang w:val="ru-RU"/>
              </w:rPr>
            </w:pPr>
            <w:r>
              <w:rPr>
                <w:sz w:val="20"/>
                <w:lang w:val="ru-RU"/>
              </w:rPr>
              <w:t>4</w:t>
            </w:r>
            <w:r>
              <w:rPr>
                <w:sz w:val="20"/>
                <w:lang w:val="ru-RU"/>
              </w:rPr>
              <w:br/>
              <w:t>(10,5%)</w:t>
            </w:r>
          </w:p>
        </w:tc>
        <w:tc>
          <w:tcPr>
            <w:tcW w:w="766" w:type="dxa"/>
          </w:tcPr>
          <w:p w:rsidR="00D80435" w:rsidRDefault="00D80435">
            <w:pPr>
              <w:spacing w:before="80" w:after="80"/>
              <w:jc w:val="center"/>
              <w:rPr>
                <w:sz w:val="20"/>
                <w:lang w:val="ru-RU"/>
              </w:rPr>
            </w:pPr>
            <w:r>
              <w:rPr>
                <w:sz w:val="20"/>
                <w:lang w:val="ru-RU"/>
              </w:rPr>
              <w:t>36</w:t>
            </w:r>
          </w:p>
        </w:tc>
        <w:tc>
          <w:tcPr>
            <w:tcW w:w="772" w:type="dxa"/>
          </w:tcPr>
          <w:p w:rsidR="00D80435" w:rsidRDefault="00D80435">
            <w:pPr>
              <w:spacing w:before="80" w:after="80"/>
              <w:jc w:val="center"/>
              <w:rPr>
                <w:sz w:val="20"/>
                <w:lang w:val="ru-RU"/>
              </w:rPr>
            </w:pPr>
            <w:r>
              <w:rPr>
                <w:sz w:val="20"/>
                <w:lang w:val="ru-RU"/>
              </w:rPr>
              <w:t>40</w:t>
            </w:r>
          </w:p>
        </w:tc>
        <w:tc>
          <w:tcPr>
            <w:tcW w:w="983" w:type="dxa"/>
          </w:tcPr>
          <w:p w:rsidR="00D80435" w:rsidRDefault="00D80435">
            <w:pPr>
              <w:spacing w:before="80" w:after="80"/>
              <w:jc w:val="center"/>
              <w:rPr>
                <w:sz w:val="20"/>
                <w:lang w:val="ru-RU"/>
              </w:rPr>
            </w:pPr>
            <w:r>
              <w:rPr>
                <w:sz w:val="20"/>
                <w:lang w:val="ru-RU"/>
              </w:rPr>
              <w:t>8</w:t>
            </w:r>
            <w:r>
              <w:rPr>
                <w:sz w:val="20"/>
                <w:lang w:val="ru-RU"/>
              </w:rPr>
              <w:br/>
              <w:t>(10,5%)</w:t>
            </w:r>
          </w:p>
        </w:tc>
        <w:tc>
          <w:tcPr>
            <w:tcW w:w="766" w:type="dxa"/>
          </w:tcPr>
          <w:p w:rsidR="00D80435" w:rsidRDefault="00D80435">
            <w:pPr>
              <w:spacing w:before="80" w:after="80"/>
              <w:jc w:val="center"/>
              <w:rPr>
                <w:sz w:val="20"/>
                <w:lang w:val="ru-RU"/>
              </w:rPr>
            </w:pPr>
            <w:r>
              <w:rPr>
                <w:sz w:val="20"/>
                <w:lang w:val="ru-RU"/>
              </w:rPr>
              <w:t>66</w:t>
            </w:r>
          </w:p>
        </w:tc>
        <w:tc>
          <w:tcPr>
            <w:tcW w:w="866" w:type="dxa"/>
          </w:tcPr>
          <w:p w:rsidR="00D80435" w:rsidRDefault="00D80435">
            <w:pPr>
              <w:spacing w:before="80" w:after="80"/>
              <w:jc w:val="center"/>
              <w:rPr>
                <w:sz w:val="20"/>
                <w:lang w:val="ru-RU"/>
              </w:rPr>
            </w:pPr>
            <w:r>
              <w:rPr>
                <w:sz w:val="20"/>
                <w:lang w:val="ru-RU"/>
              </w:rPr>
              <w:t>74</w:t>
            </w:r>
          </w:p>
        </w:tc>
      </w:tr>
    </w:tbl>
    <w:p w:rsidR="00D80435" w:rsidRDefault="00D80435">
      <w:pPr>
        <w:spacing w:before="120" w:after="120"/>
        <w:rPr>
          <w:i/>
          <w:sz w:val="20"/>
          <w:lang w:val="ru-RU"/>
        </w:rPr>
      </w:pPr>
      <w:r>
        <w:rPr>
          <w:i/>
          <w:sz w:val="20"/>
          <w:lang w:val="ru-RU"/>
        </w:rPr>
        <w:t>Источник</w:t>
      </w:r>
      <w:r>
        <w:rPr>
          <w:sz w:val="20"/>
          <w:lang w:val="ru-RU"/>
        </w:rPr>
        <w:t xml:space="preserve">: </w:t>
      </w:r>
      <w:r>
        <w:rPr>
          <w:sz w:val="20"/>
        </w:rPr>
        <w:t>X</w:t>
      </w:r>
      <w:r>
        <w:rPr>
          <w:sz w:val="20"/>
          <w:lang w:val="ru-RU"/>
        </w:rPr>
        <w:t xml:space="preserve"> </w:t>
      </w:r>
      <w:r>
        <w:rPr>
          <w:sz w:val="20"/>
        </w:rPr>
        <w:t>Plan</w:t>
      </w:r>
      <w:r>
        <w:rPr>
          <w:sz w:val="20"/>
          <w:lang w:val="ru-RU"/>
        </w:rPr>
        <w:t xml:space="preserve">, </w:t>
      </w:r>
      <w:r>
        <w:rPr>
          <w:sz w:val="20"/>
        </w:rPr>
        <w:t>Government</w:t>
      </w:r>
      <w:r>
        <w:rPr>
          <w:sz w:val="20"/>
          <w:lang w:val="ru-RU"/>
        </w:rPr>
        <w:t xml:space="preserve"> </w:t>
      </w:r>
      <w:r>
        <w:rPr>
          <w:sz w:val="20"/>
        </w:rPr>
        <w:t>of</w:t>
      </w:r>
      <w:r>
        <w:rPr>
          <w:sz w:val="20"/>
          <w:lang w:val="ru-RU"/>
        </w:rPr>
        <w:t xml:space="preserve"> </w:t>
      </w:r>
      <w:r>
        <w:rPr>
          <w:sz w:val="20"/>
        </w:rPr>
        <w:t>India</w:t>
      </w:r>
      <w:r>
        <w:rPr>
          <w:sz w:val="20"/>
          <w:lang w:val="ru-RU"/>
        </w:rPr>
        <w:t xml:space="preserve">, </w:t>
      </w:r>
      <w:r>
        <w:rPr>
          <w:sz w:val="20"/>
        </w:rPr>
        <w:t>Sample</w:t>
      </w:r>
      <w:r>
        <w:rPr>
          <w:sz w:val="20"/>
          <w:lang w:val="ru-RU"/>
        </w:rPr>
        <w:t xml:space="preserve"> </w:t>
      </w:r>
      <w:r>
        <w:rPr>
          <w:sz w:val="20"/>
        </w:rPr>
        <w:t>Registration</w:t>
      </w:r>
      <w:r>
        <w:rPr>
          <w:sz w:val="20"/>
          <w:lang w:val="ru-RU"/>
        </w:rPr>
        <w:t xml:space="preserve"> </w:t>
      </w:r>
      <w:r>
        <w:rPr>
          <w:sz w:val="20"/>
        </w:rPr>
        <w:t>System</w:t>
      </w:r>
      <w:r>
        <w:rPr>
          <w:sz w:val="20"/>
          <w:lang w:val="ru-RU"/>
        </w:rPr>
        <w:t>.</w:t>
      </w:r>
    </w:p>
    <w:p w:rsidR="00D80435" w:rsidRDefault="00D80435">
      <w:pPr>
        <w:pStyle w:val="Header"/>
        <w:tabs>
          <w:tab w:val="clear" w:pos="4677"/>
          <w:tab w:val="clear" w:pos="9355"/>
        </w:tabs>
        <w:spacing w:after="120"/>
        <w:rPr>
          <w:lang w:val="ru-RU"/>
        </w:rPr>
      </w:pPr>
    </w:p>
    <w:p w:rsidR="00D80435" w:rsidRDefault="00D80435">
      <w:pPr>
        <w:pStyle w:val="Heading2"/>
      </w:pPr>
      <w:r>
        <w:t>Предстоящие задачи</w:t>
      </w:r>
    </w:p>
    <w:p w:rsidR="00D80435" w:rsidRDefault="00D80435">
      <w:pPr>
        <w:rPr>
          <w:lang w:val="ru-RU"/>
        </w:rPr>
      </w:pPr>
      <w:r>
        <w:rPr>
          <w:lang w:val="ru-RU"/>
        </w:rPr>
        <w:t>85.</w:t>
      </w:r>
      <w:r>
        <w:rPr>
          <w:lang w:val="ru-RU"/>
        </w:rPr>
        <w:tab/>
        <w:t>Значительные успехи были достигнуты в увеличении средней продолжительности жизни женщин, повышении уровня грамотности и расширении представительства женщин в местных органах самоуправления. Несмотря на возросшее внимание к проблеме ликвидации дискриминационных законов, сдвиг в процессе планирования от "социального обеспечения" к "улучшению положения" и "расширению прав и возможностей", конституционные и законодательные положения относительно позитивных действий, институциональные механизмы и рост инвестиций, гендерная дискриминация продолжает оставаться сложнейшей проблемой, и предстоит немало сделать, для того чтобы прописанными в законах правами можно было пользоваться на практике и добиться фактического равноправия.</w:t>
      </w:r>
    </w:p>
    <w:p w:rsidR="00D80435" w:rsidRDefault="00D80435">
      <w:pPr>
        <w:spacing w:after="300"/>
        <w:rPr>
          <w:lang w:val="ru-RU"/>
        </w:rPr>
      </w:pPr>
      <w:r>
        <w:rPr>
          <w:lang w:val="ru-RU"/>
        </w:rPr>
        <w:t>86.</w:t>
      </w:r>
      <w:r>
        <w:rPr>
          <w:lang w:val="ru-RU"/>
        </w:rPr>
        <w:tab/>
        <w:t>Доступ женщин к благам развития был обусловлен господствующей в обществе дискриминацией. Социокультурные нормы, традиционная практика, предрассудки и патриархальные ценности являются главными препятствиями на пути к достижению фактического равноправия женщин. Процесс либерализации усилил региональные диспропорции, создав островки процветания среди нищеты и обездоленности; инвестиции имеют тенденцию устремляться в регионы, где опережающими темпами идет развитие инфраструктуры. Правительство учитывает эти региональные диспропорции и принимает меры к сглаживанию различий, предоставляя дополнительные ресурсы, совершенствуя инфраструктуру и обеспечивая стимулы к развитию отсталых регионов.</w:t>
      </w:r>
    </w:p>
    <w:p w:rsidR="00D80435" w:rsidRDefault="00D80435">
      <w:pPr>
        <w:spacing w:after="300"/>
        <w:rPr>
          <w:lang w:val="ru-RU"/>
        </w:rPr>
      </w:pPr>
      <w:r>
        <w:rPr>
          <w:lang w:val="ru-RU"/>
        </w:rPr>
        <w:t>87.</w:t>
      </w:r>
      <w:r>
        <w:rPr>
          <w:lang w:val="ru-RU"/>
        </w:rPr>
        <w:tab/>
        <w:t>Задачи обеспечения фактического равенства и практической реализации прав женщин требуют безотлагательного решения целого ряда важнейших проблем, таких как возрастающее бремя нищеты, неравный доступ к медицинской помощи, недостаточное питание, высокий уровень неграмотности и низкий уровень профессиональной подготовки, отсутствие доступа к имуществу и ресурсам и контролю над ними, неравенство в отношении участия во властных структурах и руководящих органах, недостаточный доступ к информации и ее носителям, рост насилия в отношении женщин, подростков и девочек и продолжающаяся дискриминация в отношении девочек. Правительство решает эти проблемы осуществляя Национальную политику расширения прав и возможностей женщин (2001 год) и применяя систему перспективного планирования, позволяющую укреплять социальные завоевания в области образования, здравоохранения и занятости, что в свою очередь будет способствовать расширению прав и возможностей женщин.</w:t>
      </w:r>
    </w:p>
    <w:p w:rsidR="00D80435" w:rsidRDefault="00D80435">
      <w:pPr>
        <w:spacing w:after="400"/>
        <w:rPr>
          <w:lang w:val="ru-RU"/>
        </w:rPr>
      </w:pPr>
      <w:r>
        <w:rPr>
          <w:lang w:val="ru-RU"/>
        </w:rPr>
        <w:t>88.</w:t>
      </w:r>
      <w:r>
        <w:rPr>
          <w:lang w:val="ru-RU"/>
        </w:rPr>
        <w:tab/>
        <w:t>Отсутствие дезагрегированных по полу данных по различным показателям развития на уровне штатов и округов является основной проблемой при мониторинге прогресса в улучшении положения женщин на пути к достижению их равноправия с мужчинами. В настоящее время в целях ускорения стандартизации индексов развития с учетом гендерного фактора принимаются меры по расчету нескольких показателей, по которым производится сбор дезагрегированных по полу данных на национальном уровне, по штатам и округам. Правительство также признает необходимость обзора результативности и действенности существующих законодательных актов, политики и программ, принятых в интересах женщин, и предпринимает необходимые меры по их пересмотру, с тем чтобы повысить их эффективность в плане достижения равноправия мужчин и женщин.</w:t>
      </w:r>
    </w:p>
    <w:p w:rsidR="00D80435" w:rsidRDefault="00D80435">
      <w:pPr>
        <w:pStyle w:val="Heading4"/>
        <w:spacing w:before="400"/>
      </w:pPr>
      <w:r>
        <w:t>Статья 4.  Специальные меры</w:t>
      </w:r>
    </w:p>
    <w:p w:rsidR="00D80435" w:rsidRDefault="00D80435">
      <w:pPr>
        <w:rPr>
          <w:lang w:val="ru-RU"/>
        </w:rPr>
      </w:pPr>
      <w:r>
        <w:rPr>
          <w:lang w:val="ru-RU"/>
        </w:rPr>
        <w:t>89.</w:t>
      </w:r>
      <w:r>
        <w:rPr>
          <w:lang w:val="ru-RU"/>
        </w:rPr>
        <w:tab/>
        <w:t>В Первоначальном докладе освещались специальные меры, принятые правительством для того, чтобы гарантировать женщинам возможность осуществления основных прав и свобод и пользования ими. Признавая низкий статус женщин в обществе и исторически сложившуюся дискриминационную практику по отношению к ним, Конституция Индии не только запрещает дискриминацию в отношении женщин, но предусматривает ряд особых мер в пользу женщин (пункт 3 статьи 15). Кроме того, она гарантирует равные возможности при трудоустройстве и предусматривает специальные меры по обеспечению занятости (пункт 4 статьи 16). Руководствуясь этими принципами, государство предприняло ряд позитивных действий для улучшения положения женщин.</w:t>
      </w:r>
    </w:p>
    <w:p w:rsidR="00D80435" w:rsidRDefault="00D80435">
      <w:pPr>
        <w:spacing w:after="300"/>
        <w:rPr>
          <w:lang w:val="ru-RU"/>
        </w:rPr>
      </w:pPr>
      <w:r>
        <w:rPr>
          <w:lang w:val="ru-RU"/>
        </w:rPr>
        <w:t>90.</w:t>
      </w:r>
      <w:r>
        <w:rPr>
          <w:lang w:val="ru-RU"/>
        </w:rPr>
        <w:tab/>
        <w:t>Одной из важных социальных мер, принятых государством, были 73-я и 74-я поправки к Конституции, которые предусматривают резервирование за женщинами мест и руководящих должностей в органах местного самоуправления. Для обеспечения эффективного участия женщин – представительниц племен в процессе планирования и принятия решений Законом о панчаятах (о распространении на включенные в списки территории) 1996 года эти поправки были распространены на включенные в списки территории.</w:t>
      </w:r>
    </w:p>
    <w:p w:rsidR="00D80435" w:rsidRDefault="00D80435">
      <w:pPr>
        <w:spacing w:after="300"/>
        <w:rPr>
          <w:lang w:val="ru-RU"/>
        </w:rPr>
      </w:pPr>
      <w:r>
        <w:rPr>
          <w:lang w:val="ru-RU"/>
        </w:rPr>
        <w:t>91.</w:t>
      </w:r>
      <w:r>
        <w:rPr>
          <w:lang w:val="ru-RU"/>
        </w:rPr>
        <w:tab/>
        <w:t>Наша Конституция провозглашает Индию суверенным и светским государством и запрещает дискриминацию по признаку кастовой принадлежности, вероисповедания и по признаку пола. Некоторые группы женщин подвергаются различным формам дискриминации, обусловленной их принадлежностью к той или иной касте, религиозными убеждениями или в связи с нетрудоспособностью, которая отражается на них иначе, чем на мужчинах.</w:t>
      </w:r>
    </w:p>
    <w:p w:rsidR="00D80435" w:rsidRDefault="00D80435">
      <w:pPr>
        <w:spacing w:after="300"/>
        <w:rPr>
          <w:lang w:val="ru-RU"/>
        </w:rPr>
      </w:pPr>
      <w:r>
        <w:rPr>
          <w:lang w:val="ru-RU"/>
        </w:rPr>
        <w:t>92.</w:t>
      </w:r>
      <w:r>
        <w:rPr>
          <w:lang w:val="ru-RU"/>
        </w:rPr>
        <w:tab/>
        <w:t xml:space="preserve">К числу социально обездоленных групп относятся включенные в списки касты (СК), племена (СП) и другие отсталые классы (ДОК). По данным переписи населения 2001 года, численность граждан, принадлежащих к включенным в списки кастам, составила 16,2 процента общей численности населения, принадлежащих к включенным в списки племенам – </w:t>
      </w:r>
      <w:r>
        <w:rPr>
          <w:lang w:val="ru-RU"/>
        </w:rPr>
        <w:br/>
        <w:t>8,2 процента. 81 процент населения Индии, принадлежащего к включенным в списки кастам, проживает в сельской местности. Наивысшая концентрация населения из включенных в списки племен наблюдается в северо-восточных штатах Мизорам (94,5</w:t>
      </w:r>
      <w:r>
        <w:t> </w:t>
      </w:r>
      <w:r>
        <w:rPr>
          <w:lang w:val="ru-RU"/>
        </w:rPr>
        <w:t>процента), Нагаленд (89,1</w:t>
      </w:r>
      <w:r>
        <w:t> </w:t>
      </w:r>
      <w:r>
        <w:rPr>
          <w:lang w:val="ru-RU"/>
        </w:rPr>
        <w:t>процента), Мегхалая (85,9</w:t>
      </w:r>
      <w:r>
        <w:t> </w:t>
      </w:r>
      <w:r>
        <w:rPr>
          <w:lang w:val="ru-RU"/>
        </w:rPr>
        <w:t>процента) и Аруначал-Прадеш (64,2</w:t>
      </w:r>
      <w:r>
        <w:t> </w:t>
      </w:r>
      <w:r>
        <w:rPr>
          <w:lang w:val="ru-RU"/>
        </w:rPr>
        <w:t>процента) и союзных территориях Лакшадвип (94,5</w:t>
      </w:r>
      <w:r>
        <w:t> </w:t>
      </w:r>
      <w:r>
        <w:rPr>
          <w:lang w:val="ru-RU"/>
        </w:rPr>
        <w:t>процента) и Дадра и Нагархавели (62,2</w:t>
      </w:r>
      <w:r>
        <w:t> </w:t>
      </w:r>
      <w:r>
        <w:rPr>
          <w:lang w:val="ru-RU"/>
        </w:rPr>
        <w:t>процента). Высокая концентрация этой категории населения отмечена также в штатах Мадхья-Прадеш, Орисса, Гуджарат, Ассам, Раджастан, Махараштра, Джаркханд, Андхра-Прадеш и на Андаманских и Никобарских островах.</w:t>
      </w:r>
    </w:p>
    <w:p w:rsidR="00D80435" w:rsidRDefault="00D80435">
      <w:pPr>
        <w:spacing w:after="300"/>
        <w:rPr>
          <w:lang w:val="ru-RU"/>
        </w:rPr>
      </w:pPr>
      <w:r>
        <w:rPr>
          <w:lang w:val="ru-RU"/>
        </w:rPr>
        <w:t>93.</w:t>
      </w:r>
      <w:r>
        <w:rPr>
          <w:lang w:val="ru-RU"/>
        </w:rPr>
        <w:tab/>
        <w:t>Меньшинства состоят из мусульман, христиан, сикхов, буддистов и парсов. Согласно переписи населения 2001 года, меньшинства составляют около 18,4 процента общей численности населения страны. На долю мусульман приходится 13,4 процента, христиан – 2,3 процента, сикхов – 1,9 процента, буддистов – 0,8 процента, а численность парсов составляет 69</w:t>
      </w:r>
      <w:r>
        <w:t> </w:t>
      </w:r>
      <w:r>
        <w:rPr>
          <w:lang w:val="ru-RU"/>
        </w:rPr>
        <w:t>601. Среди меньшинств мусульманские женщины считаются наиболее отсталой группой по всем параметрам. За десятилетие 1991–2001 годов показатель соотношения полов увеличился во всех религиозных общинах, кроме сикхов и индусов. Самый высокий показатель у христиан – 1009, самый низкий у сикхов – 893. У индусов этот показатель незначительно ниже общенационального, 931 против 933. Во всех религиозных общинах, за исключением мусульман, наблюдается снижение показателя соотношения полов в детской возрастной группе 0–6 лет, что не может не вызывать тревогу. У мусульман этот показатель составляет 950 против общенационального 936. Самый высокий уровень общей грамотности отмечен у джайнов – 94,1 процента, у мусульман он едва достигает 59,1 процента. Среди религиозных групп самый большой разрыв в уровне грамотности между мужчинами и женщинами отмечен у индусов, где разница составляет 23 процентных пункта; у джайнов и христиан этот разрыв не превышает 10 процентных пунктов. Уровень грамотности мужчин-индусов составляет 76,2; мусульман – 67,6; христиан – 84,4; сикхов – 75,2; буддистов – 83,1 и джайнов – 97,4. Соответственно уровень грамотности женщин среди индусов составляет 53,2; мусульман – 50,1; христиан – 76,2; сикхов – 63,1; буддистов – 61,7 и джайнов – 90,6.</w:t>
      </w:r>
    </w:p>
    <w:p w:rsidR="00D80435" w:rsidRDefault="00D80435">
      <w:pPr>
        <w:spacing w:after="360"/>
        <w:rPr>
          <w:lang w:val="ru-RU"/>
        </w:rPr>
      </w:pPr>
      <w:r>
        <w:rPr>
          <w:lang w:val="ru-RU"/>
        </w:rPr>
        <w:t>94.</w:t>
      </w:r>
      <w:r>
        <w:rPr>
          <w:lang w:val="ru-RU"/>
        </w:rPr>
        <w:tab/>
        <w:t>Показатель участия в трудовой деятельности индусских женщин составляет 27,5</w:t>
      </w:r>
      <w:r>
        <w:t> </w:t>
      </w:r>
      <w:r>
        <w:rPr>
          <w:lang w:val="ru-RU"/>
        </w:rPr>
        <w:t>процента против 52,4 у мужчин; мусульманских – 14,1 против 47,5 у мужчин; христианок – 28,7 против 50,7 у мужчин; сикхских женщин – 20,2 против 53,3 у мужчин; буддисток – 31,7 против 49,2 у мужчин; джайнских женщин – 9,2 против 55,2 у мужчин. Общий показатель по стране составляет 51,7 у мужчин и 25,6 у женщин.</w:t>
      </w:r>
    </w:p>
    <w:p w:rsidR="00D80435" w:rsidRDefault="00D80435">
      <w:pPr>
        <w:pStyle w:val="Heading2"/>
      </w:pPr>
      <w:r>
        <w:t>Государственные инициативы</w:t>
      </w:r>
    </w:p>
    <w:p w:rsidR="00D80435" w:rsidRDefault="00D80435">
      <w:pPr>
        <w:rPr>
          <w:lang w:val="ru-RU"/>
        </w:rPr>
      </w:pPr>
      <w:r>
        <w:rPr>
          <w:lang w:val="ru-RU"/>
        </w:rPr>
        <w:t>95.</w:t>
      </w:r>
      <w:r>
        <w:rPr>
          <w:lang w:val="ru-RU"/>
        </w:rPr>
        <w:tab/>
        <w:t>Признавая относительную социально-экономическую отсталость включенных в списки каст и племен как составной части общества, Конституция Индии гарантирует равенство перед законом (статья14) и обязывает государство принимать специальные меры для улучшения положения отсталых в социальном и образовательном плане классов, а также в интересах включенных в списки каст и племен (пункт 4 статьи 15). Конституция также уполномочивает государство принимать меры для резервирования мест при назначении граждан из отсталых классов на должности и обеспечения их продвижения по службе (пункты 4 и 4А статьи 16). Конституция Индии самым решительным образом запрещает неприкасаемость и ее практику в любой форме (статья 17). Кроме того, Конституция обязывает государство содействовать культурному и экономическому развитию более уязвимых слоев населения, особенно включенных в списки каст и племен, и защищать их от социальной несправедливости и всех форм эксплуатации (статья</w:t>
      </w:r>
      <w:r>
        <w:t> </w:t>
      </w:r>
      <w:r>
        <w:rPr>
          <w:lang w:val="ru-RU"/>
        </w:rPr>
        <w:t>46). Резервирование мест за представителями включенных в списки каст и племен в демократических институтах (статьи</w:t>
      </w:r>
      <w:r>
        <w:t> </w:t>
      </w:r>
      <w:r>
        <w:rPr>
          <w:lang w:val="ru-RU"/>
        </w:rPr>
        <w:t>330 и 332) и в различных службах (статья 335) является еще одной специальной мерой в интересах этих групп населения. Конституция уполномочивает государство назначить Комиссию по изучению положения отсталых в социальном и культурном отношении классов (статья 340) и определить касты и племена, которые следует считать включенными в списки (статьи 341 и 342, соответственно). Конституция предусматривает выделение целевых субсидий органам местного самоуправления в целях подъема благосостояния включенных в списки племен и повышения уровня управления на включенных в списки территориях (пункт 1 статьи</w:t>
      </w:r>
      <w:r>
        <w:t> </w:t>
      </w:r>
      <w:r>
        <w:rPr>
          <w:lang w:val="ru-RU"/>
        </w:rPr>
        <w:t>275).</w:t>
      </w:r>
    </w:p>
    <w:p w:rsidR="00D80435" w:rsidRDefault="00D80435">
      <w:pPr>
        <w:rPr>
          <w:lang w:val="ru-RU"/>
        </w:rPr>
      </w:pPr>
      <w:r>
        <w:rPr>
          <w:lang w:val="ru-RU"/>
        </w:rPr>
        <w:t>96.</w:t>
      </w:r>
      <w:r>
        <w:rPr>
          <w:lang w:val="ru-RU"/>
        </w:rPr>
        <w:tab/>
        <w:t>Пятое приложение к Конституции содержит определенные предписания в отношении включенных в списки областей, а также в отношении племен во всех штатах, кроме штатов Ассам, Мегхалая, Трипура и Мизорам, обязывая губернаторов представлять президенту Индии ежегодный доклад об управлении включенными в списки территориями и поощрять создание консультативных советов племен для оказания консультативной помощи в вопросах социального обеспечения и улучшения положения СП (пункт 1 статьи 244). Аналогичным образом, шестое приложение к Конституции затрагивает вопросы управления в местах проживания племен на территории штатов Ассам, Мегхалая, Трипура и Мизорам, присваивая отдельным областям статус автономных округов и автономных районов и предписывая создание окружных и районных советов (пункт 2 статьи 244).</w:t>
      </w:r>
    </w:p>
    <w:p w:rsidR="00D80435" w:rsidRDefault="00D80435">
      <w:pPr>
        <w:rPr>
          <w:lang w:val="ru-RU"/>
        </w:rPr>
      </w:pPr>
      <w:r>
        <w:rPr>
          <w:lang w:val="ru-RU"/>
        </w:rPr>
        <w:t>97.</w:t>
      </w:r>
      <w:r>
        <w:rPr>
          <w:lang w:val="ru-RU"/>
        </w:rPr>
        <w:tab/>
        <w:t>Конституция предусматривает определенные гарантии в отношении признания прав меньшинств на сохранение своей культуры и создание в соответствии со статьями 29 и 30 Конституции по своему выбору образовательных учреждений и управление ими. Так, статья 350 А) гарантирует преподавание на родном языке на начальной ступени обучения детей из групп лингвистических меньшинств, а статья 350 В) предусматривает наличие специального должностного лица для защиты интересов лингвистических меньшинств.</w:t>
      </w:r>
    </w:p>
    <w:p w:rsidR="00D80435" w:rsidRDefault="00D80435">
      <w:pPr>
        <w:rPr>
          <w:lang w:val="ru-RU"/>
        </w:rPr>
      </w:pPr>
      <w:r>
        <w:rPr>
          <w:lang w:val="ru-RU"/>
        </w:rPr>
        <w:t>98.</w:t>
      </w:r>
      <w:r>
        <w:rPr>
          <w:lang w:val="ru-RU"/>
        </w:rPr>
        <w:tab/>
        <w:t>Поскольку образование играет главную роль в улучшении положения этих слоев населения, был принят целый ряд специальных мер, чтобы дать возможность учащимся из включенных в списки каст и племен получить образование, а именно:</w:t>
      </w:r>
    </w:p>
    <w:p w:rsidR="00D80435" w:rsidRDefault="00D80435">
      <w:pPr>
        <w:ind w:left="1361" w:hanging="1361"/>
        <w:rPr>
          <w:lang w:val="ru-RU"/>
        </w:rPr>
      </w:pPr>
      <w:r>
        <w:rPr>
          <w:lang w:val="ru-RU"/>
        </w:rPr>
        <w:tab/>
      </w:r>
      <w:r>
        <w:sym w:font="Symbol" w:char="F0B7"/>
      </w:r>
      <w:r>
        <w:rPr>
          <w:lang w:val="ru-RU"/>
        </w:rPr>
        <w:tab/>
        <w:t>в 2002 году образование было провозглашено основным правом, и план действий предусматривает уделение особого внимания женщинам из СК и СП;</w:t>
      </w:r>
    </w:p>
    <w:p w:rsidR="00D80435" w:rsidRDefault="00D80435">
      <w:pPr>
        <w:tabs>
          <w:tab w:val="clear" w:pos="1361"/>
          <w:tab w:val="left" w:pos="1418"/>
        </w:tabs>
        <w:ind w:left="1361" w:hanging="1361"/>
        <w:rPr>
          <w:lang w:val="ru-RU"/>
        </w:rPr>
      </w:pPr>
      <w:r>
        <w:rPr>
          <w:lang w:val="ru-RU"/>
        </w:rPr>
        <w:tab/>
      </w:r>
      <w:r>
        <w:sym w:font="Symbol" w:char="F0B7"/>
      </w:r>
      <w:r>
        <w:rPr>
          <w:lang w:val="ru-RU"/>
        </w:rPr>
        <w:tab/>
        <w:t>особое внимание уделяется 146 округам, определенным как округа с низким уровнем грамотности женщин. Согласно этому проекту правительствам штатов и добровольческим организациям предоставляется 100-процентная финансовая помощь для создания новых начальных школ (первой и второй ступени) и многопрофильных полных средних школ-интернатов для девушек из упомянутой категории населения. Проект охватывает 325</w:t>
      </w:r>
      <w:r>
        <w:t> </w:t>
      </w:r>
      <w:r>
        <w:rPr>
          <w:lang w:val="ru-RU"/>
        </w:rPr>
        <w:t>поселений в 13 штатах, 3</w:t>
      </w:r>
      <w:r>
        <w:t> </w:t>
      </w:r>
      <w:r>
        <w:rPr>
          <w:lang w:val="ru-RU"/>
        </w:rPr>
        <w:t>союзных территориях и 4</w:t>
      </w:r>
      <w:r>
        <w:t> </w:t>
      </w:r>
      <w:r>
        <w:rPr>
          <w:lang w:val="ru-RU"/>
        </w:rPr>
        <w:t xml:space="preserve">округа штата Ассам; </w:t>
      </w:r>
    </w:p>
    <w:p w:rsidR="00D80435" w:rsidRDefault="00D80435">
      <w:pPr>
        <w:tabs>
          <w:tab w:val="clear" w:pos="1361"/>
          <w:tab w:val="left" w:pos="1418"/>
        </w:tabs>
        <w:spacing w:after="200"/>
        <w:ind w:left="1361" w:hanging="1361"/>
        <w:rPr>
          <w:lang w:val="ru-RU"/>
        </w:rPr>
      </w:pPr>
      <w:r>
        <w:rPr>
          <w:lang w:val="ru-RU"/>
        </w:rPr>
        <w:tab/>
      </w:r>
      <w:r>
        <w:sym w:font="Symbol" w:char="F0B7"/>
      </w:r>
      <w:r>
        <w:rPr>
          <w:lang w:val="ru-RU"/>
        </w:rPr>
        <w:tab/>
        <w:t>введенный в действие в 1996–1997 годах проект Специальные развивающие образовательные программы для девочек из СК, проживающих в округах с низким уровнем грамотности направлен на создание специальных школ-интернатов для девочек из СК, принадлежащих к первому поколению обучающихся в школе и проживающих в местах с низким уровнем грамотности, где ни традиции, ни обстановка не способствуют учебе;</w:t>
      </w:r>
    </w:p>
    <w:p w:rsidR="00D80435" w:rsidRDefault="00D80435">
      <w:pPr>
        <w:tabs>
          <w:tab w:val="clear" w:pos="1361"/>
          <w:tab w:val="left" w:pos="1418"/>
        </w:tabs>
        <w:spacing w:after="200"/>
        <w:ind w:left="1361" w:hanging="1361"/>
        <w:rPr>
          <w:lang w:val="ru-RU"/>
        </w:rPr>
      </w:pPr>
      <w:r>
        <w:rPr>
          <w:lang w:val="ru-RU"/>
        </w:rPr>
        <w:tab/>
      </w:r>
      <w:r>
        <w:sym w:font="Symbol" w:char="F0B7"/>
      </w:r>
      <w:r>
        <w:rPr>
          <w:lang w:val="ru-RU"/>
        </w:rPr>
        <w:tab/>
        <w:t>были смягчены нормы в отношении открытия начальных школ для представителей СК и СП: теперь начальные школы для детей из СК и СП размещаются в пределах одного километра хода пешком от селений, насчитывающих 200 жителей, а не 300, как прежде;</w:t>
      </w:r>
    </w:p>
    <w:p w:rsidR="00D80435" w:rsidRDefault="00D80435">
      <w:pPr>
        <w:tabs>
          <w:tab w:val="clear" w:pos="1361"/>
          <w:tab w:val="left" w:pos="1418"/>
        </w:tabs>
        <w:spacing w:after="200"/>
        <w:ind w:left="1361" w:hanging="1361"/>
        <w:rPr>
          <w:lang w:val="ru-RU"/>
        </w:rPr>
      </w:pPr>
      <w:r>
        <w:rPr>
          <w:lang w:val="ru-RU"/>
        </w:rPr>
        <w:tab/>
      </w:r>
      <w:r>
        <w:sym w:font="Symbol" w:char="F0B7"/>
      </w:r>
      <w:r>
        <w:rPr>
          <w:lang w:val="ru-RU"/>
        </w:rPr>
        <w:tab/>
        <w:t>ученикам из указанных групп населения выдаются бесплатные учебники, школьная форма, канцелярские принадлежности, ранцы и т. п.;</w:t>
      </w:r>
    </w:p>
    <w:p w:rsidR="00D80435" w:rsidRDefault="00D80435">
      <w:pPr>
        <w:tabs>
          <w:tab w:val="clear" w:pos="1361"/>
          <w:tab w:val="left" w:pos="1418"/>
        </w:tabs>
        <w:spacing w:after="200"/>
        <w:ind w:left="1416" w:hanging="1416"/>
        <w:rPr>
          <w:lang w:val="ru-RU"/>
        </w:rPr>
      </w:pPr>
      <w:r>
        <w:rPr>
          <w:lang w:val="ru-RU"/>
        </w:rPr>
        <w:tab/>
      </w:r>
      <w:r>
        <w:sym w:font="Symbol" w:char="F0B7"/>
      </w:r>
      <w:r>
        <w:rPr>
          <w:lang w:val="ru-RU"/>
        </w:rPr>
        <w:tab/>
        <w:t>производится резервирование мест за представителями СК и СП в высших учебных заведениях центрального правительства;</w:t>
      </w:r>
    </w:p>
    <w:p w:rsidR="00D80435" w:rsidRDefault="00D80435">
      <w:pPr>
        <w:tabs>
          <w:tab w:val="clear" w:pos="1361"/>
          <w:tab w:val="left" w:pos="1418"/>
        </w:tabs>
        <w:spacing w:after="200"/>
        <w:ind w:left="1416" w:hanging="1416"/>
        <w:rPr>
          <w:lang w:val="ru-RU"/>
        </w:rPr>
      </w:pPr>
      <w:r>
        <w:rPr>
          <w:lang w:val="ru-RU"/>
        </w:rPr>
        <w:tab/>
      </w:r>
      <w:r>
        <w:sym w:font="Symbol" w:char="F0B7"/>
      </w:r>
      <w:r>
        <w:rPr>
          <w:lang w:val="ru-RU"/>
        </w:rPr>
        <w:tab/>
        <w:t>для абитуриентов университетов, колледжей и технических институтов установлен более низкий проходной балл;</w:t>
      </w:r>
    </w:p>
    <w:p w:rsidR="00D80435" w:rsidRDefault="00D80435">
      <w:pPr>
        <w:tabs>
          <w:tab w:val="clear" w:pos="1361"/>
          <w:tab w:val="left" w:pos="1418"/>
        </w:tabs>
        <w:spacing w:after="200"/>
        <w:ind w:left="1416" w:hanging="1416"/>
        <w:rPr>
          <w:lang w:val="ru-RU"/>
        </w:rPr>
      </w:pPr>
      <w:r>
        <w:rPr>
          <w:lang w:val="ru-RU"/>
        </w:rPr>
        <w:tab/>
      </w:r>
      <w:r>
        <w:sym w:font="Symbol" w:char="F0B7"/>
      </w:r>
      <w:r>
        <w:rPr>
          <w:lang w:val="ru-RU"/>
        </w:rPr>
        <w:tab/>
        <w:t>организована помощь отстающим и репетиторство для учащихся из СК и СП с целью улучшения их успеваемости, языковой подготовки и повышения общего уровня понимания;</w:t>
      </w:r>
    </w:p>
    <w:p w:rsidR="00D80435" w:rsidRDefault="00D80435">
      <w:pPr>
        <w:tabs>
          <w:tab w:val="clear" w:pos="1361"/>
          <w:tab w:val="left" w:pos="1418"/>
        </w:tabs>
        <w:spacing w:after="200"/>
        <w:ind w:left="1416" w:hanging="1416"/>
        <w:rPr>
          <w:lang w:val="ru-RU"/>
        </w:rPr>
      </w:pPr>
      <w:r>
        <w:rPr>
          <w:lang w:val="ru-RU"/>
        </w:rPr>
        <w:tab/>
      </w:r>
      <w:r>
        <w:sym w:font="Symbol" w:char="F0B7"/>
      </w:r>
      <w:r>
        <w:rPr>
          <w:lang w:val="ru-RU"/>
        </w:rPr>
        <w:tab/>
        <w:t>в рамках Национального проекта по поиску талантов проводится целевое резервирование стипендий для учащихся из СК и СП;</w:t>
      </w:r>
    </w:p>
    <w:p w:rsidR="00D80435" w:rsidRDefault="00D80435">
      <w:pPr>
        <w:tabs>
          <w:tab w:val="clear" w:pos="1361"/>
          <w:tab w:val="left" w:pos="1418"/>
        </w:tabs>
        <w:spacing w:after="200"/>
        <w:ind w:left="1416" w:hanging="1416"/>
        <w:rPr>
          <w:lang w:val="ru-RU"/>
        </w:rPr>
      </w:pPr>
      <w:r>
        <w:rPr>
          <w:lang w:val="ru-RU"/>
        </w:rPr>
        <w:tab/>
      </w:r>
      <w:r>
        <w:sym w:font="Symbol" w:char="F0B7"/>
      </w:r>
      <w:r>
        <w:rPr>
          <w:lang w:val="ru-RU"/>
        </w:rPr>
        <w:tab/>
        <w:t>при сдаче экзаменов на получение стипендии младшего научного сотрудника для кандидатов из СК и СП на 10 процентов снижен проходной балл;</w:t>
      </w:r>
    </w:p>
    <w:p w:rsidR="00D80435" w:rsidRDefault="00D80435">
      <w:pPr>
        <w:tabs>
          <w:tab w:val="clear" w:pos="1361"/>
          <w:tab w:val="left" w:pos="1418"/>
        </w:tabs>
        <w:spacing w:after="200"/>
        <w:ind w:left="1416" w:hanging="1416"/>
        <w:rPr>
          <w:lang w:val="ru-RU"/>
        </w:rPr>
      </w:pPr>
      <w:r>
        <w:rPr>
          <w:lang w:val="ru-RU"/>
        </w:rPr>
        <w:tab/>
      </w:r>
      <w:r>
        <w:sym w:font="Symbol" w:char="F0B7"/>
      </w:r>
      <w:r>
        <w:rPr>
          <w:lang w:val="ru-RU"/>
        </w:rPr>
        <w:tab/>
        <w:t>в целях облегчения набора кандидатов из СК и СП на зарезервированные вакансии в различных министерствах и департаментах центрального правительства Генеральная дирекция обучения и занятости (ГДОЗ) приступила к осуществлению еще одного проекта – "Проекта специального репетиторства", предназначенного для ищущих работу из СП и СП, зарегистрированных на бирже труда, чтобы дать им возможность выдержать конкурсные экзамены и пройти отборочные испытания, проводимые для набора в группу С и на эквивалентные должности;</w:t>
      </w:r>
    </w:p>
    <w:p w:rsidR="00D80435" w:rsidRDefault="00D80435">
      <w:pPr>
        <w:tabs>
          <w:tab w:val="clear" w:pos="1361"/>
          <w:tab w:val="left" w:pos="1418"/>
        </w:tabs>
        <w:spacing w:after="200"/>
        <w:ind w:left="1416" w:hanging="1416"/>
        <w:rPr>
          <w:lang w:val="ru-RU"/>
        </w:rPr>
      </w:pPr>
      <w:r>
        <w:rPr>
          <w:lang w:val="ru-RU"/>
        </w:rPr>
        <w:tab/>
      </w:r>
      <w:r>
        <w:sym w:font="Symbol" w:char="F0B7"/>
      </w:r>
      <w:r>
        <w:rPr>
          <w:lang w:val="ru-RU"/>
        </w:rPr>
        <w:tab/>
        <w:t>проект "Общежития для мальчиков и девочек из СК и СП" является одной из основных вспомогательных услуг, предоставляемых правительством для улучшения показателей охвата образованием. Проект нацелен на снижение высокого на настоящий момент коэффициента отсева и увеличение числа окончивших школу учащихся из СК и СП путем обеспечения их общежитиями на всех ступенях средней школы вплоть до старших классов, а также в колледжах и университетах;</w:t>
      </w:r>
    </w:p>
    <w:p w:rsidR="00D80435" w:rsidRDefault="00D80435">
      <w:pPr>
        <w:tabs>
          <w:tab w:val="clear" w:pos="1361"/>
          <w:tab w:val="left" w:pos="1418"/>
        </w:tabs>
        <w:spacing w:after="200"/>
        <w:ind w:left="1416" w:hanging="1416"/>
        <w:rPr>
          <w:lang w:val="ru-RU"/>
        </w:rPr>
      </w:pPr>
      <w:r>
        <w:rPr>
          <w:lang w:val="ru-RU"/>
        </w:rPr>
        <w:tab/>
      </w:r>
      <w:r>
        <w:sym w:font="Symbol" w:char="F0B7"/>
      </w:r>
      <w:r>
        <w:rPr>
          <w:lang w:val="ru-RU"/>
        </w:rPr>
        <w:tab/>
        <w:t>ведется строительство общежитий для девушек из числа СК и ДОК, чтобы дать им возможность получить образование; по этому проекту за период 2004–2005 годов было отпущено 5320 млн. рупий под строительство 14</w:t>
      </w:r>
      <w:r>
        <w:t> </w:t>
      </w:r>
      <w:r>
        <w:rPr>
          <w:lang w:val="ru-RU"/>
        </w:rPr>
        <w:t>женских общежитий, где 1146</w:t>
      </w:r>
      <w:r>
        <w:t> </w:t>
      </w:r>
      <w:r>
        <w:rPr>
          <w:lang w:val="ru-RU"/>
        </w:rPr>
        <w:t>мест будет выделено для девушек из включенных в списки каст; согласно проекту строительства общежитий для юношей и девушек из ДОК, треть зданий должна быть отдана под женские общежития;</w:t>
      </w:r>
    </w:p>
    <w:p w:rsidR="00D80435" w:rsidRDefault="00D80435">
      <w:pPr>
        <w:tabs>
          <w:tab w:val="clear" w:pos="1361"/>
          <w:tab w:val="left" w:pos="1418"/>
        </w:tabs>
        <w:ind w:left="1416" w:hanging="1416"/>
        <w:rPr>
          <w:highlight w:val="yellow"/>
          <w:lang w:val="ru-RU"/>
        </w:rPr>
      </w:pPr>
      <w:r>
        <w:rPr>
          <w:lang w:val="ru-RU"/>
        </w:rPr>
        <w:tab/>
      </w:r>
      <w:r>
        <w:sym w:font="Symbol" w:char="F0B7"/>
      </w:r>
      <w:r>
        <w:rPr>
          <w:lang w:val="ru-RU"/>
        </w:rPr>
        <w:tab/>
        <w:t>Проект создания книжного фонда для учащихся из СК и СП обеспечивает этих учащихся учебной литературой по медицине, инженерному делу, ветеринарии, сельскому хозяйству, различным техническим дисциплинам, бухгалтерии, бизнес-управлению, естественным наукам и праву; для инвалидов по зрению предусмотрено наличие книг для слепых, напечатанных шрифтом Брайля;</w:t>
      </w:r>
    </w:p>
    <w:p w:rsidR="00D80435" w:rsidRDefault="00D80435">
      <w:pPr>
        <w:tabs>
          <w:tab w:val="clear" w:pos="1361"/>
          <w:tab w:val="left" w:pos="1418"/>
        </w:tabs>
        <w:ind w:left="1416" w:hanging="1416"/>
        <w:rPr>
          <w:lang w:val="ru-RU"/>
        </w:rPr>
      </w:pPr>
      <w:r>
        <w:rPr>
          <w:lang w:val="ru-RU"/>
        </w:rPr>
        <w:tab/>
      </w:r>
      <w:r>
        <w:sym w:font="Symbol" w:char="F0B7"/>
      </w:r>
      <w:r>
        <w:rPr>
          <w:lang w:val="ru-RU"/>
        </w:rPr>
        <w:tab/>
        <w:t>во всех штатах в государственных школах отменена плата за начальное обучение; в большинстве штатов отменена плата для учащихся из включенных в списки каст и племен на уровне полной средней школы;</w:t>
      </w:r>
    </w:p>
    <w:p w:rsidR="00D80435" w:rsidRDefault="00D80435">
      <w:pPr>
        <w:tabs>
          <w:tab w:val="clear" w:pos="1361"/>
          <w:tab w:val="left" w:pos="1418"/>
        </w:tabs>
        <w:ind w:left="1416" w:hanging="1416"/>
        <w:rPr>
          <w:lang w:val="ru-RU"/>
        </w:rPr>
      </w:pPr>
      <w:r>
        <w:rPr>
          <w:lang w:val="ru-RU"/>
        </w:rPr>
        <w:tab/>
      </w:r>
      <w:r>
        <w:sym w:font="Symbol" w:char="F0B7"/>
      </w:r>
      <w:r>
        <w:rPr>
          <w:lang w:val="ru-RU"/>
        </w:rPr>
        <w:tab/>
        <w:t>студентам из включенных в списки каст, поступившим в сертифицированные высшие учебные заведения, назначаются стипендии для продолжения учебы; за 2003–2004 годы этим проектом было охвачено 2</w:t>
      </w:r>
      <w:r>
        <w:t> </w:t>
      </w:r>
      <w:r>
        <w:rPr>
          <w:lang w:val="ru-RU"/>
        </w:rPr>
        <w:t>млн. студентов, из которых 660</w:t>
      </w:r>
      <w:r>
        <w:t> </w:t>
      </w:r>
      <w:r>
        <w:rPr>
          <w:lang w:val="ru-RU"/>
        </w:rPr>
        <w:t xml:space="preserve">тыс., приблизительно 30 процентов, были женщины; </w:t>
      </w:r>
    </w:p>
    <w:p w:rsidR="00D80435" w:rsidRDefault="00D80435">
      <w:pPr>
        <w:tabs>
          <w:tab w:val="clear" w:pos="1361"/>
          <w:tab w:val="left" w:pos="1418"/>
        </w:tabs>
        <w:ind w:left="1416" w:hanging="1416"/>
        <w:rPr>
          <w:lang w:val="ru-RU"/>
        </w:rPr>
      </w:pPr>
      <w:r>
        <w:rPr>
          <w:lang w:val="ru-RU"/>
        </w:rPr>
        <w:tab/>
      </w:r>
      <w:r>
        <w:sym w:font="Symbol" w:char="F0B7"/>
      </w:r>
      <w:r>
        <w:rPr>
          <w:lang w:val="ru-RU"/>
        </w:rPr>
        <w:tab/>
        <w:t>особое внимание уделялось учащимся из СК и СП в различных образовательных программах штатов, таких как Программа начального обучения в округах, Лок Джамбиш, Шикша Карми, Сарва Шикша Абхиян, Проект неформального образования и Проект школьных обедов и т. п.;</w:t>
      </w:r>
    </w:p>
    <w:p w:rsidR="00D80435" w:rsidRDefault="00D80435">
      <w:pPr>
        <w:tabs>
          <w:tab w:val="clear" w:pos="1361"/>
          <w:tab w:val="left" w:pos="1418"/>
        </w:tabs>
        <w:ind w:left="1416" w:hanging="1416"/>
        <w:rPr>
          <w:lang w:val="ru-RU"/>
        </w:rPr>
      </w:pPr>
      <w:r>
        <w:rPr>
          <w:lang w:val="ru-RU"/>
        </w:rPr>
        <w:tab/>
      </w:r>
      <w:r>
        <w:sym w:font="Symbol" w:char="F0B7"/>
      </w:r>
      <w:r>
        <w:rPr>
          <w:lang w:val="ru-RU"/>
        </w:rPr>
        <w:tab/>
        <w:t>аналогичные специальные меры были приняты в сфере занятости: резервирование должностей за представителями СК и СП, особые условия для продвижения по службе, более легкие условия и требования к кандидатам на продвижение по службе и т. п.;</w:t>
      </w:r>
    </w:p>
    <w:p w:rsidR="00D80435" w:rsidRDefault="00D80435">
      <w:pPr>
        <w:tabs>
          <w:tab w:val="clear" w:pos="1361"/>
          <w:tab w:val="left" w:pos="1418"/>
        </w:tabs>
        <w:ind w:left="1416" w:hanging="1416"/>
        <w:rPr>
          <w:lang w:val="ru-RU"/>
        </w:rPr>
      </w:pPr>
      <w:r>
        <w:rPr>
          <w:lang w:val="ru-RU"/>
        </w:rPr>
        <w:tab/>
      </w:r>
      <w:r>
        <w:sym w:font="Symbol" w:char="F0B7"/>
      </w:r>
      <w:r>
        <w:rPr>
          <w:lang w:val="ru-RU"/>
        </w:rPr>
        <w:tab/>
        <w:t>со времени вынесения решения Верховного суда по делу "Индра Совхни против Индийского союза" (</w:t>
      </w:r>
      <w:r>
        <w:t>AIR</w:t>
      </w:r>
      <w:r>
        <w:rPr>
          <w:lang w:val="ru-RU"/>
        </w:rPr>
        <w:t xml:space="preserve"> 1993 </w:t>
      </w:r>
      <w:r>
        <w:t>SC</w:t>
      </w:r>
      <w:r>
        <w:rPr>
          <w:lang w:val="ru-RU"/>
        </w:rPr>
        <w:t xml:space="preserve"> 47), известному как дело о Комиссии Мандала, правительство во исполнение конституционных обещаний о конструктивных действиях в дополнение к ранее зарезервированным за СК и СП местам зарезервировало для представителей социально и экономических отсталых классов 27</w:t>
      </w:r>
      <w:r>
        <w:t> </w:t>
      </w:r>
      <w:r>
        <w:rPr>
          <w:lang w:val="ru-RU"/>
        </w:rPr>
        <w:t>процентов мест в центральных органах гражданской службы, подразделениях государственного сектора и финансовых учреждениях, включая государственные банки. Верховный суд подтвердил правомерность такого акта и заявил, что резервирование, будучи крайней мерой или позитивным действием, должно производиться в ограниченных пределах и не превышать 50 процентов мест, за исключением чрезвычайных ситуаций;</w:t>
      </w:r>
    </w:p>
    <w:p w:rsidR="00D80435" w:rsidRDefault="00D80435">
      <w:pPr>
        <w:tabs>
          <w:tab w:val="clear" w:pos="1361"/>
          <w:tab w:val="left" w:pos="1418"/>
        </w:tabs>
        <w:ind w:left="1416" w:hanging="1416"/>
        <w:rPr>
          <w:lang w:val="ru-RU"/>
        </w:rPr>
      </w:pPr>
      <w:r>
        <w:rPr>
          <w:lang w:val="ru-RU"/>
        </w:rPr>
        <w:tab/>
      </w:r>
      <w:r>
        <w:sym w:font="Symbol" w:char="F0B7"/>
      </w:r>
      <w:r>
        <w:rPr>
          <w:lang w:val="ru-RU"/>
        </w:rPr>
        <w:tab/>
        <w:t>с включением в Конституцию статьи 16 (пункт 4А) представителям СК и СП гарантируется резервирование должностей при продвижении по службе;</w:t>
      </w:r>
    </w:p>
    <w:p w:rsidR="00D80435" w:rsidRDefault="00D80435">
      <w:pPr>
        <w:tabs>
          <w:tab w:val="clear" w:pos="1361"/>
          <w:tab w:val="left" w:pos="1418"/>
        </w:tabs>
        <w:ind w:left="1416" w:hanging="1416"/>
        <w:rPr>
          <w:lang w:val="ru-RU"/>
        </w:rPr>
      </w:pPr>
      <w:r>
        <w:rPr>
          <w:lang w:val="ru-RU"/>
        </w:rPr>
        <w:tab/>
      </w:r>
      <w:r>
        <w:sym w:font="Symbol" w:char="F0B7"/>
      </w:r>
      <w:r>
        <w:rPr>
          <w:lang w:val="ru-RU"/>
        </w:rPr>
        <w:tab/>
        <w:t>введен в действие Проект Кастурба Ганди Балика Видьялая, предусматривающий обучение женщин – представителей СК и СП и национальных меньшинств;</w:t>
      </w:r>
    </w:p>
    <w:p w:rsidR="00D80435" w:rsidRDefault="00D80435">
      <w:pPr>
        <w:tabs>
          <w:tab w:val="clear" w:pos="1361"/>
          <w:tab w:val="left" w:pos="1418"/>
        </w:tabs>
        <w:ind w:left="1416" w:hanging="1416"/>
        <w:rPr>
          <w:lang w:val="ru-RU"/>
        </w:rPr>
      </w:pPr>
      <w:r>
        <w:rPr>
          <w:lang w:val="ru-RU"/>
        </w:rPr>
        <w:tab/>
      </w:r>
      <w:r>
        <w:sym w:font="Symbol" w:char="F0B7"/>
      </w:r>
      <w:r>
        <w:rPr>
          <w:lang w:val="ru-RU"/>
        </w:rPr>
        <w:tab/>
        <w:t>в 2002–2003 годах начал осуществляться новый проект, Адиваси Махила Сашактикаран Йоджана, по расширению прав и возможностей женщин – представителей племен.</w:t>
      </w:r>
    </w:p>
    <w:p w:rsidR="00D80435" w:rsidRDefault="00D80435">
      <w:pPr>
        <w:rPr>
          <w:lang w:val="ru-RU"/>
        </w:rPr>
      </w:pPr>
      <w:r>
        <w:rPr>
          <w:lang w:val="ru-RU"/>
        </w:rPr>
        <w:t>99.</w:t>
      </w:r>
      <w:r>
        <w:rPr>
          <w:lang w:val="ru-RU"/>
        </w:rPr>
        <w:tab/>
        <w:t>Были приняты специальные меры для решения проблем сегрегации, изоляции и неприкасаемости. Неприкасаемость запрещена по Конституции (статья</w:t>
      </w:r>
      <w:r>
        <w:t> </w:t>
      </w:r>
      <w:r>
        <w:rPr>
          <w:lang w:val="ru-RU"/>
        </w:rPr>
        <w:t>17) и квалифицируется как правонарушение согласно Закону о защите гражданских прав 1955</w:t>
      </w:r>
      <w:r>
        <w:t> </w:t>
      </w:r>
      <w:r>
        <w:rPr>
          <w:lang w:val="ru-RU"/>
        </w:rPr>
        <w:t>года. Осуществление проектов по распределению земель и жилищ также направлено на ликвидацию сегрегационной практики. Наметилась тенденция к сокращению масштабов этой практики, а в тех местах, где она все еще распространена, предпринимаются усилия по ее искоренению.</w:t>
      </w:r>
    </w:p>
    <w:p w:rsidR="00D80435" w:rsidRDefault="00D80435">
      <w:pPr>
        <w:rPr>
          <w:lang w:val="ru-RU"/>
        </w:rPr>
      </w:pPr>
      <w:r>
        <w:rPr>
          <w:lang w:val="ru-RU"/>
        </w:rPr>
        <w:t>100.</w:t>
      </w:r>
      <w:r>
        <w:rPr>
          <w:lang w:val="ru-RU"/>
        </w:rPr>
        <w:tab/>
        <w:t>В 1998 году был пересмотрен Национальный проект освобождения и реабилитации мусорщиков и их иждивенцев, с тем чтобы учесть переработанные нормативы и привлечь НПО к усилиям по выявлению, освобождению и реабилитации этих людей. Курс реабилитации прошли около 384 тыс. из 653 тыс. выявленных мусорщиков, из них 147</w:t>
      </w:r>
      <w:r>
        <w:t> </w:t>
      </w:r>
      <w:r>
        <w:rPr>
          <w:lang w:val="ru-RU"/>
        </w:rPr>
        <w:t>тыс. прошли профессиональную подготовку для смены рода занятий. Национальная корпорация по финансированию и развитию Сафаи Карамчарис (НКФРСК), основанная в январе 1997 года для содействия экономическому развитию и самостоятельной занятости в общинах мусорщиков, реализует проекты исключительно в интересах женщин сафаи карамчарис (мусорщиков) и их иждивенцев-дочерей. НКФРСК действует как головное учреждение, в функции которого входит направление средств через финансовые органы штатов. Финансовая помощь по льготным процентным ставкам оказывается лицам, занимающимся сбором мусора и желающим начать альтернативную деятельность, приносящую доход. Корпорация также несет ответственность за надзор над ходом выполнения национальных обязательств по полному искоренению практики сбора мусора вручную.</w:t>
      </w:r>
    </w:p>
    <w:p w:rsidR="00D80435" w:rsidRDefault="00D80435">
      <w:pPr>
        <w:spacing w:after="360"/>
        <w:rPr>
          <w:lang w:val="ru-RU"/>
        </w:rPr>
      </w:pPr>
      <w:r>
        <w:rPr>
          <w:lang w:val="ru-RU"/>
        </w:rPr>
        <w:t>101.</w:t>
      </w:r>
      <w:r>
        <w:rPr>
          <w:lang w:val="ru-RU"/>
        </w:rPr>
        <w:tab/>
        <w:t>30 ноября 1954 года Индия ратифицировала Конвенцию № 29 МОТ (Конвенцию о принудительном труде 1930 года) и в 1976 году приняла Закон об отмене подневольного труда, которым система кабального труда была отменена юридически. В результате целенаправленных действий правительства масштабы применения подневольного труда с каждым годом сокращаются. Однако время от времени приходили сообщения об отдельных случаях подобной практики. Ответственность за выполнение Закона лежит на правительствах штатов и союзных территорий. С 1978 года центральное правительство осуществляет проект по реабилитации выявленных подневольных работников и оказанию им финансовой помощи. Проект, озаглавленный "Целевые субсидии добровольческими организациям для выявления и реабилитации подневольных работников" также предусматривает дотацию на управленческие расходы. Для повышения эффективности мер по освобождению и реабилитации подневольных работников правительствам штатов было рекомендовано объединить проект по этой проблематике с различными программами по борьбе с нищетой. Мероприятия, проводимые в рамках Специализированного комплексного плана для включенных в списки каст и племен, предусматривают выделение излишков сельскохозяйственных земельных угодий подневольным работникам. В целях надлежащего исполнения Закона об отмене подневольного труда 1976 года в административных единицах штатов, где отмечались случаи применения принудительного труда, были созданы "комитеты бдительности". Эти комитеты проводят регулярные совещания для обзора проделанной работы. К деятельности по выявлению и реабилитации подневольных работников привлекаются также добровольческие организации. По состоянию на март 2005 года было выявлено 285</w:t>
      </w:r>
      <w:r>
        <w:t> </w:t>
      </w:r>
      <w:r>
        <w:rPr>
          <w:lang w:val="ru-RU"/>
        </w:rPr>
        <w:t>379 таких работников, из них 266</w:t>
      </w:r>
      <w:r>
        <w:t> </w:t>
      </w:r>
      <w:r>
        <w:rPr>
          <w:lang w:val="ru-RU"/>
        </w:rPr>
        <w:t>283 прошли курс реабилитации. Выявление подневольных работников, их освобождение и реабилитация – непрерывный процесс, и в этой работе правительство пользуется поддержкой различных добровольческих организаций и общественных деятелей.</w:t>
      </w:r>
    </w:p>
    <w:p w:rsidR="00D80435" w:rsidRDefault="00D80435">
      <w:pPr>
        <w:pStyle w:val="Heading2"/>
      </w:pPr>
      <w:r>
        <w:t>Право на землю</w:t>
      </w:r>
    </w:p>
    <w:p w:rsidR="00D80435" w:rsidRDefault="00D80435">
      <w:pPr>
        <w:rPr>
          <w:lang w:val="ru-RU"/>
        </w:rPr>
      </w:pPr>
      <w:r>
        <w:rPr>
          <w:lang w:val="ru-RU"/>
        </w:rPr>
        <w:t>102.</w:t>
      </w:r>
      <w:r>
        <w:rPr>
          <w:lang w:val="ru-RU"/>
        </w:rPr>
        <w:tab/>
        <w:t>Поскольку большая часть населения из СК и СП проживает в сельской местности, меры по расширению экономических возможностей этих общин осуществляются и в рамках земельной реформы, проводимой со дня провозглашения независимости в 1947</w:t>
      </w:r>
      <w:r>
        <w:t> </w:t>
      </w:r>
      <w:r>
        <w:rPr>
          <w:lang w:val="ru-RU"/>
        </w:rPr>
        <w:t>году. В результате вступления в силу в 1972 году законов о предельных размерах сельскохозяйственных земельных угодий и перераспределения земельных излишков общая площадь земель, попавших в категорию излишков, на всей территории страны на сентябрь 1998 года составила 7,37 млн. акров. Из них около 6,5 млн. акров было объявлено собственностью государства и передано во владение 5,34</w:t>
      </w:r>
      <w:r>
        <w:t> </w:t>
      </w:r>
      <w:r>
        <w:rPr>
          <w:lang w:val="ru-RU"/>
        </w:rPr>
        <w:t>млн. бенефициаров, среди которых 36</w:t>
      </w:r>
      <w:r>
        <w:t> </w:t>
      </w:r>
      <w:r>
        <w:rPr>
          <w:lang w:val="ru-RU"/>
        </w:rPr>
        <w:t>процентов составили представители СК и 14 процент – СП. Выдаются совместные "патта" (правовые титулы) на имя мужа и жены.</w:t>
      </w:r>
    </w:p>
    <w:p w:rsidR="00D80435" w:rsidRDefault="00D80435">
      <w:pPr>
        <w:rPr>
          <w:lang w:val="ru-RU"/>
        </w:rPr>
      </w:pPr>
      <w:r>
        <w:rPr>
          <w:lang w:val="ru-RU"/>
        </w:rPr>
        <w:t>103.</w:t>
      </w:r>
      <w:r>
        <w:rPr>
          <w:lang w:val="ru-RU"/>
        </w:rPr>
        <w:tab/>
        <w:t>Правительство ввело запрет на передачу выделенных племени земель лицам, не принадлежащим к этой категории, а также на восстановление собственности племени на отчужденные земли. Во многих штатах были приняты законодательные акты, запрещающие отчуждение предоставленных племени земель, а также возврат отчужденных земель. Правительство также организует бедных и неимущих женщин из СК и СП в группы самопомощи, открывая им доступ к микрокредитованию и приносящей доход деятельности.</w:t>
      </w:r>
    </w:p>
    <w:p w:rsidR="00D80435" w:rsidRDefault="00D80435">
      <w:pPr>
        <w:spacing w:after="360"/>
        <w:rPr>
          <w:lang w:val="ru-RU"/>
        </w:rPr>
      </w:pPr>
      <w:r>
        <w:rPr>
          <w:lang w:val="ru-RU"/>
        </w:rPr>
        <w:t>104.</w:t>
      </w:r>
      <w:r>
        <w:rPr>
          <w:lang w:val="ru-RU"/>
        </w:rPr>
        <w:tab/>
        <w:t>Проблема задолженности среди СК и СП свидетельствует об их нищете, а также является симптомом более глубоких экономических проблем: недостатка образования, низкой покупательной способности и низкой конкурентоспособности, нехватки ресурсов для начала приносящей доход деятельности и погашения непредвиденных расходов. В силу вышеперечисленных причин проблема продолжает сохраняться, принимая все более угрожающие размеры, поскольку задолженность приводит СК и СП к крайней нищете и вынуждает их расставаться со скудными ресурсами, в том числе мелкими земельными наделами, в погашение ссуд, полученных под непомерные проценты. Обнищанию представителей СК и СП способствует также алкоголизм, превращая их в жертвы долговых обязательств и эксплуатации. Правительства штатов приняли законы и постановления, призванные обуздать деятельность ростовщиков в районах проживания племен, но их осуществление на практике идет медленно, и в отсутствие альтернативных источников кредита сдерживать эксплуатацию со стороны ростовщиков не удается.</w:t>
      </w:r>
    </w:p>
    <w:p w:rsidR="00D80435" w:rsidRDefault="00D80435">
      <w:pPr>
        <w:pStyle w:val="Heading2"/>
      </w:pPr>
      <w:r>
        <w:t>Северо-Восточный район</w:t>
      </w:r>
    </w:p>
    <w:p w:rsidR="00D80435" w:rsidRDefault="00D80435">
      <w:pPr>
        <w:spacing w:after="360"/>
        <w:rPr>
          <w:lang w:val="ru-RU"/>
        </w:rPr>
      </w:pPr>
      <w:r>
        <w:rPr>
          <w:lang w:val="ru-RU"/>
        </w:rPr>
        <w:t>105.</w:t>
      </w:r>
      <w:r>
        <w:rPr>
          <w:lang w:val="ru-RU"/>
        </w:rPr>
        <w:tab/>
        <w:t>Признавая особые нужды и проблемы Северо-Восточного района, густо заселенного различными племенами, по указанию министерства финансов 10 процентов общей суммы, выделенной из бюджета на поддержку Центрального плана, было представлено в годовом бюджете под рубрикой "Паушальная сумма ассигнований на проекты, осуществляемые в интересах Северо-Восточного района и Сиккима". Эти бюджетные средства могут быть перераспределены из общей суммы для обеспечения потребностей по любому утвержденному и предусмотренному в бюджете проекту, при условии что дополнительные ассигнования используются в интересах Северо-Восточного района и Сиккима. Это гарантирует использование 10 процентов бюджета Центрального плана на расходы для нужд Северо-Восточного района.</w:t>
      </w:r>
    </w:p>
    <w:p w:rsidR="00D80435" w:rsidRDefault="00D80435">
      <w:pPr>
        <w:pStyle w:val="Heading2"/>
      </w:pPr>
      <w:r>
        <w:t>Программы и проекты</w:t>
      </w:r>
    </w:p>
    <w:p w:rsidR="00D80435" w:rsidRDefault="00D80435">
      <w:pPr>
        <w:rPr>
          <w:lang w:val="ru-RU"/>
        </w:rPr>
      </w:pPr>
      <w:r>
        <w:rPr>
          <w:lang w:val="ru-RU"/>
        </w:rPr>
        <w:t>106.</w:t>
      </w:r>
      <w:r>
        <w:rPr>
          <w:lang w:val="ru-RU"/>
        </w:rPr>
        <w:tab/>
        <w:t>Министерство сельского развития играет важную роль в улучшении положения людей, живущих за чертой бедности, и в повышении качества жизни в сельских районах путем реализации различных программ по сокращению нищеты, а также обеспечения оплачиваемой работой или предоставления возможностей для самостоятельной занятости наиболее обездоленным группам населения, таким как представители СК, СП и прочие. В рамках программы</w:t>
      </w:r>
      <w:r>
        <w:rPr>
          <w:b/>
          <w:lang w:val="ru-RU"/>
        </w:rPr>
        <w:t xml:space="preserve"> </w:t>
      </w:r>
      <w:r>
        <w:rPr>
          <w:lang w:val="ru-RU"/>
        </w:rPr>
        <w:t>Сварнаджаянти Грам Сварозгар Йоджана (</w:t>
      </w:r>
      <w:r>
        <w:t>SGSY</w:t>
      </w:r>
      <w:r>
        <w:rPr>
          <w:lang w:val="ru-RU"/>
        </w:rPr>
        <w:t>), которая занимается созданием оплачиваемых рабочих мест и обеспечением продовольственной безопасности в сельской местности, 22,5 процента средств, предназначенных для программ, осуществляемых в панчаятах на окружном и промежуточном уровне, были выделены на проекты персональных пособий для СК и СП, а 50 процентов фондов, отпущенных на программы деревенских панчаятов, направлены на мероприятия в местах проживания СК и СП. Что касается самостоятельной занятости и приносящей доход деятельности, то Сварнаджаянти Грам Сварозгар Йоджана (</w:t>
      </w:r>
      <w:r>
        <w:t>SGSY</w:t>
      </w:r>
      <w:r>
        <w:rPr>
          <w:lang w:val="ru-RU"/>
        </w:rPr>
        <w:t>) обусловливает, что не менее 50 процентов сварозгари (</w:t>
      </w:r>
      <w:r>
        <w:t>swarozgaris</w:t>
      </w:r>
      <w:r>
        <w:rPr>
          <w:lang w:val="ru-RU"/>
        </w:rPr>
        <w:t>), получивших работу, будут представителями СК и СП. В рамках этой программы сумма субсидий представителям СК и СП и инвалидам должна составить 50 процентов проектной сметы против 30 процентов для прочих. По состоянию на март 2004 года, в рамках программы было улучшено положение 1,4</w:t>
      </w:r>
      <w:r>
        <w:t> </w:t>
      </w:r>
      <w:r>
        <w:rPr>
          <w:lang w:val="ru-RU"/>
        </w:rPr>
        <w:t>млн. сварозгари из СК, что составило 30,4 процента общей численности охваченных программой.</w:t>
      </w:r>
    </w:p>
    <w:p w:rsidR="00D80435" w:rsidRDefault="00D80435">
      <w:pPr>
        <w:rPr>
          <w:lang w:val="ru-RU"/>
        </w:rPr>
      </w:pPr>
      <w:r>
        <w:rPr>
          <w:lang w:val="ru-RU"/>
        </w:rPr>
        <w:t>107.</w:t>
      </w:r>
      <w:r>
        <w:rPr>
          <w:lang w:val="ru-RU"/>
        </w:rPr>
        <w:tab/>
        <w:t>Помимо вышеупомянутых программ по сокращению нищеты осуществляется программа Индира Аваас Йодажана (</w:t>
      </w:r>
      <w:r>
        <w:t>IAY</w:t>
      </w:r>
      <w:r>
        <w:rPr>
          <w:lang w:val="ru-RU"/>
        </w:rPr>
        <w:t>), которая направлена на обеспечение жилищами лиц, живущих за чертой бедности в сельской местности и в основном принадлежащих к СК и СП. За финансовый год 60 процентов общей суммы выделенных средств должны быть использованы на строительство жилищ для СК и СП. В 2003–2004</w:t>
      </w:r>
      <w:r>
        <w:t> </w:t>
      </w:r>
      <w:r>
        <w:rPr>
          <w:lang w:val="ru-RU"/>
        </w:rPr>
        <w:t>годах 42,8 процента построенных жилищ было предназначено для СК, 19,3</w:t>
      </w:r>
      <w:r>
        <w:t> </w:t>
      </w:r>
      <w:r>
        <w:rPr>
          <w:lang w:val="ru-RU"/>
        </w:rPr>
        <w:t>процента</w:t>
      </w:r>
      <w:r>
        <w:t> </w:t>
      </w:r>
      <w:r>
        <w:rPr>
          <w:lang w:val="ru-RU"/>
        </w:rPr>
        <w:t>– для СП. Национальная корпорация по финансированию и развитию включенных в списки каст приступила к осуществлению нового проекта микрокредитования под названием Махила Самриддхи Йоджана, предназначенного исключительно для женщин из очень бедных семей, принадлежащих к СК и СП. В рамках этого проекта в течение 2003–2004 годов 59</w:t>
      </w:r>
      <w:r>
        <w:t> </w:t>
      </w:r>
      <w:r>
        <w:rPr>
          <w:lang w:val="ru-RU"/>
        </w:rPr>
        <w:t>826</w:t>
      </w:r>
      <w:r>
        <w:t> </w:t>
      </w:r>
      <w:r>
        <w:rPr>
          <w:lang w:val="ru-RU"/>
        </w:rPr>
        <w:t>бенефициарам было выплачено 1130,70</w:t>
      </w:r>
      <w:r>
        <w:t> </w:t>
      </w:r>
      <w:r>
        <w:rPr>
          <w:lang w:val="ru-RU"/>
        </w:rPr>
        <w:t>млн. рупий. Этот же проект в интересах женщин, занимающихся сбором мусора, и дочерей – иждивенцев мусорщиков осуществляет НКФРСК.</w:t>
      </w:r>
    </w:p>
    <w:p w:rsidR="00D80435" w:rsidRDefault="00D80435">
      <w:pPr>
        <w:rPr>
          <w:lang w:val="ru-RU"/>
        </w:rPr>
      </w:pPr>
      <w:r>
        <w:rPr>
          <w:lang w:val="ru-RU"/>
        </w:rPr>
        <w:t>108.</w:t>
      </w:r>
      <w:r>
        <w:rPr>
          <w:lang w:val="ru-RU"/>
        </w:rPr>
        <w:tab/>
        <w:t xml:space="preserve">Национальная программа социальной помощи (НПСП), объединяющая Национальный план предоставления пенсий по старости (НППС), Национальный план семейных пособий (НПСП) и Национальный план пособий по беременности и родам (НППБР), отражает успехи, достигнутые в области национальной политики социального обеспечения в отношении бедных семей СК и СП. Министерство социальной справедливости и расширения прав и возможностей и министерство по делам племен занимаются вопросами образования и экономического развития СК и СП, соответственно. Кроме того, в мае 1999 года Комиссия по планированию учредила Центральный постоянный комитет для оценки и мониторинга Плана специального компонента (ПСК в интересах СК) и подплана племенных общин (ППО в интересах СП). В целях содействия экономическому развитию СК и СП, ДОК и меньшинств и ускорения разработки проектов по созданию рабочих мест и финансированию экспериментальных программ на национальном уровне были созданы следующие головные организации: </w:t>
      </w:r>
      <w:r>
        <w:t>i</w:t>
      </w:r>
      <w:r>
        <w:rPr>
          <w:lang w:val="ru-RU"/>
        </w:rPr>
        <w:t>)</w:t>
      </w:r>
      <w:r>
        <w:t> </w:t>
      </w:r>
      <w:r>
        <w:rPr>
          <w:lang w:val="ru-RU"/>
        </w:rPr>
        <w:t xml:space="preserve">Национальная корпорация по финансированию и развитию отсталых классов, </w:t>
      </w:r>
      <w:r>
        <w:t>ii</w:t>
      </w:r>
      <w:r>
        <w:rPr>
          <w:lang w:val="ru-RU"/>
        </w:rPr>
        <w:t>)</w:t>
      </w:r>
      <w:r>
        <w:t> </w:t>
      </w:r>
      <w:r>
        <w:rPr>
          <w:lang w:val="ru-RU"/>
        </w:rPr>
        <w:t xml:space="preserve">Национальная корпорация по развитию и финансированию меньшинств и </w:t>
      </w:r>
      <w:r>
        <w:t>iii</w:t>
      </w:r>
      <w:r>
        <w:rPr>
          <w:lang w:val="ru-RU"/>
        </w:rPr>
        <w:t>)</w:t>
      </w:r>
      <w:r>
        <w:t> </w:t>
      </w:r>
      <w:r>
        <w:rPr>
          <w:lang w:val="ru-RU"/>
        </w:rPr>
        <w:t xml:space="preserve">Национальная корпорация по финансированию и развитию включенных в списки каст и племен (НКФРКП). </w:t>
      </w:r>
    </w:p>
    <w:p w:rsidR="00D80435" w:rsidRDefault="00D80435">
      <w:pPr>
        <w:spacing w:after="360"/>
        <w:rPr>
          <w:lang w:val="ru-RU"/>
        </w:rPr>
      </w:pPr>
      <w:r>
        <w:rPr>
          <w:lang w:val="ru-RU"/>
        </w:rPr>
        <w:t>109.</w:t>
      </w:r>
      <w:r>
        <w:rPr>
          <w:lang w:val="ru-RU"/>
        </w:rPr>
        <w:tab/>
        <w:t>Национальная корпорация по финансированию и развитию отсталых классов реализует проект Сварнима, призванный с помощью финансовых учреждений штатов усовершенствовать систему кредитных учреждений, предоставляющих ссуды женщинам, принадлежащим к отсталым классам и живущим за чертой бедности. Корпорация претворяет в жизнь проект Махила Самридхи Йоджана, разработанный исключительно для женщин из отсталых классов, живущих за чертой бедности. Национальная корпорация по развитию и финансированию меньшинств (НКРФМ) также занимается осуществлением проекта Махила Самридхи Йоджана, бенефициарами которого в данном случае выступают женщины, проживающие в Северо-Восточном районе. Со дня основания НКРФМ оказала помощь 44</w:t>
      </w:r>
      <w:r>
        <w:t> </w:t>
      </w:r>
      <w:r>
        <w:rPr>
          <w:lang w:val="ru-RU"/>
        </w:rPr>
        <w:t>804 женщинам в организации групп самопомощи и 57</w:t>
      </w:r>
      <w:r>
        <w:t> </w:t>
      </w:r>
      <w:r>
        <w:rPr>
          <w:lang w:val="ru-RU"/>
        </w:rPr>
        <w:t>875</w:t>
      </w:r>
      <w:r>
        <w:t> </w:t>
      </w:r>
      <w:r>
        <w:rPr>
          <w:lang w:val="ru-RU"/>
        </w:rPr>
        <w:t>женщинам в создании предприятий в рамках проекта по развитию. В 2004–2005</w:t>
      </w:r>
      <w:r>
        <w:t> </w:t>
      </w:r>
      <w:r>
        <w:rPr>
          <w:lang w:val="ru-RU"/>
        </w:rPr>
        <w:t>годах 3086 женщин получили микрокредиты и 3268 – срочные ссуды.</w:t>
      </w:r>
    </w:p>
    <w:p w:rsidR="00D80435" w:rsidRDefault="00D80435">
      <w:pPr>
        <w:pStyle w:val="Heading2"/>
      </w:pPr>
      <w:r>
        <w:t>Результаты специальных мер</w:t>
      </w:r>
    </w:p>
    <w:p w:rsidR="00D80435" w:rsidRDefault="00D80435">
      <w:pPr>
        <w:rPr>
          <w:lang w:val="ru-RU"/>
        </w:rPr>
      </w:pPr>
      <w:r>
        <w:rPr>
          <w:lang w:val="ru-RU"/>
        </w:rPr>
        <w:t>110.</w:t>
      </w:r>
      <w:r>
        <w:rPr>
          <w:lang w:val="ru-RU"/>
        </w:rPr>
        <w:tab/>
        <w:t>Поскольку образование является важнейшим инструментом расширения прав и возможностей уязвимых слоев населения, были предприняты все усилия для того, чтобы в первоочередном порядке улучшить положение с образованием среди представителей включенных в списки каст и племен. Уровень грамотности женщин СК заметно повысился: с 6,44 процента в 1971 году до 23,76 процента в 1991</w:t>
      </w:r>
      <w:r>
        <w:t> </w:t>
      </w:r>
      <w:r>
        <w:rPr>
          <w:lang w:val="ru-RU"/>
        </w:rPr>
        <w:t>году. Таким образом, число грамотных женщин из СК возросло почти вчетверо по сравнению с двукратным увеличением по стране, что свидетельствует о существенном прогрессе. Хотя разрыв между уровнем грамотности у женщин СК и у всех женщин по стране увеличился с 12,25</w:t>
      </w:r>
      <w:r>
        <w:t> </w:t>
      </w:r>
      <w:r>
        <w:rPr>
          <w:lang w:val="ru-RU"/>
        </w:rPr>
        <w:t>процента в 1971 году до 18,92 процента в 1981 году, в 1991 году он сократился до 15,53 процента.</w:t>
      </w:r>
    </w:p>
    <w:p w:rsidR="00D80435" w:rsidRDefault="00D80435">
      <w:pPr>
        <w:rPr>
          <w:highlight w:val="yellow"/>
          <w:lang w:val="ru-RU"/>
        </w:rPr>
      </w:pPr>
      <w:r>
        <w:rPr>
          <w:lang w:val="ru-RU"/>
        </w:rPr>
        <w:t>111.</w:t>
      </w:r>
      <w:r>
        <w:rPr>
          <w:lang w:val="ru-RU"/>
        </w:rPr>
        <w:tab/>
        <w:t xml:space="preserve">Темпы сокращения численности СК, живущих за чертой бедности, в процентном выражении незначительно опережали показатель для населения в целом в период между 1993–1994 годами и 1999–2000 годами. Разрыв в этих показателях для всего населения и СК также сократился за тот же период, как в городах, так и в сельской местности. Однако нищета среди СК по-прежнему распространена очень широко: 36,25 процента в сельской местности и 38,47 процента в городах, по сравнению с 27,09 и 23,62 процента, соответственно, в отношении всего населения в 1999–2000 годах. В первую очередь это обусловлено тем, что большое число лиц из СК, живущих за чертой бедности, безземельны и не имеют средств производства, лишены возможности найти постоянную работу и получать минимальную заработную плату. Приведенные выше цифры отражают положение всех представителей СК; однако женщины, принадлежащие к этим группам, страдают еще больше в силу еще одного неблагоприятного фактора: невозможности получать наравне с мужчинами даже минимальную заработную плату за свой труд. </w:t>
      </w:r>
    </w:p>
    <w:p w:rsidR="00D80435" w:rsidRDefault="00D80435">
      <w:pPr>
        <w:spacing w:after="360"/>
        <w:rPr>
          <w:lang w:val="ru-RU"/>
        </w:rPr>
      </w:pPr>
      <w:r>
        <w:rPr>
          <w:lang w:val="ru-RU"/>
        </w:rPr>
        <w:t>112.</w:t>
      </w:r>
      <w:r>
        <w:rPr>
          <w:lang w:val="ru-RU"/>
        </w:rPr>
        <w:tab/>
        <w:t>Участие представителей СК в директивных органах является убедительным свидетельством достигнутого прогресса. По данным за 2000 год, представительство СК в государственном аппарате на национальном уровне – на административной работе, в полиции и на дипломатической службе – распределяется следующим образом: 10,6</w:t>
      </w:r>
      <w:r>
        <w:t> </w:t>
      </w:r>
      <w:r>
        <w:rPr>
          <w:lang w:val="ru-RU"/>
        </w:rPr>
        <w:t>процента от общего числа служащих в администрации, 12,4 процента в полиции и 11,5 процента на дипломатической работе, то есть ниже ожидаемого уровня. Хотя между 1996–2000 годами в процентном отношении число представителей СК в управленческих структурах и полиции снизилось, фактически их численность за этот период возросла. Женщины из СК и СП в этих категориях практически не представлены. Показатель общей представленности СК в центральных правительственных органах, совокупно по группам А–</w:t>
      </w:r>
      <w:r>
        <w:t>D</w:t>
      </w:r>
      <w:r>
        <w:rPr>
          <w:lang w:val="ru-RU"/>
        </w:rPr>
        <w:t xml:space="preserve"> увеличившийся с 13,66 процента в 1974 году до 16,70 процента в 1999 году, немного выше, чем их доля в общей численности населения. Несмотря на тенденцию к увеличению представленности СК в правительственном аппарате – с 3,25</w:t>
      </w:r>
      <w:r>
        <w:t> </w:t>
      </w:r>
      <w:r>
        <w:rPr>
          <w:lang w:val="ru-RU"/>
        </w:rPr>
        <w:t>процента в 1974 году до 11,29 процента в 1999 году, в группе А оно все еще невелико и не отражает воздействие принятых позитивных действий и специальных мер. Впечатляет уровень представленности СК и СП в политических директивных органах: в учреждениях по связям с общественностью на их долю приходится 14,3</w:t>
      </w:r>
      <w:r>
        <w:t> </w:t>
      </w:r>
      <w:r>
        <w:rPr>
          <w:lang w:val="ru-RU"/>
        </w:rPr>
        <w:t>процента мест (2001 год), в законодательных собраниях штатов – 13,8 процента (2000</w:t>
      </w:r>
      <w:r>
        <w:t> </w:t>
      </w:r>
      <w:r>
        <w:rPr>
          <w:lang w:val="ru-RU"/>
        </w:rPr>
        <w:t>год) и 14,5 процента (2001 год) – в Лок сабха.</w:t>
      </w:r>
    </w:p>
    <w:p w:rsidR="00D80435" w:rsidRDefault="00D80435">
      <w:pPr>
        <w:pStyle w:val="Heading2"/>
      </w:pPr>
      <w:r>
        <w:t>Предстоящие задачи</w:t>
      </w:r>
    </w:p>
    <w:p w:rsidR="00D80435" w:rsidRDefault="00D80435">
      <w:pPr>
        <w:rPr>
          <w:lang w:val="ru-RU"/>
        </w:rPr>
      </w:pPr>
      <w:r>
        <w:rPr>
          <w:lang w:val="ru-RU"/>
        </w:rPr>
        <w:t>113.</w:t>
      </w:r>
      <w:r>
        <w:rPr>
          <w:lang w:val="ru-RU"/>
        </w:rPr>
        <w:tab/>
        <w:t xml:space="preserve">В результате проведения специальных мер в положении женщин СК и СП наметились улучшения, поддающиеся количественному измерению. Однако правительству еще предстоит многое сделать для выполнения возложенных на него Конституцией обязательств по доведению статуса представителей СК и СП до уровня остальной части населения. Чтобы улучшить экономическое положение СК и СП, правительство обязуется приложить все усилия к тому, чтобы не только предоставить в пользование каждой безземельной семье СК и СП минимальный надел на правах собственности, но максимально повысить продуктивную способность их хозяйств путем совершенствования навыков, модернизации способов производства и оборудования, а также обеспечения семенами и пестицидами. Принимаются также специальные законодательные меры по обеспечению минимальной оплаты труда женщин на равной основе, без дискриминации по признаку пола, особенно в неформальном и неорганизованном секторах, с тем чтобы совместными усилиями поднять уровень женщин СК и СП выше черты бедности. Правительство также обязуется, уделяя особое внимание женщинам, организовать безземельных и сельских тружеников по образцу сварозгари в рамках программы Сварнаджаянти Грам Сварозгар Йоджана </w:t>
      </w:r>
      <w:r>
        <w:rPr>
          <w:b/>
          <w:lang w:val="ru-RU"/>
        </w:rPr>
        <w:t>(</w:t>
      </w:r>
      <w:r>
        <w:t>SGSY</w:t>
      </w:r>
      <w:r>
        <w:rPr>
          <w:lang w:val="ru-RU"/>
        </w:rPr>
        <w:t>), с тем чтобы обеспечить женщинам из СК и СП уровень доходов выше черты бедности.</w:t>
      </w:r>
    </w:p>
    <w:p w:rsidR="00D80435" w:rsidRDefault="00D80435">
      <w:pPr>
        <w:rPr>
          <w:lang w:val="ru-RU"/>
        </w:rPr>
      </w:pPr>
      <w:r>
        <w:rPr>
          <w:lang w:val="ru-RU"/>
        </w:rPr>
        <w:t>114.</w:t>
      </w:r>
      <w:r>
        <w:rPr>
          <w:lang w:val="ru-RU"/>
        </w:rPr>
        <w:tab/>
        <w:t>Поскольку практика вывоза отходов вручную продолжает оставаться проблемой государственного масштаба, правительство намерено приступить к осуществлению общенациональной программы повсеместного искоренения практики уборки мусора вручную, рассчитанную до 2007 года. С этой целью в рамках 10-го Пятилетнего плана предполагается разработать планы действий, учитывающие специфику каждого штата и предусматривающие проведение рассчитанных на определенный срок программ по расширению системы канализации и оборудованию отхожих мест сливными бачками; выявлению мусорщиков; принятию мер, призванных убедить их оставить эту профессию; проведению реабилитации путем обучения и предоставления альтернативной работы; ведению учета реабилитированных лиц, а также обеспечению эффективной координации между департаментами социального обеспечения штатов и органами местного самоуправления. Ведущая роль в этой общенациональной деятельности отводится Национальной комиссии для сафаи карамчарис.</w:t>
      </w:r>
    </w:p>
    <w:p w:rsidR="00D80435" w:rsidRDefault="00D80435">
      <w:pPr>
        <w:rPr>
          <w:lang w:val="ru-RU"/>
        </w:rPr>
      </w:pPr>
      <w:r>
        <w:rPr>
          <w:lang w:val="ru-RU"/>
        </w:rPr>
        <w:t>115.</w:t>
      </w:r>
      <w:r>
        <w:rPr>
          <w:lang w:val="ru-RU"/>
        </w:rPr>
        <w:tab/>
        <w:t>Учитывая настоятельную необходимость соблюдения гражданских прав, с одной стороны, и мер по предотвращению или противодействию таким нерешенным проблемам, как дискриминация и эксплуатация, которым подвергаются женщины, неприкасаемость и притеснения женщин из СК и СП – с другой,</w:t>
      </w:r>
      <w:r>
        <w:rPr>
          <w:i/>
          <w:lang w:val="ru-RU"/>
        </w:rPr>
        <w:t xml:space="preserve"> </w:t>
      </w:r>
      <w:r>
        <w:rPr>
          <w:lang w:val="ru-RU"/>
        </w:rPr>
        <w:t>правительство в сотрудничестве со всеми заинтересованными сторонами предприняло новую попытку обеспечить эффективную реализацию индийского Уголовного кодекса от 1860 года и двух других специализированных законодательных актов – Закона о защите гражданских прав 1955 года и Закона о СК и СП (предотвращение притеснений) 1989 года. Для достижения поставленной цели были предприняты усилия по разработке для каждого штата и округа программ действий, которые должны обеспечить проведение превентивных, следственных и реабилитационных мер в округах и областях с высоким уровнем преступности, притеснений и насилия в отношении этих уязвимых слоев населения. Предпринимаются также усилия по созданию в каждом округе достаточного количества специальных выездных судов с адекватным штатом для обеспечения на местах оперативного урегулирования/удовлетворения жалоб.</w:t>
      </w:r>
    </w:p>
    <w:p w:rsidR="00D80435" w:rsidRDefault="00D80435">
      <w:pPr>
        <w:spacing w:after="360"/>
        <w:rPr>
          <w:lang w:val="ru-RU"/>
        </w:rPr>
      </w:pPr>
      <w:r>
        <w:rPr>
          <w:lang w:val="ru-RU"/>
        </w:rPr>
        <w:t>116.</w:t>
      </w:r>
      <w:r>
        <w:rPr>
          <w:lang w:val="ru-RU"/>
        </w:rPr>
        <w:tab/>
        <w:t>Нехватка данных о меньшинствах затрудняет оценку их социально-экономического положения. Однако очевидно, что меньшинства, в том числе принадлежащие к более слабым в экономическом отношении слоям, таким как мусульмане, по-прежнему отстают в развитии по сравнению с остальным населением. В отношении образования, женщины и девочки из общин в отсталых меньшинствах, особенно мусульманских, продолжают оставаться наиболее слабым звеном, так как семьи не оказывают экономической поддержки желающим получить образование, женщинам и девочкам вследствие присущей этой культуре социокультурной дискриминации по признаку пола. Последствия недостатка образования, которые выражаются в высоком уровне неграмотности, невежестве, слабом здоровье, многодетных семьях и высоком уровне рождаемости, заставляют эти слои населения все глубже погружаться в порочный круг нищеты. Не так давно, в сентябре 2004 года, был учрежден комитет по изучению и выработке специальных мер, которые необходимо принять для улучшения положения общин меньшинств.</w:t>
      </w:r>
    </w:p>
    <w:p w:rsidR="00D80435" w:rsidRDefault="00D80435">
      <w:pPr>
        <w:pStyle w:val="Heading2"/>
      </w:pPr>
      <w:r>
        <w:t>Люди с ограниченными возможностями</w:t>
      </w:r>
    </w:p>
    <w:p w:rsidR="00D80435" w:rsidRDefault="00D80435">
      <w:pPr>
        <w:rPr>
          <w:lang w:val="ru-RU"/>
        </w:rPr>
      </w:pPr>
      <w:r>
        <w:rPr>
          <w:lang w:val="ru-RU"/>
        </w:rPr>
        <w:t>117.</w:t>
      </w:r>
      <w:r>
        <w:rPr>
          <w:lang w:val="ru-RU"/>
        </w:rPr>
        <w:tab/>
        <w:t>По данным переписи 2001 года, общее число лиц с ограниченными возможностями составило около 22 млн., или около 2 процентов всего населения, из которых около 9 млн. составляют женщины.</w:t>
      </w:r>
    </w:p>
    <w:p w:rsidR="00D80435" w:rsidRDefault="00D80435">
      <w:pPr>
        <w:rPr>
          <w:lang w:val="ru-RU"/>
        </w:rPr>
      </w:pPr>
      <w:r>
        <w:rPr>
          <w:lang w:val="ru-RU"/>
        </w:rPr>
        <w:t>118.</w:t>
      </w:r>
      <w:r>
        <w:rPr>
          <w:lang w:val="ru-RU"/>
        </w:rPr>
        <w:tab/>
        <w:t>Статья 41 гласит, что государство в рамках своих экономических возможностей с учетом уровня развития принимает эффективные меры по обеспечению права на работу, образование и государственную помощь в случае потери работы, старости, болезни и в других случаях утраты трудоспособности. Со времени принятия 1-го Пятилетнего плана (1951–1956 годы) правительство осуществило множество мероприятий и программ в целях улучшения положения находящихся на социальном обеспечении групп населения.</w:t>
      </w:r>
    </w:p>
    <w:p w:rsidR="00D80435" w:rsidRDefault="00D80435">
      <w:pPr>
        <w:rPr>
          <w:lang w:val="ru-RU"/>
        </w:rPr>
      </w:pPr>
      <w:r>
        <w:rPr>
          <w:lang w:val="ru-RU"/>
        </w:rPr>
        <w:t>119.</w:t>
      </w:r>
      <w:r>
        <w:rPr>
          <w:lang w:val="ru-RU"/>
        </w:rPr>
        <w:tab/>
        <w:t>Закон о лицах с ограниченными возможностями (ЛОВ) (о равных возможностях, защите прав и обеспечении полноценного участия), 1995 год, устанавливает обязанность правительства обеспечить инвалидам равные возможности, защиту прав и полноценное участие в процессе развития страны. Закон о ЛОВ предусматривает широкий диапазон мероприятий, которые включают профилактику и определение функциональных нарушений на ранней стадии, создание безопасных условий для жизни и работы инвалидов, обеспечение дородового и послеродового ухода за матерью и ребенком, осуществление права каждого ребенка на бесплатное обучение, расширение возможностей по трудоустройству с резервированием 3 процентов рабочих мест на государственных предприятиях в рамках программ борьбы с нищетой, а также позитивные действия, такие как выделение земель на льготных условиях, проведение исследований и развитие потенциала рабочей силы, использование инструментов системы социального обеспечения – пособий по безработице, страхования в пределах экономических возможностей и т.</w:t>
      </w:r>
      <w:r>
        <w:t> </w:t>
      </w:r>
      <w:r>
        <w:rPr>
          <w:lang w:val="ru-RU"/>
        </w:rPr>
        <w:t xml:space="preserve">п. Поскольку осуществление Закона о ЛОВ 1995 года требует многосекторальной и согласованной деятельности соответствующих министерств и ведомств, все участники прилагают усилия к тому, чтобы обеспечить соблюдение положений этого Закона, при этом ведущую роль играет головное министерство социальной справедливости и расширения возможностей. </w:t>
      </w:r>
    </w:p>
    <w:p w:rsidR="00D80435" w:rsidRDefault="00D80435">
      <w:pPr>
        <w:rPr>
          <w:lang w:val="ru-RU"/>
        </w:rPr>
      </w:pPr>
      <w:r>
        <w:rPr>
          <w:lang w:val="ru-RU"/>
        </w:rPr>
        <w:t>120.</w:t>
      </w:r>
      <w:r>
        <w:rPr>
          <w:lang w:val="ru-RU"/>
        </w:rPr>
        <w:tab/>
        <w:t>Постановлением правительства от 17 октября 2003 года была учреждена Национальная комиссия по вопросам инвалидов, в компетенцию которой входит оказание помощи и предоставление консультаций правительству по вопросам инвалидности и реабилитации, а также выработка рекомендаций. В соответствии с политикой обеспечения полного пакета услуг по реабилитации лицам с физическими и психическими нарушениями было учреждено шесть национальных институтов/ведущих институтов по каждой категории инвалидности. Кроме того, было создано пять комплексных региональных центров для инвалидов, четыре региональных реабилитационных центра для лиц с повреждениями позвоночника, 107</w:t>
      </w:r>
      <w:r>
        <w:t> </w:t>
      </w:r>
      <w:r>
        <w:rPr>
          <w:lang w:val="ru-RU"/>
        </w:rPr>
        <w:t xml:space="preserve">окружных центров реабилитации для инвалидов и одиннадцать окружных реабилитационных центров для оказания услуг сельским жителям. Руководящие установки программы Сварнаджаянти Грам Сварозгар Йоджана </w:t>
      </w:r>
      <w:r>
        <w:rPr>
          <w:b/>
          <w:lang w:val="ru-RU"/>
        </w:rPr>
        <w:t>(</w:t>
      </w:r>
      <w:r>
        <w:t>SGSY</w:t>
      </w:r>
      <w:r>
        <w:rPr>
          <w:lang w:val="ru-RU"/>
        </w:rPr>
        <w:t>) предусматривают, что лица с ограниченными возможностями будут составлять по меньшей мере 3 процента общей численности сварозгари. В рамках этого проекта помощь получили 35</w:t>
      </w:r>
      <w:r>
        <w:t> </w:t>
      </w:r>
      <w:r>
        <w:rPr>
          <w:lang w:val="ru-RU"/>
        </w:rPr>
        <w:t>914</w:t>
      </w:r>
      <w:r>
        <w:t> </w:t>
      </w:r>
      <w:r>
        <w:rPr>
          <w:lang w:val="ru-RU"/>
        </w:rPr>
        <w:t xml:space="preserve">человек. В соответствии с программами Индира Авас Йоджана и Джавахар Грам Самриддхи Йоджана было осуществлено строительство домов без перегородок. В рамках проекта Сварнаджаянти Грам Сварозгар Йоджана </w:t>
      </w:r>
      <w:r>
        <w:rPr>
          <w:b/>
          <w:lang w:val="ru-RU"/>
        </w:rPr>
        <w:t>(</w:t>
      </w:r>
      <w:r>
        <w:t>SGSY</w:t>
      </w:r>
      <w:r>
        <w:rPr>
          <w:lang w:val="ru-RU"/>
        </w:rPr>
        <w:t>) 25</w:t>
      </w:r>
      <w:r>
        <w:t> </w:t>
      </w:r>
      <w:r>
        <w:rPr>
          <w:lang w:val="ru-RU"/>
        </w:rPr>
        <w:t xml:space="preserve">тыс. рупий было ассигновано на создание Викланг Сангам, в соответствии с проектом Викланг Бандху обучено 414 руководителей групп. В учреждениях группы С и </w:t>
      </w:r>
      <w:r>
        <w:t>D</w:t>
      </w:r>
      <w:r>
        <w:rPr>
          <w:lang w:val="ru-RU"/>
        </w:rPr>
        <w:t xml:space="preserve"> было зарезервировано 3 процента рабочих мест для лиц с ограниченными возможностями. Среди лиц с инвалидностью по зрению проводится Специальная кампания по набору кадров для службы по группе С и </w:t>
      </w:r>
      <w:r>
        <w:t>D</w:t>
      </w:r>
      <w:r>
        <w:rPr>
          <w:lang w:val="ru-RU"/>
        </w:rPr>
        <w:t>. Различные программы и проекты по борьбе с нищетой, такие как Сварна Джаянти Шахари Розгар Йоджана, обеспечивают резервирование 3 процентов пособий за лицами с ограниченными возможностями. В апреле 2005 года был пересмотрен Проект помощи инвалидам в покупке и подборе протезов и приспособлений (ПИП), направленный на оказание помощи нуждающимся инвалидам в приобретении надежных сложных современных протезов и приспособлений, изготовленных по последнему слову науки и техники. В переработанном виде проект предусматривает выделение пособий в объеме не менее 25</w:t>
      </w:r>
      <w:r>
        <w:t> </w:t>
      </w:r>
      <w:r>
        <w:rPr>
          <w:lang w:val="ru-RU"/>
        </w:rPr>
        <w:t>процентов девочкам и женщинам.</w:t>
      </w:r>
    </w:p>
    <w:p w:rsidR="00D80435" w:rsidRDefault="00D80435">
      <w:pPr>
        <w:pStyle w:val="Heading2"/>
        <w:rPr>
          <w:lang w:val="en-US"/>
        </w:rPr>
      </w:pPr>
      <w:r>
        <w:rPr>
          <w:lang w:val="en-US"/>
        </w:rPr>
        <w:t>Предстоящие задачи</w:t>
      </w:r>
    </w:p>
    <w:p w:rsidR="00D80435" w:rsidRDefault="00D80435">
      <w:pPr>
        <w:spacing w:after="0"/>
        <w:rPr>
          <w:lang w:val="ru-RU"/>
        </w:rPr>
      </w:pPr>
      <w:r>
        <w:rPr>
          <w:lang w:val="ru-RU"/>
        </w:rPr>
        <w:t>121.</w:t>
      </w:r>
      <w:r>
        <w:rPr>
          <w:lang w:val="ru-RU"/>
        </w:rPr>
        <w:tab/>
        <w:t>Отсутствуют дифференцированные по полу данные относительно доступности и эффективности различных правительственных проектов и политики в отношении женщин-инвалидов. Правительство обязуется продолжать и расширять работу в рамках текущих программ, уделяя особое внимание положению женщин, а также проблеме психической неполноценности и психического здоровья посредством создания Национального целевого фонда для этих групп.</w:t>
      </w:r>
    </w:p>
    <w:p w:rsidR="00D80435" w:rsidRDefault="00D80435">
      <w:pPr>
        <w:pStyle w:val="Header"/>
        <w:tabs>
          <w:tab w:val="clear" w:pos="4677"/>
          <w:tab w:val="clear" w:pos="9355"/>
        </w:tabs>
        <w:spacing w:before="120" w:after="0"/>
        <w:rPr>
          <w:lang w:val="ru-RU"/>
        </w:rPr>
      </w:pPr>
    </w:p>
    <w:p w:rsidR="00D80435" w:rsidRDefault="00D80435">
      <w:pPr>
        <w:pStyle w:val="Heading4"/>
      </w:pPr>
      <w:r>
        <w:t>Статья 5.  Роль, определяемая полом, и стереотипность</w:t>
      </w:r>
    </w:p>
    <w:p w:rsidR="00D80435" w:rsidRDefault="00D80435">
      <w:pPr>
        <w:pStyle w:val="Heading2"/>
      </w:pPr>
      <w:r>
        <w:t xml:space="preserve">Справочная информация </w:t>
      </w:r>
    </w:p>
    <w:p w:rsidR="00D80435" w:rsidRDefault="00D80435">
      <w:pPr>
        <w:spacing w:after="200"/>
        <w:rPr>
          <w:lang w:val="ru-RU"/>
        </w:rPr>
      </w:pPr>
      <w:r>
        <w:rPr>
          <w:lang w:val="ru-RU"/>
        </w:rPr>
        <w:t xml:space="preserve">122. </w:t>
      </w:r>
      <w:r>
        <w:rPr>
          <w:lang w:val="ru-RU"/>
        </w:rPr>
        <w:tab/>
        <w:t xml:space="preserve">Возложенный на правительство в соответствии с конституцией мандат по достижению справедливости и равенства в отношениях полов, а также различные законодательные инициативы в этой области не принесли желаемых изменений в плане повышения роли и улучшения положения женщин в Индии. Снижение числа мужчин по сравнению с женщинами, социальные стереотипы и насилие в отношении женщин в семье и в обществе свидетельствуют о гендерном неравенстве и препятствуют полноценному развитию потенциала женщин. Глубинные причины гендерного неравенства лежат в области социально-экономических структур, базирующихся на принятых в обществе нормах и практике. </w:t>
      </w:r>
    </w:p>
    <w:p w:rsidR="00D80435" w:rsidRDefault="00D80435">
      <w:pPr>
        <w:pStyle w:val="Heading2"/>
      </w:pPr>
      <w:r>
        <w:t>Инициативы государства</w:t>
      </w:r>
    </w:p>
    <w:p w:rsidR="00D80435" w:rsidRDefault="00D80435">
      <w:pPr>
        <w:rPr>
          <w:lang w:val="ru-RU"/>
        </w:rPr>
      </w:pPr>
      <w:r>
        <w:rPr>
          <w:lang w:val="ru-RU"/>
        </w:rPr>
        <w:t xml:space="preserve">123. </w:t>
      </w:r>
      <w:r>
        <w:rPr>
          <w:lang w:val="ru-RU"/>
        </w:rPr>
        <w:tab/>
        <w:t xml:space="preserve">Многие меры, принимаемые государством в целях преодоления гендерных стереотипов и повышения роли женщин, были изложены в Первоначальном докладе. Правительство усовершенствовало Национальную программу по расширению прав и возможностей женщин (2001 год), которая ставила одной из своих главных целей изменение общественного мировоззрения и практики общин посредством активного вовлечения мужчин и женщин в работу по актуализации гендерной проблематики в процессах развития и искоренения всех форм насилия в отношении женщин и девочек. В соответствии с этой политикой правительство принимает энергичные меры по ускорению процесса социальной переориентации в направлении создания общества равных возможностей для мужчин и женщин с особым упором на изменение негативного отношения к женщинам и девочкам в семье и местных общинах. Меры по повышению общественной восприимчивости к гендерной проблематике были реализованы путем внедрения в программы подготовки государственных служащих специальных вводных курсов и курсов усовершенствования. Программы по повышению восприимчивости общества к гендерной проблематике проводятся на регулярной основе, при этом особое внимание уделяется сотрудникам государственных учреждений, в том числе законодательных, судебных и правоохранительных органов. </w:t>
      </w:r>
    </w:p>
    <w:p w:rsidR="00D80435" w:rsidRDefault="00D80435">
      <w:pPr>
        <w:rPr>
          <w:lang w:val="ru-RU"/>
        </w:rPr>
      </w:pPr>
      <w:r>
        <w:rPr>
          <w:lang w:val="ru-RU"/>
        </w:rPr>
        <w:t>124.</w:t>
      </w:r>
      <w:r>
        <w:rPr>
          <w:lang w:val="ru-RU"/>
        </w:rPr>
        <w:tab/>
        <w:t xml:space="preserve">Национальная политика в сфере образования также ставит своей целью решительную борьбу с гендерными стереотипами в области профессионально-технического образования и оказание женщинам содействия в освоении специальностей в нетрадиционных для них областях, в том числе связанных с современными и новейшими технологиями. Эта политика предусматривает создание системы, в рамках которой всем учащимся, независимо от их касты, религии, пола и места жительства, обеспечен доступ к образованию сравнимого качества. Кроме того, в настоящее время осуществляется пересмотр всех учебных программ и материалов в целях изъятия из них всех унизительных для женщин положений. Координаторами этой деятельности выступают такие организации, как Национальный совет по исследованиям и программам профессиональной подготовки в сфере образования (НСИПО) и Национальный институт планирования и административного управления учебным процессом (НИПАУ). Профессионально-технические училища предлагают женщинам различные курсы в сфере точных наук и обучение по техническим дисциплинам, не ограничиваясь профессиями в таких традиционных областях, как пошив одежды, секретарская работа и т. д. Во всех профессионально-технических училищах 25 процентов мест зарезервировано для женщин, с тем чтобы облегчить им доступ ко всем курсам обучения. </w:t>
      </w:r>
    </w:p>
    <w:p w:rsidR="00D80435" w:rsidRDefault="00D80435">
      <w:pPr>
        <w:rPr>
          <w:lang w:val="ru-RU"/>
        </w:rPr>
      </w:pPr>
      <w:r>
        <w:rPr>
          <w:lang w:val="ru-RU"/>
        </w:rPr>
        <w:t xml:space="preserve">125. </w:t>
      </w:r>
      <w:r>
        <w:rPr>
          <w:lang w:val="ru-RU"/>
        </w:rPr>
        <w:tab/>
        <w:t xml:space="preserve">Рынок труда все еще не избавился от стереотипов в отношении полов: как и прежде женщины работают в основном на низших ступенях иерархической лестницы, занимая должности конторских служащих; их по-прежнему большинство в таких традиционно женских профессиях, как учителя, медицинские сестры и т. д. Однако по мере расширения доступа женщин к образованию и обеспечения для женщин благоприятных условий трудоустройства в более слабых секторах экономики все больше женщин начинают претендовать на работу в традиционно "мужских" областях, таких как инженерно-проектные работы, наука и технологии, медицина, юриспруденция и т. д. Так как эта тенденция обозначилась недавно, число женщин в этих профессиях пока невелико. И хотя юридических барьеров не существует, укоренившаяся практика и представления о роли женщины препятствуют участию женщин в этих сферах занятости. Позитивные действия, предпринятые правительствами многих штатов, таких как Карнатака, Махараштра, Орисса и Тамилнад, по резервированию рабочих мест для женщин в государственном секторе, позволили многим женщинам занять различные должности. </w:t>
      </w:r>
    </w:p>
    <w:p w:rsidR="00D80435" w:rsidRDefault="00D80435">
      <w:pPr>
        <w:rPr>
          <w:lang w:val="ru-RU"/>
        </w:rPr>
      </w:pPr>
      <w:r>
        <w:rPr>
          <w:lang w:val="ru-RU"/>
        </w:rPr>
        <w:t xml:space="preserve">126. </w:t>
      </w:r>
      <w:r>
        <w:rPr>
          <w:lang w:val="ru-RU"/>
        </w:rPr>
        <w:tab/>
        <w:t>Специальные сообщения, посвященные вопросам равенства, расширения прав и возможностей женщин, распространялись через все виды средств массовой информации. Текущая "двоякая" стратегия предусматривает использование СМИ в качестве инструмента реформ и одновременно осуществление над ними контроля в целях предотвращения возможности их недобросовестного использования. Были выдвинуты предложения относительно того, чтобы СМИ разработали кодекс поведения, принципы профессиональной этики и механизмы саморегулирования, что даст возможность преодолеть гендерные стереотипы и разработать сбалансированный подход к отображению роли мужчин и женщин. Официальный орган – Совет по прессе Индии (СПИ) установил нормы журналистской этики, согласно которым печатные СМИ должны воздерживаться от публикаций пошлых и оскорбительных материалов непристойного содержания. Совет инициировал внутреннее расследование по факту публикаций, изображающих женщин в вульгарном виде. Среди членов Совета много женщин. Стремясь изменить отношение общества к женщинам, все индийские радиостанции на регулярной основе транслируют программы, посвященные вопросам расширения прав и возможностей женщин.</w:t>
      </w:r>
    </w:p>
    <w:p w:rsidR="00D80435" w:rsidRDefault="00D80435">
      <w:pPr>
        <w:rPr>
          <w:lang w:val="ru-RU"/>
        </w:rPr>
      </w:pPr>
      <w:r>
        <w:rPr>
          <w:lang w:val="ru-RU"/>
        </w:rPr>
        <w:t xml:space="preserve">127. </w:t>
      </w:r>
      <w:r>
        <w:rPr>
          <w:lang w:val="ru-RU"/>
        </w:rPr>
        <w:tab/>
        <w:t xml:space="preserve">Политические инициативы предусматривают принятие кодекса коммерческой рекламной практики. Содержание программ на телевизионных каналах регулируется Кодексом предписаний по программам и рекламе, разработанным в соответствии с Законом о (регулировании) кабельных телевизионных сетей 1995 года, и сформулированными в рамках Кодекса правилами. Телерадиостанции "Дурдашан" и "Акашвани" строго придерживаются кодекса вещания и журналистской этики. В соответствии с Законом о кинематографии, до выхода на широкий экран все фильмы в обязательном порядке должны пройти сертификацию в Центральном совете по сертификации фильмов (ЦССФ). Согласно руководящим принципам ЦССФ, Совет, среди прочего, обязан обеспечить, чтобы не показывались оскорбительные для женщин или унижающие достоинство женщин сцены, а также сцены, демонстрирующие сексуальное насилие в отношении женщин, например попытки изнасилования или приставания из хулиганских побуждений, а также сцены аналогичного содержания. Если же такие эпизоды важны для сюжетной линии, они должны быть сокращены до минимума и сняты общим планом. Половину членов инспекционных комитетов Совета по цензуре кинофильмов, в обязанности которых входит просмотр фильмов до их сертификации, составляют женщины. Согласно Закону об информационных технологиях 2000 года, демонстрация порнографии в Интернете отнесена к уголовным преступлениям. Парламентский комитет резко осудил демонстрацию сцен семейного насилия в средствах массовой информации. Важнейшей задачей центрального правительства является упорядочивание деятельности частных телевизионных каналов, транслирующих программы на Индию через спутники, находящиеся за пределами территории Индии. Министерство информации и телерадиовещания в настоящее время разрабатывает руководящие принципы для станций, осуществляющих связь спутника с Землей, в целях упорядочения деятельности подобных каналов. </w:t>
      </w:r>
    </w:p>
    <w:p w:rsidR="00D80435" w:rsidRDefault="00D80435">
      <w:pPr>
        <w:rPr>
          <w:lang w:val="ru-RU"/>
        </w:rPr>
      </w:pPr>
      <w:r>
        <w:rPr>
          <w:lang w:val="ru-RU"/>
        </w:rPr>
        <w:t xml:space="preserve">128. </w:t>
      </w:r>
      <w:r>
        <w:rPr>
          <w:lang w:val="ru-RU"/>
        </w:rPr>
        <w:tab/>
        <w:t>Отец традиционно играл роль добытчика, и в силу этого всегда считался опекуном или главой семьи; его согласие было обязательным условием во многих случаях, например когда требовалась подпись в анкете для поступления в школу и/или колледж, заявление на получение паспорта, визы и т. д. Однако после решения Верховного суда по делу Гиты Харихаран на многих анкетах для поступления в школу, паспортных анкетах и других документах в соответствующие графы были внесены изменения и имя отца было заменено на имя опекуна.</w:t>
      </w:r>
    </w:p>
    <w:p w:rsidR="00D80435" w:rsidRDefault="00D80435">
      <w:pPr>
        <w:rPr>
          <w:lang w:val="ru-RU"/>
        </w:rPr>
      </w:pPr>
      <w:r>
        <w:rPr>
          <w:lang w:val="ru-RU"/>
        </w:rPr>
        <w:t xml:space="preserve">129. </w:t>
      </w:r>
      <w:r>
        <w:rPr>
          <w:lang w:val="ru-RU"/>
        </w:rPr>
        <w:tab/>
        <w:t xml:space="preserve">Так как женщины традиционно рассматривались как домохозяйки, обязанности по воспитанию детей всегда ложилось на женщин. Чтобы вовлечь мужчин в процесс воспитания детей и побудить их к тому, чтобы они взяли часть этих обязанностей на себя, правительство ввело для мужчин отпуска по уходу за ребенком. И хотя в этой области не проводилось ни систематических исследований, ни сбора данных, можно предположить, что больших изменений к лучшему в плане более активного участия мужчин в работе по дому и воспитании детей не произошло. </w:t>
      </w:r>
    </w:p>
    <w:p w:rsidR="00D80435" w:rsidRDefault="00D80435">
      <w:pPr>
        <w:rPr>
          <w:lang w:val="ru-RU"/>
        </w:rPr>
      </w:pPr>
      <w:r>
        <w:rPr>
          <w:lang w:val="ru-RU"/>
        </w:rPr>
        <w:t xml:space="preserve">130. </w:t>
      </w:r>
      <w:r>
        <w:rPr>
          <w:lang w:val="ru-RU"/>
        </w:rPr>
        <w:tab/>
        <w:t>Закон об опекунах и подопечных 1980 года и другие законодательные акты в сфере персонального права</w:t>
      </w:r>
      <w:r>
        <w:rPr>
          <w:color w:val="0000FF"/>
          <w:lang w:val="ru-RU"/>
        </w:rPr>
        <w:t xml:space="preserve"> </w:t>
      </w:r>
      <w:r>
        <w:rPr>
          <w:lang w:val="ru-RU"/>
        </w:rPr>
        <w:t>признают, что отец является "естественным" опекуном для несовершеннолетнего ребенка. Первоначально это право являлось определяющим фактором при предоставлении отцу права на попечение несовершеннолетнего ребенка. Однако со времени вынесения решения по делу Роузи Джэкоб (</w:t>
      </w:r>
      <w:r>
        <w:t>AIR</w:t>
      </w:r>
      <w:r>
        <w:rPr>
          <w:lang w:val="ru-RU"/>
        </w:rPr>
        <w:t xml:space="preserve"> 1973 </w:t>
      </w:r>
      <w:r>
        <w:t>SC</w:t>
      </w:r>
      <w:r>
        <w:rPr>
          <w:lang w:val="ru-RU"/>
        </w:rPr>
        <w:t xml:space="preserve"> 2090) суды придерживаются мнения, что благополучие ребенка является основополагающим фактором и соображения благополучия ребенка являются преобладающими по сравнению с правами отца. Таким образом, в решениях судов по семейным делам в этой области наметилась явная тенденция к тому, чтобы предоставлять право на попечение детей младшего возраста и девочек матери, что считается предпочтительным с точки зрения благополучия ребенка. </w:t>
      </w:r>
    </w:p>
    <w:p w:rsidR="00D80435" w:rsidRDefault="00D80435">
      <w:pPr>
        <w:rPr>
          <w:lang w:val="ru-RU"/>
        </w:rPr>
      </w:pPr>
      <w:r>
        <w:rPr>
          <w:lang w:val="ru-RU"/>
        </w:rPr>
        <w:t xml:space="preserve">131. </w:t>
      </w:r>
      <w:r>
        <w:rPr>
          <w:lang w:val="ru-RU"/>
        </w:rPr>
        <w:tab/>
        <w:t xml:space="preserve">Попытки вести борьбу с такой традиционной практикой, как обязательное приданое за невестой, ритуал сати, институт девадаси и детские браки, предпринимаются и на уровне законодательства. Это касается и так называемых "селективных" абортов – практики преднамеренного избавления от плода женского пола, – которые отражают гендерное неравноправие и распространенные в обществе предрассудки. Закон о запрете приданого 1961 года с поправками, принятыми в 1986 году, запрещает выкуп и предусматривает наказание для лиц, дающих и получающих приданое, а также лиц, требующих его или содействующих этому. Согласно Закону о предотвращении сати и Закону о запрете девадаси, запрещается ритуал сати и институт девадаси, соответственно, и предусматривается уголовное наказание для правонарушителей. </w:t>
      </w:r>
    </w:p>
    <w:p w:rsidR="00D80435" w:rsidRDefault="00D80435">
      <w:pPr>
        <w:spacing w:after="200"/>
        <w:rPr>
          <w:lang w:val="ru-RU"/>
        </w:rPr>
      </w:pPr>
      <w:r>
        <w:rPr>
          <w:lang w:val="ru-RU"/>
        </w:rPr>
        <w:t xml:space="preserve">132. </w:t>
      </w:r>
      <w:r>
        <w:rPr>
          <w:lang w:val="ru-RU"/>
        </w:rPr>
        <w:tab/>
        <w:t xml:space="preserve">В целях осуществления контроля над практикой селективных абортов и такого явления, как предпочтение, отдаваемое мальчикам, в Закон о методах дородовой диагностики (урегулирование и предотвращение злоупотребления) (ЗМДД) 1994 года в феврале 2003 года были внесены поправки. Кроме того, был ужесточен Закон о медицинском прерывании беременности 1971 года. </w:t>
      </w:r>
    </w:p>
    <w:p w:rsidR="00D80435" w:rsidRDefault="00D80435">
      <w:pPr>
        <w:spacing w:after="200"/>
        <w:rPr>
          <w:lang w:val="ru-RU"/>
        </w:rPr>
      </w:pPr>
      <w:r>
        <w:rPr>
          <w:lang w:val="ru-RU"/>
        </w:rPr>
        <w:t xml:space="preserve">133. </w:t>
      </w:r>
      <w:r>
        <w:rPr>
          <w:lang w:val="ru-RU"/>
        </w:rPr>
        <w:tab/>
        <w:t xml:space="preserve">Насилие в отношении женщин в семье также отражает неравенство и подчиненную роль женщин. За исключением Уголовного кодекса специального законодательства, с помощью которого можно было бы решить эту проблему, в Индии не существует. Не так давно, в 2002 году, был внесен законопроект по борьбе с насилием в семье, однако его рассмотрение было прекращено в связи с роспуском парламента. Сейчас завершается работа над новым законопроектом. </w:t>
      </w:r>
    </w:p>
    <w:p w:rsidR="00D80435" w:rsidRDefault="00D80435">
      <w:pPr>
        <w:spacing w:after="360"/>
        <w:rPr>
          <w:lang w:val="ru-RU"/>
        </w:rPr>
      </w:pPr>
      <w:r>
        <w:rPr>
          <w:lang w:val="ru-RU"/>
        </w:rPr>
        <w:t xml:space="preserve">134. </w:t>
      </w:r>
      <w:r>
        <w:rPr>
          <w:lang w:val="ru-RU"/>
        </w:rPr>
        <w:tab/>
        <w:t xml:space="preserve">Целый ряд решений Верховного суда и высших судов, подтверждающих законность конституционных поправок, обеспечивающих женщинам места в панчаятах, заставляют мужчин постепенно привыкать к мысли о том, что женщины могут занимать руководящие должности. Аналогичным образом, судебные решения в области имущественных прав женщин начинают, пусть и медленно, оказывать свое действие, заставляя окружающих воспринимать женщин как полноправных владелиц имущества, и преодолевать связанные с этим предрассудки. </w:t>
      </w:r>
    </w:p>
    <w:p w:rsidR="00D80435" w:rsidRDefault="00D80435">
      <w:pPr>
        <w:pStyle w:val="Heading2"/>
      </w:pPr>
      <w:r>
        <w:t xml:space="preserve">Предстоящие задачи </w:t>
      </w:r>
    </w:p>
    <w:p w:rsidR="00D80435" w:rsidRDefault="00D80435">
      <w:pPr>
        <w:spacing w:after="440"/>
        <w:rPr>
          <w:lang w:val="ru-RU"/>
        </w:rPr>
      </w:pPr>
      <w:r>
        <w:rPr>
          <w:lang w:val="ru-RU"/>
        </w:rPr>
        <w:t xml:space="preserve">135. </w:t>
      </w:r>
      <w:r>
        <w:rPr>
          <w:lang w:val="ru-RU"/>
        </w:rPr>
        <w:tab/>
        <w:t>Действия, предпринятые правительством, недостаточны, для того чтобы изменить взгляды и мировоззрения людей. Это медленный процесс, и правительству необходимо принять целый ряд мер для достижения этой цели. Учитывая тот факт, что основными препятствиями являются мировоззрения и социокультурные нормы, правительство в своем 10-м Плане взяло на себя обязательство разработать политику в сфере средств массовой информации, в рамках которой планируется четко обозначить "допустимые" и "недопустимые" действия в плане соблюдения конституционно гарантированного принципа уважения достоинства женщин. Эта политика также предусматривает изменение негативного отношения к женщинам, превалирующего в семьях и общинах, и ликвидацию всех видов дискриминации в отношении женщин, для чего планируется использовать как традиционные средства массовой информации, так и иные каналы. Повышение восприимчивости общества к гендерной проблематике формализуется в системе подготовки государственных служащих путем введения курсов ознакомительного характера и курсов усовершенствования. Специально разработанные программы повышения гендерной восприимчивости осуществляются и проводятся на регулярной основе с уделением особого внимания государственным служащим, в том числе сотрудникам исполнительных, законодательных, судебных и правоохранительных органов.</w:t>
      </w:r>
    </w:p>
    <w:p w:rsidR="00D80435" w:rsidRDefault="00D80435">
      <w:pPr>
        <w:pStyle w:val="Header"/>
        <w:tabs>
          <w:tab w:val="clear" w:pos="4677"/>
          <w:tab w:val="clear" w:pos="9355"/>
        </w:tabs>
        <w:spacing w:after="0"/>
        <w:rPr>
          <w:sz w:val="12"/>
          <w:lang w:val="ru-RU"/>
        </w:rPr>
      </w:pPr>
    </w:p>
    <w:p w:rsidR="00D80435" w:rsidRDefault="00D80435">
      <w:pPr>
        <w:pStyle w:val="Heading7"/>
        <w:rPr>
          <w:sz w:val="24"/>
          <w:lang w:val="ru-RU"/>
        </w:rPr>
      </w:pPr>
      <w:r>
        <w:rPr>
          <w:sz w:val="24"/>
          <w:lang w:val="ru-RU"/>
        </w:rPr>
        <w:t>Статья 6.  Эксплуатация женщин и торговля женщинами</w:t>
      </w:r>
    </w:p>
    <w:p w:rsidR="00D80435" w:rsidRDefault="00D80435">
      <w:pPr>
        <w:pStyle w:val="Heading2"/>
      </w:pPr>
      <w:r>
        <w:t xml:space="preserve">Справочная информация </w:t>
      </w:r>
    </w:p>
    <w:p w:rsidR="00D80435" w:rsidRDefault="00D80435">
      <w:pPr>
        <w:spacing w:after="280"/>
        <w:rPr>
          <w:color w:val="000000"/>
          <w:lang w:val="ru-RU"/>
        </w:rPr>
      </w:pPr>
      <w:r>
        <w:rPr>
          <w:color w:val="000000"/>
          <w:lang w:val="ru-RU"/>
        </w:rPr>
        <w:t>136.</w:t>
      </w:r>
      <w:r>
        <w:rPr>
          <w:color w:val="000000"/>
          <w:lang w:val="ru-RU"/>
        </w:rPr>
        <w:tab/>
        <w:t>Как отмечено в Первоначальном докладе, борьба с торговлей женщинами ведется в основном законодательными мерами. Статья 23 Конституции запрещает торговлю людьми и принудительный труд. Индийский Уголовный кодекс, в частности разделы 372 и 373, относит к уголовно наказуемым деяниям покупку и продажу несовершеннолетних девочек в целях проституции. Другие близкие по предмету регулирования разделы УК Индии имеют своей целью ликвидацию условий, которые могут привести к торговле людьми и проституции. К их числу можно отнести, в частности, раздел 361 – похищение из-под опеки, раздел 366 – похищение, насильственный увоз женщины и принуждение ее к замужеству, раздел 366</w:t>
      </w:r>
      <w:r>
        <w:rPr>
          <w:color w:val="000000"/>
          <w:lang w:val="ru-RU"/>
        </w:rPr>
        <w:noBreakHyphen/>
        <w:t xml:space="preserve">А – сводничество в отношении несовершеннолетней девочки, раздел 366-В – ввоз девочки из иностранного государства и т. д. </w:t>
      </w:r>
    </w:p>
    <w:p w:rsidR="00D80435" w:rsidRDefault="00D80435">
      <w:pPr>
        <w:spacing w:after="280"/>
        <w:rPr>
          <w:color w:val="000000"/>
          <w:u w:val="double"/>
          <w:lang w:val="ru-RU"/>
        </w:rPr>
      </w:pPr>
      <w:r>
        <w:rPr>
          <w:color w:val="000000"/>
          <w:lang w:val="ru-RU"/>
        </w:rPr>
        <w:t>137.</w:t>
      </w:r>
      <w:r>
        <w:rPr>
          <w:color w:val="000000"/>
          <w:lang w:val="ru-RU"/>
        </w:rPr>
        <w:tab/>
        <w:t xml:space="preserve">Кроме того, во исполнение </w:t>
      </w:r>
      <w:r>
        <w:rPr>
          <w:lang w:val="ru-RU"/>
        </w:rPr>
        <w:t>Конвенции по борьбе с торговлей людьми и эксплуатацией проституции третьими лицами</w:t>
      </w:r>
      <w:r>
        <w:rPr>
          <w:color w:val="000000"/>
          <w:lang w:val="ru-RU"/>
        </w:rPr>
        <w:t xml:space="preserve">, Индия приняла Закон о (предотвращении) аморальной торговли людьми 1956 года (ЗПАТ), в который в 1978 и 1986 годах были внесены поправки. В соответствии с этим законом, проституция сама по себе преступлением не является, однако занятие проституцией в общественных местах и навязывание сексуальных услуг квалифицируется как преступление. Данный закон предусматривает наказание как для женщины, так и для ее клиента, однако на практике число уголовных дел, заведенных на клиентов, существенно меньше, чем количество дел, заведенных на женщин. Предусмотрено строгое уголовное наказание для торговцев людьми; наказание ужесточается в случае совершения преступления в отношении несовершеннолетних, что должно послужить серьезным сдерживающим фактором для потенциальных преступников, планирующих столь ужасное преступление. Проживание на доходы, полученные от проституции, также является уголовно наказуемым деянием. Этот закон также предусматривает меры по освобождению и реабилитации проституток и создание ряда отдельных правоприменительных механизмов. </w:t>
      </w:r>
    </w:p>
    <w:p w:rsidR="00D80435" w:rsidRDefault="00D80435">
      <w:pPr>
        <w:spacing w:after="280"/>
        <w:rPr>
          <w:color w:val="000000"/>
          <w:spacing w:val="-2"/>
          <w:lang w:val="ru-RU"/>
        </w:rPr>
      </w:pPr>
      <w:r>
        <w:rPr>
          <w:color w:val="000000"/>
          <w:spacing w:val="-2"/>
          <w:lang w:val="ru-RU"/>
        </w:rPr>
        <w:t>138.</w:t>
      </w:r>
      <w:r>
        <w:rPr>
          <w:color w:val="000000"/>
          <w:spacing w:val="-2"/>
          <w:lang w:val="ru-RU"/>
        </w:rPr>
        <w:tab/>
        <w:t>Статистика по женщинам, занимающимся проституцией, отсутствует; систематические исследования не проводятся и базы данных не существует. В ходе обследования, проведенного в 1991 году Центральным советом социального обеспечения в 6 городских метрополиях (Калькутта, Мумбай, Ченнай, Дели, Хайдерабад и Бангалор), в городах было выявлено 100 тыс. совершеннолетних и 39 тыс. несовершеннолетних лиц, оказывающих платные сексуальные услуги. Хотя права человека этих женщин должны быть защищены в полном объеме, на практике они зачастую оказываются лишенными этих прав. Общество относится к проституткам как к людям с отклонениями от нормы и морально неустойчивым. Такое отношение является серьезным препятствием для осуществления реабилитационных мер и социальной реинтеграции этих женщин.</w:t>
      </w:r>
    </w:p>
    <w:p w:rsidR="00D80435" w:rsidRDefault="00D80435">
      <w:pPr>
        <w:spacing w:after="280"/>
        <w:rPr>
          <w:color w:val="000000"/>
          <w:u w:val="double"/>
          <w:lang w:val="ru-RU"/>
        </w:rPr>
      </w:pPr>
      <w:r>
        <w:rPr>
          <w:color w:val="000000"/>
          <w:lang w:val="ru-RU"/>
        </w:rPr>
        <w:t>139.</w:t>
      </w:r>
      <w:r>
        <w:rPr>
          <w:color w:val="000000"/>
          <w:lang w:val="ru-RU"/>
        </w:rPr>
        <w:tab/>
        <w:t>Для борьбы с традиционной практикой девадаси, йогини и т. д. соответствующие правительства штатов, где распространена эта практика, в том числе Карнатака, Андхра-Прадеш, Махараштра, Гоа, Орисса и Тамилнад, приняли Закон о запрете обряда посвящения и разработали ряд механизмов, препятствующих практике обращения несовершеннолетних девочек в храмовых жриц. Законом (о запрете и регулировании) детского труда 1986 года вводится запрет на наем детей в определенных сферах деятельности, а также устанавливаются нормы детского труда.</w:t>
      </w:r>
    </w:p>
    <w:p w:rsidR="00D80435" w:rsidRDefault="00D80435">
      <w:pPr>
        <w:spacing w:after="360"/>
        <w:rPr>
          <w:color w:val="000000"/>
          <w:lang w:val="ru-RU"/>
        </w:rPr>
      </w:pPr>
      <w:r>
        <w:rPr>
          <w:color w:val="000000"/>
          <w:lang w:val="ru-RU"/>
        </w:rPr>
        <w:t>140.</w:t>
      </w:r>
      <w:r>
        <w:rPr>
          <w:color w:val="000000"/>
          <w:lang w:val="ru-RU"/>
        </w:rPr>
        <w:tab/>
        <w:t>Однако с помощью одних законодательных положений невозможно остановить торговлю женщинами. Эта проблема уходит корнями в нищету, отсутствие возможностей трудоустройства, тяжелые экономические условия, неграмотность, низкий уровень осведомленности, умело используемые торговцами традиции, подобные девадаси, а также отсутствие надлежащих реабилитационных мер. Кроме того, правительство обратило внимание на проблему трансграничной торговли людьми, для предотвращения которой потребовался ряд более жестких действий, выходящих за рамки законодательных мер.</w:t>
      </w:r>
    </w:p>
    <w:p w:rsidR="00D80435" w:rsidRDefault="00D80435">
      <w:pPr>
        <w:rPr>
          <w:b/>
          <w:color w:val="000000"/>
          <w:lang w:val="ru-RU"/>
        </w:rPr>
      </w:pPr>
      <w:r>
        <w:rPr>
          <w:b/>
          <w:color w:val="000000"/>
          <w:lang w:val="ru-RU"/>
        </w:rPr>
        <w:t xml:space="preserve">Государственные инициативы </w:t>
      </w:r>
    </w:p>
    <w:p w:rsidR="00D80435" w:rsidRDefault="00D80435">
      <w:pPr>
        <w:spacing w:after="200"/>
        <w:rPr>
          <w:color w:val="000000"/>
          <w:lang w:val="ru-RU"/>
        </w:rPr>
      </w:pPr>
      <w:r>
        <w:rPr>
          <w:color w:val="000000"/>
          <w:lang w:val="ru-RU"/>
        </w:rPr>
        <w:t>141.</w:t>
      </w:r>
      <w:r>
        <w:rPr>
          <w:color w:val="000000"/>
          <w:lang w:val="ru-RU"/>
        </w:rPr>
        <w:tab/>
        <w:t>Признавая наличие таких препятствий, правительство предприняло различные шаги по их устранению. Были разработаны многочисленные схемы, предусматривающие активные действия по двум направлениям: в пункте въезда и в пункте назначения. Меры принимаются на всех трех уровнях, а именно – законодательном, судебном и исполнительном.</w:t>
      </w:r>
    </w:p>
    <w:p w:rsidR="00D80435" w:rsidRDefault="00D80435">
      <w:pPr>
        <w:spacing w:after="200"/>
        <w:rPr>
          <w:lang w:val="ru-RU"/>
        </w:rPr>
      </w:pPr>
      <w:r>
        <w:rPr>
          <w:color w:val="000000"/>
          <w:lang w:val="ru-RU"/>
        </w:rPr>
        <w:t>142.</w:t>
      </w:r>
      <w:r>
        <w:rPr>
          <w:color w:val="000000"/>
          <w:lang w:val="ru-RU"/>
        </w:rPr>
        <w:tab/>
        <w:t xml:space="preserve">Хотя в законе предусмотрено уголовное наказание для всех лиц, так или иначе связанных с проституцией, т. е. торговцев людьми, содержателей притонов, сутенеров и зазывал, на практике женщины, а не торговцы людьми, чаще подвергаются наказанию и становятся жертвами проституции. Национальная комиссия по делам женщин и Департамент по развитию женщин и детей (ДРЖД) провели оценку эффективности Закона о (предотвращении) аморальной торговли людьми и предложили внести в этот закон поправки, предусматривающие декриминализацию проституток и ужесточение наказания для торговцев людьми. Этот закон также охватывает такие вопросы, как освобождение, реабилитация и социальная реинтеграция женщин, при этом правительство приняло действенные меры по улучшению условий в исправительных домах для несовершеннолетних и в </w:t>
      </w:r>
      <w:r>
        <w:rPr>
          <w:lang w:val="ru-RU"/>
        </w:rPr>
        <w:t>государственных приютах,</w:t>
      </w:r>
      <w:r>
        <w:rPr>
          <w:color w:val="0000FF"/>
          <w:lang w:val="ru-RU"/>
        </w:rPr>
        <w:t xml:space="preserve"> </w:t>
      </w:r>
      <w:r>
        <w:rPr>
          <w:lang w:val="ru-RU"/>
        </w:rPr>
        <w:t>а также предоставило освобожденным женщинам возможности для получения необходимой профессиональной подготовки, услуги по ориентации и развитию навыков.</w:t>
      </w:r>
    </w:p>
    <w:p w:rsidR="00D80435" w:rsidRDefault="00D80435">
      <w:pPr>
        <w:spacing w:after="200"/>
        <w:rPr>
          <w:lang w:val="ru-RU"/>
        </w:rPr>
      </w:pPr>
      <w:r>
        <w:rPr>
          <w:lang w:val="ru-RU"/>
        </w:rPr>
        <w:t xml:space="preserve">143. </w:t>
      </w:r>
      <w:r>
        <w:rPr>
          <w:lang w:val="ru-RU"/>
        </w:rPr>
        <w:tab/>
        <w:t xml:space="preserve">Закон по делам несовершеннолетних (о защите детей и уходе за ними) 2000 года предусматривает меры по защите, лечению, развитию и реабилитации беспризорных детей и малолетних преступников, включая девочек. Закон об информационных технологиях 2000 года предусматривает наказание за публикацию или передачу в электронном виде любых порнографических материалов. В целях разработки и поддержания высоких стандартов этической и профессиональной практики в сфере Интернета и связанных с ним услуг, Центральное правительство приняло кодекс поведения для Интернет-провайдеров. </w:t>
      </w:r>
    </w:p>
    <w:p w:rsidR="00D80435" w:rsidRDefault="00D80435">
      <w:pPr>
        <w:spacing w:after="200"/>
        <w:rPr>
          <w:color w:val="000000"/>
          <w:spacing w:val="-4"/>
          <w:lang w:val="ru-RU"/>
        </w:rPr>
      </w:pPr>
      <w:r>
        <w:rPr>
          <w:color w:val="000000"/>
          <w:spacing w:val="-4"/>
          <w:lang w:val="ru-RU"/>
        </w:rPr>
        <w:t>144.</w:t>
      </w:r>
      <w:r>
        <w:rPr>
          <w:color w:val="000000"/>
          <w:spacing w:val="-4"/>
          <w:lang w:val="ru-RU"/>
        </w:rPr>
        <w:tab/>
        <w:t>Правительство одобрило Й</w:t>
      </w:r>
      <w:r>
        <w:rPr>
          <w:spacing w:val="-4"/>
          <w:lang w:val="ru-RU"/>
        </w:rPr>
        <w:t>окогамское глобальное обязательство 2001 года по искоренению сексуальной эксплуатации детей в коммерческих целях. Оно серьезно рассматривает возможность ратификации принятых Организацией Объединенных Наций документов, в том числе Протокола о предупреждении и пресечении торговли людьми, особенно женщинами и детьми, и наказании за нее;</w:t>
      </w:r>
      <w:r>
        <w:rPr>
          <w:color w:val="000000"/>
          <w:spacing w:val="-4"/>
          <w:lang w:val="ru-RU"/>
        </w:rPr>
        <w:t xml:space="preserve"> </w:t>
      </w:r>
      <w:r>
        <w:rPr>
          <w:spacing w:val="-4"/>
          <w:lang w:val="ru-RU"/>
        </w:rPr>
        <w:t>Факультативного протокола, касающегося участия детей в вооруженных конфликтах и Факультативного протокола, касающегося торговли детьми, детской проституции и детской порнографии. Правительство также приняло меры по исполнению обязательств, принятых на Всемирном конгрессе по борьбе с эксплуатацией детей в коммерческих целях</w:t>
      </w:r>
      <w:r>
        <w:rPr>
          <w:color w:val="000000"/>
          <w:spacing w:val="-4"/>
          <w:lang w:val="ru-RU"/>
        </w:rPr>
        <w:t xml:space="preserve"> (Стокгольм, 1996 года). </w:t>
      </w:r>
    </w:p>
    <w:p w:rsidR="00D80435" w:rsidRDefault="00D80435">
      <w:pPr>
        <w:spacing w:after="200"/>
        <w:rPr>
          <w:color w:val="000000"/>
          <w:lang w:val="ru-RU"/>
        </w:rPr>
      </w:pPr>
      <w:r>
        <w:rPr>
          <w:color w:val="000000"/>
          <w:lang w:val="ru-RU"/>
        </w:rPr>
        <w:t>145.</w:t>
      </w:r>
      <w:r>
        <w:rPr>
          <w:color w:val="000000"/>
          <w:lang w:val="ru-RU"/>
        </w:rPr>
        <w:tab/>
        <w:t>Проблема торговли людьми была также затронута в ходе общественно значимых судебных слушаний. В деле "Вишал Джит против Индийского союза" (</w:t>
      </w:r>
      <w:r>
        <w:rPr>
          <w:color w:val="000000"/>
          <w:lang w:val="en-GB"/>
        </w:rPr>
        <w:t>AIR</w:t>
      </w:r>
      <w:r>
        <w:rPr>
          <w:color w:val="000000"/>
          <w:lang w:val="ru-RU"/>
        </w:rPr>
        <w:t> 1990 </w:t>
      </w:r>
      <w:r>
        <w:rPr>
          <w:color w:val="000000"/>
          <w:lang w:val="en-GB"/>
        </w:rPr>
        <w:t>SC</w:t>
      </w:r>
      <w:r>
        <w:rPr>
          <w:color w:val="000000"/>
          <w:lang w:val="ru-RU"/>
        </w:rPr>
        <w:t> 1412) Верховный суд постановил учредить Зональный консультативный комитет, на который были возложены функции по созданию реабилитационных учреждений для жертв девадаси и йогини. В деле Гаурава Джаина [(1990 (</w:t>
      </w:r>
      <w:r>
        <w:rPr>
          <w:color w:val="000000"/>
          <w:lang w:val="en-GB"/>
        </w:rPr>
        <w:t>Supplement</w:t>
      </w:r>
      <w:r>
        <w:rPr>
          <w:color w:val="000000"/>
          <w:lang w:val="ru-RU"/>
        </w:rPr>
        <w:t xml:space="preserve">) </w:t>
      </w:r>
      <w:r>
        <w:rPr>
          <w:color w:val="000000"/>
          <w:lang w:val="en-GB"/>
        </w:rPr>
        <w:t>SCC</w:t>
      </w:r>
      <w:r>
        <w:rPr>
          <w:color w:val="000000"/>
          <w:lang w:val="ru-RU"/>
        </w:rPr>
        <w:t xml:space="preserve"> 709; 1997(8) </w:t>
      </w:r>
      <w:r>
        <w:rPr>
          <w:color w:val="000000"/>
          <w:lang w:val="en-GB"/>
        </w:rPr>
        <w:t>SCC</w:t>
      </w:r>
      <w:r>
        <w:rPr>
          <w:color w:val="000000"/>
          <w:lang w:val="ru-RU"/>
        </w:rPr>
        <w:t xml:space="preserve"> 114 </w:t>
      </w:r>
      <w:r>
        <w:rPr>
          <w:color w:val="000000"/>
          <w:lang w:val="en-GB"/>
        </w:rPr>
        <w:t>and</w:t>
      </w:r>
      <w:r>
        <w:rPr>
          <w:color w:val="000000"/>
          <w:lang w:val="ru-RU"/>
        </w:rPr>
        <w:t xml:space="preserve"> 1998 (4) </w:t>
      </w:r>
      <w:r>
        <w:rPr>
          <w:color w:val="000000"/>
          <w:lang w:val="en-GB"/>
        </w:rPr>
        <w:t>SCC</w:t>
      </w:r>
      <w:r>
        <w:rPr>
          <w:color w:val="000000"/>
          <w:lang w:val="ru-RU"/>
        </w:rPr>
        <w:t xml:space="preserve"> 270)] Верховный суд дал ряд директивных указаний правительству в отношении детей, матери которых занимаются проституцией, а в судебном деле, затрагивающем публичные интересы, возбужденном доктором Упендрой Бакси (1986 (4) </w:t>
      </w:r>
      <w:r>
        <w:rPr>
          <w:color w:val="000000"/>
          <w:lang w:val="en-GB"/>
        </w:rPr>
        <w:t>SCC</w:t>
      </w:r>
      <w:r>
        <w:rPr>
          <w:color w:val="000000"/>
          <w:lang w:val="ru-RU"/>
        </w:rPr>
        <w:t xml:space="preserve"> 106). Верховный суд издал ряд постановлений относительно административного управления и услуг, предоставляемых в государственных реабилитационных учреждениях и домах предварительного заключения для малолетних правонарушителей. </w:t>
      </w:r>
    </w:p>
    <w:p w:rsidR="00D80435" w:rsidRDefault="00D80435">
      <w:pPr>
        <w:spacing w:after="200"/>
        <w:rPr>
          <w:color w:val="000000"/>
          <w:lang w:val="ru-RU"/>
        </w:rPr>
      </w:pPr>
      <w:r>
        <w:rPr>
          <w:color w:val="000000"/>
          <w:lang w:val="ru-RU"/>
        </w:rPr>
        <w:t>146.</w:t>
      </w:r>
      <w:r>
        <w:rPr>
          <w:color w:val="000000"/>
          <w:lang w:val="ru-RU"/>
        </w:rPr>
        <w:tab/>
        <w:t xml:space="preserve">Во исполнение указанных директив правительство учредило на федеральном уровне Центральный консультативный комитет по проблеме детской проституции и соответствующие комитеты на уровне штатов, на которые были возложены функции по борьбе с торговлей людьми, а также защита и реабилитация жертв. Для изучения этой проблемы и разработки соответствующих мероприятий по освобождению и реабилитации жертв был сформирован Комитет по проблеме проституции, малолетних проституток и детей проституток. В 1998 году Комитет разработал Национальный план действий по борьбе с торговлей и сексуальной эксплуатацией женщин и детей, в котором, среди прочего, предусмотрены превентивные и правоохранительные мероприятия, законодательные меры, а также предоставление базовых услуг жертвам проституции, их освобождение и реабилитация, программы по повышению информированности и мобилизации общественности. Целью Плана действий является социальная реабилитация женщин и детей, ставших жертвами проституции и их интеграция в жизнь общества. Центральный консультативный комитет по проблеме детской проституции, осуществляет наблюдение над процессом реализации Плана действий. Правительство назначило сотрудников Центрального бюро расследований (ЦБР), занимающих должности инспекторов и выше, офицерами полиции по борьбе с торговлей людьми и поручило им расследование случаев незаконной торговли людьми между штатами. </w:t>
      </w:r>
    </w:p>
    <w:p w:rsidR="00D80435" w:rsidRDefault="00D80435">
      <w:pPr>
        <w:spacing w:after="200"/>
        <w:rPr>
          <w:color w:val="000000"/>
          <w:spacing w:val="-4"/>
          <w:lang w:val="ru-RU"/>
        </w:rPr>
      </w:pPr>
      <w:r>
        <w:rPr>
          <w:color w:val="000000"/>
          <w:spacing w:val="-4"/>
          <w:lang w:val="ru-RU"/>
        </w:rPr>
        <w:t>147.</w:t>
      </w:r>
      <w:r>
        <w:rPr>
          <w:color w:val="000000"/>
          <w:spacing w:val="-4"/>
          <w:lang w:val="ru-RU"/>
        </w:rPr>
        <w:tab/>
        <w:t>В 2001 году в рамках Национальной комиссии по правам человека (НКПЧ) был учрежден Координационный центр по правам женщин, деятельность которого охватывает проблемы, связанные с торговлей людьми; кроме того, в целях мониторинга проблемы торговли людьми во всех штатах и союзных территориях был создана сеть узловых сотрудников-координаторов. В октябре 2001 года Координационный центр подготовил информационный пакет по проблеме торговли женщинами и детьми, предназначенный для просвещения общественности по различным аспектам этой проблемы. На региональном уровне правительство совместно с НПО организовало мероприятия по повышению осведомленности общества в отношении масштабов проблемы торговли людьми и провело свыше двадцати семинаров-практикумов по этой теме. С участием телевидения и печатных СМИ была осуществления пропагандистская кампания в средствах массовой информации. Центральное правительство, Национальная комиссия по правам человека и НПО при содействии ЮНИСЕФ и других учреждений Организации Объединенных Наций в настоящее время анализируют ситуацию и проводят исследования, с тем чтобы документально зафиксировать масштабы проблемы и распространенность этого явления, а также определить направления действий.</w:t>
      </w:r>
    </w:p>
    <w:p w:rsidR="00D80435" w:rsidRDefault="00D80435">
      <w:pPr>
        <w:spacing w:after="200"/>
        <w:rPr>
          <w:color w:val="000000"/>
          <w:lang w:val="ru-RU"/>
        </w:rPr>
      </w:pPr>
      <w:r>
        <w:rPr>
          <w:color w:val="000000"/>
          <w:lang w:val="ru-RU"/>
        </w:rPr>
        <w:t>148.</w:t>
      </w:r>
      <w:r>
        <w:rPr>
          <w:color w:val="000000"/>
          <w:lang w:val="ru-RU"/>
        </w:rPr>
        <w:tab/>
        <w:t xml:space="preserve">Национальная комиссия по правам человека в сотрудничестве с ЮНИФЕМ и Институтом по социальному просвещению женщин в январе 2003 года разработала программу по предотвращению секс-туризма и торговли людьми, призванную повысить уровень осведомленности населения в отношении этой проблемы. Правительство решило принять глобальный этический кодекс по туризму, который запрещает сексуальную эксплуатацию детей в целях секс-туризма. Кроме того, центральное правительство потребовало от </w:t>
      </w:r>
      <w:r>
        <w:rPr>
          <w:lang w:val="ru-RU"/>
        </w:rPr>
        <w:t xml:space="preserve">главных секретарей </w:t>
      </w:r>
      <w:r>
        <w:rPr>
          <w:color w:val="000000"/>
          <w:lang w:val="ru-RU"/>
        </w:rPr>
        <w:t xml:space="preserve">всех штатов и союзных территорий и Генерального директора по туризму законодательно обязать всех владельцев гостиниц и сдаваемых в аренду помещений размещать на видном месте у стойки приема посетителей обращения, направленные против торговли людьми, а также информацию об уголовной ответственности за сексуальную эксплуатацию. </w:t>
      </w:r>
    </w:p>
    <w:p w:rsidR="00D80435" w:rsidRDefault="00D80435">
      <w:pPr>
        <w:rPr>
          <w:color w:val="000000"/>
          <w:lang w:val="ru-RU"/>
        </w:rPr>
      </w:pPr>
      <w:r>
        <w:rPr>
          <w:color w:val="000000"/>
          <w:lang w:val="ru-RU"/>
        </w:rPr>
        <w:t>149.</w:t>
      </w:r>
      <w:r>
        <w:rPr>
          <w:color w:val="000000"/>
          <w:lang w:val="ru-RU"/>
        </w:rPr>
        <w:tab/>
        <w:t xml:space="preserve">Различные штаты, в том числе Дели, Карнатака, Андхра-Прадеш, Махараштра, </w:t>
      </w:r>
      <w:r>
        <w:rPr>
          <w:lang w:val="ru-RU"/>
        </w:rPr>
        <w:t xml:space="preserve">Западная Бенгалия, </w:t>
      </w:r>
      <w:r>
        <w:rPr>
          <w:color w:val="000000"/>
          <w:lang w:val="ru-RU"/>
        </w:rPr>
        <w:t xml:space="preserve">Тамилнад, Раджастан и Бихар, предприняли ряд серьезных действий по освобождению девочек и их репатриации в родные штаты/страны при активном содействии полиции, правительства и НПО. В соответствии с Комплексным планом оказания услуг в сфере детского развития в районе Калькутты Сонагачхи, в районе Каматхипура в Мумбае и других местах осуществляются специальные проекты в отношении детей, матери которых занимаются проституцией. Предпринимаются усилия по предоставлению освобожденным женщинам и девочкам услуг по консультированию. В процессе реализации находится План действий по консультированию, осуществляемый в партнерстве с различными правительственными учреждениями. Правительство организует просветительские программы для населения, проживающего в районах, где осуществляется торговля людьми, особенно в районах, прилегающих к Непалу и Бангладеш. </w:t>
      </w:r>
    </w:p>
    <w:p w:rsidR="00D80435" w:rsidRDefault="00D80435">
      <w:pPr>
        <w:rPr>
          <w:color w:val="000000"/>
          <w:lang w:val="ru-RU"/>
        </w:rPr>
      </w:pPr>
      <w:r>
        <w:rPr>
          <w:color w:val="000000"/>
          <w:lang w:val="ru-RU"/>
        </w:rPr>
        <w:t>150.</w:t>
      </w:r>
      <w:r>
        <w:rPr>
          <w:color w:val="000000"/>
          <w:lang w:val="ru-RU"/>
        </w:rPr>
        <w:tab/>
      </w:r>
      <w:r>
        <w:rPr>
          <w:b/>
          <w:color w:val="000000"/>
          <w:lang w:val="ru-RU"/>
        </w:rPr>
        <w:t>Программа по сокращению нищеты как средство борьбы с торговлей людьми</w:t>
      </w:r>
      <w:r>
        <w:rPr>
          <w:color w:val="000000"/>
          <w:lang w:val="ru-RU"/>
        </w:rPr>
        <w:t>: Центральное правительство приняло межсекторальный подход к предотвращению, освобождению, реабилитации и реинтеграции женщин и детей, подвергшихся сексуальной эксплуатации. Поскольку нищета является одной из причин сексуальной эксплуатации, правительство пытается решить эту проблему посредством реализации различных программ по сокращению нищеты, в частности таких, как Сварна Джайанти Грамин Роджгар Йоджана (</w:t>
      </w:r>
      <w:r>
        <w:rPr>
          <w:color w:val="000000"/>
        </w:rPr>
        <w:t>SJGRY</w:t>
      </w:r>
      <w:r>
        <w:rPr>
          <w:color w:val="000000"/>
          <w:lang w:val="ru-RU"/>
        </w:rPr>
        <w:t>), Сварна Джайанти Шахри Роджгар Йоджана (</w:t>
      </w:r>
      <w:r>
        <w:rPr>
          <w:color w:val="000000"/>
        </w:rPr>
        <w:t>SJGRY</w:t>
      </w:r>
      <w:r>
        <w:rPr>
          <w:color w:val="000000"/>
          <w:lang w:val="ru-RU"/>
        </w:rPr>
        <w:t xml:space="preserve">), Плана по предоставлению гарантий занятости, </w:t>
      </w:r>
      <w:r>
        <w:rPr>
          <w:lang w:val="ru-RU"/>
        </w:rPr>
        <w:t xml:space="preserve">программы "Продовольствие в оплату за труд", а также с помощью мер по развитию </w:t>
      </w:r>
      <w:r>
        <w:rPr>
          <w:color w:val="000000"/>
          <w:lang w:val="ru-RU"/>
        </w:rPr>
        <w:t xml:space="preserve">самостоятельной занятости посредством профессиональной подготовки и предоставления микрокредитов микропредприятиям. Ежегодно правительство тратит соответственно 60 млрд. рупий и 2 млрд. рупий на программы сокращения нищеты в городских и сельских районах. Кроме того, через "Сеть снабжения продовольствием и товарами гражданского назначения" предоставляются субсидии на распределение продовольственного зерна, причем годовой объем этих субсидий достигает 90 млрд. рупий. Суммарным эффектом этих усилий стало снижение в 2000 году уровня бедности до 26 процентов по сравнению с 50 процентами в 1973 году. Есть надежда, что указанные программы, проводимые в целях борьбы с нищетой, будут также содействовать сокращению торговли людьми. </w:t>
      </w:r>
    </w:p>
    <w:p w:rsidR="00D80435" w:rsidRDefault="00D80435">
      <w:pPr>
        <w:rPr>
          <w:color w:val="000000"/>
          <w:lang w:val="ru-RU"/>
        </w:rPr>
      </w:pPr>
      <w:r>
        <w:rPr>
          <w:color w:val="000000"/>
          <w:lang w:val="ru-RU"/>
        </w:rPr>
        <w:t>151.</w:t>
      </w:r>
      <w:r>
        <w:rPr>
          <w:color w:val="000000"/>
          <w:lang w:val="ru-RU"/>
        </w:rPr>
        <w:tab/>
        <w:t xml:space="preserve">Если мальчиков в основном продают как детскую рабочую силу, то торговля девочками ведется главным образом для сексуальной эксплуатации в коммерческих целях. Правительство пытается сдержать и предотвратить торговлю детьми, максимально расширяя сферу действия плана КПДР (в отношении детей от 0 до 6 лет) и программы Сарва Шикша Абхиян (для детей от 6 до 14 лет). Программы Балика Самридхи Йоджана и Кишори Шакти Йоджана также нацелены на удовлетворение потребностей девочек в плане их выживания, образования и расширения прав и возможностей. </w:t>
      </w:r>
    </w:p>
    <w:p w:rsidR="00D80435" w:rsidRDefault="00D80435">
      <w:pPr>
        <w:rPr>
          <w:color w:val="000000"/>
          <w:lang w:val="ru-RU"/>
        </w:rPr>
      </w:pPr>
      <w:r>
        <w:rPr>
          <w:color w:val="000000"/>
          <w:lang w:val="ru-RU"/>
        </w:rPr>
        <w:t>152.</w:t>
      </w:r>
      <w:r>
        <w:rPr>
          <w:color w:val="000000"/>
          <w:lang w:val="ru-RU"/>
        </w:rPr>
        <w:tab/>
      </w:r>
      <w:r>
        <w:rPr>
          <w:b/>
          <w:color w:val="000000"/>
          <w:lang w:val="ru-RU"/>
        </w:rPr>
        <w:t>Специальные программы для женщин, занимающихся проституцией</w:t>
      </w:r>
      <w:r>
        <w:rPr>
          <w:color w:val="000000"/>
          <w:lang w:val="ru-RU"/>
        </w:rPr>
        <w:t>: в декабре 2001 года правительство приступило к реализации программы под названием Свадхар, разработанной для женщин, оказавшихся в сложных жизненных ситуациях, в том числе женщин, ставших жертвами торговли. Предусмотренные программой средства позволяют немедленно обеспечить освобожденных жертв временным жильем, предоставить услуги по консультированию и социально-экономической реабилитации путем обучения и развития навыков, а также оказать медицинскую и правовую поддержку. Эта целостная программа реализуется в партнерстве с НПО. Для борьбы с торговлей женщинами и детьми для сексуальной эксплуатации в коммерческих целях Департамент по развитию женщин и детей разработал программу "Целевые субсидии на проекты по оказанию помощи". Эта программа нацелена на решение двух основных задач: первая – предотвращение торговли людьми "у ее источника", вторая – освобождение жертв и их реабилитация в районах назначения. Мероприятия, осуществляемые "у источника", предусматривают расширение прав и возможностей девочек и женщин с помощью информационно-пропагандистских мероприятий, обучения и профессиональной подготовки, путем осуществления программ сокращения нищеты, а также схем предоставления микрокредитов через женские группы, группы самопомощи и панчаяты. В районах назначения основной упор делается на меры по освобождению жертв и их реабилитации. Реализуемые в партнерстве с рядом НПО программы Свадхар и "Целевые субсидии на проекты по оказанию помощи" получили весьма высокую оценку. По состоянию на март 2004 года в рамках программы Свадхар были получены разрешения на реализацию одиннадцати проектов, и 24 новых проекта были санкционированы в 2004–2005 годах</w:t>
      </w:r>
      <w:r>
        <w:rPr>
          <w:snapToGrid w:val="0"/>
          <w:color w:val="000000"/>
          <w:lang w:val="ru-RU"/>
        </w:rPr>
        <w:t>.</w:t>
      </w:r>
      <w:r>
        <w:rPr>
          <w:color w:val="000000"/>
          <w:lang w:val="ru-RU"/>
        </w:rPr>
        <w:t xml:space="preserve"> </w:t>
      </w:r>
    </w:p>
    <w:p w:rsidR="00D80435" w:rsidRDefault="00D80435">
      <w:pPr>
        <w:rPr>
          <w:lang w:val="ru-RU"/>
        </w:rPr>
      </w:pPr>
      <w:r>
        <w:rPr>
          <w:color w:val="000000"/>
          <w:lang w:val="ru-RU"/>
        </w:rPr>
        <w:t>153.</w:t>
      </w:r>
      <w:r>
        <w:rPr>
          <w:color w:val="000000"/>
          <w:lang w:val="ru-RU"/>
        </w:rPr>
        <w:tab/>
        <w:t>Правительства многих штатов приняли ряд мер по борьбе с торговлей людьми. Штаты Махараштра, Андхра-Прадеш и Карнатака приступили к осуществлению специальных мероприятий по реабилитации жертв девадаси. В штате Андхра-Прадеш на уровне штата была принята программа по борьбе с торговлей женщинами и детьми, а в штате Бихар начал реализовываться местный План действий по оказанию материальной помощи женщинам и детям, ставшим жертвами торговли, и их реабилитации. Штат Мадхья-Прадеш приступил к выполнению программы Джабали, в которой основной акцент делается на социальное обеспечение и расширение возможностей женщин и детей, ставших жертвами торговли. В штате Махараштра были открыты 50 консультационных центров по семейным вопросам и учрежден Комитет по мониторингу, осуществляющий контроль над работой детских домов. В штате Тамилнад предпринят целый ряд шагов по борьбе с торговлей людьми, в частности для решения проблем, связанных с торговлей людьми, было создано Подразделение полиции нравов, сформированы Районный консультативный комитет и поселковые наблюдательные комитеты, а также Фонд социальной защиты женщин и детей и их реабилитации. Были приняты меры по выявлению схем нелегальной торговли людьми, в том числе определены районы происхождения, маршруты транзита и пункты назначения и, кроме того, созданы кризисные центры по предотвращению насилия в отношении детей. В штате Западная Бенгалия были организованы дома для проживания ВИЧ-инфицированных лиц, подвергшихся сексуальной эксплуатации. В штате Гоа в 2003 году принят Закон о детях, в котором предусмотрены строгие меры контроля, регулирующие доступ детей к порнографическим материалам</w:t>
      </w:r>
      <w:r>
        <w:rPr>
          <w:lang w:val="ru-RU"/>
        </w:rPr>
        <w:t xml:space="preserve">. </w:t>
      </w:r>
    </w:p>
    <w:p w:rsidR="00D80435" w:rsidRDefault="00D80435">
      <w:pPr>
        <w:rPr>
          <w:color w:val="000000"/>
          <w:lang w:val="ru-RU"/>
        </w:rPr>
      </w:pPr>
      <w:r>
        <w:rPr>
          <w:color w:val="000000"/>
          <w:lang w:val="ru-RU"/>
        </w:rPr>
        <w:t>154.</w:t>
      </w:r>
      <w:r>
        <w:rPr>
          <w:color w:val="000000"/>
          <w:lang w:val="ru-RU"/>
        </w:rPr>
        <w:tab/>
        <w:t xml:space="preserve">Принимаются меры по повышению восприимчивости сотрудников правоохранительной системы, полиции и органов юстиции к этой проблематике. Проводятся различные просветительско-информационные программы для повышения уровня осведомленности полицейских в отношении законодательных положений, касающихся гендерной тематики. Организуются совещания с сотрудниками судебных органов; для офицеров полиции и судейского корпуса разрабатывается руководство по ведению дел, подпадающих под Закон о предотвращении аморальной торговли людьми. </w:t>
      </w:r>
    </w:p>
    <w:p w:rsidR="00D80435" w:rsidRDefault="00D80435">
      <w:pPr>
        <w:spacing w:after="280"/>
        <w:rPr>
          <w:color w:val="000000"/>
          <w:lang w:val="ru-RU"/>
        </w:rPr>
      </w:pPr>
      <w:r>
        <w:rPr>
          <w:color w:val="000000"/>
          <w:lang w:val="ru-RU"/>
        </w:rPr>
        <w:t>155.</w:t>
      </w:r>
      <w:r>
        <w:rPr>
          <w:color w:val="000000"/>
          <w:lang w:val="ru-RU"/>
        </w:rPr>
        <w:tab/>
        <w:t>Было зафиксировано несколько случаев замужества несовершеннолетних девочек младшего возраста с взрослыми мужчинами, в основном из стран Персидского залива. Для пресечения случаев замужества несовершеннолетних девочек правительство направило инструкции дипломатическим представительствам за границей проводить более тщательную проверку заявлений на получение визы, поступающих от граждан из стран Персидского залива. Поскольку подобные браки с несовершеннолетними девочками являются противозаконными, были выработаны соответствующие правила. Отдел стран Персидского залива проинструктировал в ходе обмена информацией свои посольства в странах Персидского залива по этому вопросу. Были также направлены инструкции всем управляющим находящихся в Индии гостиниц и/или владельцам помещений, предоставляемых в аренду, с требованием сообщать полиции в течение 24 часов о прибытии в их заведения любого иностранца. Им также было предписано выяснять по соответствующей форме личные данные иностранцев, в том числе фамилию, гражданство, номер паспорта и т. д.</w:t>
      </w:r>
    </w:p>
    <w:p w:rsidR="00D80435" w:rsidRDefault="00D80435">
      <w:pPr>
        <w:rPr>
          <w:b/>
          <w:color w:val="000000"/>
          <w:lang w:val="ru-RU"/>
        </w:rPr>
      </w:pPr>
      <w:r>
        <w:rPr>
          <w:b/>
          <w:color w:val="000000"/>
          <w:lang w:val="ru-RU"/>
        </w:rPr>
        <w:t xml:space="preserve">Гражданское общество </w:t>
      </w:r>
    </w:p>
    <w:p w:rsidR="00D80435" w:rsidRDefault="00D80435">
      <w:pPr>
        <w:spacing w:after="400"/>
        <w:rPr>
          <w:color w:val="000000"/>
          <w:lang w:val="ru-RU"/>
        </w:rPr>
      </w:pPr>
      <w:r>
        <w:rPr>
          <w:color w:val="000000"/>
          <w:lang w:val="ru-RU"/>
        </w:rPr>
        <w:t>156.</w:t>
      </w:r>
      <w:r>
        <w:rPr>
          <w:color w:val="000000"/>
          <w:lang w:val="ru-RU"/>
        </w:rPr>
        <w:tab/>
        <w:t xml:space="preserve">Организации гражданского общества активно привлекаются к работе в различных программах, спонсорами которых выступает правительство. Многие НПО содержат приюты и занимаются освобождением и реабилитацией женщин. Они работают на местном уровне, предоставляя поддержку женщинам, занимающимся проституцией, и женщинам – жертвам торговли, способствуя улучшению экономического положения этой уязвимой группы, обеспечению их личных прав, а также содействуя их участию в программах предотвращения ВИЧ/СПИД. </w:t>
      </w:r>
    </w:p>
    <w:p w:rsidR="00D80435" w:rsidRDefault="00D80435">
      <w:pPr>
        <w:rPr>
          <w:b/>
          <w:color w:val="000000"/>
          <w:lang w:val="ru-RU"/>
        </w:rPr>
      </w:pPr>
      <w:r>
        <w:rPr>
          <w:b/>
          <w:color w:val="000000"/>
          <w:lang w:val="ru-RU"/>
        </w:rPr>
        <w:t xml:space="preserve">Трансграничная торговля людьми </w:t>
      </w:r>
    </w:p>
    <w:p w:rsidR="00D80435" w:rsidRDefault="00D80435">
      <w:pPr>
        <w:rPr>
          <w:color w:val="000000"/>
          <w:lang w:val="ru-RU"/>
        </w:rPr>
      </w:pPr>
      <w:r>
        <w:rPr>
          <w:color w:val="000000"/>
          <w:lang w:val="ru-RU"/>
        </w:rPr>
        <w:t xml:space="preserve">157. </w:t>
      </w:r>
      <w:r>
        <w:rPr>
          <w:color w:val="000000"/>
          <w:lang w:val="ru-RU"/>
        </w:rPr>
        <w:tab/>
        <w:t xml:space="preserve">В последнее время значительные масштабы приобрела трансграничная торговля людьми между странами – членами СААРК. Росту масштабов этой торговли способствовали такие факторы, как глобализация, экономическое неравенство между странами, развитие современных средств транспорта, отсутствие возможностей трудоустройства, спрос со стороны индустрии развлечений и т. д. Трансграничная торговля людьми приводит к конфликтам между положениями иммиграционных законов и мерами по освобождению и реабилитации женщин. Правительство совместно с Центральным бюро по наркотикам серьезно рассматривает вопрос о создании координационного центра для противодействия деятельности торговцев людьми как в области трансграничной торговли, так и в торговле между штатами. Это предложение проходит согласование. </w:t>
      </w:r>
    </w:p>
    <w:p w:rsidR="00D80435" w:rsidRDefault="00D80435">
      <w:pPr>
        <w:rPr>
          <w:lang w:val="ru-RU"/>
        </w:rPr>
      </w:pPr>
      <w:r>
        <w:rPr>
          <w:snapToGrid w:val="0"/>
          <w:lang w:val="ru-RU"/>
        </w:rPr>
        <w:t>158.</w:t>
      </w:r>
      <w:r>
        <w:rPr>
          <w:snapToGrid w:val="0"/>
          <w:lang w:val="ru-RU"/>
        </w:rPr>
        <w:tab/>
        <w:t xml:space="preserve">В целях предотвращения трансграничной торговли людьми </w:t>
      </w:r>
      <w:r>
        <w:rPr>
          <w:color w:val="000000"/>
          <w:lang w:val="ru-RU"/>
        </w:rPr>
        <w:t>одна из неправительственных организаций при содействии Национальной комиссии по правам человека организовала "точки патрулирования" на трех пропускных пунктах открытой индийско-непальской границы для выявления и пресечения случаев торговли людьми. Генеральные директора Управлений полиции штатов Уттар-Прадеш, Бихар и Западная Бенгалия получили инструкции оказывать содействие и сотрудничать с заинтересованными НПО в области предотвращения торговли женщинами и детьми в приграничной зоне. Ведутся серьезные переговоры между Национальными комиссиями по правам человека Индии и Непала о разработке совместного проекта в области борьбы с трансграничной торговлей детьми между этими двумя странами</w:t>
      </w:r>
      <w:r>
        <w:rPr>
          <w:lang w:val="ru-RU"/>
        </w:rPr>
        <w:t xml:space="preserve">. </w:t>
      </w:r>
    </w:p>
    <w:p w:rsidR="00D80435" w:rsidRDefault="00D80435">
      <w:pPr>
        <w:spacing w:after="340"/>
        <w:rPr>
          <w:color w:val="000000"/>
          <w:lang w:val="ru-RU"/>
        </w:rPr>
      </w:pPr>
      <w:r>
        <w:rPr>
          <w:color w:val="000000"/>
          <w:lang w:val="ru-RU"/>
        </w:rPr>
        <w:t>159.</w:t>
      </w:r>
      <w:r>
        <w:rPr>
          <w:color w:val="000000"/>
          <w:lang w:val="ru-RU"/>
        </w:rPr>
        <w:tab/>
        <w:t xml:space="preserve">Усилия правительства создали благоприятный политический климат для такого рода деятельности. В своей Национальной политике по расширению прав и возможностей женщин 2001 года правительство сделало особый упор на программы и меры, направленные на решение проблем женщин, оказавшихся в сложной ситуации. Азиатский банк развития недавно завершил свой проект, осуществлявшийся во взаимодействии с правительствами Индии, Бангладеш и Непала, по оценке масштабов этой проблемы и разработке методов борьбы с торговлей женщинами и детьми в Южной Азии. </w:t>
      </w:r>
    </w:p>
    <w:p w:rsidR="00D80435" w:rsidRDefault="00D80435">
      <w:pPr>
        <w:rPr>
          <w:b/>
          <w:color w:val="000000"/>
          <w:lang w:val="ru-RU"/>
        </w:rPr>
      </w:pPr>
      <w:r>
        <w:rPr>
          <w:b/>
          <w:color w:val="000000"/>
          <w:lang w:val="ru-RU"/>
        </w:rPr>
        <w:t xml:space="preserve">Предстоящие задачи </w:t>
      </w:r>
    </w:p>
    <w:p w:rsidR="00D80435" w:rsidRDefault="00D80435">
      <w:pPr>
        <w:rPr>
          <w:lang w:val="ru-RU"/>
        </w:rPr>
      </w:pPr>
      <w:r>
        <w:rPr>
          <w:color w:val="000000"/>
          <w:lang w:val="ru-RU"/>
        </w:rPr>
        <w:t>160.</w:t>
      </w:r>
      <w:r>
        <w:rPr>
          <w:color w:val="000000"/>
          <w:lang w:val="ru-RU"/>
        </w:rPr>
        <w:tab/>
        <w:t>Отсутствие инфраструктуры, позволяющей обеспечить уход за ВИЧ</w:t>
      </w:r>
      <w:r>
        <w:rPr>
          <w:color w:val="000000"/>
          <w:lang w:val="ru-RU"/>
        </w:rPr>
        <w:noBreakHyphen/>
        <w:t>инфицированными женщинами и девочками, вызволенными у торговцев людьми, является еще одной проблемой, вызывающей немалую обеспокоенность, особенно в тех случаях, когда семьи отказываются принимать таких женщин. Хотя газеты публикуют статьи об утечке трудовых ресурсов в различные страны и фактах эксплуатации, которой подвергаются женщины в этих странах, систематического сбора данных по найму женщин в качестве домашней прислуги, а также по бракам девочек с мужчинами-иностранцами не проводится. Не были также разработаны модели эмиграционных потоков в этой области.</w:t>
      </w:r>
    </w:p>
    <w:p w:rsidR="00D80435" w:rsidRDefault="00D80435">
      <w:pPr>
        <w:rPr>
          <w:color w:val="000000"/>
          <w:lang w:val="ru-RU"/>
        </w:rPr>
      </w:pPr>
    </w:p>
    <w:p w:rsidR="00D80435" w:rsidRDefault="00D80435">
      <w:pPr>
        <w:jc w:val="center"/>
        <w:rPr>
          <w:b/>
          <w:color w:val="000000"/>
          <w:sz w:val="24"/>
          <w:lang w:val="ru-RU"/>
        </w:rPr>
      </w:pPr>
      <w:r>
        <w:rPr>
          <w:b/>
          <w:color w:val="000000"/>
          <w:sz w:val="24"/>
          <w:lang w:val="ru-RU"/>
        </w:rPr>
        <w:t>Статья 7.  Участие в политической и общественной жизни</w:t>
      </w:r>
    </w:p>
    <w:p w:rsidR="00D80435" w:rsidRDefault="00D80435">
      <w:pPr>
        <w:rPr>
          <w:b/>
          <w:color w:val="000000"/>
          <w:lang w:val="ru-RU"/>
        </w:rPr>
      </w:pPr>
      <w:r>
        <w:rPr>
          <w:b/>
          <w:color w:val="000000"/>
          <w:lang w:val="ru-RU"/>
        </w:rPr>
        <w:t xml:space="preserve">Справочная информация </w:t>
      </w:r>
    </w:p>
    <w:p w:rsidR="00D80435" w:rsidRDefault="00D80435">
      <w:pPr>
        <w:rPr>
          <w:color w:val="000000"/>
          <w:lang w:val="ru-RU"/>
        </w:rPr>
      </w:pPr>
      <w:r>
        <w:rPr>
          <w:color w:val="000000"/>
          <w:lang w:val="ru-RU"/>
        </w:rPr>
        <w:t>161.</w:t>
      </w:r>
      <w:r>
        <w:rPr>
          <w:color w:val="000000"/>
          <w:lang w:val="ru-RU"/>
        </w:rPr>
        <w:tab/>
        <w:t>Важным фактором, определяющим общественный статус женщин, является степень их участия в процессах принятия решений и формулирования политики.</w:t>
      </w:r>
    </w:p>
    <w:p w:rsidR="00D80435" w:rsidRDefault="00D80435">
      <w:pPr>
        <w:rPr>
          <w:color w:val="000000"/>
          <w:lang w:val="ru-RU"/>
        </w:rPr>
      </w:pPr>
      <w:r>
        <w:rPr>
          <w:color w:val="000000"/>
          <w:lang w:val="ru-RU"/>
        </w:rPr>
        <w:t>162.</w:t>
      </w:r>
      <w:r>
        <w:rPr>
          <w:color w:val="000000"/>
          <w:lang w:val="ru-RU"/>
        </w:rPr>
        <w:tab/>
        <w:t>Доля женщин, занимавших руководящие должности в обеих палатах парламента (Лок сабха, Раджья сабха) в период между 1997 и 2004 годами, не превышала 9 процентов. По данным парламентских выборов 2004 года, число женщин, избранных в нижнюю палату (Лок Сабха), сократилось с 49 (из общего числа в 543 депутатов) до 44 (из 539 депутатов), а женщин – депутатов верхней палаты (Раджья сабха) – увеличилось с 20 до 28 при общей численности в 245 депутатов. Хотя женщины и вышли на политическую арену, их представленность на руководящих постах остается весьма незначительной.</w:t>
      </w:r>
    </w:p>
    <w:p w:rsidR="00D80435" w:rsidRDefault="00D80435">
      <w:pPr>
        <w:spacing w:after="360"/>
        <w:rPr>
          <w:color w:val="000000"/>
          <w:lang w:val="ru-RU"/>
        </w:rPr>
      </w:pPr>
      <w:r>
        <w:rPr>
          <w:color w:val="000000"/>
          <w:lang w:val="ru-RU"/>
        </w:rPr>
        <w:t>163.</w:t>
      </w:r>
      <w:r>
        <w:rPr>
          <w:color w:val="000000"/>
          <w:lang w:val="ru-RU"/>
        </w:rPr>
        <w:tab/>
        <w:t xml:space="preserve">Чрезвычайно низок уровень представленности женщин в законодательных собраниях штатов. В Дели отмечается самая высокая доля женщин-депутатов (12,86 процента), затем следуют  Андхра-Прадеш (9,52 процента) и Керала (9,29 процента). В штатах Мизорам и Нагаленд вообще нет женщин-депутатов, а в штатах Манипур, Аруначал-Прадеш, Гуджарат, Джамму и Кашмир, а также Карнатака их доля не превышает одного процента. Это объясняется отсутствием поддержки со стороны политических партий, а также ограниченным доступом женщин к ресурсам (как кадровым, так и финансовым) и механизмам контроля над ними. Несмотря на это ряд женщин занимают должности главных министров штатов и другие министерские посты. </w:t>
      </w:r>
    </w:p>
    <w:p w:rsidR="00D80435" w:rsidRDefault="00D80435">
      <w:pPr>
        <w:rPr>
          <w:b/>
          <w:color w:val="000000"/>
          <w:lang w:val="ru-RU"/>
        </w:rPr>
      </w:pPr>
      <w:r>
        <w:rPr>
          <w:b/>
          <w:color w:val="000000"/>
          <w:lang w:val="ru-RU"/>
        </w:rPr>
        <w:t xml:space="preserve">Государственные инициативы </w:t>
      </w:r>
    </w:p>
    <w:p w:rsidR="00D80435" w:rsidRDefault="00D80435">
      <w:pPr>
        <w:rPr>
          <w:color w:val="000000"/>
          <w:lang w:val="ru-RU"/>
        </w:rPr>
      </w:pPr>
      <w:r>
        <w:rPr>
          <w:color w:val="000000"/>
          <w:lang w:val="ru-RU"/>
        </w:rPr>
        <w:t>164.</w:t>
      </w:r>
      <w:r>
        <w:rPr>
          <w:color w:val="000000"/>
          <w:lang w:val="ru-RU"/>
        </w:rPr>
        <w:tab/>
        <w:t xml:space="preserve">Правительство приняло ряд мер, включая позитивные действия по устранению исторических и политических факторов, препятствующих полноправному и эффективному участию женщин в политической и общественной жизни. </w:t>
      </w:r>
    </w:p>
    <w:p w:rsidR="00D80435" w:rsidRDefault="00D80435">
      <w:pPr>
        <w:rPr>
          <w:color w:val="000000"/>
          <w:lang w:val="ru-RU"/>
        </w:rPr>
      </w:pPr>
      <w:r>
        <w:rPr>
          <w:color w:val="000000"/>
          <w:lang w:val="ru-RU"/>
        </w:rPr>
        <w:t>165.</w:t>
      </w:r>
      <w:r>
        <w:rPr>
          <w:color w:val="000000"/>
          <w:lang w:val="ru-RU"/>
        </w:rPr>
        <w:tab/>
        <w:t xml:space="preserve">Конституция Индии гарантирует равные политические права для женщин и мужчин. Они включают право голоса, право баллотироваться на выборах, право занимать государственную должность </w:t>
      </w:r>
      <w:r>
        <w:rPr>
          <w:lang w:val="ru-RU"/>
        </w:rPr>
        <w:t xml:space="preserve">и право создавать ассоциации или союзы. Конституция также предусматривает позитивную дискриминацию </w:t>
      </w:r>
      <w:r>
        <w:rPr>
          <w:color w:val="000000"/>
          <w:lang w:val="ru-RU"/>
        </w:rPr>
        <w:t>в пользу женщин.</w:t>
      </w:r>
    </w:p>
    <w:p w:rsidR="00D80435" w:rsidRDefault="00D80435">
      <w:pPr>
        <w:rPr>
          <w:color w:val="000000"/>
          <w:lang w:val="ru-RU"/>
        </w:rPr>
      </w:pPr>
      <w:r>
        <w:rPr>
          <w:color w:val="000000"/>
          <w:lang w:val="ru-RU"/>
        </w:rPr>
        <w:t>166.</w:t>
      </w:r>
      <w:r>
        <w:rPr>
          <w:color w:val="000000"/>
          <w:lang w:val="ru-RU"/>
        </w:rPr>
        <w:tab/>
        <w:t xml:space="preserve">Приняв в 1993 году 73-ю и 74-ю поправки к Конституции, правительство предприняло позитивные действия по расширению участия женщин в институтах самоуправления и руководящих органах. Эти законодательные положения предусматривают не только резервирование для женщин 1/3 общего количества депутатских мандатов на всех уровнях местного управления, но и 1/3 всех должностей председателей в этих выборных органах как в городах, так и в сельских районах. Кроме того, предусматривается резервирование не менее одной трети всех мест, выделенных для включенных в списки каст и племен, в пользу женщин – представительниц этих каст и племен. Благодаря этой инициативе в масштабах всей страны свыше миллиона женщин заняли государственные должности. </w:t>
      </w:r>
    </w:p>
    <w:p w:rsidR="00D80435" w:rsidRDefault="00D80435">
      <w:pPr>
        <w:rPr>
          <w:color w:val="000000"/>
          <w:lang w:val="ru-RU"/>
        </w:rPr>
      </w:pPr>
      <w:r>
        <w:rPr>
          <w:color w:val="000000"/>
          <w:lang w:val="ru-RU"/>
        </w:rPr>
        <w:t>167.</w:t>
      </w:r>
      <w:r>
        <w:rPr>
          <w:color w:val="000000"/>
          <w:lang w:val="ru-RU"/>
        </w:rPr>
        <w:tab/>
        <w:t>В целях расширения сферы действия законодательства по панчаятам на районы 9 штатов, где проживают племена, в 1996 году был принят Закон о панчаятах (расширении зарегистрированных областей) (ЗПЗО). В ходе состоявшегося в сентябре 2004 года "круглого стола" министров, курирующих панчаяты радж, были определены направления действий, в том числе отмечена необходимость проведения консультаций и привлечения как представителей племен и их общин, так и выборных представителей к разработке нормативной базы панчаятов и собраний Грам сабха, а также предоставления им полномочий по охране общинной собственности на землю и мелкой продукции лесного хозяйства (ПЛХ) и т. д.</w:t>
      </w:r>
    </w:p>
    <w:p w:rsidR="00D80435" w:rsidRDefault="00D80435">
      <w:pPr>
        <w:rPr>
          <w:color w:val="000000"/>
          <w:lang w:val="ru-RU"/>
        </w:rPr>
      </w:pPr>
      <w:r>
        <w:rPr>
          <w:color w:val="000000"/>
          <w:lang w:val="ru-RU"/>
        </w:rPr>
        <w:t>168.</w:t>
      </w:r>
      <w:r>
        <w:rPr>
          <w:color w:val="000000"/>
          <w:lang w:val="ru-RU"/>
        </w:rPr>
        <w:tab/>
        <w:t>В мае 2005 года парламент принял Закон о праве на информацию. Индия входит в число 55 стран, которые имеют всеобъемлющее законодательство, защищающее право граждан на получение информации. Отличительной чертой этого закона является то, что, согласно его положениям, ответы на запросы должны быть представлены в течение 48 часов. Закон распространяется также и на неправительственные организации и предусматривает строгое наказание за непредставление информации. Девять штатов, а именно – Гоа, Тамилнад, Мадхья-Прадеш, Раджастан, Карнатака, Махараштра, Дели, Джамму и Кашмир, а также Уттар-Прадеш приняли законы о праве на информацию. Некоторые штаты, стремясь гарантировать право на получение информации на уровне деревень, внесли поправки в свои законы о панчаятах, в том числе Раджастан, показавший хорошие результаты в этой области.</w:t>
      </w:r>
    </w:p>
    <w:p w:rsidR="00D80435" w:rsidRDefault="00D80435">
      <w:pPr>
        <w:rPr>
          <w:color w:val="000000"/>
          <w:lang w:val="ru-RU"/>
        </w:rPr>
      </w:pPr>
      <w:r>
        <w:rPr>
          <w:color w:val="000000"/>
          <w:lang w:val="ru-RU"/>
        </w:rPr>
        <w:t>169.</w:t>
      </w:r>
      <w:r>
        <w:rPr>
          <w:color w:val="000000"/>
          <w:lang w:val="ru-RU"/>
        </w:rPr>
        <w:tab/>
        <w:t>В ряде штатов были проведены реформы в целях облегчения процесса децентрализации средств, делегирования функций и передачи должностных полномочий выборным членам "институтов панчаят радж" (ИПР). Однако степень децентрализации</w:t>
      </w:r>
      <w:r>
        <w:rPr>
          <w:color w:val="0000FF"/>
          <w:lang w:val="ru-RU"/>
        </w:rPr>
        <w:t xml:space="preserve"> </w:t>
      </w:r>
      <w:r>
        <w:rPr>
          <w:color w:val="000000"/>
          <w:lang w:val="ru-RU"/>
        </w:rPr>
        <w:t>варьируется между штатами. Большинство штатов делегировали значительный объем функций, однако в том, что касается бюджетных средств и штатных должностей, ограничились частичной передачей либо вообще воздержались. Карнатака – единственный штат, который полностью передал полномочия по распределению средств, функций и должностных обязанностей</w:t>
      </w:r>
      <w:r>
        <w:rPr>
          <w:color w:val="0000FF"/>
          <w:lang w:val="ru-RU"/>
        </w:rPr>
        <w:t xml:space="preserve"> </w:t>
      </w:r>
      <w:r>
        <w:rPr>
          <w:color w:val="000000"/>
          <w:lang w:val="ru-RU"/>
        </w:rPr>
        <w:t xml:space="preserve">ИПР. Эта политика расширила доступ женщин к бюджетным средствам и </w:t>
      </w:r>
      <w:r>
        <w:rPr>
          <w:lang w:val="ru-RU"/>
        </w:rPr>
        <w:t>должностям</w:t>
      </w:r>
      <w:r>
        <w:rPr>
          <w:color w:val="000000"/>
          <w:lang w:val="ru-RU"/>
        </w:rPr>
        <w:t xml:space="preserve">, повысив, таким образом, эффективность их участия в государственном управлении. Рекомендации, принятые по результатам "круглого стола" министров штатов по вопросам панчаятов радж, состоявшегося в августе 2004 года, предусматривали создание в каждом штате районных комитетов по вопросам планирования (РКП), в обязанности которых входило сведение воедино и окончательная техническая доработка ежегодных планов, разрабатываемых местными органами власти; формирование постоянных комитетов для эффективной разработки и реализации планов действий, а также создание параллельных органов, подотчетных панчаятам, Грам Сабха и т. д. </w:t>
      </w:r>
    </w:p>
    <w:p w:rsidR="00D80435" w:rsidRDefault="00D80435">
      <w:pPr>
        <w:rPr>
          <w:color w:val="000000"/>
          <w:lang w:val="ru-RU"/>
        </w:rPr>
      </w:pPr>
      <w:r>
        <w:rPr>
          <w:color w:val="000000"/>
          <w:lang w:val="ru-RU"/>
        </w:rPr>
        <w:t>170.</w:t>
      </w:r>
      <w:r>
        <w:rPr>
          <w:color w:val="000000"/>
          <w:lang w:val="ru-RU"/>
        </w:rPr>
        <w:tab/>
        <w:t>Конституция предусматривает ротацию зарезервированных для женщин депутатских мест, однако сроки, на которые могут быть зарезервированы места, не определены. Места резервируются на один, два и более депутатских сроков в зависимости от положений закона, принятого законодательным собранием штата. Существует возможность резервирования депутатского места более чем на один срок, однако решение о том, на какой срок будет зарезервированы места, принимает законодательное собрание штата. Штаты Карнатака и Тамилнад приняли ряд позитивных мер в этом направлении, "заморозив" на  два срока зарезервированные для женщин места.</w:t>
      </w:r>
    </w:p>
    <w:p w:rsidR="00D80435" w:rsidRDefault="00D80435">
      <w:pPr>
        <w:rPr>
          <w:color w:val="000000"/>
          <w:lang w:val="ru-RU"/>
        </w:rPr>
      </w:pPr>
      <w:r>
        <w:rPr>
          <w:color w:val="000000"/>
          <w:lang w:val="ru-RU"/>
        </w:rPr>
        <w:t>171.</w:t>
      </w:r>
      <w:r>
        <w:rPr>
          <w:color w:val="000000"/>
          <w:lang w:val="ru-RU"/>
        </w:rPr>
        <w:tab/>
        <w:t xml:space="preserve">Социокультурные барьеры, которые приходится преодолевать женщинам на руководящих постах, препятствуют их эффективному участию в работе местных органов власти. Одним из таких препятствий был "вотум недоверия", который выносился избранным депутатам-женщинам, занявшим пост председателя. Некоторые штаты попытались решить эту проблему законодательными мерами. Например, в штате Карнатака в Закон о панчаятах были внесены поправки, запрещающие вынесение "вотума недоверия" в течение одного года после вступления в должность и резервирующие должность только для женщин даже в случае вынесения в последующем вотумов недоверия. </w:t>
      </w:r>
    </w:p>
    <w:p w:rsidR="00D80435" w:rsidRDefault="00D80435">
      <w:pPr>
        <w:rPr>
          <w:color w:val="000000"/>
          <w:lang w:val="ru-RU"/>
        </w:rPr>
      </w:pPr>
      <w:r>
        <w:rPr>
          <w:color w:val="000000"/>
          <w:lang w:val="ru-RU"/>
        </w:rPr>
        <w:t>172.</w:t>
      </w:r>
      <w:r>
        <w:rPr>
          <w:color w:val="000000"/>
          <w:lang w:val="ru-RU"/>
        </w:rPr>
        <w:tab/>
        <w:t>Избирательная комиссия зафиксировала верхний предел расходов на предвыборную кампанию на всех уровнях. Эта мера в известной степени облегчила выдвижение женщин на выборные должности, так как установленный потолок ограничил чрезмерные расходы на избирательные кампании мужчин, имеющих больший доступ к финансовым ресурсам и контроль над ними.</w:t>
      </w:r>
    </w:p>
    <w:p w:rsidR="00D80435" w:rsidRDefault="00D80435">
      <w:pPr>
        <w:rPr>
          <w:color w:val="000000"/>
          <w:lang w:val="ru-RU"/>
        </w:rPr>
      </w:pPr>
      <w:r>
        <w:rPr>
          <w:color w:val="000000"/>
          <w:lang w:val="ru-RU"/>
        </w:rPr>
        <w:t>173.</w:t>
      </w:r>
      <w:r>
        <w:rPr>
          <w:color w:val="000000"/>
          <w:lang w:val="ru-RU"/>
        </w:rPr>
        <w:tab/>
        <w:t xml:space="preserve">Правительство выступило инициатором двух крупных программ по расширению прав и возможностей женщин, а именно – Программы развития в интересах женщин в Раджастане в 1984 году и программы Махила Самахия в девяти штатах в 1988 году. Вовлекая женщин в работу по организации коллективных объединений (сангха), они всемерно содействовали формированию у женщин навыков руководителей и обеспечили профессиональную подготовку женщин, избранных в представительные органы. Эти программы содействовали повышению уровня осведомленности женщин, обеспечили их эффективное участие в демократических процессах и укрепили взаимоотношения между женщинами-депутатами, их электоратом и коллективными объединениями, повысив, таким образом, подотчетность депутатов общинам и особенно проживающим в них женщинам. </w:t>
      </w:r>
    </w:p>
    <w:p w:rsidR="00D80435" w:rsidRDefault="00D80435">
      <w:pPr>
        <w:rPr>
          <w:color w:val="000000"/>
          <w:lang w:val="ru-RU"/>
        </w:rPr>
      </w:pPr>
      <w:r>
        <w:rPr>
          <w:color w:val="000000"/>
          <w:lang w:val="ru-RU"/>
        </w:rPr>
        <w:t>174.</w:t>
      </w:r>
      <w:r>
        <w:rPr>
          <w:color w:val="000000"/>
          <w:lang w:val="ru-RU"/>
        </w:rPr>
        <w:tab/>
        <w:t xml:space="preserve">Министерство по вопросам развития сельских районов и панчаятов радж, министерство городского развития и соответствующие управления в правительствах штатов организовали целый ряд программ профессиональной подготовки, практикумов и семинаров для повышения потенциала женщин, избранных депутатами в местные органы власти. Эффект от таких программ профессиональной подготовки проявился в повышении качества работы женщин в управленческой сфере, в том числе посещаемости заседаний, взаимодействии с правительственными чиновниками и изменении гендерной ролевой функции женщин. Неправительственные организации также осуществили ряд программ, призванных повысить восприимчивость местных органов власти к данной проблеме. В целях повышения потенциала избранных представителей в штате Карнатака при содействии Организации космических исследований Индии была начата экспериментальная программа спутникового вещания, которая позволила работающим на выборных должностях женщинам проводить видеоконференции. В ряде штатов в панчаятах были установлены компьютеры, что расширило доступ женщин к административной информации, программам и планам, данным по их осуществлению, распределению бюджетных ресурсов/расходам и т. д. </w:t>
      </w:r>
    </w:p>
    <w:p w:rsidR="00D80435" w:rsidRDefault="00D80435">
      <w:pPr>
        <w:spacing w:after="400"/>
        <w:rPr>
          <w:color w:val="000000"/>
          <w:lang w:val="ru-RU"/>
        </w:rPr>
      </w:pPr>
      <w:r>
        <w:rPr>
          <w:color w:val="000000"/>
          <w:lang w:val="ru-RU"/>
        </w:rPr>
        <w:t>175.</w:t>
      </w:r>
      <w:r>
        <w:rPr>
          <w:color w:val="000000"/>
          <w:lang w:val="ru-RU"/>
        </w:rPr>
        <w:tab/>
        <w:t xml:space="preserve">Активизация процесса формирования сетевых организаций и создание объединений женщин, избранных в представительные органы, содействовали укреплению руководящей роли женщин. Формирование подобных сетевых организаций способствует укреплению солидарности между женщинами, которых в обычной жизни разделяют кастовая принадлежность, религиозные убеждения и географические границы. Такой подход оказался особо эффективным в южных и западных районах Индии. </w:t>
      </w:r>
    </w:p>
    <w:p w:rsidR="00D80435" w:rsidRDefault="00D80435">
      <w:pPr>
        <w:rPr>
          <w:b/>
          <w:color w:val="000000"/>
          <w:lang w:val="ru-RU"/>
        </w:rPr>
      </w:pPr>
      <w:r>
        <w:rPr>
          <w:b/>
          <w:color w:val="000000"/>
          <w:lang w:val="ru-RU"/>
        </w:rPr>
        <w:t xml:space="preserve">Результаты государственных инициатив </w:t>
      </w:r>
    </w:p>
    <w:p w:rsidR="00D80435" w:rsidRDefault="00D80435">
      <w:pPr>
        <w:rPr>
          <w:color w:val="000000"/>
          <w:lang w:val="ru-RU"/>
        </w:rPr>
      </w:pPr>
      <w:r>
        <w:rPr>
          <w:color w:val="000000"/>
          <w:lang w:val="ru-RU"/>
        </w:rPr>
        <w:t>176.</w:t>
      </w:r>
      <w:r>
        <w:rPr>
          <w:color w:val="000000"/>
          <w:lang w:val="ru-RU"/>
        </w:rPr>
        <w:tab/>
        <w:t>Как предусмотрено в 73-й поправке к Конституции, общая доля женщин в панчаятах на всех трех уровнях местной власти увеличилась примерно до 33 процентов. Однако показатели представленности широко варьируются между штатами. В то время как в большинстве штатов в результате прямого применения системы квотирования доля женщин составляет по меньшей мере 33 процента, в ряде штатов эта 33-процентная планка была даже превышена. Представленность женщин в штате Карнатака достигает соответственно 45, 42 и 38 процентов на уровне деревень, талук/блоков и районных панчаятов, соответственно. В штате Керала до 36,4 процента избранных депутатов местных представительных органов – женщины, а в штате Западная Бенгалия – 35,4 процента. В штате Уттар-Прадеш женщины составляют 54 процента председателей областных органов власти (Зилла паришад). В штате Тамилнад 36 процентов председателей грам панчаятов – женщины. Как весьма позитивный факт можно отметить то, что в ряде штатов, где женщины занимали менее трети должностей в грам панчаятах первого созыва, они добились успехов на следующих выборах и превысили законодательно установленный минимум. К этим штатам относятся Раджастан, Ассам, Гуджарат, Харьяна, Химашал-Прадеш и Мадхья-Прадеш. В штате Бихар выборы в панчаяты впервые состоялись в 2001 году, и, несмотря на царившую в штате атмосферу неприятия и насилия, около 125 тыс. женщин баллотировались на выборах, оспаривая 40 тыс. зарезервированных для них депутатских мандатов.</w:t>
      </w:r>
    </w:p>
    <w:p w:rsidR="00D80435" w:rsidRDefault="00D80435">
      <w:pPr>
        <w:rPr>
          <w:color w:val="000000"/>
          <w:lang w:val="ru-RU"/>
        </w:rPr>
      </w:pPr>
      <w:r>
        <w:rPr>
          <w:color w:val="000000"/>
          <w:lang w:val="ru-RU"/>
        </w:rPr>
        <w:t>177.</w:t>
      </w:r>
      <w:r>
        <w:rPr>
          <w:color w:val="000000"/>
          <w:lang w:val="ru-RU"/>
        </w:rPr>
        <w:tab/>
        <w:t xml:space="preserve">Грам сабха или собрание избирателей на уровне деревень была признана фундаментом демократии. Такие собрания полномочны одобрять планы развития деревень и осуществлять контроль над реализацией этих планов. В штате Мадхья-Прадеш эти органы также имеют право отзыва депутатов. </w:t>
      </w:r>
    </w:p>
    <w:p w:rsidR="00D80435" w:rsidRDefault="00D80435">
      <w:pPr>
        <w:rPr>
          <w:color w:val="000000"/>
          <w:lang w:val="ru-RU"/>
        </w:rPr>
      </w:pPr>
      <w:r>
        <w:rPr>
          <w:color w:val="000000"/>
          <w:lang w:val="ru-RU"/>
        </w:rPr>
        <w:t>178.</w:t>
      </w:r>
      <w:r>
        <w:rPr>
          <w:color w:val="000000"/>
          <w:lang w:val="ru-RU"/>
        </w:rPr>
        <w:tab/>
        <w:t xml:space="preserve">Хотя число женщин, баллотировавшихся на парламентских выборах, увеличилось с 295 в 1999 году до 355 в 2004 году, их доля продолжает оставаться весьма низкой по сравнению с мужчинами.  </w:t>
      </w:r>
    </w:p>
    <w:p w:rsidR="00D80435" w:rsidRDefault="00D80435">
      <w:pPr>
        <w:rPr>
          <w:lang w:val="ru-RU"/>
        </w:rPr>
      </w:pPr>
      <w:r>
        <w:rPr>
          <w:color w:val="000000"/>
          <w:lang w:val="ru-RU"/>
        </w:rPr>
        <w:t>179.</w:t>
      </w:r>
      <w:r>
        <w:rPr>
          <w:color w:val="000000"/>
          <w:lang w:val="ru-RU"/>
        </w:rPr>
        <w:tab/>
        <w:t>Число женщин, выставляющих свои кандидатуры на выборах в местные органы власти, незначительно. Это объясняется тем, что, во-первых, женщины, как правило, баллотируются только на зарезервированные для них места и, во-вторых, они занимают такие должности путем назначения. Оба этих фактора не позволяют женщинам сформировать динамичный и активно поддерживающий их электорат.  Несмотря на столь неблагоприятные условия, женщины продолжают выдвигать свои кандидатуры на выборах и участвовать в политической жизни.</w:t>
      </w:r>
    </w:p>
    <w:p w:rsidR="00D80435" w:rsidRDefault="00D80435">
      <w:pPr>
        <w:spacing w:after="360"/>
        <w:rPr>
          <w:lang w:val="ru-RU"/>
        </w:rPr>
      </w:pPr>
      <w:r>
        <w:rPr>
          <w:lang w:val="ru-RU"/>
        </w:rPr>
        <w:pict>
          <v:shape id="_x0000_s1173" type="#_x0000_t75" style="position:absolute;left:0;text-align:left;margin-left:330.6pt;margin-top:5.4pt;width:136.7pt;height:103.45pt;z-index:-3;mso-wrap-edited:f" wrapcoords="-119 0 -119 21443 21600 21443 21600 0 -119 0" o:allowincell="f">
            <v:imagedata r:id="rId13" o:title=""/>
            <w10:wrap type="tight"/>
          </v:shape>
        </w:pict>
      </w:r>
      <w:r>
        <w:rPr>
          <w:lang w:val="ru-RU"/>
        </w:rPr>
        <w:t>180.</w:t>
      </w:r>
      <w:r>
        <w:rPr>
          <w:lang w:val="ru-RU"/>
        </w:rPr>
        <w:tab/>
        <w:t>Все больше женщин появляется в составе различных комитетов национальных политических партий. На сегодняшний день они составляют 6 процентов от общего числа членов этих комитетов. Но даже участие женщин в обсуждении и выдвижении предложений не гарантирует им права голоса при принятии решений: оно либо ограничено, либо отсутствует вообще. Поскольку практически все политические партии в своих программных документах заявили о необходимости увеличения числа женщин в руководящих органах, сам факт наличия женщин в составе комитетов должен содействовать участию женщин в политической жизни и ставить вопрос о положении женщин в центр повестки дня.</w:t>
      </w:r>
    </w:p>
    <w:p w:rsidR="00D80435" w:rsidRDefault="00D80435">
      <w:pPr>
        <w:rPr>
          <w:b/>
          <w:color w:val="000000"/>
          <w:lang w:val="ru-RU"/>
        </w:rPr>
      </w:pPr>
      <w:r>
        <w:rPr>
          <w:b/>
          <w:color w:val="000000"/>
          <w:lang w:val="ru-RU"/>
        </w:rPr>
        <w:t xml:space="preserve">Женщины в общественной жизни </w:t>
      </w:r>
    </w:p>
    <w:p w:rsidR="00D80435" w:rsidRDefault="00D80435">
      <w:pPr>
        <w:spacing w:after="360"/>
        <w:rPr>
          <w:color w:val="000000"/>
          <w:lang w:val="ru-RU"/>
        </w:rPr>
      </w:pPr>
      <w:r>
        <w:rPr>
          <w:color w:val="000000"/>
          <w:lang w:val="ru-RU"/>
        </w:rPr>
        <w:t>181.</w:t>
      </w:r>
      <w:r>
        <w:rPr>
          <w:color w:val="000000"/>
          <w:lang w:val="ru-RU"/>
        </w:rPr>
        <w:tab/>
        <w:t xml:space="preserve">Показатели представительства и участия женщин в руководящих органах различного уровня продолжают оставаться низкими, хотя в сфере услуг их численность возросла. С 1997 года существенно увеличилось число женщин в Службе аудиторов и бухгалтеров Индии (с 19,94 процента в 1997 году до 22,31 процента в 2002 году), Экономической службе Индии </w:t>
      </w:r>
      <w:r>
        <w:rPr>
          <w:color w:val="000000"/>
          <w:lang w:val="ru-RU"/>
        </w:rPr>
        <w:br/>
        <w:t xml:space="preserve">(с 16,24 процента в 1996 году до 21,56 процента в 2002 году) и Статистической службе Индии </w:t>
      </w:r>
      <w:r>
        <w:rPr>
          <w:color w:val="000000"/>
          <w:lang w:val="ru-RU"/>
        </w:rPr>
        <w:br/>
        <w:t>(с 7,17 процента в 1997 году до 12,94 процента в 2002 году). В Административной службе Индии их число возросло с 512 (10,22 процента) в 1997 году до 535 (10,42 процента) в 2000 году. Представленность женщин в Службе полиции Индии остается чрезвычайно низкой – на уровне 3,83 процента в 2002 году против 3,24 процента в 1997 году. По состоянию на 31 мая 2005 года в Верховном суде имеется одна женщина-судья, и 25 женщин-судей работают в высших судах из общего числа 25 и 514 судей, соответственно.</w:t>
      </w:r>
    </w:p>
    <w:p w:rsidR="00D80435" w:rsidRDefault="00D80435">
      <w:pPr>
        <w:rPr>
          <w:b/>
          <w:color w:val="000000"/>
          <w:lang w:val="ru-RU"/>
        </w:rPr>
      </w:pPr>
      <w:r>
        <w:rPr>
          <w:b/>
          <w:color w:val="000000"/>
          <w:lang w:val="ru-RU"/>
        </w:rPr>
        <w:t xml:space="preserve">Предстоящие задачи </w:t>
      </w:r>
    </w:p>
    <w:p w:rsidR="00D80435" w:rsidRDefault="00D80435">
      <w:pPr>
        <w:rPr>
          <w:color w:val="000000"/>
          <w:lang w:val="ru-RU"/>
        </w:rPr>
      </w:pPr>
      <w:r>
        <w:rPr>
          <w:color w:val="000000"/>
          <w:lang w:val="ru-RU"/>
        </w:rPr>
        <w:t>182.</w:t>
      </w:r>
      <w:r>
        <w:rPr>
          <w:color w:val="000000"/>
          <w:lang w:val="ru-RU"/>
        </w:rPr>
        <w:tab/>
        <w:t xml:space="preserve">Неблагоприятная историко-культурная среда, а также препятствия социально-экономического характера, с которыми приходится сталкиваться женщинам, затрудняют их участие в процессах принятия решений как в административной, так и в политической сфере. Традиционные стереотипы в отношении роли полов, патриархальные ценности, ограниченный доступ к общественной жизни, а также к материальным и нематериальным ресурсам, неблагоприятные условия, отсутствие служб поддержки и низкая мобильность, чрезмерное использование грубой силы, а также криминализация политики – все эти факторы сдерживают участие женщин в политической жизни. Хотя позитивные действия по введению квот, предпринятые на уровне местных органов власти, облегчили участие женщин в институтах децентрализованного государственного управления, на более высоком уровне – в парламенте и законодательных собраниях штатов – такие мероприятия не были проведены. Благодаря системе квот женщины стали избираться и в органы городского самоуправления, однако ни систематизированный сбор данных, ни анализ информации, позволяющие судить об эффективности их работы в этих органах, не проводятся. </w:t>
      </w:r>
    </w:p>
    <w:p w:rsidR="00D80435" w:rsidRDefault="00D80435">
      <w:pPr>
        <w:rPr>
          <w:color w:val="000000"/>
          <w:lang w:val="ru-RU"/>
        </w:rPr>
      </w:pPr>
      <w:r>
        <w:rPr>
          <w:color w:val="000000"/>
          <w:lang w:val="ru-RU"/>
        </w:rPr>
        <w:t>183.</w:t>
      </w:r>
      <w:r>
        <w:rPr>
          <w:color w:val="000000"/>
          <w:lang w:val="ru-RU"/>
        </w:rPr>
        <w:tab/>
        <w:t xml:space="preserve">Правительство в своем 10-м Плане (2002–2007 годы) предусмотрело проведение необходимых мер, с тем чтобы гарантировать женщинам равный доступ и полномасштабное участие в директивных органах, в том числе органах законодательной, исполнительной и судебной власти, корпоративных и государственных учреждениях. Оно также намерено в качестве позитивной меры ускорить процесс принятия законодательства, предусматривающего резервирование для женщин не менее 1/3 от общего числа мест в парламенте и законодательных собраниях штатов, что позволит обеспечить пропорциональность представительства женщин в руководящих органах и добиться того, чтобы голос женщин был услышан. Кроме того, предполагается разработать кадровую политику, более дружественную по отношению к женщинам, что будет содействовать активному участию женщин в процедурах принятия административных решений. Правительство также намерено создать </w:t>
      </w:r>
      <w:r>
        <w:rPr>
          <w:lang w:val="ru-RU"/>
        </w:rPr>
        <w:t>условия, стимулирующие расширение прав и возможностей женщин, предоставить им равный доступ к базовым услугам и обеспечить экономическую независимость, что позволит им более активно участвовать в общественной жизни. Основной проблемой, стоящей перед правительством, является достижение этих целей путем своевременной разработки и реализации планов действий и программ</w:t>
      </w:r>
      <w:r>
        <w:rPr>
          <w:color w:val="000000"/>
          <w:lang w:val="ru-RU"/>
        </w:rPr>
        <w:t xml:space="preserve">.  </w:t>
      </w:r>
    </w:p>
    <w:p w:rsidR="00D80435" w:rsidRDefault="00D80435">
      <w:pPr>
        <w:spacing w:after="0"/>
        <w:rPr>
          <w:color w:val="000000"/>
          <w:lang w:val="ru-RU"/>
        </w:rPr>
      </w:pPr>
    </w:p>
    <w:p w:rsidR="00D80435" w:rsidRDefault="00D80435">
      <w:pPr>
        <w:spacing w:after="400"/>
        <w:jc w:val="center"/>
        <w:rPr>
          <w:b/>
          <w:color w:val="000000"/>
          <w:sz w:val="24"/>
          <w:lang w:val="ru-RU"/>
        </w:rPr>
      </w:pPr>
      <w:r>
        <w:rPr>
          <w:b/>
          <w:color w:val="000000"/>
          <w:sz w:val="24"/>
          <w:lang w:val="ru-RU"/>
        </w:rPr>
        <w:t>Статья 8.  Представительство на международном уровне</w:t>
      </w:r>
    </w:p>
    <w:p w:rsidR="00D80435" w:rsidRDefault="00D80435">
      <w:pPr>
        <w:rPr>
          <w:b/>
          <w:color w:val="000000"/>
          <w:lang w:val="ru-RU"/>
        </w:rPr>
      </w:pPr>
      <w:r>
        <w:rPr>
          <w:b/>
          <w:color w:val="000000"/>
          <w:lang w:val="ru-RU"/>
        </w:rPr>
        <w:t xml:space="preserve">Справочная информация </w:t>
      </w:r>
    </w:p>
    <w:p w:rsidR="00D80435" w:rsidRDefault="00D80435">
      <w:pPr>
        <w:spacing w:after="400"/>
        <w:rPr>
          <w:color w:val="000000"/>
          <w:lang w:val="ru-RU"/>
        </w:rPr>
      </w:pPr>
      <w:r>
        <w:rPr>
          <w:color w:val="000000"/>
          <w:lang w:val="ru-RU"/>
        </w:rPr>
        <w:t>184.</w:t>
      </w:r>
      <w:r>
        <w:rPr>
          <w:color w:val="000000"/>
          <w:lang w:val="ru-RU"/>
        </w:rPr>
        <w:tab/>
        <w:t xml:space="preserve">Женщины имеют равные с мужчинами возможности представлять свои правительства на международном уровне. В период между 1997 и 2002 годами на работу в Дипломатическую службу поступили еще 11 женщин, то есть за данный период их общая численность увеличилась с 67 до 78 человек. В процентном отношении их доля возросла с 11,43 процента в 1997 году до 13,38 процента в 2002 году, что составляет увеличение на 2 процента за пятилетний период.  </w:t>
      </w:r>
    </w:p>
    <w:p w:rsidR="00D80435" w:rsidRDefault="00D80435">
      <w:pPr>
        <w:rPr>
          <w:b/>
          <w:color w:val="000000"/>
          <w:lang w:val="ru-RU"/>
        </w:rPr>
      </w:pPr>
      <w:r>
        <w:rPr>
          <w:b/>
          <w:color w:val="000000"/>
          <w:lang w:val="ru-RU"/>
        </w:rPr>
        <w:t xml:space="preserve">Государственные инициативы </w:t>
      </w:r>
    </w:p>
    <w:p w:rsidR="00D80435" w:rsidRDefault="00D80435">
      <w:pPr>
        <w:spacing w:after="300"/>
        <w:rPr>
          <w:color w:val="000000"/>
          <w:lang w:val="ru-RU"/>
        </w:rPr>
      </w:pPr>
      <w:r>
        <w:rPr>
          <w:color w:val="000000"/>
          <w:lang w:val="ru-RU"/>
        </w:rPr>
        <w:t>185.</w:t>
      </w:r>
      <w:r>
        <w:rPr>
          <w:color w:val="000000"/>
          <w:lang w:val="ru-RU"/>
        </w:rPr>
        <w:tab/>
        <w:t>Женщины входили в состав и возглавляли правительственные делегации, представлявшие страну на различных международных форумах, включая Пекинскую конференцию и Специальную сессию 2000 года по пересмотру Пекинской декларации, а также на всех последующих сессиях комиссий Организации Объединенных Наций по положению женщин. Во главе группы, которая в январе 2000 года представляла Первоначальный страновой доклад Комитету по ликвидации дискриминации в отношении женщин Организации Объединенных Наций, также стояла женщина.</w:t>
      </w:r>
    </w:p>
    <w:p w:rsidR="00D80435" w:rsidRDefault="00D80435">
      <w:pPr>
        <w:rPr>
          <w:b/>
          <w:color w:val="000000"/>
          <w:lang w:val="ru-RU"/>
        </w:rPr>
      </w:pPr>
      <w:r>
        <w:rPr>
          <w:b/>
          <w:color w:val="000000"/>
          <w:lang w:val="ru-RU"/>
        </w:rPr>
        <w:t>Предстоящие задачи</w:t>
      </w:r>
    </w:p>
    <w:p w:rsidR="00D80435" w:rsidRDefault="00D80435">
      <w:pPr>
        <w:rPr>
          <w:color w:val="000000"/>
          <w:lang w:val="ru-RU"/>
        </w:rPr>
      </w:pPr>
      <w:r>
        <w:rPr>
          <w:color w:val="000000"/>
          <w:lang w:val="ru-RU"/>
        </w:rPr>
        <w:t>186.</w:t>
      </w:r>
      <w:r>
        <w:rPr>
          <w:color w:val="000000"/>
          <w:lang w:val="ru-RU"/>
        </w:rPr>
        <w:tab/>
        <w:t xml:space="preserve">Основная задача состоит в том, чтобы выполнить намеченную правительством программу по активному привлечению женщин к участию в работе международных организаций посредством реализации специальных мер, связанных с программами обучения и повышения квалификации. Правительство в своем 10-м Плане также приняло на себя обязательство проводить дружественную в отношении женщин кадровую политику и поощрять женщин к эффективной представительской деятельности на международных форумах. </w:t>
      </w:r>
    </w:p>
    <w:p w:rsidR="00D80435" w:rsidRDefault="00D80435">
      <w:pPr>
        <w:spacing w:after="0"/>
        <w:rPr>
          <w:color w:val="000000"/>
          <w:lang w:val="ru-RU"/>
        </w:rPr>
      </w:pPr>
    </w:p>
    <w:p w:rsidR="00D80435" w:rsidRDefault="00D80435">
      <w:pPr>
        <w:jc w:val="center"/>
        <w:rPr>
          <w:b/>
          <w:color w:val="000000"/>
          <w:sz w:val="24"/>
          <w:lang w:val="ru-RU"/>
        </w:rPr>
      </w:pPr>
      <w:r>
        <w:rPr>
          <w:b/>
          <w:color w:val="000000"/>
          <w:sz w:val="24"/>
          <w:lang w:val="ru-RU"/>
        </w:rPr>
        <w:t>Статья 9.  Гражданство</w:t>
      </w:r>
    </w:p>
    <w:p w:rsidR="00D80435" w:rsidRDefault="00D80435">
      <w:pPr>
        <w:rPr>
          <w:color w:val="000000"/>
          <w:lang w:val="ru-RU"/>
        </w:rPr>
      </w:pPr>
      <w:r>
        <w:rPr>
          <w:color w:val="000000"/>
          <w:lang w:val="ru-RU"/>
        </w:rPr>
        <w:t>187.</w:t>
      </w:r>
      <w:r>
        <w:rPr>
          <w:color w:val="000000"/>
          <w:lang w:val="ru-RU"/>
        </w:rPr>
        <w:tab/>
        <w:t>Как было отмечено в Первоначальном докладе, Закон о гражданстве 1955 года предоставляет женщинам равные права в отношении приобретения, изменения или сохранения их гражданства. В дискриминационное положение, касающееся гражданства детей, рожденных у индийских женщин вне Индии, в 1992 году были внесены соответствующие поправки. В результате, приобретение ребенком гражданства по происхождению может происходить как по линии матери, так и отца, независимо от того, родился ребенок в Индии или за ее пределами.</w:t>
      </w:r>
    </w:p>
    <w:p w:rsidR="00D80435" w:rsidRDefault="00D80435">
      <w:pPr>
        <w:pStyle w:val="Header"/>
        <w:tabs>
          <w:tab w:val="clear" w:pos="4677"/>
          <w:tab w:val="clear" w:pos="9355"/>
        </w:tabs>
        <w:spacing w:after="0"/>
        <w:rPr>
          <w:lang w:val="ru-RU"/>
        </w:rPr>
      </w:pPr>
    </w:p>
    <w:p w:rsidR="00D80435" w:rsidRDefault="00D80435">
      <w:pPr>
        <w:pStyle w:val="Heading7"/>
        <w:rPr>
          <w:sz w:val="24"/>
          <w:u w:val="single"/>
          <w:lang w:val="ru-RU"/>
        </w:rPr>
      </w:pPr>
      <w:r>
        <w:rPr>
          <w:sz w:val="24"/>
          <w:lang w:val="ru-RU"/>
        </w:rPr>
        <w:t>Статья 10.  Образование</w:t>
      </w:r>
    </w:p>
    <w:p w:rsidR="00D80435" w:rsidRDefault="00D80435">
      <w:pPr>
        <w:rPr>
          <w:b/>
          <w:color w:val="000000"/>
          <w:lang w:val="ru-RU"/>
        </w:rPr>
      </w:pPr>
      <w:r>
        <w:rPr>
          <w:b/>
          <w:color w:val="000000"/>
          <w:lang w:val="ru-RU"/>
        </w:rPr>
        <w:t xml:space="preserve">Справочная информация </w:t>
      </w:r>
    </w:p>
    <w:p w:rsidR="00D80435" w:rsidRDefault="00D80435">
      <w:pPr>
        <w:rPr>
          <w:color w:val="000000"/>
          <w:u w:val="single"/>
          <w:lang w:val="ru-RU"/>
        </w:rPr>
      </w:pPr>
      <w:r>
        <w:rPr>
          <w:color w:val="000000"/>
          <w:lang w:val="ru-RU"/>
        </w:rPr>
        <w:t>188.</w:t>
      </w:r>
      <w:r>
        <w:rPr>
          <w:color w:val="000000"/>
          <w:lang w:val="ru-RU"/>
        </w:rPr>
        <w:tab/>
        <w:t xml:space="preserve">Правительство Индии в соответствии с обязанностями, налагаемыми на него Конституцией, предприняло ряд инициатив в форме мер по обеспечению режима наибольшего благоприятствования, принятия соответствующего законодательства в области распространения грамотности, развития системы образования и ликвидации гендерного неравенства, особенно в штатах, где население имеет наиболее низкий образовательный уровень. Был разработан механизм, позволяющий реализовать поставленные задачи, а именно – принятая в 1986 году Национальная политика в сфере образования с поправками от 1992 года и Программа действий 1992 года, которые в немалой степени способствовали введению всеобщего начального образования. </w:t>
      </w:r>
    </w:p>
    <w:p w:rsidR="00D80435" w:rsidRDefault="00D80435">
      <w:pPr>
        <w:pStyle w:val="Heading8"/>
      </w:pPr>
      <w:r>
        <w:t xml:space="preserve">Государственные инициативы </w:t>
      </w:r>
    </w:p>
    <w:p w:rsidR="00D80435" w:rsidRDefault="00D80435">
      <w:pPr>
        <w:rPr>
          <w:color w:val="000000"/>
          <w:lang w:val="ru-RU"/>
        </w:rPr>
      </w:pPr>
      <w:r>
        <w:rPr>
          <w:color w:val="000000"/>
          <w:lang w:val="ru-RU"/>
        </w:rPr>
        <w:t>189.</w:t>
      </w:r>
      <w:r>
        <w:rPr>
          <w:color w:val="000000"/>
          <w:lang w:val="ru-RU"/>
        </w:rPr>
        <w:tab/>
        <w:t xml:space="preserve">В целях предоставления бесплатного и обязательного образования всем детям в возрасте 6–14 лет решением правительства в 2002 году право на образование было провозглашено одним из основных прав человека. Статья 21А 86-й поправки к Конституции обязывает правительство предоставлять бесплатное и обязательное образование всем детям в возрасте от шести до четырнадцати лет. Принятие этого законодательства стало важной вехой на пути ко всеобщему начальному образованию. </w:t>
      </w:r>
    </w:p>
    <w:p w:rsidR="00D80435" w:rsidRDefault="00D80435">
      <w:pPr>
        <w:rPr>
          <w:color w:val="000000"/>
          <w:lang w:val="ru-RU"/>
        </w:rPr>
      </w:pPr>
      <w:r>
        <w:rPr>
          <w:color w:val="000000"/>
          <w:lang w:val="ru-RU"/>
        </w:rPr>
        <w:pict>
          <v:shape id="_x0000_s1065" type="#_x0000_t75" style="position:absolute;left:0;text-align:left;margin-left:195.15pt;margin-top:32.7pt;width:276.7pt;height:250.8pt;z-index:-5;mso-wrap-edited:f" wrapcoords="-59 0 -59 21535 21307 21535 21307 0 -59 0" o:allowincell="f">
            <v:imagedata r:id="rId14" o:title=""/>
            <w10:wrap type="tight"/>
          </v:shape>
        </w:pict>
      </w:r>
      <w:r>
        <w:rPr>
          <w:color w:val="000000"/>
          <w:lang w:val="ru-RU"/>
        </w:rPr>
        <w:t xml:space="preserve">190. </w:t>
      </w:r>
      <w:r>
        <w:rPr>
          <w:color w:val="000000"/>
          <w:lang w:val="ru-RU"/>
        </w:rPr>
        <w:tab/>
        <w:t xml:space="preserve">Государственные инвестиции в образование (в процентах от ВВП) за последние пять лет возросли с 3,49 процента в 1997–1998 годах до 4,33 процента в 2000–2001 годах. Однако в 2001–2002 годах было отмечено снижение этого показателя до 3,82 процента </w:t>
      </w:r>
      <w:r>
        <w:rPr>
          <w:color w:val="000000"/>
          <w:lang w:val="ru-RU"/>
        </w:rPr>
        <w:br/>
        <w:t xml:space="preserve">с последующим незначительным увеличением до 3,97 процента в 2002–2003 годах. Приоритетный статус получило начальное образование, </w:t>
      </w:r>
      <w:r>
        <w:rPr>
          <w:color w:val="000000"/>
          <w:lang w:val="ru-RU"/>
        </w:rPr>
        <w:br/>
        <w:t xml:space="preserve">в которое направлялись свыше половины (2,02 процента) всех вложений. Бюджетные расходы на душу населения в 2001–2002 годах были самыми высокими в союзной </w:t>
      </w:r>
      <w:r>
        <w:rPr>
          <w:color w:val="000000"/>
          <w:spacing w:val="-4"/>
          <w:lang w:val="ru-RU"/>
        </w:rPr>
        <w:t>территории Лакшадвип (3439,11 рупий)</w:t>
      </w:r>
      <w:r>
        <w:rPr>
          <w:color w:val="000000"/>
          <w:lang w:val="ru-RU"/>
        </w:rPr>
        <w:t>, затем следовали штат Сикким (2371,23 рупий), Андаманские и Никобарские острова (2371,23 рупий), а самыми низки- ми эти показатели были в штатах Бихар (386,45 рупий), Уттар-Прадеш (465,20 рупий) и Орисса (500,39 рупий). Самые высокие затраты на образование (в процентах от общего бюджета штата) были в штатах Ассам (31,36 процента), Мадхья-Прадеш (30,18 процента) и Махараштра (25,88 процента).</w:t>
      </w:r>
    </w:p>
    <w:p w:rsidR="00D80435" w:rsidRDefault="00D80435">
      <w:pPr>
        <w:rPr>
          <w:color w:val="000000"/>
          <w:lang w:val="ru-RU"/>
        </w:rPr>
      </w:pPr>
    </w:p>
    <w:p w:rsidR="00D80435" w:rsidRDefault="00D80435">
      <w:pPr>
        <w:pStyle w:val="BodyText"/>
        <w:spacing w:line="240" w:lineRule="auto"/>
      </w:pPr>
      <w:r>
        <w:t xml:space="preserve">Расходы в разбивке по уровню образования в Индии (в млн.) </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F" w:firstRow="1" w:lastRow="0" w:firstColumn="1" w:lastColumn="0" w:noHBand="0" w:noVBand="0"/>
      </w:tblPr>
      <w:tblGrid>
        <w:gridCol w:w="1136"/>
        <w:gridCol w:w="942"/>
        <w:gridCol w:w="720"/>
        <w:gridCol w:w="910"/>
        <w:gridCol w:w="720"/>
        <w:gridCol w:w="1080"/>
        <w:gridCol w:w="720"/>
        <w:gridCol w:w="1080"/>
        <w:gridCol w:w="720"/>
        <w:gridCol w:w="931"/>
        <w:gridCol w:w="708"/>
      </w:tblGrid>
      <w:tr w:rsidR="00D80435">
        <w:tblPrEx>
          <w:tblCellMar>
            <w:top w:w="0" w:type="dxa"/>
            <w:bottom w:w="0" w:type="dxa"/>
          </w:tblCellMar>
        </w:tblPrEx>
        <w:trPr>
          <w:cantSplit/>
        </w:trPr>
        <w:tc>
          <w:tcPr>
            <w:tcW w:w="1136" w:type="dxa"/>
            <w:vMerge w:val="restart"/>
          </w:tcPr>
          <w:p w:rsidR="00D80435" w:rsidRDefault="00D80435">
            <w:pPr>
              <w:spacing w:before="120" w:after="120"/>
              <w:jc w:val="center"/>
              <w:rPr>
                <w:b/>
                <w:caps/>
                <w:color w:val="000000"/>
                <w:sz w:val="20"/>
                <w:lang w:val="ru-RU"/>
              </w:rPr>
            </w:pPr>
            <w:r>
              <w:rPr>
                <w:b/>
                <w:color w:val="000000"/>
                <w:sz w:val="20"/>
                <w:lang w:val="ru-RU"/>
              </w:rPr>
              <w:t>Год</w:t>
            </w:r>
          </w:p>
        </w:tc>
        <w:tc>
          <w:tcPr>
            <w:tcW w:w="1662" w:type="dxa"/>
            <w:gridSpan w:val="2"/>
          </w:tcPr>
          <w:p w:rsidR="00D80435" w:rsidRDefault="00D80435">
            <w:pPr>
              <w:spacing w:before="120" w:after="120"/>
              <w:jc w:val="center"/>
              <w:rPr>
                <w:b/>
                <w:caps/>
                <w:color w:val="000000"/>
                <w:sz w:val="20"/>
                <w:lang w:val="ru-RU"/>
              </w:rPr>
            </w:pPr>
            <w:r>
              <w:rPr>
                <w:b/>
                <w:color w:val="000000"/>
                <w:sz w:val="20"/>
                <w:lang w:val="ru-RU"/>
              </w:rPr>
              <w:t>Начальное</w:t>
            </w:r>
          </w:p>
        </w:tc>
        <w:tc>
          <w:tcPr>
            <w:tcW w:w="1630" w:type="dxa"/>
            <w:gridSpan w:val="2"/>
          </w:tcPr>
          <w:p w:rsidR="00D80435" w:rsidRDefault="00D80435">
            <w:pPr>
              <w:spacing w:before="120" w:after="120"/>
              <w:jc w:val="center"/>
              <w:rPr>
                <w:b/>
                <w:color w:val="000000"/>
                <w:sz w:val="20"/>
                <w:lang w:val="ru-RU"/>
              </w:rPr>
            </w:pPr>
            <w:r>
              <w:rPr>
                <w:b/>
                <w:color w:val="000000"/>
                <w:sz w:val="20"/>
                <w:lang w:val="ru-RU"/>
              </w:rPr>
              <w:t>Среднее/</w:t>
            </w:r>
            <w:r>
              <w:rPr>
                <w:b/>
                <w:color w:val="000000"/>
                <w:sz w:val="20"/>
                <w:lang w:val="ru-RU"/>
              </w:rPr>
              <w:br/>
              <w:t>среднее техническое</w:t>
            </w:r>
          </w:p>
        </w:tc>
        <w:tc>
          <w:tcPr>
            <w:tcW w:w="1800" w:type="dxa"/>
            <w:gridSpan w:val="2"/>
          </w:tcPr>
          <w:p w:rsidR="00D80435" w:rsidRDefault="00D80435">
            <w:pPr>
              <w:spacing w:before="120" w:after="120"/>
              <w:jc w:val="center"/>
              <w:rPr>
                <w:b/>
                <w:caps/>
                <w:color w:val="000000"/>
                <w:sz w:val="20"/>
                <w:lang w:val="ru-RU"/>
              </w:rPr>
            </w:pPr>
            <w:r>
              <w:rPr>
                <w:b/>
                <w:color w:val="000000"/>
                <w:sz w:val="20"/>
                <w:lang w:val="ru-RU"/>
              </w:rPr>
              <w:t xml:space="preserve">Образование  для взрослых </w:t>
            </w:r>
          </w:p>
        </w:tc>
        <w:tc>
          <w:tcPr>
            <w:tcW w:w="1800" w:type="dxa"/>
            <w:gridSpan w:val="2"/>
          </w:tcPr>
          <w:p w:rsidR="00D80435" w:rsidRDefault="00D80435">
            <w:pPr>
              <w:spacing w:before="120" w:after="120"/>
              <w:jc w:val="center"/>
              <w:rPr>
                <w:b/>
                <w:caps/>
                <w:color w:val="000000"/>
                <w:sz w:val="20"/>
                <w:lang w:val="ru-RU"/>
              </w:rPr>
            </w:pPr>
            <w:r>
              <w:rPr>
                <w:b/>
                <w:color w:val="000000"/>
                <w:sz w:val="20"/>
                <w:lang w:val="ru-RU"/>
              </w:rPr>
              <w:t>Университетское и высшее образование</w:t>
            </w:r>
          </w:p>
        </w:tc>
        <w:tc>
          <w:tcPr>
            <w:tcW w:w="1639" w:type="dxa"/>
            <w:gridSpan w:val="2"/>
          </w:tcPr>
          <w:p w:rsidR="00D80435" w:rsidRDefault="00D80435">
            <w:pPr>
              <w:spacing w:before="120" w:after="120"/>
              <w:jc w:val="center"/>
              <w:rPr>
                <w:b/>
                <w:caps/>
                <w:color w:val="000000"/>
                <w:sz w:val="20"/>
                <w:lang w:val="ru-RU"/>
              </w:rPr>
            </w:pPr>
            <w:r>
              <w:rPr>
                <w:b/>
                <w:caps/>
                <w:color w:val="000000"/>
                <w:sz w:val="20"/>
                <w:lang w:val="ru-RU"/>
              </w:rPr>
              <w:t>ВСЕГО</w:t>
            </w:r>
          </w:p>
        </w:tc>
      </w:tr>
      <w:tr w:rsidR="00D80435">
        <w:tblPrEx>
          <w:tblCellMar>
            <w:top w:w="0" w:type="dxa"/>
            <w:bottom w:w="0" w:type="dxa"/>
          </w:tblCellMar>
        </w:tblPrEx>
        <w:trPr>
          <w:cantSplit/>
        </w:trPr>
        <w:tc>
          <w:tcPr>
            <w:tcW w:w="1136" w:type="dxa"/>
            <w:vMerge/>
          </w:tcPr>
          <w:p w:rsidR="00D80435" w:rsidRDefault="00D80435">
            <w:pPr>
              <w:spacing w:before="120" w:after="120"/>
              <w:jc w:val="center"/>
              <w:rPr>
                <w:b/>
                <w:color w:val="000000"/>
                <w:sz w:val="20"/>
                <w:lang w:val="ru-RU"/>
              </w:rPr>
            </w:pPr>
          </w:p>
        </w:tc>
        <w:tc>
          <w:tcPr>
            <w:tcW w:w="942" w:type="dxa"/>
          </w:tcPr>
          <w:p w:rsidR="00D80435" w:rsidRDefault="00D80435">
            <w:pPr>
              <w:spacing w:before="120" w:after="120"/>
              <w:jc w:val="center"/>
              <w:rPr>
                <w:b/>
                <w:sz w:val="20"/>
                <w:lang w:val="ru-RU"/>
              </w:rPr>
            </w:pPr>
            <w:r>
              <w:rPr>
                <w:b/>
                <w:sz w:val="20"/>
                <w:lang w:val="ru-RU"/>
              </w:rPr>
              <w:t>Расходы</w:t>
            </w:r>
          </w:p>
        </w:tc>
        <w:tc>
          <w:tcPr>
            <w:tcW w:w="720" w:type="dxa"/>
          </w:tcPr>
          <w:p w:rsidR="00D80435" w:rsidRDefault="00D80435">
            <w:pPr>
              <w:spacing w:before="120" w:after="120"/>
              <w:jc w:val="center"/>
              <w:rPr>
                <w:b/>
                <w:color w:val="000000"/>
                <w:sz w:val="20"/>
                <w:lang w:val="ru-RU"/>
              </w:rPr>
            </w:pPr>
            <w:r>
              <w:rPr>
                <w:b/>
                <w:color w:val="000000"/>
                <w:sz w:val="20"/>
                <w:lang w:val="ru-RU"/>
              </w:rPr>
              <w:t>% к ВВП</w:t>
            </w:r>
          </w:p>
        </w:tc>
        <w:tc>
          <w:tcPr>
            <w:tcW w:w="910" w:type="dxa"/>
          </w:tcPr>
          <w:p w:rsidR="00D80435" w:rsidRDefault="00D80435">
            <w:pPr>
              <w:spacing w:before="120" w:after="120"/>
              <w:jc w:val="center"/>
              <w:rPr>
                <w:b/>
                <w:color w:val="000000"/>
                <w:sz w:val="20"/>
                <w:lang w:val="ru-RU"/>
              </w:rPr>
            </w:pPr>
            <w:r>
              <w:rPr>
                <w:b/>
                <w:color w:val="000000"/>
                <w:sz w:val="20"/>
                <w:lang w:val="ru-RU"/>
              </w:rPr>
              <w:t>Расходы</w:t>
            </w:r>
          </w:p>
        </w:tc>
        <w:tc>
          <w:tcPr>
            <w:tcW w:w="720" w:type="dxa"/>
          </w:tcPr>
          <w:p w:rsidR="00D80435" w:rsidRDefault="00D80435">
            <w:pPr>
              <w:spacing w:before="120" w:after="120"/>
              <w:jc w:val="center"/>
              <w:rPr>
                <w:b/>
                <w:color w:val="000000"/>
                <w:sz w:val="20"/>
                <w:lang w:val="ru-RU"/>
              </w:rPr>
            </w:pPr>
            <w:r>
              <w:rPr>
                <w:b/>
                <w:color w:val="000000"/>
                <w:sz w:val="20"/>
                <w:lang w:val="ru-RU"/>
              </w:rPr>
              <w:t>% к ВВП</w:t>
            </w:r>
          </w:p>
        </w:tc>
        <w:tc>
          <w:tcPr>
            <w:tcW w:w="1080" w:type="dxa"/>
          </w:tcPr>
          <w:p w:rsidR="00D80435" w:rsidRDefault="00D80435">
            <w:pPr>
              <w:spacing w:before="120" w:after="120"/>
              <w:jc w:val="center"/>
              <w:rPr>
                <w:b/>
                <w:color w:val="000000"/>
                <w:sz w:val="20"/>
                <w:lang w:val="ru-RU"/>
              </w:rPr>
            </w:pPr>
            <w:r>
              <w:rPr>
                <w:b/>
                <w:color w:val="000000"/>
                <w:sz w:val="20"/>
                <w:lang w:val="ru-RU"/>
              </w:rPr>
              <w:t>Расходы</w:t>
            </w:r>
          </w:p>
        </w:tc>
        <w:tc>
          <w:tcPr>
            <w:tcW w:w="720" w:type="dxa"/>
          </w:tcPr>
          <w:p w:rsidR="00D80435" w:rsidRDefault="00D80435">
            <w:pPr>
              <w:spacing w:before="120" w:after="120"/>
              <w:jc w:val="center"/>
              <w:rPr>
                <w:b/>
                <w:color w:val="000000"/>
                <w:sz w:val="20"/>
                <w:lang w:val="ru-RU"/>
              </w:rPr>
            </w:pPr>
            <w:r>
              <w:rPr>
                <w:b/>
                <w:color w:val="000000"/>
                <w:sz w:val="20"/>
                <w:lang w:val="ru-RU"/>
              </w:rPr>
              <w:t>% к ВВП</w:t>
            </w:r>
          </w:p>
        </w:tc>
        <w:tc>
          <w:tcPr>
            <w:tcW w:w="1080" w:type="dxa"/>
          </w:tcPr>
          <w:p w:rsidR="00D80435" w:rsidRDefault="00D80435">
            <w:pPr>
              <w:spacing w:before="120" w:after="120"/>
              <w:jc w:val="center"/>
              <w:rPr>
                <w:b/>
                <w:color w:val="000000"/>
                <w:sz w:val="20"/>
                <w:lang w:val="ru-RU"/>
              </w:rPr>
            </w:pPr>
            <w:r>
              <w:rPr>
                <w:b/>
                <w:color w:val="000000"/>
                <w:sz w:val="20"/>
                <w:lang w:val="ru-RU"/>
              </w:rPr>
              <w:t>Расходы</w:t>
            </w:r>
          </w:p>
        </w:tc>
        <w:tc>
          <w:tcPr>
            <w:tcW w:w="720" w:type="dxa"/>
          </w:tcPr>
          <w:p w:rsidR="00D80435" w:rsidRDefault="00D80435">
            <w:pPr>
              <w:spacing w:before="120" w:after="120"/>
              <w:jc w:val="center"/>
              <w:rPr>
                <w:b/>
                <w:color w:val="000000"/>
                <w:sz w:val="20"/>
                <w:lang w:val="ru-RU"/>
              </w:rPr>
            </w:pPr>
            <w:r>
              <w:rPr>
                <w:b/>
                <w:color w:val="000000"/>
                <w:sz w:val="20"/>
                <w:lang w:val="ru-RU"/>
              </w:rPr>
              <w:t>% к ВВП</w:t>
            </w:r>
          </w:p>
        </w:tc>
        <w:tc>
          <w:tcPr>
            <w:tcW w:w="931" w:type="dxa"/>
          </w:tcPr>
          <w:p w:rsidR="00D80435" w:rsidRDefault="00D80435">
            <w:pPr>
              <w:spacing w:before="120" w:after="120"/>
              <w:jc w:val="center"/>
              <w:rPr>
                <w:b/>
                <w:color w:val="000000"/>
                <w:sz w:val="20"/>
                <w:lang w:val="ru-RU"/>
              </w:rPr>
            </w:pPr>
            <w:r>
              <w:rPr>
                <w:b/>
                <w:color w:val="000000"/>
                <w:sz w:val="20"/>
                <w:lang w:val="ru-RU"/>
              </w:rPr>
              <w:t>Расходы</w:t>
            </w:r>
          </w:p>
        </w:tc>
        <w:tc>
          <w:tcPr>
            <w:tcW w:w="708" w:type="dxa"/>
          </w:tcPr>
          <w:p w:rsidR="00D80435" w:rsidRDefault="00D80435">
            <w:pPr>
              <w:spacing w:before="120" w:after="120"/>
              <w:jc w:val="center"/>
              <w:rPr>
                <w:b/>
                <w:color w:val="000000"/>
                <w:sz w:val="20"/>
                <w:lang w:val="ru-RU"/>
              </w:rPr>
            </w:pPr>
            <w:r>
              <w:rPr>
                <w:b/>
                <w:color w:val="000000"/>
                <w:sz w:val="20"/>
                <w:lang w:val="ru-RU"/>
              </w:rPr>
              <w:t>% к ВВП</w:t>
            </w:r>
          </w:p>
        </w:tc>
      </w:tr>
      <w:tr w:rsidR="00D80435">
        <w:tblPrEx>
          <w:tblCellMar>
            <w:top w:w="0" w:type="dxa"/>
            <w:bottom w:w="0" w:type="dxa"/>
          </w:tblCellMar>
        </w:tblPrEx>
        <w:tc>
          <w:tcPr>
            <w:tcW w:w="1136" w:type="dxa"/>
          </w:tcPr>
          <w:p w:rsidR="00D80435" w:rsidRDefault="00D80435">
            <w:pPr>
              <w:spacing w:before="120" w:after="120"/>
              <w:jc w:val="center"/>
              <w:rPr>
                <w:color w:val="000000"/>
                <w:sz w:val="20"/>
              </w:rPr>
            </w:pPr>
            <w:r>
              <w:rPr>
                <w:color w:val="000000"/>
                <w:sz w:val="20"/>
              </w:rPr>
              <w:t>1997</w:t>
            </w:r>
            <w:r>
              <w:rPr>
                <w:color w:val="000000"/>
                <w:sz w:val="20"/>
                <w:lang w:val="ru-RU"/>
              </w:rPr>
              <w:t>/</w:t>
            </w:r>
            <w:r>
              <w:rPr>
                <w:color w:val="000000"/>
                <w:sz w:val="20"/>
              </w:rPr>
              <w:t>98</w:t>
            </w:r>
          </w:p>
        </w:tc>
        <w:tc>
          <w:tcPr>
            <w:tcW w:w="942" w:type="dxa"/>
          </w:tcPr>
          <w:p w:rsidR="00D80435" w:rsidRDefault="00D80435">
            <w:pPr>
              <w:spacing w:before="120" w:after="120"/>
              <w:jc w:val="center"/>
              <w:rPr>
                <w:color w:val="000000"/>
                <w:sz w:val="20"/>
              </w:rPr>
            </w:pPr>
            <w:r>
              <w:rPr>
                <w:color w:val="000000"/>
                <w:sz w:val="20"/>
              </w:rPr>
              <w:t>240</w:t>
            </w:r>
            <w:r>
              <w:rPr>
                <w:color w:val="000000"/>
                <w:sz w:val="20"/>
                <w:lang w:val="en-GB"/>
              </w:rPr>
              <w:t xml:space="preserve"> </w:t>
            </w:r>
            <w:r>
              <w:rPr>
                <w:color w:val="000000"/>
                <w:sz w:val="20"/>
              </w:rPr>
              <w:t>832</w:t>
            </w:r>
          </w:p>
        </w:tc>
        <w:tc>
          <w:tcPr>
            <w:tcW w:w="720" w:type="dxa"/>
          </w:tcPr>
          <w:p w:rsidR="00D80435" w:rsidRDefault="00D80435">
            <w:pPr>
              <w:spacing w:before="120" w:after="120"/>
              <w:jc w:val="center"/>
              <w:rPr>
                <w:color w:val="000000"/>
                <w:sz w:val="20"/>
              </w:rPr>
            </w:pPr>
            <w:r>
              <w:rPr>
                <w:color w:val="000000"/>
                <w:sz w:val="20"/>
              </w:rPr>
              <w:t>1,73</w:t>
            </w:r>
          </w:p>
        </w:tc>
        <w:tc>
          <w:tcPr>
            <w:tcW w:w="910" w:type="dxa"/>
          </w:tcPr>
          <w:p w:rsidR="00D80435" w:rsidRDefault="00D80435">
            <w:pPr>
              <w:spacing w:before="120" w:after="120"/>
              <w:jc w:val="center"/>
              <w:rPr>
                <w:color w:val="000000"/>
                <w:sz w:val="20"/>
              </w:rPr>
            </w:pPr>
            <w:r>
              <w:rPr>
                <w:color w:val="000000"/>
                <w:sz w:val="20"/>
              </w:rPr>
              <w:t>156</w:t>
            </w:r>
            <w:r>
              <w:rPr>
                <w:color w:val="000000"/>
                <w:sz w:val="20"/>
                <w:lang w:val="en-GB"/>
              </w:rPr>
              <w:t xml:space="preserve"> </w:t>
            </w:r>
            <w:r>
              <w:rPr>
                <w:color w:val="000000"/>
                <w:sz w:val="20"/>
              </w:rPr>
              <w:t>635</w:t>
            </w:r>
          </w:p>
        </w:tc>
        <w:tc>
          <w:tcPr>
            <w:tcW w:w="720" w:type="dxa"/>
          </w:tcPr>
          <w:p w:rsidR="00D80435" w:rsidRDefault="00D80435">
            <w:pPr>
              <w:spacing w:before="120" w:after="120"/>
              <w:jc w:val="center"/>
              <w:rPr>
                <w:color w:val="000000"/>
                <w:sz w:val="20"/>
              </w:rPr>
            </w:pPr>
            <w:r>
              <w:rPr>
                <w:color w:val="000000"/>
                <w:sz w:val="20"/>
              </w:rPr>
              <w:t>1,13</w:t>
            </w:r>
          </w:p>
        </w:tc>
        <w:tc>
          <w:tcPr>
            <w:tcW w:w="1080" w:type="dxa"/>
          </w:tcPr>
          <w:p w:rsidR="00D80435" w:rsidRDefault="00D80435">
            <w:pPr>
              <w:spacing w:before="120" w:after="120"/>
              <w:jc w:val="center"/>
              <w:rPr>
                <w:color w:val="000000"/>
                <w:sz w:val="20"/>
              </w:rPr>
            </w:pPr>
            <w:r>
              <w:rPr>
                <w:color w:val="000000"/>
                <w:sz w:val="20"/>
              </w:rPr>
              <w:t>2098</w:t>
            </w:r>
          </w:p>
        </w:tc>
        <w:tc>
          <w:tcPr>
            <w:tcW w:w="720" w:type="dxa"/>
          </w:tcPr>
          <w:p w:rsidR="00D80435" w:rsidRDefault="00D80435">
            <w:pPr>
              <w:spacing w:before="120" w:after="120"/>
              <w:jc w:val="center"/>
              <w:rPr>
                <w:color w:val="000000"/>
                <w:sz w:val="20"/>
              </w:rPr>
            </w:pPr>
            <w:r>
              <w:rPr>
                <w:color w:val="000000"/>
                <w:sz w:val="20"/>
              </w:rPr>
              <w:t>0,02</w:t>
            </w:r>
          </w:p>
        </w:tc>
        <w:tc>
          <w:tcPr>
            <w:tcW w:w="1080" w:type="dxa"/>
          </w:tcPr>
          <w:p w:rsidR="00D80435" w:rsidRDefault="00D80435">
            <w:pPr>
              <w:spacing w:before="120" w:after="120"/>
              <w:jc w:val="center"/>
              <w:rPr>
                <w:color w:val="000000"/>
                <w:sz w:val="20"/>
              </w:rPr>
            </w:pPr>
            <w:r>
              <w:rPr>
                <w:color w:val="000000"/>
                <w:sz w:val="20"/>
              </w:rPr>
              <w:t>85</w:t>
            </w:r>
            <w:r>
              <w:rPr>
                <w:color w:val="000000"/>
                <w:sz w:val="20"/>
                <w:lang w:val="en-GB"/>
              </w:rPr>
              <w:t xml:space="preserve"> </w:t>
            </w:r>
            <w:r>
              <w:rPr>
                <w:color w:val="000000"/>
                <w:sz w:val="20"/>
              </w:rPr>
              <w:t>957</w:t>
            </w:r>
          </w:p>
        </w:tc>
        <w:tc>
          <w:tcPr>
            <w:tcW w:w="720" w:type="dxa"/>
          </w:tcPr>
          <w:p w:rsidR="00D80435" w:rsidRDefault="00D80435">
            <w:pPr>
              <w:spacing w:before="120" w:after="120"/>
              <w:jc w:val="center"/>
              <w:rPr>
                <w:color w:val="000000"/>
                <w:sz w:val="20"/>
              </w:rPr>
            </w:pPr>
            <w:r>
              <w:rPr>
                <w:color w:val="000000"/>
                <w:sz w:val="20"/>
              </w:rPr>
              <w:t>0,62</w:t>
            </w:r>
          </w:p>
        </w:tc>
        <w:tc>
          <w:tcPr>
            <w:tcW w:w="931" w:type="dxa"/>
          </w:tcPr>
          <w:p w:rsidR="00D80435" w:rsidRDefault="00D80435">
            <w:pPr>
              <w:spacing w:before="120" w:after="120"/>
              <w:jc w:val="center"/>
              <w:rPr>
                <w:color w:val="000000"/>
                <w:sz w:val="20"/>
              </w:rPr>
            </w:pPr>
            <w:r>
              <w:rPr>
                <w:color w:val="000000"/>
                <w:sz w:val="20"/>
              </w:rPr>
              <w:t>485</w:t>
            </w:r>
            <w:r>
              <w:rPr>
                <w:color w:val="000000"/>
                <w:sz w:val="20"/>
                <w:lang w:val="en-GB"/>
              </w:rPr>
              <w:t xml:space="preserve"> </w:t>
            </w:r>
            <w:r>
              <w:rPr>
                <w:color w:val="000000"/>
                <w:sz w:val="20"/>
              </w:rPr>
              <w:t>521</w:t>
            </w:r>
          </w:p>
        </w:tc>
        <w:tc>
          <w:tcPr>
            <w:tcW w:w="708" w:type="dxa"/>
          </w:tcPr>
          <w:p w:rsidR="00D80435" w:rsidRDefault="00D80435">
            <w:pPr>
              <w:spacing w:before="120" w:after="120"/>
              <w:jc w:val="center"/>
              <w:rPr>
                <w:color w:val="000000"/>
                <w:sz w:val="20"/>
              </w:rPr>
            </w:pPr>
            <w:r>
              <w:rPr>
                <w:color w:val="000000"/>
                <w:sz w:val="20"/>
              </w:rPr>
              <w:t>3,49</w:t>
            </w:r>
          </w:p>
        </w:tc>
      </w:tr>
      <w:tr w:rsidR="00D80435">
        <w:tblPrEx>
          <w:tblCellMar>
            <w:top w:w="0" w:type="dxa"/>
            <w:bottom w:w="0" w:type="dxa"/>
          </w:tblCellMar>
        </w:tblPrEx>
        <w:tc>
          <w:tcPr>
            <w:tcW w:w="1136" w:type="dxa"/>
          </w:tcPr>
          <w:p w:rsidR="00D80435" w:rsidRDefault="00D80435">
            <w:pPr>
              <w:spacing w:before="120" w:after="120"/>
              <w:jc w:val="center"/>
              <w:rPr>
                <w:color w:val="000000"/>
                <w:sz w:val="20"/>
              </w:rPr>
            </w:pPr>
            <w:r>
              <w:rPr>
                <w:color w:val="000000"/>
                <w:sz w:val="20"/>
              </w:rPr>
              <w:t>1998</w:t>
            </w:r>
            <w:r>
              <w:rPr>
                <w:color w:val="000000"/>
                <w:sz w:val="20"/>
                <w:lang w:val="ru-RU"/>
              </w:rPr>
              <w:t>/</w:t>
            </w:r>
            <w:r>
              <w:rPr>
                <w:color w:val="000000"/>
                <w:sz w:val="20"/>
              </w:rPr>
              <w:t>99</w:t>
            </w:r>
          </w:p>
        </w:tc>
        <w:tc>
          <w:tcPr>
            <w:tcW w:w="942" w:type="dxa"/>
          </w:tcPr>
          <w:p w:rsidR="00D80435" w:rsidRDefault="00D80435">
            <w:pPr>
              <w:spacing w:before="120" w:after="120"/>
              <w:jc w:val="center"/>
              <w:rPr>
                <w:color w:val="000000"/>
                <w:sz w:val="20"/>
              </w:rPr>
            </w:pPr>
            <w:r>
              <w:rPr>
                <w:color w:val="000000"/>
                <w:sz w:val="20"/>
              </w:rPr>
              <w:t>301</w:t>
            </w:r>
            <w:r>
              <w:rPr>
                <w:color w:val="000000"/>
                <w:sz w:val="20"/>
                <w:lang w:val="en-GB"/>
              </w:rPr>
              <w:t xml:space="preserve"> </w:t>
            </w:r>
            <w:r>
              <w:rPr>
                <w:color w:val="000000"/>
                <w:sz w:val="20"/>
              </w:rPr>
              <w:t>911</w:t>
            </w:r>
          </w:p>
        </w:tc>
        <w:tc>
          <w:tcPr>
            <w:tcW w:w="720" w:type="dxa"/>
          </w:tcPr>
          <w:p w:rsidR="00D80435" w:rsidRDefault="00D80435">
            <w:pPr>
              <w:spacing w:before="120" w:after="120"/>
              <w:jc w:val="center"/>
              <w:rPr>
                <w:color w:val="000000"/>
                <w:sz w:val="20"/>
              </w:rPr>
            </w:pPr>
            <w:r>
              <w:rPr>
                <w:color w:val="000000"/>
                <w:sz w:val="20"/>
              </w:rPr>
              <w:t>1,89</w:t>
            </w:r>
          </w:p>
        </w:tc>
        <w:tc>
          <w:tcPr>
            <w:tcW w:w="910" w:type="dxa"/>
          </w:tcPr>
          <w:p w:rsidR="00D80435" w:rsidRDefault="00D80435">
            <w:pPr>
              <w:spacing w:before="120" w:after="120"/>
              <w:jc w:val="center"/>
              <w:rPr>
                <w:color w:val="000000"/>
                <w:sz w:val="20"/>
              </w:rPr>
            </w:pPr>
            <w:r>
              <w:rPr>
                <w:color w:val="000000"/>
                <w:sz w:val="20"/>
              </w:rPr>
              <w:t>201</w:t>
            </w:r>
            <w:r>
              <w:rPr>
                <w:color w:val="000000"/>
                <w:sz w:val="20"/>
                <w:lang w:val="en-GB"/>
              </w:rPr>
              <w:t xml:space="preserve"> </w:t>
            </w:r>
            <w:r>
              <w:rPr>
                <w:color w:val="000000"/>
                <w:sz w:val="20"/>
              </w:rPr>
              <w:t>010</w:t>
            </w:r>
          </w:p>
        </w:tc>
        <w:tc>
          <w:tcPr>
            <w:tcW w:w="720" w:type="dxa"/>
          </w:tcPr>
          <w:p w:rsidR="00D80435" w:rsidRDefault="00D80435">
            <w:pPr>
              <w:spacing w:before="120" w:after="120"/>
              <w:jc w:val="center"/>
              <w:rPr>
                <w:color w:val="000000"/>
                <w:sz w:val="20"/>
              </w:rPr>
            </w:pPr>
            <w:r>
              <w:rPr>
                <w:color w:val="000000"/>
                <w:sz w:val="20"/>
              </w:rPr>
              <w:t>1,26</w:t>
            </w:r>
          </w:p>
        </w:tc>
        <w:tc>
          <w:tcPr>
            <w:tcW w:w="1080" w:type="dxa"/>
          </w:tcPr>
          <w:p w:rsidR="00D80435" w:rsidRDefault="00D80435">
            <w:pPr>
              <w:spacing w:before="120" w:after="120"/>
              <w:jc w:val="center"/>
              <w:rPr>
                <w:color w:val="000000"/>
                <w:sz w:val="20"/>
              </w:rPr>
            </w:pPr>
            <w:r>
              <w:rPr>
                <w:color w:val="000000"/>
                <w:sz w:val="20"/>
              </w:rPr>
              <w:t>1894</w:t>
            </w:r>
          </w:p>
        </w:tc>
        <w:tc>
          <w:tcPr>
            <w:tcW w:w="720" w:type="dxa"/>
          </w:tcPr>
          <w:p w:rsidR="00D80435" w:rsidRDefault="00D80435">
            <w:pPr>
              <w:spacing w:before="120" w:after="120"/>
              <w:jc w:val="center"/>
              <w:rPr>
                <w:color w:val="000000"/>
                <w:sz w:val="20"/>
              </w:rPr>
            </w:pPr>
            <w:r>
              <w:rPr>
                <w:color w:val="000000"/>
                <w:sz w:val="20"/>
              </w:rPr>
              <w:t>0,01</w:t>
            </w:r>
          </w:p>
        </w:tc>
        <w:tc>
          <w:tcPr>
            <w:tcW w:w="1080" w:type="dxa"/>
          </w:tcPr>
          <w:p w:rsidR="00D80435" w:rsidRDefault="00D80435">
            <w:pPr>
              <w:spacing w:before="120" w:after="120"/>
              <w:jc w:val="center"/>
              <w:rPr>
                <w:color w:val="000000"/>
                <w:sz w:val="20"/>
              </w:rPr>
            </w:pPr>
            <w:r>
              <w:rPr>
                <w:color w:val="000000"/>
                <w:sz w:val="20"/>
              </w:rPr>
              <w:t>110</w:t>
            </w:r>
            <w:r>
              <w:rPr>
                <w:color w:val="000000"/>
                <w:sz w:val="20"/>
                <w:lang w:val="en-GB"/>
              </w:rPr>
              <w:t xml:space="preserve"> </w:t>
            </w:r>
            <w:r>
              <w:rPr>
                <w:color w:val="000000"/>
                <w:sz w:val="20"/>
              </w:rPr>
              <w:t>974</w:t>
            </w:r>
          </w:p>
        </w:tc>
        <w:tc>
          <w:tcPr>
            <w:tcW w:w="720" w:type="dxa"/>
          </w:tcPr>
          <w:p w:rsidR="00D80435" w:rsidRDefault="00D80435">
            <w:pPr>
              <w:spacing w:before="120" w:after="120"/>
              <w:jc w:val="center"/>
              <w:rPr>
                <w:color w:val="000000"/>
                <w:sz w:val="20"/>
              </w:rPr>
            </w:pPr>
            <w:r>
              <w:rPr>
                <w:color w:val="000000"/>
                <w:sz w:val="20"/>
              </w:rPr>
              <w:t>0,69</w:t>
            </w:r>
          </w:p>
        </w:tc>
        <w:tc>
          <w:tcPr>
            <w:tcW w:w="931" w:type="dxa"/>
          </w:tcPr>
          <w:p w:rsidR="00D80435" w:rsidRDefault="00D80435">
            <w:pPr>
              <w:spacing w:before="120" w:after="120"/>
              <w:jc w:val="center"/>
              <w:rPr>
                <w:color w:val="000000"/>
                <w:sz w:val="20"/>
              </w:rPr>
            </w:pPr>
            <w:r>
              <w:rPr>
                <w:color w:val="000000"/>
                <w:sz w:val="20"/>
              </w:rPr>
              <w:t>615</w:t>
            </w:r>
            <w:r>
              <w:rPr>
                <w:color w:val="000000"/>
                <w:sz w:val="20"/>
                <w:lang w:val="en-GB"/>
              </w:rPr>
              <w:t xml:space="preserve"> </w:t>
            </w:r>
            <w:r>
              <w:rPr>
                <w:color w:val="000000"/>
                <w:sz w:val="20"/>
              </w:rPr>
              <w:t>789</w:t>
            </w:r>
          </w:p>
        </w:tc>
        <w:tc>
          <w:tcPr>
            <w:tcW w:w="708" w:type="dxa"/>
          </w:tcPr>
          <w:p w:rsidR="00D80435" w:rsidRDefault="00D80435">
            <w:pPr>
              <w:spacing w:before="120" w:after="120"/>
              <w:jc w:val="center"/>
              <w:rPr>
                <w:color w:val="000000"/>
                <w:sz w:val="20"/>
              </w:rPr>
            </w:pPr>
            <w:r>
              <w:rPr>
                <w:color w:val="000000"/>
                <w:sz w:val="20"/>
              </w:rPr>
              <w:t>3,85</w:t>
            </w:r>
          </w:p>
        </w:tc>
      </w:tr>
      <w:tr w:rsidR="00D80435">
        <w:tblPrEx>
          <w:tblCellMar>
            <w:top w:w="0" w:type="dxa"/>
            <w:bottom w:w="0" w:type="dxa"/>
          </w:tblCellMar>
        </w:tblPrEx>
        <w:tc>
          <w:tcPr>
            <w:tcW w:w="1136" w:type="dxa"/>
          </w:tcPr>
          <w:p w:rsidR="00D80435" w:rsidRDefault="00D80435">
            <w:pPr>
              <w:spacing w:before="120" w:after="120"/>
              <w:jc w:val="center"/>
              <w:rPr>
                <w:color w:val="000000"/>
                <w:sz w:val="20"/>
              </w:rPr>
            </w:pPr>
            <w:r>
              <w:rPr>
                <w:color w:val="000000"/>
                <w:sz w:val="20"/>
              </w:rPr>
              <w:t>1999</w:t>
            </w:r>
            <w:r>
              <w:rPr>
                <w:color w:val="000000"/>
                <w:sz w:val="20"/>
                <w:lang w:val="ru-RU"/>
              </w:rPr>
              <w:t>/</w:t>
            </w:r>
            <w:r>
              <w:rPr>
                <w:color w:val="000000"/>
                <w:sz w:val="20"/>
              </w:rPr>
              <w:t>00</w:t>
            </w:r>
          </w:p>
        </w:tc>
        <w:tc>
          <w:tcPr>
            <w:tcW w:w="942" w:type="dxa"/>
          </w:tcPr>
          <w:p w:rsidR="00D80435" w:rsidRDefault="00D80435">
            <w:pPr>
              <w:spacing w:before="120" w:after="120"/>
              <w:jc w:val="center"/>
              <w:rPr>
                <w:color w:val="000000"/>
                <w:sz w:val="20"/>
              </w:rPr>
            </w:pPr>
            <w:r>
              <w:rPr>
                <w:color w:val="000000"/>
                <w:sz w:val="20"/>
              </w:rPr>
              <w:t>340</w:t>
            </w:r>
            <w:r>
              <w:rPr>
                <w:color w:val="000000"/>
                <w:sz w:val="20"/>
                <w:lang w:val="en-GB"/>
              </w:rPr>
              <w:t xml:space="preserve"> </w:t>
            </w:r>
            <w:r>
              <w:rPr>
                <w:color w:val="000000"/>
                <w:sz w:val="20"/>
              </w:rPr>
              <w:t>688</w:t>
            </w:r>
          </w:p>
        </w:tc>
        <w:tc>
          <w:tcPr>
            <w:tcW w:w="720" w:type="dxa"/>
          </w:tcPr>
          <w:p w:rsidR="00D80435" w:rsidRDefault="00D80435">
            <w:pPr>
              <w:spacing w:before="120" w:after="120"/>
              <w:jc w:val="center"/>
              <w:rPr>
                <w:color w:val="000000"/>
                <w:sz w:val="20"/>
              </w:rPr>
            </w:pPr>
            <w:r>
              <w:rPr>
                <w:color w:val="000000"/>
                <w:sz w:val="20"/>
              </w:rPr>
              <w:t>1,93</w:t>
            </w:r>
          </w:p>
        </w:tc>
        <w:tc>
          <w:tcPr>
            <w:tcW w:w="910" w:type="dxa"/>
          </w:tcPr>
          <w:p w:rsidR="00D80435" w:rsidRDefault="00D80435">
            <w:pPr>
              <w:spacing w:before="120" w:after="120"/>
              <w:jc w:val="center"/>
              <w:rPr>
                <w:color w:val="000000"/>
                <w:sz w:val="20"/>
              </w:rPr>
            </w:pPr>
            <w:r>
              <w:rPr>
                <w:color w:val="000000"/>
                <w:sz w:val="20"/>
              </w:rPr>
              <w:t>254</w:t>
            </w:r>
            <w:r>
              <w:rPr>
                <w:color w:val="000000"/>
                <w:sz w:val="20"/>
                <w:lang w:val="en-GB"/>
              </w:rPr>
              <w:t xml:space="preserve"> </w:t>
            </w:r>
            <w:r>
              <w:rPr>
                <w:color w:val="000000"/>
                <w:sz w:val="20"/>
              </w:rPr>
              <w:t>479</w:t>
            </w:r>
          </w:p>
        </w:tc>
        <w:tc>
          <w:tcPr>
            <w:tcW w:w="720" w:type="dxa"/>
          </w:tcPr>
          <w:p w:rsidR="00D80435" w:rsidRDefault="00D80435">
            <w:pPr>
              <w:spacing w:before="120" w:after="120"/>
              <w:jc w:val="center"/>
              <w:rPr>
                <w:color w:val="000000"/>
                <w:sz w:val="20"/>
              </w:rPr>
            </w:pPr>
            <w:r>
              <w:rPr>
                <w:color w:val="000000"/>
                <w:sz w:val="20"/>
              </w:rPr>
              <w:t>1,44</w:t>
            </w:r>
          </w:p>
        </w:tc>
        <w:tc>
          <w:tcPr>
            <w:tcW w:w="1080" w:type="dxa"/>
          </w:tcPr>
          <w:p w:rsidR="00D80435" w:rsidRDefault="00D80435">
            <w:pPr>
              <w:spacing w:before="120" w:after="120"/>
              <w:jc w:val="center"/>
              <w:rPr>
                <w:color w:val="000000"/>
                <w:sz w:val="20"/>
              </w:rPr>
            </w:pPr>
            <w:r>
              <w:rPr>
                <w:color w:val="000000"/>
                <w:sz w:val="20"/>
              </w:rPr>
              <w:t>1865</w:t>
            </w:r>
          </w:p>
        </w:tc>
        <w:tc>
          <w:tcPr>
            <w:tcW w:w="720" w:type="dxa"/>
          </w:tcPr>
          <w:p w:rsidR="00D80435" w:rsidRDefault="00D80435">
            <w:pPr>
              <w:spacing w:before="120" w:after="120"/>
              <w:jc w:val="center"/>
              <w:rPr>
                <w:color w:val="000000"/>
                <w:sz w:val="20"/>
              </w:rPr>
            </w:pPr>
            <w:r>
              <w:rPr>
                <w:color w:val="000000"/>
                <w:sz w:val="20"/>
              </w:rPr>
              <w:t>0,01</w:t>
            </w:r>
          </w:p>
        </w:tc>
        <w:tc>
          <w:tcPr>
            <w:tcW w:w="1080" w:type="dxa"/>
          </w:tcPr>
          <w:p w:rsidR="00D80435" w:rsidRDefault="00D80435">
            <w:pPr>
              <w:spacing w:before="120" w:after="120"/>
              <w:jc w:val="center"/>
              <w:rPr>
                <w:color w:val="000000"/>
                <w:sz w:val="20"/>
              </w:rPr>
            </w:pPr>
            <w:r>
              <w:rPr>
                <w:color w:val="000000"/>
                <w:sz w:val="20"/>
              </w:rPr>
              <w:t>151</w:t>
            </w:r>
            <w:r>
              <w:rPr>
                <w:color w:val="000000"/>
                <w:sz w:val="20"/>
                <w:lang w:val="en-GB"/>
              </w:rPr>
              <w:t xml:space="preserve"> </w:t>
            </w:r>
            <w:r>
              <w:rPr>
                <w:color w:val="000000"/>
                <w:sz w:val="20"/>
              </w:rPr>
              <w:t>129</w:t>
            </w:r>
          </w:p>
        </w:tc>
        <w:tc>
          <w:tcPr>
            <w:tcW w:w="720" w:type="dxa"/>
          </w:tcPr>
          <w:p w:rsidR="00D80435" w:rsidRDefault="00D80435">
            <w:pPr>
              <w:spacing w:before="120" w:after="120"/>
              <w:jc w:val="center"/>
              <w:rPr>
                <w:color w:val="000000"/>
                <w:sz w:val="20"/>
              </w:rPr>
            </w:pPr>
            <w:r>
              <w:rPr>
                <w:color w:val="000000"/>
                <w:sz w:val="20"/>
              </w:rPr>
              <w:t>0,86</w:t>
            </w:r>
          </w:p>
        </w:tc>
        <w:tc>
          <w:tcPr>
            <w:tcW w:w="931" w:type="dxa"/>
          </w:tcPr>
          <w:p w:rsidR="00D80435" w:rsidRDefault="00D80435">
            <w:pPr>
              <w:spacing w:before="120" w:after="120"/>
              <w:jc w:val="center"/>
              <w:rPr>
                <w:color w:val="000000"/>
                <w:sz w:val="20"/>
              </w:rPr>
            </w:pPr>
            <w:r>
              <w:rPr>
                <w:color w:val="000000"/>
                <w:sz w:val="20"/>
              </w:rPr>
              <w:t>748</w:t>
            </w:r>
            <w:r>
              <w:rPr>
                <w:color w:val="000000"/>
                <w:sz w:val="20"/>
                <w:lang w:val="en-GB"/>
              </w:rPr>
              <w:t xml:space="preserve"> </w:t>
            </w:r>
            <w:r>
              <w:rPr>
                <w:color w:val="000000"/>
                <w:sz w:val="20"/>
              </w:rPr>
              <w:t>161</w:t>
            </w:r>
          </w:p>
        </w:tc>
        <w:tc>
          <w:tcPr>
            <w:tcW w:w="708" w:type="dxa"/>
          </w:tcPr>
          <w:p w:rsidR="00D80435" w:rsidRDefault="00D80435">
            <w:pPr>
              <w:spacing w:before="120" w:after="120"/>
              <w:jc w:val="center"/>
              <w:rPr>
                <w:color w:val="000000"/>
                <w:sz w:val="20"/>
              </w:rPr>
            </w:pPr>
            <w:r>
              <w:rPr>
                <w:color w:val="000000"/>
                <w:sz w:val="20"/>
              </w:rPr>
              <w:t>4,25</w:t>
            </w:r>
          </w:p>
        </w:tc>
      </w:tr>
      <w:tr w:rsidR="00D80435">
        <w:tblPrEx>
          <w:tblCellMar>
            <w:top w:w="0" w:type="dxa"/>
            <w:bottom w:w="0" w:type="dxa"/>
          </w:tblCellMar>
        </w:tblPrEx>
        <w:tc>
          <w:tcPr>
            <w:tcW w:w="1136" w:type="dxa"/>
            <w:vAlign w:val="bottom"/>
          </w:tcPr>
          <w:p w:rsidR="00D80435" w:rsidRDefault="00D80435">
            <w:pPr>
              <w:spacing w:before="120" w:after="120"/>
              <w:jc w:val="center"/>
              <w:rPr>
                <w:sz w:val="20"/>
              </w:rPr>
            </w:pPr>
            <w:r>
              <w:rPr>
                <w:sz w:val="20"/>
              </w:rPr>
              <w:t>2000</w:t>
            </w:r>
            <w:r>
              <w:rPr>
                <w:sz w:val="20"/>
                <w:lang w:val="ru-RU"/>
              </w:rPr>
              <w:t>/</w:t>
            </w:r>
            <w:r>
              <w:rPr>
                <w:sz w:val="20"/>
              </w:rPr>
              <w:t>01</w:t>
            </w:r>
          </w:p>
        </w:tc>
        <w:tc>
          <w:tcPr>
            <w:tcW w:w="942" w:type="dxa"/>
            <w:vAlign w:val="bottom"/>
          </w:tcPr>
          <w:p w:rsidR="00D80435" w:rsidRDefault="00D80435">
            <w:pPr>
              <w:spacing w:before="120" w:after="120"/>
              <w:jc w:val="center"/>
              <w:rPr>
                <w:sz w:val="20"/>
              </w:rPr>
            </w:pPr>
            <w:r>
              <w:rPr>
                <w:sz w:val="20"/>
              </w:rPr>
              <w:t>392</w:t>
            </w:r>
            <w:r>
              <w:rPr>
                <w:sz w:val="20"/>
                <w:lang w:val="en-GB"/>
              </w:rPr>
              <w:t xml:space="preserve"> </w:t>
            </w:r>
            <w:r>
              <w:rPr>
                <w:sz w:val="20"/>
              </w:rPr>
              <w:t>746</w:t>
            </w:r>
          </w:p>
        </w:tc>
        <w:tc>
          <w:tcPr>
            <w:tcW w:w="720" w:type="dxa"/>
            <w:vAlign w:val="bottom"/>
          </w:tcPr>
          <w:p w:rsidR="00D80435" w:rsidRDefault="00D80435">
            <w:pPr>
              <w:spacing w:before="120" w:after="120"/>
              <w:jc w:val="center"/>
              <w:rPr>
                <w:sz w:val="20"/>
              </w:rPr>
            </w:pPr>
            <w:r>
              <w:rPr>
                <w:sz w:val="20"/>
              </w:rPr>
              <w:t>2,06</w:t>
            </w:r>
          </w:p>
        </w:tc>
        <w:tc>
          <w:tcPr>
            <w:tcW w:w="910" w:type="dxa"/>
            <w:vAlign w:val="bottom"/>
          </w:tcPr>
          <w:p w:rsidR="00D80435" w:rsidRDefault="00D80435">
            <w:pPr>
              <w:spacing w:before="120" w:after="120"/>
              <w:jc w:val="center"/>
              <w:rPr>
                <w:sz w:val="20"/>
              </w:rPr>
            </w:pPr>
            <w:r>
              <w:rPr>
                <w:sz w:val="20"/>
              </w:rPr>
              <w:t>260</w:t>
            </w:r>
            <w:r>
              <w:rPr>
                <w:sz w:val="20"/>
                <w:lang w:val="en-GB"/>
              </w:rPr>
              <w:t xml:space="preserve"> </w:t>
            </w:r>
            <w:r>
              <w:rPr>
                <w:sz w:val="20"/>
              </w:rPr>
              <w:t>575</w:t>
            </w:r>
          </w:p>
        </w:tc>
        <w:tc>
          <w:tcPr>
            <w:tcW w:w="720" w:type="dxa"/>
            <w:vAlign w:val="bottom"/>
          </w:tcPr>
          <w:p w:rsidR="00D80435" w:rsidRDefault="00D80435">
            <w:pPr>
              <w:spacing w:before="120" w:after="120"/>
              <w:jc w:val="center"/>
              <w:rPr>
                <w:sz w:val="20"/>
              </w:rPr>
            </w:pPr>
            <w:r>
              <w:rPr>
                <w:sz w:val="20"/>
              </w:rPr>
              <w:t>1,37</w:t>
            </w:r>
          </w:p>
        </w:tc>
        <w:tc>
          <w:tcPr>
            <w:tcW w:w="1080" w:type="dxa"/>
            <w:vAlign w:val="bottom"/>
          </w:tcPr>
          <w:p w:rsidR="00D80435" w:rsidRDefault="00D80435">
            <w:pPr>
              <w:spacing w:before="120" w:after="120"/>
              <w:jc w:val="center"/>
              <w:rPr>
                <w:sz w:val="20"/>
              </w:rPr>
            </w:pPr>
            <w:r>
              <w:rPr>
                <w:sz w:val="20"/>
              </w:rPr>
              <w:t>2261</w:t>
            </w:r>
          </w:p>
        </w:tc>
        <w:tc>
          <w:tcPr>
            <w:tcW w:w="720" w:type="dxa"/>
            <w:vAlign w:val="bottom"/>
          </w:tcPr>
          <w:p w:rsidR="00D80435" w:rsidRDefault="00D80435">
            <w:pPr>
              <w:spacing w:before="120" w:after="120"/>
              <w:jc w:val="center"/>
              <w:rPr>
                <w:sz w:val="20"/>
              </w:rPr>
            </w:pPr>
            <w:r>
              <w:rPr>
                <w:sz w:val="20"/>
              </w:rPr>
              <w:t>0,01</w:t>
            </w:r>
          </w:p>
        </w:tc>
        <w:tc>
          <w:tcPr>
            <w:tcW w:w="1080" w:type="dxa"/>
            <w:vAlign w:val="bottom"/>
          </w:tcPr>
          <w:p w:rsidR="00D80435" w:rsidRDefault="00D80435">
            <w:pPr>
              <w:spacing w:before="120" w:after="120"/>
              <w:jc w:val="center"/>
              <w:rPr>
                <w:sz w:val="20"/>
              </w:rPr>
            </w:pPr>
            <w:r>
              <w:rPr>
                <w:sz w:val="20"/>
              </w:rPr>
              <w:t>169</w:t>
            </w:r>
            <w:r>
              <w:rPr>
                <w:sz w:val="20"/>
                <w:lang w:val="en-GB"/>
              </w:rPr>
              <w:t xml:space="preserve"> </w:t>
            </w:r>
            <w:r>
              <w:rPr>
                <w:sz w:val="20"/>
              </w:rPr>
              <w:t>282</w:t>
            </w:r>
          </w:p>
        </w:tc>
        <w:tc>
          <w:tcPr>
            <w:tcW w:w="720" w:type="dxa"/>
            <w:vAlign w:val="bottom"/>
          </w:tcPr>
          <w:p w:rsidR="00D80435" w:rsidRDefault="00D80435">
            <w:pPr>
              <w:spacing w:before="120" w:after="120"/>
              <w:jc w:val="center"/>
              <w:rPr>
                <w:sz w:val="20"/>
              </w:rPr>
            </w:pPr>
            <w:r>
              <w:rPr>
                <w:sz w:val="20"/>
              </w:rPr>
              <w:t>0,89</w:t>
            </w:r>
          </w:p>
        </w:tc>
        <w:tc>
          <w:tcPr>
            <w:tcW w:w="931" w:type="dxa"/>
            <w:vAlign w:val="bottom"/>
          </w:tcPr>
          <w:p w:rsidR="00D80435" w:rsidRDefault="00D80435">
            <w:pPr>
              <w:spacing w:before="120" w:after="120"/>
              <w:jc w:val="center"/>
              <w:rPr>
                <w:sz w:val="20"/>
              </w:rPr>
            </w:pPr>
            <w:r>
              <w:rPr>
                <w:sz w:val="20"/>
              </w:rPr>
              <w:t>824</w:t>
            </w:r>
            <w:r>
              <w:rPr>
                <w:sz w:val="20"/>
                <w:lang w:val="en-GB"/>
              </w:rPr>
              <w:t xml:space="preserve"> </w:t>
            </w:r>
            <w:r>
              <w:rPr>
                <w:sz w:val="20"/>
              </w:rPr>
              <w:t>864</w:t>
            </w:r>
          </w:p>
        </w:tc>
        <w:tc>
          <w:tcPr>
            <w:tcW w:w="708" w:type="dxa"/>
            <w:vAlign w:val="bottom"/>
          </w:tcPr>
          <w:p w:rsidR="00D80435" w:rsidRDefault="00D80435">
            <w:pPr>
              <w:spacing w:before="120" w:after="120"/>
              <w:jc w:val="center"/>
              <w:rPr>
                <w:sz w:val="20"/>
              </w:rPr>
            </w:pPr>
            <w:r>
              <w:rPr>
                <w:sz w:val="20"/>
              </w:rPr>
              <w:t>4,33</w:t>
            </w:r>
          </w:p>
        </w:tc>
      </w:tr>
      <w:tr w:rsidR="00D80435">
        <w:tblPrEx>
          <w:tblCellMar>
            <w:top w:w="0" w:type="dxa"/>
            <w:bottom w:w="0" w:type="dxa"/>
          </w:tblCellMar>
        </w:tblPrEx>
        <w:tc>
          <w:tcPr>
            <w:tcW w:w="1136" w:type="dxa"/>
          </w:tcPr>
          <w:p w:rsidR="00D80435" w:rsidRDefault="00D80435">
            <w:pPr>
              <w:spacing w:before="120" w:after="120"/>
              <w:jc w:val="center"/>
              <w:rPr>
                <w:color w:val="000000"/>
                <w:sz w:val="20"/>
              </w:rPr>
            </w:pPr>
            <w:r>
              <w:rPr>
                <w:color w:val="000000"/>
                <w:sz w:val="20"/>
              </w:rPr>
              <w:t>2001</w:t>
            </w:r>
            <w:r>
              <w:rPr>
                <w:color w:val="000000"/>
                <w:sz w:val="20"/>
                <w:lang w:val="ru-RU"/>
              </w:rPr>
              <w:t>/</w:t>
            </w:r>
            <w:r>
              <w:rPr>
                <w:color w:val="000000"/>
                <w:sz w:val="20"/>
              </w:rPr>
              <w:t>02</w:t>
            </w:r>
          </w:p>
        </w:tc>
        <w:tc>
          <w:tcPr>
            <w:tcW w:w="942" w:type="dxa"/>
            <w:vAlign w:val="bottom"/>
          </w:tcPr>
          <w:p w:rsidR="00D80435" w:rsidRDefault="00D80435">
            <w:pPr>
              <w:spacing w:before="120" w:after="120"/>
              <w:jc w:val="center"/>
              <w:rPr>
                <w:sz w:val="20"/>
              </w:rPr>
            </w:pPr>
            <w:r>
              <w:rPr>
                <w:sz w:val="20"/>
              </w:rPr>
              <w:t>400</w:t>
            </w:r>
            <w:r>
              <w:rPr>
                <w:sz w:val="20"/>
                <w:lang w:val="en-GB"/>
              </w:rPr>
              <w:t xml:space="preserve"> </w:t>
            </w:r>
            <w:r>
              <w:rPr>
                <w:sz w:val="20"/>
              </w:rPr>
              <w:t>194</w:t>
            </w:r>
          </w:p>
        </w:tc>
        <w:tc>
          <w:tcPr>
            <w:tcW w:w="720" w:type="dxa"/>
            <w:vAlign w:val="bottom"/>
          </w:tcPr>
          <w:p w:rsidR="00D80435" w:rsidRDefault="00D80435">
            <w:pPr>
              <w:spacing w:before="120" w:after="120"/>
              <w:jc w:val="center"/>
              <w:rPr>
                <w:sz w:val="20"/>
              </w:rPr>
            </w:pPr>
            <w:r>
              <w:rPr>
                <w:sz w:val="20"/>
              </w:rPr>
              <w:t>1,91</w:t>
            </w:r>
          </w:p>
        </w:tc>
        <w:tc>
          <w:tcPr>
            <w:tcW w:w="910" w:type="dxa"/>
            <w:vAlign w:val="bottom"/>
          </w:tcPr>
          <w:p w:rsidR="00D80435" w:rsidRDefault="00D80435">
            <w:pPr>
              <w:spacing w:before="120" w:after="120"/>
              <w:jc w:val="center"/>
              <w:rPr>
                <w:sz w:val="20"/>
              </w:rPr>
            </w:pPr>
            <w:r>
              <w:rPr>
                <w:sz w:val="20"/>
              </w:rPr>
              <w:t>251</w:t>
            </w:r>
            <w:r>
              <w:rPr>
                <w:sz w:val="20"/>
                <w:lang w:val="en-GB"/>
              </w:rPr>
              <w:t xml:space="preserve"> </w:t>
            </w:r>
            <w:r>
              <w:rPr>
                <w:sz w:val="20"/>
              </w:rPr>
              <w:t>635</w:t>
            </w:r>
          </w:p>
        </w:tc>
        <w:tc>
          <w:tcPr>
            <w:tcW w:w="720" w:type="dxa"/>
            <w:vAlign w:val="bottom"/>
          </w:tcPr>
          <w:p w:rsidR="00D80435" w:rsidRDefault="00D80435">
            <w:pPr>
              <w:spacing w:before="120" w:after="120"/>
              <w:jc w:val="center"/>
              <w:rPr>
                <w:sz w:val="20"/>
              </w:rPr>
            </w:pPr>
            <w:r>
              <w:rPr>
                <w:sz w:val="20"/>
              </w:rPr>
              <w:t>1,20</w:t>
            </w:r>
          </w:p>
        </w:tc>
        <w:tc>
          <w:tcPr>
            <w:tcW w:w="1080" w:type="dxa"/>
            <w:vAlign w:val="bottom"/>
          </w:tcPr>
          <w:p w:rsidR="00D80435" w:rsidRDefault="00D80435">
            <w:pPr>
              <w:spacing w:before="120" w:after="120"/>
              <w:jc w:val="center"/>
              <w:rPr>
                <w:sz w:val="20"/>
              </w:rPr>
            </w:pPr>
            <w:r>
              <w:rPr>
                <w:sz w:val="20"/>
              </w:rPr>
              <w:t>3596</w:t>
            </w:r>
          </w:p>
        </w:tc>
        <w:tc>
          <w:tcPr>
            <w:tcW w:w="720" w:type="dxa"/>
            <w:vAlign w:val="bottom"/>
          </w:tcPr>
          <w:p w:rsidR="00D80435" w:rsidRDefault="00D80435">
            <w:pPr>
              <w:spacing w:before="120" w:after="120"/>
              <w:jc w:val="center"/>
              <w:rPr>
                <w:sz w:val="20"/>
              </w:rPr>
            </w:pPr>
            <w:r>
              <w:rPr>
                <w:sz w:val="20"/>
              </w:rPr>
              <w:t>0,02</w:t>
            </w:r>
          </w:p>
        </w:tc>
        <w:tc>
          <w:tcPr>
            <w:tcW w:w="1080" w:type="dxa"/>
            <w:vAlign w:val="bottom"/>
          </w:tcPr>
          <w:p w:rsidR="00D80435" w:rsidRDefault="00D80435">
            <w:pPr>
              <w:spacing w:before="120" w:after="120"/>
              <w:jc w:val="center"/>
              <w:rPr>
                <w:sz w:val="20"/>
              </w:rPr>
            </w:pPr>
            <w:r>
              <w:rPr>
                <w:sz w:val="20"/>
              </w:rPr>
              <w:t>143</w:t>
            </w:r>
            <w:r>
              <w:rPr>
                <w:sz w:val="20"/>
                <w:lang w:val="en-GB"/>
              </w:rPr>
              <w:t xml:space="preserve"> </w:t>
            </w:r>
            <w:r>
              <w:rPr>
                <w:sz w:val="20"/>
              </w:rPr>
              <w:t>233</w:t>
            </w:r>
          </w:p>
        </w:tc>
        <w:tc>
          <w:tcPr>
            <w:tcW w:w="720" w:type="dxa"/>
            <w:vAlign w:val="bottom"/>
          </w:tcPr>
          <w:p w:rsidR="00D80435" w:rsidRDefault="00D80435">
            <w:pPr>
              <w:spacing w:before="120" w:after="120"/>
              <w:jc w:val="center"/>
              <w:rPr>
                <w:sz w:val="20"/>
              </w:rPr>
            </w:pPr>
            <w:r>
              <w:rPr>
                <w:sz w:val="20"/>
              </w:rPr>
              <w:t>0,69</w:t>
            </w:r>
          </w:p>
        </w:tc>
        <w:tc>
          <w:tcPr>
            <w:tcW w:w="931" w:type="dxa"/>
            <w:vAlign w:val="bottom"/>
          </w:tcPr>
          <w:p w:rsidR="00D80435" w:rsidRDefault="00D80435">
            <w:pPr>
              <w:spacing w:before="120" w:after="120"/>
              <w:jc w:val="center"/>
              <w:rPr>
                <w:sz w:val="20"/>
              </w:rPr>
            </w:pPr>
            <w:r>
              <w:rPr>
                <w:sz w:val="20"/>
              </w:rPr>
              <w:t>798</w:t>
            </w:r>
            <w:r>
              <w:rPr>
                <w:sz w:val="20"/>
                <w:lang w:val="en-GB"/>
              </w:rPr>
              <w:t xml:space="preserve"> </w:t>
            </w:r>
            <w:r>
              <w:rPr>
                <w:sz w:val="20"/>
              </w:rPr>
              <w:t>657</w:t>
            </w:r>
          </w:p>
        </w:tc>
        <w:tc>
          <w:tcPr>
            <w:tcW w:w="708" w:type="dxa"/>
            <w:vAlign w:val="bottom"/>
          </w:tcPr>
          <w:p w:rsidR="00D80435" w:rsidRDefault="00D80435">
            <w:pPr>
              <w:spacing w:before="120" w:after="120"/>
              <w:jc w:val="center"/>
              <w:rPr>
                <w:sz w:val="20"/>
              </w:rPr>
            </w:pPr>
            <w:r>
              <w:rPr>
                <w:sz w:val="20"/>
              </w:rPr>
              <w:t>3,82</w:t>
            </w:r>
          </w:p>
        </w:tc>
      </w:tr>
      <w:tr w:rsidR="00D80435">
        <w:tblPrEx>
          <w:tblCellMar>
            <w:top w:w="0" w:type="dxa"/>
            <w:bottom w:w="0" w:type="dxa"/>
          </w:tblCellMar>
        </w:tblPrEx>
        <w:tc>
          <w:tcPr>
            <w:tcW w:w="1136" w:type="dxa"/>
          </w:tcPr>
          <w:p w:rsidR="00D80435" w:rsidRDefault="00D80435">
            <w:pPr>
              <w:spacing w:before="120" w:after="120"/>
              <w:jc w:val="center"/>
              <w:rPr>
                <w:color w:val="000000"/>
                <w:sz w:val="20"/>
              </w:rPr>
            </w:pPr>
            <w:r>
              <w:rPr>
                <w:color w:val="000000"/>
                <w:sz w:val="20"/>
              </w:rPr>
              <w:t>2002</w:t>
            </w:r>
            <w:r>
              <w:rPr>
                <w:color w:val="000000"/>
                <w:sz w:val="20"/>
                <w:lang w:val="ru-RU"/>
              </w:rPr>
              <w:t>/</w:t>
            </w:r>
            <w:r>
              <w:rPr>
                <w:color w:val="000000"/>
                <w:sz w:val="20"/>
              </w:rPr>
              <w:t>03</w:t>
            </w:r>
          </w:p>
        </w:tc>
        <w:tc>
          <w:tcPr>
            <w:tcW w:w="942" w:type="dxa"/>
            <w:vAlign w:val="bottom"/>
          </w:tcPr>
          <w:p w:rsidR="00D80435" w:rsidRDefault="00D80435">
            <w:pPr>
              <w:spacing w:before="120" w:after="120"/>
              <w:jc w:val="center"/>
              <w:rPr>
                <w:sz w:val="20"/>
              </w:rPr>
            </w:pPr>
            <w:r>
              <w:rPr>
                <w:sz w:val="20"/>
              </w:rPr>
              <w:t>430</w:t>
            </w:r>
            <w:r>
              <w:rPr>
                <w:sz w:val="20"/>
                <w:lang w:val="en-GB"/>
              </w:rPr>
              <w:t xml:space="preserve"> </w:t>
            </w:r>
            <w:r>
              <w:rPr>
                <w:sz w:val="20"/>
              </w:rPr>
              <w:t>434</w:t>
            </w:r>
          </w:p>
        </w:tc>
        <w:tc>
          <w:tcPr>
            <w:tcW w:w="720" w:type="dxa"/>
            <w:vAlign w:val="bottom"/>
          </w:tcPr>
          <w:p w:rsidR="00D80435" w:rsidRDefault="00D80435">
            <w:pPr>
              <w:spacing w:before="120" w:after="120"/>
              <w:jc w:val="center"/>
              <w:rPr>
                <w:sz w:val="20"/>
              </w:rPr>
            </w:pPr>
            <w:r>
              <w:rPr>
                <w:sz w:val="20"/>
              </w:rPr>
              <w:t>1,93</w:t>
            </w:r>
          </w:p>
        </w:tc>
        <w:tc>
          <w:tcPr>
            <w:tcW w:w="910" w:type="dxa"/>
            <w:vAlign w:val="bottom"/>
          </w:tcPr>
          <w:p w:rsidR="00D80435" w:rsidRDefault="00D80435">
            <w:pPr>
              <w:spacing w:before="120" w:after="120"/>
              <w:jc w:val="center"/>
              <w:rPr>
                <w:sz w:val="20"/>
              </w:rPr>
            </w:pPr>
            <w:r>
              <w:rPr>
                <w:sz w:val="20"/>
              </w:rPr>
              <w:t>283</w:t>
            </w:r>
            <w:r>
              <w:rPr>
                <w:sz w:val="20"/>
                <w:lang w:val="en-GB"/>
              </w:rPr>
              <w:t xml:space="preserve"> </w:t>
            </w:r>
            <w:r>
              <w:rPr>
                <w:sz w:val="20"/>
              </w:rPr>
              <w:t>013</w:t>
            </w:r>
          </w:p>
        </w:tc>
        <w:tc>
          <w:tcPr>
            <w:tcW w:w="720" w:type="dxa"/>
            <w:vAlign w:val="bottom"/>
          </w:tcPr>
          <w:p w:rsidR="00D80435" w:rsidRDefault="00D80435">
            <w:pPr>
              <w:spacing w:before="120" w:after="120"/>
              <w:jc w:val="center"/>
              <w:rPr>
                <w:sz w:val="20"/>
              </w:rPr>
            </w:pPr>
            <w:r>
              <w:rPr>
                <w:sz w:val="20"/>
              </w:rPr>
              <w:t>1,26</w:t>
            </w:r>
          </w:p>
        </w:tc>
        <w:tc>
          <w:tcPr>
            <w:tcW w:w="1080" w:type="dxa"/>
            <w:vAlign w:val="bottom"/>
          </w:tcPr>
          <w:p w:rsidR="00D80435" w:rsidRDefault="00D80435">
            <w:pPr>
              <w:spacing w:before="120" w:after="120"/>
              <w:jc w:val="center"/>
              <w:rPr>
                <w:sz w:val="20"/>
              </w:rPr>
            </w:pPr>
            <w:r>
              <w:rPr>
                <w:sz w:val="20"/>
              </w:rPr>
              <w:t>4158</w:t>
            </w:r>
          </w:p>
        </w:tc>
        <w:tc>
          <w:tcPr>
            <w:tcW w:w="720" w:type="dxa"/>
            <w:vAlign w:val="bottom"/>
          </w:tcPr>
          <w:p w:rsidR="00D80435" w:rsidRDefault="00D80435">
            <w:pPr>
              <w:spacing w:before="120" w:after="120"/>
              <w:jc w:val="center"/>
              <w:rPr>
                <w:sz w:val="20"/>
              </w:rPr>
            </w:pPr>
            <w:r>
              <w:rPr>
                <w:sz w:val="20"/>
              </w:rPr>
              <w:t>0,02</w:t>
            </w:r>
          </w:p>
        </w:tc>
        <w:tc>
          <w:tcPr>
            <w:tcW w:w="1080" w:type="dxa"/>
            <w:vAlign w:val="bottom"/>
          </w:tcPr>
          <w:p w:rsidR="00D80435" w:rsidRDefault="00D80435">
            <w:pPr>
              <w:spacing w:before="120" w:after="120"/>
              <w:jc w:val="center"/>
              <w:rPr>
                <w:sz w:val="20"/>
              </w:rPr>
            </w:pPr>
            <w:r>
              <w:rPr>
                <w:sz w:val="20"/>
              </w:rPr>
              <w:t>170</w:t>
            </w:r>
            <w:r>
              <w:rPr>
                <w:sz w:val="20"/>
                <w:lang w:val="en-GB"/>
              </w:rPr>
              <w:t xml:space="preserve"> </w:t>
            </w:r>
            <w:r>
              <w:rPr>
                <w:sz w:val="20"/>
              </w:rPr>
              <w:t>999</w:t>
            </w:r>
          </w:p>
        </w:tc>
        <w:tc>
          <w:tcPr>
            <w:tcW w:w="720" w:type="dxa"/>
            <w:vAlign w:val="bottom"/>
          </w:tcPr>
          <w:p w:rsidR="00D80435" w:rsidRDefault="00D80435">
            <w:pPr>
              <w:spacing w:before="120" w:after="120"/>
              <w:jc w:val="center"/>
              <w:rPr>
                <w:sz w:val="20"/>
              </w:rPr>
            </w:pPr>
            <w:r>
              <w:rPr>
                <w:sz w:val="20"/>
              </w:rPr>
              <w:t>0,76</w:t>
            </w:r>
          </w:p>
        </w:tc>
        <w:tc>
          <w:tcPr>
            <w:tcW w:w="931" w:type="dxa"/>
            <w:vAlign w:val="bottom"/>
          </w:tcPr>
          <w:p w:rsidR="00D80435" w:rsidRDefault="00D80435">
            <w:pPr>
              <w:spacing w:before="120" w:after="120"/>
              <w:jc w:val="center"/>
              <w:rPr>
                <w:sz w:val="20"/>
              </w:rPr>
            </w:pPr>
            <w:r>
              <w:rPr>
                <w:sz w:val="20"/>
              </w:rPr>
              <w:t>892</w:t>
            </w:r>
            <w:r>
              <w:rPr>
                <w:sz w:val="20"/>
                <w:lang w:val="en-GB"/>
              </w:rPr>
              <w:t xml:space="preserve"> </w:t>
            </w:r>
            <w:r>
              <w:rPr>
                <w:sz w:val="20"/>
              </w:rPr>
              <w:t>204</w:t>
            </w:r>
          </w:p>
        </w:tc>
        <w:tc>
          <w:tcPr>
            <w:tcW w:w="708" w:type="dxa"/>
            <w:vAlign w:val="bottom"/>
          </w:tcPr>
          <w:p w:rsidR="00D80435" w:rsidRDefault="00D80435">
            <w:pPr>
              <w:spacing w:before="120" w:after="120"/>
              <w:jc w:val="center"/>
              <w:rPr>
                <w:sz w:val="20"/>
              </w:rPr>
            </w:pPr>
            <w:r>
              <w:rPr>
                <w:sz w:val="20"/>
              </w:rPr>
              <w:t>3,97</w:t>
            </w:r>
          </w:p>
        </w:tc>
      </w:tr>
    </w:tbl>
    <w:p w:rsidR="00D80435" w:rsidRDefault="00D80435">
      <w:pPr>
        <w:spacing w:before="160"/>
        <w:rPr>
          <w:color w:val="000000"/>
          <w:sz w:val="20"/>
          <w:lang w:val="en-GB"/>
        </w:rPr>
      </w:pPr>
      <w:r>
        <w:rPr>
          <w:i/>
          <w:sz w:val="20"/>
          <w:lang w:val="ru-RU"/>
        </w:rPr>
        <w:t>Источник</w:t>
      </w:r>
      <w:r>
        <w:rPr>
          <w:sz w:val="20"/>
          <w:lang w:val="en-GB"/>
        </w:rPr>
        <w:t>:</w:t>
      </w:r>
      <w:r>
        <w:rPr>
          <w:sz w:val="20"/>
        </w:rPr>
        <w:t xml:space="preserve"> Selected Educational Statistics 2002</w:t>
      </w:r>
      <w:r>
        <w:rPr>
          <w:sz w:val="20"/>
          <w:lang w:val="en-GB"/>
        </w:rPr>
        <w:t>/</w:t>
      </w:r>
      <w:r>
        <w:rPr>
          <w:sz w:val="20"/>
        </w:rPr>
        <w:t>03</w:t>
      </w:r>
      <w:r>
        <w:rPr>
          <w:sz w:val="20"/>
          <w:lang w:val="en-GB"/>
        </w:rPr>
        <w:t>.</w:t>
      </w:r>
    </w:p>
    <w:p w:rsidR="00D80435" w:rsidRDefault="00D80435">
      <w:pPr>
        <w:rPr>
          <w:color w:val="000000"/>
          <w:lang w:val="ru-RU"/>
        </w:rPr>
      </w:pPr>
      <w:r>
        <w:rPr>
          <w:color w:val="000000"/>
          <w:lang w:val="ru-RU"/>
        </w:rPr>
        <w:t>191.</w:t>
      </w:r>
      <w:r>
        <w:rPr>
          <w:color w:val="000000"/>
          <w:lang w:val="ru-RU"/>
        </w:rPr>
        <w:tab/>
      </w:r>
      <w:r>
        <w:rPr>
          <w:b/>
          <w:color w:val="000000"/>
          <w:lang w:val="ru-RU"/>
        </w:rPr>
        <w:t>Программа развития и образования детей дошкольного возраста (ПРОДД):</w:t>
      </w:r>
      <w:r>
        <w:rPr>
          <w:color w:val="000000"/>
          <w:lang w:val="ru-RU"/>
        </w:rPr>
        <w:t xml:space="preserve"> представляет собой масштабный проект особой важности, особенно в условиях, когда свыше 50 процентов детей рождаются в семьях, живущих ниже черты бедности. В данной Программе используется комплексный подход к развитию детей, позволяющий учесть их потребности с точки зрения здоровья, питания, физического и психологического состояния, социальных и эмоциональных факторов. Программы в рамках ПРОДД включают ряд проектов, в том числе Комплексный план оказания услуг в сфере детского развития (КПДР), систему яслей, детских садов, центров дошкольного обучения; подготовительные классы, находящихся в ведении правительственных и неправительственных организаций, а также успешные инновационные проекты, такие как программы "Ребенок для ребенка", "Детская медийная лаборатория", "Мобильные ясли" и т. д.</w:t>
      </w:r>
    </w:p>
    <w:p w:rsidR="00D80435" w:rsidRDefault="00D80435">
      <w:pPr>
        <w:rPr>
          <w:color w:val="000000"/>
          <w:lang w:val="ru-RU"/>
        </w:rPr>
      </w:pPr>
      <w:r>
        <w:rPr>
          <w:color w:val="000000"/>
          <w:lang w:val="ru-RU"/>
        </w:rPr>
        <w:t>192.</w:t>
      </w:r>
      <w:r>
        <w:rPr>
          <w:color w:val="000000"/>
          <w:lang w:val="ru-RU"/>
        </w:rPr>
        <w:tab/>
      </w:r>
      <w:r>
        <w:rPr>
          <w:b/>
          <w:color w:val="000000"/>
          <w:lang w:val="ru-RU"/>
        </w:rPr>
        <w:t>Программа Сарва Шикша Абхиян (</w:t>
      </w:r>
      <w:r>
        <w:rPr>
          <w:b/>
          <w:color w:val="000000"/>
        </w:rPr>
        <w:t>SSA</w:t>
      </w:r>
      <w:r>
        <w:rPr>
          <w:b/>
          <w:color w:val="000000"/>
          <w:lang w:val="ru-RU"/>
        </w:rPr>
        <w:t>):</w:t>
      </w:r>
      <w:r>
        <w:rPr>
          <w:color w:val="000000"/>
          <w:lang w:val="ru-RU"/>
        </w:rPr>
        <w:t xml:space="preserve"> или "Образование для всех" является национальной зонтичной программой свободного и обязательного начального образования, стартовавшей в 2001 году, которая направлена на обеспечение всеобщего доступа к образованию, сохранение и повышение его качества. Программа ставит следующие цели: обеспечить, чтобы все дети в возрасте 6–14 лет к 2007 году закончили пять классов школы и восемь классов – к 2010 году; ликвидировать разрыв между различными социальными категориями и устранить гендерное неравенство на уровне дошкольного образования – к 2007 году и на уровне начального образования – к 2010 году, а также достичь всеобщей посещаемости школ к 2010 году. Данная программа реализуется на базе существующих 850 тыс. школ с помощью 3,3 млн. учителей и охватывает около 192 млн. детей в 1,1 млн. населенных пунктов. Программа также предусматривает открытие новых школ в тех населенных пунктах, где они отсутствуют, и развитие имеющихся школ за счет оборудования новых классных комнат, туалетов, снабжения школ питьевой водой, а также предоставления субсидий на текущий ремонт и реконструкцию. Сильной стороной этой программы является используемая в ней концепция вовлечения ИПР и/или советов племен, НПО, учителей, общественности, активистов и женских организаций.</w:t>
      </w:r>
    </w:p>
    <w:p w:rsidR="00D80435" w:rsidRDefault="00D80435">
      <w:pPr>
        <w:rPr>
          <w:color w:val="000000"/>
          <w:lang w:val="ru-RU"/>
        </w:rPr>
      </w:pPr>
      <w:r>
        <w:rPr>
          <w:color w:val="000000"/>
          <w:lang w:val="ru-RU"/>
        </w:rPr>
        <w:t xml:space="preserve">193.  </w:t>
      </w:r>
      <w:r>
        <w:rPr>
          <w:color w:val="000000"/>
          <w:lang w:val="ru-RU"/>
        </w:rPr>
        <w:tab/>
      </w:r>
      <w:r>
        <w:rPr>
          <w:b/>
          <w:color w:val="000000"/>
          <w:lang w:val="ru-RU"/>
        </w:rPr>
        <w:t>Национальная программа начального образования девочек (НПНОД):</w:t>
      </w:r>
      <w:r>
        <w:rPr>
          <w:color w:val="000000"/>
          <w:lang w:val="ru-RU"/>
        </w:rPr>
        <w:t xml:space="preserve"> является составной частью программы "Образование для всех" с отчетливо выраженным гендерным компонентом, в рамках которой неимущим/ущемленным в правах девочкам предоставляется дополнительная поддержка в получении начального образования. Программа реализуется в отстающих в плане образовательного уровня поселениях, где неграмотность среди женщин выше, а показатель гендерного равноправия – ниже среднего национального уровня. Программа также охватывает те районы, где уровень грамотности среди представителей включенных в списки каст и племен, проживающих как в сельских, так и городских районах, не превышает 10 процентов. Программа предусматривает разработку для каждого района конкретной стратегии, позволяющей девочкам посещать школу, применять альтернативное обучение для девочек, проживающих в труднодоступных районах, составлять гибкое расписание занятий и проводить дополнительную подготовку для неуспевающих путем организации дополнительных занятий для отстающих и лагерей длительного проживания. </w:t>
      </w:r>
    </w:p>
    <w:p w:rsidR="00D80435" w:rsidRDefault="00D80435">
      <w:pPr>
        <w:rPr>
          <w:lang w:val="ru-RU"/>
        </w:rPr>
      </w:pPr>
      <w:r>
        <w:rPr>
          <w:color w:val="000000"/>
          <w:lang w:val="ru-RU"/>
        </w:rPr>
        <w:t>194.</w:t>
      </w:r>
      <w:r>
        <w:rPr>
          <w:color w:val="000000"/>
          <w:lang w:val="ru-RU"/>
        </w:rPr>
        <w:tab/>
      </w:r>
      <w:r>
        <w:rPr>
          <w:b/>
          <w:color w:val="000000"/>
          <w:lang w:val="ru-RU"/>
        </w:rPr>
        <w:t xml:space="preserve">Районная программа начального образования </w:t>
      </w:r>
      <w:r>
        <w:rPr>
          <w:b/>
          <w:lang w:val="ru-RU"/>
        </w:rPr>
        <w:t>(РПНО):</w:t>
      </w:r>
      <w:r>
        <w:rPr>
          <w:lang w:val="ru-RU"/>
        </w:rPr>
        <w:t xml:space="preserve"> начала осуществляться в 1994 году. Программа предусматривает комплексный подход к сокращению гендерного и социального неравенства, обеспечение всеобщего доступа к образованию, меры по предотвращению отсева, повышению успеваемости с упором на децентрализацию управления, вовлечение в работу всех заинтересованных сторон, расширение прав и возможностей, а также наращивание потенциала на всех уровнях. На сегодняшний день данная программа осуществляется в 129 округах 9 штатов.</w:t>
      </w:r>
    </w:p>
    <w:p w:rsidR="00D80435" w:rsidRDefault="00D80435">
      <w:pPr>
        <w:rPr>
          <w:color w:val="000000"/>
          <w:lang w:val="ru-RU"/>
        </w:rPr>
      </w:pPr>
      <w:r>
        <w:rPr>
          <w:color w:val="000000"/>
          <w:lang w:val="ru-RU"/>
        </w:rPr>
        <w:t>195.</w:t>
      </w:r>
      <w:r>
        <w:rPr>
          <w:color w:val="000000"/>
          <w:lang w:val="ru-RU"/>
        </w:rPr>
        <w:tab/>
      </w:r>
      <w:r>
        <w:rPr>
          <w:b/>
          <w:color w:val="000000"/>
          <w:lang w:val="ru-RU"/>
        </w:rPr>
        <w:t>Национальная программа обеспечения питанием</w:t>
      </w:r>
      <w:r>
        <w:rPr>
          <w:color w:val="000000"/>
          <w:lang w:val="ru-RU"/>
        </w:rPr>
        <w:t xml:space="preserve"> </w:t>
      </w:r>
      <w:r>
        <w:rPr>
          <w:b/>
          <w:color w:val="000000"/>
          <w:lang w:val="ru-RU"/>
        </w:rPr>
        <w:t>в сфере начального образования:</w:t>
      </w:r>
      <w:r>
        <w:rPr>
          <w:color w:val="000000"/>
          <w:lang w:val="ru-RU"/>
        </w:rPr>
        <w:t xml:space="preserve"> известная под названием "программа школьных обедов", начала осуществляться в 1995 году и ставила своей целью введение системы всеобщего начального образования путем увеличения числа детей, поступающих в школы, предотвращения отсева учеников и повышения посещаемости с уделением особого внимания статусу питания учащихся 1–5 классов. В 1997–1998 годах рамки программы были расширены, с тем чтобы охватить всю страну. Анализ результатов программы показал, что проведенные мероприятия положительно сказались на численности детей, поступающих в школу, и показателях посещаемости, а также помогли предотвратить отсев учащихся, особенно девочек. </w:t>
      </w:r>
    </w:p>
    <w:p w:rsidR="00D80435" w:rsidRDefault="00D80435">
      <w:pPr>
        <w:spacing w:after="0"/>
        <w:rPr>
          <w:lang w:val="ru-RU"/>
        </w:rPr>
      </w:pPr>
      <w:r>
        <w:rPr>
          <w:lang w:val="ru-RU"/>
        </w:rPr>
        <w:t>196.</w:t>
      </w:r>
      <w:r>
        <w:rPr>
          <w:lang w:val="ru-RU"/>
        </w:rPr>
        <w:tab/>
        <w:t>Для обеспечения доступа к образованию правительство открыло ряд начальных и средних школ. В период между 1999–2000 и 2002–2003 годами отмечалось относительное увеличение числа начальных школ, где обучение ведется на уровне старших классов начальной школы, что свидетельствует о том, что часть начальных школ с обучением на уровне первых классов повысили свою категорию и расширился доступ к школьному образованию детей в возрасте 12–14 лет. Соответственно, на уровне средней школы рост числа учебных заведений происходил в основном за счет школ с обучением на уровне средних и старших классов. Существенно возросла доля детей, имеющих доступ к начальным школам, расположенным рядом с домом или в пределах одного километра от места проживания. В 1999–2000 годах соответственно 94 процента и 84 процента детей, проживающих в сельской местности, имели возможность поступить в школу, расположенную рядом с домом или менее чем в полукилометре от него, либо в начальную школу с обучением на уровне старших классов в пределах одного километра от места проживания.</w:t>
      </w:r>
    </w:p>
    <w:p w:rsidR="00D80435" w:rsidRDefault="00D80435">
      <w:pPr>
        <w:pStyle w:val="Header"/>
        <w:tabs>
          <w:tab w:val="clear" w:pos="4677"/>
          <w:tab w:val="clear" w:pos="9355"/>
        </w:tabs>
        <w:rPr>
          <w:lang w:val="ru-RU"/>
        </w:rPr>
      </w:pPr>
    </w:p>
    <w:p w:rsidR="00D80435" w:rsidRDefault="00D80435">
      <w:pPr>
        <w:pStyle w:val="Header"/>
        <w:tabs>
          <w:tab w:val="clear" w:pos="4677"/>
          <w:tab w:val="clear" w:pos="9355"/>
        </w:tabs>
        <w:rPr>
          <w:b/>
          <w:lang w:val="ru-RU"/>
        </w:rPr>
      </w:pPr>
      <w:r>
        <w:rPr>
          <w:b/>
          <w:lang w:val="ru-RU"/>
        </w:rPr>
        <w:t xml:space="preserve">Число начальных и средних школ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F" w:firstRow="1" w:lastRow="0" w:firstColumn="1" w:lastColumn="0" w:noHBand="0" w:noVBand="0"/>
      </w:tblPr>
      <w:tblGrid>
        <w:gridCol w:w="1663"/>
        <w:gridCol w:w="1577"/>
        <w:gridCol w:w="2160"/>
        <w:gridCol w:w="1576"/>
        <w:gridCol w:w="2384"/>
      </w:tblGrid>
      <w:tr w:rsidR="00D80435">
        <w:tblPrEx>
          <w:tblCellMar>
            <w:top w:w="0" w:type="dxa"/>
            <w:bottom w:w="0" w:type="dxa"/>
          </w:tblCellMar>
        </w:tblPrEx>
        <w:trPr>
          <w:cantSplit/>
        </w:trPr>
        <w:tc>
          <w:tcPr>
            <w:tcW w:w="1663" w:type="dxa"/>
            <w:vMerge w:val="restart"/>
          </w:tcPr>
          <w:p w:rsidR="00D80435" w:rsidRDefault="00D80435">
            <w:pPr>
              <w:spacing w:before="80" w:after="80"/>
              <w:jc w:val="center"/>
              <w:rPr>
                <w:b/>
                <w:caps/>
                <w:sz w:val="20"/>
                <w:lang w:val="ru-RU"/>
              </w:rPr>
            </w:pPr>
            <w:r>
              <w:rPr>
                <w:b/>
                <w:sz w:val="20"/>
                <w:lang w:val="ru-RU"/>
              </w:rPr>
              <w:t>Год</w:t>
            </w:r>
          </w:p>
        </w:tc>
        <w:tc>
          <w:tcPr>
            <w:tcW w:w="3737" w:type="dxa"/>
            <w:gridSpan w:val="2"/>
          </w:tcPr>
          <w:p w:rsidR="00D80435" w:rsidRDefault="00D80435">
            <w:pPr>
              <w:pStyle w:val="Heading5"/>
              <w:spacing w:before="80" w:after="80"/>
              <w:jc w:val="center"/>
              <w:rPr>
                <w:caps/>
              </w:rPr>
            </w:pPr>
            <w:r>
              <w:t>Начальное образование</w:t>
            </w:r>
          </w:p>
        </w:tc>
        <w:tc>
          <w:tcPr>
            <w:tcW w:w="3960" w:type="dxa"/>
            <w:gridSpan w:val="2"/>
          </w:tcPr>
          <w:p w:rsidR="00D80435" w:rsidRDefault="00D80435">
            <w:pPr>
              <w:spacing w:before="80" w:after="80"/>
              <w:jc w:val="center"/>
              <w:rPr>
                <w:b/>
                <w:caps/>
                <w:sz w:val="20"/>
                <w:lang w:val="ru-RU"/>
              </w:rPr>
            </w:pPr>
            <w:r>
              <w:rPr>
                <w:b/>
                <w:sz w:val="20"/>
                <w:lang w:val="ru-RU"/>
              </w:rPr>
              <w:t>Среднее образование</w:t>
            </w:r>
          </w:p>
        </w:tc>
      </w:tr>
      <w:tr w:rsidR="00D80435">
        <w:tblPrEx>
          <w:tblCellMar>
            <w:top w:w="0" w:type="dxa"/>
            <w:bottom w:w="0" w:type="dxa"/>
          </w:tblCellMar>
        </w:tblPrEx>
        <w:trPr>
          <w:cantSplit/>
        </w:trPr>
        <w:tc>
          <w:tcPr>
            <w:tcW w:w="1663" w:type="dxa"/>
            <w:vMerge/>
          </w:tcPr>
          <w:p w:rsidR="00D80435" w:rsidRDefault="00D80435">
            <w:pPr>
              <w:spacing w:before="80" w:after="80"/>
              <w:jc w:val="center"/>
              <w:rPr>
                <w:b/>
                <w:sz w:val="20"/>
                <w:lang w:val="ru-RU"/>
              </w:rPr>
            </w:pPr>
          </w:p>
        </w:tc>
        <w:tc>
          <w:tcPr>
            <w:tcW w:w="1577" w:type="dxa"/>
          </w:tcPr>
          <w:p w:rsidR="00D80435" w:rsidRDefault="00D80435">
            <w:pPr>
              <w:spacing w:before="80" w:after="80"/>
              <w:jc w:val="center"/>
              <w:rPr>
                <w:b/>
                <w:sz w:val="20"/>
                <w:lang w:val="ru-RU"/>
              </w:rPr>
            </w:pPr>
            <w:r>
              <w:rPr>
                <w:b/>
                <w:sz w:val="20"/>
                <w:lang w:val="ru-RU"/>
              </w:rPr>
              <w:t>Начальные школы</w:t>
            </w:r>
          </w:p>
        </w:tc>
        <w:tc>
          <w:tcPr>
            <w:tcW w:w="2160" w:type="dxa"/>
          </w:tcPr>
          <w:p w:rsidR="00D80435" w:rsidRDefault="00D80435">
            <w:pPr>
              <w:spacing w:before="80" w:after="80"/>
              <w:jc w:val="center"/>
              <w:rPr>
                <w:b/>
                <w:sz w:val="20"/>
                <w:lang w:val="ru-RU"/>
              </w:rPr>
            </w:pPr>
            <w:r>
              <w:rPr>
                <w:b/>
                <w:sz w:val="20"/>
                <w:lang w:val="ru-RU"/>
              </w:rPr>
              <w:t>Начальные школы, старшие классы</w:t>
            </w:r>
          </w:p>
        </w:tc>
        <w:tc>
          <w:tcPr>
            <w:tcW w:w="1576" w:type="dxa"/>
          </w:tcPr>
          <w:p w:rsidR="00D80435" w:rsidRDefault="00D80435">
            <w:pPr>
              <w:spacing w:before="80" w:after="80"/>
              <w:jc w:val="center"/>
              <w:rPr>
                <w:b/>
                <w:sz w:val="20"/>
                <w:lang w:val="ru-RU"/>
              </w:rPr>
            </w:pPr>
            <w:r>
              <w:rPr>
                <w:b/>
                <w:sz w:val="20"/>
                <w:lang w:val="ru-RU"/>
              </w:rPr>
              <w:t>Средние школы</w:t>
            </w:r>
          </w:p>
        </w:tc>
        <w:tc>
          <w:tcPr>
            <w:tcW w:w="2384" w:type="dxa"/>
          </w:tcPr>
          <w:p w:rsidR="00D80435" w:rsidRDefault="00D80435">
            <w:pPr>
              <w:spacing w:before="80" w:after="80"/>
              <w:jc w:val="center"/>
              <w:rPr>
                <w:b/>
                <w:sz w:val="20"/>
                <w:lang w:val="ru-RU"/>
              </w:rPr>
            </w:pPr>
            <w:r>
              <w:rPr>
                <w:b/>
                <w:sz w:val="20"/>
                <w:lang w:val="ru-RU"/>
              </w:rPr>
              <w:t xml:space="preserve">Средние школы, </w:t>
            </w:r>
            <w:r>
              <w:rPr>
                <w:b/>
                <w:sz w:val="20"/>
                <w:lang w:val="ru-RU"/>
              </w:rPr>
              <w:br/>
              <w:t>средние/старшие классы</w:t>
            </w:r>
          </w:p>
        </w:tc>
      </w:tr>
      <w:tr w:rsidR="00D80435">
        <w:tblPrEx>
          <w:tblCellMar>
            <w:top w:w="0" w:type="dxa"/>
            <w:bottom w:w="0" w:type="dxa"/>
          </w:tblCellMar>
        </w:tblPrEx>
        <w:tc>
          <w:tcPr>
            <w:tcW w:w="1663" w:type="dxa"/>
          </w:tcPr>
          <w:p w:rsidR="00D80435" w:rsidRDefault="00D80435">
            <w:pPr>
              <w:spacing w:before="80" w:after="80"/>
              <w:jc w:val="center"/>
              <w:rPr>
                <w:sz w:val="20"/>
                <w:lang w:val="ru-RU"/>
              </w:rPr>
            </w:pPr>
            <w:r>
              <w:rPr>
                <w:sz w:val="20"/>
                <w:lang w:val="ru-RU"/>
              </w:rPr>
              <w:t>1999–2000*</w:t>
            </w:r>
          </w:p>
        </w:tc>
        <w:tc>
          <w:tcPr>
            <w:tcW w:w="1577" w:type="dxa"/>
          </w:tcPr>
          <w:p w:rsidR="00D80435" w:rsidRDefault="00D80435">
            <w:pPr>
              <w:spacing w:before="80" w:after="80"/>
              <w:jc w:val="center"/>
              <w:rPr>
                <w:sz w:val="20"/>
                <w:lang w:val="ru-RU"/>
              </w:rPr>
            </w:pPr>
            <w:r>
              <w:rPr>
                <w:sz w:val="20"/>
                <w:lang w:val="ru-RU"/>
              </w:rPr>
              <w:t>641 695</w:t>
            </w:r>
          </w:p>
        </w:tc>
        <w:tc>
          <w:tcPr>
            <w:tcW w:w="2160" w:type="dxa"/>
          </w:tcPr>
          <w:p w:rsidR="00D80435" w:rsidRDefault="00D80435">
            <w:pPr>
              <w:spacing w:before="80" w:after="80"/>
              <w:jc w:val="center"/>
              <w:rPr>
                <w:sz w:val="20"/>
                <w:lang w:val="ru-RU"/>
              </w:rPr>
            </w:pPr>
            <w:r>
              <w:rPr>
                <w:sz w:val="20"/>
                <w:lang w:val="ru-RU"/>
              </w:rPr>
              <w:t>198 004</w:t>
            </w:r>
          </w:p>
        </w:tc>
        <w:tc>
          <w:tcPr>
            <w:tcW w:w="1576" w:type="dxa"/>
          </w:tcPr>
          <w:p w:rsidR="00D80435" w:rsidRDefault="00D80435">
            <w:pPr>
              <w:spacing w:before="80" w:after="80"/>
              <w:jc w:val="center"/>
              <w:rPr>
                <w:sz w:val="20"/>
                <w:lang w:val="ru-RU"/>
              </w:rPr>
            </w:pPr>
            <w:r>
              <w:rPr>
                <w:sz w:val="20"/>
                <w:lang w:val="ru-RU"/>
              </w:rPr>
              <w:t>82 273</w:t>
            </w:r>
          </w:p>
        </w:tc>
        <w:tc>
          <w:tcPr>
            <w:tcW w:w="2384" w:type="dxa"/>
          </w:tcPr>
          <w:p w:rsidR="00D80435" w:rsidRDefault="00D80435">
            <w:pPr>
              <w:spacing w:before="80" w:after="80"/>
              <w:jc w:val="center"/>
              <w:rPr>
                <w:sz w:val="20"/>
                <w:lang w:val="ru-RU"/>
              </w:rPr>
            </w:pPr>
            <w:r>
              <w:rPr>
                <w:sz w:val="20"/>
                <w:lang w:val="ru-RU"/>
              </w:rPr>
              <w:t>34 547</w:t>
            </w:r>
          </w:p>
        </w:tc>
      </w:tr>
      <w:tr w:rsidR="00D80435">
        <w:tblPrEx>
          <w:tblCellMar>
            <w:top w:w="0" w:type="dxa"/>
            <w:bottom w:w="0" w:type="dxa"/>
          </w:tblCellMar>
        </w:tblPrEx>
        <w:tc>
          <w:tcPr>
            <w:tcW w:w="1663" w:type="dxa"/>
          </w:tcPr>
          <w:p w:rsidR="00D80435" w:rsidRDefault="00D80435">
            <w:pPr>
              <w:spacing w:before="80" w:after="80"/>
              <w:jc w:val="center"/>
              <w:rPr>
                <w:sz w:val="20"/>
                <w:lang w:val="ru-RU"/>
              </w:rPr>
            </w:pPr>
            <w:r>
              <w:rPr>
                <w:sz w:val="20"/>
                <w:lang w:val="ru-RU"/>
              </w:rPr>
              <w:t>2000–2001*</w:t>
            </w:r>
          </w:p>
        </w:tc>
        <w:tc>
          <w:tcPr>
            <w:tcW w:w="1577" w:type="dxa"/>
          </w:tcPr>
          <w:p w:rsidR="00D80435" w:rsidRDefault="00D80435">
            <w:pPr>
              <w:spacing w:before="80" w:after="80"/>
              <w:jc w:val="center"/>
              <w:rPr>
                <w:sz w:val="20"/>
                <w:lang w:val="ru-RU"/>
              </w:rPr>
            </w:pPr>
            <w:r>
              <w:rPr>
                <w:sz w:val="20"/>
                <w:lang w:val="ru-RU"/>
              </w:rPr>
              <w:t>638 738</w:t>
            </w:r>
          </w:p>
        </w:tc>
        <w:tc>
          <w:tcPr>
            <w:tcW w:w="2160" w:type="dxa"/>
          </w:tcPr>
          <w:p w:rsidR="00D80435" w:rsidRDefault="00D80435">
            <w:pPr>
              <w:spacing w:before="80" w:after="80"/>
              <w:jc w:val="center"/>
              <w:rPr>
                <w:sz w:val="20"/>
                <w:lang w:val="ru-RU"/>
              </w:rPr>
            </w:pPr>
            <w:r>
              <w:rPr>
                <w:sz w:val="20"/>
                <w:lang w:val="ru-RU"/>
              </w:rPr>
              <w:t>206 269</w:t>
            </w:r>
          </w:p>
        </w:tc>
        <w:tc>
          <w:tcPr>
            <w:tcW w:w="1576" w:type="dxa"/>
          </w:tcPr>
          <w:p w:rsidR="00D80435" w:rsidRDefault="00D80435">
            <w:pPr>
              <w:spacing w:before="80" w:after="80"/>
              <w:jc w:val="center"/>
              <w:rPr>
                <w:sz w:val="20"/>
                <w:lang w:val="ru-RU"/>
              </w:rPr>
            </w:pPr>
            <w:r>
              <w:rPr>
                <w:sz w:val="20"/>
                <w:lang w:val="ru-RU"/>
              </w:rPr>
              <w:t>87 675</w:t>
            </w:r>
          </w:p>
        </w:tc>
        <w:tc>
          <w:tcPr>
            <w:tcW w:w="2384" w:type="dxa"/>
          </w:tcPr>
          <w:p w:rsidR="00D80435" w:rsidRDefault="00D80435">
            <w:pPr>
              <w:spacing w:before="80" w:after="80"/>
              <w:jc w:val="center"/>
              <w:rPr>
                <w:sz w:val="20"/>
                <w:lang w:val="ru-RU"/>
              </w:rPr>
            </w:pPr>
            <w:r>
              <w:rPr>
                <w:sz w:val="20"/>
                <w:lang w:val="ru-RU"/>
              </w:rPr>
              <w:t>38 372</w:t>
            </w:r>
          </w:p>
        </w:tc>
      </w:tr>
      <w:tr w:rsidR="00D80435">
        <w:tblPrEx>
          <w:tblCellMar>
            <w:top w:w="0" w:type="dxa"/>
            <w:bottom w:w="0" w:type="dxa"/>
          </w:tblCellMar>
        </w:tblPrEx>
        <w:tc>
          <w:tcPr>
            <w:tcW w:w="1663" w:type="dxa"/>
          </w:tcPr>
          <w:p w:rsidR="00D80435" w:rsidRDefault="00D80435">
            <w:pPr>
              <w:spacing w:before="80" w:after="80"/>
              <w:jc w:val="center"/>
              <w:rPr>
                <w:sz w:val="20"/>
                <w:lang w:val="ru-RU"/>
              </w:rPr>
            </w:pPr>
            <w:r>
              <w:rPr>
                <w:sz w:val="20"/>
                <w:lang w:val="ru-RU"/>
              </w:rPr>
              <w:t>2001–2002*</w:t>
            </w:r>
          </w:p>
        </w:tc>
        <w:tc>
          <w:tcPr>
            <w:tcW w:w="1577" w:type="dxa"/>
          </w:tcPr>
          <w:p w:rsidR="00D80435" w:rsidRDefault="00D80435">
            <w:pPr>
              <w:spacing w:before="80" w:after="80"/>
              <w:jc w:val="center"/>
              <w:rPr>
                <w:sz w:val="20"/>
                <w:lang w:val="ru-RU"/>
              </w:rPr>
            </w:pPr>
            <w:r>
              <w:rPr>
                <w:sz w:val="20"/>
                <w:lang w:val="ru-RU"/>
              </w:rPr>
              <w:t>664 041</w:t>
            </w:r>
          </w:p>
        </w:tc>
        <w:tc>
          <w:tcPr>
            <w:tcW w:w="2160" w:type="dxa"/>
          </w:tcPr>
          <w:p w:rsidR="00D80435" w:rsidRDefault="00D80435">
            <w:pPr>
              <w:spacing w:before="80" w:after="80"/>
              <w:jc w:val="center"/>
              <w:rPr>
                <w:sz w:val="20"/>
                <w:lang w:val="ru-RU"/>
              </w:rPr>
            </w:pPr>
            <w:r>
              <w:rPr>
                <w:sz w:val="20"/>
                <w:lang w:val="ru-RU"/>
              </w:rPr>
              <w:t>219 626</w:t>
            </w:r>
          </w:p>
        </w:tc>
        <w:tc>
          <w:tcPr>
            <w:tcW w:w="1576" w:type="dxa"/>
          </w:tcPr>
          <w:p w:rsidR="00D80435" w:rsidRDefault="00D80435">
            <w:pPr>
              <w:spacing w:before="80" w:after="80"/>
              <w:jc w:val="center"/>
              <w:rPr>
                <w:sz w:val="20"/>
                <w:lang w:val="ru-RU"/>
              </w:rPr>
            </w:pPr>
            <w:r>
              <w:rPr>
                <w:sz w:val="20"/>
                <w:lang w:val="ru-RU"/>
              </w:rPr>
              <w:t>91 435</w:t>
            </w:r>
          </w:p>
        </w:tc>
        <w:tc>
          <w:tcPr>
            <w:tcW w:w="2384" w:type="dxa"/>
          </w:tcPr>
          <w:p w:rsidR="00D80435" w:rsidRDefault="00D80435">
            <w:pPr>
              <w:spacing w:before="80" w:after="80"/>
              <w:jc w:val="center"/>
              <w:rPr>
                <w:sz w:val="20"/>
                <w:lang w:val="ru-RU"/>
              </w:rPr>
            </w:pPr>
            <w:r>
              <w:rPr>
                <w:sz w:val="20"/>
                <w:lang w:val="ru-RU"/>
              </w:rPr>
              <w:t>42 057</w:t>
            </w:r>
          </w:p>
        </w:tc>
      </w:tr>
      <w:tr w:rsidR="00D80435">
        <w:tblPrEx>
          <w:tblCellMar>
            <w:top w:w="0" w:type="dxa"/>
            <w:bottom w:w="0" w:type="dxa"/>
          </w:tblCellMar>
        </w:tblPrEx>
        <w:tc>
          <w:tcPr>
            <w:tcW w:w="1663" w:type="dxa"/>
          </w:tcPr>
          <w:p w:rsidR="00D80435" w:rsidRDefault="00D80435">
            <w:pPr>
              <w:spacing w:before="80" w:after="80"/>
              <w:jc w:val="center"/>
              <w:rPr>
                <w:sz w:val="20"/>
                <w:lang w:val="ru-RU"/>
              </w:rPr>
            </w:pPr>
            <w:r>
              <w:rPr>
                <w:sz w:val="20"/>
                <w:lang w:val="ru-RU"/>
              </w:rPr>
              <w:t>2002–2003*</w:t>
            </w:r>
          </w:p>
        </w:tc>
        <w:tc>
          <w:tcPr>
            <w:tcW w:w="1577" w:type="dxa"/>
          </w:tcPr>
          <w:p w:rsidR="00D80435" w:rsidRDefault="00D80435">
            <w:pPr>
              <w:spacing w:before="80" w:after="80"/>
              <w:jc w:val="center"/>
              <w:rPr>
                <w:sz w:val="20"/>
                <w:lang w:val="ru-RU"/>
              </w:rPr>
            </w:pPr>
            <w:r>
              <w:rPr>
                <w:sz w:val="20"/>
                <w:lang w:val="ru-RU"/>
              </w:rPr>
              <w:t>651 375</w:t>
            </w:r>
          </w:p>
        </w:tc>
        <w:tc>
          <w:tcPr>
            <w:tcW w:w="2160" w:type="dxa"/>
          </w:tcPr>
          <w:p w:rsidR="00D80435" w:rsidRDefault="00D80435">
            <w:pPr>
              <w:spacing w:before="80" w:after="80"/>
              <w:jc w:val="center"/>
              <w:rPr>
                <w:sz w:val="20"/>
                <w:lang w:val="ru-RU"/>
              </w:rPr>
            </w:pPr>
            <w:r>
              <w:rPr>
                <w:sz w:val="20"/>
                <w:lang w:val="ru-RU"/>
              </w:rPr>
              <w:t>245 271</w:t>
            </w:r>
          </w:p>
        </w:tc>
        <w:tc>
          <w:tcPr>
            <w:tcW w:w="1576" w:type="dxa"/>
          </w:tcPr>
          <w:p w:rsidR="00D80435" w:rsidRDefault="00D80435">
            <w:pPr>
              <w:spacing w:before="80" w:after="80"/>
              <w:jc w:val="center"/>
              <w:rPr>
                <w:sz w:val="20"/>
                <w:lang w:val="ru-RU"/>
              </w:rPr>
            </w:pPr>
            <w:r>
              <w:rPr>
                <w:sz w:val="20"/>
                <w:lang w:val="ru-RU"/>
              </w:rPr>
              <w:t>90 757</w:t>
            </w:r>
          </w:p>
        </w:tc>
        <w:tc>
          <w:tcPr>
            <w:tcW w:w="2384" w:type="dxa"/>
          </w:tcPr>
          <w:p w:rsidR="00D80435" w:rsidRDefault="00D80435">
            <w:pPr>
              <w:spacing w:before="80" w:after="80"/>
              <w:jc w:val="center"/>
              <w:rPr>
                <w:sz w:val="20"/>
                <w:lang w:val="ru-RU"/>
              </w:rPr>
            </w:pPr>
            <w:r>
              <w:rPr>
                <w:sz w:val="20"/>
                <w:lang w:val="ru-RU"/>
              </w:rPr>
              <w:t>46 428</w:t>
            </w:r>
          </w:p>
        </w:tc>
      </w:tr>
    </w:tbl>
    <w:p w:rsidR="00D80435" w:rsidRDefault="00D80435">
      <w:pPr>
        <w:spacing w:before="80" w:after="80"/>
        <w:jc w:val="left"/>
        <w:rPr>
          <w:sz w:val="20"/>
          <w:lang w:val="ru-RU"/>
        </w:rPr>
      </w:pPr>
      <w:r>
        <w:rPr>
          <w:i/>
          <w:sz w:val="20"/>
          <w:lang w:val="ru-RU"/>
        </w:rPr>
        <w:t>Примечание</w:t>
      </w:r>
      <w:r>
        <w:rPr>
          <w:sz w:val="20"/>
          <w:lang w:val="ru-RU"/>
        </w:rPr>
        <w:t xml:space="preserve">: * Предварительные данные. </w:t>
      </w:r>
    </w:p>
    <w:p w:rsidR="00D80435" w:rsidRDefault="00D80435">
      <w:pPr>
        <w:rPr>
          <w:sz w:val="20"/>
          <w:lang w:val="en-GB"/>
        </w:rPr>
      </w:pPr>
      <w:r>
        <w:rPr>
          <w:i/>
          <w:sz w:val="20"/>
          <w:lang w:val="ru-RU"/>
        </w:rPr>
        <w:t>Источник</w:t>
      </w:r>
      <w:r>
        <w:rPr>
          <w:sz w:val="20"/>
          <w:lang w:val="en-GB"/>
        </w:rPr>
        <w:t xml:space="preserve">:     </w:t>
      </w:r>
      <w:r>
        <w:rPr>
          <w:sz w:val="20"/>
        </w:rPr>
        <w:t>Selected</w:t>
      </w:r>
      <w:r>
        <w:rPr>
          <w:sz w:val="20"/>
          <w:lang w:val="en-GB"/>
        </w:rPr>
        <w:t xml:space="preserve"> </w:t>
      </w:r>
      <w:r>
        <w:rPr>
          <w:sz w:val="20"/>
        </w:rPr>
        <w:t>Educational</w:t>
      </w:r>
      <w:r>
        <w:rPr>
          <w:sz w:val="20"/>
          <w:lang w:val="en-GB"/>
        </w:rPr>
        <w:t xml:space="preserve"> </w:t>
      </w:r>
      <w:r>
        <w:rPr>
          <w:sz w:val="20"/>
        </w:rPr>
        <w:t>Statistics</w:t>
      </w:r>
      <w:r>
        <w:rPr>
          <w:sz w:val="20"/>
          <w:lang w:val="en-GB"/>
        </w:rPr>
        <w:t xml:space="preserve"> 2002-03.</w:t>
      </w:r>
    </w:p>
    <w:p w:rsidR="00D80435" w:rsidRDefault="00D80435">
      <w:pPr>
        <w:rPr>
          <w:color w:val="000000"/>
          <w:lang w:val="ru-RU"/>
        </w:rPr>
      </w:pPr>
      <w:r>
        <w:rPr>
          <w:color w:val="000000"/>
          <w:lang w:val="ru-RU"/>
        </w:rPr>
        <w:t>197.</w:t>
      </w:r>
      <w:r>
        <w:rPr>
          <w:color w:val="000000"/>
          <w:lang w:val="ru-RU"/>
        </w:rPr>
        <w:tab/>
      </w:r>
      <w:r>
        <w:rPr>
          <w:b/>
          <w:color w:val="000000"/>
          <w:lang w:val="ru-RU"/>
        </w:rPr>
        <w:t>Балика Самриддхи Йоджана (</w:t>
      </w:r>
      <w:r>
        <w:rPr>
          <w:b/>
          <w:color w:val="000000"/>
        </w:rPr>
        <w:t>BSY</w:t>
      </w:r>
      <w:r>
        <w:rPr>
          <w:b/>
          <w:color w:val="000000"/>
          <w:lang w:val="ru-RU"/>
        </w:rPr>
        <w:t xml:space="preserve">): </w:t>
      </w:r>
      <w:r>
        <w:rPr>
          <w:color w:val="000000"/>
          <w:lang w:val="ru-RU"/>
        </w:rPr>
        <w:t>начала осуществляться в 1997 году и в 1999 году была пересмотрена; предусматривает предоставление финансовой помощи семьям, живущим ниже черты бедности, в которых рождаются девочки. Грант в размере 500 рупий, предоставляемый после родов, помещается на депозит в банке на имя новорожденной девочки (до 2-х девочек на семью). Для каждого уровня образования девочки также предоставляются ежегодные стипендии, которые могут депонироваться на этот счет и сниматься со счета девушкой по достижении 18 лет, если она не вышла замуж.  Эти средства позволяют не только гарантировать рождение и выживание девочки, но и расширить ее доступ к образованию, а также помешать раннему браку. Однако успех программы был ограниченным, о чем свидетельствуют сметные ассигнования 9-го Плана и фактические расходы, которые составили соответственно 3,9 и 1,766 млрд. рупий. Программой были охвачены 3,5 млн. малолетних девочек.</w:t>
      </w:r>
    </w:p>
    <w:p w:rsidR="00D80435" w:rsidRDefault="00D80435">
      <w:pPr>
        <w:rPr>
          <w:color w:val="000000"/>
          <w:lang w:val="ru-RU"/>
        </w:rPr>
      </w:pPr>
      <w:r>
        <w:rPr>
          <w:color w:val="000000"/>
          <w:lang w:val="ru-RU"/>
        </w:rPr>
        <w:t>198.</w:t>
      </w:r>
      <w:r>
        <w:rPr>
          <w:color w:val="000000"/>
          <w:lang w:val="ru-RU"/>
        </w:rPr>
        <w:tab/>
      </w:r>
      <w:r>
        <w:rPr>
          <w:b/>
          <w:color w:val="000000"/>
          <w:lang w:val="ru-RU"/>
        </w:rPr>
        <w:t>Проект Шикша Карми:</w:t>
      </w:r>
      <w:r>
        <w:rPr>
          <w:color w:val="000000"/>
          <w:lang w:val="ru-RU"/>
        </w:rPr>
        <w:t xml:space="preserve"> нацелен на всеобщий охват и улучшение качества начального образования в отдаленных, засушливых и отсталых в социально-экономическом плане селений штата Раджастан с уделением особого внимания положению девочек. В рамках данного проекта регулярный невыход на работу учителей младших классов был назван главной проблемой на пути достижения всеобщего начального образования, в связи с чем было решено в школах с единственным учителем заменять отсутвующего учителя группой образованных местных жителей, называемых "шикша кармис", из которых не менее 10 процентов  составляют женщины.</w:t>
      </w:r>
    </w:p>
    <w:p w:rsidR="00D80435" w:rsidRDefault="00D80435">
      <w:pPr>
        <w:rPr>
          <w:color w:val="000000"/>
          <w:lang w:val="ru-RU"/>
        </w:rPr>
      </w:pPr>
      <w:r>
        <w:rPr>
          <w:color w:val="000000"/>
          <w:lang w:val="ru-RU"/>
        </w:rPr>
        <w:t>199.</w:t>
      </w:r>
      <w:r>
        <w:rPr>
          <w:color w:val="000000"/>
          <w:lang w:val="ru-RU"/>
        </w:rPr>
        <w:tab/>
      </w:r>
      <w:r>
        <w:rPr>
          <w:b/>
          <w:color w:val="000000"/>
          <w:lang w:val="ru-RU"/>
        </w:rPr>
        <w:t>Национальная миссия в области грамотности (НМГ):</w:t>
      </w:r>
      <w:r>
        <w:rPr>
          <w:color w:val="000000"/>
          <w:lang w:val="ru-RU"/>
        </w:rPr>
        <w:t xml:space="preserve"> была организована в 1988 году для формирования функциональной грамотности неграмотного населения в возрасте 15–35 лет. Основной целью является достижение устойчивого порога 75</w:t>
      </w:r>
      <w:r>
        <w:rPr>
          <w:color w:val="000000"/>
          <w:lang w:val="ru-RU"/>
        </w:rPr>
        <w:noBreakHyphen/>
        <w:t>процентной грамотности к 2007 году. К марту 2003 года свыше 108,42 млн. человек обучились грамоте, из которых 60 процентов составили женщины. В настоящее время 596 округов из 600 охвачены программами ликвидации неграмотности. Кроме того, к 2000 году 7,3 млн. не посещающих школу детей в возрасте 6–14 лет прошли программу неформального обучения, которая проводилась в 292 тыс. центрах в 25 штатах/союзных территориях.</w:t>
      </w:r>
    </w:p>
    <w:p w:rsidR="00D80435" w:rsidRDefault="00D80435">
      <w:pPr>
        <w:rPr>
          <w:lang w:val="ru-RU"/>
        </w:rPr>
      </w:pPr>
      <w:r>
        <w:rPr>
          <w:lang w:val="ru-RU"/>
        </w:rPr>
        <w:t>200.</w:t>
      </w:r>
      <w:r>
        <w:rPr>
          <w:lang w:val="ru-RU"/>
        </w:rPr>
        <w:tab/>
      </w:r>
      <w:r>
        <w:rPr>
          <w:b/>
          <w:lang w:val="ru-RU"/>
        </w:rPr>
        <w:t>Махила Самахия (</w:t>
      </w:r>
      <w:r>
        <w:rPr>
          <w:b/>
        </w:rPr>
        <w:t>MS</w:t>
      </w:r>
      <w:r>
        <w:rPr>
          <w:b/>
          <w:lang w:val="ru-RU"/>
        </w:rPr>
        <w:t>):</w:t>
      </w:r>
      <w:r>
        <w:rPr>
          <w:lang w:val="ru-RU"/>
        </w:rPr>
        <w:t xml:space="preserve"> программа, начавшая действовать в 1989 году в целях обучения и расширения прав и возможностей женщин, проживающих в сельской местности, особенно женщин, принадлежащих к социально и экономически маргинализованным группам населения. На уровне селений женские объединения или "махила сангха" предоставляют им место для встреч, возможность обсуждать проблемы, определять свои потребности и принимать обоснованные решения. Эта программа в настоящее время осуществляется в 9 штатах и охватывает свыше 61 округа, 13 247 селений, 12 071 сангху и 1 758 107 женщин. В рамках программы Махила Самахия предоставляются ясли и центры дошкольного обучения, центры неформального обучения, центры Махила Шикшан Кендрас (</w:t>
      </w:r>
      <w:r>
        <w:t>MSK</w:t>
      </w:r>
      <w:r>
        <w:rPr>
          <w:lang w:val="ru-RU"/>
        </w:rPr>
        <w:t xml:space="preserve">) для обучения девочек-подростков, а также курсы качественного интенсивного обучения и программы развития навыков для неграмотных женщин. К 2002 году в рамках программы Махила Самахия функционировали 866 центров неформального обучения и 1000 центров дошкольного образования, которые в основном занимались обучением детей из малообеспеченных слоев общества. К числу достижений программы можно отнести расширение доступа женщин к качественному образованию, а также наращивание потенциала, позволяющего женщинам более активно участвовать в образовательных мероприятиях на уровне деревень. </w:t>
      </w:r>
    </w:p>
    <w:p w:rsidR="00D80435" w:rsidRDefault="00D80435">
      <w:pPr>
        <w:rPr>
          <w:lang w:val="ru-RU"/>
        </w:rPr>
      </w:pPr>
      <w:r>
        <w:rPr>
          <w:lang w:val="ru-RU"/>
        </w:rPr>
        <w:t>201.</w:t>
      </w:r>
      <w:r>
        <w:rPr>
          <w:lang w:val="ru-RU"/>
        </w:rPr>
        <w:tab/>
      </w:r>
      <w:r>
        <w:rPr>
          <w:b/>
          <w:lang w:val="ru-RU"/>
        </w:rPr>
        <w:t>Высшее образование:</w:t>
      </w:r>
      <w:r>
        <w:rPr>
          <w:lang w:val="ru-RU"/>
        </w:rPr>
        <w:t xml:space="preserve"> Комиссия по стипендиям в вузах (КСВ) в 1986 году приступила к осуществлению плана исследований в области проблем женщин в целях включения гендерной проблематики в целый ряд областей. В соответствии с планом в 34 университетах были созданы центры изучения проблем женщин, а в 16 колледжах – отделения по изучению женской проблематики. План "Гранты женским университетам на техническое образование" предусматривает предоставление финансовой помощи тем вузам, которые вводят в свои программы курсы обучения в области инженерных и технических наук, тем самым предоставляя женщинам возможность изучать дисциплины, до сих пор считавшиеся "мужскими". В университетах для удобства женщин были открыты платные ясли/детские сады для детей в возрасте от 3 месяцев до 6 лет. Кроме того, в университетах были созданы отделения по борьбе с сексуальными домогательствами. Образование девочек и женщин продолжает оставаться в центре программ и проектов Открытого университета им. Индиры Ганди. В 148 округах с низким уровнем женской грамотности на базе информационных технологий была создана инфраструктура, позволяющая объединить эти округа в единую информационную сеть с другими регионами в целях свободного обмена информацией и повышения осведомленности.</w:t>
      </w:r>
    </w:p>
    <w:p w:rsidR="00D80435" w:rsidRDefault="00D80435">
      <w:pPr>
        <w:rPr>
          <w:i/>
          <w:lang w:val="ru-RU"/>
        </w:rPr>
      </w:pPr>
      <w:r>
        <w:rPr>
          <w:lang w:val="ru-RU"/>
        </w:rPr>
        <w:t>202.</w:t>
      </w:r>
      <w:r>
        <w:rPr>
          <w:lang w:val="ru-RU"/>
        </w:rPr>
        <w:tab/>
        <w:t xml:space="preserve">До сих пор женщины недостаточно представлены в руководящих органах индийских университетов. Комиссия по стипендиям в вузах приступила к осуществлению амбициозной "Программы укрепления потенциала женщин-менеджеров в сфере высшего образования". Для осуществления контроля над ее реализацией в 2003 году был учрежден Национальный консультативный комитет. Были разработаны учебные пособия, в которых освещаются проблемы женщин, работающих в управленческом звене и на руководящих постах в академических институтах, и рассматриваются вопросы, связанные с персональными и профессиональными ролевыми функциями женщин, ролью женщин в научно-исследовательской деятельности, обсуждаются перспективные направления в изучении проблем женщин, а также составление баз данных по женщинам в сфере управления в области высшего образования. Комиссия предложила расширить сферу действия этой программы, чтобы охватить все университеты и колледжи страны. </w:t>
      </w:r>
    </w:p>
    <w:p w:rsidR="00D80435" w:rsidRDefault="00D80435">
      <w:pPr>
        <w:rPr>
          <w:lang w:val="ru-RU"/>
        </w:rPr>
      </w:pPr>
      <w:r>
        <w:rPr>
          <w:lang w:val="ru-RU"/>
        </w:rPr>
        <w:t>203.</w:t>
      </w:r>
      <w:r>
        <w:rPr>
          <w:lang w:val="ru-RU"/>
        </w:rPr>
        <w:tab/>
      </w:r>
      <w:r>
        <w:rPr>
          <w:b/>
          <w:lang w:val="ru-RU"/>
        </w:rPr>
        <w:t>Профессиональное образование:</w:t>
      </w:r>
      <w:r>
        <w:rPr>
          <w:lang w:val="ru-RU"/>
        </w:rPr>
        <w:t xml:space="preserve"> Национальный институт профессионально-технического образования женщин (НИПТОЖ) и Институты подготовки женщин в промышленной сфере, работающие под эгидой министерства труда, предлагают женщинам программы повышения квалификации, призванные облегчить их трудоустройство в промышленности в качестве квалифицированных и полуквалифицированных рабочих или на должности инструкторов в профессионально-технических училищах, либо начать приносящую доход деятельность/ самозанятость. Программа "Профессионально-техническая подготовка женщин", инициатором которой в 1975 году выступил Центральный совет социального обеспечения, обучает женщин профессиям, пользующимся спросом на рынке труда, а также повышает их квалификацию, приводя ее в соответствие с меняющимися условиям в области занятости. Главной целью Совета является обеспечение конкурентоспособности и расширение прав и возможностей женщин в плане доступа к высокооплачиваемым рабочим местам, что дает им уверенность в своих силах и повышает самооценку. Департамент развития женщин и детей через неправительственные организации реализует такие программы, как Программа поддержки в области обучения и занятости (ППОЗ), Свашакти, Сваямшиддха, в рамках которых также предоставляются услуги по профессиональной подготовке женщин.  </w:t>
      </w:r>
    </w:p>
    <w:p w:rsidR="00D80435" w:rsidRDefault="00D80435">
      <w:pPr>
        <w:rPr>
          <w:lang w:val="ru-RU"/>
        </w:rPr>
      </w:pPr>
      <w:r>
        <w:rPr>
          <w:lang w:val="ru-RU"/>
        </w:rPr>
        <w:t>204.</w:t>
      </w:r>
      <w:r>
        <w:rPr>
          <w:lang w:val="ru-RU"/>
        </w:rPr>
        <w:tab/>
      </w:r>
      <w:r>
        <w:rPr>
          <w:b/>
          <w:lang w:val="ru-RU"/>
        </w:rPr>
        <w:t>Техническое образование:</w:t>
      </w:r>
      <w:r>
        <w:rPr>
          <w:lang w:val="ru-RU"/>
        </w:rPr>
        <w:t xml:space="preserve"> Несмотря на появление огромного числа технических учебных заведений, число девушек среди их студентов по-прежнему невелико и увеличение их численности отстает от общих темпов роста контингента учащихся в этой сфере образования. Проект по техническому образованию, который при содействии Всемирного банка осуществляется в два этапа в 19 штатах/союзных территориях, ставит своей основной задачей обучение девочек техническим наукам. Для привлечения девочек в техникумы, технические школы для мальчиков были превращены в техникумы совместного обучения, и свыше 7 тыс. девочек получили места в общежитиях существующих и новых женских технических школ. Кроме того, с целью развития общин и сельских районов были открыты местные техникумы, в которых предоставляются услуги в форме программ развития навыков и неформального обучения, а также профессиональной подготовки в научно-технической сфере с уделением особого внимания женщинам, национальным меньшинствам, представителям включенных в списки каст и племен и другим нуждающимся слоям населения.</w:t>
      </w:r>
    </w:p>
    <w:p w:rsidR="00D80435" w:rsidRDefault="00D80435">
      <w:pPr>
        <w:spacing w:after="360"/>
        <w:rPr>
          <w:color w:val="000000"/>
          <w:lang w:val="ru-RU"/>
        </w:rPr>
      </w:pPr>
      <w:r>
        <w:rPr>
          <w:color w:val="000000"/>
          <w:lang w:val="ru-RU"/>
        </w:rPr>
        <w:t>205.</w:t>
      </w:r>
      <w:r>
        <w:rPr>
          <w:color w:val="000000"/>
          <w:lang w:val="ru-RU"/>
        </w:rPr>
        <w:tab/>
        <w:t>Задача по обеспечению посещаемости школ потребовала значительной мобилизации усилий женских групп, низовых женских ассоциаций и групп матерей. С точки зрения гендерной проблематики были пересмотрены учебные программы школ и содержание учебно-методических материалов. Были разработаны и уже осуществляются новые проекты в области правовой грамотности и повышения общей информированности. Национальная комиссия по делам женщин в 1996 году приступила к реализации общенациональной программы по повышению правовой информированности женщин, чтобы дать им практические знания в области базовых законодательно закрепленных прав и предусмотренных различными законами средств защиты этих прав, а также подготовить их к решению реальных жизненных проблем. В период 2003–2004 годов программа данного курса были пересмотрена, и в нее были включены вопросы, связанные с проектами в области образования, здравоохранения, а также планами экономического развития, осуществляемыми правительством.</w:t>
      </w:r>
    </w:p>
    <w:p w:rsidR="00D80435" w:rsidRDefault="00D80435">
      <w:pPr>
        <w:pStyle w:val="BodyText"/>
        <w:spacing w:line="240" w:lineRule="auto"/>
        <w:jc w:val="left"/>
      </w:pPr>
      <w:r>
        <w:t xml:space="preserve">Специальные мероприятия для включенных в списки каст и племен, а также детей </w:t>
      </w:r>
      <w:r>
        <w:br/>
        <w:t xml:space="preserve">с ограниченными возможностями </w:t>
      </w:r>
    </w:p>
    <w:p w:rsidR="00D80435" w:rsidRDefault="00D80435">
      <w:pPr>
        <w:rPr>
          <w:color w:val="000000"/>
          <w:lang w:val="ru-RU"/>
        </w:rPr>
      </w:pPr>
      <w:r>
        <w:rPr>
          <w:color w:val="000000"/>
          <w:lang w:val="ru-RU"/>
        </w:rPr>
        <w:t>206.</w:t>
      </w:r>
      <w:r>
        <w:rPr>
          <w:color w:val="000000"/>
          <w:lang w:val="ru-RU"/>
        </w:rPr>
        <w:tab/>
        <w:t>Министерством по вопросам социальной справедливости и полномочий был реализован ряд программ в отношении детей, принадлежащих к обездоленным группам населения, таким как включенные в списки касты (СК), социально и экономически отсталое население ("другие отсталые классы населения"), беспризорные дети и дети-инвалиды. Правительство предоставляет детям из СК стипендии до поступления в вузы из расчета 50:50 с правительствами штатов. Стипендии, которые получают дети, проживающие в союзных территориях, во время обучения в школе вплоть до вступительных экзаменов в вузы полностью финансируются из центрального бюджета. За последнее десятилетие помощь была оказана 3,7 млн. детей, значительную часть которых составляли девочки. За этот период были предоставлены студенческие стипендии для продолжения образования после получения аттестата зрелости для 13,8 млн. детей из СК, из которых 25 процентов составили девочки; стипендии полностью оплачивались из центрального бюджета. В рамках Централизованного плана по повышению успеваемости учащихся из СК и СП помощь штатам и союзным территориям на цели коррективного и социального обучения для устранения отставания и подготовки школьников к конкурсным экзаменам предоставлялась на 100 процентов из средств центрального бюджета. В период 1997–2004 годов 8807 учащихся, включая девочек, получили подобные стипендии. Для девочек из СК были созданы общежития, чтобы дать им возможность продолжать обучение после получения полного начального образования. В период 2003–2004 годов было открыто 731 общежитие, в которых проживали 55 799 девочек из СК. Кроме того, для повышения мотивации и содействия образованию девочек из семей с низкими доходами "других отсталых классов населения" (ДОК) им предоставлялись стипендии и места в общежитии как до поступления, так и после поступления в вузы. В период 1998–2004 годов около 4,5 млн. учащихся из ДОК, в том числе девочки, получили такие стипендии, а 21 336 девочек воспользовались общежитиями. (Более подробная информация приводится по статье 4.)</w:t>
      </w:r>
    </w:p>
    <w:p w:rsidR="00D80435" w:rsidRDefault="00D80435">
      <w:pPr>
        <w:rPr>
          <w:i/>
          <w:color w:val="000000"/>
          <w:lang w:val="ru-RU"/>
        </w:rPr>
      </w:pPr>
      <w:r>
        <w:rPr>
          <w:color w:val="000000"/>
          <w:lang w:val="ru-RU"/>
        </w:rPr>
        <w:t>207.</w:t>
      </w:r>
      <w:r>
        <w:rPr>
          <w:color w:val="000000"/>
          <w:lang w:val="ru-RU"/>
        </w:rPr>
        <w:tab/>
        <w:t xml:space="preserve">Правительство также приняло на себя обязательство обеспечить для всех девочек и женщин равный доступ к бесплатному образованию всех уровней, включая техническое и профессионально-техническое обучение, а также профессиональную подготовку по трудовым специальностям. Были приняты меры по разработке проектов и мероприятий в этом направлении. Одним из таких проектов центрального правительства стала </w:t>
      </w:r>
      <w:r>
        <w:rPr>
          <w:b/>
          <w:color w:val="000000"/>
          <w:lang w:val="ru-RU"/>
        </w:rPr>
        <w:t>программа Кастурба Ганди Балика Видиалая (</w:t>
      </w:r>
      <w:r>
        <w:rPr>
          <w:b/>
          <w:color w:val="000000"/>
          <w:lang w:val="en-GB"/>
        </w:rPr>
        <w:t>KGBY</w:t>
      </w:r>
      <w:r>
        <w:rPr>
          <w:b/>
          <w:color w:val="000000"/>
          <w:lang w:val="ru-RU"/>
        </w:rPr>
        <w:t>)</w:t>
      </w:r>
      <w:r>
        <w:rPr>
          <w:color w:val="000000"/>
          <w:lang w:val="ru-RU"/>
        </w:rPr>
        <w:t xml:space="preserve">. Ее задачей является создание 750 начальных школ-интернатов для девочек, в первую очередь из СК и СП, ДОК и национальных меньшинств, проживающих в сложных условиях и труднодоступных районах. В ходе реализации 10-го Плана в целях предоставления девочкам качественного образования предполагается в 298 округах, где женская грамотность ниже среднего национального уровня или где разрыв в численности грамотных женщин и мужчин превышает средний национальный показатель, открыть 2656 школ в отстающих по уровню образования поселениях. </w:t>
      </w:r>
    </w:p>
    <w:p w:rsidR="00D80435" w:rsidRDefault="00D80435">
      <w:pPr>
        <w:rPr>
          <w:lang w:val="ru-RU"/>
        </w:rPr>
      </w:pPr>
      <w:r>
        <w:rPr>
          <w:lang w:val="ru-RU"/>
        </w:rPr>
        <w:t>208.</w:t>
      </w:r>
      <w:r>
        <w:rPr>
          <w:lang w:val="ru-RU"/>
        </w:rPr>
        <w:tab/>
        <w:t>В 2002–2003 годах правительство представило новый план под названием "Национальная стипендия для инвалидов", призванный оказать помощь учащимся-инвалидам в продолжении обучения после окончания школы и получении технического и профессионально-технического образования. В последние два года эту стипендию получили 216 девочек-инвалидов. Кроме того, правительство привлекает к работе и оказывает поддержку добровольческим организациям и центрам профессиональной подготовки в их деятельности по повышению уровня образования обездоленных слоев населения с помощью различных программ повышения квалификации.</w:t>
      </w:r>
    </w:p>
    <w:p w:rsidR="00D80435" w:rsidRDefault="00D80435">
      <w:pPr>
        <w:spacing w:after="440"/>
        <w:rPr>
          <w:lang w:val="ru-RU"/>
        </w:rPr>
      </w:pPr>
      <w:r>
        <w:rPr>
          <w:lang w:val="ru-RU"/>
        </w:rPr>
        <w:t>209.</w:t>
      </w:r>
      <w:r>
        <w:rPr>
          <w:lang w:val="ru-RU"/>
        </w:rPr>
        <w:tab/>
        <w:t xml:space="preserve">Некоторые штаты осуществили программы и проекты по содействию образованию девочек. В штате Уттар-Прадеш реализуется новаторская программа "джхула" (качели), которая делает акцент на превращение школьных уроков в веселые игровые занятия; предусматривается также проведение дополнительных занятий с отстающими девочками-школьницами. Результатом программы стало стабильное сокращение числа детей, оставляющих школы. В 14 округах штата Тамилнад, считающихся отсталыми в плане образования, девочкам-учащимся из СК и СП предоставляется материальное пособие в размере 500 рупий в год в качестве стимула для продолжения обучения. По той же схеме по всему штату 30 тыс. девочкам-учащимся из СК и СП, перешедшим в 6-й класс, выплачивается по 1000 рупий ежегодно. Кроме того, материальное стимулирование в отсталых районах предусматривается и для директоров школ, в которые поступает и обучается в 6–9 классах больше все девочек. Достигшие наибольших успехов девочки-учащиеся в Дели получают специальные стипендии и пользуются услугами специальных автобусных служб, доставляющих учеников в школу. В рамках недавно начатой программы девочкам-учащимся бесплатно и/или на субсидируемой основе предоставляются велосипеды. </w:t>
      </w:r>
    </w:p>
    <w:p w:rsidR="00D80435" w:rsidRDefault="00D80435">
      <w:pPr>
        <w:pStyle w:val="Heading8"/>
        <w:rPr>
          <w:u w:val="single"/>
        </w:rPr>
      </w:pPr>
      <w:r>
        <w:t xml:space="preserve">Результаты государственных инициатив </w:t>
      </w:r>
    </w:p>
    <w:p w:rsidR="00D80435" w:rsidRDefault="00D80435">
      <w:pPr>
        <w:rPr>
          <w:lang w:val="ru-RU"/>
        </w:rPr>
      </w:pPr>
      <w:r>
        <w:rPr>
          <w:lang w:val="ru-RU"/>
        </w:rPr>
        <w:t>210.</w:t>
      </w:r>
      <w:r>
        <w:rPr>
          <w:lang w:val="ru-RU"/>
        </w:rPr>
        <w:tab/>
        <w:t xml:space="preserve">В результате проведенных мероприятий улучшился доступ детей к школьному образованию, увеличилось число поступивших в школы и постоянно посещающих школу учеников, а также улучшились показатели успеваемости. </w:t>
      </w:r>
    </w:p>
    <w:p w:rsidR="00D80435" w:rsidRDefault="00D80435">
      <w:pPr>
        <w:rPr>
          <w:color w:val="000000"/>
          <w:lang w:val="ru-RU"/>
        </w:rPr>
      </w:pPr>
      <w:r>
        <w:rPr>
          <w:color w:val="000000"/>
          <w:lang w:val="ru-RU"/>
        </w:rPr>
        <w:pict>
          <v:shape id="_x0000_s1224" type="#_x0000_t75" style="position:absolute;left:0;text-align:left;margin-left:241.2pt;margin-top:30.6pt;width:226.9pt;height:142.35pt;z-index:-1;mso-wrap-edited:f" wrapcoords="-71 0 -71 21373 21600 21373 21600 0 -71 0" o:allowincell="f">
            <v:imagedata r:id="rId15" o:title=""/>
            <w10:wrap type="tight"/>
          </v:shape>
        </w:pict>
      </w:r>
      <w:r>
        <w:rPr>
          <w:color w:val="000000"/>
          <w:lang w:val="ru-RU"/>
        </w:rPr>
        <w:t>211.</w:t>
      </w:r>
      <w:r>
        <w:rPr>
          <w:color w:val="000000"/>
          <w:lang w:val="ru-RU"/>
        </w:rPr>
        <w:tab/>
      </w:r>
      <w:r>
        <w:rPr>
          <w:b/>
          <w:color w:val="000000"/>
          <w:lang w:val="ru-RU"/>
        </w:rPr>
        <w:t>Грамотность:</w:t>
      </w:r>
      <w:r>
        <w:rPr>
          <w:color w:val="000000"/>
          <w:lang w:val="ru-RU"/>
        </w:rPr>
        <w:t xml:space="preserve"> Индия достигла существенного прогресса в сфере образования, особенно в течение десятилетия 1991–2001 годов. Согласно переписи населения 2001 года, общий уровень грамотности составляет 64,84 процента, в </w:t>
      </w:r>
      <w:r>
        <w:rPr>
          <w:color w:val="000000"/>
          <w:lang w:val="ru-RU"/>
        </w:rPr>
        <w:br/>
        <w:t xml:space="preserve">том числе – 75,26 процента среди мужчин и 53,67 процента среди женщин. Именно в </w:t>
      </w:r>
      <w:r>
        <w:rPr>
          <w:color w:val="000000"/>
          <w:lang w:val="ru-RU"/>
        </w:rPr>
        <w:br/>
        <w:t xml:space="preserve">этот период впервые с 1951 года произошло </w:t>
      </w:r>
      <w:r>
        <w:rPr>
          <w:color w:val="000000"/>
          <w:spacing w:val="-4"/>
          <w:lang w:val="ru-RU"/>
        </w:rPr>
        <w:t>абсолютное снижение численности неграмотного</w:t>
      </w:r>
      <w:r>
        <w:rPr>
          <w:color w:val="000000"/>
          <w:lang w:val="ru-RU"/>
        </w:rPr>
        <w:t xml:space="preserve"> населения почти на 32 млн. человек. Это убедительное свидетельство того, какое важное значение страна придает данному сектору. За пятилетний период с 1997 по 2002 годы уровень</w:t>
      </w:r>
      <w:r>
        <w:rPr>
          <w:noProof/>
        </w:rPr>
        <w:t xml:space="preserve"> грамотности вырос с </w:t>
      </w:r>
      <w:r>
        <w:rPr>
          <w:color w:val="000000"/>
          <w:lang w:val="ru-RU"/>
        </w:rPr>
        <w:t>61,5 процента до 70,6 процента. В течение этого же периода уровень грамотности женщин повысился с 50 процентов до 65,38 процентов против повышения с 73 процентов до 75,85 процента у мужчин. Таким образом, грамотность среди женщин существенно возросла – на 15 процентных пунктов по сравнению с 3 процентными пунктами у мужчин. Однако диспропорция между полами варьируется в широких пределах и сохраняется гендерный разрыв, самый низкий показатель которого отмечен в штате Керала (6,5 процентных пункта) и максимальный – в штате Бихар (26,5 процентных пункта). Диапазон колебаний этого показателя между отдельными штатами весьма широк. Различия в показателях для мужчин и женщин между штатами/союзными территориями свидетельствует о том, что штат Керала остается одним из самых благополучных в этом плане с уровнем грамотности, достигающим 87,7 процента; замыкает список штат Бихар с самым низким показателем –33,1 процента. О неравенстве по признаку кастовой принадлежности свидетельствует тот факт, что в 1991 году по сравнению со средним национальным показателем 52,2 процента для СК и СП он составлял 37,4 процента и 29,6 процента, соответственно. Уровень грамотности среди женщин из этих обездоленных групп населения составлял менее 25 процентов для СК и 20 процентов – для СП. В штате Бихар этот показатель еще ниже – для СК он не превышает 10 процентов, а в штате Раджастан среди СП он составляет 5 процентов. Во многих штатах с низкой грамотностью был отмечен значительный прогресс.</w:t>
      </w:r>
    </w:p>
    <w:p w:rsidR="00D80435" w:rsidRDefault="00D80435">
      <w:pPr>
        <w:spacing w:after="300"/>
        <w:rPr>
          <w:lang w:val="ru-RU"/>
        </w:rPr>
      </w:pPr>
      <w:r>
        <w:rPr>
          <w:lang w:val="ru-RU"/>
        </w:rPr>
        <w:pict>
          <v:shape id="_x0000_s1176" type="#_x0000_t75" style="position:absolute;left:0;text-align:left;margin-left:240pt;margin-top:3.6pt;width:241.7pt;height:148.8pt;z-index:-2;mso-wrap-edited:f" wrapcoords="-67 0 -67 21164 20325 21164 20325 0 -67 0" o:allowincell="f">
            <v:imagedata r:id="rId16" o:title=""/>
            <w10:wrap type="tight"/>
          </v:shape>
        </w:pict>
      </w:r>
      <w:r>
        <w:rPr>
          <w:lang w:val="ru-RU"/>
        </w:rPr>
        <w:t>212.</w:t>
      </w:r>
      <w:r>
        <w:rPr>
          <w:lang w:val="ru-RU"/>
        </w:rPr>
        <w:tab/>
        <w:t xml:space="preserve">Следует отметить также существенные различия в уровне грамотности между мужчинами и женщинами, проживающими в городских и сельских районах. В период между 1991 и 2001 годами численность грамотного населения росла быстрее в сельских районах, чем в городских. Хотя разрыв между полами несколько сократился, диспропорции в уровнях грамотности по-прежнему ярче выражены в сельской местности, нежели в городах. В сельской местности процент грамотных женщин все еще существенно ниже, чем в городских районах. </w:t>
      </w:r>
    </w:p>
    <w:p w:rsidR="00D80435" w:rsidRDefault="00D80435">
      <w:pPr>
        <w:spacing w:after="300"/>
        <w:rPr>
          <w:color w:val="000000"/>
          <w:lang w:val="ru-RU"/>
        </w:rPr>
      </w:pPr>
      <w:r>
        <w:rPr>
          <w:color w:val="000000"/>
          <w:lang w:val="ru-RU"/>
        </w:rPr>
        <w:t>213.</w:t>
      </w:r>
      <w:r>
        <w:rPr>
          <w:color w:val="000000"/>
          <w:lang w:val="ru-RU"/>
        </w:rPr>
        <w:tab/>
      </w:r>
      <w:r>
        <w:rPr>
          <w:b/>
          <w:color w:val="000000"/>
          <w:lang w:val="ru-RU"/>
        </w:rPr>
        <w:t xml:space="preserve">Зачисление учащихся в школы: </w:t>
      </w:r>
      <w:r>
        <w:rPr>
          <w:color w:val="000000"/>
          <w:lang w:val="ru-RU"/>
        </w:rPr>
        <w:t>Согласно данным, общее число детей в возрасте 6–11 лет, поступивших в начальную школу между 1997–1998 и 2002–2003 годами, увеличилось, причем как для мальчиков, так и девочек, хотя для мальчиков этот показатель был выше. Общая доля детей, зачисленных в школы, возросла с 90,3 процента до 95,3 процента. Увеличение числа поступивших в школу девочек свидетельствует о сглаживании гендерных диспропорций в этой сфере. Сравнительный анализ по штатам указывает на сокращение гендерного разрыва в показателях зачисления в школы и большинстве штатов/союзных территорий. Однако неравноправие полов по-прежнему существует: 70 процентов не поступивших в школы детей составляют девочки. Наиболее значительное сокращение общей численности поступивших девочек отмечено в штатах Ассам и Нагаленд. Причины этого явления должны быть изучены. Процент обучающихся снижается на каждом следующем уровне образовательной системы, как по причине более низких показателей зачисления, так и высоких показателей отсева. Так, в 2002–2003 годах в старших классах средней школы, а именно в 6–8 классах, доля зачисления для девочек упала с 93,1 процента до 56,2 процента против 93,1 процента до 65,3 процента для мальчиков. В штатах Бихар, Джаркханд и Нагаленд характерны чрезвычайно низкие показатели зачисления девочек – менее 70 процентов даже на уровне начальной школы.</w:t>
      </w:r>
    </w:p>
    <w:p w:rsidR="00D80435" w:rsidRDefault="00D80435">
      <w:pPr>
        <w:rPr>
          <w:color w:val="000000"/>
          <w:lang w:val="ru-RU"/>
        </w:rPr>
      </w:pPr>
      <w:r>
        <w:rPr>
          <w:lang w:val="ru-RU"/>
        </w:rPr>
        <w:t>214.</w:t>
      </w:r>
      <w:r>
        <w:rPr>
          <w:lang w:val="ru-RU"/>
        </w:rPr>
        <w:tab/>
      </w:r>
      <w:r>
        <w:rPr>
          <w:b/>
          <w:lang w:val="ru-RU"/>
        </w:rPr>
        <w:t xml:space="preserve">Отсев: </w:t>
      </w:r>
      <w:r>
        <w:rPr>
          <w:lang w:val="ru-RU"/>
        </w:rPr>
        <w:t>Среди детей, поступивших в школы, далеко не все заканчивают даже пять классов. В период между 1997–1998 и 2002–2003 годами доля детей, оставивших школу, сократилась незначительно. По имеющимся данным, только 65 процентов детей заканчивают 5-й класс. Существуют, однако, различия между штатами. В штатах Ассам, Бихар, Мегхалайя, Мизорам, Нагаленд, Раджастан и Сикким до этого уровня доходят лишь 50 процентов детей. В большинстве штатов зарегистрировано снижение показателей отсева. Хотя гендерные различия сохраняются, у девочек по сравнению с мальчиками наблюдается прогресс в показателях посещаемости. Общее число выбывших в начальной школе, старших классах начальной школы и в средней школе увеличивается на каждом следующем уровне системы образования. Так, из всех зачисленных детей 35 процентов выбыли из школы до окончания 5-го класса, свыше половины – после 8-го класса и две трети – к 10-му классу. Весьма высоки показатели отсева среди обездоленных групп. Показатель отсева среди детей из СП превышает аналогичный показатель для детей из СК. 52 процента детей из СП выбывают до окончания 5-го класса, тогда как среди детей из СК эта доля составляет около 42 процентов. Общее число девочек, оканчивающих 8-й класс, приблизительно равно 47 процентам, соответствующий показатель для СК и СП не превышает 38 процентов и 29 процентов, соответственно. Исследования показали, что основные причины, по которым дети оставляют школу, обусловлены экономическими нуждами, такими как необходимость приносить доход семье, имея оплачиваемую работу, ухаживать за младшими братьями и сестрами, а также высокой стоимостью обучения. Причины, связанные с самими школами, включают низкие стандарты обучения и плохую инфраструктуру, сомнения по поводу пользы изучаемых предметов и т. д. В отношении девочек к этим причинам можно отнести удаленность школы от дома, недостаточное число учителей-женщин, нехватка туалетов и т.</w:t>
      </w:r>
      <w:r>
        <w:t> </w:t>
      </w:r>
      <w:r>
        <w:rPr>
          <w:lang w:val="ru-RU"/>
        </w:rPr>
        <w:t xml:space="preserve">д. Как центральное правительство, так и правительства штатов предпринимают усилия по решению вышеуказанных проблем. </w:t>
      </w:r>
    </w:p>
    <w:p w:rsidR="00D80435" w:rsidRDefault="00D80435">
      <w:pPr>
        <w:pStyle w:val="BodyText3"/>
        <w:rPr>
          <w:b w:val="0"/>
        </w:rPr>
      </w:pPr>
      <w:r>
        <w:rPr>
          <w:b w:val="0"/>
        </w:rPr>
        <w:t>215.</w:t>
      </w:r>
      <w:r>
        <w:rPr>
          <w:b w:val="0"/>
        </w:rPr>
        <w:tab/>
        <w:t xml:space="preserve">Соотношение между преподавателями и учениками на уровне начальной школы в период между 1997–1998 и 2002-2003 годами существенно не изменилось, несмотря на сокращение числа учащихся в расчете на одного учителя в некоторых штатах. Этот коэффициент резко повысился – с 47 до 83 учащихся – в штате Бихар, за которым следуют Джаркханд, Уттар-Прадеш, Западная Бенгалия и Чаттисгарх, что свидетельствует о том, что в этих штатах темпы набора преподавательского состава отставали от числа поступающих в школы. На уровне старших классов начальной школы этот показатель снизился с 37 до 34 учащихся, а на уровне средней школы – повысился с 29 до 33 учащихся. </w:t>
      </w:r>
    </w:p>
    <w:p w:rsidR="00D80435" w:rsidRDefault="00D80435">
      <w:pPr>
        <w:spacing w:after="300"/>
        <w:rPr>
          <w:lang w:val="ru-RU"/>
        </w:rPr>
      </w:pPr>
      <w:r>
        <w:rPr>
          <w:lang w:val="ru-RU"/>
        </w:rPr>
        <w:t>216.</w:t>
      </w:r>
      <w:r>
        <w:rPr>
          <w:lang w:val="ru-RU"/>
        </w:rPr>
        <w:tab/>
        <w:t xml:space="preserve">Согласно результатам исследований, улучшение показателей зачисления в школы и посещаемости девочек, особенно на уровне старших классов начальной школы и средней школы, зависит от наличия преподавателей-женщин. В 2002–2003 годы на 100 учителей-мужчин приходилось 64 преподавателя-женщин на уровне начальной школы, 69 – на уровне старших классов начальной школы и 71 – уровне старших классов средней школы. </w:t>
      </w:r>
    </w:p>
    <w:p w:rsidR="00D80435" w:rsidRDefault="00D80435">
      <w:pPr>
        <w:pStyle w:val="BodyText3"/>
        <w:jc w:val="left"/>
      </w:pPr>
      <w:r>
        <w:t xml:space="preserve">Число девушек на 100 юношей, обучающихся в индийских университетах по основным дисциплинам </w:t>
      </w:r>
    </w:p>
    <w:p w:rsidR="00D80435" w:rsidRDefault="00D80435">
      <w:pPr>
        <w:spacing w:after="360"/>
        <w:rPr>
          <w:lang w:val="ru-RU"/>
        </w:rPr>
      </w:pPr>
      <w:r>
        <w:rPr>
          <w:lang w:val="ru-RU"/>
        </w:rPr>
        <w:t>217.</w:t>
      </w:r>
      <w:r>
        <w:rPr>
          <w:lang w:val="ru-RU"/>
        </w:rPr>
        <w:tab/>
        <w:t>По мере расширения доступа девушек к высшему образованию увеличивается число женщин, поступающих в различные учебные заведения. Их численность в колледжах, университетах, на курсах профессиональной подготовки в таких областях, как инженерные дисциплины, медицина, технологии и т. д., возросла с 2,02 млн. в 1996–1997 годах до 3,81 млн. в 2002–2003 годах. В процентом отношении их доля увеличилась с 35,3 процента до 40 процентов. Несмотря на такой рост, девушки составляют только 40 процентов от общего числа студентов, и наибольшое их число – среди студентов-дипломников (6,51 процента). Анализ изучаемых дисциплин показывает, что в период между 1997–1998 и 2002–2003 годами число учащихся женщин, приходящихся на 100 мужчин, увеличилось в гуманитарных науках (с 70 до 82), точных науках (с 55 до 66), коммерческих дисциплинах (с 44 до 58) и медицине (с 56 до 71). Хотя число женщин, поступивших на инженерно-технические факультеты, возросло (с 20 до 29), мужчины продолжают доминировать в этих дисциплинах.</w:t>
      </w:r>
    </w:p>
    <w:p w:rsidR="00D80435" w:rsidRDefault="00D80435">
      <w:pPr>
        <w:pStyle w:val="Heading8"/>
      </w:pPr>
      <w:r>
        <w:t xml:space="preserve">Предстоящие задачи </w:t>
      </w:r>
    </w:p>
    <w:p w:rsidR="00D80435" w:rsidRDefault="00D80435">
      <w:pPr>
        <w:rPr>
          <w:lang w:val="ru-RU"/>
        </w:rPr>
      </w:pPr>
      <w:r>
        <w:rPr>
          <w:color w:val="000000"/>
          <w:lang w:val="ru-RU"/>
        </w:rPr>
        <w:t>218.</w:t>
      </w:r>
      <w:r>
        <w:rPr>
          <w:color w:val="000000"/>
          <w:lang w:val="ru-RU"/>
        </w:rPr>
        <w:tab/>
        <w:t xml:space="preserve">Задача состоит в том, чтобы преодолеть ряд препятствий и охватить образованием наиболее обездоленные и отчужденные слои общества, преодолеть обусловленное традиционной культурой предпочтение, отдаваемое в семье сыновьям, а также патриархальные взгляды и ценностные установки, затрудняющие девочкам получение образования. Географические размеры страны, численность и рассредоточенность ее населения, многокультурный характер общества и языковая идентичность, региональные диспропорции, обусловленные неразвитостью инфраструктуры и неравномерным распределением финансовых средств, а также возникающие конфликты и рост насилия в ряде штатов – таков далеко не исчерпывающий перечень препятствий, стоящих на пути к указанным целям. Правительство не только провозгласило своей целью достижение к 2010 году бесплатного и всеобщего начального образования для детей в возрасте 6–14 лет, но и обязалось поощрять девочек к продолжению образования сначала в школе, а затем на более высоком уровне, что ускорит процесс расширения прав и возможностей женщин. </w:t>
      </w:r>
    </w:p>
    <w:p w:rsidR="00D80435" w:rsidRDefault="00D80435">
      <w:pPr>
        <w:rPr>
          <w:lang w:val="ru-RU"/>
        </w:rPr>
      </w:pPr>
    </w:p>
    <w:p w:rsidR="00D80435" w:rsidRDefault="00D80435">
      <w:pPr>
        <w:pStyle w:val="Web"/>
        <w:spacing w:before="0" w:after="240"/>
        <w:jc w:val="center"/>
        <w:rPr>
          <w:rFonts w:ascii="Times New Roman" w:eastAsia="Times New Roman" w:hAnsi="Times New Roman"/>
          <w:b/>
          <w:sz w:val="24"/>
          <w:lang w:val="ru-RU"/>
        </w:rPr>
      </w:pPr>
      <w:r>
        <w:rPr>
          <w:rFonts w:ascii="Times New Roman" w:eastAsia="Times New Roman" w:hAnsi="Times New Roman"/>
          <w:b/>
          <w:sz w:val="24"/>
          <w:lang w:val="ru-RU"/>
        </w:rPr>
        <w:t>Статья 11.  Занятость</w:t>
      </w:r>
    </w:p>
    <w:p w:rsidR="00D80435" w:rsidRDefault="00D80435">
      <w:pPr>
        <w:rPr>
          <w:b/>
          <w:lang w:val="ru-RU"/>
        </w:rPr>
      </w:pPr>
      <w:r>
        <w:rPr>
          <w:b/>
          <w:lang w:val="ru-RU"/>
        </w:rPr>
        <w:t xml:space="preserve">Справочная информация </w:t>
      </w:r>
    </w:p>
    <w:p w:rsidR="00D80435" w:rsidRDefault="00D80435">
      <w:pPr>
        <w:rPr>
          <w:lang w:val="ru-RU"/>
        </w:rPr>
      </w:pPr>
      <w:r>
        <w:rPr>
          <w:lang w:val="ru-RU"/>
        </w:rPr>
        <w:t>219.</w:t>
      </w:r>
      <w:r>
        <w:rPr>
          <w:lang w:val="ru-RU"/>
        </w:rPr>
        <w:tab/>
        <w:t>Правительство приняло ряд мер по расширению возможностей женщин в области трудоустройства. Женщины играют активную роль на рынках труда, как в городских, так и в сельских районах. Однако их возможности получить работу в значительной степени обусловлены доступом к образованию и профессиональной подготовкой. В подготовленном правительством Первоначальном докладе был приведен перечень различных мер, принятых в целях облегчения трудоустройства женщин. Правительство предприняло ряд шагов по повышению эффективности некоторых из этих мер, а также разработало множество новых проектов, призванных обеспечить доступ женщин к рабочим местам.</w:t>
      </w:r>
    </w:p>
    <w:p w:rsidR="00D80435" w:rsidRDefault="00D80435">
      <w:pPr>
        <w:pStyle w:val="Heading2"/>
      </w:pPr>
      <w:r>
        <w:t xml:space="preserve">Инициативы штатов </w:t>
      </w:r>
    </w:p>
    <w:p w:rsidR="00D80435" w:rsidRDefault="00D80435">
      <w:pPr>
        <w:rPr>
          <w:lang w:val="ru-RU"/>
        </w:rPr>
      </w:pPr>
      <w:r>
        <w:rPr>
          <w:lang w:val="ru-RU"/>
        </w:rPr>
        <w:t>220.</w:t>
      </w:r>
      <w:r>
        <w:rPr>
          <w:lang w:val="ru-RU"/>
        </w:rPr>
        <w:tab/>
        <w:t xml:space="preserve">Конституция предусматривает равные права и возможности мужчин и женщин в политической, экономической и социальной сферах (статья 14), вводит запрет на дискриминацию в отношении любого гражданина по признаку пола (статься 15) и уполномочивает государство осуществлять позитивную дискриминацию в пользу женщин и детей (пункт 3 статьи 15). Кроме того, статья 39 предписывает государству обеспечить равные средства к существованию и равную оплату за равный труд, а статья 42 обязывает государство принять меры к обеспечению справедливых и гуманных условий труда, а также отпусков по беременности и родам. </w:t>
      </w:r>
    </w:p>
    <w:p w:rsidR="00D80435" w:rsidRDefault="00D80435">
      <w:pPr>
        <w:rPr>
          <w:lang w:val="ru-RU"/>
        </w:rPr>
      </w:pPr>
      <w:r>
        <w:rPr>
          <w:lang w:val="ru-RU"/>
        </w:rPr>
        <w:t>221.</w:t>
      </w:r>
      <w:r>
        <w:rPr>
          <w:lang w:val="ru-RU"/>
        </w:rPr>
        <w:tab/>
        <w:t xml:space="preserve">В трудовом законодательстве предусмотрены особые положения по социальному обеспечению работающих женщин. Закон о (условиях найма) работниках табачной промышленности 1966 года предусматривает создание яслей/детских садов для женщин-работниц. Согласно Закону о работниках плантаций 1951 года женщинам-работницам должны предоставляться перерывы для кормления детей, а на предприятиях, где работают свыше 50 женщин или где число женщин с детьми младше шести лет превышает 20 человек, должны быть организованы полностью оборудованные ясли/детские сады. Закон о контрактных работниках (регулирование и отмена) 1970 года запрещает наем женщин для работы свыше девяти часов между 6.00 и 19.00 часами, за исключением акушерок и медицинских сестер. Закон о рабочих, мигрирующих между штатами (регулирование вопросов найма и условий труда), 1979 года сделал обязательным оборудование для женщин раздельных туалетных и душевых помещений. Согласно Закону о шахтах 1952 года запрещается наем женщин на подземные работы и работу в ночное время. Этот закон также предусматривает оборудование для женщин отдельных санитарных пунктов и туалетных помещений. Закон о заводах и фабриках 1948 года (с поправками от 1976 года) предусматривает создание яслей/детских садов на предприятиях, где работают свыше 30 женщин (включая временный персонал и работающих по контракту). Согласно Закону о пособии по беременности и родам 1961 года женщинам, проработавшим 80 дней, предоставляется полностью оплачиваемый отпуск по беременности и родам продолжительностью в 135 дней и запрещается увольнение или снятие с должности женщин в период этого отпуска. Сфера действия Закона, распространявшегося на фабрики, шахты и плантации, была расширена, чтобы охватить магазины и заведения, где число наемных работников превышает 10 человек. В 1988 году для служащих учреждений центральным правительством была введена система предоставления отцам отпусков по уходу за ребенком, что явилось важнейшим начинанием в деле разработки эффективного национального законодательства в сфере семейных обязанностей. </w:t>
      </w:r>
    </w:p>
    <w:p w:rsidR="00D80435" w:rsidRDefault="00D80435">
      <w:pPr>
        <w:rPr>
          <w:lang w:val="ru-RU"/>
        </w:rPr>
      </w:pPr>
      <w:r>
        <w:rPr>
          <w:lang w:val="ru-RU"/>
        </w:rPr>
        <w:t>222.</w:t>
      </w:r>
      <w:r>
        <w:rPr>
          <w:lang w:val="ru-RU"/>
        </w:rPr>
        <w:tab/>
        <w:t>Ряд законов, принятых в этой области, были рассмотрены в Первоначальном докладе. Правительство выступило инициатором широкого спектра программ по сокращению нищеты и созданию рабочих мест. Эффективность многих из этих программ, действующих уже несколько лет, возросла благодаря ряду дополнительных мер, принятых в области увеличения занятости, создания производственных активов, повышения технической квалификации и развития предпринимательства, а также увеличения доходов бедных слоев населения. В рамках этих программ лицам, живущим ниже черты бедности, предоставляются как оплачиваемая работа, так и возможности самозанятости. В 1998–1999 годы различные программы сокращения масштабов нищеты и создания рабочих мест были сгруппированы в две широкие категории: программы по развитию самозанятости и программы создания оплачиваемых рабочих мест в городских и сельских районах. Для повышения эффективности проектов были приняты меры по совершенствованию схем финансирования и организации программ. Предназначенные главным образом для сокращения нищеты, эти программы в целом не оказали существенного воздействия на устойчивое создание рабочих мест.</w:t>
      </w:r>
    </w:p>
    <w:p w:rsidR="00D80435" w:rsidRDefault="00D80435">
      <w:pPr>
        <w:rPr>
          <w:lang w:val="ru-RU"/>
        </w:rPr>
      </w:pPr>
      <w:r>
        <w:rPr>
          <w:lang w:val="ru-RU"/>
        </w:rPr>
        <w:t>223.</w:t>
      </w:r>
      <w:r>
        <w:rPr>
          <w:lang w:val="ru-RU"/>
        </w:rPr>
        <w:tab/>
        <w:t>Недавно правительство предложило внести поправки в раздел 66 Закона о фабриках и заводах 1948 года, с тем чтобы разрешить наемным женщинам работать в период между 19.00 и 6.00 часами. Среди прочего поправка предусматривает обязанность работодателя обеспечить на рабочем месте технику безопасности и надлежащий уровень охраны труда женщин-работниц. Правительства штатов должны установить свои собственные нормативы для реализации данного положения.</w:t>
      </w:r>
    </w:p>
    <w:p w:rsidR="00D80435" w:rsidRDefault="00D80435">
      <w:pPr>
        <w:rPr>
          <w:lang w:val="ru-RU"/>
        </w:rPr>
      </w:pPr>
      <w:r>
        <w:rPr>
          <w:lang w:val="ru-RU"/>
        </w:rPr>
        <w:t>224.</w:t>
      </w:r>
      <w:r>
        <w:rPr>
          <w:b/>
          <w:lang w:val="ru-RU"/>
        </w:rPr>
        <w:tab/>
        <w:t>Программа профессионально-технической подготовки:</w:t>
      </w:r>
      <w:r>
        <w:rPr>
          <w:lang w:val="ru-RU"/>
        </w:rPr>
        <w:t xml:space="preserve"> Осуществление Программы профессионально-технической подготовки, к реализации которой Центральный совет социального обеспечения приступил в 1975 году, способствует расширению возможностей трудоустройства для большого числа нуждающихся женщин и помогает повысить их социально-экономический статус. Крое того, Национальный институт профессионально-технического образования женщин (НИПТОЖ) и институты подготовки женщин в промышленной сфере, функционирующие под эгидой министерства труда, предлагают курсы повышения квалификации для женщин, с тем чтобы дать им возможность трудоустройства в промышленности в качестве полуквалифицированных и/или квалифицированных рабочих, или инструкторов в профессионально-технических училищах, либо начать приносящую доход деятельность/стать самостоятельно занятыми. В процессе создания находятся еще четыре региональных института профессионально-технического образования женщин в городах Индаур, Вадодара, Джайпур и Аллахабад. В рамках Программы профессиональной реабилитации для женщин-инвалидов в сотрудничестве с различными правительственными и неправительственными организациями осуществляется ускоренная реабилитация женщин-инвалидов путем предоставления им услуг в сфере профессиональной подготовки, в области трудоустройства и самозанятости. Центры профессиональной реабилитации инвалидов, функционирующие под эгидой правительства Индии и министерства труда, действуют в 17 населенных пунктах. В г. Вадодара такой центр обслуживает исключительно женщин, тогда как другие центры предоставляют услуги как мужчинам, так и женщинам-инвалидам.</w:t>
      </w:r>
    </w:p>
    <w:p w:rsidR="00D80435" w:rsidRDefault="00D80435">
      <w:pPr>
        <w:rPr>
          <w:lang w:val="ru-RU"/>
        </w:rPr>
      </w:pPr>
      <w:r>
        <w:rPr>
          <w:lang w:val="ru-RU"/>
        </w:rPr>
        <w:t>225.</w:t>
      </w:r>
      <w:r>
        <w:rPr>
          <w:lang w:val="ru-RU"/>
        </w:rPr>
        <w:tab/>
        <w:t xml:space="preserve">В целях предоставления кредита такие институты, как Банк развития малых промышленных предприятий Индии (БРМП) и Национальный банк развития сельских районов (НБРСР) создали специальные окна для получения микрокредитов: НБРСР реализовал эту услугу при содействии групп самопомощи и с помощью межбанковских связей, тогда как БРМП привлек Фонд микрокредитования. На женщин как на "мелких заемщиков" (менее 200 тыс. рупий) пришлось 14,5 процентов таких кредитов. В региональном плане северо-восточные, восточные и центральные районы не получили адекватного кредитования. Новое поколение учреждений по микрофинансированию (УМФ) предприняло целый ряд весьма полезных усилий в этой области. Неправительственные организации, такие как Программа действий по профессиональной помощи развитию (ППР) в штате Бихар, Агентство по вопросам переселения и развития Майсура (АВПР) в штате Карнатака всемерно содействуют созданию групп самопомощи на уровне деревень и помогают установить связи между группами и банками. В сфере микрофинансирования работают также НПО, непосредственно выдающие ссуды населению, такие как Общество по улучшению положения сельской бедноты (ОУПБ) в штате Андхра-Прадеш или Организация по развитию сельских районов (ОРСР) в штате Манипур. Учреждения по микрофинансированию также организованы в форме кооперативов, таких как Кооперативные сберегательные общества взаимопомощи (КСОВ) в штате Андхра-Прадеш и банк Ассоциации самостоятельно занятых женщин в штате Гуджарат. Кроме того, учреждения по микрофинансированию функционируют в виде небанковских финансовых компаний (НБФК), как, например, компания БЕЙСИКС в штате Андхра-Прадеш или Финансовые и технические службы КАШПОР в штате Уттар-Прадеш. </w:t>
      </w:r>
    </w:p>
    <w:p w:rsidR="00D80435" w:rsidRDefault="00D80435">
      <w:pPr>
        <w:rPr>
          <w:lang w:val="ru-RU"/>
        </w:rPr>
      </w:pPr>
      <w:r>
        <w:rPr>
          <w:lang w:val="ru-RU"/>
        </w:rPr>
        <w:t>226.</w:t>
      </w:r>
      <w:r>
        <w:rPr>
          <w:lang w:val="ru-RU"/>
        </w:rPr>
        <w:tab/>
        <w:t xml:space="preserve">Производительное применение труда является важным аспектом государственной политики, ставящей целью достижение экономического роста на основе принципа справедливости. Соответственно, в 9-м Плане была поставлена приоритетная задача по развитию сельского хозяйства и сельских районов в целях устойчивого наращивания занятости в производственной сфере и ликвидации нищеты. Более высокий уровень занятости в сфере производительного труда является неотъемлемой частью самого процесса развития и предусматривает перенос центра тяжести на трудоемкие сектора, подсектора и технологии в регионах, характеризующихся более высокими уровнями безработицы и неполной занятости. </w:t>
      </w:r>
    </w:p>
    <w:p w:rsidR="00D80435" w:rsidRDefault="00D80435">
      <w:pPr>
        <w:rPr>
          <w:lang w:val="ru-RU"/>
        </w:rPr>
      </w:pPr>
      <w:r>
        <w:rPr>
          <w:lang w:val="ru-RU"/>
        </w:rPr>
        <w:t>227.</w:t>
      </w:r>
      <w:r>
        <w:rPr>
          <w:lang w:val="ru-RU"/>
        </w:rPr>
        <w:tab/>
        <w:t>Национальная комиссия по делам женщин в 2002 году организовала серию открытых слушаний для оценки воздействия на женщин процессов глобализации. Первые слушания такого рода были проведены в штате Керала в 2001 году. Эти слушания показали, что женщины-работницы сталкиваются с трудностями в таких областях, как сельское хозяйство и растениеводство, огранка драгоценных камней, ручная выработка тканей, строительство, производство спичек, производство обуви и сандалий, рыболовство и т. д. Снижение цен, конкуренция со стороны импортных товаров и новые технологии – таковы лишь некоторые причины тех проблем, которые приходится преодолевать работающим женщинам.</w:t>
      </w:r>
    </w:p>
    <w:p w:rsidR="00D80435" w:rsidRDefault="00D80435">
      <w:pPr>
        <w:rPr>
          <w:lang w:val="ru-RU"/>
        </w:rPr>
      </w:pPr>
      <w:r>
        <w:rPr>
          <w:lang w:val="ru-RU"/>
        </w:rPr>
        <w:t>228.</w:t>
      </w:r>
      <w:r>
        <w:rPr>
          <w:lang w:val="ru-RU"/>
        </w:rPr>
        <w:tab/>
        <w:t>Национальная комиссия по делам женщин частично проанализировала трудовое законодательство, в том числе законы, непосредственно касающиеся женского труда, и предложила поправки, которые активно рассматриваются центральным правительством.</w:t>
      </w:r>
    </w:p>
    <w:p w:rsidR="00D80435" w:rsidRDefault="00D80435">
      <w:pPr>
        <w:rPr>
          <w:lang w:val="ru-RU"/>
        </w:rPr>
      </w:pPr>
      <w:r>
        <w:rPr>
          <w:lang w:val="ru-RU"/>
        </w:rPr>
        <w:t>229.</w:t>
      </w:r>
      <w:r>
        <w:rPr>
          <w:lang w:val="ru-RU"/>
        </w:rPr>
        <w:tab/>
        <w:t>Во исполнение судебного решения по делу Виштака в отношении сексуальных домогательств правительство приняло целый ряд мер по обеспечению соблюдения закона, сформулированного Верховным судом. Были пересмотрены служебные инструкции в целях внесения в них поправок, квалифицирующих сексуальное домогательство на рабочем месте как правонарушение и предусмотривающих проведение внутреннего расследования по таким жалобам, а также наказания нарушителей при доказанности обвинений. В типовые Правила внутреннего распорядка, применяемые в промышленности, были внесены поправки для включения в них положений, квалифицирующих сексуальное домогательство как правонарушение. Любому новому предприятию, не предусмотревшему такое положение в своих правилах внутреннего распорядка, будет отказано в выдаче лицензии. Национальная комиссия по делам женщин и Министерство по развитию людских ресурсов предприняли необходимые шаги для обеспечения того, чтобы все государственные учебные заведения и организации и даже частные учебные заведения внесли необходимые поправки, квалифицирующие сексуальные домогательства на рабочем месте как правонарушения, и настоятельно рекомендовали руководству таких организаций создать комитеты по рассмотрению жалоб на сексуальное домогательство и наложению взысканий. В 2004 году был внесен законопроект о (предотвращении) сексуальных домогательств в отношении женщин на рабочем месте (и наказании за них), и в настоящее время по всей стране проводятся широкие консультации с участием ряда НПО и государственных ведомств для выработки его окончательной редакции.</w:t>
      </w:r>
    </w:p>
    <w:p w:rsidR="00D80435" w:rsidRDefault="00D80435">
      <w:pPr>
        <w:rPr>
          <w:lang w:val="ru-RU"/>
        </w:rPr>
      </w:pPr>
      <w:r>
        <w:rPr>
          <w:lang w:val="ru-RU"/>
        </w:rPr>
        <w:t>230.</w:t>
      </w:r>
      <w:r>
        <w:rPr>
          <w:lang w:val="ru-RU"/>
        </w:rPr>
        <w:tab/>
        <w:t>В настоящее время в стадии пересмотра находится новая "Политика по медицинскому страхованию работников, занятых в неформальном секторе", и Закон о работниках неорганизованного сектора 2003 года. Проект закона о надомных работниках также находится на рассмотрении.</w:t>
      </w:r>
    </w:p>
    <w:p w:rsidR="00D80435" w:rsidRDefault="00D80435">
      <w:pPr>
        <w:rPr>
          <w:spacing w:val="-2"/>
          <w:lang w:val="ru-RU"/>
        </w:rPr>
      </w:pPr>
      <w:r>
        <w:rPr>
          <w:spacing w:val="-2"/>
          <w:lang w:val="ru-RU"/>
        </w:rPr>
        <w:t>231.</w:t>
      </w:r>
      <w:r>
        <w:rPr>
          <w:spacing w:val="-2"/>
          <w:lang w:val="ru-RU"/>
        </w:rPr>
        <w:tab/>
        <w:t>Было учреждено Национальное управление по ликвидации детского труда (НУЛДТ). В рамках национальных проектов в области детского труда (НПДТ) были открыты 18 тыс. специальных школ, которые посещают около 150 тыс. работающих детей. Основной целью проектов является прекращение работы детей, занятых в 57 производственных процессах и на 13 видах работ, которые были отнесены к категории опасных Техническим консультативным комитетам по детскому труду в соответствии с Законом (о запрете и регулировании) детского труда 1986 года; реабилитация этих детей и, в конечном счете, охват таких детей официальной системой образования. В 2004–</w:t>
      </w:r>
      <w:r>
        <w:rPr>
          <w:spacing w:val="-2"/>
          <w:lang w:val="ru-RU"/>
        </w:rPr>
        <w:br/>
        <w:t>2005 годы на эти цели было ассигновано 872 млн. рупий. Данных о распределении работающих детей по полу и отраслям не имеется. Тем не менее сводная информация за 2004–2005 годы, полученная из квартальных отчетов входящих в НПДТ обществ, указывает на то, что девочки составляют 56 процентов всех учащихся таких специальных школ. Министерство по вопросам социальной справедливости и полномочий осуществляет программы предоставления грантов в рамках плана по поддержке и укреплению НПО, работающих в области социального обеспечения и развития беспризорных детей.</w:t>
      </w:r>
    </w:p>
    <w:p w:rsidR="00D80435" w:rsidRDefault="00D80435">
      <w:pPr>
        <w:rPr>
          <w:lang w:val="ru-RU"/>
        </w:rPr>
      </w:pPr>
      <w:r>
        <w:rPr>
          <w:lang w:val="ru-RU"/>
        </w:rPr>
        <w:t>232.</w:t>
      </w:r>
      <w:r>
        <w:rPr>
          <w:lang w:val="ru-RU"/>
        </w:rPr>
        <w:tab/>
        <w:t>Правительство Индии последовательно реализует упреждающую стратегию в подходе к проблеме принудительного или подневольного труда в стране. Оно рассматривают эту практику как грубое нарушение основных прав человека в отношении граждан, вовлеченных в такой труд, и твердо придерживается курса на его полное искоренение в кратчайшие сроки путем неукоснительного осуществления законодательства в сфере образования и занятости. 30 ноября 1954 года Индия ратифицировала Конвенцию № 29 МОТ (Конвенция о принудительном труде 1930 года). Впоследствии в 1976 году парламент принял Закон о (ликвидации) системы подневольного труда, который был введен в действие начиная с 25 октября 1975 года, когда был обнародован соответствующий декрет. Закон предусматривает ликвидацию подневольного труда, системы подневольного труда и принуждения к труду в оплату долгов. В правительственных структурах штатов, где были отмечены случаи подневольного труда, были учреждены комитеты бдительности, которые периодически проводят совещания для обзора результатов проделанной работы. В функции комитетов бдительности входит обеспечение социально-экономической реабилитации освобожденных работников подневольного труда. Центральное правительство и правительства штатов совместно финансируют программы реабилитации подневольных работников. В 1996 году Верховный суд и министерство труда объявили об увеличении материальной помощи, предоставляемой освобожденным от подневольного труда работникам, как взрослым, так и детям.</w:t>
      </w:r>
    </w:p>
    <w:p w:rsidR="00D80435" w:rsidRDefault="00D80435">
      <w:pPr>
        <w:rPr>
          <w:b/>
          <w:lang w:val="ru-RU"/>
        </w:rPr>
      </w:pPr>
      <w:r>
        <w:rPr>
          <w:lang w:val="ru-RU"/>
        </w:rPr>
        <w:t>233.</w:t>
      </w:r>
      <w:r>
        <w:rPr>
          <w:lang w:val="ru-RU"/>
        </w:rPr>
        <w:tab/>
        <w:t xml:space="preserve">Недавно правительство ввело в действие План социального страхования работников неорганизованного сектора. Реализацией этого плана со стопроцентным государственным финансированием занимается Организация резервного фонда персонала, имеющая широкую сеть отделений по всей стране и современную базу коммуникационных технологи. Организация пользуется активной поддержкой со стороны центров помощи рабочим, Корпорации государственного страхования персонала, других страховых компаний, учреждений, занимающихся трудовыми вопросами на федеральном уровне и на уровне штатов, институтов панчаят радж, групп самопомощи и других организаций гражданского общества. Первоначально в течение двух лет предполагается опробовать проект, охватив этим планом 2,5 млн. работников в 50 округах страны. Он распространяется на работников, получающих зарплату менее 6500 рупий в месяц, и предусматривает тройное покрытие: пенсию, индивидуальное страхование от несчастного случая и медицинское страхование. </w:t>
      </w:r>
    </w:p>
    <w:p w:rsidR="00D80435" w:rsidRDefault="00D80435">
      <w:pPr>
        <w:rPr>
          <w:b/>
          <w:lang w:val="ru-RU"/>
        </w:rPr>
      </w:pPr>
      <w:r>
        <w:rPr>
          <w:b/>
          <w:lang w:val="ru-RU"/>
        </w:rPr>
        <w:t xml:space="preserve">Результаты государственных инициатив  </w:t>
      </w:r>
    </w:p>
    <w:p w:rsidR="00D80435" w:rsidRDefault="00D80435">
      <w:pPr>
        <w:rPr>
          <w:lang w:val="ru-RU"/>
        </w:rPr>
      </w:pPr>
      <w:r>
        <w:rPr>
          <w:lang w:val="ru-RU"/>
        </w:rPr>
        <w:t>234.</w:t>
      </w:r>
      <w:r>
        <w:rPr>
          <w:lang w:val="ru-RU"/>
        </w:rPr>
        <w:tab/>
        <w:t>Женщины составляют значительную часть рабочей силы. В период между 1993–1994 и 1999–2000 годами произошло сокращение доли занятого населения с 66,5 до 61,8 процента. В то время как доля мужчин сократилась с 87,1 до 83,5 процента, доля женщин за тот же период уменьшилась с 44,4 до 38,5 процента. Существует значительная диспропорция в степени участия в трудовой деятельности мужчин и женщин, при этом дисбаланс более отчетливо выражен в сельских районах по сравнению с городами. Данные на уровне штатов свидетельствуют о постепенном снижении доли занятого населения во всех штатах в период между 1993–1994 и 1999–2000 годами. За тот же период существенно снизились темпы роста занятости лиц в возрасте от 15 лет и старше, причем в сельских районах это снижение в большей степени коснулось женщин, тогда как в городских районах – мужчин. Из всех штатов только в Пенджабе, Бихаре и Ассаме темпы роста были выше средних по стране.</w:t>
      </w:r>
    </w:p>
    <w:p w:rsidR="00D80435" w:rsidRDefault="00D80435">
      <w:pPr>
        <w:rPr>
          <w:lang w:val="ru-RU"/>
        </w:rPr>
      </w:pPr>
      <w:r>
        <w:rPr>
          <w:lang w:val="ru-RU"/>
        </w:rPr>
        <w:t>235.</w:t>
      </w:r>
      <w:r>
        <w:rPr>
          <w:lang w:val="ru-RU"/>
        </w:rPr>
        <w:tab/>
        <w:t xml:space="preserve">Согласно Национальному выборочному обследованию, проведенному в 1999–2000 годах, общая численность рабочей силы составляла 401 млн. человек, из которых около 7 процентов занято в формальном или организованном секторе и почти 93 процента – в неорганизованном или неформальном секторе. Согласно данным всеиндийской экономической переписи за 2001 год, из общего числа 30,35 млн. предприятий этого сектора 17,71 млн. находятся в сельских районах и 12,64 млн. – в городских. Из общего числа 83,4 млн. работников мужчины составляют 8 процентов, женщины – 17,3 процента и дети – 2,7 процента. Эти работники сталкиваются с ущемлением своих прав в плане заработной платы, условий труда и социальных пособий, так же как и работники, занятые в организованном секторе. </w:t>
      </w:r>
    </w:p>
    <w:p w:rsidR="00D80435" w:rsidRDefault="00D80435">
      <w:pPr>
        <w:rPr>
          <w:lang w:val="ru-RU"/>
        </w:rPr>
      </w:pPr>
      <w:r>
        <w:rPr>
          <w:lang w:val="ru-RU"/>
        </w:rPr>
        <w:t>236.</w:t>
      </w:r>
      <w:r>
        <w:rPr>
          <w:lang w:val="ru-RU"/>
        </w:rPr>
        <w:tab/>
        <w:t xml:space="preserve">Существует значительная диспропорция в степени участия женщин и мужчин в трудовой деятельности. Доля женщин в рабочей силе увеличилась с 22,7 процента в 1991 году до 25,7 процента в 2001 году, против незначительного увеличения доли мужчин – с 51,6 процента до 51,9 процента. </w:t>
      </w:r>
    </w:p>
    <w:p w:rsidR="00D80435" w:rsidRDefault="00D80435">
      <w:pPr>
        <w:rPr>
          <w:b/>
          <w:lang w:val="ru-RU"/>
        </w:rPr>
      </w:pPr>
      <w:r>
        <w:rPr>
          <w:b/>
          <w:lang w:val="ru-RU"/>
        </w:rPr>
        <w:t>Доля занятого населения в Индии (1991–2001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2534"/>
        <w:gridCol w:w="1771"/>
        <w:gridCol w:w="1771"/>
        <w:gridCol w:w="1772"/>
      </w:tblGrid>
      <w:tr w:rsidR="00D80435">
        <w:tblPrEx>
          <w:tblCellMar>
            <w:top w:w="0" w:type="dxa"/>
            <w:bottom w:w="0" w:type="dxa"/>
          </w:tblCellMar>
        </w:tblPrEx>
        <w:tc>
          <w:tcPr>
            <w:tcW w:w="900" w:type="dxa"/>
          </w:tcPr>
          <w:p w:rsidR="00D80435" w:rsidRDefault="00D80435">
            <w:pPr>
              <w:spacing w:before="80" w:after="80"/>
              <w:rPr>
                <w:sz w:val="20"/>
                <w:lang w:val="ru-RU"/>
              </w:rPr>
            </w:pPr>
          </w:p>
        </w:tc>
        <w:tc>
          <w:tcPr>
            <w:tcW w:w="2534" w:type="dxa"/>
          </w:tcPr>
          <w:p w:rsidR="00D80435" w:rsidRDefault="00D80435">
            <w:pPr>
              <w:spacing w:before="80" w:after="80"/>
              <w:rPr>
                <w:b/>
                <w:sz w:val="20"/>
                <w:lang w:val="ru-RU"/>
              </w:rPr>
            </w:pPr>
          </w:p>
        </w:tc>
        <w:tc>
          <w:tcPr>
            <w:tcW w:w="1771" w:type="dxa"/>
          </w:tcPr>
          <w:p w:rsidR="00D80435" w:rsidRDefault="00D80435">
            <w:pPr>
              <w:spacing w:before="80" w:after="80"/>
              <w:jc w:val="center"/>
              <w:rPr>
                <w:b/>
                <w:sz w:val="20"/>
                <w:lang w:val="ru-RU"/>
              </w:rPr>
            </w:pPr>
            <w:r>
              <w:rPr>
                <w:b/>
                <w:sz w:val="20"/>
                <w:lang w:val="ru-RU"/>
              </w:rPr>
              <w:t>Все население</w:t>
            </w:r>
          </w:p>
        </w:tc>
        <w:tc>
          <w:tcPr>
            <w:tcW w:w="1771" w:type="dxa"/>
          </w:tcPr>
          <w:p w:rsidR="00D80435" w:rsidRDefault="00D80435">
            <w:pPr>
              <w:spacing w:before="80" w:after="80"/>
              <w:jc w:val="center"/>
              <w:rPr>
                <w:b/>
                <w:sz w:val="20"/>
                <w:lang w:val="ru-RU"/>
              </w:rPr>
            </w:pPr>
            <w:r>
              <w:rPr>
                <w:b/>
                <w:sz w:val="20"/>
                <w:lang w:val="ru-RU"/>
              </w:rPr>
              <w:t>Мужчины</w:t>
            </w:r>
          </w:p>
        </w:tc>
        <w:tc>
          <w:tcPr>
            <w:tcW w:w="1772" w:type="dxa"/>
          </w:tcPr>
          <w:p w:rsidR="00D80435" w:rsidRDefault="00D80435">
            <w:pPr>
              <w:spacing w:before="80" w:after="80"/>
              <w:jc w:val="center"/>
              <w:rPr>
                <w:b/>
                <w:sz w:val="20"/>
                <w:lang w:val="ru-RU"/>
              </w:rPr>
            </w:pPr>
            <w:r>
              <w:rPr>
                <w:b/>
                <w:sz w:val="20"/>
                <w:lang w:val="ru-RU"/>
              </w:rPr>
              <w:t>Женщины</w:t>
            </w:r>
          </w:p>
        </w:tc>
      </w:tr>
      <w:tr w:rsidR="00D80435">
        <w:tblPrEx>
          <w:tblCellMar>
            <w:top w:w="0" w:type="dxa"/>
            <w:bottom w:w="0" w:type="dxa"/>
          </w:tblCellMar>
        </w:tblPrEx>
        <w:tc>
          <w:tcPr>
            <w:tcW w:w="900" w:type="dxa"/>
          </w:tcPr>
          <w:p w:rsidR="00D80435" w:rsidRDefault="00D80435">
            <w:pPr>
              <w:spacing w:before="80" w:after="80"/>
              <w:jc w:val="center"/>
              <w:rPr>
                <w:sz w:val="20"/>
                <w:lang w:val="ru-RU"/>
              </w:rPr>
            </w:pPr>
            <w:r>
              <w:rPr>
                <w:sz w:val="20"/>
                <w:lang w:val="ru-RU"/>
              </w:rPr>
              <w:t>1991</w:t>
            </w:r>
          </w:p>
        </w:tc>
        <w:tc>
          <w:tcPr>
            <w:tcW w:w="2534" w:type="dxa"/>
          </w:tcPr>
          <w:p w:rsidR="00D80435" w:rsidRDefault="00D80435">
            <w:pPr>
              <w:spacing w:before="80" w:after="80"/>
              <w:rPr>
                <w:sz w:val="20"/>
                <w:lang w:val="ru-RU"/>
              </w:rPr>
            </w:pPr>
            <w:r>
              <w:rPr>
                <w:sz w:val="20"/>
                <w:lang w:val="ru-RU"/>
              </w:rPr>
              <w:t>Все население</w:t>
            </w:r>
          </w:p>
        </w:tc>
        <w:tc>
          <w:tcPr>
            <w:tcW w:w="1771" w:type="dxa"/>
          </w:tcPr>
          <w:p w:rsidR="00D80435" w:rsidRDefault="00D80435">
            <w:pPr>
              <w:spacing w:before="80" w:after="80"/>
              <w:jc w:val="center"/>
              <w:rPr>
                <w:sz w:val="20"/>
                <w:lang w:val="ru-RU"/>
              </w:rPr>
            </w:pPr>
            <w:r>
              <w:rPr>
                <w:sz w:val="20"/>
                <w:lang w:val="ru-RU"/>
              </w:rPr>
              <w:t>37,68</w:t>
            </w:r>
          </w:p>
        </w:tc>
        <w:tc>
          <w:tcPr>
            <w:tcW w:w="1771" w:type="dxa"/>
          </w:tcPr>
          <w:p w:rsidR="00D80435" w:rsidRDefault="00D80435">
            <w:pPr>
              <w:spacing w:before="80" w:after="80"/>
              <w:jc w:val="center"/>
              <w:rPr>
                <w:sz w:val="20"/>
                <w:lang w:val="ru-RU"/>
              </w:rPr>
            </w:pPr>
            <w:r>
              <w:rPr>
                <w:sz w:val="20"/>
                <w:lang w:val="ru-RU"/>
              </w:rPr>
              <w:t>51,56</w:t>
            </w:r>
          </w:p>
        </w:tc>
        <w:tc>
          <w:tcPr>
            <w:tcW w:w="1772" w:type="dxa"/>
          </w:tcPr>
          <w:p w:rsidR="00D80435" w:rsidRDefault="00D80435">
            <w:pPr>
              <w:spacing w:before="80" w:after="80"/>
              <w:jc w:val="center"/>
              <w:rPr>
                <w:sz w:val="20"/>
                <w:lang w:val="ru-RU"/>
              </w:rPr>
            </w:pPr>
            <w:r>
              <w:rPr>
                <w:sz w:val="20"/>
                <w:lang w:val="ru-RU"/>
              </w:rPr>
              <w:t>22,73</w:t>
            </w:r>
          </w:p>
        </w:tc>
      </w:tr>
      <w:tr w:rsidR="00D80435">
        <w:tblPrEx>
          <w:tblCellMar>
            <w:top w:w="0" w:type="dxa"/>
            <w:bottom w:w="0" w:type="dxa"/>
          </w:tblCellMar>
        </w:tblPrEx>
        <w:tc>
          <w:tcPr>
            <w:tcW w:w="900" w:type="dxa"/>
          </w:tcPr>
          <w:p w:rsidR="00D80435" w:rsidRDefault="00D80435">
            <w:pPr>
              <w:spacing w:before="80" w:after="80"/>
              <w:rPr>
                <w:sz w:val="20"/>
                <w:lang w:val="ru-RU"/>
              </w:rPr>
            </w:pPr>
          </w:p>
        </w:tc>
        <w:tc>
          <w:tcPr>
            <w:tcW w:w="2534" w:type="dxa"/>
          </w:tcPr>
          <w:p w:rsidR="00D80435" w:rsidRDefault="00D80435">
            <w:pPr>
              <w:spacing w:before="80" w:after="80"/>
              <w:rPr>
                <w:sz w:val="20"/>
                <w:lang w:val="ru-RU"/>
              </w:rPr>
            </w:pPr>
            <w:r>
              <w:rPr>
                <w:sz w:val="20"/>
                <w:lang w:val="ru-RU"/>
              </w:rPr>
              <w:t xml:space="preserve">Сельское </w:t>
            </w:r>
          </w:p>
        </w:tc>
        <w:tc>
          <w:tcPr>
            <w:tcW w:w="1771" w:type="dxa"/>
          </w:tcPr>
          <w:p w:rsidR="00D80435" w:rsidRDefault="00D80435">
            <w:pPr>
              <w:spacing w:before="80" w:after="80"/>
              <w:jc w:val="center"/>
              <w:rPr>
                <w:sz w:val="20"/>
                <w:lang w:val="ru-RU"/>
              </w:rPr>
            </w:pPr>
            <w:r>
              <w:rPr>
                <w:sz w:val="20"/>
                <w:lang w:val="ru-RU"/>
              </w:rPr>
              <w:t>40,24</w:t>
            </w:r>
          </w:p>
        </w:tc>
        <w:tc>
          <w:tcPr>
            <w:tcW w:w="1771" w:type="dxa"/>
          </w:tcPr>
          <w:p w:rsidR="00D80435" w:rsidRDefault="00D80435">
            <w:pPr>
              <w:spacing w:before="80" w:after="80"/>
              <w:jc w:val="center"/>
              <w:rPr>
                <w:sz w:val="20"/>
                <w:lang w:val="ru-RU"/>
              </w:rPr>
            </w:pPr>
            <w:r>
              <w:rPr>
                <w:sz w:val="20"/>
                <w:lang w:val="ru-RU"/>
              </w:rPr>
              <w:t>52,50</w:t>
            </w:r>
          </w:p>
        </w:tc>
        <w:tc>
          <w:tcPr>
            <w:tcW w:w="1772" w:type="dxa"/>
          </w:tcPr>
          <w:p w:rsidR="00D80435" w:rsidRDefault="00D80435">
            <w:pPr>
              <w:spacing w:before="80" w:after="80"/>
              <w:jc w:val="center"/>
              <w:rPr>
                <w:sz w:val="20"/>
                <w:lang w:val="ru-RU"/>
              </w:rPr>
            </w:pPr>
            <w:r>
              <w:rPr>
                <w:sz w:val="20"/>
                <w:lang w:val="ru-RU"/>
              </w:rPr>
              <w:t>27,2</w:t>
            </w:r>
          </w:p>
        </w:tc>
      </w:tr>
      <w:tr w:rsidR="00D80435">
        <w:tblPrEx>
          <w:tblCellMar>
            <w:top w:w="0" w:type="dxa"/>
            <w:bottom w:w="0" w:type="dxa"/>
          </w:tblCellMar>
        </w:tblPrEx>
        <w:tc>
          <w:tcPr>
            <w:tcW w:w="900" w:type="dxa"/>
          </w:tcPr>
          <w:p w:rsidR="00D80435" w:rsidRDefault="00D80435">
            <w:pPr>
              <w:spacing w:before="80" w:after="80"/>
              <w:rPr>
                <w:sz w:val="20"/>
                <w:lang w:val="ru-RU"/>
              </w:rPr>
            </w:pPr>
          </w:p>
        </w:tc>
        <w:tc>
          <w:tcPr>
            <w:tcW w:w="2534" w:type="dxa"/>
          </w:tcPr>
          <w:p w:rsidR="00D80435" w:rsidRDefault="00D80435">
            <w:pPr>
              <w:spacing w:before="80" w:after="80"/>
              <w:rPr>
                <w:sz w:val="20"/>
                <w:lang w:val="ru-RU"/>
              </w:rPr>
            </w:pPr>
            <w:r>
              <w:rPr>
                <w:sz w:val="20"/>
                <w:lang w:val="ru-RU"/>
              </w:rPr>
              <w:t>Городское</w:t>
            </w:r>
          </w:p>
        </w:tc>
        <w:tc>
          <w:tcPr>
            <w:tcW w:w="1771" w:type="dxa"/>
          </w:tcPr>
          <w:p w:rsidR="00D80435" w:rsidRDefault="00D80435">
            <w:pPr>
              <w:spacing w:before="80" w:after="80"/>
              <w:jc w:val="center"/>
              <w:rPr>
                <w:sz w:val="20"/>
                <w:lang w:val="ru-RU"/>
              </w:rPr>
            </w:pPr>
            <w:r>
              <w:rPr>
                <w:sz w:val="20"/>
                <w:lang w:val="ru-RU"/>
              </w:rPr>
              <w:t>30,44</w:t>
            </w:r>
          </w:p>
        </w:tc>
        <w:tc>
          <w:tcPr>
            <w:tcW w:w="1771" w:type="dxa"/>
          </w:tcPr>
          <w:p w:rsidR="00D80435" w:rsidRDefault="00D80435">
            <w:pPr>
              <w:spacing w:before="80" w:after="80"/>
              <w:jc w:val="center"/>
              <w:rPr>
                <w:sz w:val="20"/>
                <w:lang w:val="ru-RU"/>
              </w:rPr>
            </w:pPr>
            <w:r>
              <w:rPr>
                <w:sz w:val="20"/>
                <w:lang w:val="ru-RU"/>
              </w:rPr>
              <w:t>48,95</w:t>
            </w:r>
          </w:p>
        </w:tc>
        <w:tc>
          <w:tcPr>
            <w:tcW w:w="1772" w:type="dxa"/>
          </w:tcPr>
          <w:p w:rsidR="00D80435" w:rsidRDefault="00D80435">
            <w:pPr>
              <w:spacing w:before="80" w:after="80"/>
              <w:jc w:val="center"/>
              <w:rPr>
                <w:sz w:val="20"/>
                <w:lang w:val="ru-RU"/>
              </w:rPr>
            </w:pPr>
            <w:r>
              <w:rPr>
                <w:sz w:val="20"/>
                <w:lang w:val="ru-RU"/>
              </w:rPr>
              <w:t>9,74</w:t>
            </w:r>
          </w:p>
        </w:tc>
      </w:tr>
      <w:tr w:rsidR="00D80435">
        <w:tblPrEx>
          <w:tblCellMar>
            <w:top w:w="0" w:type="dxa"/>
            <w:bottom w:w="0" w:type="dxa"/>
          </w:tblCellMar>
        </w:tblPrEx>
        <w:tc>
          <w:tcPr>
            <w:tcW w:w="900" w:type="dxa"/>
          </w:tcPr>
          <w:p w:rsidR="00D80435" w:rsidRDefault="00D80435">
            <w:pPr>
              <w:spacing w:before="80" w:after="80"/>
              <w:jc w:val="center"/>
              <w:rPr>
                <w:sz w:val="20"/>
                <w:lang w:val="ru-RU"/>
              </w:rPr>
            </w:pPr>
            <w:r>
              <w:rPr>
                <w:sz w:val="20"/>
                <w:lang w:val="ru-RU"/>
              </w:rPr>
              <w:t>2001</w:t>
            </w:r>
          </w:p>
        </w:tc>
        <w:tc>
          <w:tcPr>
            <w:tcW w:w="2534" w:type="dxa"/>
          </w:tcPr>
          <w:p w:rsidR="00D80435" w:rsidRDefault="00D80435">
            <w:pPr>
              <w:spacing w:before="80" w:after="80"/>
              <w:rPr>
                <w:sz w:val="20"/>
                <w:lang w:val="ru-RU"/>
              </w:rPr>
            </w:pPr>
            <w:r>
              <w:rPr>
                <w:sz w:val="20"/>
                <w:lang w:val="ru-RU"/>
              </w:rPr>
              <w:t>Все население</w:t>
            </w:r>
          </w:p>
        </w:tc>
        <w:tc>
          <w:tcPr>
            <w:tcW w:w="1771" w:type="dxa"/>
          </w:tcPr>
          <w:p w:rsidR="00D80435" w:rsidRDefault="00D80435">
            <w:pPr>
              <w:spacing w:before="80" w:after="80"/>
              <w:jc w:val="center"/>
              <w:rPr>
                <w:sz w:val="20"/>
              </w:rPr>
            </w:pPr>
            <w:r>
              <w:rPr>
                <w:sz w:val="20"/>
              </w:rPr>
              <w:t>39,26</w:t>
            </w:r>
          </w:p>
        </w:tc>
        <w:tc>
          <w:tcPr>
            <w:tcW w:w="1771" w:type="dxa"/>
          </w:tcPr>
          <w:p w:rsidR="00D80435" w:rsidRDefault="00D80435">
            <w:pPr>
              <w:spacing w:before="80" w:after="80"/>
              <w:jc w:val="center"/>
              <w:rPr>
                <w:sz w:val="20"/>
              </w:rPr>
            </w:pPr>
            <w:r>
              <w:rPr>
                <w:sz w:val="20"/>
              </w:rPr>
              <w:t>51,93</w:t>
            </w:r>
          </w:p>
        </w:tc>
        <w:tc>
          <w:tcPr>
            <w:tcW w:w="1772" w:type="dxa"/>
          </w:tcPr>
          <w:p w:rsidR="00D80435" w:rsidRDefault="00D80435">
            <w:pPr>
              <w:spacing w:before="80" w:after="80"/>
              <w:jc w:val="center"/>
              <w:rPr>
                <w:sz w:val="20"/>
              </w:rPr>
            </w:pPr>
            <w:r>
              <w:rPr>
                <w:sz w:val="20"/>
              </w:rPr>
              <w:t>25,68</w:t>
            </w:r>
          </w:p>
        </w:tc>
      </w:tr>
      <w:tr w:rsidR="00D80435">
        <w:tblPrEx>
          <w:tblCellMar>
            <w:top w:w="0" w:type="dxa"/>
            <w:bottom w:w="0" w:type="dxa"/>
          </w:tblCellMar>
        </w:tblPrEx>
        <w:tc>
          <w:tcPr>
            <w:tcW w:w="900" w:type="dxa"/>
          </w:tcPr>
          <w:p w:rsidR="00D80435" w:rsidRDefault="00D80435">
            <w:pPr>
              <w:spacing w:before="80" w:after="80"/>
              <w:rPr>
                <w:sz w:val="20"/>
              </w:rPr>
            </w:pPr>
          </w:p>
        </w:tc>
        <w:tc>
          <w:tcPr>
            <w:tcW w:w="2534" w:type="dxa"/>
          </w:tcPr>
          <w:p w:rsidR="00D80435" w:rsidRDefault="00D80435">
            <w:pPr>
              <w:spacing w:before="80" w:after="80"/>
              <w:rPr>
                <w:sz w:val="20"/>
                <w:lang w:val="en-GB"/>
              </w:rPr>
            </w:pPr>
            <w:r>
              <w:rPr>
                <w:sz w:val="20"/>
                <w:lang w:val="ru-RU"/>
              </w:rPr>
              <w:t>Сельское</w:t>
            </w:r>
            <w:r>
              <w:rPr>
                <w:sz w:val="20"/>
                <w:lang w:val="en-GB"/>
              </w:rPr>
              <w:t xml:space="preserve"> </w:t>
            </w:r>
          </w:p>
        </w:tc>
        <w:tc>
          <w:tcPr>
            <w:tcW w:w="1771" w:type="dxa"/>
          </w:tcPr>
          <w:p w:rsidR="00D80435" w:rsidRDefault="00D80435">
            <w:pPr>
              <w:spacing w:before="80" w:after="80"/>
              <w:jc w:val="center"/>
              <w:rPr>
                <w:sz w:val="20"/>
              </w:rPr>
            </w:pPr>
            <w:r>
              <w:rPr>
                <w:sz w:val="20"/>
              </w:rPr>
              <w:t>41,97</w:t>
            </w:r>
          </w:p>
        </w:tc>
        <w:tc>
          <w:tcPr>
            <w:tcW w:w="1771" w:type="dxa"/>
          </w:tcPr>
          <w:p w:rsidR="00D80435" w:rsidRDefault="00D80435">
            <w:pPr>
              <w:spacing w:before="80" w:after="80"/>
              <w:jc w:val="center"/>
              <w:rPr>
                <w:sz w:val="20"/>
              </w:rPr>
            </w:pPr>
            <w:r>
              <w:rPr>
                <w:sz w:val="20"/>
              </w:rPr>
              <w:t>52,36</w:t>
            </w:r>
          </w:p>
        </w:tc>
        <w:tc>
          <w:tcPr>
            <w:tcW w:w="1772" w:type="dxa"/>
          </w:tcPr>
          <w:p w:rsidR="00D80435" w:rsidRDefault="00D80435">
            <w:pPr>
              <w:spacing w:before="80" w:after="80"/>
              <w:jc w:val="center"/>
              <w:rPr>
                <w:sz w:val="20"/>
              </w:rPr>
            </w:pPr>
            <w:r>
              <w:rPr>
                <w:sz w:val="20"/>
              </w:rPr>
              <w:t>30,98</w:t>
            </w:r>
          </w:p>
        </w:tc>
      </w:tr>
      <w:tr w:rsidR="00D80435">
        <w:tblPrEx>
          <w:tblCellMar>
            <w:top w:w="0" w:type="dxa"/>
            <w:bottom w:w="0" w:type="dxa"/>
          </w:tblCellMar>
        </w:tblPrEx>
        <w:tc>
          <w:tcPr>
            <w:tcW w:w="900" w:type="dxa"/>
          </w:tcPr>
          <w:p w:rsidR="00D80435" w:rsidRDefault="00D80435">
            <w:pPr>
              <w:spacing w:before="80" w:after="80"/>
              <w:rPr>
                <w:sz w:val="20"/>
              </w:rPr>
            </w:pPr>
          </w:p>
        </w:tc>
        <w:tc>
          <w:tcPr>
            <w:tcW w:w="2534" w:type="dxa"/>
          </w:tcPr>
          <w:p w:rsidR="00D80435" w:rsidRDefault="00D80435">
            <w:pPr>
              <w:spacing w:before="80" w:after="80"/>
              <w:rPr>
                <w:sz w:val="20"/>
                <w:lang w:val="en-GB"/>
              </w:rPr>
            </w:pPr>
            <w:r>
              <w:rPr>
                <w:sz w:val="20"/>
                <w:lang w:val="ru-RU"/>
              </w:rPr>
              <w:t>Городское</w:t>
            </w:r>
            <w:r>
              <w:rPr>
                <w:sz w:val="20"/>
                <w:lang w:val="en-GB"/>
              </w:rPr>
              <w:t xml:space="preserve"> </w:t>
            </w:r>
          </w:p>
        </w:tc>
        <w:tc>
          <w:tcPr>
            <w:tcW w:w="1771" w:type="dxa"/>
          </w:tcPr>
          <w:p w:rsidR="00D80435" w:rsidRDefault="00D80435">
            <w:pPr>
              <w:spacing w:before="80" w:after="80"/>
              <w:jc w:val="center"/>
              <w:rPr>
                <w:sz w:val="20"/>
              </w:rPr>
            </w:pPr>
            <w:r>
              <w:rPr>
                <w:sz w:val="20"/>
              </w:rPr>
              <w:t>32,23</w:t>
            </w:r>
          </w:p>
        </w:tc>
        <w:tc>
          <w:tcPr>
            <w:tcW w:w="1771" w:type="dxa"/>
          </w:tcPr>
          <w:p w:rsidR="00D80435" w:rsidRDefault="00D80435">
            <w:pPr>
              <w:spacing w:before="80" w:after="80"/>
              <w:jc w:val="center"/>
              <w:rPr>
                <w:sz w:val="20"/>
              </w:rPr>
            </w:pPr>
            <w:r>
              <w:rPr>
                <w:sz w:val="20"/>
              </w:rPr>
              <w:t>50,85</w:t>
            </w:r>
          </w:p>
        </w:tc>
        <w:tc>
          <w:tcPr>
            <w:tcW w:w="1772" w:type="dxa"/>
          </w:tcPr>
          <w:p w:rsidR="00D80435" w:rsidRDefault="00D80435">
            <w:pPr>
              <w:spacing w:before="80" w:after="80"/>
              <w:jc w:val="center"/>
              <w:rPr>
                <w:sz w:val="20"/>
              </w:rPr>
            </w:pPr>
            <w:r>
              <w:rPr>
                <w:sz w:val="20"/>
              </w:rPr>
              <w:t>11,55</w:t>
            </w:r>
          </w:p>
        </w:tc>
      </w:tr>
    </w:tbl>
    <w:p w:rsidR="00D80435" w:rsidRDefault="00D80435">
      <w:pPr>
        <w:spacing w:before="120" w:after="120"/>
        <w:rPr>
          <w:sz w:val="20"/>
          <w:lang w:val="en-GB"/>
        </w:rPr>
      </w:pPr>
      <w:r>
        <w:rPr>
          <w:i/>
          <w:sz w:val="20"/>
          <w:lang w:val="ru-RU"/>
        </w:rPr>
        <w:t>Источник</w:t>
      </w:r>
      <w:r>
        <w:rPr>
          <w:sz w:val="20"/>
          <w:lang w:val="en-GB"/>
        </w:rPr>
        <w:t xml:space="preserve">: </w:t>
      </w:r>
      <w:r>
        <w:rPr>
          <w:sz w:val="20"/>
        </w:rPr>
        <w:t>Annual Report of Ministry of Labour 2003-04.</w:t>
      </w:r>
    </w:p>
    <w:p w:rsidR="00D80435" w:rsidRDefault="00D80435">
      <w:pPr>
        <w:rPr>
          <w:lang w:val="en-GB"/>
        </w:rPr>
      </w:pPr>
    </w:p>
    <w:p w:rsidR="00D80435" w:rsidRDefault="00D80435">
      <w:pPr>
        <w:rPr>
          <w:lang w:val="ru-RU"/>
        </w:rPr>
      </w:pPr>
      <w:r>
        <w:rPr>
          <w:lang w:val="ru-RU"/>
        </w:rPr>
        <w:t>237.</w:t>
      </w:r>
      <w:r>
        <w:rPr>
          <w:lang w:val="ru-RU"/>
        </w:rPr>
        <w:tab/>
        <w:t>Несмотря на то что доля женщин в организованном и государственном секторах в период 1991–1999 годов возросла, в 1999 году на них приходилось только 17,2 процента и 14,5 процента, соответственно. Хотя в течение десятилетия 1991–2001 годов наблюдалось и уменьшение и увеличение доли занятых на основных и вспомогательных работах женщин и мужчин, расхождения показателей у мужчин выражены ярче, нежели у женщин.</w:t>
      </w:r>
    </w:p>
    <w:p w:rsidR="00D80435" w:rsidRDefault="00D80435">
      <w:pPr>
        <w:rPr>
          <w:lang w:val="ru-RU"/>
        </w:rPr>
      </w:pPr>
      <w:r>
        <w:rPr>
          <w:lang w:val="ru-RU"/>
        </w:rPr>
        <w:t xml:space="preserve">238. </w:t>
      </w:r>
      <w:r>
        <w:rPr>
          <w:lang w:val="ru-RU"/>
        </w:rPr>
        <w:tab/>
        <w:t>Вклад, который вносят работающие женщины в экономику, по-прежнему остается незамеченным и не получает должного признания, несмотря на изменения, внесенные правительством в определение понятия "трудовая деятельность". Пилотное обследование использования рабочего времени, проведенное в 1998–1999 годах Центральным статистическим управлением, показало, что 51 процент работы, которую делают женщины, не рассматривается в качестве трудовой деятельности. 93 процента работающих женщин заняты в неформальных секторах (включая сельское хозяйство), и большинство из них имеют низкооплачиваемую работу. Разрыв в оплате мужского и женского труда сохраняется и более заметен в городских, нежели в сельских районах Индии. В штатах Мизорам, Нагаленд, Андхра-Прадеш, Сикким и Дадар, а также Нагар-Хавели больше женщин заняты на основных работах. В штатах Ассам, Бихар, Харьяна, Джамму и Кашмир, Джаркханд, Орисса и Западная Бенгалия выше доля женщин, занятых на вспомогательных работах, нежели на основных. Ввиду ускорения темпов роста рабочей силы и замедления темпов роста занятости, безработица увеличилась с 2 процентов в 1983 году до 2,3 процента в 2000 году. В сельской местности уровень безработицы повысился как среди мужчин, так и женщин. Самый высокий уровень безработицы, приближающийся к 8 процентам, наблюдается в штате Керала.</w:t>
      </w:r>
    </w:p>
    <w:p w:rsidR="00D80435" w:rsidRDefault="00D80435">
      <w:pPr>
        <w:rPr>
          <w:lang w:val="ru-RU"/>
        </w:rPr>
      </w:pPr>
      <w:r>
        <w:rPr>
          <w:lang w:val="ru-RU"/>
        </w:rPr>
        <w:t>239.</w:t>
      </w:r>
      <w:r>
        <w:rPr>
          <w:lang w:val="ru-RU"/>
        </w:rPr>
        <w:tab/>
        <w:t xml:space="preserve">Проблема детского труда остается сферой, вызывающей особую обеспокоенность правительства. Свыше 90 процентов работающих детей сконцентрированы в сельских районах и преимущественно заняты в сельском хозяйстве и связанном с ним видах деятельности, например, земледелии, животноводстве, лесном хозяйстве и рыболовстве. Согласно данным переписи населения 1971 года, численность работающих детей оценивалась в 10,7 млн.; по данным переписи 1981 года этот показатель увеличился до 13,6 млн., но снизился до 11,28 млн. по данным переписи 1991 года. </w:t>
      </w:r>
    </w:p>
    <w:p w:rsidR="00D80435" w:rsidRDefault="00D80435">
      <w:pPr>
        <w:spacing w:after="360"/>
        <w:rPr>
          <w:lang w:val="ru-RU"/>
        </w:rPr>
      </w:pPr>
      <w:r>
        <w:rPr>
          <w:lang w:val="ru-RU"/>
        </w:rPr>
        <w:t>240.</w:t>
      </w:r>
      <w:r>
        <w:rPr>
          <w:lang w:val="ru-RU"/>
        </w:rPr>
        <w:tab/>
        <w:t>В экономике Индии произошли существенные изменения. Начиная с 1991 года Индия проводит политику либерализации торговли. Хотя эти меры расширили доступ к рынкам и улучшили показатели занятости в ряде ориентированных на экспорт секторов и отраслей, автоматизация и развитие технологий оказали противоречивое воздействие на неквалифицированную рабочую силу. Женщины составляют большинство среди неквалифицированных работников и в основном заняты в неформальной экономике в качестве временных работников, лиц, работающих по сдельным расценкам, и т. д. В этом контексте были разработаны методы гендерного анализа, позволяющие выявить и изучить ключевые механизмы воздействия глобализации, политики ВТО и связанных с ней соглашений на женщин с точки зрения занятости, уровня заработной платы и сокращения нищеты.</w:t>
      </w:r>
    </w:p>
    <w:p w:rsidR="00D80435" w:rsidRDefault="00D80435">
      <w:pPr>
        <w:rPr>
          <w:b/>
          <w:lang w:val="ru-RU"/>
        </w:rPr>
      </w:pPr>
      <w:r>
        <w:rPr>
          <w:b/>
          <w:lang w:val="ru-RU"/>
        </w:rPr>
        <w:t>Задачи на перспективу</w:t>
      </w:r>
    </w:p>
    <w:p w:rsidR="00D80435" w:rsidRDefault="00D80435">
      <w:pPr>
        <w:rPr>
          <w:lang w:val="ru-RU"/>
        </w:rPr>
      </w:pPr>
      <w:r>
        <w:rPr>
          <w:lang w:val="ru-RU"/>
        </w:rPr>
        <w:t>241.</w:t>
      </w:r>
      <w:r>
        <w:rPr>
          <w:lang w:val="ru-RU"/>
        </w:rPr>
        <w:tab/>
        <w:t>Несмотря на принятие различных законов, политических стратегий и программ, призванных стимулировать участие женщин в трудовой деятельности, положение женщин на рынке труда характеризуется значительными диспропорциями. Учитывая неблагоприятные факторы разного рода, с которыми приходится сталкиваться женщинам, основная задача заключается в достижении гендерного баланса среди представителей каст и классов, ликвидации гендерной асимметрии между городскими и сельскими районами, а также между различными регионами, особенно в отстающих штатах и округах. Использование детского труда и подневольного труда вызывает растущую озабоченность правительства. Решение этой проблемы лежит в эффективном осуществлении законов, действенной реализации политических решений, программ и планов. Необходимо принять законодательство и обеспечить применение законов, особенно в сельскохозяйственном, неформальном, неорганизованном и частном секторах, и подкрепить их введением мер по социальному обеспечению. Задача также заключается в том, чтобы осуществлять регулирование деятельности транснациональных кампаний и других предприятий, а также укрепить механизмы реализации всех программ, что позволит обеспечить эффективность оказываемой женщинам помощи.</w:t>
      </w:r>
    </w:p>
    <w:p w:rsidR="00D80435" w:rsidRDefault="00D80435">
      <w:pPr>
        <w:rPr>
          <w:lang w:val="ru-RU"/>
        </w:rPr>
      </w:pPr>
      <w:r>
        <w:rPr>
          <w:lang w:val="ru-RU"/>
        </w:rPr>
        <w:t>242.</w:t>
      </w:r>
      <w:r>
        <w:rPr>
          <w:lang w:val="ru-RU"/>
        </w:rPr>
        <w:tab/>
        <w:t>С учетом современных темпов развития технологий и рынков, все большее значение приобретает расширение возможностей женщин в плане получения профессиональной подготовки и повышения квалификации в новых и зарождающихся секторах экономики. Должны быть разработаны надлежащие механизмы защиты беднейших слоев населения, особенно женщин и детей. В настоящее время среди мероприятий, призванных оказать женщинам помощь в преодолении вызовов, связанных с глобализацией, приоритетный статус получила деятельность по наращиванию потенциала и профессиональной подготовке женщин в области промышленности – предпринимателей, рабочих и работников сферы услуг.</w:t>
      </w:r>
    </w:p>
    <w:p w:rsidR="00D80435" w:rsidRDefault="00D80435">
      <w:pPr>
        <w:rPr>
          <w:lang w:val="ru-RU"/>
        </w:rPr>
      </w:pPr>
      <w:r>
        <w:rPr>
          <w:lang w:val="ru-RU"/>
        </w:rPr>
        <w:t>243.</w:t>
      </w:r>
      <w:r>
        <w:rPr>
          <w:lang w:val="ru-RU"/>
        </w:rPr>
        <w:tab/>
        <w:t>Сектор текстильной и швейной промышленности традиционно является одной из сильных экспортных позиций Индии. Женщины составляют значительную долю работников этой отрасли, хотя им приходится сталкиваться с плохими условиями труда, низкой оплатой и отсутствием гарантий занятости. Поэтапная ликвидация Соглашения о международной торговле текстилем (СМТТ) (в рамках которого посредством системы квот обеспечивались рабочие места) приведет к увольнению рабочих, в первую очередь женщин, которые и без того являются наиболее уязвимой группой в этом секторе. Либерализация сектора услуг (особенно по четвертому способу поставки услуг) в соответствии с Генеральным соглашением по торговле услугами (ГАТС) имеет колоссальное значение для такой страны, как Индия. В настоящее время упор делается только на либерализацию профессиональных услуг, а не на категорию работников низкой квалификации. Учитывая сильные позиции Индии в таких секторах, как здравоохранение и туризм, либерализация перемещения физических лиц для оказания услуг такого рода может быть выгодной для индийских специалистов. Аутсорсинг бизнес-процессов (АБП) и услуги в сфере программного обеспечения представляют собой крупные статьи национального экспорта, и женщинам необходимо повышать профессиональную квалификацию в области информационных технологий, чтобы иметь возможность занимать более высокие должности в этой отрасли.</w:t>
      </w:r>
    </w:p>
    <w:p w:rsidR="00D80435" w:rsidRDefault="00D80435">
      <w:pPr>
        <w:rPr>
          <w:lang w:val="ru-RU"/>
        </w:rPr>
      </w:pPr>
      <w:r>
        <w:rPr>
          <w:lang w:val="ru-RU"/>
        </w:rPr>
        <w:t>244.</w:t>
      </w:r>
      <w:r>
        <w:rPr>
          <w:lang w:val="ru-RU"/>
        </w:rPr>
        <w:tab/>
        <w:t xml:space="preserve">В целях расширения экономических прав и возможностей женщин 10-й План предусматривает предоставление услуг по профессиональной подготовке женщин, обеспечение занятости и меры по развитию приносящей доход деятельности, что даст возможность все женщинам, независимо от их социального положения, достичь экономической независимости и обрести уверенность в своих силах. Намеченные в рамках 10-го Плана стратегии достижения этой цели предусматривают следующие меры: 1) организацию женщин в группы самопомощи в рамках различных программ сокращения нищеты, что даст возможность предложить им ряд экономических проектов и мер поддержки для наращивания их потенциала и расширения возможностей получения дохода; 2) уделение особого внимания женщинам, занятым в неформальном секторе, с точки зрения улучшения условий их труда; 3) расширение возможностей женщин в плане профессиональной подготовки в целях вооружения их новыми знаниями и навыками в области сельского хозяйства, вовлечение их в общественные мероприятия, а также оформление для супругов совместных документов на право собственности в рамках программ участия населения в лесоводстве и совместного управления лесным хозяйством; 4) обеспечение выполнения работодателями своих юридических обязательств в отношении женщин-работниц; </w:t>
      </w:r>
      <w:r>
        <w:rPr>
          <w:lang w:val="ru-RU"/>
        </w:rPr>
        <w:br/>
        <w:t>5) предоставление услуг по профессиональной переподготовке и повышению квалификации женщин, уволенных в результате внедрения новых технологий, с тем чтобы они могли найти новую работу, а также формирование соответствующей политики и разработка программ по развитию самозанятости и оплачиваемой занятости; 6) выступление с инициативой позитивных действий, с тем чтобы обеспечить резервирование для женщин по меньшей мере 30 процентов рабочих мест в сфере услуг и в государственном секторе; и 7) расширение доступа женщин к кредитам.</w:t>
      </w:r>
    </w:p>
    <w:p w:rsidR="00D80435" w:rsidRDefault="00D80435">
      <w:pPr>
        <w:rPr>
          <w:b/>
          <w:lang w:val="ru-RU"/>
        </w:rPr>
      </w:pPr>
    </w:p>
    <w:p w:rsidR="00D80435" w:rsidRDefault="00D80435">
      <w:pPr>
        <w:pStyle w:val="Heading4"/>
      </w:pPr>
      <w:r>
        <w:t>Статья 12.  Равный доступ к медицинскому обслуживанию</w:t>
      </w:r>
    </w:p>
    <w:p w:rsidR="00D80435" w:rsidRDefault="00D80435">
      <w:pPr>
        <w:rPr>
          <w:b/>
          <w:lang w:val="ru-RU"/>
        </w:rPr>
      </w:pPr>
      <w:r>
        <w:rPr>
          <w:b/>
          <w:lang w:val="ru-RU"/>
        </w:rPr>
        <w:t xml:space="preserve">Справочная информация </w:t>
      </w:r>
    </w:p>
    <w:p w:rsidR="00D80435" w:rsidRDefault="00D80435">
      <w:pPr>
        <w:rPr>
          <w:lang w:val="ru-RU"/>
        </w:rPr>
      </w:pPr>
      <w:r>
        <w:rPr>
          <w:lang w:val="ru-RU"/>
        </w:rPr>
        <w:t>245.</w:t>
      </w:r>
      <w:r>
        <w:rPr>
          <w:lang w:val="ru-RU"/>
        </w:rPr>
        <w:tab/>
        <w:t xml:space="preserve">Индия принимает все меры к тому, чтобы достичь целей, сформулированных в программе "Здоровье для всех к 2000 году". Для реализации поставленной задачи в сельских и городских районах была создана обширная сеть медицинских учреждений. На сегодняшний день в стране имеется 37 271 медицинских пунктов, 22 935 центров первичной медицинской помощи и 2935 общинных медицинских центров в сельских районах. Целый ряд стратегий, программ и планов был разработан и реализован в этой области. </w:t>
      </w:r>
    </w:p>
    <w:p w:rsidR="00D80435" w:rsidRDefault="00D80435">
      <w:pPr>
        <w:rPr>
          <w:b/>
          <w:lang w:val="ru-RU"/>
        </w:rPr>
      </w:pPr>
      <w:r>
        <w:rPr>
          <w:b/>
          <w:lang w:val="ru-RU"/>
        </w:rPr>
        <w:t>Государственные инициативы</w:t>
      </w:r>
    </w:p>
    <w:p w:rsidR="00D80435" w:rsidRDefault="00D80435">
      <w:pPr>
        <w:rPr>
          <w:lang w:val="ru-RU"/>
        </w:rPr>
      </w:pPr>
      <w:r>
        <w:rPr>
          <w:lang w:val="ru-RU"/>
        </w:rPr>
        <w:t>246.</w:t>
      </w:r>
      <w:r>
        <w:rPr>
          <w:b/>
          <w:lang w:val="ru-RU"/>
        </w:rPr>
        <w:tab/>
        <w:t>Национальная политика в области здравоохранения, 2002 год:</w:t>
      </w:r>
      <w:r>
        <w:rPr>
          <w:lang w:val="ru-RU"/>
        </w:rPr>
        <w:t xml:space="preserve"> ставит основной целью меры по увеличению финансирования и выработку на основе многочисленных национальных инициатив базовой программной основы и стратегии в области здравоохранения для обеспечения равного доступа к медицинскому обслуживанию, особенно для беднейших слоев общества. В ней подчеркивается важность принятия предусматривающих конкретные сроки программ по созданию всеобъемлющей сети служб первичной медицинской помощи, санитарному просвещению и повышению информированности населения в вопросах здоровья, вовлечению в работу добровольцев, создания системы консультационных центров, а также стимулирования частных инициатив в сфере предоставления медицинских услуг.</w:t>
      </w:r>
    </w:p>
    <w:p w:rsidR="00D80435" w:rsidRDefault="00D80435">
      <w:pPr>
        <w:rPr>
          <w:lang w:val="ru-RU"/>
        </w:rPr>
      </w:pPr>
      <w:r>
        <w:rPr>
          <w:lang w:val="ru-RU"/>
        </w:rPr>
        <w:t>247.</w:t>
      </w:r>
      <w:r>
        <w:rPr>
          <w:b/>
          <w:lang w:val="ru-RU"/>
        </w:rPr>
        <w:tab/>
        <w:t xml:space="preserve">Программа охраны репродуктивного здоровья и здоровья детей (ПОРЗД): </w:t>
      </w:r>
      <w:r>
        <w:rPr>
          <w:lang w:val="ru-RU"/>
        </w:rPr>
        <w:t xml:space="preserve">(первый этап 1997–2003 годы, второй этап – с 2003 года) нацелена на снижение материнской и младенческой смертности, повышение уровня осведомленности в отношении прав населения в сфере здравоохранения и улучшения деятельности учреждений, оказывающих медицинские услуги. Меры по снижению материнской смертности и заболеваемости включают пропаганду безопасных родов в клиниках и на дому. В рамках ПОРЗД ведется обучение акушеров технике безопасного родовспоможения. Наряду с этим были активизированы усилия по решению проблем, связанных со здоровьем женщин, в том числе с ВИЧ/СПИДом, туберкулезом, малярией, проказой и другими инфекционными заболеваниями. Кроме того, в рамках ПОРЗД уделяется внимание вопросам, связанным со здоровьем мужчин. </w:t>
      </w:r>
    </w:p>
    <w:p w:rsidR="00D80435" w:rsidRDefault="00D80435">
      <w:pPr>
        <w:rPr>
          <w:lang w:val="ru-RU"/>
        </w:rPr>
      </w:pPr>
      <w:r>
        <w:rPr>
          <w:lang w:val="ru-RU"/>
        </w:rPr>
        <w:t>248.</w:t>
      </w:r>
      <w:r>
        <w:rPr>
          <w:lang w:val="ru-RU"/>
        </w:rPr>
        <w:tab/>
      </w:r>
      <w:r>
        <w:rPr>
          <w:b/>
          <w:lang w:val="ru-RU"/>
        </w:rPr>
        <w:t xml:space="preserve">Национальная программа медицинского обслуживания сельского населения (НПМОС): </w:t>
      </w:r>
      <w:r>
        <w:rPr>
          <w:lang w:val="ru-RU"/>
        </w:rPr>
        <w:t>НПМОС (2005–2012 годы) направлена на предоставление эффективной медицинской помощи сельскому населению в масштабах всей страны с уделением особого внимания 18 штатам, которые имеют низкие показатели здоровья населения и/или неразвитую инфраструктуру. Она нацелена на реформирование организационной структуры системы здравоохранения в целях эффективного освоения средств, объем которых, согласно осуществляемой на национальном уровне Общей программе-минимум, должен существенно увеличиться, а также на поддержку мер, направленных на совершенствование системы государственного управления здравоохранением и предоставления медицинских услуг в стране. Программа ставит задачу возрождения традиций народной медицины и привнесения методов аюрведы "</w:t>
      </w:r>
      <w:r>
        <w:t>AYUSH</w:t>
      </w:r>
      <w:r>
        <w:rPr>
          <w:lang w:val="ru-RU"/>
        </w:rPr>
        <w:t>" в систему государственного здравоохранения. Она предусматривает комплексный подход к проблемам здоровья на базе эффективного использования планов по развитию здравоохранения, разработанных в округах и включающих такие необходимые компоненты, как санитария и гигиена, питание и безопасная питьевая вода. Цель программы состоит в улучшении доступа сельского населения, особенно бедных женщин и детей, к системе эффективной и недорогой первичной медицинской помощи, построенной на принципах справедливости и подотчетной обществу.</w:t>
      </w:r>
    </w:p>
    <w:p w:rsidR="00D80435" w:rsidRDefault="00D80435">
      <w:pPr>
        <w:rPr>
          <w:lang w:val="ru-RU"/>
        </w:rPr>
      </w:pPr>
      <w:r>
        <w:rPr>
          <w:lang w:val="ru-RU"/>
        </w:rPr>
        <w:t>249.</w:t>
      </w:r>
      <w:r>
        <w:rPr>
          <w:b/>
          <w:lang w:val="ru-RU"/>
        </w:rPr>
        <w:tab/>
        <w:t xml:space="preserve">Комплексный план оказания услуг в сфере детского развития (КПДР): </w:t>
      </w:r>
      <w:r>
        <w:rPr>
          <w:lang w:val="ru-RU"/>
        </w:rPr>
        <w:t xml:space="preserve">основная общенациональная программа, в рамках которой реализуется масштабный комплекс мер по развитию и поддержке детей младше 6 лет, а также беременных женщин и кормящих матерей. По состоянию на март 2004 года в стране в стадии реализации находилось 5267 проектов. Программа располагает развитым механизмом предоставления медицинских услуг, включающим 636 105 работников детских центров (анганвади), 22 103 контролеров и 5238 лицензированных медицинских работников. Каждый месяц в течение 21 дня в таких детских центрах предоставляется дополнительное питание, которое получают </w:t>
      </w:r>
      <w:r>
        <w:rPr>
          <w:color w:val="0000FF"/>
          <w:lang w:val="ru-RU"/>
        </w:rPr>
        <w:t>16 798 824</w:t>
      </w:r>
      <w:r>
        <w:rPr>
          <w:lang w:val="ru-RU"/>
        </w:rPr>
        <w:t xml:space="preserve"> детей до 3 лет, </w:t>
      </w:r>
      <w:r>
        <w:rPr>
          <w:color w:val="0000FF"/>
          <w:lang w:val="ru-RU"/>
        </w:rPr>
        <w:t>17 352 353</w:t>
      </w:r>
      <w:r>
        <w:rPr>
          <w:lang w:val="ru-RU"/>
        </w:rPr>
        <w:t xml:space="preserve"> детей от 3 до 6 лет и </w:t>
      </w:r>
      <w:r>
        <w:rPr>
          <w:color w:val="0000FF"/>
          <w:lang w:val="ru-RU"/>
        </w:rPr>
        <w:t>7 357 501</w:t>
      </w:r>
      <w:r>
        <w:rPr>
          <w:lang w:val="ru-RU"/>
        </w:rPr>
        <w:t xml:space="preserve"> беременных женщин и кормящих матерей. Анганвади также предоставили услуги по неформальному дошкольному образованию </w:t>
      </w:r>
      <w:r>
        <w:rPr>
          <w:color w:val="0000FF"/>
          <w:lang w:val="ru-RU"/>
        </w:rPr>
        <w:t>10 461 430</w:t>
      </w:r>
      <w:r>
        <w:rPr>
          <w:lang w:val="ru-RU"/>
        </w:rPr>
        <w:t xml:space="preserve"> мальчикам и </w:t>
      </w:r>
      <w:r>
        <w:rPr>
          <w:color w:val="0000FF"/>
          <w:lang w:val="ru-RU"/>
        </w:rPr>
        <w:t>9 976 572</w:t>
      </w:r>
      <w:r>
        <w:rPr>
          <w:lang w:val="ru-RU"/>
        </w:rPr>
        <w:t xml:space="preserve"> девочкам в возрасте от 3 до 6 лет, то есть средняя посещаемость одного центра составила 17 мальчиков и 16 девочек. </w:t>
      </w:r>
    </w:p>
    <w:p w:rsidR="00D80435" w:rsidRDefault="00D80435">
      <w:pPr>
        <w:rPr>
          <w:lang w:val="ru-RU"/>
        </w:rPr>
      </w:pPr>
      <w:r>
        <w:rPr>
          <w:lang w:val="ru-RU"/>
        </w:rPr>
        <w:t>250.</w:t>
      </w:r>
      <w:r>
        <w:rPr>
          <w:b/>
          <w:lang w:val="ru-RU"/>
        </w:rPr>
        <w:tab/>
        <w:t>Программа благосостояния семьи:</w:t>
      </w:r>
      <w:r>
        <w:rPr>
          <w:lang w:val="ru-RU"/>
        </w:rPr>
        <w:t xml:space="preserve"> включает принятую в 1997 году Концепцию оценки запросов общин (КОЗО), предусматривающую использование механизмов децентрализованного интерактивного планирования. Департамент по вопросам благосостояния семьи в период действия 9-го и 10-го планов выступил с рядом новых инициатив, призванных перенести акцент с индивидуализированных вертикально ориентированных программ в сторону комплексного подхода, учитывающего весь жизненный цикл женщин, и придающего приоритетное значение репродуктивному здоровью. Данная программа в качестве составной части ПОРЗД ставит целью снижение к 2010 году показателя младенческой смертности до 30 случаев на 1000 живорождений и материнской смертности – до 100 на 100 тыс. живорождений. К числу основных задач, предусмотренных 10-м Пятилетним планом, относятся обеспечение 100-процентной регистрации беременных женщин, базовые акушерские услуги (около 67 процентов женщин прошли по крайней мере одно дородовое обследование), 24-часовые услуги по родовспоможению в центрах первичной медицинской помощи и общинных медицинских центрах, обследование на анемию, пропаганда безопасных родов с помощью квалифицированного персонала и т. д. Кроме того, предпринимаются усилия по созданию центров мужского репродуктивного здоровья, с тем чтобы заставить мужчин принять концепцию планирования размеров семьи. В январе 1998 года стартовал проект "Вазэктомия без хирургического вмешательства", призванный стимулировать участие мужчин в программах охраны здоровья семьи; благодаря этому проекту доля мужчин, подвергшихся стерилизации, постепенно увеличилась с 1,8 процента в 1997 году до 2,46 процента в 2002 году. Проект осуществляется в 20 штатах. </w:t>
      </w:r>
    </w:p>
    <w:p w:rsidR="00D80435" w:rsidRDefault="00D80435">
      <w:pPr>
        <w:rPr>
          <w:lang w:val="ru-RU"/>
        </w:rPr>
      </w:pPr>
      <w:r>
        <w:rPr>
          <w:lang w:val="ru-RU"/>
        </w:rPr>
        <w:t>251.</w:t>
      </w:r>
      <w:r>
        <w:rPr>
          <w:lang w:val="ru-RU"/>
        </w:rPr>
        <w:tab/>
      </w:r>
      <w:r>
        <w:rPr>
          <w:b/>
          <w:lang w:val="ru-RU"/>
        </w:rPr>
        <w:t>Национальная политика в области народонаселения, 2000 год:</w:t>
      </w:r>
      <w:r>
        <w:rPr>
          <w:lang w:val="ru-RU"/>
        </w:rPr>
        <w:t xml:space="preserve"> проводится с учетом взаимосвязи, существующей между социально-экономическим развитием и здоровьем. Она служит подтверждением приверженности государства принципам свободного и информированного выбора, добровольного согласия на пользование услугами в сфере репродуктивного здоровья, а также свидетельствует о продолжении курса, предусматривающего нецелевой подход к предоставлению услуг по планированию размера семьи. Основное внимание в рамках Национальной политики в области народонаселения и ПОРЗД планируется уделить девочкам-подросткам. </w:t>
      </w:r>
    </w:p>
    <w:p w:rsidR="00D80435" w:rsidRDefault="00D80435">
      <w:pPr>
        <w:rPr>
          <w:lang w:val="ru-RU"/>
        </w:rPr>
      </w:pPr>
      <w:r>
        <w:rPr>
          <w:lang w:val="ru-RU"/>
        </w:rPr>
        <w:t>252.</w:t>
      </w:r>
      <w:r>
        <w:rPr>
          <w:b/>
          <w:lang w:val="ru-RU"/>
        </w:rPr>
        <w:tab/>
        <w:t xml:space="preserve">Закон о методах дородовой диагностики (регулирование и предотвращение злоупотреблений) 1994 года </w:t>
      </w:r>
      <w:r>
        <w:rPr>
          <w:lang w:val="ru-RU"/>
        </w:rPr>
        <w:t>с поправками от 2003 года ставит целью предотвращение неправомерного использования новых технологий, распространяет свою юрисдикцию на методы выбора пола ребенка до зачатия и использование передвижного оборудования УЗИ, а также ужесточает наказание за их применение. Центральный наблюдательный совет под председательством министра здравоохранения и благополучия семьи уполномочен осуществлять контроль над исполнением этого закона. На уровне штатов наблюдение за исполнением закона поручено аналогичным советам. Около 2000 советов окружного уровня было создано во всех штатах/союзных территориях, и отдельные органы были учреждены в медицинских службах вооруженных сил. Кроме того, механизм выдачи/отзыва регистрации медицинских центров служит еще одним средством контроля над соблюдением установленных стандартов. В 2001 году Индийская медицинская ассоциация в сотрудничестве с ЮНИСЕФ и Национальной комиссией по делам женщин провела встречу с религиозными лидерами, в ходе которой резкому осуждению подверглась практика выбора пола. Была подчеркнута необходимость в сотрудничестве религиозных и духовных лидеров для повышения уровня осведомленности населения в отношении прав девочек и последствий умерщвления жизнеспособного плода женского пола. В настоящее время во взаимодействии с рядом заинтересованных сторон реализуется сформулированная в 2002 году стратегия по осуществлению контроля за практикой выбора пола ребенка и умерщвления жизнеспособного плода женского пола и мер по ее предотвращению. Верховный суд по результатам рассмотрения дела "Центр исследований по проблемам здоровья и связанной с ним проблематики (</w:t>
      </w:r>
      <w:r>
        <w:t>CEHAT</w:t>
      </w:r>
      <w:r>
        <w:rPr>
          <w:lang w:val="ru-RU"/>
        </w:rPr>
        <w:t>) против Индийского союза" (</w:t>
      </w:r>
      <w:r>
        <w:t>R</w:t>
      </w:r>
      <w:r>
        <w:rPr>
          <w:lang w:val="ru-RU"/>
        </w:rPr>
        <w:t> (2001) 5 </w:t>
      </w:r>
      <w:r>
        <w:t>sec</w:t>
      </w:r>
      <w:r>
        <w:rPr>
          <w:lang w:val="ru-RU"/>
        </w:rPr>
        <w:t xml:space="preserve"> 577) издал директивные указания, предписывающие центральному правительству, штатам и союзным территориям осуществлять контроль над исполнением и эффективной реализацией положений данного закона. </w:t>
      </w:r>
    </w:p>
    <w:p w:rsidR="00D80435" w:rsidRDefault="00D80435">
      <w:pPr>
        <w:rPr>
          <w:lang w:val="ru-RU"/>
        </w:rPr>
      </w:pPr>
      <w:r>
        <w:rPr>
          <w:lang w:val="ru-RU"/>
        </w:rPr>
        <w:t>253.</w:t>
      </w:r>
      <w:r>
        <w:rPr>
          <w:lang w:val="ru-RU"/>
        </w:rPr>
        <w:tab/>
        <w:t>Основной целью программы Джанани Суракша Йоджана является снижение материнской/детской смертности путем предоставления качественных услуг в области акушерства/гинекологии и скорой акушерской помощи, а также обеспечения условий для приема родов в клинических условиях у женщин, живущих ниже черты бедности. Данная программа делает акцент на наблюдении за женщинами с самой ранней стадии беременности, выявлении связанных с беременностью осложнений, расширении возможностей родовспоможения в медицинских учреждениях, увязывании пренатальных обследований с наблюдением за психическим здоровьем, а также обеспечивает направление женщин к соответствующим специалистам и предоставляет транспортные услуги. Квалифицированные и официально зарегистрированные социальные работники сферы здравоохранения (ОЗСР) и/или квалифицированные повитухи играют роль эффективного передаточного механизма между территориальными структурами государственных органов и получателями пособий, содействуя укреплению психического здоровья, пропаганде практики родов в клинических условиях и идеи небольшой семьи. Данная программа доступна для всех женщин из семей, живущих ниже уровня бедности, в возрасте от 19 лет и старше. Пособие выплачивается на двух родившихся живыми детей. Матери предоставляется материальная помощь по факту рождения ребенка в медицинском учреждении (роды в клинических условиях) по дифференцированной шкале.</w:t>
      </w:r>
    </w:p>
    <w:p w:rsidR="00D80435" w:rsidRDefault="00D80435">
      <w:pPr>
        <w:rPr>
          <w:lang w:val="ru-RU"/>
        </w:rPr>
      </w:pPr>
      <w:r>
        <w:rPr>
          <w:lang w:val="ru-RU"/>
        </w:rPr>
        <w:t>254.</w:t>
      </w:r>
      <w:r>
        <w:rPr>
          <w:lang w:val="ru-RU"/>
        </w:rPr>
        <w:tab/>
        <w:t>Целый ряд скоординированных действий был предпринят в штатах, где существенно нарушено равновесие в соотношении пола детей. Правительство Индии в сотрудничестве с правительствами штатов, Фондом населения Индии, организацией "План Индия" и другими организациями-донорами начало кампанию против выбора пола ребенка и умерщвления жизнеспособного плода женского пола в одиннадцати штатах, в том числе в штатах Пенждаб, Харьяна, Дели, Махараштра, Гуджарат, Химачал-Прадеш, Уттар-Прадеш, Уттаранчал, Андхра-Прадеш, Мадхья-Прадеш и Чхаттисгарх. Наряду с другими жесткими мерами предусматривается использование подставных лиц в качестве клиентов, повышение информированности населения с помощью широкой кампании в СМИ, повышение уровня осознания проблемы медицинским сообществом и соответствующими органами власти, осуществление компании "Спасите девочек", а также назначение администратора средних школ г</w:t>
      </w:r>
      <w:r>
        <w:rPr>
          <w:lang w:val="ru-RU"/>
        </w:rPr>
        <w:noBreakHyphen/>
        <w:t>жи Аруны Кесаван послом доброй воли в рамках этой кампании на 2004 год и т. д.</w:t>
      </w:r>
    </w:p>
    <w:p w:rsidR="00D80435" w:rsidRDefault="00D80435">
      <w:pPr>
        <w:rPr>
          <w:lang w:val="ru-RU"/>
        </w:rPr>
      </w:pPr>
      <w:r>
        <w:rPr>
          <w:lang w:val="ru-RU"/>
        </w:rPr>
        <w:t>255.</w:t>
      </w:r>
      <w:r>
        <w:rPr>
          <w:lang w:val="ru-RU"/>
        </w:rPr>
        <w:tab/>
      </w:r>
      <w:r>
        <w:rPr>
          <w:b/>
          <w:lang w:val="ru-RU"/>
        </w:rPr>
        <w:t xml:space="preserve">Национальная политика обеспечения питанием (1993 год) и Национальный план действий в области обеспечения питанием (1995 год): </w:t>
      </w:r>
      <w:r>
        <w:rPr>
          <w:lang w:val="ru-RU"/>
        </w:rPr>
        <w:t xml:space="preserve">в рамках данной политики было признано, что комплексный характер проблемы неадекватного питания требует многосекторальной стратегии, осуществляемой на нескольких уровнях. Она включает прямые меры реагирования по обеспечению питанием наиболее уязвимых групп населения, а также косвенные политические инструменты, направленные на создание условий для улучшения питания, в том числе обеспечение продовольственной безопасности, минимальной зарплаты и равного вознаграждения за равный труд, совершенствование государственных систем распределения, проведение земельных реформ и т. д. В целях планирования, координации и изучения мер в области обеспечения питанием, а также наблюдения за их осуществлением были учреждены Национальный совет по обеспечению питанием под председательством премьер-министра и Межминистерский координационный комитет, который возглавил секретарь ДРЖД. Такой межсекторальный подход улучшил ситуацию с питанием детей в возрасте до 6 лет, беременных женщин и кормящих матерей. </w:t>
      </w:r>
    </w:p>
    <w:p w:rsidR="00D80435" w:rsidRDefault="00D80435">
      <w:pPr>
        <w:rPr>
          <w:lang w:val="ru-RU"/>
        </w:rPr>
      </w:pPr>
      <w:r>
        <w:rPr>
          <w:lang w:val="ru-RU"/>
        </w:rPr>
        <w:t>256.</w:t>
      </w:r>
      <w:r>
        <w:rPr>
          <w:lang w:val="ru-RU"/>
        </w:rPr>
        <w:tab/>
      </w:r>
      <w:r>
        <w:rPr>
          <w:b/>
          <w:lang w:val="ru-RU"/>
        </w:rPr>
        <w:t xml:space="preserve">Национальная миссия по обеспечению питанием </w:t>
      </w:r>
      <w:r>
        <w:rPr>
          <w:lang w:val="ru-RU"/>
        </w:rPr>
        <w:t xml:space="preserve">под председательством премьер-министра была учреждена в 2003 году в целях комплексного решения проблемы недостаточности питания и ускоренного сокращения масштабов распространенности различных форм недоедания. Эта организация также несет ответственность за разработку политики и эффективную координацию программ, реализуемых правительством в области питания. В 51 округе страны из числа наиболее отсталых осуществляется экспериментальный проект, в рамках которого не получающие достаточного количества питательных веществ девочки-подростки, беременные женщины и кормящие матери бесплатно обеспечиваются 6 кг пшеницы и/или риса в месяц. </w:t>
      </w:r>
    </w:p>
    <w:p w:rsidR="00D80435" w:rsidRDefault="00D80435">
      <w:pPr>
        <w:rPr>
          <w:lang w:val="ru-RU"/>
        </w:rPr>
      </w:pPr>
      <w:r>
        <w:rPr>
          <w:lang w:val="ru-RU"/>
        </w:rPr>
        <w:t>257.</w:t>
      </w:r>
      <w:r>
        <w:rPr>
          <w:b/>
          <w:lang w:val="ru-RU"/>
        </w:rPr>
        <w:tab/>
        <w:t xml:space="preserve">Совет по вопросам продовольствия и питания: </w:t>
      </w:r>
      <w:r>
        <w:rPr>
          <w:lang w:val="ru-RU"/>
        </w:rPr>
        <w:t>Департамент развития женщин и детей, состоящий из центрального технического центра, четырех региональных управлений, лабораторий контроля качества и 43 территориальных отделов по вопросам продовольствия и питания, расположенных в 29 штатах/союзных территориях, занимается в основном просветительской и образовательной деятельностью, программами повышения осведомленности населения, распространением питания для новорожденных и детей младшего возраста, а также осуществлением последующих мер, предусмотренных в Национальной политике обеспечения питанием. Совет разработал национальные руководящие принципы в области питания новорожденных и детей младшего возраста на английском языке и хинди и опубликовал их в ходе Всемирной недели грудного вскармливания в августе 2004 года. Эти материалы широко распространялись среди различных организаций-партнеров, колледжей, профессионально-технических училищ и работников системы здравоохранения.</w:t>
      </w:r>
    </w:p>
    <w:p w:rsidR="00D80435" w:rsidRDefault="00D80435">
      <w:pPr>
        <w:rPr>
          <w:lang w:val="ru-RU"/>
        </w:rPr>
      </w:pPr>
      <w:r>
        <w:rPr>
          <w:lang w:val="ru-RU"/>
        </w:rPr>
        <w:t>258.</w:t>
      </w:r>
      <w:r>
        <w:rPr>
          <w:lang w:val="ru-RU"/>
        </w:rPr>
        <w:tab/>
        <w:t>План всеобщего медицинского страхования населения с низкими доходами был введен в действие с июля 2003 года. План предусматривает компенсацию расходов на пребывание в больнице в размере до 30 тыс. рупий на семью/индивида. Кроме того, планом предусматривается материальное возмещение в случае потери трудоспособности по болезни в размере 50 рупий в день на максимальный срок в 15 дней. Правительство предоставляет пособия в размере 100 рупий семьям, живущим ниже черты бедности. По состоянию на 31 марта 2004 года во всех штатах и союзных территориях было застраховано около 417 тыс. семей или 1,16 млн. человек. Из них страхованием были охвачены практически 48 процентов сельских семей и 9400 семей, живущих ниже черты бедности. На штаты Махараштра (21 процент), Андхра-Прадеш (10 процентов), Тамилнад (9,58 процента) и Гуджарат (9,19 процента) приходится около 50 процентов всех проданных страховых полисов. В рамках бюджета на 2004–2005 годы правительство пересмотрело этот план и увеличило размер пособий семьям, живущим ниже черты бедности.</w:t>
      </w:r>
    </w:p>
    <w:p w:rsidR="00D80435" w:rsidRDefault="00D80435">
      <w:pPr>
        <w:rPr>
          <w:lang w:val="ru-RU"/>
        </w:rPr>
      </w:pPr>
      <w:r>
        <w:rPr>
          <w:lang w:val="ru-RU"/>
        </w:rPr>
        <w:t>259.</w:t>
      </w:r>
      <w:r>
        <w:rPr>
          <w:lang w:val="ru-RU"/>
        </w:rPr>
        <w:tab/>
        <w:t>В ходе осуществления второго этапа Национальной программы борьбы со СПИДом, начатой в 1999 году, особый акцент был сделан на укрепление потенциала центрального правительства и правительств штатов в плане осуществления долгосрочных мер в области борьбы с ВИЧ/СПИДом. В Национальной политике в области борьбы с ВИЧ/СПИДом и профилактике заболеваний 2002 года особо упоминается положение о защите прав ВИЧ</w:t>
      </w:r>
      <w:r>
        <w:rPr>
          <w:lang w:val="ru-RU"/>
        </w:rPr>
        <w:noBreakHyphen/>
        <w:t>инфицированных женщин при принятии ими решения о беременности и рождении ребенка. В соответствии с принципами, согласованными ВОЗ и правительством Индии, к 2005 году 3 млн. ВИЧ</w:t>
      </w:r>
      <w:r>
        <w:rPr>
          <w:lang w:val="ru-RU"/>
        </w:rPr>
        <w:noBreakHyphen/>
        <w:t xml:space="preserve">инфицированных лиц будут получать антиретровирусные (АРВ) препараты. С апреля 2004 года АРВ препараты бесплатно предоставляются ВИЧ-инфицированным матерям. Крупная государственная организация Индийские железные дороги в сотрудничестве с ЮНИФЕМ, ПРООН, ЮНФПА и неправительственными организациями в рамках трехлетнего экспериментального проекта (2002–2005 годы) начала реализацию беспрецедентной инициативы по просвещению и консультированию по проблеме ВИЧ (с учетом гендерной проблематики) 150 тыс. сотрудников и членов их семей. </w:t>
      </w:r>
    </w:p>
    <w:p w:rsidR="00D80435" w:rsidRDefault="00D80435">
      <w:pPr>
        <w:rPr>
          <w:lang w:val="ru-RU"/>
        </w:rPr>
      </w:pPr>
      <w:r>
        <w:rPr>
          <w:lang w:val="ru-RU"/>
        </w:rPr>
        <w:t>260.</w:t>
      </w:r>
      <w:r>
        <w:rPr>
          <w:lang w:val="ru-RU"/>
        </w:rPr>
        <w:tab/>
        <w:t>Национальная организация по борьбе со СПИДом (НОБС) провела ряд мероприятий по предотвращению дискриминации в отношении женщин, инфицированных ВИЧ или больных СПИДом. Эта организация осуществляет разработанную ею программу под названием "Предотвращение заражения ребенка родителями" (ПЗРР) и специализируется на консультировании беременных женщин, помогая им принять информированные решения по поводу рождения ребенка, лечения и т. д.; при этом женщин никогда не принуждают ни к искусственному прерыванию беременности, ни к воздержанию от грудного вскармливания ребенка. В программе также подчеркивается необходимость уделения приоритетного внимания нуждам женщин в плане их лечения и участия в принятии решений. Кроме того, в рамках программы оказывается поддержка членам организации "Сеть ВИЧ-инфицированных женщин" (СВЖ), действующей в масштабах всей страны, в их борьбе за свои права, а центры правовой помощи поощряются к ведению судебных дел, связанных с правами этих женщин на медицинское обслуживание, владение имуществом и трудоустройством. Проект Стратегия расширения участия ВИЧ</w:t>
      </w:r>
      <w:r>
        <w:rPr>
          <w:lang w:val="ru-RU"/>
        </w:rPr>
        <w:noBreakHyphen/>
        <w:t>инфицированных людей (СУВИЧ) делает особый упор на вовлечении ВИЧ-инфицированных лиц в процесс принятия решений.</w:t>
      </w:r>
    </w:p>
    <w:p w:rsidR="00D80435" w:rsidRDefault="00D80435">
      <w:pPr>
        <w:rPr>
          <w:lang w:val="ru-RU"/>
        </w:rPr>
      </w:pPr>
      <w:r>
        <w:rPr>
          <w:lang w:val="ru-RU"/>
        </w:rPr>
        <w:t>261.</w:t>
      </w:r>
      <w:r>
        <w:rPr>
          <w:lang w:val="ru-RU"/>
        </w:rPr>
        <w:tab/>
        <w:t xml:space="preserve">Наряду с перечисленными выше инициативами неправительственные организации проводят профилактические мероприятия в сфере медицинского обслуживания, в том числе в области репродуктивного здоровья и прав, контролируя и предотвращая случаи умерщвления жизнеспособного плода женского пола и убийства младенцев, а также осуществляя меры профилактики ВИЧ/СПИДа. При активном участии этих организаций реализуются программы в области обеспечения питьевой водой, санитарии и гигиены. Кроме того, они вовлечены в деятельность по расширению прав и возможностей, мобилизации усилий и организации женщин, повышению информированности населения, продвижению политических реформ и установлению партнерских отношений с правительством в достижении установленных стандартов. </w:t>
      </w:r>
    </w:p>
    <w:p w:rsidR="00D80435" w:rsidRDefault="00D80435">
      <w:pPr>
        <w:rPr>
          <w:b/>
          <w:lang w:val="ru-RU"/>
        </w:rPr>
      </w:pPr>
      <w:r>
        <w:rPr>
          <w:lang w:val="ru-RU"/>
        </w:rPr>
        <w:t>262.</w:t>
      </w:r>
      <w:r>
        <w:rPr>
          <w:lang w:val="ru-RU"/>
        </w:rPr>
        <w:tab/>
        <w:t>Государственные затраты на здравоохранение, выраженные в процентах от ВВП и общих государственных расходов, снизились с 5,3 процента в 1997 году до 5,1 процента в 1998 году и с 3,5 процента в 1998 году до 3,1 процента в 2001 году, соответственно. За тот же период доля государственных расходов в общем объеме затрат на здравоохранение сохранилась на уровне 18 процентов. Существенно увеличились частные расходы на здравоохранение, что свидетельствует о том, что население стало больше полагаться на услуги частных медицинских учреждений. Приватизация медицины негативно скажется на самых уязвимых группах населения – женщинах, малообеспеченных и людей, проживающих в сельских и отсталых регионах.</w:t>
      </w:r>
    </w:p>
    <w:p w:rsidR="00D80435" w:rsidRDefault="00D80435">
      <w:pPr>
        <w:rPr>
          <w:lang w:val="ru-RU"/>
        </w:rPr>
      </w:pPr>
      <w:r>
        <w:rPr>
          <w:b/>
          <w:lang w:val="ru-RU"/>
        </w:rPr>
        <w:t xml:space="preserve">Результаты государственных инициатив </w:t>
      </w:r>
    </w:p>
    <w:p w:rsidR="00D80435" w:rsidRDefault="00D80435">
      <w:pPr>
        <w:rPr>
          <w:lang w:val="ru-RU"/>
        </w:rPr>
      </w:pPr>
      <w:r>
        <w:rPr>
          <w:lang w:val="ru-RU"/>
        </w:rPr>
        <w:pict>
          <v:shape id="_x0000_s1124" type="#_x0000_t75" style="position:absolute;left:0;text-align:left;margin-left:247.2pt;margin-top:31.35pt;width:222.25pt;height:160.7pt;z-index:-4;mso-wrap-edited:f" wrapcoords="-73 0 -73 21499 21600 21499 21600 0 -73 0" o:allowincell="f">
            <v:imagedata r:id="rId17" o:title=""/>
            <w10:wrap type="tight"/>
          </v:shape>
        </w:pict>
      </w:r>
      <w:r>
        <w:rPr>
          <w:lang w:val="ru-RU"/>
        </w:rPr>
        <w:t>263.</w:t>
      </w:r>
      <w:r>
        <w:rPr>
          <w:lang w:val="ru-RU"/>
        </w:rPr>
        <w:tab/>
        <w:t>Сохраняющиеся неблагоприятные диспропорции в соотношении женщин и мужчин остаются важной проблемой для страны. Было отмечено незначительное увеличение числа женщин – с 927 в 1991 году до 933 в 2001 году. Хотя в течение этого десятилетия произошло некоторое улучшение ситуации в плане соотношения полов как в городских, так и в сельских районах, в городах отмеченные диспропорции существенно меньше выражены, нежели в сельской местности. Состав населения в разбивке по полу в разных штатах варьируется в широких пределах. Более благоприятное для женщин соотношение полов отмечается в южных и восточных штатах, нежели в западных и северных. В штате Керала по-прежнему превалируют женщины (1036 и 1058 женщин в 1991 и 2001 годах, соответственно), в отличие от весьма низкого показателя – 710 женщин в штатах Даман и Диу и 777 – в штате Чандигарх. К штатам с неблагоприятной для женщин пропорцией относятся Харьяна, Пенджаб, Сикким и Дели. Еще в нескольких штатах в течение этого десятилетия также зарегистрировано снижение доли женщин.</w:t>
      </w:r>
    </w:p>
    <w:p w:rsidR="00D80435" w:rsidRDefault="00D80435">
      <w:pPr>
        <w:rPr>
          <w:lang w:val="ru-RU"/>
        </w:rPr>
      </w:pPr>
      <w:r>
        <w:rPr>
          <w:lang w:val="ru-RU"/>
        </w:rPr>
        <w:t>264.</w:t>
      </w:r>
      <w:r>
        <w:rPr>
          <w:lang w:val="ru-RU"/>
        </w:rPr>
        <w:tab/>
        <w:t>Соотношение полов в возрастной группе до 6 лет составляет 927 женщин на 1000 мужчин, при этом аналогичная пропорция наблюдается и на уровне штатов, что несколько ниже показателя общего соотношения полов. Вместе с тем есть несколько штатов/округов с угрожающе большой диспропорцией. Самый низкий показатель в штате Пенджаб – всего 798 девочек на 1000 мальчиков, за которым следуют Харьяна (819), Чандигарх (845) и Дели (868). Это явный признак предпочтения, отдаваемого сыновьям в большинстве семей, и широко распространенной практики дородового определения и выбора пола, а также свидетельство существования таких социокультурных традиций, как приданое при браке, и низкого статуса женщин в процессах принятия решений.</w:t>
      </w:r>
    </w:p>
    <w:p w:rsidR="00D80435" w:rsidRDefault="00D80435">
      <w:pPr>
        <w:rPr>
          <w:lang w:val="ru-RU"/>
        </w:rPr>
      </w:pPr>
      <w:r>
        <w:rPr>
          <w:lang w:val="ru-RU"/>
        </w:rPr>
        <w:t>265.</w:t>
      </w:r>
      <w:r>
        <w:rPr>
          <w:lang w:val="ru-RU"/>
        </w:rPr>
        <w:tab/>
        <w:t xml:space="preserve">Закон о методах дородовой диагностики требует ведения отчетности в отношении использования аппаратов УЗИ и другого оборудования, позволяющего определять пол, а также учета официально работающих в этой области учреждений. В соответствии с Законом по всей стране было зарегистрировано 26 199 клиник и/или медицинских учреждений, использующих ультразвуковую аппаратуру, устройства для сканирования изображения и т. д. По состоянию на март 2005 года 63 аппарата были опечатаны и конфискованы, а в полицейских участках и судах зарегистрированы и заведены дела по 303 случаям нарушений данного закона. Большинство из этих дел связано с отсутствием регистрации у клиник. Двадцать четыре дела были заведены по факту определения пола и сообщения информации в отношении пола плода. Из них больше всего дел было заведено в штате Харьяна (12), в Пенджабе (8), в штатах Махараштра (2), Карнатака (1) и Тамилнад (1). Восемнадцать дел было заведено на лиц, рекламировавших услуги по определению пола до зачатия и до рождения ребенка. Из них 6 были заведены в Дели, 4 – в штате Харьяна, 2 – в Махараштре, 3 – в Гуджарате и по одному в штатах Тамилнад, Уттаранчал и Уттар-Прадеш. </w:t>
      </w:r>
    </w:p>
    <w:p w:rsidR="00D80435" w:rsidRDefault="00D80435">
      <w:pPr>
        <w:rPr>
          <w:lang w:val="ru-RU"/>
        </w:rPr>
      </w:pPr>
      <w:r>
        <w:rPr>
          <w:lang w:val="ru-RU"/>
        </w:rPr>
        <w:t>266.</w:t>
      </w:r>
      <w:r>
        <w:rPr>
          <w:lang w:val="ru-RU"/>
        </w:rPr>
        <w:tab/>
        <w:t xml:space="preserve">В период между 1997 и 2002 годами коэффициент младенческой смертности (КМС) снизился с 71 до 64 случаев на 1000 живорождений. КМС среди девочек снизился с 73 до 65, а мальчиков – с 70 до 62. Снижение коэффициента младенческой смертности было обусловлено, прежде всего, значительным прогрессом, достигнутым в рамках Программы всеобщей вакцинации, являющейся составной частью ПОРЗД. К концу 2001 года охват вакцинацией в рамках этой программы достиг 100,3 процента вакциной против дифтерии/коклюша/столбняка, 98,2 процента – ОПВ, 102,7 процента – БЦЖ и 92,1 процента – противокоревой вакциной. </w:t>
      </w:r>
    </w:p>
    <w:p w:rsidR="00D80435" w:rsidRDefault="00D80435">
      <w:pPr>
        <w:rPr>
          <w:b/>
          <w:lang w:val="ru-RU"/>
        </w:rPr>
      </w:pPr>
      <w:r>
        <w:rPr>
          <w:lang w:val="ru-RU"/>
        </w:rPr>
        <w:t>267.</w:t>
      </w:r>
      <w:r>
        <w:rPr>
          <w:lang w:val="ru-RU"/>
        </w:rPr>
        <w:tab/>
        <w:t xml:space="preserve">Материнская смертность, вызванная осложнениями в ходе беременности и родов, является одной из основных причин смертности среди женщин в стране. Коэффициент материнской смертности снизился с 408 на 100 тыс. живорождений в 1997 году до 407 в 1998 году. Показатели материнской смертности в штатах Уттар-Прадеш и Раджастан угрожающе высоки и составляют соответственно 707 и 670. К другим штатам, где материнская смертность превышает средний национальный уровень (407), относятся Мадхья-Прадеш, Бихар и Ассам. Причины материнской смертности включают кровотечение (как дородовое, так и послеродовое), сепсис, роды при наличии механического препятствия прохождению плода и продолжительные роды, послеродовой сепсис, производимые небезопасными методами аборты, анемию и т. д. Немалую роль играют такие факторы, как низкое качество медицинских услуг, отсутствие доступа к медицинским учреждениям, ограниченный доступ к службам планирования размера семьи и услугам по безопасному прерыванию беременности, недостаточное питание, ранние браки и частые беременности. Согласно данным 1-го и 2-го Национальных обследований здоровья семьи, существенно увеличилась доля родов в клинических условиях – с 26 процента в 1992–1993 годах до 33,6 процента в 1998–1999 годах, чему в немалой степени способствовала программа пропаганды безопасных родов. Вместе с тем почти в 12 штатах этот показатель не превышает 25 процентов. </w:t>
      </w:r>
    </w:p>
    <w:p w:rsidR="00D80435" w:rsidRDefault="00D80435">
      <w:pPr>
        <w:rPr>
          <w:lang w:val="ru-RU"/>
        </w:rPr>
      </w:pPr>
      <w:r>
        <w:rPr>
          <w:lang w:val="ru-RU"/>
        </w:rPr>
        <w:t>268.</w:t>
      </w:r>
      <w:r>
        <w:rPr>
          <w:lang w:val="ru-RU"/>
        </w:rPr>
        <w:tab/>
        <w:t>По-прежнему широко распространены случаи недоедания среди женщин и детей, что негативно сказывается на уровне детской и женской заболеваемости и смертности. Согласно 2-му Национальному обследованию здоровья семьи, в 1997–1998 годах свыше 50 процентов когда-либо состоявших в браке женщин и 75 процентов детей страдали анемией. Питание женщин до сих пор не соответствует ежедневному минимальному стандарту рекомендуемых питательных веществ в расчете на душу населения. Около 60 процентов женщин, в частности беременных женщин и кормящих матерей, страдают анемией. Это происходит несмотря на достигнутое самообеспечение продуктами питания, которое, однако, не сказывается на домашних хозяйствах с низким доходом на душу населения. С 1997–98 годов проводится программа по лечению анемии и тяжелых случаев анемии среди беременных женщин, в рамках которой предусмотрено обеспечение женщин фолиевой кислотой и железосодержащими таблетками для ежедневного потребления в течение 100 дней. По оценкам 50-го раунда обследования под названием "Потребление пищевых продуктов" в Индии, осуществляемого Национальной организацией по проведению выборочных обследований, свыше 90 процентов домашних хозяйств, живущих ниже черты бедности, потребляют менее половины средней нормы калорий.</w:t>
      </w:r>
    </w:p>
    <w:p w:rsidR="00D80435" w:rsidRDefault="00D80435">
      <w:pPr>
        <w:rPr>
          <w:lang w:val="ru-RU"/>
        </w:rPr>
      </w:pPr>
      <w:r>
        <w:rPr>
          <w:lang w:val="ru-RU"/>
        </w:rPr>
        <w:t>269.</w:t>
      </w:r>
      <w:r>
        <w:rPr>
          <w:lang w:val="ru-RU"/>
        </w:rPr>
        <w:tab/>
        <w:t xml:space="preserve">Согласно данным обследования, проведенного Национальным советом по прикладным экономическим исследованиям, в 1995 году показатель распространенности заболеваний на национальном уровне составил 103 случая на 1000 человек. Выяснилось, что заболеваемость среди женщин выше, чем у мужчин, как в городских, так и в сельских районах. Кроме того, самый высокий уровень заболеваемости наблюдался среди женщин в возрастной группе 15–59 лет, детей младше 5 лет и престарелых (старше 60 лет). Самый высокий уровень распространенности заболеваний был отмечен в штатах Керала, Орисса, Химачал-Прадеш, Пенджаб и Андхра-Прадеш. </w:t>
      </w:r>
    </w:p>
    <w:p w:rsidR="00D80435" w:rsidRDefault="00D80435">
      <w:r>
        <w:rPr>
          <w:lang w:val="ru-RU"/>
        </w:rPr>
        <w:t>270.</w:t>
      </w:r>
      <w:r>
        <w:rPr>
          <w:lang w:val="ru-RU"/>
        </w:rPr>
        <w:tab/>
        <w:t xml:space="preserve">По оценкам Национальной программы регистрации онкологических заболеваний, в стране ежегодно диагностируется около 800 тыс. новых случаев рака. С курением связано от 35 до 50 процентов всех онкологических заболеваний у мужчин и около 17 процентов – у женщин. Эти случаи рака поддаются мерам первичной профилактики и в значительной степени контролю </w:t>
      </w:r>
      <w:r>
        <w:t>(</w:t>
      </w:r>
      <w:r>
        <w:rPr>
          <w:lang w:val="ru-RU"/>
        </w:rPr>
        <w:t>Источник</w:t>
      </w:r>
      <w:r>
        <w:t xml:space="preserve">: </w:t>
      </w:r>
      <w:r>
        <w:rPr>
          <w:rStyle w:val="goohl2"/>
          <w:color w:val="000000"/>
        </w:rPr>
        <w:t>Cancer</w:t>
      </w:r>
      <w:r>
        <w:t xml:space="preserve"> Prevention and Control in </w:t>
      </w:r>
      <w:r>
        <w:rPr>
          <w:rStyle w:val="goohl3"/>
          <w:color w:val="000000"/>
        </w:rPr>
        <w:t xml:space="preserve">India, Cherian Varghese). </w:t>
      </w:r>
    </w:p>
    <w:p w:rsidR="00D80435" w:rsidRDefault="00D80435">
      <w:pPr>
        <w:spacing w:after="360"/>
        <w:rPr>
          <w:lang w:val="ru-RU"/>
        </w:rPr>
      </w:pPr>
      <w:r>
        <w:rPr>
          <w:lang w:val="ru-RU"/>
        </w:rPr>
        <w:t>271.</w:t>
      </w:r>
      <w:r>
        <w:rPr>
          <w:lang w:val="ru-RU"/>
        </w:rPr>
        <w:tab/>
        <w:t xml:space="preserve">Сравнительный анализ поставленных целей и результатов, достигнутых правительством в период 1996–2000 годов по некоторым показателям в рамках программ в сфере здравоохранения и охраны семьи, показывает, что задачи в области увеличения продолжительности предстоящей жизни при рождении решены. Практически достигнута цель в сфере вакцинации новорожденных. </w:t>
      </w:r>
    </w:p>
    <w:p w:rsidR="00D80435" w:rsidRDefault="00D80435">
      <w:pPr>
        <w:pStyle w:val="Heading2"/>
      </w:pPr>
      <w:r>
        <w:t>Предстоящие задачи</w:t>
      </w:r>
    </w:p>
    <w:p w:rsidR="00D80435" w:rsidRDefault="00D80435">
      <w:pPr>
        <w:rPr>
          <w:lang w:val="ru-RU"/>
        </w:rPr>
      </w:pPr>
      <w:r>
        <w:rPr>
          <w:lang w:val="ru-RU"/>
        </w:rPr>
        <w:t>272.</w:t>
      </w:r>
      <w:r>
        <w:rPr>
          <w:lang w:val="ru-RU"/>
        </w:rPr>
        <w:tab/>
        <w:t>Здоровье женщин в немалой степени связано с социокультурной практикой страны. Женщины продолжают нести тяжелое бремя работы по дому и вне дома; они по-прежнему по традиции едят в последнюю очередь, имеют ограниченный доступ к материальным и нематериальным ресурсам и контролю над ними, а также ограниченное право голоса при принятии решений в рамках домохозяйства.</w:t>
      </w:r>
    </w:p>
    <w:p w:rsidR="00D80435" w:rsidRDefault="00D80435">
      <w:pPr>
        <w:rPr>
          <w:lang w:val="ru-RU"/>
        </w:rPr>
      </w:pPr>
      <w:r>
        <w:rPr>
          <w:lang w:val="ru-RU"/>
        </w:rPr>
        <w:t>273.</w:t>
      </w:r>
      <w:r>
        <w:rPr>
          <w:lang w:val="ru-RU"/>
        </w:rPr>
        <w:tab/>
        <w:t xml:space="preserve">Несмотря на усилия, предпринятые правительством и другими заинтересованными сторонами в разных областях по предоставлению женщинам и детям равного доступа к медицинскому обслуживанию, сохраняются резкие диспропорции в состоянии здоровья женщин и детей, особенно девочек. Эти диспропорции усугубляются среди представителей СК и СП и меньшинств, проживающих в отдаленных сельских районах и в местах проживания племен, в отсталых и разоренных конфликтами штатах и округах. </w:t>
      </w:r>
    </w:p>
    <w:p w:rsidR="00D80435" w:rsidRDefault="00D80435">
      <w:pPr>
        <w:spacing w:after="200"/>
        <w:rPr>
          <w:lang w:val="ru-RU"/>
        </w:rPr>
      </w:pPr>
      <w:r>
        <w:rPr>
          <w:lang w:val="ru-RU"/>
        </w:rPr>
        <w:t>274.</w:t>
      </w:r>
      <w:r>
        <w:rPr>
          <w:lang w:val="ru-RU"/>
        </w:rPr>
        <w:tab/>
        <w:t>Перед правительством стоит задача по выработке комплексного подхода к решению этих проблем путем практической реализации юридически существующих прав, особенно в отношении неблагоприятных диспропорций в соотношении полов и вызывающего тревогу показателя снижения рождаемости девочек по сравнению с мальчиками. Принятая в 2002 году Национальная политика в области здравоохранения, признавая различия в стандартах медицинского обслуживания между городом и деревней, между регионами, а также среди социально обездоленных слоев общества, ставит своей основной целью разработку стратегической программы, позволяющей сгладить эти различия и обеспечить более справедливый доступ к государственным медицинским услугам. Для этого требуется выявление соответствующих поселений, округов и штатов и введение в действие механизмов осуществления мер вмешательства и их мониторинга.</w:t>
      </w:r>
    </w:p>
    <w:p w:rsidR="00D80435" w:rsidRDefault="00D80435">
      <w:pPr>
        <w:rPr>
          <w:lang w:val="ru-RU"/>
        </w:rPr>
      </w:pPr>
      <w:r>
        <w:rPr>
          <w:lang w:val="ru-RU"/>
        </w:rPr>
        <w:t>275.</w:t>
      </w:r>
      <w:r>
        <w:rPr>
          <w:lang w:val="ru-RU"/>
        </w:rPr>
        <w:tab/>
        <w:t xml:space="preserve">10-й План предусматривает создание условий, стимулирующих расширение прав и возможностей женщин посредством принятия различных позитивных мер и программ по развитию потенциала женщин, облегчению доступа женщин к минимальному объему первичной медицинской помощи и услуг служб охраны семьи, с особым акцентом на потребностях неблагополучных и обездоленных слоев населения, а также путем обеспечения всеобщего доступа к услугам в рамках Программы охраны репродуктивного здоровья и здоровья детей (ПОРЗД). Целью 10-го Плана является снижение коэффициента младенческой смертности (КМС) до 45 случаев на 1000 живорождений к 2007 году и до 28 к 2012 году против 68 – в 2000 году. Аналогичным образом, Планом предусмотрено снижение коэффициента материнской смертности </w:t>
      </w:r>
      <w:r>
        <w:rPr>
          <w:lang w:val="ru-RU"/>
        </w:rPr>
        <w:br/>
        <w:t>с 4 в 1999–2000 годах до 2 на 1000 живорождений к 2007 году и до 1 – к 2012 году путем предоставления дополнительных услуг в сфере здравоохранения и обеспечения питанием в рамках программы Прадхан Мантри Грамодайя Йоджана (</w:t>
      </w:r>
      <w:r>
        <w:t>PMGY</w:t>
      </w:r>
      <w:r>
        <w:rPr>
          <w:lang w:val="ru-RU"/>
        </w:rPr>
        <w:t>); решение проблемы, связанной с дефицитом потребления макро- и микроэлементов, посредством осуществления программ по обеспечению дополнительного питания и создания соответствующих служб поддержки; поощрения СМИ к формированию позитивного образа женщин и девочек, а также повышения осведомленности сотрудников административных и правоохранительных органов в области гендерной проблематики для обеспечения защиты прав и интересов женщин.</w:t>
      </w:r>
    </w:p>
    <w:p w:rsidR="00D80435" w:rsidRDefault="00D80435">
      <w:pPr>
        <w:spacing w:after="100"/>
        <w:rPr>
          <w:b/>
          <w:sz w:val="24"/>
          <w:lang w:val="ru-RU"/>
        </w:rPr>
      </w:pPr>
    </w:p>
    <w:p w:rsidR="00D80435" w:rsidRDefault="00D80435">
      <w:pPr>
        <w:pStyle w:val="Heading7"/>
        <w:rPr>
          <w:lang w:val="ru-RU"/>
        </w:rPr>
      </w:pPr>
      <w:r>
        <w:rPr>
          <w:sz w:val="24"/>
          <w:lang w:val="ru-RU"/>
        </w:rPr>
        <w:t>Статья 13.  Социальные пособия и льготы</w:t>
      </w:r>
    </w:p>
    <w:p w:rsidR="00D80435" w:rsidRDefault="00D80435">
      <w:pPr>
        <w:rPr>
          <w:b/>
          <w:lang w:val="ru-RU"/>
        </w:rPr>
      </w:pPr>
      <w:r>
        <w:rPr>
          <w:b/>
          <w:lang w:val="ru-RU"/>
        </w:rPr>
        <w:t>Справочная информация</w:t>
      </w:r>
    </w:p>
    <w:p w:rsidR="00D80435" w:rsidRDefault="00D80435">
      <w:pPr>
        <w:spacing w:after="200"/>
        <w:rPr>
          <w:lang w:val="ru-RU"/>
        </w:rPr>
      </w:pPr>
      <w:r>
        <w:rPr>
          <w:lang w:val="ru-RU"/>
        </w:rPr>
        <w:t>276.</w:t>
      </w:r>
      <w:r>
        <w:rPr>
          <w:lang w:val="ru-RU"/>
        </w:rPr>
        <w:tab/>
        <w:t>В формальном секторе занятости работникам предоставляются различные пособия, к которым женщины имеют равный с мужчинами доступ. В Первоначальном докладе были освещены вопросы, связанные с различными социальными пособиями и льготами, доступными женщинам. Все женщины, независимо от своего семейного положения, имеют право на эти пособия. Женщины имеют и осуществляют право на равную с мужчинами заработную плату, надбавки и выплаты, а именно жилищные пособия, пособия на образование, здравоохранение и т. д. Однако женщины зачастую лишены таких пособий, поскольку в основном они заняты в сельском хозяйстве и в неформальном секторе.</w:t>
      </w:r>
    </w:p>
    <w:p w:rsidR="00D80435" w:rsidRDefault="00D80435">
      <w:pPr>
        <w:spacing w:after="200"/>
        <w:rPr>
          <w:lang w:val="ru-RU"/>
        </w:rPr>
      </w:pPr>
      <w:r>
        <w:rPr>
          <w:lang w:val="ru-RU"/>
        </w:rPr>
        <w:t>277.</w:t>
      </w:r>
      <w:r>
        <w:rPr>
          <w:lang w:val="ru-RU"/>
        </w:rPr>
        <w:tab/>
        <w:t>Как мужчины, так и женщины имеют право на пользование имуществом и получение семейных пособий, банковских ссуд и других форм финансового кредита. Юридически для женщин не существует запретов владеть имуществом от своего имени; однако на практике почти вся недвижимость зарегистрирована на имя мужчины. Таким образом, из-за неимения капитала они испытывают серьезные затруднения при заключении финансовых сделок и не могут участвовать в предпринимательской деятельности. Правительство приняло ряд мер, подобных предлагаемой поправке к индусскому Закону о правопреемстве 1956 года, предоставляющей женщинам права на совместное наследование.</w:t>
      </w:r>
    </w:p>
    <w:p w:rsidR="00D80435" w:rsidRDefault="00D80435">
      <w:pPr>
        <w:spacing w:after="360"/>
        <w:rPr>
          <w:lang w:val="ru-RU"/>
        </w:rPr>
      </w:pPr>
      <w:r>
        <w:rPr>
          <w:lang w:val="ru-RU"/>
        </w:rPr>
        <w:t xml:space="preserve">278. </w:t>
      </w:r>
      <w:r>
        <w:rPr>
          <w:lang w:val="ru-RU"/>
        </w:rPr>
        <w:tab/>
        <w:t>Законы не ограничивают право женщин на участие в спортивных и культурных мероприятиях. Многие женщины занимаются такими видами спорта, как легкая атлетика, хоккей на траве, крикет, теннис, баскетбол, бадминтон и т. д. Многие женщины-спортсменки входят в национальные команды и представляют страну на международных соревнованиях. Общепризнанны заслуги женщин в области искусства, музыки, танца и культурной жизни. Женщины, проживающие в сельской местности, также участвуют в культурной деятельности, выступая с музыкальными и танцевальными номерами во время местных фестивалей. Социокультурные нормы, разграничение на государственный и частный секторы и сегрегация, ограничение мобильности, экономическая зависимость и бремя домашних обязанностей препятствуют участию женщин в мероприятиях, связанных с отдыхом и занятиями спортом.</w:t>
      </w:r>
    </w:p>
    <w:p w:rsidR="00D80435" w:rsidRDefault="00D80435">
      <w:pPr>
        <w:pStyle w:val="Heading2"/>
      </w:pPr>
      <w:r>
        <w:t>Инициативы государства</w:t>
      </w:r>
    </w:p>
    <w:p w:rsidR="00D80435" w:rsidRDefault="00D80435">
      <w:pPr>
        <w:spacing w:after="200"/>
        <w:rPr>
          <w:lang w:val="ru-RU"/>
        </w:rPr>
      </w:pPr>
      <w:r>
        <w:rPr>
          <w:lang w:val="ru-RU"/>
        </w:rPr>
        <w:t>279.</w:t>
      </w:r>
      <w:r>
        <w:rPr>
          <w:lang w:val="ru-RU"/>
        </w:rPr>
        <w:tab/>
        <w:t>Фактический доступ к земле является, по всей вероятности, единственной и самой важной детерминантой экономического и социального статуса, а также власти в Индии. Отсутствие у женщин равных прав на владение землей является на сегодняшний день наиболее яркой иллюстрацией глубоко укоренившегося гендерного неравенства в Индии. Расширение прямого доступа женщин к земле в сельской экономике могло бы сыграть решающую роль в достижении национальных целей по улучшению обеспечения продовольствием и средствами существования, повышению благосостояния детей, производительности сельского хозяйства и расширения прав и возможностей женщин. В Общей программе-минимум подчеркивалось значение принятия нового законодательства, которое предоставляет женщинам равные права собственности на такие активы, как дома и земля. Предлагаемая поправка к индусскому Закону о правопреемстве предусматривает, что дочери получат равные права в родовом имуществе.</w:t>
      </w:r>
    </w:p>
    <w:p w:rsidR="00D80435" w:rsidRDefault="00D80435">
      <w:pPr>
        <w:spacing w:after="200"/>
        <w:rPr>
          <w:lang w:val="ru-RU"/>
        </w:rPr>
      </w:pPr>
      <w:r>
        <w:rPr>
          <w:lang w:val="ru-RU"/>
        </w:rPr>
        <w:t xml:space="preserve">280. </w:t>
      </w:r>
      <w:r>
        <w:rPr>
          <w:lang w:val="ru-RU"/>
        </w:rPr>
        <w:tab/>
        <w:t>Правительство в рамках различных пятилетних планов в определенные периоды времени издавало  директивы, предписывая всем штатам выделять землю с оформлением совместных прав собственности на имя мужа и жены и на имя одних только женщин. Совместное право собственности предоставляет женщинам определенную степень защиты, даже в случаях расторжения браков. Поскольку вопросы прав на землю относятся к компетенции штата, передача женщинам земли в стране происходит неодинаково. Было признано, что выделение группам женщин государственных земель, земельных излишков, пустошей и земли на государственных фермах дает возможность женщинам заниматься сельскохозяйственной и смежными видами деятельности.</w:t>
      </w:r>
    </w:p>
    <w:p w:rsidR="00D80435" w:rsidRDefault="00D80435">
      <w:pPr>
        <w:rPr>
          <w:lang w:val="ru-RU"/>
        </w:rPr>
      </w:pPr>
      <w:r>
        <w:rPr>
          <w:lang w:val="ru-RU"/>
        </w:rPr>
        <w:t xml:space="preserve">281. </w:t>
      </w:r>
      <w:r>
        <w:rPr>
          <w:lang w:val="ru-RU"/>
        </w:rPr>
        <w:tab/>
        <w:t>Начатая правительством штата Тамилнад в 2001–2002 годах Комплексная программа освоения пустошей, разрешающая выделять землю федерациям женских групп самопомощи, и экспериментальный проект Департамента сельского хозяйства и кооперации, предусматривающий предоставление в долговременную аренду женским группам самопомощи (ГСП) пустошей, залежей и излишков земли, являются позитивными конструктивными шагами правительства. Департамент развития женщин и детей недавно обратился к правительствам штатов с просьбой рассмотреть инициативы, которые могли бы быть предприняты в их соответствующих штатах, с тем чтобы содействовать эффективной реализации прав женщин на землю. Корпорация развития включенных в списки каст штата Андхра-Прадеш предоставляет группам женщин из касты далитов субсидируемый кредит на покупку/аренду на рынке частной земли для выращивания зерновых. Собственность на землю принадлежит всей группе, которая управляет процессом освоения земли и контролирует его.</w:t>
      </w:r>
    </w:p>
    <w:p w:rsidR="00D80435" w:rsidRDefault="00D80435">
      <w:pPr>
        <w:rPr>
          <w:lang w:val="ru-RU"/>
        </w:rPr>
      </w:pPr>
      <w:r>
        <w:rPr>
          <w:lang w:val="ru-RU"/>
        </w:rPr>
        <w:t xml:space="preserve">282. </w:t>
      </w:r>
      <w:r>
        <w:rPr>
          <w:lang w:val="ru-RU"/>
        </w:rPr>
        <w:tab/>
        <w:t>Признано также, что меры по улучшению составления и ведения земельных кадастров обеспечат женщинам пользование правами собственности, как индивидуальными, так и совместными. Женщины-депутаты, избранные в институты панчаят радж, играют ведущую роль в создании условий, позволяющих женским группам самопомощи управлять средствами, находящимися в совместной собственности.</w:t>
      </w:r>
    </w:p>
    <w:p w:rsidR="00D80435" w:rsidRDefault="00D80435">
      <w:pPr>
        <w:rPr>
          <w:lang w:val="ru-RU"/>
        </w:rPr>
      </w:pPr>
      <w:r>
        <w:rPr>
          <w:lang w:val="ru-RU"/>
        </w:rPr>
        <w:t>283.</w:t>
      </w:r>
      <w:r>
        <w:rPr>
          <w:lang w:val="ru-RU"/>
        </w:rPr>
        <w:tab/>
        <w:t>Правительство разработало различные проекты по созданию альтернативной кредитной системы, открывающей путь к микрокредитам для групп самопомощи. Такие организации, как Раштрия Махила Кош (</w:t>
      </w:r>
      <w:r>
        <w:t>RMK</w:t>
      </w:r>
      <w:r>
        <w:rPr>
          <w:lang w:val="ru-RU"/>
        </w:rPr>
        <w:t xml:space="preserve">), пытаются облегчить женщинам доступ к источникам кредитования. В качестве плательщиков подоходного налога женщины пользуются специальными налоговыми льготами. Кроме того, разработаны и действуют специальные схемы страхования, предназначенные исключительно для женщин. Хотя запретов на получение женщинами банковских ссуд или кредитов, предоставляемых другими финансовыми учреждениями, не существует, они, тем не менее, для них недоступны по той причине, что женщины не могут предоставить дополнительное обеспечение под займы ввиду отсутствия зарегистрированного на их имя имущества либо независимого дохода. Таким образом, в том, что касается представления обеспечения под займы, они зависят от своих мужей или от других родственников мужского пола. </w:t>
      </w:r>
    </w:p>
    <w:p w:rsidR="00D80435" w:rsidRDefault="00D80435">
      <w:pPr>
        <w:rPr>
          <w:lang w:val="ru-RU"/>
        </w:rPr>
      </w:pPr>
      <w:r>
        <w:rPr>
          <w:lang w:val="ru-RU"/>
        </w:rPr>
        <w:t>284.</w:t>
      </w:r>
      <w:r>
        <w:rPr>
          <w:lang w:val="ru-RU"/>
        </w:rPr>
        <w:tab/>
        <w:t>Банкам государственного сектора было вменено в обязанность выделять 5 процентов своего чистого банковского кредита для предоставления ссуд женщинам. Согласно данным Резервного банка Индии, по состоянию на декабрь 2004 года совокупное кредитование банками государственного сектора вышло на уровень 5,47 процента (что превышало целевой показатель), а общий объем кредита, предоставленного женщинам 27 банками государственного сектора, составил 362,334 млн. рупий. Все банки учредили в своих главных отделениях группы по работе с женщинами, призванные решать вопросы, связанные с кредитованием женщин.</w:t>
      </w:r>
    </w:p>
    <w:p w:rsidR="00D80435" w:rsidRDefault="00D80435">
      <w:pPr>
        <w:rPr>
          <w:lang w:val="ru-RU"/>
        </w:rPr>
      </w:pPr>
      <w:r>
        <w:rPr>
          <w:lang w:val="ru-RU"/>
        </w:rPr>
        <w:t>285.</w:t>
      </w:r>
      <w:r>
        <w:rPr>
          <w:lang w:val="ru-RU"/>
        </w:rPr>
        <w:tab/>
        <w:t xml:space="preserve">В соответствии с программой создания рабочих мест в сельских районах, осуществляемой Комиссией по ткачеству и сельским промыслам, для женщин-предпринимательниц устанавливается более высокий уровень денежной помощи в размере 30 процентов от проектных затрат по сравнению с 25 процентами для общей категории. </w:t>
      </w:r>
    </w:p>
    <w:p w:rsidR="00D80435" w:rsidRDefault="00D80435">
      <w:pPr>
        <w:rPr>
          <w:lang w:val="ru-RU"/>
        </w:rPr>
      </w:pPr>
      <w:r>
        <w:rPr>
          <w:lang w:val="ru-RU"/>
        </w:rPr>
        <w:t>286.</w:t>
      </w:r>
      <w:r>
        <w:rPr>
          <w:lang w:val="ru-RU"/>
        </w:rPr>
        <w:tab/>
        <w:t>Такие программы, как Кудумбашри (Государственная миссия по искоренению бедности) правительства штата Керала, начатая в 1998–1999 годах при поддержке правительства Индии и НБРСР, ставят целью искоренение в штате абсолютной нищеты в течение 10 лет посредством проведения общинами ряда согласованных мер. При этом руководство программой, призванной содействовать организации бедных женщин путем продиктованной спросом интеграции проектов самопомощи с имеющимися услугами и ресурсами, поручено органам местного самоуправления. Выявление бедных женщин производилось с применением неденежного индекса нищеты, после чего они были объединены в трехуровневые организации, построенные на базе общин: соседские группы, Общество по развитию территории и Общество развития общин. В рамках программы Кудумбашри был создан неформальный банк сельских женщин, выполняющий функции сберегательной кассы и осуществляющий кредитные операции; женщинам оказывается содействие в создании малых предприятий. По состоянию на 30 сентября 2004 года было организовано около 144 182 соседских групп, осуществляющих операции с вкладами на сумму 3934 млн. рупий и кредитные операции на сумму 7543 млн. рупий. В сельских и городских районах было создано соответственно около 47 тыс. и 15 836 малых предприятий, таких как Видьяшри (отделения ИТ в школе), Яатхрашри (сеть отелей), Харитхашри (фермерство на арендованной земле) и Бхаванашри (программы микрожилищного строительства).</w:t>
      </w:r>
    </w:p>
    <w:p w:rsidR="00D80435" w:rsidRDefault="00D80435">
      <w:pPr>
        <w:spacing w:after="360"/>
        <w:rPr>
          <w:lang w:val="ru-RU"/>
        </w:rPr>
      </w:pPr>
      <w:r>
        <w:rPr>
          <w:lang w:val="ru-RU"/>
        </w:rPr>
        <w:t xml:space="preserve">287. </w:t>
      </w:r>
      <w:r>
        <w:rPr>
          <w:lang w:val="ru-RU"/>
        </w:rPr>
        <w:tab/>
        <w:t>В рамках Национальной программы социальной помощи (НПСП), включающей Национальный план предоставления пенсий по старости (НППС), согласно которому пенсией обеспечиваются лица старше 60 лет, Национальный план семейных пособий (НПСП) и Национальный план пособий по беременности и родам (НППБР), осуществляются меры по социальному обеспечению женщин, находящихся за чертой нищеты.</w:t>
      </w:r>
    </w:p>
    <w:p w:rsidR="00D80435" w:rsidRDefault="00D80435">
      <w:pPr>
        <w:rPr>
          <w:b/>
          <w:lang w:val="ru-RU"/>
        </w:rPr>
      </w:pPr>
      <w:r>
        <w:rPr>
          <w:b/>
          <w:lang w:val="ru-RU"/>
        </w:rPr>
        <w:t>Предстоящие задачи</w:t>
      </w:r>
    </w:p>
    <w:p w:rsidR="00D80435" w:rsidRDefault="00D80435">
      <w:pPr>
        <w:rPr>
          <w:lang w:val="ru-RU"/>
        </w:rPr>
      </w:pPr>
      <w:r>
        <w:rPr>
          <w:lang w:val="ru-RU"/>
        </w:rPr>
        <w:t>288.</w:t>
      </w:r>
      <w:r>
        <w:rPr>
          <w:lang w:val="ru-RU"/>
        </w:rPr>
        <w:tab/>
        <w:t>Патриархальные ценности и традиционное понимание роли мужчин и женщин подрывают социальный статус женщин и препятствуют их доступу к правам собственности и правам на участие в социально-экономической и культурной жизни, а также осуществлению этих прав. В своем 10-м Пятилетнем плане и в Программе расширения прав и возможностей женщин правительство обязалось предпринять согласованные усилия по решению этих проблем, а также внести поправки в законы, предоставляющие женщинам права собственности. Оно также взяло на себя обязательство продолжать проведение земельных реформ, предоставлять землю безземельным и в этих целях оформлять совместное право собственности на обоих супругов, а при распределении земель и домов отдавать приоритет одиноким женщинам и вдовам.</w:t>
      </w:r>
    </w:p>
    <w:p w:rsidR="00D80435" w:rsidRDefault="00D80435">
      <w:pPr>
        <w:rPr>
          <w:b/>
          <w:lang w:val="ru-RU"/>
        </w:rPr>
      </w:pPr>
    </w:p>
    <w:p w:rsidR="00D80435" w:rsidRDefault="00D80435">
      <w:pPr>
        <w:pStyle w:val="Heading4"/>
      </w:pPr>
      <w:r>
        <w:t>Статья 14.  Сельские женщины</w:t>
      </w:r>
    </w:p>
    <w:p w:rsidR="00D80435" w:rsidRDefault="00D80435">
      <w:pPr>
        <w:rPr>
          <w:b/>
          <w:lang w:val="ru-RU"/>
        </w:rPr>
      </w:pPr>
      <w:r>
        <w:rPr>
          <w:b/>
          <w:lang w:val="ru-RU"/>
        </w:rPr>
        <w:t>Справочная информация</w:t>
      </w:r>
    </w:p>
    <w:p w:rsidR="00D80435" w:rsidRDefault="00D80435">
      <w:pPr>
        <w:rPr>
          <w:lang w:val="ru-RU"/>
        </w:rPr>
      </w:pPr>
      <w:r>
        <w:rPr>
          <w:lang w:val="ru-RU"/>
        </w:rPr>
        <w:t xml:space="preserve">289. </w:t>
      </w:r>
      <w:r>
        <w:rPr>
          <w:lang w:val="ru-RU"/>
        </w:rPr>
        <w:tab/>
        <w:t>Сельские женщины составляют почти семьдесят процентов женского населения страны, при этом большинство из них относится к категории бедных. Признавая тот факт, что сельские женщины находятся в невыгодном положении в силу своего социально-экономического статуса, правительство разработало ряд практических мер и программ по преодолению различных форм бедности в сельских домашних хозяйствах, особенно среди женщин и девочек. В Первоначальном докладе основное внимание было уделено различным мерам, принятым правительством для решения целого ряда проблем, таких как здравоохранение, образование, занятость и участие в политической жизни. Правительство не только дополнило существующие программы и планы, но также приступило к осуществлению новых проектов.</w:t>
      </w:r>
    </w:p>
    <w:p w:rsidR="00D80435" w:rsidRDefault="00D80435">
      <w:pPr>
        <w:rPr>
          <w:b/>
          <w:lang w:val="ru-RU"/>
        </w:rPr>
      </w:pPr>
      <w:r>
        <w:rPr>
          <w:b/>
          <w:lang w:val="ru-RU"/>
        </w:rPr>
        <w:t>Инициативы государства</w:t>
      </w:r>
    </w:p>
    <w:p w:rsidR="00D80435" w:rsidRDefault="00D80435">
      <w:pPr>
        <w:rPr>
          <w:lang w:val="ru-RU"/>
        </w:rPr>
      </w:pPr>
      <w:r>
        <w:rPr>
          <w:lang w:val="ru-RU"/>
        </w:rPr>
        <w:t>290.</w:t>
      </w:r>
      <w:r>
        <w:rPr>
          <w:lang w:val="ru-RU"/>
        </w:rPr>
        <w:tab/>
        <w:t xml:space="preserve">В процессе планирования центральное правительство и правительства штатов проанализировали различные стороны бедности и значительно увеличили ассигнования на развитие образования, здравоохранения, санитарии и других сфер жизнедеятельности, которые содействуют наращиванию потенциала и повышению благосостояния бедных слоев населения. Инвестиции в сельское хозяйство, программы развития районов и лесонасаждение открывают широкий простор для увеличения занятости и получения дохода. Были приняты специальные программы по улучшению благосостояния женщин из включенных в списки каст (СК), племен (СП), людей с ограниченными возможностями и других уязвимых групп. Целевая система общественного распределения (ЦСОР) осуществляет надежное обеспечение бедных продовольствием и питанием. Об успехе стратегии борьбы с нищетой можно судить по снижению уровня нищеты в сельской местности с 37,27 процента в 1993–1994 годах до 27,09 процента в 1999–2000 годах. </w:t>
      </w:r>
    </w:p>
    <w:p w:rsidR="00D80435" w:rsidRDefault="00D80435">
      <w:pPr>
        <w:rPr>
          <w:lang w:val="ru-RU"/>
        </w:rPr>
      </w:pPr>
      <w:r>
        <w:rPr>
          <w:lang w:val="ru-RU"/>
        </w:rPr>
        <w:t xml:space="preserve">291. </w:t>
      </w:r>
      <w:r>
        <w:rPr>
          <w:lang w:val="ru-RU"/>
        </w:rPr>
        <w:tab/>
        <w:t>В 1997 году Комиссия по планированию учредила Комитет для проведения обзора результатов осуществления программ самостоятельной занятости и занятости на оплачиваемой работе. Комитет, основываясь на выводах, рекомендовал слияние всех программ самостоятельной занятости, разработанных для сельских бедняков, а также принятие подхода, основанного на групповых интересах, вместо подхода с точки зрения отдельного бенефициара. Комитет подчеркнул важность выявления точек сосредоточения деятельности в конкретных областях и тесных связей между профессиональной подготовкой и маркетингом.</w:t>
      </w:r>
    </w:p>
    <w:p w:rsidR="00D80435" w:rsidRDefault="00D80435">
      <w:pPr>
        <w:rPr>
          <w:lang w:val="ru-RU"/>
        </w:rPr>
      </w:pPr>
      <w:r>
        <w:rPr>
          <w:lang w:val="ru-RU"/>
        </w:rPr>
        <w:t>292.</w:t>
      </w:r>
      <w:r>
        <w:rPr>
          <w:lang w:val="ru-RU"/>
        </w:rPr>
        <w:tab/>
        <w:t>Национальная сельскохозяйственная программа 2000 года ставит целью учет гендерного фактора в контексте решения проблем сельского хозяйства. Были приняты меры по расширению возможностей женщин и облегчению их доступа к сырью, технологиям и другим сельскохозяйственным ресурсам. В ходе осуществления 9-го Пятилетнего плана в 15 штатах, по одному району в каждом штате, была принята к исполнению программа "Женщины в сельском хозяйстве". Почти 2 млн. бедных сельских семей к настоящему времени смогли воспользоваться финансовыми услугами, предоставляемыми формальной банковской системой через группы самопомощи, около 84 процентов которых состоят исключительно из женщин.</w:t>
      </w:r>
    </w:p>
    <w:p w:rsidR="00D80435" w:rsidRDefault="00D80435">
      <w:pPr>
        <w:spacing w:after="360"/>
        <w:rPr>
          <w:lang w:val="ru-RU"/>
        </w:rPr>
      </w:pPr>
      <w:r>
        <w:rPr>
          <w:lang w:val="ru-RU"/>
        </w:rPr>
        <w:t>293.</w:t>
      </w:r>
      <w:r>
        <w:rPr>
          <w:lang w:val="ru-RU"/>
        </w:rPr>
        <w:tab/>
        <w:t>Правительство Индии в течение ряда лет осуществило ряд программ по сокращению нищеты, которые в общих чертах можно разделить на программы самостоятельной занятости, программы создания оплачиваемых рабочих мест, программы развития территории, программы социального обеспечения и программы, имеющие отношение к земле/жилищному строительству и т. д. Некоторые из этих программ подробно описаны в последующих пунктах.</w:t>
      </w:r>
    </w:p>
    <w:p w:rsidR="00D80435" w:rsidRDefault="00D80435">
      <w:pPr>
        <w:rPr>
          <w:b/>
          <w:lang w:val="ru-RU"/>
        </w:rPr>
      </w:pPr>
      <w:r>
        <w:rPr>
          <w:b/>
          <w:lang w:val="ru-RU"/>
        </w:rPr>
        <w:t>Программы самостоятельной занятости</w:t>
      </w:r>
    </w:p>
    <w:p w:rsidR="00D80435" w:rsidRDefault="00D80435">
      <w:pPr>
        <w:spacing w:after="360"/>
        <w:rPr>
          <w:lang w:val="ru-RU"/>
        </w:rPr>
      </w:pPr>
      <w:r>
        <w:rPr>
          <w:lang w:val="ru-RU"/>
        </w:rPr>
        <w:t xml:space="preserve">294. </w:t>
      </w:r>
      <w:r>
        <w:rPr>
          <w:lang w:val="ru-RU"/>
        </w:rPr>
        <w:tab/>
      </w:r>
      <w:r>
        <w:rPr>
          <w:b/>
          <w:lang w:val="ru-RU"/>
        </w:rPr>
        <w:t>Сварнаджаянти Грам Сварозгар Йоджана (</w:t>
      </w:r>
      <w:r>
        <w:rPr>
          <w:b/>
        </w:rPr>
        <w:t>SGSY</w:t>
      </w:r>
      <w:r>
        <w:rPr>
          <w:b/>
          <w:lang w:val="ru-RU"/>
        </w:rPr>
        <w:t xml:space="preserve">): </w:t>
      </w:r>
      <w:r>
        <w:rPr>
          <w:lang w:val="ru-RU"/>
        </w:rPr>
        <w:t xml:space="preserve">В 1999 году Объединенная программа сельского развития и смежные программы были сведены в единую целостную программу. Основное внимание в ней уделяется организации сельской бедноты в группы самопомощи для наращивания их потенциала, вопросам планирования деятельности, а также предоставлению инфрастуктурной поддержки, технологии, кредитов и обеспечению каналов сбыта. 50 процентов этих групп должны состоять исключительно из женщин. Начиная с 1 апреля 1999 года в рамках программы Сварнаджаянти Грам Сварозгар Йоджана </w:t>
      </w:r>
      <w:r>
        <w:rPr>
          <w:b/>
          <w:lang w:val="ru-RU"/>
        </w:rPr>
        <w:t>(</w:t>
      </w:r>
      <w:r>
        <w:t>SGSY</w:t>
      </w:r>
      <w:r>
        <w:rPr>
          <w:lang w:val="ru-RU"/>
        </w:rPr>
        <w:t>) было создано 2 млн. групп самопомощи, в состав 1,36 млн. из них входят только женщины. На цели приносящей доход деятельности 220 тыс. группам самопомощи в виде ссуд была выплачена общая сумма 29 431 700 рупий. По состоянию на 31 мая 2005 года в соответствии с этой программой была оказана помощь 5,68 млн. семей, из которых 48,44 процента – женщины.</w:t>
      </w:r>
    </w:p>
    <w:p w:rsidR="00D80435" w:rsidRDefault="00D80435">
      <w:pPr>
        <w:rPr>
          <w:b/>
          <w:lang w:val="ru-RU"/>
        </w:rPr>
      </w:pPr>
      <w:r>
        <w:rPr>
          <w:b/>
          <w:lang w:val="ru-RU"/>
        </w:rPr>
        <w:t>Программы создания оплачиваемых рабочих мест</w:t>
      </w:r>
    </w:p>
    <w:p w:rsidR="00D80435" w:rsidRDefault="00D80435">
      <w:pPr>
        <w:rPr>
          <w:lang w:val="ru-RU"/>
        </w:rPr>
      </w:pPr>
      <w:r>
        <w:rPr>
          <w:lang w:val="ru-RU"/>
        </w:rPr>
        <w:t>295.</w:t>
      </w:r>
      <w:r>
        <w:rPr>
          <w:b/>
          <w:lang w:val="ru-RU"/>
        </w:rPr>
        <w:tab/>
        <w:t>Национальная программа "Продовольствие за работу" (НППР)</w:t>
      </w:r>
      <w:r>
        <w:rPr>
          <w:lang w:val="ru-RU"/>
        </w:rPr>
        <w:t xml:space="preserve"> начала осуществляться министерством сельского развития как программа сельского развития в 150 отобранных отсталых районах в 27 штатах. Программа ставила целью предоставление дополнительных оплачиваемых рабочих мест и улучшение продовольственной безопасности в этих районах. НППР открыта для всех сельских жителей, нуждающихся в оплачиваемой работе и готовых заниматься ручным и неквалифицированным трудом. Таким образом, по своей природе эта программа является самоадресной. Согласно этой программе участвующим в проекте штатам продовольственное зерно предоставляется бесплатно. Программа в первую очередь предусматривает проведение работ, связанных с охраной водных ресурсов, борьбу с засухой, включая лесонасаждение/посадку деревьев и землеустройство. В нее могут быть включены, при условии соблюдения в качестве основной цели охраны водных ресурсов и борьбы с засухой, работы по регулированию паводковых вод и защите от наводнений, включая осушение заболоченных мест, поддержание сети связующих элементов в сельской местности посредством строительства устойчивых против атмосферных воздействий дорог и иная деятельность подобного рода, направленная на обеспечение экономической стабильности, с учетом конкретных проблем данной местности. В течение 2004–2005 годов эти штаты в денежной форме получили 20 190 млн. рупий, а в качестве продовольственной составляющей – 2 млн. т продовольственного зерна. Общие расходы по этой программе на 2005–2006 годы составляют 60 млн. рупий и 5 млн. т продовольственного зерна.</w:t>
      </w:r>
    </w:p>
    <w:p w:rsidR="00D80435" w:rsidRDefault="00D80435">
      <w:pPr>
        <w:spacing w:after="360"/>
        <w:rPr>
          <w:lang w:val="ru-RU"/>
        </w:rPr>
      </w:pPr>
      <w:r>
        <w:rPr>
          <w:lang w:val="ru-RU"/>
        </w:rPr>
        <w:t xml:space="preserve">296. </w:t>
      </w:r>
      <w:r>
        <w:rPr>
          <w:lang w:val="ru-RU"/>
        </w:rPr>
        <w:tab/>
      </w:r>
      <w:r>
        <w:rPr>
          <w:b/>
          <w:lang w:val="ru-RU"/>
        </w:rPr>
        <w:t>Сампурна Грамин Розгар Йоджана (</w:t>
      </w:r>
      <w:r>
        <w:rPr>
          <w:b/>
        </w:rPr>
        <w:t>SGRY</w:t>
      </w:r>
      <w:r>
        <w:rPr>
          <w:b/>
          <w:lang w:val="ru-RU"/>
        </w:rPr>
        <w:t xml:space="preserve">) 2001 года: </w:t>
      </w:r>
      <w:r>
        <w:rPr>
          <w:lang w:val="ru-RU"/>
        </w:rPr>
        <w:t xml:space="preserve">Эта программа, представляющая собой сочетание более ранних программ </w:t>
      </w:r>
      <w:r>
        <w:t>JGSY</w:t>
      </w:r>
      <w:r>
        <w:rPr>
          <w:lang w:val="ru-RU"/>
        </w:rPr>
        <w:t xml:space="preserve"> и </w:t>
      </w:r>
      <w:r>
        <w:t>EAS</w:t>
      </w:r>
      <w:r>
        <w:rPr>
          <w:lang w:val="ru-RU"/>
        </w:rPr>
        <w:t>, ставит своей целью увеличение оплачиваемых рабочих мест одновременно с созданием долговременной экономической инфрастуктуры в сельских районах, а также обеспечение продовольственной безопасности для бедных. Выплата зарплаты производится частично наличными и частично натурой – 5 кг продовольственного зерна и остаток – наличными. Эта программа также предусматривает создание 30 процентов рабочих мест для женщин. В период с 1 апреля 2001 по 31 марта 2005 года было выработано 2873,4 млн. человеко-дней, оплату за которые получили 761,1 млн. женщин (26,49 процента). Кроме того, в течение этого периода было израсходовано 15,59 млн. т продовольственного зерна.</w:t>
      </w:r>
    </w:p>
    <w:p w:rsidR="00D80435" w:rsidRDefault="00D80435">
      <w:pPr>
        <w:rPr>
          <w:b/>
          <w:lang w:val="ru-RU"/>
        </w:rPr>
      </w:pPr>
      <w:r>
        <w:rPr>
          <w:b/>
          <w:lang w:val="ru-RU"/>
        </w:rPr>
        <w:t>Программы социального обеспечения</w:t>
      </w:r>
    </w:p>
    <w:p w:rsidR="00D80435" w:rsidRDefault="00D80435">
      <w:pPr>
        <w:rPr>
          <w:lang w:val="ru-RU"/>
        </w:rPr>
      </w:pPr>
      <w:r>
        <w:rPr>
          <w:lang w:val="ru-RU"/>
        </w:rPr>
        <w:t>297.</w:t>
      </w:r>
      <w:r>
        <w:rPr>
          <w:b/>
          <w:lang w:val="ru-RU"/>
        </w:rPr>
        <w:tab/>
        <w:t xml:space="preserve">Национальная программа социальной помощи (НПСП), </w:t>
      </w:r>
      <w:r>
        <w:rPr>
          <w:lang w:val="ru-RU"/>
        </w:rPr>
        <w:t>начавшая действовать в 1995 году, состоит из трех частей: Национальная программа предоставления пенсий по старости (НППС); Национальный план семейных пособий (НПСП); Национальный план пособий по беременности и родам (НППБР). Из этих программ только НППБР является чисто женской программой, в то время как два других плана охватывают как мужчин, так и женщин из семей, живущих за чертой бедности. НППБР был преобразован в Джанани Суракша Йоджана.</w:t>
      </w:r>
    </w:p>
    <w:p w:rsidR="00D80435" w:rsidRDefault="00D80435">
      <w:pPr>
        <w:spacing w:after="360"/>
        <w:rPr>
          <w:lang w:val="ru-RU"/>
        </w:rPr>
      </w:pPr>
      <w:r>
        <w:rPr>
          <w:lang w:val="ru-RU"/>
        </w:rPr>
        <w:t>298.</w:t>
      </w:r>
      <w:r>
        <w:rPr>
          <w:lang w:val="ru-RU"/>
        </w:rPr>
        <w:tab/>
      </w:r>
      <w:r>
        <w:rPr>
          <w:b/>
          <w:lang w:val="ru-RU"/>
        </w:rPr>
        <w:t>План Аннапурна</w:t>
      </w:r>
      <w:r>
        <w:rPr>
          <w:lang w:val="ru-RU"/>
        </w:rPr>
        <w:t xml:space="preserve">, начавший действовать в апреле 2000 года, направлен на обеспечение продовольствием лиц старшего возраста, которые имеют право на пенсию по НППС. Бенефициарам ежемесячно бесплатно выдается 10 кг продовольственного зерна. В июне 2003 года план был расширен, и в него были дополнительно включены 5 млн. семей, находящихся за чертой бедности. В 2002–2004 годах выдача продовольственного зерна по этому проекту увеличилась с 3,82 млн. т до 4,56 млн. т. </w:t>
      </w:r>
    </w:p>
    <w:p w:rsidR="00D80435" w:rsidRDefault="00D80435">
      <w:pPr>
        <w:rPr>
          <w:b/>
          <w:lang w:val="ru-RU"/>
        </w:rPr>
      </w:pPr>
      <w:r>
        <w:rPr>
          <w:b/>
          <w:lang w:val="ru-RU"/>
        </w:rPr>
        <w:t>Другие программы</w:t>
      </w:r>
    </w:p>
    <w:p w:rsidR="00D80435" w:rsidRDefault="00D80435">
      <w:pPr>
        <w:rPr>
          <w:lang w:val="ru-RU"/>
        </w:rPr>
      </w:pPr>
      <w:r>
        <w:rPr>
          <w:lang w:val="ru-RU"/>
        </w:rPr>
        <w:t xml:space="preserve">299. </w:t>
      </w:r>
      <w:r>
        <w:rPr>
          <w:lang w:val="ru-RU"/>
        </w:rPr>
        <w:tab/>
      </w:r>
      <w:r>
        <w:rPr>
          <w:b/>
          <w:lang w:val="ru-RU"/>
        </w:rPr>
        <w:t xml:space="preserve">Сельское жилищное строительство: </w:t>
      </w:r>
      <w:r>
        <w:rPr>
          <w:lang w:val="ru-RU"/>
        </w:rPr>
        <w:t>Индира Авас Йоджана (</w:t>
      </w:r>
      <w:r>
        <w:t>IAY</w:t>
      </w:r>
      <w:r>
        <w:rPr>
          <w:lang w:val="ru-RU"/>
        </w:rPr>
        <w:t>) является одной из успешных программ, осуществляемых министерством сельского развития. По этой программе дома выделяются на имя женщины – члена домашнего хозяйства, охваченного программой, или же совместно на имя мужа и жены. В рамках этой программы лицам, живущим за чертой бедности в сельской местности, оказывается помощь на строительство дома в виде дотации в размере 10 тыс. рупий и ссуды на строительство до 40 тыс. рупий на каждое домохозяйство. В течение 2004–2005 годов были построены/отремонтированы 1,46 млн. сельских домов, при этом 49,62 процента бенефициаров составляли женщины.</w:t>
      </w:r>
    </w:p>
    <w:p w:rsidR="00D80435" w:rsidRDefault="00D80435">
      <w:pPr>
        <w:spacing w:after="360"/>
        <w:rPr>
          <w:lang w:val="ru-RU"/>
        </w:rPr>
      </w:pPr>
      <w:r>
        <w:rPr>
          <w:lang w:val="ru-RU"/>
        </w:rPr>
        <w:t>300.</w:t>
      </w:r>
      <w:r>
        <w:rPr>
          <w:lang w:val="ru-RU"/>
        </w:rPr>
        <w:tab/>
      </w:r>
      <w:r>
        <w:rPr>
          <w:b/>
          <w:lang w:val="ru-RU"/>
        </w:rPr>
        <w:t>Питьевая вода.</w:t>
      </w:r>
      <w:r>
        <w:rPr>
          <w:lang w:val="ru-RU"/>
        </w:rPr>
        <w:t xml:space="preserve"> В бюджете 10-го Пятилетнего плана в качестве приоритетной задачи определено обеспечение всех жилищ устойчивым снабжением питьевой водой по договорной цене. Свыше 94 процентов сельских жилищ имеют доступ к системе снабжения питьевой водой. В декабре 2002 года начала действовать программа Сваджалдхара, в соответствии с которой планирование, разработка, строительство, управление и обслуживание индивидуальных систем водоснабжения осуществляются панчаятами/общинами через деревенские комитеты.</w:t>
      </w:r>
    </w:p>
    <w:p w:rsidR="00D80435" w:rsidRDefault="00D80435">
      <w:pPr>
        <w:rPr>
          <w:b/>
          <w:lang w:val="ru-RU"/>
        </w:rPr>
      </w:pPr>
      <w:r>
        <w:rPr>
          <w:b/>
          <w:lang w:val="ru-RU"/>
        </w:rPr>
        <w:t xml:space="preserve">Программы, ориентированные исключительно на женщин </w:t>
      </w:r>
    </w:p>
    <w:p w:rsidR="00D80435" w:rsidRDefault="00D80435">
      <w:pPr>
        <w:rPr>
          <w:lang w:val="ru-RU"/>
        </w:rPr>
      </w:pPr>
      <w:r>
        <w:rPr>
          <w:lang w:val="ru-RU"/>
        </w:rPr>
        <w:t>301</w:t>
      </w:r>
      <w:r>
        <w:rPr>
          <w:b/>
          <w:lang w:val="ru-RU"/>
        </w:rPr>
        <w:t>.</w:t>
      </w:r>
      <w:r>
        <w:rPr>
          <w:b/>
          <w:lang w:val="ru-RU"/>
        </w:rPr>
        <w:tab/>
        <w:t xml:space="preserve">Проекты повышения осведомленности сельских и малообеспеченных женщин: </w:t>
      </w:r>
      <w:r>
        <w:rPr>
          <w:lang w:val="ru-RU"/>
        </w:rPr>
        <w:t>Общая цель этой программы состоит в том, чтобы повысить информированность сельских и неимущих женщин в отношении различных вопросов социального характера, создать условия для обмена опытом и идеями и в ходе этого общения помочь им сформировать собственное представление о реальности, наметить пути решения проблем и удовлетворения своих нужд. Эта программа также дает возможность женщинам самоорганизоваться и расширять свое участие в принятии решений в семье и в обществе. Всего в ходе 9-го Пятилетнего плана было израсходовано 109,2 млн. рупий из запланированных 156,3 млн. рупий. В 2004 году было организовано не менее 335 учебных лагерей по повышению осведомленности, в которых участвовали 8375 женщин.</w:t>
      </w:r>
    </w:p>
    <w:p w:rsidR="00D80435" w:rsidRDefault="00D80435">
      <w:pPr>
        <w:rPr>
          <w:b/>
          <w:lang w:val="ru-RU"/>
        </w:rPr>
      </w:pPr>
      <w:r>
        <w:rPr>
          <w:lang w:val="ru-RU"/>
        </w:rPr>
        <w:t>302.</w:t>
      </w:r>
      <w:r>
        <w:rPr>
          <w:b/>
          <w:lang w:val="ru-RU"/>
        </w:rPr>
        <w:tab/>
        <w:t xml:space="preserve">Сокращенный курс обучения для взрослых женщин: </w:t>
      </w:r>
      <w:r>
        <w:rPr>
          <w:lang w:val="ru-RU"/>
        </w:rPr>
        <w:t>Центральный совет социального обеспечения начал эту программу в 1958 году, имея целью предоставить базовое образование и услуги по обучению нуждающимся женщинам, вдовам, оставшимся без средств и брошенным мужьями женщинам и женщинам, принадлежащим к отсталым в экономическом отношении слоям. Программа предусматривает предоставление добровольческим организациям грантов на проведение двухгодичных курсов по подготовке кандидатов для сдачи экзаменов по курсу начальных, средних и высших учебных заведений и на одногодичные курсы для кандидатов, не поступивших в высшие учебные заведения. Правом пользоваться преимуществами данной программы имеют девочки и женщины старше 15 лет. В течение 2004 года на организацию 336 курсов, которые посещали 9400 женщин-кандидатов, был предоставлен грант в размере 26,36 млн. рупий.</w:t>
      </w:r>
    </w:p>
    <w:p w:rsidR="00D80435" w:rsidRDefault="00D80435">
      <w:pPr>
        <w:rPr>
          <w:lang w:val="ru-RU"/>
        </w:rPr>
      </w:pPr>
      <w:r>
        <w:rPr>
          <w:lang w:val="ru-RU"/>
        </w:rPr>
        <w:t xml:space="preserve">303. </w:t>
      </w:r>
      <w:r>
        <w:rPr>
          <w:lang w:val="ru-RU"/>
        </w:rPr>
        <w:tab/>
      </w:r>
      <w:r>
        <w:rPr>
          <w:b/>
          <w:lang w:val="ru-RU"/>
        </w:rPr>
        <w:t xml:space="preserve">Программа организации яслей: </w:t>
      </w:r>
      <w:r>
        <w:rPr>
          <w:lang w:val="ru-RU"/>
        </w:rPr>
        <w:t>Эта программа, действуя с 1975 года, обеспечивает дневные услуги по уходу за детьми в возрасте до 5 лет. Услуги предоставляются детям работающих женщин, занятых в экономически отсталых секторах на низкооплачиваемых поденных, сельскохозяйственных и строительных работах в отдаленных сельских районах. Дети больных матерей также пользуются льготами этой программы. В 2003–2004 годах для содержания 9 709 яслей, которые посещали 242 735 детей, были выделены гранты на сумму 170 млн. рупий.</w:t>
      </w:r>
    </w:p>
    <w:p w:rsidR="00D80435" w:rsidRDefault="00D80435">
      <w:pPr>
        <w:rPr>
          <w:b/>
          <w:lang w:val="ru-RU"/>
        </w:rPr>
      </w:pPr>
      <w:r>
        <w:rPr>
          <w:lang w:val="ru-RU"/>
        </w:rPr>
        <w:t>304.</w:t>
      </w:r>
      <w:r>
        <w:rPr>
          <w:lang w:val="ru-RU"/>
        </w:rPr>
        <w:tab/>
      </w:r>
      <w:r>
        <w:rPr>
          <w:b/>
          <w:lang w:val="ru-RU"/>
        </w:rPr>
        <w:t>Проекты приграничных территорий:</w:t>
      </w:r>
      <w:r>
        <w:rPr>
          <w:lang w:val="ru-RU"/>
        </w:rPr>
        <w:t xml:space="preserve"> Центральный совет социального обеспечения во всех 14 приграничных штатах страны начал осуществлять проекты приграничных территорий, предусматривающие предоставление услуг женщинам и детям в сфере охраны материнства, первичной медицинской помощи, социального образования, обучения ремеслам, а также дошкольных детских учреждений. Эти услуги предоставляются через многоцелевые благотворительные центры, которые обслуживают компактную территорию из 25 смежных деревень с населением около 25 тыс. человек, приходящихся на каждый центр. В настоящее время осуществляется 81 проект, включающий 450 центров в 14 штатах. В 2004 году на эти проекты, охватившие 16 400 бенефициаров, была ассигнована сумма в 36 млн. рупий. </w:t>
      </w:r>
    </w:p>
    <w:p w:rsidR="00D80435" w:rsidRDefault="00D80435">
      <w:pPr>
        <w:rPr>
          <w:lang w:val="ru-RU"/>
        </w:rPr>
      </w:pPr>
      <w:r>
        <w:rPr>
          <w:lang w:val="ru-RU"/>
        </w:rPr>
        <w:t>305.</w:t>
      </w:r>
      <w:r>
        <w:rPr>
          <w:lang w:val="ru-RU"/>
        </w:rPr>
        <w:tab/>
      </w:r>
      <w:r>
        <w:rPr>
          <w:b/>
          <w:lang w:val="ru-RU"/>
        </w:rPr>
        <w:t xml:space="preserve">Проект повышения благосостояния: </w:t>
      </w:r>
      <w:r>
        <w:rPr>
          <w:lang w:val="ru-RU"/>
        </w:rPr>
        <w:t xml:space="preserve">предусматривает предоставление таких услуг, как детские дошкольные учреждения, ликвидация неграмотности среди взрослого населения, социальное образование и т. д. для женщин и детей, проживающих в сельских и отдаленных районах. Каждый проект охватывает 10 деревень с населением 66 тыс. человек. В настоящее время осуществляется реализация 41 проекта, в которых участвуют 315 центра в пяти штатах, охватывающие 9900 бенефициаров. В течение 2003–2004 годов на осуществление этих проектов советам штатов была выделена сумма в 29,99 млн. рупий. </w:t>
      </w:r>
      <w:r>
        <w:rPr>
          <w:b/>
          <w:lang w:val="ru-RU"/>
        </w:rPr>
        <w:t xml:space="preserve">Программа Махила Мандал (ММР) </w:t>
      </w:r>
      <w:r>
        <w:rPr>
          <w:lang w:val="ru-RU"/>
        </w:rPr>
        <w:t>была начата Советом в 1961 году с целью предоставления социальных услуг женщинам и детям в сельских районах, где службы социального обеспечения, такие как детские дошкольные учреждения, ремесленные промыслы, социальное образование, а также услуги по уходу во время беременности и родов и т. д., вообще отсутствуют. В 2003–2004 годах в рамках ММР 184 центрам, охватывающим 48 535 бенефициаров, была выделена сумма в 18 млн. рупий.</w:t>
      </w:r>
    </w:p>
    <w:p w:rsidR="00D80435" w:rsidRDefault="00D80435">
      <w:pPr>
        <w:rPr>
          <w:lang w:val="ru-RU"/>
        </w:rPr>
      </w:pPr>
      <w:r>
        <w:rPr>
          <w:lang w:val="ru-RU"/>
        </w:rPr>
        <w:t>306.</w:t>
      </w:r>
      <w:r>
        <w:rPr>
          <w:lang w:val="ru-RU"/>
        </w:rPr>
        <w:tab/>
      </w:r>
      <w:r>
        <w:rPr>
          <w:b/>
          <w:lang w:val="ru-RU"/>
        </w:rPr>
        <w:t>Кишори Шанти Йоджана (</w:t>
      </w:r>
      <w:r>
        <w:rPr>
          <w:b/>
        </w:rPr>
        <w:t>KSY</w:t>
      </w:r>
      <w:r>
        <w:rPr>
          <w:b/>
          <w:lang w:val="ru-RU"/>
        </w:rPr>
        <w:t>):</w:t>
      </w:r>
      <w:r>
        <w:rPr>
          <w:lang w:val="ru-RU"/>
        </w:rPr>
        <w:t xml:space="preserve"> начал действовать в 2000–2001 годах как часть КПДР, предназначен для девочек-подростков в возрастной группе 11–18 лет. Этот план в настоящее время осуществляется в 2000 проектах КПДР. По проекту КПДР, финансируемому Всемирным банком, а также в соответствии с проводимой в виде экспериментального проекта Департаментом по вопросам благосостояния семьи Программой охраны репродуктивного здоровья и здоровья детей производится</w:t>
      </w:r>
      <w:r>
        <w:rPr>
          <w:b/>
          <w:lang w:val="ru-RU"/>
        </w:rPr>
        <w:t xml:space="preserve"> </w:t>
      </w:r>
      <w:r>
        <w:rPr>
          <w:lang w:val="ru-RU"/>
        </w:rPr>
        <w:t xml:space="preserve">обеспечение девочек-подростков железосодержащими препаратами и фолиевой кислотой. Добавки питательных микроэлементов предоставляются девочкам-подросткам через КПДР в четырех штатах при содействии международной программы "Инициатива по питательным микроэлементам". </w:t>
      </w:r>
      <w:r>
        <w:t>KSY</w:t>
      </w:r>
      <w:r>
        <w:rPr>
          <w:lang w:val="ru-RU"/>
        </w:rPr>
        <w:t xml:space="preserve"> занимается вопросами, связанными с удовлетворением потребностей девочек-подростков в плане их саморазвития, питания, состоянии здоровья, обучения грамоте, счету и профессиональным навыкам.</w:t>
      </w:r>
    </w:p>
    <w:p w:rsidR="00D80435" w:rsidRDefault="00D80435">
      <w:pPr>
        <w:rPr>
          <w:b/>
          <w:lang w:val="ru-RU"/>
        </w:rPr>
      </w:pPr>
      <w:r>
        <w:rPr>
          <w:lang w:val="ru-RU"/>
        </w:rPr>
        <w:t>307.</w:t>
      </w:r>
      <w:r>
        <w:rPr>
          <w:lang w:val="ru-RU"/>
        </w:rPr>
        <w:tab/>
      </w:r>
      <w:r>
        <w:rPr>
          <w:b/>
          <w:lang w:val="ru-RU"/>
        </w:rPr>
        <w:t>Раштрия Махила Кош (</w:t>
      </w:r>
      <w:r>
        <w:rPr>
          <w:b/>
        </w:rPr>
        <w:t>RMK</w:t>
      </w:r>
      <w:r>
        <w:rPr>
          <w:b/>
          <w:lang w:val="ru-RU"/>
        </w:rPr>
        <w:t xml:space="preserve">): </w:t>
      </w:r>
      <w:r>
        <w:rPr>
          <w:lang w:val="ru-RU"/>
        </w:rPr>
        <w:t xml:space="preserve">Эта программа ставит целью не только предоставление услуг; она также направлена на то, чтобы изменить представления женщин о самих себе и взгляды общества на традиционную роль женщины. Первоначальная сумма, предоставленная правительством Индии </w:t>
      </w:r>
      <w:r>
        <w:t>RMK</w:t>
      </w:r>
      <w:r>
        <w:rPr>
          <w:lang w:val="ru-RU"/>
        </w:rPr>
        <w:t xml:space="preserve">, составляла 310 млн. рупий, затем она была увеличена до 1 млрд. рупий, с тем чтобы удовлетворить потребности бедных женщин страны. С начала своей деятельности Программа </w:t>
      </w:r>
      <w:r>
        <w:t>R</w:t>
      </w:r>
      <w:r>
        <w:rPr>
          <w:lang w:val="ru-RU"/>
        </w:rPr>
        <w:t>MK утвердила и выплатила 1 544 млн. рупий и 1182 млн. рупий, соответственно, 507 650 бедным женщинам-бенефициарам через 1130 партнеров из числа НПО.</w:t>
      </w:r>
    </w:p>
    <w:p w:rsidR="00D80435" w:rsidRDefault="00D80435">
      <w:pPr>
        <w:rPr>
          <w:lang w:val="ru-RU"/>
        </w:rPr>
      </w:pPr>
      <w:r>
        <w:rPr>
          <w:lang w:val="ru-RU"/>
        </w:rPr>
        <w:t>308.</w:t>
      </w:r>
      <w:r>
        <w:rPr>
          <w:lang w:val="ru-RU"/>
        </w:rPr>
        <w:tab/>
      </w:r>
      <w:r>
        <w:rPr>
          <w:b/>
          <w:lang w:val="ru-RU"/>
        </w:rPr>
        <w:t xml:space="preserve">Программа помощи в области профессиональной подготовки и занятости женщин (ПППЗ): </w:t>
      </w:r>
      <w:r>
        <w:rPr>
          <w:lang w:val="ru-RU"/>
        </w:rPr>
        <w:t>предусматривает предоставление услуг по переподготовке и профессиональному обучению бедных и неимущих женщин в традиционных секторах. В 2003–2004 годах было утверждено 11 проектов и выделена сумма в 137,8 млн. рупий, которой воспользовались 16 350 женщин.</w:t>
      </w:r>
    </w:p>
    <w:p w:rsidR="00D80435" w:rsidRDefault="00D80435">
      <w:pPr>
        <w:rPr>
          <w:lang w:val="ru-RU"/>
        </w:rPr>
      </w:pPr>
      <w:r>
        <w:rPr>
          <w:lang w:val="ru-RU"/>
        </w:rPr>
        <w:t>309.</w:t>
      </w:r>
      <w:r>
        <w:rPr>
          <w:lang w:val="ru-RU"/>
        </w:rPr>
        <w:tab/>
      </w:r>
      <w:r>
        <w:rPr>
          <w:b/>
          <w:lang w:val="ru-RU"/>
        </w:rPr>
        <w:t>Программа Сваваламбан:</w:t>
      </w:r>
      <w:r>
        <w:rPr>
          <w:lang w:val="ru-RU"/>
        </w:rPr>
        <w:t xml:space="preserve"> начата в 1982–1983 годах, ставит задачу дать женщинам профессиональную подготовку и трудовые навыки, чтобы помочь им найти работу на постоянной основе. В рамках программы в 2004–2005 годах (по состоянию на 31 декабря 2004 года) было утверждено 195 новых проектов и отпущено 63,30 млн. рупий на нужды 24 560 женщин.</w:t>
      </w:r>
    </w:p>
    <w:p w:rsidR="00D80435" w:rsidRDefault="00D80435">
      <w:pPr>
        <w:rPr>
          <w:lang w:val="ru-RU"/>
        </w:rPr>
      </w:pPr>
      <w:r>
        <w:rPr>
          <w:lang w:val="ru-RU"/>
        </w:rPr>
        <w:t xml:space="preserve">310. </w:t>
      </w:r>
      <w:r>
        <w:rPr>
          <w:lang w:val="ru-RU"/>
        </w:rPr>
        <w:tab/>
      </w:r>
      <w:r>
        <w:rPr>
          <w:b/>
          <w:lang w:val="ru-RU"/>
        </w:rPr>
        <w:t>Проект Свашакти:</w:t>
      </w:r>
      <w:r>
        <w:rPr>
          <w:lang w:val="ru-RU"/>
        </w:rPr>
        <w:t xml:space="preserve"> известный ранее как Проект развития и расширения прав и возможностей сельских женщин, был начат в 1998 году в качестве проекта, финансируемого центральным правительством и рассчитанного на 5 лет с предполагаемыми расходами в 1862 млн. рупий. Кроме того, в ходе реализации проекта нуждающимся женщинам была выделена сумма в 50 млн. рупий, предназначенная для создания в соответствующих штатах фондов оборотных средств, из которых охваченным проектом группам могли предоставляться процентные ссуды, главным образом, в первоначальный период их становления. В широком смысле цель этого проекта состоит в том, чтобы усилить процессы расширения прав и возможностей женщин и создать для этого благоприятную среду. Проект охватывает 57 районов в штатах Уттар-Прадеш, Уттаранчал, Харьяна, Мадхья-Прадеш, Джаркханд, Гуджарат, Чаттисгарх, Kaрнатака и Бихар. Было сформировано 17 647 женских ГСП вместо планировавшихся 16 тыс. с общим числом членов 243 962. Общая сумма их групповых сбережений составляет 221,5 млн. рупий, а сумма взаимных кредитов, предоставленных группами друг другу, – 548,7 млн. рупий.</w:t>
      </w:r>
    </w:p>
    <w:p w:rsidR="00D80435" w:rsidRDefault="00D80435">
      <w:pPr>
        <w:rPr>
          <w:b/>
          <w:lang w:val="ru-RU"/>
        </w:rPr>
      </w:pPr>
      <w:r>
        <w:rPr>
          <w:lang w:val="ru-RU"/>
        </w:rPr>
        <w:t>311.</w:t>
      </w:r>
      <w:r>
        <w:rPr>
          <w:lang w:val="ru-RU"/>
        </w:rPr>
        <w:tab/>
      </w:r>
      <w:r>
        <w:rPr>
          <w:b/>
          <w:lang w:val="ru-RU"/>
        </w:rPr>
        <w:t>План Сваямсидха:</w:t>
      </w:r>
      <w:r>
        <w:rPr>
          <w:lang w:val="ru-RU"/>
        </w:rPr>
        <w:t xml:space="preserve"> общая оценочная стоимость составляла 1163 млн. рупий, начал осуществляться в 2000–2001 годах в 650 поселениях. Свайамсидха – это комплексный план расширения прав и возможностей женщин, основанный на организации женщин в группы самопомощи и направленный на расширение прав и возможностей женщин с помощью комплекса согласованных мер, в том числе создания сберегательных касс, повышения осведомленности, развития навыков, расширения экономических прав и возможностей</w:t>
      </w:r>
      <w:r>
        <w:rPr>
          <w:b/>
          <w:lang w:val="ru-RU"/>
        </w:rPr>
        <w:t xml:space="preserve"> </w:t>
      </w:r>
      <w:r>
        <w:rPr>
          <w:lang w:val="ru-RU"/>
        </w:rPr>
        <w:t xml:space="preserve">и объединения различных проектов. Главными целями этого плана являются учреждение самодостаточных женских ГСП, создание среди их членов обстановки доверия и повышение их информированности в отношении вопросов, касающихся положения женщин, здравоохранения, питания, образования, санитарии и гигиены, юридических прав, экономического роста и других социальных, экономических и политических вопросов, закрепляющих и институализирующих привычку у сельских женщин открывать вклады в сберегательных кассах и контролировать экономические ресурсы, облегчающие доступ женщин к микрокредитам, а также их участие в планировании на местном уровне. По состоянию на 31 декабря 2004 года в соответствии с планом Сваямсидха было сформировано около 59 940 ГСП. </w:t>
      </w:r>
    </w:p>
    <w:p w:rsidR="00D80435" w:rsidRDefault="00D80435">
      <w:pPr>
        <w:rPr>
          <w:lang w:val="ru-RU"/>
        </w:rPr>
      </w:pPr>
      <w:r>
        <w:rPr>
          <w:lang w:val="ru-RU"/>
        </w:rPr>
        <w:t>312</w:t>
      </w:r>
      <w:r>
        <w:rPr>
          <w:b/>
          <w:lang w:val="ru-RU"/>
        </w:rPr>
        <w:t>.</w:t>
      </w:r>
      <w:r>
        <w:rPr>
          <w:b/>
          <w:lang w:val="ru-RU"/>
        </w:rPr>
        <w:tab/>
        <w:t>Программа Махила Самахия:</w:t>
      </w:r>
      <w:r>
        <w:rPr>
          <w:lang w:val="ru-RU"/>
        </w:rPr>
        <w:t xml:space="preserve"> это процесс обучения тому, как ставить под сомнение догмы, критически анализировать спорные вопросы и проблемы и искать решения. Это попытка дать возможность женщинам, особенно из обездоленных групп, получить необходимые знания и информацию, чтобы делать осознанный выбор, поднимать и решать проблемы изоляции и неуверенности в себе, жестоких социальных обычаев, физического выживания – противостоять всему тому, что ограничивает их познания. Именно в ходе этого процесса женщины расширяют свои права и возможности. Сангхи (группы женщин) согласно программе Махила Самахия во всех вышеперечисленных штатах предприняли инициативы, чтобы поднять широкий круг этих вопросов/проблем – от четкого формулирования своих озабоченностей</w:t>
      </w:r>
      <w:r>
        <w:rPr>
          <w:b/>
          <w:lang w:val="ru-RU"/>
        </w:rPr>
        <w:t xml:space="preserve"> </w:t>
      </w:r>
      <w:r>
        <w:rPr>
          <w:lang w:val="ru-RU"/>
        </w:rPr>
        <w:t>до борьбы за решение социальных проблем, таких как насилие в отношении женщин, браки несовершеннолетних, стремление женщин стать грамотными и приобрести навыки счета, удовлетворение минимальных повседневных потребностей, улучшение бытовых удобств, возможность контроля над своим здоровьем, беспрепятственный доступ к ресурсам и контроль за ними, обеспечение возможностей получения образования для своих детей, особенно девочек, и участие в политической жизни.</w:t>
      </w:r>
    </w:p>
    <w:p w:rsidR="00D80435" w:rsidRDefault="00D80435">
      <w:pPr>
        <w:rPr>
          <w:lang w:val="ru-RU"/>
        </w:rPr>
      </w:pPr>
      <w:r>
        <w:rPr>
          <w:lang w:val="ru-RU"/>
        </w:rPr>
        <w:t>313.</w:t>
      </w:r>
      <w:r>
        <w:rPr>
          <w:b/>
          <w:lang w:val="ru-RU"/>
        </w:rPr>
        <w:tab/>
        <w:t>План по учету доли женщин (ПДЖ):</w:t>
      </w:r>
      <w:r>
        <w:rPr>
          <w:lang w:val="ru-RU"/>
        </w:rPr>
        <w:t xml:space="preserve"> был принят для обеспечения того, чтобы блага, полученные в других секторах развития, не миновали женщин и чтобы не менее 30 процентов средств/благ, созданных в ходе 9-го Пятилетнего плана в связанных с ними секторах, направлялись женщинам. Эта стратегия благодаря многосекторальному подходу дает возможность гармоничного развития и прогресса женщин. Средства в значительных размерах направляются женщинам по каналам как специфических женских программ, так и через программы, имеющие отношение к женщинам, которые осуществляются пятнадцатью центральными министерствами/ департаментами.</w:t>
      </w:r>
    </w:p>
    <w:p w:rsidR="00D80435" w:rsidRDefault="00D80435">
      <w:pPr>
        <w:rPr>
          <w:lang w:val="ru-RU"/>
        </w:rPr>
      </w:pPr>
      <w:r>
        <w:rPr>
          <w:lang w:val="ru-RU"/>
        </w:rPr>
        <w:t xml:space="preserve">314. </w:t>
      </w:r>
      <w:r>
        <w:rPr>
          <w:lang w:val="ru-RU"/>
        </w:rPr>
        <w:tab/>
        <w:t xml:space="preserve">Вклад министерств/департаментов по вопросам благосостояния семьи, здравоохранения, образования и индийских медицинских и гомеопатических систем составляет не менее 70 процентов, в то время как министерства труда и сельского развития вложили 30–50 процентов; средства, поступившие от остальных учреждений, не превысили 50 процентов их сводных балансов. В результате осуществления ПДЖ повысилась осведомленность сотрудников плановых органов, политиков и руководителей и стало более ответственным их отношение к обеспечению поступлений средств. </w:t>
      </w:r>
    </w:p>
    <w:p w:rsidR="00D80435" w:rsidRDefault="00D80435">
      <w:pPr>
        <w:rPr>
          <w:lang w:val="ru-RU"/>
        </w:rPr>
      </w:pPr>
      <w:r>
        <w:rPr>
          <w:lang w:val="ru-RU"/>
        </w:rPr>
        <w:t>315.</w:t>
      </w:r>
      <w:r>
        <w:rPr>
          <w:lang w:val="ru-RU"/>
        </w:rPr>
        <w:tab/>
        <w:t xml:space="preserve">В рамках 9-го Пятилетнего плана предусмотрены меры по делегированию институтам панчаят радж функциональной ответственности, полномочий административного контроля за правительственными чиновниками, занимающимися вопросами, перечисленными в одиннадцатом приложении к Конституции, и финансовыми ресурсами, выделенными на реализацию программ развития. Эти вопросы включают сельское хозяйство, земельные реформы, ирригацию в небольших объемах, скотоводство, рыболовство, мелкие предприятия, сельское жилищное строительство, снабжение питьевой водой, программы борьбы с нищетой, здравоохранение, образование, благосостояние семьи и т. д. В этой области был достигнут относительный прогресс. Было осуществлено делегирование политических полномочий. Состоялись выборы, в результате которых женщины из СК и СП и других маргинализованных групп получили политическое представительство в сельских районах. Однако в некоторых штатах отмечается отставание с передачей функций и финансов панчаятам. </w:t>
      </w:r>
    </w:p>
    <w:p w:rsidR="00D80435" w:rsidRDefault="00D80435">
      <w:pPr>
        <w:spacing w:after="360"/>
        <w:rPr>
          <w:lang w:val="ru-RU"/>
        </w:rPr>
      </w:pPr>
      <w:r>
        <w:rPr>
          <w:lang w:val="ru-RU"/>
        </w:rPr>
        <w:t>316.</w:t>
      </w:r>
      <w:r>
        <w:rPr>
          <w:lang w:val="ru-RU"/>
        </w:rPr>
        <w:tab/>
        <w:t>Финансирование этих программ на период 10-го Пятилетнего плана значительно возросло. По сравнению с общими расходами в 358 660 млн. рупий, предусмотренными в рамках 9</w:t>
      </w:r>
      <w:r>
        <w:rPr>
          <w:lang w:val="ru-RU"/>
        </w:rPr>
        <w:noBreakHyphen/>
        <w:t>го Пятилетнего плана, финансирование на период 10-го Пятилетнего плана увеличилось до 567 480 млн. рупий.</w:t>
      </w:r>
    </w:p>
    <w:p w:rsidR="00D80435" w:rsidRDefault="00D80435">
      <w:pPr>
        <w:rPr>
          <w:b/>
          <w:lang w:val="ru-RU"/>
        </w:rPr>
      </w:pPr>
      <w:r>
        <w:rPr>
          <w:b/>
          <w:lang w:val="ru-RU"/>
        </w:rPr>
        <w:t>Предстоящие задачи</w:t>
      </w:r>
    </w:p>
    <w:p w:rsidR="00D80435" w:rsidRDefault="00D80435">
      <w:pPr>
        <w:rPr>
          <w:lang w:val="ru-RU"/>
        </w:rPr>
      </w:pPr>
      <w:r>
        <w:rPr>
          <w:lang w:val="ru-RU"/>
        </w:rPr>
        <w:t>317.</w:t>
      </w:r>
      <w:r>
        <w:rPr>
          <w:lang w:val="ru-RU"/>
        </w:rPr>
        <w:tab/>
        <w:t>Сельские женщины находятся в невыгодном положении из-за стойкости патриархального уклада, социокультурной практики и обычаев. Среди них в еще более тяжелых обстоятельствах живут женщины из включенных в списки каст и племен и женщины из бедных слоев населения. При решении вопросов, относящихся к сельским женщинам, правительство требует учитывать специфику развития и статус женщин, принадлежащих к различным секторам сельского общества.</w:t>
      </w:r>
    </w:p>
    <w:p w:rsidR="00D80435" w:rsidRDefault="00D80435">
      <w:pPr>
        <w:rPr>
          <w:lang w:val="ru-RU"/>
        </w:rPr>
      </w:pPr>
      <w:r>
        <w:rPr>
          <w:lang w:val="ru-RU"/>
        </w:rPr>
        <w:t xml:space="preserve">318. </w:t>
      </w:r>
      <w:r>
        <w:rPr>
          <w:lang w:val="ru-RU"/>
        </w:rPr>
        <w:tab/>
        <w:t xml:space="preserve">Правительство определило несколько факторов, которые тормозят развитие потенциала сельских женщин, в том числе самой уязвимой категории среди них. В 10-м Пятилетнем плане при решении проблем в области образования, здравоохранения и способов получения средств существования самым тщательным образом учитываются региональные диспропорции, а также эффективное и своевременное осуществление программ. </w:t>
      </w:r>
    </w:p>
    <w:p w:rsidR="00D80435" w:rsidRDefault="00D80435">
      <w:pPr>
        <w:rPr>
          <w:lang w:val="ru-RU"/>
        </w:rPr>
      </w:pPr>
      <w:r>
        <w:rPr>
          <w:lang w:val="ru-RU"/>
        </w:rPr>
        <w:t xml:space="preserve">319. </w:t>
      </w:r>
      <w:r>
        <w:rPr>
          <w:lang w:val="ru-RU"/>
        </w:rPr>
        <w:tab/>
        <w:t>В сельскохозяйственном секторе сконцентрировано 89,5 процента женской рабочей силы, однако женщины остаются безземельными. Учитывая этот факт, 10-й Пятилетний план сосредоточивается на эффективном осуществлении законодательства о земельной реформе, ограничениях на владение сельскохозяйственными угодьями, передаче излишков земли и проблеме оформления совместного владения в соответствии с программами правительства. В течение 10-го Пятилетнего плана в рамках программы Индира Авас Йоджана бесплатное жилье будет в первую очередь предоставляться в семьям, живущим за чертой бедности и принадлежащих к СК и СП. В отношении других семей, живущих ниже черты бедности, предусматривается постепенный переход к программе жилья на кредитной основе. Отмечается необходимость в создании в сельском жилищном секторе институциональных производственных мощностей с учетом проектирования домов, поставок сырья и строительства. Сельские общины должны привлекаться к планировке и проектированию таких домов. Следует предусмотреть оборудование дома приспособлениями для сбора дождевой воды, системами водоснабжения и канализацией.</w:t>
      </w:r>
    </w:p>
    <w:p w:rsidR="00D80435" w:rsidRDefault="00D80435">
      <w:pPr>
        <w:rPr>
          <w:b/>
          <w:lang w:val="ru-RU"/>
        </w:rPr>
      </w:pPr>
    </w:p>
    <w:p w:rsidR="00D80435" w:rsidRDefault="00D80435">
      <w:pPr>
        <w:pStyle w:val="Heading4"/>
      </w:pPr>
      <w:r>
        <w:t>Статья 15.  Равенство перед законом и в гражданских делах</w:t>
      </w:r>
    </w:p>
    <w:p w:rsidR="00D80435" w:rsidRDefault="00D80435">
      <w:pPr>
        <w:rPr>
          <w:lang w:val="ru-RU"/>
        </w:rPr>
      </w:pPr>
      <w:r>
        <w:rPr>
          <w:b/>
          <w:lang w:val="ru-RU"/>
        </w:rPr>
        <w:t>Справочная информация</w:t>
      </w:r>
    </w:p>
    <w:p w:rsidR="00D80435" w:rsidRDefault="00D80435">
      <w:pPr>
        <w:rPr>
          <w:b/>
          <w:lang w:val="ru-RU"/>
        </w:rPr>
      </w:pPr>
      <w:r>
        <w:rPr>
          <w:lang w:val="ru-RU"/>
        </w:rPr>
        <w:t xml:space="preserve">320. </w:t>
      </w:r>
      <w:r>
        <w:rPr>
          <w:lang w:val="ru-RU"/>
        </w:rPr>
        <w:tab/>
        <w:t>Конституция гарантирует равенство перед законом и равную защиту со стороны закона на территории Индии (статья 14). Она также запрещает дискриминацию по признаку пола, касты, религии или места рождения (статья 15). В Конституции гарантируются также</w:t>
      </w:r>
      <w:r>
        <w:rPr>
          <w:b/>
          <w:lang w:val="ru-RU"/>
        </w:rPr>
        <w:t xml:space="preserve"> </w:t>
      </w:r>
      <w:r>
        <w:rPr>
          <w:lang w:val="ru-RU"/>
        </w:rPr>
        <w:t>равные возможности при поступлении на государственную службу (статья 16), отмена института неприкасаемости (статья 17), равная оплата за равный труд как для мужчин, так и для женщин [пункт е) статьи 39], право на жизнь и личную свободу (статья 21). Кроме того, Закон о гражданских правах 1955 года, Трудовой кодекс 1993 года и Закон о детях 1992 года также гарантируют право на равенство. Несмотря на конституционные гарантии, женщины не пользуются равным доступом ко многим из этих прав и не имеют возможности пользоваться ими. Кроме того, поскольку женщины сконцентрированы в сельскохозяйственном и неформальном секторах, применение в принудительном порядке принципа равной оплаты или даже минимальной заработной платы вызывает затруднения.</w:t>
      </w:r>
    </w:p>
    <w:p w:rsidR="00D80435" w:rsidRDefault="00D80435">
      <w:pPr>
        <w:rPr>
          <w:lang w:val="ru-RU"/>
        </w:rPr>
      </w:pPr>
      <w:r>
        <w:rPr>
          <w:lang w:val="ru-RU"/>
        </w:rPr>
        <w:t xml:space="preserve">321. </w:t>
      </w:r>
      <w:r>
        <w:rPr>
          <w:lang w:val="ru-RU"/>
        </w:rPr>
        <w:tab/>
        <w:t>В Индии женщины имеют равные права в гражданских делах и право заключать договоры. Индийский Закон о договоре 1872 года не запрещает женщинам заключать договоры. Согласно разделу 11 этого Закона любое лицо, которое является совершеннолетним, находится в здравом уме и не признано неправоспособным в других отношениях, способно заключать договор. Аналогичным образом Закон о товариществе 1932 года также не запрещает женщине вступать в товарищество или создавать компанию либо учреждать частную фирму. Кроме того, женщины могут покупать акции компании и получать от них дивиденды. В Индии имуществом владеет то лицо, на имя которого зарегистрировано это имущество. Закон Бенами о сделках (запрещение) 1988 года, запрещающий инвестирование/покупку имущества на имя третьей стороны, разрешает покупку имущества на имя жены или дочери.</w:t>
      </w:r>
    </w:p>
    <w:p w:rsidR="00D80435" w:rsidRDefault="00D80435">
      <w:pPr>
        <w:rPr>
          <w:lang w:val="ru-RU"/>
        </w:rPr>
      </w:pPr>
      <w:r>
        <w:rPr>
          <w:lang w:val="ru-RU"/>
        </w:rPr>
        <w:t xml:space="preserve">322. </w:t>
      </w:r>
      <w:r>
        <w:rPr>
          <w:lang w:val="ru-RU"/>
        </w:rPr>
        <w:tab/>
        <w:t>Как мужчины, так и женщины имеют право владеть и пользоваться имуществом, получать семейные пособия, брать ссуды и другие формы финансовых кредитов. Не существует запрета или ограничения для женщин на управление имуществом в своем личном качестве. В индусский Закон о правопреемстве 1956 года вносятся поправки с целью предоставления прав совместного наследования женщинам (дающие женщинам равные права на родовое имущество).</w:t>
      </w:r>
    </w:p>
    <w:p w:rsidR="00D80435" w:rsidRDefault="00D80435">
      <w:pPr>
        <w:rPr>
          <w:lang w:val="ru-RU"/>
        </w:rPr>
      </w:pPr>
      <w:r>
        <w:rPr>
          <w:lang w:val="ru-RU"/>
        </w:rPr>
        <w:t xml:space="preserve">323. </w:t>
      </w:r>
      <w:r>
        <w:rPr>
          <w:lang w:val="ru-RU"/>
        </w:rPr>
        <w:tab/>
        <w:t>Женщины как физические лица имеют равные права на обращение в любой суд или трибунал для решения своих проблем. Они могут подавать в суд от своего собственного имени, и их показания принимаются без каких-либо подтверждений. Женщины ведут практику в качестве адвокатов и юридических советников, представляя клиентов в судах и трибуналах; они также отправляют правосудие в качестве судей во всех судах.</w:t>
      </w:r>
    </w:p>
    <w:p w:rsidR="00D80435" w:rsidRDefault="00D80435">
      <w:pPr>
        <w:rPr>
          <w:lang w:val="ru-RU"/>
        </w:rPr>
      </w:pPr>
      <w:r>
        <w:rPr>
          <w:lang w:val="ru-RU"/>
        </w:rPr>
        <w:t xml:space="preserve">324. </w:t>
      </w:r>
      <w:r>
        <w:rPr>
          <w:lang w:val="ru-RU"/>
        </w:rPr>
        <w:tab/>
        <w:t>Конституция гарантирует равную защиту в отношении права на передвижения и свободного проживания в пределах территории Индии [пункты с) и d) статьи 19]. Однако традиции и практика ограничивают мобильность женщин.</w:t>
      </w:r>
    </w:p>
    <w:p w:rsidR="00D80435" w:rsidRDefault="00D80435">
      <w:pPr>
        <w:spacing w:after="360"/>
        <w:rPr>
          <w:lang w:val="ru-RU"/>
        </w:rPr>
      </w:pPr>
      <w:r>
        <w:rPr>
          <w:lang w:val="ru-RU"/>
        </w:rPr>
        <w:t xml:space="preserve">325. </w:t>
      </w:r>
      <w:r>
        <w:rPr>
          <w:lang w:val="ru-RU"/>
        </w:rPr>
        <w:tab/>
        <w:t xml:space="preserve">Ранее "место проживания" женщины после замужества зависело от "места проживания" ее мужа и, таким образом, ее доступ к судам и удовлетворение там ее требований также зависели от места проживания ее мужа. Однако Верховный суд в деле </w:t>
      </w:r>
      <w:r>
        <w:rPr>
          <w:b/>
          <w:lang w:val="ru-RU"/>
        </w:rPr>
        <w:t>Нарашимха Рао против Венката Лакшми (1991 год) (3 SCC 451)</w:t>
      </w:r>
      <w:r>
        <w:rPr>
          <w:lang w:val="ru-RU"/>
        </w:rPr>
        <w:t>, давая толкование международному частному праву, установил, что место проживания женщины не обязательно должно соответствовать месту проживания ее мужа. Таким образом, женщина имеет право не только сохранять место проживания по своему выбору, но также обращаться в любой суд, защищая это право.</w:t>
      </w:r>
    </w:p>
    <w:p w:rsidR="00D80435" w:rsidRDefault="00D80435">
      <w:pPr>
        <w:rPr>
          <w:b/>
          <w:lang w:val="ru-RU"/>
        </w:rPr>
      </w:pPr>
      <w:r>
        <w:rPr>
          <w:b/>
          <w:lang w:val="ru-RU"/>
        </w:rPr>
        <w:t>Инициативы государства</w:t>
      </w:r>
    </w:p>
    <w:p w:rsidR="00D80435" w:rsidRDefault="00D80435">
      <w:pPr>
        <w:spacing w:after="360"/>
        <w:rPr>
          <w:lang w:val="ru-RU"/>
        </w:rPr>
      </w:pPr>
      <w:r>
        <w:rPr>
          <w:lang w:val="ru-RU"/>
        </w:rPr>
        <w:t xml:space="preserve">326. </w:t>
      </w:r>
      <w:r>
        <w:rPr>
          <w:lang w:val="ru-RU"/>
        </w:rPr>
        <w:tab/>
        <w:t>Несмотря на то что Конституция гарантирует равенство, фактическое равенство все еще далеко от стандартов, установленных в Конституции и Конвенции. Правительство приняло различные меры по обеспечению реализации этих прав на практике, что было показано в разделе, посвященном статье 3.</w:t>
      </w:r>
    </w:p>
    <w:p w:rsidR="00D80435" w:rsidRDefault="00D80435">
      <w:pPr>
        <w:rPr>
          <w:b/>
          <w:lang w:val="ru-RU"/>
        </w:rPr>
      </w:pPr>
      <w:r>
        <w:rPr>
          <w:b/>
          <w:lang w:val="ru-RU"/>
        </w:rPr>
        <w:t>Предстоящие задачи</w:t>
      </w:r>
    </w:p>
    <w:p w:rsidR="00D80435" w:rsidRDefault="00D80435">
      <w:pPr>
        <w:rPr>
          <w:lang w:val="ru-RU"/>
        </w:rPr>
      </w:pPr>
      <w:r>
        <w:rPr>
          <w:lang w:val="ru-RU"/>
        </w:rPr>
        <w:t xml:space="preserve">327. </w:t>
      </w:r>
      <w:r>
        <w:rPr>
          <w:lang w:val="ru-RU"/>
        </w:rPr>
        <w:tab/>
        <w:t>Глубоко укоренившиеся социокультурные нормы, деление на государственный и частный секторы, разделение труда внутри семьи и патриархальные ценности являются основными препятствиями на пути приобретения женщинами фактического равенства. Правительство обязалось в своей Национальной программе расширения прав и возможностей женщин решать указанные вопросы и обеспечить ликвидацию дискриминации такого рода.</w:t>
      </w:r>
    </w:p>
    <w:p w:rsidR="00D80435" w:rsidRDefault="00D80435">
      <w:pPr>
        <w:rPr>
          <w:lang w:val="ru-RU"/>
        </w:rPr>
      </w:pPr>
    </w:p>
    <w:p w:rsidR="00D80435" w:rsidRDefault="00D80435">
      <w:pPr>
        <w:pStyle w:val="Heading4"/>
      </w:pPr>
      <w:r>
        <w:t>Статья 16.  Равенство в браке и семейные отношения</w:t>
      </w:r>
    </w:p>
    <w:p w:rsidR="00D80435" w:rsidRDefault="00D80435">
      <w:pPr>
        <w:rPr>
          <w:b/>
          <w:lang w:val="ru-RU"/>
        </w:rPr>
      </w:pPr>
      <w:r>
        <w:rPr>
          <w:b/>
          <w:lang w:val="ru-RU"/>
        </w:rPr>
        <w:t>Справочная информация</w:t>
      </w:r>
    </w:p>
    <w:p w:rsidR="00D80435" w:rsidRDefault="00D80435">
      <w:pPr>
        <w:rPr>
          <w:lang w:val="ru-RU"/>
        </w:rPr>
      </w:pPr>
      <w:r>
        <w:rPr>
          <w:lang w:val="ru-RU"/>
        </w:rPr>
        <w:t xml:space="preserve">328. </w:t>
      </w:r>
      <w:r>
        <w:rPr>
          <w:lang w:val="ru-RU"/>
        </w:rPr>
        <w:tab/>
        <w:t>Индия придерживается плюралистической системы права, основанной на религии. Как указывалось в Первоначальном докладе, различные религиозные общины следуют своим соответствующим законам в делах, касающихся брака, развода, опеки над несовершеннолетними, попечительства и иных вопросов, связанных с правами внутри семьи. Однако в браке и семейных отношениях равенство отсутствует. Такие традиции, как выплата приданого, браки несовершеннолетних и девадаси препятствуют развитию и расширению прав и возможностей женщин. Юридические положения в борьбе с ними оказались неэффективными, поскольку эти явления связаны с социальными ценностями, культурной практикой, нищетой и неосведомленностью. В Индии брак считается священным институтом. Закон о семейных судах налагает на суды обязанность прежде чем выдавать свидетельство о разводе, попытаться добиться примирения и сохранить брак.</w:t>
      </w:r>
    </w:p>
    <w:p w:rsidR="00D80435" w:rsidRDefault="00D80435">
      <w:pPr>
        <w:rPr>
          <w:lang w:val="ru-RU"/>
        </w:rPr>
      </w:pPr>
      <w:r>
        <w:rPr>
          <w:lang w:val="ru-RU"/>
        </w:rPr>
        <w:t xml:space="preserve">329. </w:t>
      </w:r>
      <w:r>
        <w:rPr>
          <w:lang w:val="ru-RU"/>
        </w:rPr>
        <w:tab/>
        <w:t>Все персональные законы, за исключением мусульманского законодательства, устанавливают возраст вступления в брак, соответственно, 18 лет для девушек и 21 год для юношей. Закон о запрещении браков несовершеннолетних 1978 года устанавливает то же самое. Однако во многих частях Индии по-прежнему отмечаются случаи заключения браков между несовершеннолетними – практика, уходящая корнями в традицию и культуру, как это видно на примере детских браков в Раджастане. Закон о запрещении браков несовершеннолетних всего лишь наказывает правонарушителя, но не лишает брак юридической силы. Приемлемость для общества ранних браков сводит на нет осуществление этого закона.</w:t>
      </w:r>
    </w:p>
    <w:p w:rsidR="00D80435" w:rsidRDefault="00D80435">
      <w:pPr>
        <w:rPr>
          <w:lang w:val="ru-RU"/>
        </w:rPr>
      </w:pPr>
      <w:r>
        <w:rPr>
          <w:lang w:val="ru-RU"/>
        </w:rPr>
        <w:t xml:space="preserve">330. </w:t>
      </w:r>
      <w:r>
        <w:rPr>
          <w:lang w:val="ru-RU"/>
        </w:rPr>
        <w:tab/>
        <w:t xml:space="preserve">Юридическим требованием для законного брака является согласие, но на практике женщины едва ли имеют право голоса в том, что касается выбора ее партнера, времени вступления в брак и ее желания выйти замуж. За исключением мусульманского законодательства все персональные законы запрещают многоженство. Согласно Уголовному кодексу двоеженство наказуемо; оно также является основанием для развода. Несмотря на то что оба супруга имеют равные права в браке, на практике соблюдается обычай, когда мужчина является главой домашнего хозяйства и, следовательно, лицом, принимающим решения. Неравный образовательный статус, экономическая зависимость и ограничения на передвижение еще больше усугубляют ситуацию для женщин. </w:t>
      </w:r>
    </w:p>
    <w:p w:rsidR="00D80435" w:rsidRDefault="00D80435">
      <w:pPr>
        <w:spacing w:after="360"/>
        <w:rPr>
          <w:lang w:val="ru-RU"/>
        </w:rPr>
      </w:pPr>
      <w:r>
        <w:rPr>
          <w:lang w:val="ru-RU"/>
        </w:rPr>
        <w:t xml:space="preserve">331. </w:t>
      </w:r>
      <w:r>
        <w:rPr>
          <w:lang w:val="ru-RU"/>
        </w:rPr>
        <w:tab/>
        <w:t xml:space="preserve">Национальная политика по расширению прав и возможностей женщин 2001 года ставит целью по инициативе и при полном участии всех заинтересованных лиц, включая глав общин и религиозных лидеров, всемерно содействовать изменениям в персональных законах, таких как законы, связанные с браком, разводом, содержанием и опекой, с тем чтобы ликвидировать дискриминацию в отношении женщин. Таким образом предусматривается, что требование об изменениях должно исходить от самой общины. </w:t>
      </w:r>
    </w:p>
    <w:p w:rsidR="00D80435" w:rsidRDefault="00D80435">
      <w:pPr>
        <w:rPr>
          <w:b/>
          <w:lang w:val="ru-RU"/>
        </w:rPr>
      </w:pPr>
      <w:r>
        <w:rPr>
          <w:b/>
          <w:lang w:val="ru-RU"/>
        </w:rPr>
        <w:t>Инициативы государства</w:t>
      </w:r>
    </w:p>
    <w:p w:rsidR="00D80435" w:rsidRDefault="00D80435">
      <w:pPr>
        <w:rPr>
          <w:lang w:val="ru-RU"/>
        </w:rPr>
      </w:pPr>
      <w:r>
        <w:rPr>
          <w:lang w:val="ru-RU"/>
        </w:rPr>
        <w:t xml:space="preserve">332. </w:t>
      </w:r>
      <w:r>
        <w:rPr>
          <w:lang w:val="ru-RU"/>
        </w:rPr>
        <w:tab/>
        <w:t>Национальная комиссия по делам женщин пересмотрела дискриминационные законы и предложила множество поправок, которые ожидают активного рассмотрения правительством. Некоторые из этих поправок, внесенных в персональные законы, были освещены в разделе, посвященном статье 2.</w:t>
      </w:r>
    </w:p>
    <w:p w:rsidR="00D80435" w:rsidRDefault="00D80435">
      <w:pPr>
        <w:rPr>
          <w:lang w:val="ru-RU"/>
        </w:rPr>
      </w:pPr>
      <w:r>
        <w:rPr>
          <w:lang w:val="ru-RU"/>
        </w:rPr>
        <w:t xml:space="preserve">333. </w:t>
      </w:r>
      <w:r>
        <w:rPr>
          <w:lang w:val="ru-RU"/>
        </w:rPr>
        <w:tab/>
        <w:t xml:space="preserve">Женщины практически не имеют выбора при принятии решений, касающихся рождения детей, числа детей и промежутков между их рождениями. Эти решения зачастую принимают семья и члены семьи – мужчины, возлагая на женщин обязанность рожать детей мужского пола. Свидетельством этому служит увеличившееся число сообщений о случаях убийства новорожденных девочек и умерщвления жизнеспособного плода женского пола, для чего используются передовые методы дородовой диагностики. Незаконно произведенные аборты неоднакратно приводили к смертельному исходу. Согласно Закону о медицинском прерывании беременности 1971 года аборты в определенных обстоятельствах стали легальными. В 2002 году в этот закон была внесена поправка, конкретизирующая место и лиц, имеющих разрешение производить аборты, а также предусматривающая строгие наказания в уголовном порядке. </w:t>
      </w:r>
    </w:p>
    <w:p w:rsidR="00D80435" w:rsidRDefault="00D80435">
      <w:pPr>
        <w:rPr>
          <w:lang w:val="ru-RU"/>
        </w:rPr>
      </w:pPr>
      <w:r>
        <w:rPr>
          <w:lang w:val="ru-RU"/>
        </w:rPr>
        <w:t xml:space="preserve">334. </w:t>
      </w:r>
      <w:r>
        <w:rPr>
          <w:lang w:val="ru-RU"/>
        </w:rPr>
        <w:tab/>
        <w:t>Традиционно отец, будучи главой семьи, считался опекуном несовершеннолетних. Подобные положения имелись также в большей части персональных законов. Однако Верховный суд в деле</w:t>
      </w:r>
      <w:r>
        <w:rPr>
          <w:b/>
          <w:lang w:val="ru-RU"/>
        </w:rPr>
        <w:t xml:space="preserve"> Гиты Харихаран (AIR 1999 SC 1149)</w:t>
      </w:r>
      <w:r>
        <w:rPr>
          <w:lang w:val="ru-RU"/>
        </w:rPr>
        <w:t xml:space="preserve"> постановил, что непризнание матери в качестве опекуна является дискриминационным и, применив принципы Конвенции, признал мать в качестве опекуна несовершеннолетнего ребенка. </w:t>
      </w:r>
    </w:p>
    <w:p w:rsidR="00D80435" w:rsidRDefault="00D80435">
      <w:pPr>
        <w:rPr>
          <w:lang w:val="ru-RU"/>
        </w:rPr>
      </w:pPr>
      <w:r>
        <w:rPr>
          <w:lang w:val="ru-RU"/>
        </w:rPr>
        <w:t>335.</w:t>
      </w:r>
      <w:r>
        <w:rPr>
          <w:lang w:val="ru-RU"/>
        </w:rPr>
        <w:tab/>
        <w:t>Женщины имеют равные с мужчинами права на владение и пользование имуществом. Все персональные законы признают это право. Индусский Закон о правопреемстве признает жену и детей женского поля в качестве наследников. Этот закон проводит различие между родовым имуществом (известным как неделимое наследство в общей долевой собственности наследников) и самоприобретенным (благоприобретенным) имуществом. Хотя женщины наследуют самоприобретенное имущество на равных с мужчинами условиях, они не имеют права на родовое имущество, права на которое мужчина приобретает в момент своего рождения. Таким образом, закон дискриминирует женщин и отказывает им в равной доле в родовом имуществе. Правительства некоторых штатов, в том числе штатов Карнатака, Андхра-Прадеш, Тамилнад, внесли поправки к индусскому Закону о правопреемстве и признали женщин совместными наследниками, имеющими право на равную долю в родовом имуществе. Предлагается внести поправку к индусскому Закону о правопреемстве, чтобы предоставить женщинам права на совместное наследование доли в родовом имуществе. Мусульманское законодательство считает женщину "совладельцем" и признает ее право наследовать оговоренную долю имущества. Индийский Закон о правопреемстве, который применяется и к христианам, признает право женщин наследовать имущество, но ее доля обычно меньше, чем у претендующей на наследство стороны мужского пола.</w:t>
      </w:r>
    </w:p>
    <w:p w:rsidR="00D80435" w:rsidRDefault="00D80435">
      <w:pPr>
        <w:rPr>
          <w:b/>
          <w:lang w:val="ru-RU"/>
        </w:rPr>
      </w:pPr>
      <w:r>
        <w:rPr>
          <w:lang w:val="ru-RU"/>
        </w:rPr>
        <w:t xml:space="preserve">336. </w:t>
      </w:r>
      <w:r>
        <w:rPr>
          <w:lang w:val="ru-RU"/>
        </w:rPr>
        <w:tab/>
        <w:t xml:space="preserve">Хотя закон признает право женщин на имущество, на практике женщины лишены имущества. Все чаще мужчины прибегают к завещательному распоряжению, чтобы лишить женщин их законной доли посредством завещания. Некоторые инициативы, направленные на изменение в персональном законе в таких областях, как опека и попечительство, содержание и алименты, а также имущественные права, исходят от Верховного суда. Верховный суд в деле </w:t>
      </w:r>
      <w:r>
        <w:rPr>
          <w:b/>
          <w:lang w:val="ru-RU"/>
        </w:rPr>
        <w:t xml:space="preserve">Палчури Ханумаяммы Тадикамаллы Котлингам (AIR 2001 SC 3062) </w:t>
      </w:r>
      <w:r>
        <w:rPr>
          <w:lang w:val="ru-RU"/>
        </w:rPr>
        <w:t xml:space="preserve">истолковал в пользу женщин положения пункта 1 раздела 14 индусского Закона о правопреемстве  и постановил, что имущество, завещанное жене вместо ее содержания по завещанию, налагающему ограничения и предоставляющему ей ограниченные права пользования, распространяется на ее абсолютные права и она становится абсолютным собственником вышеупомянутого имущества. Таким образом, Суд признал право вдовы быть полноправным собственником имущества, независимо от ограничения, наложенного в этом завещании. Что касается равенства во владении имуществом и законов о наследовании, Верховный суд в деле </w:t>
      </w:r>
      <w:r>
        <w:rPr>
          <w:b/>
          <w:lang w:val="ru-RU"/>
        </w:rPr>
        <w:t>С. Масиламани Мудлияр (AIR 1996 SС 1697)</w:t>
      </w:r>
      <w:r>
        <w:rPr>
          <w:lang w:val="ru-RU"/>
        </w:rPr>
        <w:t xml:space="preserve"> постановил, что персональные законы, выведенные из священных писаний, наделяющие женщин статусом неполноценности, являются проклятьем для равенства, и установил право женщин – представителей племен наследовать имущество. В деле </w:t>
      </w:r>
      <w:r>
        <w:rPr>
          <w:b/>
          <w:lang w:val="ru-RU"/>
        </w:rPr>
        <w:t xml:space="preserve">Даниалы Латифи (AIR 2001 SС 3958) </w:t>
      </w:r>
      <w:r>
        <w:rPr>
          <w:lang w:val="ru-RU"/>
        </w:rPr>
        <w:t>Верховный суд, рассматривая Закон о защите прав мусульманских женщин на развод 1986</w:t>
      </w:r>
      <w:r>
        <w:rPr>
          <w:b/>
          <w:lang w:val="ru-RU"/>
        </w:rPr>
        <w:t> </w:t>
      </w:r>
      <w:r>
        <w:rPr>
          <w:lang w:val="ru-RU"/>
        </w:rPr>
        <w:t>года, подтвердил право замужней мусульманской женщины требовать содержания от своего бывшего мужа даже после периода иддата (означающего три месяца после развода).</w:t>
      </w:r>
      <w:r>
        <w:rPr>
          <w:b/>
          <w:lang w:val="ru-RU"/>
        </w:rPr>
        <w:t xml:space="preserve"> </w:t>
      </w:r>
    </w:p>
    <w:p w:rsidR="00D80435" w:rsidRDefault="00D80435">
      <w:pPr>
        <w:rPr>
          <w:lang w:val="ru-RU"/>
        </w:rPr>
      </w:pPr>
      <w:r>
        <w:rPr>
          <w:lang w:val="ru-RU"/>
        </w:rPr>
        <w:t>337.</w:t>
      </w:r>
      <w:r>
        <w:rPr>
          <w:lang w:val="ru-RU"/>
        </w:rPr>
        <w:tab/>
        <w:t>Индийский Закон о разводе (с поправкой), индусский Закон о правопреемстве, индусский Закон о браке, парсский Закон о браке и разводе, Уголовно-процессуальный кодекс были изменены путем исключения дискриминационных положений (см. статью 2).</w:t>
      </w:r>
    </w:p>
    <w:p w:rsidR="00D80435" w:rsidRDefault="00D80435">
      <w:pPr>
        <w:spacing w:after="360"/>
        <w:rPr>
          <w:lang w:val="ru-RU"/>
        </w:rPr>
      </w:pPr>
      <w:r>
        <w:rPr>
          <w:lang w:val="ru-RU"/>
        </w:rPr>
        <w:t>338.</w:t>
      </w:r>
      <w:r>
        <w:rPr>
          <w:lang w:val="ru-RU"/>
        </w:rPr>
        <w:tab/>
        <w:t xml:space="preserve">Хотя не существует центрального законодательства, предусматривающего обязательную регистрацию браков, некоторые штаты применяют обязательную регистрацию, устанавливая ее либо в законодательном порядке, либо в исполнительных распоряжениях. Парламентский комитет по расширению прав и возможностей женщин рекомендовал правительству сделать регистрацию браков обязательной, с чем правительство согласилось. Правительство в своей Национальной политике по расширению прав и возможностей женщин 2001 года обязуется сделать регистрацию браков обязательной и покончить с браками несовершеннолетних к 2010 году. Национальный совет по делам женщин занимается сейчас разработкой проекта закона об обязательной регистрации браков. </w:t>
      </w:r>
    </w:p>
    <w:p w:rsidR="00D80435" w:rsidRDefault="00D80435">
      <w:pPr>
        <w:rPr>
          <w:b/>
          <w:lang w:val="ru-RU"/>
        </w:rPr>
      </w:pPr>
      <w:r>
        <w:rPr>
          <w:b/>
          <w:lang w:val="ru-RU"/>
        </w:rPr>
        <w:t>Предстоящие задачи</w:t>
      </w:r>
    </w:p>
    <w:p w:rsidR="00D80435" w:rsidRDefault="00D80435">
      <w:pPr>
        <w:rPr>
          <w:lang w:val="ru-RU"/>
        </w:rPr>
      </w:pPr>
      <w:r>
        <w:rPr>
          <w:lang w:val="ru-RU"/>
        </w:rPr>
        <w:t xml:space="preserve">339. </w:t>
      </w:r>
      <w:r>
        <w:rPr>
          <w:lang w:val="ru-RU"/>
        </w:rPr>
        <w:tab/>
        <w:t>Традиции, культура и религия играют решающую роль, поэтому меры юридического характера не привели к желаемым изменениям. Чудовищная нищета, бедность и низкий уровень осведомленности являются первоочередными проблемами в этой области. Правительство, учитывая тот факт, что права собственности в патриархальной системе (в том виде, как они эволюционировали) усугубили подчиненное положение женщин, обязалось в 10-м Пятилетнем плане специально уделить внимание вопросам внесения в законодательство поправок, связанных с владением имуществом и наследованием, расширить консенсус по данному вопросу, и сделать это законодательство равноправным в гендерном отношении.</w:t>
      </w:r>
    </w:p>
    <w:p w:rsidR="00D80435" w:rsidRDefault="00D80435">
      <w:pPr>
        <w:rPr>
          <w:lang w:val="ru-RU"/>
        </w:rPr>
      </w:pPr>
      <w:r>
        <w:rPr>
          <w:lang w:val="ru-RU"/>
        </w:rPr>
        <w:t xml:space="preserve">340. </w:t>
      </w:r>
      <w:r>
        <w:rPr>
          <w:lang w:val="ru-RU"/>
        </w:rPr>
        <w:tab/>
        <w:t>Создание единого гражданского кодекса предусмотрено Конституцией. Верховный суд в деле</w:t>
      </w:r>
      <w:r>
        <w:rPr>
          <w:b/>
          <w:i/>
          <w:lang w:val="ru-RU"/>
        </w:rPr>
        <w:t xml:space="preserve"> </w:t>
      </w:r>
      <w:r>
        <w:rPr>
          <w:b/>
          <w:lang w:val="ru-RU"/>
        </w:rPr>
        <w:t xml:space="preserve">Сарлы Мудхгал </w:t>
      </w:r>
      <w:r>
        <w:rPr>
          <w:lang w:val="ru-RU"/>
        </w:rPr>
        <w:t>и</w:t>
      </w:r>
      <w:r>
        <w:rPr>
          <w:b/>
          <w:i/>
          <w:lang w:val="ru-RU"/>
        </w:rPr>
        <w:t xml:space="preserve"> </w:t>
      </w:r>
      <w:r>
        <w:rPr>
          <w:b/>
          <w:lang w:val="ru-RU"/>
        </w:rPr>
        <w:t>Джона Волламаттома</w:t>
      </w:r>
      <w:r>
        <w:rPr>
          <w:b/>
          <w:i/>
          <w:lang w:val="ru-RU"/>
        </w:rPr>
        <w:t xml:space="preserve"> </w:t>
      </w:r>
      <w:r>
        <w:rPr>
          <w:b/>
          <w:lang w:val="ru-RU"/>
        </w:rPr>
        <w:t>(AIR SC 2003 2902)</w:t>
      </w:r>
      <w:r>
        <w:rPr>
          <w:lang w:val="ru-RU"/>
        </w:rPr>
        <w:t xml:space="preserve"> вновь подтвердил необходимость разработки общего гражданского Кодекса в соответствии со статьей 44 Конституции и введения в действие общего для всех законодательства. Этот деликатный вопрос по</w:t>
      </w:r>
      <w:r>
        <w:rPr>
          <w:lang w:val="ru-RU"/>
        </w:rPr>
        <w:noBreakHyphen/>
        <w:t>прежнему требует особого подхода и решение его является задачей правительства на перспективу.</w:t>
      </w:r>
    </w:p>
    <w:p w:rsidR="00D80435" w:rsidRDefault="00D80435">
      <w:pPr>
        <w:rPr>
          <w:lang w:val="ru-RU"/>
        </w:rPr>
      </w:pPr>
      <w:r>
        <w:rPr>
          <w:b/>
          <w:lang w:val="ru-RU"/>
        </w:rPr>
        <w:t>Насилие в отношении женщин</w:t>
      </w:r>
    </w:p>
    <w:p w:rsidR="00D80435" w:rsidRDefault="00D80435">
      <w:pPr>
        <w:rPr>
          <w:lang w:val="ru-RU"/>
        </w:rPr>
      </w:pPr>
      <w:r>
        <w:rPr>
          <w:lang w:val="ru-RU"/>
        </w:rPr>
        <w:t xml:space="preserve">341. </w:t>
      </w:r>
      <w:r>
        <w:rPr>
          <w:lang w:val="ru-RU"/>
        </w:rPr>
        <w:tab/>
        <w:t xml:space="preserve">Национальное бюро регистрации преступлений (НБРП) при министерстве внутренних дел собирает и регистрирует данные об актах насилия, совершенных по половому признаку. Статистика случаев всех преступлений, совершенных в отношении женщин, по сравнению с общим числом преступлений в Индии показала, что, несмотря на увеличение числа преступлений в отношении женщин с 135 771 в 1991 году до 140 601 в 2003 году, общая доля преступлений незначительно сократилась – с 2,76 процента в 1999 году до 2,56 процента в 2003 году. </w:t>
      </w:r>
    </w:p>
    <w:p w:rsidR="00D80435" w:rsidRDefault="00D80435">
      <w:pPr>
        <w:rPr>
          <w:b/>
          <w:lang w:val="ru-RU"/>
        </w:rPr>
      </w:pPr>
      <w:r>
        <w:rPr>
          <w:b/>
          <w:lang w:val="ru-RU"/>
        </w:rPr>
        <w:t>Количество преступлений в отношении женщин в Индии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2373"/>
        <w:gridCol w:w="866"/>
        <w:gridCol w:w="866"/>
        <w:gridCol w:w="866"/>
        <w:gridCol w:w="866"/>
        <w:gridCol w:w="866"/>
        <w:gridCol w:w="866"/>
        <w:gridCol w:w="1392"/>
      </w:tblGrid>
      <w:tr w:rsidR="00D80435">
        <w:tblPrEx>
          <w:tblCellMar>
            <w:top w:w="0" w:type="dxa"/>
            <w:bottom w:w="0" w:type="dxa"/>
          </w:tblCellMar>
        </w:tblPrEx>
        <w:trPr>
          <w:cantSplit/>
        </w:trPr>
        <w:tc>
          <w:tcPr>
            <w:tcW w:w="553" w:type="dxa"/>
            <w:vMerge w:val="restart"/>
          </w:tcPr>
          <w:p w:rsidR="00D80435" w:rsidRDefault="00D80435">
            <w:pPr>
              <w:spacing w:before="40" w:after="40"/>
              <w:rPr>
                <w:b/>
                <w:sz w:val="20"/>
                <w:lang w:val="ru-RU"/>
              </w:rPr>
            </w:pPr>
            <w:r>
              <w:rPr>
                <w:b/>
                <w:sz w:val="20"/>
                <w:lang w:val="ru-RU"/>
              </w:rPr>
              <w:t>№</w:t>
            </w:r>
            <w:r>
              <w:rPr>
                <w:b/>
                <w:sz w:val="20"/>
                <w:lang w:val="ru-RU"/>
              </w:rPr>
              <w:br/>
              <w:t>п/п</w:t>
            </w:r>
          </w:p>
        </w:tc>
        <w:tc>
          <w:tcPr>
            <w:tcW w:w="2373" w:type="dxa"/>
            <w:vMerge w:val="restart"/>
          </w:tcPr>
          <w:p w:rsidR="00D80435" w:rsidRDefault="00D80435">
            <w:pPr>
              <w:spacing w:before="40" w:after="40"/>
              <w:rPr>
                <w:b/>
                <w:sz w:val="20"/>
                <w:lang w:val="ru-RU"/>
              </w:rPr>
            </w:pPr>
            <w:r>
              <w:rPr>
                <w:b/>
                <w:sz w:val="20"/>
                <w:lang w:val="ru-RU"/>
              </w:rPr>
              <w:t>Преступление/название применяемого закона</w:t>
            </w:r>
          </w:p>
        </w:tc>
        <w:tc>
          <w:tcPr>
            <w:tcW w:w="5196" w:type="dxa"/>
            <w:gridSpan w:val="6"/>
          </w:tcPr>
          <w:p w:rsidR="00D80435" w:rsidRDefault="00D80435">
            <w:pPr>
              <w:spacing w:before="40" w:after="40"/>
              <w:jc w:val="center"/>
              <w:rPr>
                <w:b/>
                <w:sz w:val="20"/>
                <w:lang w:val="ru-RU"/>
              </w:rPr>
            </w:pPr>
            <w:r>
              <w:rPr>
                <w:b/>
                <w:sz w:val="20"/>
                <w:lang w:val="ru-RU"/>
              </w:rPr>
              <w:t>Количество случаев</w:t>
            </w:r>
          </w:p>
        </w:tc>
        <w:tc>
          <w:tcPr>
            <w:tcW w:w="1392" w:type="dxa"/>
            <w:vMerge w:val="restart"/>
          </w:tcPr>
          <w:p w:rsidR="00D80435" w:rsidRDefault="00D80435">
            <w:pPr>
              <w:spacing w:before="40" w:after="40"/>
              <w:jc w:val="center"/>
              <w:rPr>
                <w:b/>
                <w:sz w:val="20"/>
                <w:lang w:val="ru-RU"/>
              </w:rPr>
            </w:pPr>
            <w:r>
              <w:rPr>
                <w:b/>
                <w:sz w:val="20"/>
                <w:lang w:val="ru-RU"/>
              </w:rPr>
              <w:t xml:space="preserve">Изменения </w:t>
            </w:r>
            <w:r>
              <w:rPr>
                <w:b/>
                <w:sz w:val="20"/>
                <w:lang w:val="ru-RU"/>
              </w:rPr>
              <w:br/>
              <w:t>в 2003 г. по сравнению с 1998 г.</w:t>
            </w:r>
          </w:p>
        </w:tc>
      </w:tr>
      <w:tr w:rsidR="00D80435">
        <w:tblPrEx>
          <w:tblCellMar>
            <w:top w:w="0" w:type="dxa"/>
            <w:bottom w:w="0" w:type="dxa"/>
          </w:tblCellMar>
        </w:tblPrEx>
        <w:trPr>
          <w:cantSplit/>
        </w:trPr>
        <w:tc>
          <w:tcPr>
            <w:tcW w:w="553" w:type="dxa"/>
            <w:vMerge/>
          </w:tcPr>
          <w:p w:rsidR="00D80435" w:rsidRDefault="00D80435">
            <w:pPr>
              <w:spacing w:before="40" w:after="40"/>
              <w:rPr>
                <w:sz w:val="20"/>
                <w:lang w:val="ru-RU"/>
              </w:rPr>
            </w:pPr>
          </w:p>
        </w:tc>
        <w:tc>
          <w:tcPr>
            <w:tcW w:w="2373" w:type="dxa"/>
            <w:vMerge/>
          </w:tcPr>
          <w:p w:rsidR="00D80435" w:rsidRDefault="00D80435">
            <w:pPr>
              <w:spacing w:before="40" w:after="40"/>
              <w:rPr>
                <w:sz w:val="20"/>
                <w:lang w:val="ru-RU"/>
              </w:rPr>
            </w:pPr>
          </w:p>
        </w:tc>
        <w:tc>
          <w:tcPr>
            <w:tcW w:w="866" w:type="dxa"/>
          </w:tcPr>
          <w:p w:rsidR="00D80435" w:rsidRDefault="00D80435">
            <w:pPr>
              <w:spacing w:before="160" w:after="40"/>
              <w:jc w:val="center"/>
              <w:rPr>
                <w:b/>
                <w:sz w:val="20"/>
                <w:lang w:val="ru-RU"/>
              </w:rPr>
            </w:pPr>
            <w:r>
              <w:rPr>
                <w:b/>
                <w:sz w:val="20"/>
                <w:lang w:val="ru-RU"/>
              </w:rPr>
              <w:t>1998 г.</w:t>
            </w:r>
          </w:p>
        </w:tc>
        <w:tc>
          <w:tcPr>
            <w:tcW w:w="866" w:type="dxa"/>
          </w:tcPr>
          <w:p w:rsidR="00D80435" w:rsidRDefault="00D80435">
            <w:pPr>
              <w:spacing w:before="160" w:after="40"/>
              <w:jc w:val="center"/>
              <w:rPr>
                <w:b/>
                <w:sz w:val="20"/>
                <w:lang w:val="ru-RU"/>
              </w:rPr>
            </w:pPr>
            <w:r>
              <w:rPr>
                <w:b/>
                <w:sz w:val="20"/>
                <w:lang w:val="ru-RU"/>
              </w:rPr>
              <w:t>1999 г.</w:t>
            </w:r>
          </w:p>
        </w:tc>
        <w:tc>
          <w:tcPr>
            <w:tcW w:w="866" w:type="dxa"/>
          </w:tcPr>
          <w:p w:rsidR="00D80435" w:rsidRDefault="00D80435">
            <w:pPr>
              <w:spacing w:before="160" w:after="40"/>
              <w:jc w:val="center"/>
              <w:rPr>
                <w:b/>
                <w:sz w:val="20"/>
                <w:lang w:val="ru-RU"/>
              </w:rPr>
            </w:pPr>
            <w:r>
              <w:rPr>
                <w:b/>
                <w:sz w:val="20"/>
                <w:lang w:val="ru-RU"/>
              </w:rPr>
              <w:t>2000 г.</w:t>
            </w:r>
          </w:p>
        </w:tc>
        <w:tc>
          <w:tcPr>
            <w:tcW w:w="866" w:type="dxa"/>
          </w:tcPr>
          <w:p w:rsidR="00D80435" w:rsidRDefault="00D80435">
            <w:pPr>
              <w:spacing w:before="160" w:after="40"/>
              <w:jc w:val="center"/>
              <w:rPr>
                <w:b/>
                <w:sz w:val="20"/>
                <w:lang w:val="ru-RU"/>
              </w:rPr>
            </w:pPr>
            <w:r>
              <w:rPr>
                <w:b/>
                <w:sz w:val="20"/>
                <w:lang w:val="ru-RU"/>
              </w:rPr>
              <w:t>2001 г.</w:t>
            </w:r>
          </w:p>
        </w:tc>
        <w:tc>
          <w:tcPr>
            <w:tcW w:w="866" w:type="dxa"/>
          </w:tcPr>
          <w:p w:rsidR="00D80435" w:rsidRDefault="00D80435">
            <w:pPr>
              <w:spacing w:before="160" w:after="40"/>
              <w:jc w:val="center"/>
              <w:rPr>
                <w:b/>
                <w:sz w:val="20"/>
                <w:lang w:val="ru-RU"/>
              </w:rPr>
            </w:pPr>
            <w:r>
              <w:rPr>
                <w:b/>
                <w:sz w:val="20"/>
                <w:lang w:val="ru-RU"/>
              </w:rPr>
              <w:t>2002 г.</w:t>
            </w:r>
          </w:p>
        </w:tc>
        <w:tc>
          <w:tcPr>
            <w:tcW w:w="866" w:type="dxa"/>
          </w:tcPr>
          <w:p w:rsidR="00D80435" w:rsidRDefault="00D80435">
            <w:pPr>
              <w:spacing w:before="160" w:after="40"/>
              <w:jc w:val="center"/>
              <w:rPr>
                <w:b/>
                <w:sz w:val="20"/>
                <w:lang w:val="ru-RU"/>
              </w:rPr>
            </w:pPr>
            <w:r>
              <w:rPr>
                <w:b/>
                <w:sz w:val="20"/>
                <w:lang w:val="ru-RU"/>
              </w:rPr>
              <w:t>2003 г.</w:t>
            </w:r>
          </w:p>
        </w:tc>
        <w:tc>
          <w:tcPr>
            <w:tcW w:w="1392" w:type="dxa"/>
            <w:vMerge/>
          </w:tcPr>
          <w:p w:rsidR="00D80435" w:rsidRDefault="00D80435">
            <w:pPr>
              <w:spacing w:before="40" w:after="40"/>
              <w:rPr>
                <w:sz w:val="20"/>
                <w:lang w:val="ru-RU"/>
              </w:rPr>
            </w:pP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1</w:t>
            </w:r>
          </w:p>
        </w:tc>
        <w:tc>
          <w:tcPr>
            <w:tcW w:w="2373" w:type="dxa"/>
          </w:tcPr>
          <w:p w:rsidR="00D80435" w:rsidRDefault="00D80435">
            <w:pPr>
              <w:spacing w:before="40" w:after="40"/>
              <w:jc w:val="left"/>
              <w:rPr>
                <w:sz w:val="20"/>
                <w:lang w:val="ru-RU"/>
              </w:rPr>
            </w:pPr>
            <w:r>
              <w:rPr>
                <w:sz w:val="20"/>
                <w:lang w:val="ru-RU"/>
              </w:rPr>
              <w:t>Изнасилование</w:t>
            </w:r>
          </w:p>
        </w:tc>
        <w:tc>
          <w:tcPr>
            <w:tcW w:w="866" w:type="dxa"/>
          </w:tcPr>
          <w:p w:rsidR="00D80435" w:rsidRDefault="00D80435">
            <w:pPr>
              <w:spacing w:before="40" w:after="40"/>
              <w:jc w:val="right"/>
              <w:rPr>
                <w:sz w:val="20"/>
                <w:lang w:val="ru-RU"/>
              </w:rPr>
            </w:pPr>
            <w:r>
              <w:rPr>
                <w:sz w:val="20"/>
                <w:lang w:val="ru-RU"/>
              </w:rPr>
              <w:t>15 151</w:t>
            </w:r>
          </w:p>
        </w:tc>
        <w:tc>
          <w:tcPr>
            <w:tcW w:w="866" w:type="dxa"/>
          </w:tcPr>
          <w:p w:rsidR="00D80435" w:rsidRDefault="00D80435">
            <w:pPr>
              <w:spacing w:before="40" w:after="40"/>
              <w:jc w:val="right"/>
              <w:rPr>
                <w:sz w:val="20"/>
                <w:lang w:val="ru-RU"/>
              </w:rPr>
            </w:pPr>
            <w:r>
              <w:rPr>
                <w:sz w:val="20"/>
                <w:lang w:val="ru-RU"/>
              </w:rPr>
              <w:t>15 468</w:t>
            </w:r>
          </w:p>
        </w:tc>
        <w:tc>
          <w:tcPr>
            <w:tcW w:w="866" w:type="dxa"/>
          </w:tcPr>
          <w:p w:rsidR="00D80435" w:rsidRDefault="00D80435">
            <w:pPr>
              <w:spacing w:before="40" w:after="40"/>
              <w:jc w:val="right"/>
              <w:rPr>
                <w:sz w:val="20"/>
                <w:lang w:val="ru-RU"/>
              </w:rPr>
            </w:pPr>
            <w:r>
              <w:rPr>
                <w:sz w:val="20"/>
                <w:lang w:val="ru-RU"/>
              </w:rPr>
              <w:t>16 496</w:t>
            </w:r>
          </w:p>
        </w:tc>
        <w:tc>
          <w:tcPr>
            <w:tcW w:w="866" w:type="dxa"/>
          </w:tcPr>
          <w:p w:rsidR="00D80435" w:rsidRDefault="00D80435">
            <w:pPr>
              <w:spacing w:before="40" w:after="40"/>
              <w:jc w:val="right"/>
              <w:rPr>
                <w:sz w:val="20"/>
                <w:lang w:val="ru-RU"/>
              </w:rPr>
            </w:pPr>
            <w:r>
              <w:rPr>
                <w:sz w:val="20"/>
                <w:lang w:val="ru-RU"/>
              </w:rPr>
              <w:t>16 075</w:t>
            </w:r>
          </w:p>
        </w:tc>
        <w:tc>
          <w:tcPr>
            <w:tcW w:w="866" w:type="dxa"/>
          </w:tcPr>
          <w:p w:rsidR="00D80435" w:rsidRDefault="00D80435">
            <w:pPr>
              <w:spacing w:before="40" w:after="40"/>
              <w:jc w:val="right"/>
              <w:rPr>
                <w:sz w:val="20"/>
                <w:lang w:val="ru-RU"/>
              </w:rPr>
            </w:pPr>
            <w:r>
              <w:rPr>
                <w:sz w:val="20"/>
                <w:lang w:val="ru-RU"/>
              </w:rPr>
              <w:t>16 373</w:t>
            </w:r>
          </w:p>
        </w:tc>
        <w:tc>
          <w:tcPr>
            <w:tcW w:w="866" w:type="dxa"/>
          </w:tcPr>
          <w:p w:rsidR="00D80435" w:rsidRDefault="00D80435">
            <w:pPr>
              <w:spacing w:before="40" w:after="40"/>
              <w:jc w:val="right"/>
              <w:rPr>
                <w:sz w:val="20"/>
                <w:lang w:val="ru-RU"/>
              </w:rPr>
            </w:pPr>
            <w:r>
              <w:rPr>
                <w:sz w:val="20"/>
                <w:lang w:val="ru-RU"/>
              </w:rPr>
              <w:t>15 847</w:t>
            </w:r>
          </w:p>
        </w:tc>
        <w:tc>
          <w:tcPr>
            <w:tcW w:w="1392" w:type="dxa"/>
          </w:tcPr>
          <w:p w:rsidR="00D80435" w:rsidRDefault="00D80435">
            <w:pPr>
              <w:spacing w:before="40" w:after="40"/>
              <w:jc w:val="center"/>
              <w:rPr>
                <w:sz w:val="20"/>
                <w:lang w:val="ru-RU"/>
              </w:rPr>
            </w:pPr>
            <w:r>
              <w:rPr>
                <w:sz w:val="20"/>
                <w:lang w:val="ru-RU"/>
              </w:rPr>
              <w:t>4,6</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2</w:t>
            </w:r>
          </w:p>
        </w:tc>
        <w:tc>
          <w:tcPr>
            <w:tcW w:w="2373" w:type="dxa"/>
          </w:tcPr>
          <w:p w:rsidR="00D80435" w:rsidRDefault="00D80435">
            <w:pPr>
              <w:spacing w:before="40" w:after="40"/>
              <w:jc w:val="left"/>
              <w:rPr>
                <w:sz w:val="20"/>
                <w:lang w:val="ru-RU"/>
              </w:rPr>
            </w:pPr>
            <w:r>
              <w:rPr>
                <w:sz w:val="20"/>
                <w:lang w:val="ru-RU"/>
              </w:rPr>
              <w:t xml:space="preserve">Похищение с целью выкупа и насильственное удержание </w:t>
            </w:r>
          </w:p>
        </w:tc>
        <w:tc>
          <w:tcPr>
            <w:tcW w:w="866" w:type="dxa"/>
          </w:tcPr>
          <w:p w:rsidR="00D80435" w:rsidRDefault="00D80435">
            <w:pPr>
              <w:spacing w:before="40" w:after="40"/>
              <w:jc w:val="right"/>
              <w:rPr>
                <w:sz w:val="20"/>
                <w:lang w:val="ru-RU"/>
              </w:rPr>
            </w:pPr>
            <w:r>
              <w:rPr>
                <w:sz w:val="20"/>
                <w:lang w:val="ru-RU"/>
              </w:rPr>
              <w:t>16 351</w:t>
            </w:r>
          </w:p>
        </w:tc>
        <w:tc>
          <w:tcPr>
            <w:tcW w:w="866" w:type="dxa"/>
          </w:tcPr>
          <w:p w:rsidR="00D80435" w:rsidRDefault="00D80435">
            <w:pPr>
              <w:spacing w:before="40" w:after="40"/>
              <w:jc w:val="right"/>
              <w:rPr>
                <w:sz w:val="20"/>
                <w:lang w:val="ru-RU"/>
              </w:rPr>
            </w:pPr>
            <w:r>
              <w:rPr>
                <w:sz w:val="20"/>
                <w:lang w:val="ru-RU"/>
              </w:rPr>
              <w:t>15 962</w:t>
            </w:r>
          </w:p>
        </w:tc>
        <w:tc>
          <w:tcPr>
            <w:tcW w:w="866" w:type="dxa"/>
          </w:tcPr>
          <w:p w:rsidR="00D80435" w:rsidRDefault="00D80435">
            <w:pPr>
              <w:spacing w:before="40" w:after="40"/>
              <w:jc w:val="right"/>
              <w:rPr>
                <w:sz w:val="20"/>
                <w:lang w:val="ru-RU"/>
              </w:rPr>
            </w:pPr>
            <w:r>
              <w:rPr>
                <w:sz w:val="20"/>
                <w:lang w:val="ru-RU"/>
              </w:rPr>
              <w:t>15 023</w:t>
            </w:r>
          </w:p>
        </w:tc>
        <w:tc>
          <w:tcPr>
            <w:tcW w:w="866" w:type="dxa"/>
          </w:tcPr>
          <w:p w:rsidR="00D80435" w:rsidRDefault="00D80435">
            <w:pPr>
              <w:spacing w:before="40" w:after="40"/>
              <w:jc w:val="right"/>
              <w:rPr>
                <w:sz w:val="20"/>
                <w:lang w:val="ru-RU"/>
              </w:rPr>
            </w:pPr>
            <w:r>
              <w:rPr>
                <w:sz w:val="20"/>
                <w:lang w:val="ru-RU"/>
              </w:rPr>
              <w:t>14 645</w:t>
            </w:r>
          </w:p>
        </w:tc>
        <w:tc>
          <w:tcPr>
            <w:tcW w:w="866" w:type="dxa"/>
          </w:tcPr>
          <w:p w:rsidR="00D80435" w:rsidRDefault="00D80435">
            <w:pPr>
              <w:spacing w:before="40" w:after="40"/>
              <w:jc w:val="right"/>
              <w:rPr>
                <w:sz w:val="20"/>
                <w:lang w:val="ru-RU"/>
              </w:rPr>
            </w:pPr>
            <w:r>
              <w:rPr>
                <w:sz w:val="20"/>
                <w:lang w:val="ru-RU"/>
              </w:rPr>
              <w:t>14 506</w:t>
            </w:r>
          </w:p>
        </w:tc>
        <w:tc>
          <w:tcPr>
            <w:tcW w:w="866" w:type="dxa"/>
          </w:tcPr>
          <w:p w:rsidR="00D80435" w:rsidRDefault="00D80435">
            <w:pPr>
              <w:spacing w:before="40" w:after="40"/>
              <w:jc w:val="right"/>
              <w:rPr>
                <w:sz w:val="20"/>
                <w:lang w:val="ru-RU"/>
              </w:rPr>
            </w:pPr>
            <w:r>
              <w:rPr>
                <w:sz w:val="20"/>
                <w:lang w:val="ru-RU"/>
              </w:rPr>
              <w:t>13 296</w:t>
            </w:r>
          </w:p>
        </w:tc>
        <w:tc>
          <w:tcPr>
            <w:tcW w:w="1392" w:type="dxa"/>
          </w:tcPr>
          <w:p w:rsidR="00D80435" w:rsidRDefault="00D80435">
            <w:pPr>
              <w:spacing w:before="40" w:after="40"/>
              <w:jc w:val="center"/>
              <w:rPr>
                <w:sz w:val="20"/>
                <w:lang w:val="ru-RU"/>
              </w:rPr>
            </w:pPr>
            <w:r>
              <w:rPr>
                <w:sz w:val="20"/>
                <w:lang w:val="ru-RU"/>
              </w:rPr>
              <w:t>–18,7</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3</w:t>
            </w:r>
          </w:p>
        </w:tc>
        <w:tc>
          <w:tcPr>
            <w:tcW w:w="2373" w:type="dxa"/>
          </w:tcPr>
          <w:p w:rsidR="00D80435" w:rsidRDefault="00D80435">
            <w:pPr>
              <w:spacing w:before="40" w:after="40"/>
              <w:jc w:val="left"/>
              <w:rPr>
                <w:sz w:val="20"/>
                <w:lang w:val="ru-RU"/>
              </w:rPr>
            </w:pPr>
            <w:r>
              <w:rPr>
                <w:sz w:val="20"/>
                <w:lang w:val="ru-RU"/>
              </w:rPr>
              <w:t>Смертные случаи, связанные с требованием приданого</w:t>
            </w:r>
          </w:p>
        </w:tc>
        <w:tc>
          <w:tcPr>
            <w:tcW w:w="866" w:type="dxa"/>
          </w:tcPr>
          <w:p w:rsidR="00D80435" w:rsidRDefault="00D80435">
            <w:pPr>
              <w:spacing w:before="40" w:after="40"/>
              <w:jc w:val="right"/>
              <w:rPr>
                <w:sz w:val="20"/>
                <w:lang w:val="ru-RU"/>
              </w:rPr>
            </w:pPr>
            <w:r>
              <w:rPr>
                <w:sz w:val="20"/>
                <w:lang w:val="ru-RU"/>
              </w:rPr>
              <w:t>6 975</w:t>
            </w:r>
          </w:p>
        </w:tc>
        <w:tc>
          <w:tcPr>
            <w:tcW w:w="866" w:type="dxa"/>
          </w:tcPr>
          <w:p w:rsidR="00D80435" w:rsidRDefault="00D80435">
            <w:pPr>
              <w:spacing w:before="40" w:after="40"/>
              <w:jc w:val="right"/>
              <w:rPr>
                <w:sz w:val="20"/>
                <w:lang w:val="ru-RU"/>
              </w:rPr>
            </w:pPr>
            <w:r>
              <w:rPr>
                <w:sz w:val="20"/>
                <w:lang w:val="ru-RU"/>
              </w:rPr>
              <w:t>6 699</w:t>
            </w:r>
          </w:p>
        </w:tc>
        <w:tc>
          <w:tcPr>
            <w:tcW w:w="866" w:type="dxa"/>
          </w:tcPr>
          <w:p w:rsidR="00D80435" w:rsidRDefault="00D80435">
            <w:pPr>
              <w:spacing w:before="40" w:after="40"/>
              <w:jc w:val="right"/>
              <w:rPr>
                <w:sz w:val="20"/>
                <w:lang w:val="ru-RU"/>
              </w:rPr>
            </w:pPr>
            <w:r>
              <w:rPr>
                <w:sz w:val="20"/>
                <w:lang w:val="ru-RU"/>
              </w:rPr>
              <w:t>6 995</w:t>
            </w:r>
          </w:p>
        </w:tc>
        <w:tc>
          <w:tcPr>
            <w:tcW w:w="866" w:type="dxa"/>
          </w:tcPr>
          <w:p w:rsidR="00D80435" w:rsidRDefault="00D80435">
            <w:pPr>
              <w:spacing w:before="40" w:after="40"/>
              <w:jc w:val="right"/>
              <w:rPr>
                <w:sz w:val="20"/>
                <w:lang w:val="ru-RU"/>
              </w:rPr>
            </w:pPr>
            <w:r>
              <w:rPr>
                <w:sz w:val="20"/>
                <w:lang w:val="ru-RU"/>
              </w:rPr>
              <w:t>6 851</w:t>
            </w:r>
          </w:p>
        </w:tc>
        <w:tc>
          <w:tcPr>
            <w:tcW w:w="866" w:type="dxa"/>
          </w:tcPr>
          <w:p w:rsidR="00D80435" w:rsidRDefault="00D80435">
            <w:pPr>
              <w:spacing w:before="40" w:after="40"/>
              <w:jc w:val="right"/>
              <w:rPr>
                <w:sz w:val="20"/>
                <w:lang w:val="ru-RU"/>
              </w:rPr>
            </w:pPr>
            <w:r>
              <w:rPr>
                <w:sz w:val="20"/>
                <w:lang w:val="ru-RU"/>
              </w:rPr>
              <w:t>6 822</w:t>
            </w:r>
          </w:p>
        </w:tc>
        <w:tc>
          <w:tcPr>
            <w:tcW w:w="866" w:type="dxa"/>
          </w:tcPr>
          <w:p w:rsidR="00D80435" w:rsidRDefault="00D80435">
            <w:pPr>
              <w:spacing w:before="40" w:after="40"/>
              <w:jc w:val="right"/>
              <w:rPr>
                <w:sz w:val="20"/>
                <w:lang w:val="ru-RU"/>
              </w:rPr>
            </w:pPr>
            <w:r>
              <w:rPr>
                <w:sz w:val="20"/>
                <w:lang w:val="ru-RU"/>
              </w:rPr>
              <w:t>6 208</w:t>
            </w:r>
          </w:p>
        </w:tc>
        <w:tc>
          <w:tcPr>
            <w:tcW w:w="1392" w:type="dxa"/>
          </w:tcPr>
          <w:p w:rsidR="00D80435" w:rsidRDefault="00D80435">
            <w:pPr>
              <w:spacing w:before="40" w:after="40"/>
              <w:jc w:val="center"/>
              <w:rPr>
                <w:sz w:val="20"/>
                <w:lang w:val="ru-RU"/>
              </w:rPr>
            </w:pPr>
            <w:r>
              <w:rPr>
                <w:sz w:val="20"/>
                <w:lang w:val="ru-RU"/>
              </w:rPr>
              <w:t>–11,0</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4</w:t>
            </w:r>
          </w:p>
        </w:tc>
        <w:tc>
          <w:tcPr>
            <w:tcW w:w="2373" w:type="dxa"/>
          </w:tcPr>
          <w:p w:rsidR="00D80435" w:rsidRDefault="00D80435">
            <w:pPr>
              <w:spacing w:before="40" w:after="40"/>
              <w:jc w:val="left"/>
              <w:rPr>
                <w:sz w:val="20"/>
                <w:lang w:val="ru-RU"/>
              </w:rPr>
            </w:pPr>
            <w:r>
              <w:rPr>
                <w:sz w:val="20"/>
                <w:lang w:val="ru-RU"/>
              </w:rPr>
              <w:t>Пытки</w:t>
            </w:r>
          </w:p>
        </w:tc>
        <w:tc>
          <w:tcPr>
            <w:tcW w:w="866" w:type="dxa"/>
          </w:tcPr>
          <w:p w:rsidR="00D80435" w:rsidRDefault="00D80435">
            <w:pPr>
              <w:spacing w:before="40" w:after="40"/>
              <w:jc w:val="right"/>
              <w:rPr>
                <w:sz w:val="20"/>
                <w:lang w:val="ru-RU"/>
              </w:rPr>
            </w:pPr>
            <w:r>
              <w:rPr>
                <w:sz w:val="20"/>
                <w:lang w:val="ru-RU"/>
              </w:rPr>
              <w:t>41 376</w:t>
            </w:r>
          </w:p>
        </w:tc>
        <w:tc>
          <w:tcPr>
            <w:tcW w:w="866" w:type="dxa"/>
          </w:tcPr>
          <w:p w:rsidR="00D80435" w:rsidRDefault="00D80435">
            <w:pPr>
              <w:spacing w:before="40" w:after="40"/>
              <w:jc w:val="right"/>
              <w:rPr>
                <w:sz w:val="20"/>
                <w:lang w:val="ru-RU"/>
              </w:rPr>
            </w:pPr>
            <w:r>
              <w:rPr>
                <w:sz w:val="20"/>
                <w:lang w:val="ru-RU"/>
              </w:rPr>
              <w:t>43 823</w:t>
            </w:r>
          </w:p>
        </w:tc>
        <w:tc>
          <w:tcPr>
            <w:tcW w:w="866" w:type="dxa"/>
          </w:tcPr>
          <w:p w:rsidR="00D80435" w:rsidRDefault="00D80435">
            <w:pPr>
              <w:spacing w:before="40" w:after="40"/>
              <w:jc w:val="right"/>
              <w:rPr>
                <w:sz w:val="20"/>
                <w:lang w:val="ru-RU"/>
              </w:rPr>
            </w:pPr>
            <w:r>
              <w:rPr>
                <w:sz w:val="20"/>
                <w:lang w:val="ru-RU"/>
              </w:rPr>
              <w:t>45 778</w:t>
            </w:r>
          </w:p>
        </w:tc>
        <w:tc>
          <w:tcPr>
            <w:tcW w:w="866" w:type="dxa"/>
          </w:tcPr>
          <w:p w:rsidR="00D80435" w:rsidRDefault="00D80435">
            <w:pPr>
              <w:spacing w:before="40" w:after="40"/>
              <w:jc w:val="right"/>
              <w:rPr>
                <w:sz w:val="20"/>
                <w:lang w:val="ru-RU"/>
              </w:rPr>
            </w:pPr>
            <w:r>
              <w:rPr>
                <w:sz w:val="20"/>
                <w:lang w:val="ru-RU"/>
              </w:rPr>
              <w:t>49 170</w:t>
            </w:r>
          </w:p>
        </w:tc>
        <w:tc>
          <w:tcPr>
            <w:tcW w:w="866" w:type="dxa"/>
          </w:tcPr>
          <w:p w:rsidR="00D80435" w:rsidRDefault="00D80435">
            <w:pPr>
              <w:spacing w:before="40" w:after="40"/>
              <w:jc w:val="right"/>
              <w:rPr>
                <w:sz w:val="20"/>
                <w:lang w:val="ru-RU"/>
              </w:rPr>
            </w:pPr>
            <w:r>
              <w:rPr>
                <w:sz w:val="20"/>
                <w:lang w:val="ru-RU"/>
              </w:rPr>
              <w:t>49 237</w:t>
            </w:r>
          </w:p>
        </w:tc>
        <w:tc>
          <w:tcPr>
            <w:tcW w:w="866" w:type="dxa"/>
          </w:tcPr>
          <w:p w:rsidR="00D80435" w:rsidRDefault="00D80435">
            <w:pPr>
              <w:spacing w:before="40" w:after="40"/>
              <w:jc w:val="right"/>
              <w:rPr>
                <w:sz w:val="20"/>
                <w:lang w:val="ru-RU"/>
              </w:rPr>
            </w:pPr>
            <w:r>
              <w:rPr>
                <w:sz w:val="20"/>
                <w:lang w:val="ru-RU"/>
              </w:rPr>
              <w:t>50 703</w:t>
            </w:r>
          </w:p>
        </w:tc>
        <w:tc>
          <w:tcPr>
            <w:tcW w:w="1392" w:type="dxa"/>
          </w:tcPr>
          <w:p w:rsidR="00D80435" w:rsidRDefault="00D80435">
            <w:pPr>
              <w:spacing w:before="40" w:after="40"/>
              <w:jc w:val="center"/>
              <w:rPr>
                <w:sz w:val="20"/>
                <w:lang w:val="ru-RU"/>
              </w:rPr>
            </w:pPr>
            <w:r>
              <w:rPr>
                <w:sz w:val="20"/>
                <w:lang w:val="ru-RU"/>
              </w:rPr>
              <w:t>22,5</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5</w:t>
            </w:r>
          </w:p>
        </w:tc>
        <w:tc>
          <w:tcPr>
            <w:tcW w:w="2373" w:type="dxa"/>
          </w:tcPr>
          <w:p w:rsidR="00D80435" w:rsidRDefault="00D80435">
            <w:pPr>
              <w:spacing w:before="40" w:after="40"/>
              <w:jc w:val="left"/>
              <w:rPr>
                <w:sz w:val="20"/>
                <w:lang w:val="ru-RU"/>
              </w:rPr>
            </w:pPr>
            <w:r>
              <w:rPr>
                <w:sz w:val="20"/>
                <w:lang w:val="ru-RU"/>
              </w:rPr>
              <w:t>Непристойные предложения</w:t>
            </w:r>
          </w:p>
        </w:tc>
        <w:tc>
          <w:tcPr>
            <w:tcW w:w="866" w:type="dxa"/>
          </w:tcPr>
          <w:p w:rsidR="00D80435" w:rsidRDefault="00D80435">
            <w:pPr>
              <w:spacing w:before="40" w:after="40"/>
              <w:jc w:val="right"/>
              <w:rPr>
                <w:sz w:val="20"/>
                <w:lang w:val="ru-RU"/>
              </w:rPr>
            </w:pPr>
            <w:r>
              <w:rPr>
                <w:sz w:val="20"/>
                <w:lang w:val="ru-RU"/>
              </w:rPr>
              <w:t>30 959</w:t>
            </w:r>
          </w:p>
        </w:tc>
        <w:tc>
          <w:tcPr>
            <w:tcW w:w="866" w:type="dxa"/>
          </w:tcPr>
          <w:p w:rsidR="00D80435" w:rsidRDefault="00D80435">
            <w:pPr>
              <w:spacing w:before="40" w:after="40"/>
              <w:jc w:val="right"/>
              <w:rPr>
                <w:sz w:val="20"/>
                <w:lang w:val="ru-RU"/>
              </w:rPr>
            </w:pPr>
            <w:r>
              <w:rPr>
                <w:sz w:val="20"/>
                <w:lang w:val="ru-RU"/>
              </w:rPr>
              <w:t>32 311</w:t>
            </w:r>
          </w:p>
        </w:tc>
        <w:tc>
          <w:tcPr>
            <w:tcW w:w="866" w:type="dxa"/>
          </w:tcPr>
          <w:p w:rsidR="00D80435" w:rsidRDefault="00D80435">
            <w:pPr>
              <w:spacing w:before="40" w:after="40"/>
              <w:jc w:val="right"/>
              <w:rPr>
                <w:sz w:val="20"/>
                <w:lang w:val="ru-RU"/>
              </w:rPr>
            </w:pPr>
            <w:r>
              <w:rPr>
                <w:sz w:val="20"/>
                <w:lang w:val="ru-RU"/>
              </w:rPr>
              <w:t>32 940</w:t>
            </w:r>
          </w:p>
        </w:tc>
        <w:tc>
          <w:tcPr>
            <w:tcW w:w="866" w:type="dxa"/>
          </w:tcPr>
          <w:p w:rsidR="00D80435" w:rsidRDefault="00D80435">
            <w:pPr>
              <w:spacing w:before="40" w:after="40"/>
              <w:jc w:val="right"/>
              <w:rPr>
                <w:sz w:val="20"/>
                <w:lang w:val="ru-RU"/>
              </w:rPr>
            </w:pPr>
            <w:r>
              <w:rPr>
                <w:sz w:val="20"/>
                <w:lang w:val="ru-RU"/>
              </w:rPr>
              <w:t>34 124</w:t>
            </w:r>
          </w:p>
        </w:tc>
        <w:tc>
          <w:tcPr>
            <w:tcW w:w="866" w:type="dxa"/>
          </w:tcPr>
          <w:p w:rsidR="00D80435" w:rsidRDefault="00D80435">
            <w:pPr>
              <w:spacing w:before="40" w:after="40"/>
              <w:jc w:val="right"/>
              <w:rPr>
                <w:sz w:val="20"/>
                <w:lang w:val="ru-RU"/>
              </w:rPr>
            </w:pPr>
            <w:r>
              <w:rPr>
                <w:sz w:val="20"/>
                <w:lang w:val="ru-RU"/>
              </w:rPr>
              <w:t>33 943</w:t>
            </w:r>
          </w:p>
        </w:tc>
        <w:tc>
          <w:tcPr>
            <w:tcW w:w="866" w:type="dxa"/>
          </w:tcPr>
          <w:p w:rsidR="00D80435" w:rsidRDefault="00D80435">
            <w:pPr>
              <w:spacing w:before="40" w:after="40"/>
              <w:jc w:val="right"/>
              <w:rPr>
                <w:sz w:val="20"/>
                <w:lang w:val="ru-RU"/>
              </w:rPr>
            </w:pPr>
            <w:r>
              <w:rPr>
                <w:sz w:val="20"/>
                <w:lang w:val="ru-RU"/>
              </w:rPr>
              <w:t>32 939</w:t>
            </w:r>
          </w:p>
        </w:tc>
        <w:tc>
          <w:tcPr>
            <w:tcW w:w="1392" w:type="dxa"/>
          </w:tcPr>
          <w:p w:rsidR="00D80435" w:rsidRDefault="00D80435">
            <w:pPr>
              <w:spacing w:before="40" w:after="40"/>
              <w:jc w:val="center"/>
              <w:rPr>
                <w:sz w:val="20"/>
                <w:lang w:val="ru-RU"/>
              </w:rPr>
            </w:pPr>
            <w:r>
              <w:rPr>
                <w:sz w:val="20"/>
                <w:lang w:val="ru-RU"/>
              </w:rPr>
              <w:t>6,4</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6</w:t>
            </w:r>
          </w:p>
        </w:tc>
        <w:tc>
          <w:tcPr>
            <w:tcW w:w="2373" w:type="dxa"/>
          </w:tcPr>
          <w:p w:rsidR="00D80435" w:rsidRDefault="00D80435">
            <w:pPr>
              <w:spacing w:before="40" w:after="40"/>
              <w:jc w:val="left"/>
              <w:rPr>
                <w:sz w:val="20"/>
                <w:lang w:val="ru-RU"/>
              </w:rPr>
            </w:pPr>
            <w:r>
              <w:rPr>
                <w:sz w:val="20"/>
                <w:lang w:val="ru-RU"/>
              </w:rPr>
              <w:t>Сексуальные домогательства</w:t>
            </w:r>
          </w:p>
        </w:tc>
        <w:tc>
          <w:tcPr>
            <w:tcW w:w="866" w:type="dxa"/>
          </w:tcPr>
          <w:p w:rsidR="00D80435" w:rsidRDefault="00D80435">
            <w:pPr>
              <w:spacing w:before="40" w:after="40"/>
              <w:jc w:val="right"/>
              <w:rPr>
                <w:sz w:val="20"/>
                <w:lang w:val="ru-RU"/>
              </w:rPr>
            </w:pPr>
            <w:r>
              <w:rPr>
                <w:sz w:val="20"/>
                <w:lang w:val="ru-RU"/>
              </w:rPr>
              <w:t>8 054</w:t>
            </w:r>
          </w:p>
        </w:tc>
        <w:tc>
          <w:tcPr>
            <w:tcW w:w="866" w:type="dxa"/>
          </w:tcPr>
          <w:p w:rsidR="00D80435" w:rsidRDefault="00D80435">
            <w:pPr>
              <w:spacing w:before="40" w:after="40"/>
              <w:jc w:val="right"/>
              <w:rPr>
                <w:sz w:val="20"/>
                <w:lang w:val="ru-RU"/>
              </w:rPr>
            </w:pPr>
            <w:r>
              <w:rPr>
                <w:sz w:val="20"/>
                <w:lang w:val="ru-RU"/>
              </w:rPr>
              <w:t>8 858</w:t>
            </w:r>
          </w:p>
        </w:tc>
        <w:tc>
          <w:tcPr>
            <w:tcW w:w="866" w:type="dxa"/>
          </w:tcPr>
          <w:p w:rsidR="00D80435" w:rsidRDefault="00D80435">
            <w:pPr>
              <w:spacing w:before="40" w:after="40"/>
              <w:jc w:val="right"/>
              <w:rPr>
                <w:sz w:val="20"/>
                <w:lang w:val="ru-RU"/>
              </w:rPr>
            </w:pPr>
            <w:r>
              <w:rPr>
                <w:sz w:val="20"/>
                <w:lang w:val="ru-RU"/>
              </w:rPr>
              <w:t>11 024</w:t>
            </w:r>
          </w:p>
        </w:tc>
        <w:tc>
          <w:tcPr>
            <w:tcW w:w="866" w:type="dxa"/>
          </w:tcPr>
          <w:p w:rsidR="00D80435" w:rsidRDefault="00D80435">
            <w:pPr>
              <w:spacing w:before="40" w:after="40"/>
              <w:jc w:val="right"/>
              <w:rPr>
                <w:sz w:val="20"/>
                <w:lang w:val="ru-RU"/>
              </w:rPr>
            </w:pPr>
            <w:r>
              <w:rPr>
                <w:sz w:val="20"/>
                <w:lang w:val="ru-RU"/>
              </w:rPr>
              <w:t>9 746</w:t>
            </w:r>
          </w:p>
        </w:tc>
        <w:tc>
          <w:tcPr>
            <w:tcW w:w="866" w:type="dxa"/>
          </w:tcPr>
          <w:p w:rsidR="00D80435" w:rsidRDefault="00D80435">
            <w:pPr>
              <w:spacing w:before="40" w:after="40"/>
              <w:jc w:val="right"/>
              <w:rPr>
                <w:sz w:val="20"/>
                <w:lang w:val="ru-RU"/>
              </w:rPr>
            </w:pPr>
            <w:r>
              <w:rPr>
                <w:sz w:val="20"/>
                <w:lang w:val="ru-RU"/>
              </w:rPr>
              <w:t>10 155</w:t>
            </w:r>
          </w:p>
        </w:tc>
        <w:tc>
          <w:tcPr>
            <w:tcW w:w="866" w:type="dxa"/>
          </w:tcPr>
          <w:p w:rsidR="00D80435" w:rsidRDefault="00D80435">
            <w:pPr>
              <w:spacing w:before="40" w:after="40"/>
              <w:jc w:val="right"/>
              <w:rPr>
                <w:sz w:val="20"/>
                <w:lang w:val="ru-RU"/>
              </w:rPr>
            </w:pPr>
            <w:r>
              <w:rPr>
                <w:sz w:val="20"/>
                <w:lang w:val="ru-RU"/>
              </w:rPr>
              <w:t>12 325</w:t>
            </w:r>
          </w:p>
        </w:tc>
        <w:tc>
          <w:tcPr>
            <w:tcW w:w="1392" w:type="dxa"/>
          </w:tcPr>
          <w:p w:rsidR="00D80435" w:rsidRDefault="00D80435">
            <w:pPr>
              <w:spacing w:before="40" w:after="40"/>
              <w:jc w:val="center"/>
              <w:rPr>
                <w:sz w:val="20"/>
                <w:lang w:val="ru-RU"/>
              </w:rPr>
            </w:pPr>
            <w:r>
              <w:rPr>
                <w:sz w:val="20"/>
                <w:lang w:val="ru-RU"/>
              </w:rPr>
              <w:t>53,0</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7</w:t>
            </w:r>
          </w:p>
        </w:tc>
        <w:tc>
          <w:tcPr>
            <w:tcW w:w="2373" w:type="dxa"/>
          </w:tcPr>
          <w:p w:rsidR="00D80435" w:rsidRDefault="00D80435">
            <w:pPr>
              <w:spacing w:before="40" w:after="40"/>
              <w:jc w:val="left"/>
              <w:rPr>
                <w:sz w:val="20"/>
                <w:lang w:val="ru-RU"/>
              </w:rPr>
            </w:pPr>
            <w:r>
              <w:rPr>
                <w:sz w:val="20"/>
                <w:lang w:val="ru-RU"/>
              </w:rPr>
              <w:t>Ввоз девушек</w:t>
            </w:r>
          </w:p>
        </w:tc>
        <w:tc>
          <w:tcPr>
            <w:tcW w:w="866" w:type="dxa"/>
          </w:tcPr>
          <w:p w:rsidR="00D80435" w:rsidRDefault="00D80435">
            <w:pPr>
              <w:spacing w:before="40" w:after="40"/>
              <w:jc w:val="right"/>
              <w:rPr>
                <w:sz w:val="20"/>
                <w:lang w:val="ru-RU"/>
              </w:rPr>
            </w:pPr>
            <w:r>
              <w:rPr>
                <w:sz w:val="20"/>
                <w:lang w:val="ru-RU"/>
              </w:rPr>
              <w:t>143</w:t>
            </w:r>
          </w:p>
        </w:tc>
        <w:tc>
          <w:tcPr>
            <w:tcW w:w="866" w:type="dxa"/>
          </w:tcPr>
          <w:p w:rsidR="00D80435" w:rsidRDefault="00D80435">
            <w:pPr>
              <w:spacing w:before="40" w:after="40"/>
              <w:jc w:val="right"/>
              <w:rPr>
                <w:sz w:val="20"/>
                <w:lang w:val="ru-RU"/>
              </w:rPr>
            </w:pPr>
            <w:r>
              <w:rPr>
                <w:sz w:val="20"/>
                <w:lang w:val="ru-RU"/>
              </w:rPr>
              <w:t>1</w:t>
            </w:r>
          </w:p>
        </w:tc>
        <w:tc>
          <w:tcPr>
            <w:tcW w:w="866" w:type="dxa"/>
          </w:tcPr>
          <w:p w:rsidR="00D80435" w:rsidRDefault="00D80435">
            <w:pPr>
              <w:spacing w:before="40" w:after="40"/>
              <w:jc w:val="right"/>
              <w:rPr>
                <w:sz w:val="20"/>
                <w:lang w:val="ru-RU"/>
              </w:rPr>
            </w:pPr>
            <w:r>
              <w:rPr>
                <w:sz w:val="20"/>
                <w:lang w:val="ru-RU"/>
              </w:rPr>
              <w:t>64</w:t>
            </w:r>
          </w:p>
        </w:tc>
        <w:tc>
          <w:tcPr>
            <w:tcW w:w="866" w:type="dxa"/>
          </w:tcPr>
          <w:p w:rsidR="00D80435" w:rsidRDefault="00D80435">
            <w:pPr>
              <w:spacing w:before="40" w:after="40"/>
              <w:jc w:val="right"/>
              <w:rPr>
                <w:sz w:val="20"/>
                <w:lang w:val="ru-RU"/>
              </w:rPr>
            </w:pPr>
            <w:r>
              <w:rPr>
                <w:sz w:val="20"/>
                <w:lang w:val="ru-RU"/>
              </w:rPr>
              <w:t>114</w:t>
            </w:r>
          </w:p>
        </w:tc>
        <w:tc>
          <w:tcPr>
            <w:tcW w:w="866" w:type="dxa"/>
          </w:tcPr>
          <w:p w:rsidR="00D80435" w:rsidRDefault="00D80435">
            <w:pPr>
              <w:spacing w:before="40" w:after="40"/>
              <w:jc w:val="right"/>
              <w:rPr>
                <w:sz w:val="20"/>
                <w:lang w:val="ru-RU"/>
              </w:rPr>
            </w:pPr>
            <w:r>
              <w:rPr>
                <w:sz w:val="20"/>
                <w:lang w:val="ru-RU"/>
              </w:rPr>
              <w:t>76</w:t>
            </w:r>
          </w:p>
        </w:tc>
        <w:tc>
          <w:tcPr>
            <w:tcW w:w="866" w:type="dxa"/>
          </w:tcPr>
          <w:p w:rsidR="00D80435" w:rsidRDefault="00D80435">
            <w:pPr>
              <w:spacing w:before="40" w:after="40"/>
              <w:jc w:val="right"/>
              <w:rPr>
                <w:sz w:val="20"/>
                <w:lang w:val="ru-RU"/>
              </w:rPr>
            </w:pPr>
            <w:r>
              <w:rPr>
                <w:sz w:val="20"/>
                <w:lang w:val="ru-RU"/>
              </w:rPr>
              <w:t>46</w:t>
            </w:r>
          </w:p>
        </w:tc>
        <w:tc>
          <w:tcPr>
            <w:tcW w:w="1392" w:type="dxa"/>
          </w:tcPr>
          <w:p w:rsidR="00D80435" w:rsidRDefault="00D80435">
            <w:pPr>
              <w:spacing w:before="40" w:after="40"/>
              <w:jc w:val="center"/>
              <w:rPr>
                <w:sz w:val="20"/>
                <w:lang w:val="ru-RU"/>
              </w:rPr>
            </w:pPr>
            <w:r>
              <w:rPr>
                <w:sz w:val="20"/>
                <w:lang w:val="ru-RU"/>
              </w:rPr>
              <w:t>–68,5</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8</w:t>
            </w:r>
          </w:p>
        </w:tc>
        <w:tc>
          <w:tcPr>
            <w:tcW w:w="2373" w:type="dxa"/>
          </w:tcPr>
          <w:p w:rsidR="00D80435" w:rsidRDefault="00D80435">
            <w:pPr>
              <w:spacing w:before="40" w:after="40"/>
              <w:jc w:val="left"/>
              <w:rPr>
                <w:sz w:val="20"/>
                <w:lang w:val="ru-RU"/>
              </w:rPr>
            </w:pPr>
            <w:r>
              <w:rPr>
                <w:sz w:val="20"/>
                <w:lang w:val="ru-RU"/>
              </w:rPr>
              <w:t>Закон о запрещении сати</w:t>
            </w:r>
          </w:p>
        </w:tc>
        <w:tc>
          <w:tcPr>
            <w:tcW w:w="866" w:type="dxa"/>
          </w:tcPr>
          <w:p w:rsidR="00D80435" w:rsidRDefault="00D80435">
            <w:pPr>
              <w:spacing w:before="40" w:after="40"/>
              <w:jc w:val="right"/>
              <w:rPr>
                <w:sz w:val="20"/>
                <w:lang w:val="ru-RU"/>
              </w:rPr>
            </w:pPr>
            <w:r>
              <w:rPr>
                <w:sz w:val="20"/>
                <w:lang w:val="ru-RU"/>
              </w:rPr>
              <w:t>0</w:t>
            </w:r>
          </w:p>
        </w:tc>
        <w:tc>
          <w:tcPr>
            <w:tcW w:w="866" w:type="dxa"/>
          </w:tcPr>
          <w:p w:rsidR="00D80435" w:rsidRDefault="00D80435">
            <w:pPr>
              <w:spacing w:before="40" w:after="40"/>
              <w:jc w:val="right"/>
              <w:rPr>
                <w:sz w:val="20"/>
                <w:lang w:val="ru-RU"/>
              </w:rPr>
            </w:pPr>
            <w:r>
              <w:rPr>
                <w:sz w:val="20"/>
                <w:lang w:val="ru-RU"/>
              </w:rPr>
              <w:t>0</w:t>
            </w:r>
          </w:p>
        </w:tc>
        <w:tc>
          <w:tcPr>
            <w:tcW w:w="866" w:type="dxa"/>
          </w:tcPr>
          <w:p w:rsidR="00D80435" w:rsidRDefault="00D80435">
            <w:pPr>
              <w:spacing w:before="40" w:after="40"/>
              <w:jc w:val="right"/>
              <w:rPr>
                <w:sz w:val="20"/>
                <w:lang w:val="ru-RU"/>
              </w:rPr>
            </w:pPr>
            <w:r>
              <w:rPr>
                <w:sz w:val="20"/>
                <w:lang w:val="ru-RU"/>
              </w:rPr>
              <w:t>0</w:t>
            </w:r>
          </w:p>
        </w:tc>
        <w:tc>
          <w:tcPr>
            <w:tcW w:w="866" w:type="dxa"/>
          </w:tcPr>
          <w:p w:rsidR="00D80435" w:rsidRDefault="00D80435">
            <w:pPr>
              <w:spacing w:before="40" w:after="40"/>
              <w:jc w:val="right"/>
              <w:rPr>
                <w:sz w:val="20"/>
                <w:lang w:val="ru-RU"/>
              </w:rPr>
            </w:pPr>
            <w:r>
              <w:rPr>
                <w:sz w:val="20"/>
                <w:lang w:val="ru-RU"/>
              </w:rPr>
              <w:t>0</w:t>
            </w:r>
          </w:p>
        </w:tc>
        <w:tc>
          <w:tcPr>
            <w:tcW w:w="866" w:type="dxa"/>
          </w:tcPr>
          <w:p w:rsidR="00D80435" w:rsidRDefault="00D80435">
            <w:pPr>
              <w:spacing w:before="40" w:after="40"/>
              <w:jc w:val="right"/>
              <w:rPr>
                <w:sz w:val="20"/>
                <w:lang w:val="ru-RU"/>
              </w:rPr>
            </w:pPr>
            <w:r>
              <w:rPr>
                <w:sz w:val="20"/>
                <w:lang w:val="ru-RU"/>
              </w:rPr>
              <w:t>0</w:t>
            </w:r>
          </w:p>
        </w:tc>
        <w:tc>
          <w:tcPr>
            <w:tcW w:w="866" w:type="dxa"/>
          </w:tcPr>
          <w:p w:rsidR="00D80435" w:rsidRDefault="00D80435">
            <w:pPr>
              <w:spacing w:before="40" w:after="40"/>
              <w:jc w:val="right"/>
              <w:rPr>
                <w:sz w:val="20"/>
                <w:lang w:val="ru-RU"/>
              </w:rPr>
            </w:pPr>
            <w:r>
              <w:rPr>
                <w:sz w:val="20"/>
                <w:lang w:val="ru-RU"/>
              </w:rPr>
              <w:t>0</w:t>
            </w:r>
          </w:p>
        </w:tc>
        <w:tc>
          <w:tcPr>
            <w:tcW w:w="1392" w:type="dxa"/>
          </w:tcPr>
          <w:p w:rsidR="00D80435" w:rsidRDefault="00D80435">
            <w:pPr>
              <w:spacing w:before="40" w:after="40"/>
              <w:jc w:val="center"/>
              <w:rPr>
                <w:sz w:val="20"/>
                <w:lang w:val="ru-RU"/>
              </w:rPr>
            </w:pPr>
            <w:r>
              <w:rPr>
                <w:sz w:val="20"/>
                <w:lang w:val="ru-RU"/>
              </w:rPr>
              <w:t>0</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9</w:t>
            </w:r>
          </w:p>
        </w:tc>
        <w:tc>
          <w:tcPr>
            <w:tcW w:w="2373" w:type="dxa"/>
          </w:tcPr>
          <w:p w:rsidR="00D80435" w:rsidRDefault="00D80435">
            <w:pPr>
              <w:spacing w:before="40" w:after="40"/>
              <w:jc w:val="left"/>
              <w:rPr>
                <w:sz w:val="20"/>
                <w:lang w:val="ru-RU"/>
              </w:rPr>
            </w:pPr>
            <w:r>
              <w:rPr>
                <w:sz w:val="20"/>
                <w:lang w:val="ru-RU"/>
              </w:rPr>
              <w:t xml:space="preserve">Закон о запрещении аморальной торговли людьми </w:t>
            </w:r>
          </w:p>
        </w:tc>
        <w:tc>
          <w:tcPr>
            <w:tcW w:w="866" w:type="dxa"/>
          </w:tcPr>
          <w:p w:rsidR="00D80435" w:rsidRDefault="00D80435">
            <w:pPr>
              <w:spacing w:before="40" w:after="40"/>
              <w:jc w:val="right"/>
              <w:rPr>
                <w:sz w:val="20"/>
                <w:lang w:val="ru-RU"/>
              </w:rPr>
            </w:pPr>
            <w:r>
              <w:rPr>
                <w:sz w:val="20"/>
                <w:lang w:val="ru-RU"/>
              </w:rPr>
              <w:t>8 695</w:t>
            </w:r>
          </w:p>
        </w:tc>
        <w:tc>
          <w:tcPr>
            <w:tcW w:w="866" w:type="dxa"/>
          </w:tcPr>
          <w:p w:rsidR="00D80435" w:rsidRDefault="00D80435">
            <w:pPr>
              <w:spacing w:before="40" w:after="40"/>
              <w:jc w:val="right"/>
              <w:rPr>
                <w:sz w:val="20"/>
                <w:lang w:val="ru-RU"/>
              </w:rPr>
            </w:pPr>
            <w:r>
              <w:rPr>
                <w:sz w:val="20"/>
                <w:lang w:val="ru-RU"/>
              </w:rPr>
              <w:t>9 363</w:t>
            </w:r>
          </w:p>
        </w:tc>
        <w:tc>
          <w:tcPr>
            <w:tcW w:w="866" w:type="dxa"/>
          </w:tcPr>
          <w:p w:rsidR="00D80435" w:rsidRDefault="00D80435">
            <w:pPr>
              <w:spacing w:before="40" w:after="40"/>
              <w:jc w:val="right"/>
              <w:rPr>
                <w:sz w:val="20"/>
                <w:lang w:val="ru-RU"/>
              </w:rPr>
            </w:pPr>
            <w:r>
              <w:rPr>
                <w:sz w:val="20"/>
                <w:lang w:val="ru-RU"/>
              </w:rPr>
              <w:t>9 515</w:t>
            </w:r>
          </w:p>
        </w:tc>
        <w:tc>
          <w:tcPr>
            <w:tcW w:w="866" w:type="dxa"/>
          </w:tcPr>
          <w:p w:rsidR="00D80435" w:rsidRDefault="00D80435">
            <w:pPr>
              <w:spacing w:before="40" w:after="40"/>
              <w:jc w:val="right"/>
              <w:rPr>
                <w:sz w:val="20"/>
                <w:lang w:val="ru-RU"/>
              </w:rPr>
            </w:pPr>
            <w:r>
              <w:rPr>
                <w:sz w:val="20"/>
                <w:lang w:val="ru-RU"/>
              </w:rPr>
              <w:t>8 796</w:t>
            </w:r>
          </w:p>
        </w:tc>
        <w:tc>
          <w:tcPr>
            <w:tcW w:w="866" w:type="dxa"/>
          </w:tcPr>
          <w:p w:rsidR="00D80435" w:rsidRDefault="00D80435">
            <w:pPr>
              <w:spacing w:before="40" w:after="40"/>
              <w:jc w:val="right"/>
              <w:rPr>
                <w:sz w:val="20"/>
                <w:lang w:val="ru-RU"/>
              </w:rPr>
            </w:pPr>
            <w:r>
              <w:rPr>
                <w:sz w:val="20"/>
                <w:lang w:val="ru-RU"/>
              </w:rPr>
              <w:t>11 242</w:t>
            </w:r>
          </w:p>
        </w:tc>
        <w:tc>
          <w:tcPr>
            <w:tcW w:w="866" w:type="dxa"/>
          </w:tcPr>
          <w:p w:rsidR="00D80435" w:rsidRDefault="00D80435">
            <w:pPr>
              <w:spacing w:before="40" w:after="40"/>
              <w:jc w:val="right"/>
              <w:rPr>
                <w:sz w:val="20"/>
                <w:lang w:val="ru-RU"/>
              </w:rPr>
            </w:pPr>
            <w:r>
              <w:rPr>
                <w:sz w:val="20"/>
                <w:lang w:val="ru-RU"/>
              </w:rPr>
              <w:t>5 510</w:t>
            </w:r>
          </w:p>
        </w:tc>
        <w:tc>
          <w:tcPr>
            <w:tcW w:w="1392" w:type="dxa"/>
          </w:tcPr>
          <w:p w:rsidR="00D80435" w:rsidRDefault="00D80435">
            <w:pPr>
              <w:spacing w:before="40" w:after="40"/>
              <w:jc w:val="center"/>
              <w:rPr>
                <w:sz w:val="20"/>
                <w:lang w:val="ru-RU"/>
              </w:rPr>
            </w:pPr>
            <w:r>
              <w:rPr>
                <w:sz w:val="20"/>
                <w:lang w:val="ru-RU"/>
              </w:rPr>
              <w:t>–36,6</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10</w:t>
            </w:r>
          </w:p>
        </w:tc>
        <w:tc>
          <w:tcPr>
            <w:tcW w:w="2373" w:type="dxa"/>
          </w:tcPr>
          <w:p w:rsidR="00D80435" w:rsidRDefault="00D80435">
            <w:pPr>
              <w:spacing w:before="40" w:after="40"/>
              <w:jc w:val="left"/>
              <w:rPr>
                <w:sz w:val="20"/>
                <w:lang w:val="ru-RU"/>
              </w:rPr>
            </w:pPr>
            <w:r>
              <w:rPr>
                <w:sz w:val="20"/>
                <w:lang w:val="ru-RU"/>
              </w:rPr>
              <w:t>Закон о запрещении непристойного изображения женщин</w:t>
            </w:r>
          </w:p>
        </w:tc>
        <w:tc>
          <w:tcPr>
            <w:tcW w:w="866" w:type="dxa"/>
          </w:tcPr>
          <w:p w:rsidR="00D80435" w:rsidRDefault="00D80435">
            <w:pPr>
              <w:spacing w:before="40" w:after="40"/>
              <w:jc w:val="right"/>
              <w:rPr>
                <w:sz w:val="20"/>
                <w:lang w:val="ru-RU"/>
              </w:rPr>
            </w:pPr>
            <w:r>
              <w:rPr>
                <w:sz w:val="20"/>
                <w:lang w:val="ru-RU"/>
              </w:rPr>
              <w:t>190</w:t>
            </w:r>
          </w:p>
        </w:tc>
        <w:tc>
          <w:tcPr>
            <w:tcW w:w="866" w:type="dxa"/>
          </w:tcPr>
          <w:p w:rsidR="00D80435" w:rsidRDefault="00D80435">
            <w:pPr>
              <w:spacing w:before="40" w:after="40"/>
              <w:jc w:val="right"/>
              <w:rPr>
                <w:sz w:val="20"/>
                <w:lang w:val="ru-RU"/>
              </w:rPr>
            </w:pPr>
            <w:r>
              <w:rPr>
                <w:sz w:val="20"/>
                <w:lang w:val="ru-RU"/>
              </w:rPr>
              <w:t>222</w:t>
            </w:r>
          </w:p>
        </w:tc>
        <w:tc>
          <w:tcPr>
            <w:tcW w:w="866" w:type="dxa"/>
          </w:tcPr>
          <w:p w:rsidR="00D80435" w:rsidRDefault="00D80435">
            <w:pPr>
              <w:spacing w:before="40" w:after="40"/>
              <w:jc w:val="right"/>
              <w:rPr>
                <w:sz w:val="20"/>
                <w:lang w:val="ru-RU"/>
              </w:rPr>
            </w:pPr>
            <w:r>
              <w:rPr>
                <w:sz w:val="20"/>
                <w:lang w:val="ru-RU"/>
              </w:rPr>
              <w:t>662</w:t>
            </w:r>
          </w:p>
        </w:tc>
        <w:tc>
          <w:tcPr>
            <w:tcW w:w="866" w:type="dxa"/>
          </w:tcPr>
          <w:p w:rsidR="00D80435" w:rsidRDefault="00D80435">
            <w:pPr>
              <w:spacing w:before="40" w:after="40"/>
              <w:jc w:val="right"/>
              <w:rPr>
                <w:sz w:val="20"/>
                <w:lang w:val="ru-RU"/>
              </w:rPr>
            </w:pPr>
            <w:r>
              <w:rPr>
                <w:sz w:val="20"/>
                <w:lang w:val="ru-RU"/>
              </w:rPr>
              <w:t>1 052</w:t>
            </w:r>
          </w:p>
        </w:tc>
        <w:tc>
          <w:tcPr>
            <w:tcW w:w="866" w:type="dxa"/>
          </w:tcPr>
          <w:p w:rsidR="00D80435" w:rsidRDefault="00D80435">
            <w:pPr>
              <w:spacing w:before="40" w:after="40"/>
              <w:jc w:val="right"/>
              <w:rPr>
                <w:sz w:val="20"/>
                <w:lang w:val="ru-RU"/>
              </w:rPr>
            </w:pPr>
            <w:r>
              <w:rPr>
                <w:sz w:val="20"/>
                <w:lang w:val="ru-RU"/>
              </w:rPr>
              <w:t>2 506</w:t>
            </w:r>
          </w:p>
        </w:tc>
        <w:tc>
          <w:tcPr>
            <w:tcW w:w="866" w:type="dxa"/>
          </w:tcPr>
          <w:p w:rsidR="00D80435" w:rsidRDefault="00D80435">
            <w:pPr>
              <w:spacing w:before="40" w:after="40"/>
              <w:jc w:val="right"/>
              <w:rPr>
                <w:sz w:val="20"/>
                <w:lang w:val="ru-RU"/>
              </w:rPr>
            </w:pPr>
            <w:r>
              <w:rPr>
                <w:sz w:val="20"/>
                <w:lang w:val="ru-RU"/>
              </w:rPr>
              <w:t>1 043</w:t>
            </w:r>
          </w:p>
        </w:tc>
        <w:tc>
          <w:tcPr>
            <w:tcW w:w="1392" w:type="dxa"/>
          </w:tcPr>
          <w:p w:rsidR="00D80435" w:rsidRDefault="00D80435">
            <w:pPr>
              <w:spacing w:before="40" w:after="40"/>
              <w:jc w:val="center"/>
              <w:rPr>
                <w:sz w:val="20"/>
                <w:lang w:val="ru-RU"/>
              </w:rPr>
            </w:pPr>
            <w:r>
              <w:rPr>
                <w:sz w:val="20"/>
                <w:lang w:val="ru-RU"/>
              </w:rPr>
              <w:t>448,9</w:t>
            </w:r>
          </w:p>
        </w:tc>
      </w:tr>
      <w:tr w:rsidR="00D80435">
        <w:tblPrEx>
          <w:tblCellMar>
            <w:top w:w="0" w:type="dxa"/>
            <w:bottom w:w="0" w:type="dxa"/>
          </w:tblCellMar>
        </w:tblPrEx>
        <w:tc>
          <w:tcPr>
            <w:tcW w:w="553" w:type="dxa"/>
          </w:tcPr>
          <w:p w:rsidR="00D80435" w:rsidRDefault="00D80435">
            <w:pPr>
              <w:spacing w:before="40" w:after="40"/>
              <w:rPr>
                <w:sz w:val="20"/>
                <w:lang w:val="ru-RU"/>
              </w:rPr>
            </w:pPr>
            <w:r>
              <w:rPr>
                <w:sz w:val="20"/>
                <w:lang w:val="ru-RU"/>
              </w:rPr>
              <w:t>11</w:t>
            </w:r>
          </w:p>
        </w:tc>
        <w:tc>
          <w:tcPr>
            <w:tcW w:w="2373" w:type="dxa"/>
          </w:tcPr>
          <w:p w:rsidR="00D80435" w:rsidRDefault="00D80435">
            <w:pPr>
              <w:spacing w:before="40" w:after="40"/>
              <w:jc w:val="left"/>
              <w:rPr>
                <w:sz w:val="20"/>
                <w:lang w:val="ru-RU"/>
              </w:rPr>
            </w:pPr>
            <w:r>
              <w:rPr>
                <w:sz w:val="20"/>
                <w:lang w:val="ru-RU"/>
              </w:rPr>
              <w:t>Закон о запрещении требования приданого</w:t>
            </w:r>
          </w:p>
        </w:tc>
        <w:tc>
          <w:tcPr>
            <w:tcW w:w="866" w:type="dxa"/>
          </w:tcPr>
          <w:p w:rsidR="00D80435" w:rsidRDefault="00D80435">
            <w:pPr>
              <w:spacing w:before="40" w:after="40"/>
              <w:jc w:val="right"/>
              <w:rPr>
                <w:sz w:val="20"/>
                <w:lang w:val="ru-RU"/>
              </w:rPr>
            </w:pPr>
            <w:r>
              <w:rPr>
                <w:sz w:val="20"/>
                <w:lang w:val="ru-RU"/>
              </w:rPr>
              <w:t>3 578</w:t>
            </w:r>
          </w:p>
        </w:tc>
        <w:tc>
          <w:tcPr>
            <w:tcW w:w="866" w:type="dxa"/>
          </w:tcPr>
          <w:p w:rsidR="00D80435" w:rsidRDefault="00D80435">
            <w:pPr>
              <w:spacing w:before="40" w:after="40"/>
              <w:jc w:val="right"/>
              <w:rPr>
                <w:sz w:val="20"/>
                <w:lang w:val="ru-RU"/>
              </w:rPr>
            </w:pPr>
            <w:r>
              <w:rPr>
                <w:sz w:val="20"/>
                <w:lang w:val="ru-RU"/>
              </w:rPr>
              <w:t>3 064</w:t>
            </w:r>
          </w:p>
        </w:tc>
        <w:tc>
          <w:tcPr>
            <w:tcW w:w="866" w:type="dxa"/>
          </w:tcPr>
          <w:p w:rsidR="00D80435" w:rsidRDefault="00D80435">
            <w:pPr>
              <w:spacing w:before="40" w:after="40"/>
              <w:jc w:val="right"/>
              <w:rPr>
                <w:sz w:val="20"/>
                <w:lang w:val="ru-RU"/>
              </w:rPr>
            </w:pPr>
            <w:r>
              <w:rPr>
                <w:sz w:val="20"/>
                <w:lang w:val="ru-RU"/>
              </w:rPr>
              <w:t>2 876</w:t>
            </w:r>
          </w:p>
        </w:tc>
        <w:tc>
          <w:tcPr>
            <w:tcW w:w="866" w:type="dxa"/>
          </w:tcPr>
          <w:p w:rsidR="00D80435" w:rsidRDefault="00D80435">
            <w:pPr>
              <w:spacing w:before="40" w:after="40"/>
              <w:jc w:val="right"/>
              <w:rPr>
                <w:sz w:val="20"/>
                <w:lang w:val="ru-RU"/>
              </w:rPr>
            </w:pPr>
            <w:r>
              <w:rPr>
                <w:sz w:val="20"/>
                <w:lang w:val="ru-RU"/>
              </w:rPr>
              <w:t>3 222</w:t>
            </w:r>
          </w:p>
        </w:tc>
        <w:tc>
          <w:tcPr>
            <w:tcW w:w="866" w:type="dxa"/>
          </w:tcPr>
          <w:p w:rsidR="00D80435" w:rsidRDefault="00D80435">
            <w:pPr>
              <w:spacing w:before="40" w:after="40"/>
              <w:jc w:val="right"/>
              <w:rPr>
                <w:sz w:val="20"/>
                <w:lang w:val="ru-RU"/>
              </w:rPr>
            </w:pPr>
            <w:r>
              <w:rPr>
                <w:sz w:val="20"/>
                <w:lang w:val="ru-RU"/>
              </w:rPr>
              <w:t>2 816</w:t>
            </w:r>
          </w:p>
        </w:tc>
        <w:tc>
          <w:tcPr>
            <w:tcW w:w="866" w:type="dxa"/>
          </w:tcPr>
          <w:p w:rsidR="00D80435" w:rsidRDefault="00D80435">
            <w:pPr>
              <w:spacing w:before="40" w:after="40"/>
              <w:jc w:val="right"/>
              <w:rPr>
                <w:sz w:val="20"/>
                <w:lang w:val="ru-RU"/>
              </w:rPr>
            </w:pPr>
            <w:r>
              <w:rPr>
                <w:sz w:val="20"/>
                <w:lang w:val="ru-RU"/>
              </w:rPr>
              <w:t>2684</w:t>
            </w:r>
          </w:p>
        </w:tc>
        <w:tc>
          <w:tcPr>
            <w:tcW w:w="1392" w:type="dxa"/>
          </w:tcPr>
          <w:p w:rsidR="00D80435" w:rsidRDefault="00D80435">
            <w:pPr>
              <w:spacing w:before="40" w:after="40"/>
              <w:jc w:val="center"/>
              <w:rPr>
                <w:sz w:val="20"/>
                <w:lang w:val="ru-RU"/>
              </w:rPr>
            </w:pPr>
            <w:r>
              <w:rPr>
                <w:sz w:val="20"/>
                <w:lang w:val="ru-RU"/>
              </w:rPr>
              <w:t>– 25,0</w:t>
            </w:r>
          </w:p>
        </w:tc>
      </w:tr>
      <w:tr w:rsidR="00D80435">
        <w:tblPrEx>
          <w:tblCellMar>
            <w:top w:w="0" w:type="dxa"/>
            <w:bottom w:w="0" w:type="dxa"/>
          </w:tblCellMar>
        </w:tblPrEx>
        <w:tc>
          <w:tcPr>
            <w:tcW w:w="553" w:type="dxa"/>
          </w:tcPr>
          <w:p w:rsidR="00D80435" w:rsidRDefault="00D80435">
            <w:pPr>
              <w:spacing w:before="40" w:after="40"/>
              <w:rPr>
                <w:b/>
                <w:sz w:val="20"/>
                <w:lang w:val="ru-RU"/>
              </w:rPr>
            </w:pPr>
          </w:p>
        </w:tc>
        <w:tc>
          <w:tcPr>
            <w:tcW w:w="2373" w:type="dxa"/>
          </w:tcPr>
          <w:p w:rsidR="00D80435" w:rsidRDefault="00D80435">
            <w:pPr>
              <w:spacing w:before="40" w:after="40"/>
              <w:jc w:val="left"/>
              <w:rPr>
                <w:b/>
                <w:sz w:val="20"/>
                <w:lang w:val="ru-RU"/>
              </w:rPr>
            </w:pPr>
            <w:r>
              <w:rPr>
                <w:b/>
                <w:sz w:val="20"/>
                <w:lang w:val="ru-RU"/>
              </w:rPr>
              <w:t>Итого</w:t>
            </w:r>
          </w:p>
        </w:tc>
        <w:tc>
          <w:tcPr>
            <w:tcW w:w="866" w:type="dxa"/>
          </w:tcPr>
          <w:p w:rsidR="00D80435" w:rsidRDefault="00D80435">
            <w:pPr>
              <w:spacing w:before="40" w:after="40"/>
              <w:jc w:val="right"/>
              <w:rPr>
                <w:b/>
                <w:sz w:val="20"/>
                <w:lang w:val="ru-RU"/>
              </w:rPr>
            </w:pPr>
            <w:r>
              <w:rPr>
                <w:b/>
                <w:sz w:val="20"/>
                <w:lang w:val="ru-RU"/>
              </w:rPr>
              <w:t>131 475</w:t>
            </w:r>
          </w:p>
        </w:tc>
        <w:tc>
          <w:tcPr>
            <w:tcW w:w="866" w:type="dxa"/>
          </w:tcPr>
          <w:p w:rsidR="00D80435" w:rsidRDefault="00D80435">
            <w:pPr>
              <w:spacing w:before="40" w:after="40"/>
              <w:jc w:val="right"/>
              <w:rPr>
                <w:b/>
                <w:sz w:val="20"/>
                <w:lang w:val="ru-RU"/>
              </w:rPr>
            </w:pPr>
            <w:r>
              <w:rPr>
                <w:b/>
                <w:sz w:val="20"/>
                <w:lang w:val="ru-RU"/>
              </w:rPr>
              <w:t>135 771</w:t>
            </w:r>
          </w:p>
        </w:tc>
        <w:tc>
          <w:tcPr>
            <w:tcW w:w="866" w:type="dxa"/>
          </w:tcPr>
          <w:p w:rsidR="00D80435" w:rsidRDefault="00D80435">
            <w:pPr>
              <w:spacing w:before="40" w:after="40"/>
              <w:jc w:val="right"/>
              <w:rPr>
                <w:b/>
                <w:sz w:val="20"/>
                <w:lang w:val="ru-RU"/>
              </w:rPr>
            </w:pPr>
            <w:r>
              <w:rPr>
                <w:b/>
                <w:sz w:val="20"/>
                <w:lang w:val="ru-RU"/>
              </w:rPr>
              <w:t>141 373</w:t>
            </w:r>
          </w:p>
        </w:tc>
        <w:tc>
          <w:tcPr>
            <w:tcW w:w="866" w:type="dxa"/>
          </w:tcPr>
          <w:p w:rsidR="00D80435" w:rsidRDefault="00D80435">
            <w:pPr>
              <w:spacing w:before="40" w:after="40"/>
              <w:jc w:val="right"/>
              <w:rPr>
                <w:b/>
                <w:sz w:val="20"/>
                <w:lang w:val="ru-RU"/>
              </w:rPr>
            </w:pPr>
            <w:r>
              <w:rPr>
                <w:b/>
                <w:sz w:val="20"/>
                <w:lang w:val="ru-RU"/>
              </w:rPr>
              <w:t>143 795</w:t>
            </w:r>
          </w:p>
        </w:tc>
        <w:tc>
          <w:tcPr>
            <w:tcW w:w="866" w:type="dxa"/>
          </w:tcPr>
          <w:p w:rsidR="00D80435" w:rsidRDefault="00D80435">
            <w:pPr>
              <w:spacing w:before="40" w:after="40"/>
              <w:jc w:val="right"/>
              <w:rPr>
                <w:b/>
                <w:sz w:val="20"/>
                <w:lang w:val="ru-RU"/>
              </w:rPr>
            </w:pPr>
            <w:r>
              <w:rPr>
                <w:b/>
                <w:sz w:val="20"/>
                <w:lang w:val="ru-RU"/>
              </w:rPr>
              <w:t>143 034</w:t>
            </w:r>
          </w:p>
        </w:tc>
        <w:tc>
          <w:tcPr>
            <w:tcW w:w="866" w:type="dxa"/>
          </w:tcPr>
          <w:p w:rsidR="00D80435" w:rsidRDefault="00D80435">
            <w:pPr>
              <w:spacing w:before="40" w:after="40"/>
              <w:jc w:val="right"/>
              <w:rPr>
                <w:b/>
                <w:sz w:val="20"/>
                <w:lang w:val="ru-RU"/>
              </w:rPr>
            </w:pPr>
            <w:r>
              <w:rPr>
                <w:b/>
                <w:sz w:val="20"/>
                <w:lang w:val="ru-RU"/>
              </w:rPr>
              <w:t>140 601</w:t>
            </w:r>
          </w:p>
        </w:tc>
        <w:tc>
          <w:tcPr>
            <w:tcW w:w="1392" w:type="dxa"/>
          </w:tcPr>
          <w:p w:rsidR="00D80435" w:rsidRDefault="00D80435">
            <w:pPr>
              <w:spacing w:before="40" w:after="40"/>
              <w:jc w:val="center"/>
              <w:rPr>
                <w:b/>
                <w:sz w:val="20"/>
                <w:lang w:val="ru-RU"/>
              </w:rPr>
            </w:pPr>
            <w:r>
              <w:rPr>
                <w:b/>
                <w:sz w:val="20"/>
                <w:lang w:val="ru-RU"/>
              </w:rPr>
              <w:t>0,9</w:t>
            </w:r>
          </w:p>
        </w:tc>
      </w:tr>
    </w:tbl>
    <w:p w:rsidR="00D80435" w:rsidRDefault="00D80435">
      <w:pPr>
        <w:pStyle w:val="Header"/>
        <w:tabs>
          <w:tab w:val="clear" w:pos="4677"/>
          <w:tab w:val="clear" w:pos="9355"/>
        </w:tabs>
        <w:spacing w:before="100"/>
        <w:rPr>
          <w:sz w:val="20"/>
          <w:lang w:val="ru-RU"/>
        </w:rPr>
      </w:pPr>
      <w:r>
        <w:rPr>
          <w:i/>
          <w:sz w:val="20"/>
          <w:lang w:val="ru-RU"/>
        </w:rPr>
        <w:t>Источник</w:t>
      </w:r>
      <w:r>
        <w:rPr>
          <w:sz w:val="20"/>
          <w:lang w:val="ru-RU"/>
        </w:rPr>
        <w:t>: Национальное бюро регистрации преступлений.</w:t>
      </w:r>
    </w:p>
    <w:p w:rsidR="00D80435" w:rsidRDefault="00D80435">
      <w:pPr>
        <w:rPr>
          <w:lang w:val="ru-RU"/>
        </w:rPr>
      </w:pPr>
      <w:r>
        <w:rPr>
          <w:lang w:val="ru-RU"/>
        </w:rPr>
        <w:t>342.</w:t>
      </w:r>
      <w:r>
        <w:rPr>
          <w:lang w:val="ru-RU"/>
        </w:rPr>
        <w:tab/>
        <w:t xml:space="preserve">Проблемы насилия в отношении женщин решаются с помощью закона, полиции и служб помощи. С одной стороны, правительство усиливает существующее законодательство и разрабатывает новые институциональные механизмы, в том числе организует полицейские участки, где работают только женщины, и ведет работу по повышению восприимчивости персонала правоохранительных органов к гендерной тематике, а с другой – создает службы помощи уязвимым женщинам, в том числе дома кратковременного пребывания, общежития для работающих женщин, а также предоставляет услуги по реабилитации жертв насилия. </w:t>
      </w:r>
    </w:p>
    <w:p w:rsidR="00D80435" w:rsidRDefault="00D80435">
      <w:pPr>
        <w:rPr>
          <w:lang w:val="ru-RU"/>
        </w:rPr>
      </w:pPr>
      <w:r>
        <w:rPr>
          <w:lang w:val="ru-RU"/>
        </w:rPr>
        <w:t xml:space="preserve">343. </w:t>
      </w:r>
      <w:r>
        <w:rPr>
          <w:lang w:val="ru-RU"/>
        </w:rPr>
        <w:tab/>
        <w:t>Законодательные меры: Правительство приняло законодательные меры, чтобы противостоять различным формам насилия и жестокостей, а также предоставить помощь женщинам. Полиции была отведена роль правоприменительного органа по предупреждению преступлений, исполнению законов и расследованию преступлений.</w:t>
      </w:r>
    </w:p>
    <w:p w:rsidR="00D80435" w:rsidRDefault="00D80435">
      <w:pPr>
        <w:rPr>
          <w:lang w:val="ru-RU"/>
        </w:rPr>
      </w:pPr>
      <w:r>
        <w:rPr>
          <w:lang w:val="ru-RU"/>
        </w:rPr>
        <w:t xml:space="preserve">344. </w:t>
      </w:r>
      <w:r>
        <w:rPr>
          <w:lang w:val="ru-RU"/>
        </w:rPr>
        <w:tab/>
      </w:r>
      <w:r>
        <w:rPr>
          <w:b/>
          <w:lang w:val="ru-RU"/>
        </w:rPr>
        <w:t>Сексуальное домогательство:</w:t>
      </w:r>
      <w:r>
        <w:rPr>
          <w:lang w:val="ru-RU"/>
        </w:rPr>
        <w:t xml:space="preserve"> Согласно данным Национального бюро регистрации преступлений количество зарегистрированных случаев сексуального домогательства растет. Существующее в Уголовном кодексе Индии положение было сочтено недостаточным, чтобы бороться со всеми формами преступлений и домогательств на сексуальной почве, начиная с приставаний, непристойных жестов, непристойных предложений до развратных действий с применением насилия. Верховный суд в деле </w:t>
      </w:r>
      <w:r>
        <w:rPr>
          <w:b/>
          <w:lang w:val="ru-RU"/>
        </w:rPr>
        <w:t xml:space="preserve">Вишака (AIR 1997 SC 3011) </w:t>
      </w:r>
      <w:r>
        <w:rPr>
          <w:lang w:val="ru-RU"/>
        </w:rPr>
        <w:t>дал определение сексуальному домогательству, соответствующее определению, содержащемуся в Общей рекомендации 19 к Конвенции, изложил некоторые руководящие принципы в качестве превентивных мер, направленных против сексуального домогательства на рабочем месте, и дал указание нанимателям принимать меры на рабочем месте. В соответствии с вышеуказанным решением правительство предприняло ряд целей инициатив, чтобы обеспечить соответствие с правовой нормой, изложенной Верховным судом (см. статью 11).</w:t>
      </w:r>
    </w:p>
    <w:p w:rsidR="00D80435" w:rsidRDefault="00D80435">
      <w:pPr>
        <w:rPr>
          <w:lang w:val="ru-RU"/>
        </w:rPr>
      </w:pPr>
      <w:r>
        <w:rPr>
          <w:lang w:val="ru-RU"/>
        </w:rPr>
        <w:t xml:space="preserve">345. </w:t>
      </w:r>
      <w:r>
        <w:rPr>
          <w:lang w:val="ru-RU"/>
        </w:rPr>
        <w:tab/>
      </w:r>
      <w:r>
        <w:rPr>
          <w:b/>
          <w:lang w:val="ru-RU"/>
        </w:rPr>
        <w:t>Приданое и смертные случаи, связанные с требованием выплаты приданого:</w:t>
      </w:r>
      <w:r>
        <w:rPr>
          <w:lang w:val="ru-RU"/>
        </w:rPr>
        <w:t xml:space="preserve"> Требование и получение приданого рассматриваются как преступление; в 1984 и в 1986 годах в Закон о запрещении приданого были внесены поправки и, соответственно, были также внесены поправки в Уголовный закон. Подробности были представлены в Первоначальном докладе (пункты 369 и 370). В 2002–2003 годах наметилось сокращение числа домогательств приданого и смертных случаев из-за приданого. Несмотря на закон практика получения приданого сохраняется, поскольку это явление продолжает получать общественное одобрение. Безработица, стремление любой ценой получить материальные блага и чрезмерное значение, придаваемое замужеству, делают женщин более уязвимыми в отношении требований приданого.</w:t>
      </w:r>
    </w:p>
    <w:p w:rsidR="00D80435" w:rsidRDefault="00D80435">
      <w:pPr>
        <w:rPr>
          <w:lang w:val="ru-RU"/>
        </w:rPr>
      </w:pPr>
      <w:r>
        <w:rPr>
          <w:lang w:val="ru-RU"/>
        </w:rPr>
        <w:t xml:space="preserve">346. </w:t>
      </w:r>
      <w:r>
        <w:rPr>
          <w:lang w:val="ru-RU"/>
        </w:rPr>
        <w:tab/>
      </w:r>
      <w:r>
        <w:rPr>
          <w:b/>
          <w:lang w:val="ru-RU"/>
        </w:rPr>
        <w:t>Насилие в семье:</w:t>
      </w:r>
      <w:r>
        <w:rPr>
          <w:lang w:val="ru-RU"/>
        </w:rPr>
        <w:t xml:space="preserve"> В дополнение к индийскому Уголовному кодексу 8 марта 2002 года в парламент был представлен новый законопроект, касающийся насилия в семье, – Билль о защите от насилия в семье</w:t>
      </w:r>
      <w:r>
        <w:rPr>
          <w:b/>
          <w:lang w:val="ru-RU"/>
        </w:rPr>
        <w:t xml:space="preserve"> </w:t>
      </w:r>
      <w:r>
        <w:rPr>
          <w:lang w:val="ru-RU"/>
        </w:rPr>
        <w:t>2002 года, направленный на искоренение доселе скрытой формы насилия в отношении женщин в домашней среде. Этот законопроект был направлен в Постоянный парламентский комитет, поскольку имелись возражения со стороны женских групп. Комитет дал свои рекомендации, но никаких дальнейших действий по этому законопроекту не могло быть предпринято, поскольку в феврале 2004 года парламент был распущен. Нынешнее правительство обязалось провести закон о насилии в семье. Был разработан новый законопроект, учитывающий мнения женских групп, который, по всей видимости, вскоре будет внесен в парламент.</w:t>
      </w:r>
    </w:p>
    <w:p w:rsidR="00D80435" w:rsidRDefault="00D80435">
      <w:pPr>
        <w:rPr>
          <w:lang w:val="ru-RU"/>
        </w:rPr>
      </w:pPr>
      <w:r>
        <w:rPr>
          <w:lang w:val="ru-RU"/>
        </w:rPr>
        <w:t xml:space="preserve">347. </w:t>
      </w:r>
      <w:r>
        <w:rPr>
          <w:lang w:val="ru-RU"/>
        </w:rPr>
        <w:tab/>
      </w:r>
      <w:r>
        <w:rPr>
          <w:b/>
          <w:lang w:val="ru-RU"/>
        </w:rPr>
        <w:t>Изнасилование:</w:t>
      </w:r>
      <w:r>
        <w:rPr>
          <w:lang w:val="ru-RU"/>
        </w:rPr>
        <w:t xml:space="preserve"> Растут требования в отношении изменения узкого определения изнасилования, данного в индийском Уголовном кодексе, и об исключении из индийского Закона о свидетельских показаниях положения (пункт 4 раздела 155), согласно которому прошлая жизнь женщины может поставить под сомнение достоверность ее показаний. Национальная комиссия по делам женщин осуществила обзор законов и рекомендовала кардинальным образом пересмотреть индийский Уголовный кодекс в части, касающейся преступлений в отношении женщин, с целью установления компенсации за преступления в отношении женщин. В настоящее время проводятся консультации в отношении изменения соответствующих разделов индийского Уголовного кодекса, Уголовно-процессуального кодекса и индийского Закона о свидетельских показаниях. Национальная комиссия по делам женщин подготавливает также новый законопроект о предоставлении компенсации жертвам изнасилования.</w:t>
      </w:r>
    </w:p>
    <w:p w:rsidR="00D80435" w:rsidRDefault="00D80435">
      <w:pPr>
        <w:rPr>
          <w:lang w:val="ru-RU"/>
        </w:rPr>
      </w:pPr>
      <w:r>
        <w:rPr>
          <w:lang w:val="ru-RU"/>
        </w:rPr>
        <w:t xml:space="preserve">348. </w:t>
      </w:r>
      <w:r>
        <w:rPr>
          <w:lang w:val="ru-RU"/>
        </w:rPr>
        <w:tab/>
        <w:t>Верховный суд при рассмотрении различных дел выносит обвинительный приговор, основываясь на показаниях потерпевшей, не требуя их подкрепления другими доказательствами. Во многих случаях в дополнение к наказанию обвиняемого Верховный суд предоставлял женщинам компенсацию – "Бодхисаттва Гаутам против Субхра Чакроборти" (AIR 1996 SC 922)</w:t>
      </w:r>
      <w:r>
        <w:rPr>
          <w:i/>
          <w:lang w:val="ru-RU"/>
        </w:rPr>
        <w:t xml:space="preserve">, </w:t>
      </w:r>
      <w:r>
        <w:rPr>
          <w:lang w:val="ru-RU"/>
        </w:rPr>
        <w:t>"Начальник управления железной дороги против Чандримы Дас" (AIR 2000 SC 988)</w:t>
      </w:r>
      <w:r>
        <w:rPr>
          <w:i/>
          <w:lang w:val="ru-RU"/>
        </w:rPr>
        <w:t>, "</w:t>
      </w:r>
      <w:r>
        <w:rPr>
          <w:lang w:val="ru-RU"/>
        </w:rPr>
        <w:t>Делийский форум женщин-надомниц против Индийского союза" [(1995) 1 SCC 14]</w:t>
      </w:r>
      <w:r>
        <w:rPr>
          <w:b/>
          <w:i/>
          <w:lang w:val="ru-RU"/>
        </w:rPr>
        <w:t xml:space="preserve">. </w:t>
      </w:r>
      <w:r>
        <w:rPr>
          <w:lang w:val="ru-RU"/>
        </w:rPr>
        <w:t>Верховный суд изложил некоторые руководящие принципы относительно помощи, которую следует оказывать женщинам в случаях изнасилования.</w:t>
      </w:r>
    </w:p>
    <w:p w:rsidR="00D80435" w:rsidRDefault="00D80435">
      <w:pPr>
        <w:rPr>
          <w:b/>
          <w:lang w:val="ru-RU"/>
        </w:rPr>
      </w:pPr>
      <w:r>
        <w:rPr>
          <w:lang w:val="ru-RU"/>
        </w:rPr>
        <w:t>349.</w:t>
      </w:r>
      <w:r>
        <w:rPr>
          <w:lang w:val="ru-RU"/>
        </w:rPr>
        <w:tab/>
      </w:r>
      <w:r>
        <w:rPr>
          <w:b/>
          <w:lang w:val="ru-RU"/>
        </w:rPr>
        <w:t xml:space="preserve">Торговля женщинами с целью занятия проституцией: </w:t>
      </w:r>
      <w:r>
        <w:rPr>
          <w:lang w:val="ru-RU"/>
        </w:rPr>
        <w:t>Принятые для решения этой проблемы меры были описаны в разделе, посвященном статье 6.</w:t>
      </w:r>
      <w:r>
        <w:rPr>
          <w:b/>
          <w:lang w:val="ru-RU"/>
        </w:rPr>
        <w:t xml:space="preserve"> </w:t>
      </w:r>
    </w:p>
    <w:p w:rsidR="00D80435" w:rsidRDefault="00D80435">
      <w:pPr>
        <w:rPr>
          <w:lang w:val="ru-RU"/>
        </w:rPr>
      </w:pPr>
      <w:r>
        <w:rPr>
          <w:lang w:val="ru-RU"/>
        </w:rPr>
        <w:t>350.</w:t>
      </w:r>
      <w:r>
        <w:rPr>
          <w:b/>
          <w:lang w:val="ru-RU"/>
        </w:rPr>
        <w:tab/>
      </w:r>
      <w:r>
        <w:rPr>
          <w:lang w:val="ru-RU"/>
        </w:rPr>
        <w:t xml:space="preserve">В некоторых регионах страны распространена практика </w:t>
      </w:r>
      <w:r>
        <w:rPr>
          <w:b/>
          <w:lang w:val="ru-RU"/>
        </w:rPr>
        <w:t>убийства новорожденных девочек и умерщвления плода женского пола</w:t>
      </w:r>
      <w:r>
        <w:rPr>
          <w:lang w:val="ru-RU"/>
        </w:rPr>
        <w:t>. Причина этого явления кроется в предпочтении, которое отдается сыновьям перед дочерьми. Для определения пола нерожденного ребенка часто применяются методы амниоцентеза (пункция плодного пузыря) и сонографии, которыми злоупотребляют при абортах плодов женского пола. Вторая главная проблема – это неблагоприятное соотношение полов, которое резко возрастает в некоторых штатах, в том числе в Пенджабе, Харьяне и Дели. Правительство ввело в действие новый Закон о методах дородовой диагностики (регулирование и предотвращение злоупотреблений) 1994 года (ЗМДД) с внесенными в 2003 году поправками, направленный на предотвращение злоупотребления научными технологиями и запрещение клиникам сообщать пол плода.</w:t>
      </w:r>
    </w:p>
    <w:p w:rsidR="00D80435" w:rsidRDefault="00D80435">
      <w:pPr>
        <w:rPr>
          <w:lang w:val="ru-RU"/>
        </w:rPr>
      </w:pPr>
      <w:r>
        <w:rPr>
          <w:lang w:val="ru-RU"/>
        </w:rPr>
        <w:t>351.</w:t>
      </w:r>
      <w:r>
        <w:rPr>
          <w:lang w:val="ru-RU"/>
        </w:rPr>
        <w:tab/>
      </w:r>
      <w:r>
        <w:rPr>
          <w:b/>
          <w:lang w:val="ru-RU"/>
        </w:rPr>
        <w:t>Caти</w:t>
      </w:r>
      <w:r>
        <w:rPr>
          <w:lang w:val="ru-RU"/>
        </w:rPr>
        <w:t xml:space="preserve"> – практика самосожжения женщины на погребальном костре своего мужа, широко распространенная в прошлом, была объявлена вне закона благодаря усилиям социальных реформаторов, таких как Раджа Рам Мохан Рой. Однако появившиеся в последние годы сообщения о случаях сати заставили правительство принять закон – Закон о запрещении сати 1987 года, – чтобы предотвратить совершение этого обряда; оно также наделило районные власти полномочиями по контролю над случаями совершения сати. В настоящее время в этот закон вносятся поправки с целью ужесточения наказания для лиц, практикующих сати.</w:t>
      </w:r>
    </w:p>
    <w:p w:rsidR="00D80435" w:rsidRDefault="00D80435">
      <w:pPr>
        <w:rPr>
          <w:lang w:val="ru-RU"/>
        </w:rPr>
      </w:pPr>
      <w:r>
        <w:rPr>
          <w:lang w:val="ru-RU"/>
        </w:rPr>
        <w:t xml:space="preserve">352. </w:t>
      </w:r>
      <w:r>
        <w:rPr>
          <w:lang w:val="ru-RU"/>
        </w:rPr>
        <w:tab/>
      </w:r>
      <w:r>
        <w:rPr>
          <w:b/>
          <w:lang w:val="ru-RU"/>
        </w:rPr>
        <w:t>Насилие и жестокости в отношении женщин – представительниц СК/СП:</w:t>
      </w:r>
      <w:r>
        <w:rPr>
          <w:lang w:val="ru-RU"/>
        </w:rPr>
        <w:t xml:space="preserve"> Преступления, совершенные против представителей СК и СП, делятся на две группы: преступления, подпадающие под общий закон и под специальные законодательные акты. Общее количество преступлений в этих категориях – преступлений, совершенных против включенных в списки каст и преступлений, совершенных против включенных в списки племен – уменьшилось, соответственно, с 21,65 процента в 2002 году до 13,06 процента в 2003 году. Уровень преступности в 2003 году составляет, таким образом, около 2,5 процента для СК и 0,6 процент для СП.</w:t>
      </w:r>
    </w:p>
    <w:p w:rsidR="00D80435" w:rsidRDefault="00D80435">
      <w:pPr>
        <w:rPr>
          <w:lang w:val="ru-RU"/>
        </w:rPr>
      </w:pPr>
    </w:p>
    <w:p w:rsidR="00D80435" w:rsidRDefault="00D80435">
      <w:pPr>
        <w:jc w:val="left"/>
        <w:rPr>
          <w:lang w:val="ru-RU"/>
        </w:rPr>
      </w:pPr>
      <w:r>
        <w:rPr>
          <w:b/>
          <w:lang w:val="ru-RU"/>
        </w:rPr>
        <w:t>Преступления, совершенные против включенных в списки каст и включенных в списки племен</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9"/>
        <w:gridCol w:w="1122"/>
        <w:gridCol w:w="1122"/>
        <w:gridCol w:w="935"/>
        <w:gridCol w:w="1122"/>
        <w:gridCol w:w="1122"/>
        <w:gridCol w:w="1122"/>
      </w:tblGrid>
      <w:tr w:rsidR="00D80435">
        <w:tblPrEx>
          <w:tblCellMar>
            <w:top w:w="0" w:type="dxa"/>
            <w:bottom w:w="0" w:type="dxa"/>
          </w:tblCellMar>
        </w:tblPrEx>
        <w:tc>
          <w:tcPr>
            <w:tcW w:w="6358" w:type="dxa"/>
            <w:gridSpan w:val="4"/>
          </w:tcPr>
          <w:p w:rsidR="00D80435" w:rsidRDefault="00D80435">
            <w:pPr>
              <w:pStyle w:val="Heading5"/>
              <w:spacing w:before="80" w:after="80"/>
              <w:jc w:val="center"/>
            </w:pPr>
            <w:r>
              <w:t>Включенные в списки касты</w:t>
            </w:r>
          </w:p>
        </w:tc>
        <w:tc>
          <w:tcPr>
            <w:tcW w:w="3366" w:type="dxa"/>
            <w:gridSpan w:val="3"/>
          </w:tcPr>
          <w:p w:rsidR="00D80435" w:rsidRDefault="00D80435">
            <w:pPr>
              <w:spacing w:before="80" w:after="80"/>
              <w:jc w:val="center"/>
              <w:rPr>
                <w:b/>
                <w:sz w:val="20"/>
                <w:lang w:val="ru-RU"/>
              </w:rPr>
            </w:pPr>
            <w:r>
              <w:rPr>
                <w:b/>
                <w:sz w:val="20"/>
                <w:lang w:val="ru-RU"/>
              </w:rPr>
              <w:t>Включенные в списки племена</w:t>
            </w:r>
          </w:p>
        </w:tc>
      </w:tr>
      <w:tr w:rsidR="00D80435">
        <w:tblPrEx>
          <w:tblCellMar>
            <w:top w:w="0" w:type="dxa"/>
            <w:bottom w:w="0" w:type="dxa"/>
          </w:tblCellMar>
        </w:tblPrEx>
        <w:trPr>
          <w:cantSplit/>
        </w:trPr>
        <w:tc>
          <w:tcPr>
            <w:tcW w:w="3179" w:type="dxa"/>
          </w:tcPr>
          <w:p w:rsidR="00D80435" w:rsidRDefault="00D80435">
            <w:pPr>
              <w:spacing w:before="80" w:after="80"/>
              <w:rPr>
                <w:b/>
                <w:sz w:val="20"/>
                <w:lang w:val="ru-RU"/>
              </w:rPr>
            </w:pPr>
            <w:r>
              <w:rPr>
                <w:b/>
                <w:sz w:val="20"/>
                <w:lang w:val="ru-RU"/>
              </w:rPr>
              <w:t>Вид преступлений</w:t>
            </w:r>
          </w:p>
        </w:tc>
        <w:tc>
          <w:tcPr>
            <w:tcW w:w="1122" w:type="dxa"/>
          </w:tcPr>
          <w:p w:rsidR="00D80435" w:rsidRDefault="00D80435">
            <w:pPr>
              <w:spacing w:before="80" w:after="80"/>
              <w:jc w:val="center"/>
              <w:rPr>
                <w:b/>
                <w:sz w:val="20"/>
                <w:lang w:val="ru-RU"/>
              </w:rPr>
            </w:pPr>
            <w:r>
              <w:rPr>
                <w:b/>
                <w:sz w:val="20"/>
                <w:lang w:val="ru-RU"/>
              </w:rPr>
              <w:t>2002 г.</w:t>
            </w:r>
          </w:p>
        </w:tc>
        <w:tc>
          <w:tcPr>
            <w:tcW w:w="1122" w:type="dxa"/>
          </w:tcPr>
          <w:p w:rsidR="00D80435" w:rsidRDefault="00D80435">
            <w:pPr>
              <w:spacing w:before="80" w:after="80"/>
              <w:jc w:val="center"/>
              <w:rPr>
                <w:b/>
                <w:sz w:val="20"/>
                <w:lang w:val="ru-RU"/>
              </w:rPr>
            </w:pPr>
            <w:r>
              <w:rPr>
                <w:b/>
                <w:sz w:val="20"/>
                <w:lang w:val="ru-RU"/>
              </w:rPr>
              <w:t>2003 г.</w:t>
            </w:r>
          </w:p>
        </w:tc>
        <w:tc>
          <w:tcPr>
            <w:tcW w:w="935" w:type="dxa"/>
          </w:tcPr>
          <w:p w:rsidR="00D80435" w:rsidRDefault="00D80435">
            <w:pPr>
              <w:spacing w:before="80" w:after="80"/>
              <w:jc w:val="center"/>
              <w:rPr>
                <w:b/>
                <w:sz w:val="20"/>
                <w:lang w:val="ru-RU"/>
              </w:rPr>
            </w:pPr>
            <w:r>
              <w:rPr>
                <w:b/>
                <w:sz w:val="20"/>
                <w:lang w:val="ru-RU"/>
              </w:rPr>
              <w:t>%</w:t>
            </w:r>
          </w:p>
        </w:tc>
        <w:tc>
          <w:tcPr>
            <w:tcW w:w="1122" w:type="dxa"/>
          </w:tcPr>
          <w:p w:rsidR="00D80435" w:rsidRDefault="00D80435">
            <w:pPr>
              <w:spacing w:before="80" w:after="80"/>
              <w:jc w:val="center"/>
              <w:rPr>
                <w:b/>
                <w:sz w:val="20"/>
                <w:lang w:val="ru-RU"/>
              </w:rPr>
            </w:pPr>
            <w:r>
              <w:rPr>
                <w:b/>
                <w:sz w:val="20"/>
                <w:lang w:val="ru-RU"/>
              </w:rPr>
              <w:t>2002 г.</w:t>
            </w:r>
          </w:p>
        </w:tc>
        <w:tc>
          <w:tcPr>
            <w:tcW w:w="1122" w:type="dxa"/>
          </w:tcPr>
          <w:p w:rsidR="00D80435" w:rsidRDefault="00D80435">
            <w:pPr>
              <w:spacing w:before="80" w:after="80"/>
              <w:jc w:val="center"/>
              <w:rPr>
                <w:b/>
                <w:sz w:val="20"/>
                <w:lang w:val="ru-RU"/>
              </w:rPr>
            </w:pPr>
            <w:r>
              <w:rPr>
                <w:b/>
                <w:sz w:val="20"/>
                <w:lang w:val="ru-RU"/>
              </w:rPr>
              <w:t>2003 г.</w:t>
            </w:r>
          </w:p>
        </w:tc>
        <w:tc>
          <w:tcPr>
            <w:tcW w:w="1122" w:type="dxa"/>
          </w:tcPr>
          <w:p w:rsidR="00D80435" w:rsidRDefault="00D80435">
            <w:pPr>
              <w:spacing w:before="80" w:after="80"/>
              <w:jc w:val="center"/>
              <w:rPr>
                <w:b/>
                <w:sz w:val="20"/>
                <w:lang w:val="ru-RU"/>
              </w:rPr>
            </w:pPr>
            <w:r>
              <w:rPr>
                <w:b/>
                <w:sz w:val="20"/>
                <w:lang w:val="ru-RU"/>
              </w:rPr>
              <w:t>%</w:t>
            </w:r>
          </w:p>
        </w:tc>
      </w:tr>
      <w:tr w:rsidR="00D80435">
        <w:tblPrEx>
          <w:tblCellMar>
            <w:top w:w="0" w:type="dxa"/>
            <w:bottom w:w="0" w:type="dxa"/>
          </w:tblCellMar>
        </w:tblPrEx>
        <w:tc>
          <w:tcPr>
            <w:tcW w:w="3179" w:type="dxa"/>
          </w:tcPr>
          <w:p w:rsidR="00D80435" w:rsidRDefault="00D80435">
            <w:pPr>
              <w:spacing w:before="80" w:after="80"/>
              <w:jc w:val="left"/>
              <w:rPr>
                <w:sz w:val="20"/>
                <w:lang w:val="ru-RU"/>
              </w:rPr>
            </w:pPr>
            <w:r>
              <w:rPr>
                <w:sz w:val="20"/>
                <w:lang w:val="ru-RU"/>
              </w:rPr>
              <w:t>Общее число преступлений</w:t>
            </w:r>
          </w:p>
        </w:tc>
        <w:tc>
          <w:tcPr>
            <w:tcW w:w="1122" w:type="dxa"/>
          </w:tcPr>
          <w:p w:rsidR="00D80435" w:rsidRDefault="00D80435">
            <w:pPr>
              <w:spacing w:before="80" w:after="80"/>
              <w:jc w:val="center"/>
              <w:rPr>
                <w:sz w:val="20"/>
                <w:lang w:val="ru-RU"/>
              </w:rPr>
            </w:pPr>
            <w:r>
              <w:rPr>
                <w:sz w:val="20"/>
                <w:lang w:val="ru-RU"/>
              </w:rPr>
              <w:t>33 507</w:t>
            </w:r>
          </w:p>
        </w:tc>
        <w:tc>
          <w:tcPr>
            <w:tcW w:w="1122" w:type="dxa"/>
          </w:tcPr>
          <w:p w:rsidR="00D80435" w:rsidRDefault="00D80435">
            <w:pPr>
              <w:spacing w:before="80" w:after="80"/>
              <w:jc w:val="center"/>
              <w:rPr>
                <w:sz w:val="20"/>
                <w:lang w:val="ru-RU"/>
              </w:rPr>
            </w:pPr>
            <w:r>
              <w:rPr>
                <w:sz w:val="20"/>
                <w:lang w:val="ru-RU"/>
              </w:rPr>
              <w:t>26 252</w:t>
            </w:r>
          </w:p>
        </w:tc>
        <w:tc>
          <w:tcPr>
            <w:tcW w:w="935" w:type="dxa"/>
          </w:tcPr>
          <w:p w:rsidR="00D80435" w:rsidRDefault="00D80435">
            <w:pPr>
              <w:spacing w:before="80" w:after="80"/>
              <w:jc w:val="center"/>
              <w:rPr>
                <w:sz w:val="20"/>
                <w:lang w:val="ru-RU"/>
              </w:rPr>
            </w:pPr>
            <w:r>
              <w:rPr>
                <w:sz w:val="20"/>
                <w:lang w:val="ru-RU"/>
              </w:rPr>
              <w:t>–21,65</w:t>
            </w:r>
          </w:p>
        </w:tc>
        <w:tc>
          <w:tcPr>
            <w:tcW w:w="1122" w:type="dxa"/>
          </w:tcPr>
          <w:p w:rsidR="00D80435" w:rsidRDefault="00D80435">
            <w:pPr>
              <w:spacing w:before="80" w:after="80"/>
              <w:jc w:val="center"/>
              <w:rPr>
                <w:sz w:val="20"/>
                <w:lang w:val="ru-RU"/>
              </w:rPr>
            </w:pPr>
            <w:r>
              <w:rPr>
                <w:sz w:val="20"/>
                <w:lang w:val="ru-RU"/>
              </w:rPr>
              <w:t>6774</w:t>
            </w:r>
          </w:p>
        </w:tc>
        <w:tc>
          <w:tcPr>
            <w:tcW w:w="1122" w:type="dxa"/>
          </w:tcPr>
          <w:p w:rsidR="00D80435" w:rsidRDefault="00D80435">
            <w:pPr>
              <w:spacing w:before="80" w:after="80"/>
              <w:jc w:val="center"/>
              <w:rPr>
                <w:sz w:val="20"/>
                <w:lang w:val="ru-RU"/>
              </w:rPr>
            </w:pPr>
            <w:r>
              <w:rPr>
                <w:sz w:val="20"/>
                <w:lang w:val="ru-RU"/>
              </w:rPr>
              <w:t>5889</w:t>
            </w:r>
          </w:p>
        </w:tc>
        <w:tc>
          <w:tcPr>
            <w:tcW w:w="1122" w:type="dxa"/>
          </w:tcPr>
          <w:p w:rsidR="00D80435" w:rsidRDefault="00D80435">
            <w:pPr>
              <w:spacing w:before="80" w:after="80"/>
              <w:jc w:val="center"/>
              <w:rPr>
                <w:sz w:val="20"/>
                <w:lang w:val="ru-RU"/>
              </w:rPr>
            </w:pPr>
            <w:r>
              <w:rPr>
                <w:sz w:val="20"/>
                <w:lang w:val="ru-RU"/>
              </w:rPr>
              <w:t>–13,06</w:t>
            </w:r>
          </w:p>
        </w:tc>
      </w:tr>
      <w:tr w:rsidR="00D80435">
        <w:tblPrEx>
          <w:tblCellMar>
            <w:top w:w="0" w:type="dxa"/>
            <w:bottom w:w="0" w:type="dxa"/>
          </w:tblCellMar>
        </w:tblPrEx>
        <w:tc>
          <w:tcPr>
            <w:tcW w:w="3179" w:type="dxa"/>
          </w:tcPr>
          <w:p w:rsidR="00D80435" w:rsidRDefault="00D80435">
            <w:pPr>
              <w:spacing w:before="80" w:after="80"/>
              <w:jc w:val="left"/>
              <w:rPr>
                <w:sz w:val="20"/>
                <w:lang w:val="ru-RU"/>
              </w:rPr>
            </w:pPr>
            <w:r>
              <w:rPr>
                <w:sz w:val="20"/>
                <w:lang w:val="ru-RU"/>
              </w:rPr>
              <w:t>Уровень преступности</w:t>
            </w:r>
          </w:p>
        </w:tc>
        <w:tc>
          <w:tcPr>
            <w:tcW w:w="1122" w:type="dxa"/>
          </w:tcPr>
          <w:p w:rsidR="00D80435" w:rsidRDefault="00D80435">
            <w:pPr>
              <w:spacing w:before="80" w:after="80"/>
              <w:jc w:val="center"/>
              <w:rPr>
                <w:sz w:val="20"/>
                <w:lang w:val="ru-RU"/>
              </w:rPr>
            </w:pPr>
            <w:r>
              <w:rPr>
                <w:sz w:val="20"/>
                <w:lang w:val="ru-RU"/>
              </w:rPr>
              <w:t>3,2</w:t>
            </w:r>
          </w:p>
        </w:tc>
        <w:tc>
          <w:tcPr>
            <w:tcW w:w="1122" w:type="dxa"/>
          </w:tcPr>
          <w:p w:rsidR="00D80435" w:rsidRDefault="00D80435">
            <w:pPr>
              <w:spacing w:before="80" w:after="80"/>
              <w:jc w:val="center"/>
              <w:rPr>
                <w:sz w:val="20"/>
                <w:lang w:val="ru-RU"/>
              </w:rPr>
            </w:pPr>
            <w:r>
              <w:rPr>
                <w:sz w:val="20"/>
                <w:lang w:val="ru-RU"/>
              </w:rPr>
              <w:t>3,5</w:t>
            </w:r>
          </w:p>
        </w:tc>
        <w:tc>
          <w:tcPr>
            <w:tcW w:w="935" w:type="dxa"/>
          </w:tcPr>
          <w:p w:rsidR="00D80435" w:rsidRDefault="00D80435">
            <w:pPr>
              <w:spacing w:before="80" w:after="80"/>
              <w:jc w:val="center"/>
              <w:rPr>
                <w:sz w:val="20"/>
                <w:lang w:val="ru-RU"/>
              </w:rPr>
            </w:pPr>
          </w:p>
        </w:tc>
        <w:tc>
          <w:tcPr>
            <w:tcW w:w="1122" w:type="dxa"/>
          </w:tcPr>
          <w:p w:rsidR="00D80435" w:rsidRDefault="00D80435">
            <w:pPr>
              <w:spacing w:before="80" w:after="80"/>
              <w:jc w:val="center"/>
              <w:rPr>
                <w:sz w:val="20"/>
                <w:lang w:val="ru-RU"/>
              </w:rPr>
            </w:pPr>
            <w:r>
              <w:rPr>
                <w:sz w:val="20"/>
                <w:lang w:val="ru-RU"/>
              </w:rPr>
              <w:t>0,6</w:t>
            </w:r>
          </w:p>
        </w:tc>
        <w:tc>
          <w:tcPr>
            <w:tcW w:w="1122" w:type="dxa"/>
          </w:tcPr>
          <w:p w:rsidR="00D80435" w:rsidRDefault="00D80435">
            <w:pPr>
              <w:spacing w:before="80" w:after="80"/>
              <w:jc w:val="center"/>
              <w:rPr>
                <w:sz w:val="20"/>
                <w:lang w:val="ru-RU"/>
              </w:rPr>
            </w:pPr>
            <w:r>
              <w:rPr>
                <w:sz w:val="20"/>
                <w:lang w:val="ru-RU"/>
              </w:rPr>
              <w:t>0,6</w:t>
            </w:r>
          </w:p>
        </w:tc>
        <w:tc>
          <w:tcPr>
            <w:tcW w:w="1122" w:type="dxa"/>
          </w:tcPr>
          <w:p w:rsidR="00D80435" w:rsidRDefault="00D80435">
            <w:pPr>
              <w:spacing w:before="80" w:after="80"/>
              <w:jc w:val="center"/>
              <w:rPr>
                <w:sz w:val="20"/>
                <w:lang w:val="ru-RU"/>
              </w:rPr>
            </w:pPr>
          </w:p>
        </w:tc>
      </w:tr>
      <w:tr w:rsidR="00D80435">
        <w:tblPrEx>
          <w:tblCellMar>
            <w:top w:w="0" w:type="dxa"/>
            <w:bottom w:w="0" w:type="dxa"/>
          </w:tblCellMar>
        </w:tblPrEx>
        <w:tc>
          <w:tcPr>
            <w:tcW w:w="3179" w:type="dxa"/>
          </w:tcPr>
          <w:p w:rsidR="00D80435" w:rsidRDefault="00D80435">
            <w:pPr>
              <w:spacing w:before="80" w:after="80"/>
              <w:jc w:val="left"/>
              <w:rPr>
                <w:sz w:val="20"/>
                <w:lang w:val="ru-RU"/>
              </w:rPr>
            </w:pPr>
            <w:r>
              <w:rPr>
                <w:sz w:val="20"/>
                <w:lang w:val="ru-RU"/>
              </w:rPr>
              <w:t>Изнасилование</w:t>
            </w:r>
          </w:p>
        </w:tc>
        <w:tc>
          <w:tcPr>
            <w:tcW w:w="1122" w:type="dxa"/>
          </w:tcPr>
          <w:p w:rsidR="00D80435" w:rsidRDefault="00D80435">
            <w:pPr>
              <w:spacing w:before="80" w:after="80"/>
              <w:jc w:val="center"/>
              <w:rPr>
                <w:sz w:val="20"/>
                <w:lang w:val="ru-RU"/>
              </w:rPr>
            </w:pPr>
            <w:r>
              <w:rPr>
                <w:sz w:val="20"/>
                <w:lang w:val="ru-RU"/>
              </w:rPr>
              <w:t>1331</w:t>
            </w:r>
          </w:p>
        </w:tc>
        <w:tc>
          <w:tcPr>
            <w:tcW w:w="1122" w:type="dxa"/>
          </w:tcPr>
          <w:p w:rsidR="00D80435" w:rsidRDefault="00D80435">
            <w:pPr>
              <w:spacing w:before="80" w:after="80"/>
              <w:jc w:val="center"/>
              <w:rPr>
                <w:sz w:val="20"/>
                <w:lang w:val="ru-RU"/>
              </w:rPr>
            </w:pPr>
            <w:r>
              <w:rPr>
                <w:sz w:val="20"/>
                <w:lang w:val="ru-RU"/>
              </w:rPr>
              <w:t>1089</w:t>
            </w:r>
          </w:p>
        </w:tc>
        <w:tc>
          <w:tcPr>
            <w:tcW w:w="935" w:type="dxa"/>
          </w:tcPr>
          <w:p w:rsidR="00D80435" w:rsidRDefault="00D80435">
            <w:pPr>
              <w:spacing w:before="80" w:after="80"/>
              <w:jc w:val="center"/>
              <w:rPr>
                <w:sz w:val="20"/>
                <w:lang w:val="ru-RU"/>
              </w:rPr>
            </w:pPr>
            <w:r>
              <w:rPr>
                <w:sz w:val="20"/>
                <w:lang w:val="ru-RU"/>
              </w:rPr>
              <w:t>–18,18</w:t>
            </w:r>
          </w:p>
        </w:tc>
        <w:tc>
          <w:tcPr>
            <w:tcW w:w="1122" w:type="dxa"/>
          </w:tcPr>
          <w:p w:rsidR="00D80435" w:rsidRDefault="00D80435">
            <w:pPr>
              <w:spacing w:before="80" w:after="80"/>
              <w:jc w:val="center"/>
              <w:rPr>
                <w:sz w:val="20"/>
                <w:lang w:val="ru-RU"/>
              </w:rPr>
            </w:pPr>
            <w:r>
              <w:rPr>
                <w:sz w:val="20"/>
                <w:lang w:val="ru-RU"/>
              </w:rPr>
              <w:t>597</w:t>
            </w:r>
          </w:p>
        </w:tc>
        <w:tc>
          <w:tcPr>
            <w:tcW w:w="1122" w:type="dxa"/>
          </w:tcPr>
          <w:p w:rsidR="00D80435" w:rsidRDefault="00D80435">
            <w:pPr>
              <w:spacing w:before="80" w:after="80"/>
              <w:jc w:val="center"/>
              <w:rPr>
                <w:sz w:val="20"/>
                <w:lang w:val="ru-RU"/>
              </w:rPr>
            </w:pPr>
            <w:r>
              <w:rPr>
                <w:sz w:val="20"/>
                <w:lang w:val="ru-RU"/>
              </w:rPr>
              <w:t>551</w:t>
            </w:r>
          </w:p>
        </w:tc>
        <w:tc>
          <w:tcPr>
            <w:tcW w:w="1122" w:type="dxa"/>
          </w:tcPr>
          <w:p w:rsidR="00D80435" w:rsidRDefault="00D80435">
            <w:pPr>
              <w:spacing w:before="80" w:after="80"/>
              <w:jc w:val="center"/>
              <w:rPr>
                <w:sz w:val="20"/>
                <w:lang w:val="ru-RU"/>
              </w:rPr>
            </w:pPr>
            <w:r>
              <w:rPr>
                <w:sz w:val="20"/>
                <w:lang w:val="ru-RU"/>
              </w:rPr>
              <w:t>–7,71</w:t>
            </w:r>
          </w:p>
        </w:tc>
      </w:tr>
      <w:tr w:rsidR="00D80435">
        <w:tblPrEx>
          <w:tblCellMar>
            <w:top w:w="0" w:type="dxa"/>
            <w:bottom w:w="0" w:type="dxa"/>
          </w:tblCellMar>
        </w:tblPrEx>
        <w:tc>
          <w:tcPr>
            <w:tcW w:w="3179" w:type="dxa"/>
          </w:tcPr>
          <w:p w:rsidR="00D80435" w:rsidRDefault="00D80435">
            <w:pPr>
              <w:spacing w:before="80" w:after="80"/>
              <w:jc w:val="left"/>
              <w:rPr>
                <w:sz w:val="20"/>
                <w:lang w:val="ru-RU"/>
              </w:rPr>
            </w:pPr>
            <w:r>
              <w:rPr>
                <w:sz w:val="20"/>
                <w:lang w:val="ru-RU"/>
              </w:rPr>
              <w:t>Похищение с целью выкупа и насильственное удержание</w:t>
            </w:r>
          </w:p>
        </w:tc>
        <w:tc>
          <w:tcPr>
            <w:tcW w:w="1122" w:type="dxa"/>
          </w:tcPr>
          <w:p w:rsidR="00D80435" w:rsidRDefault="00D80435">
            <w:pPr>
              <w:spacing w:before="80" w:after="80"/>
              <w:jc w:val="center"/>
              <w:rPr>
                <w:sz w:val="20"/>
                <w:lang w:val="ru-RU"/>
              </w:rPr>
            </w:pPr>
            <w:r>
              <w:rPr>
                <w:sz w:val="20"/>
                <w:lang w:val="ru-RU"/>
              </w:rPr>
              <w:t>319</w:t>
            </w:r>
          </w:p>
        </w:tc>
        <w:tc>
          <w:tcPr>
            <w:tcW w:w="1122" w:type="dxa"/>
          </w:tcPr>
          <w:p w:rsidR="00D80435" w:rsidRDefault="00D80435">
            <w:pPr>
              <w:spacing w:before="80" w:after="80"/>
              <w:jc w:val="center"/>
              <w:rPr>
                <w:sz w:val="20"/>
                <w:lang w:val="ru-RU"/>
              </w:rPr>
            </w:pPr>
            <w:r>
              <w:rPr>
                <w:sz w:val="20"/>
                <w:lang w:val="ru-RU"/>
              </w:rPr>
              <w:t>232</w:t>
            </w:r>
          </w:p>
        </w:tc>
        <w:tc>
          <w:tcPr>
            <w:tcW w:w="935" w:type="dxa"/>
          </w:tcPr>
          <w:p w:rsidR="00D80435" w:rsidRDefault="00D80435">
            <w:pPr>
              <w:spacing w:before="80" w:after="80"/>
              <w:jc w:val="center"/>
              <w:rPr>
                <w:sz w:val="20"/>
                <w:lang w:val="ru-RU"/>
              </w:rPr>
            </w:pPr>
            <w:r>
              <w:rPr>
                <w:sz w:val="20"/>
                <w:lang w:val="ru-RU"/>
              </w:rPr>
              <w:t>–27,27</w:t>
            </w:r>
          </w:p>
        </w:tc>
        <w:tc>
          <w:tcPr>
            <w:tcW w:w="1122" w:type="dxa"/>
          </w:tcPr>
          <w:p w:rsidR="00D80435" w:rsidRDefault="00D80435">
            <w:pPr>
              <w:spacing w:before="80" w:after="80"/>
              <w:jc w:val="center"/>
              <w:rPr>
                <w:sz w:val="20"/>
                <w:lang w:val="ru-RU"/>
              </w:rPr>
            </w:pPr>
            <w:r>
              <w:rPr>
                <w:sz w:val="20"/>
                <w:lang w:val="ru-RU"/>
              </w:rPr>
              <w:t>69</w:t>
            </w:r>
          </w:p>
        </w:tc>
        <w:tc>
          <w:tcPr>
            <w:tcW w:w="1122" w:type="dxa"/>
          </w:tcPr>
          <w:p w:rsidR="00D80435" w:rsidRDefault="00D80435">
            <w:pPr>
              <w:spacing w:before="80" w:after="80"/>
              <w:jc w:val="center"/>
              <w:rPr>
                <w:sz w:val="20"/>
                <w:lang w:val="ru-RU"/>
              </w:rPr>
            </w:pPr>
            <w:r>
              <w:rPr>
                <w:sz w:val="20"/>
                <w:lang w:val="ru-RU"/>
              </w:rPr>
              <w:t>69</w:t>
            </w:r>
          </w:p>
        </w:tc>
        <w:tc>
          <w:tcPr>
            <w:tcW w:w="1122" w:type="dxa"/>
          </w:tcPr>
          <w:p w:rsidR="00D80435" w:rsidRDefault="00D80435">
            <w:pPr>
              <w:spacing w:before="80" w:after="80"/>
              <w:jc w:val="center"/>
              <w:rPr>
                <w:sz w:val="20"/>
                <w:lang w:val="ru-RU"/>
              </w:rPr>
            </w:pPr>
            <w:r>
              <w:rPr>
                <w:sz w:val="20"/>
                <w:lang w:val="ru-RU"/>
              </w:rPr>
              <w:t>00</w:t>
            </w:r>
          </w:p>
        </w:tc>
      </w:tr>
      <w:tr w:rsidR="00D80435">
        <w:tblPrEx>
          <w:tblCellMar>
            <w:top w:w="0" w:type="dxa"/>
            <w:bottom w:w="0" w:type="dxa"/>
          </w:tblCellMar>
        </w:tblPrEx>
        <w:tc>
          <w:tcPr>
            <w:tcW w:w="3179" w:type="dxa"/>
            <w:tcBorders>
              <w:bottom w:val="single" w:sz="4" w:space="0" w:color="auto"/>
            </w:tcBorders>
          </w:tcPr>
          <w:p w:rsidR="00D80435" w:rsidRDefault="00D80435">
            <w:pPr>
              <w:spacing w:before="80" w:after="80"/>
              <w:jc w:val="left"/>
              <w:rPr>
                <w:sz w:val="20"/>
                <w:lang w:val="ru-RU"/>
              </w:rPr>
            </w:pPr>
            <w:r>
              <w:rPr>
                <w:sz w:val="20"/>
                <w:lang w:val="ru-RU"/>
              </w:rPr>
              <w:t>Нарушения Закона о защите гражданских прав</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1018</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634</w:t>
            </w:r>
          </w:p>
        </w:tc>
        <w:tc>
          <w:tcPr>
            <w:tcW w:w="935" w:type="dxa"/>
            <w:tcBorders>
              <w:bottom w:val="single" w:sz="4" w:space="0" w:color="auto"/>
            </w:tcBorders>
          </w:tcPr>
          <w:p w:rsidR="00D80435" w:rsidRDefault="00D80435">
            <w:pPr>
              <w:spacing w:before="80" w:after="80"/>
              <w:jc w:val="center"/>
              <w:rPr>
                <w:sz w:val="20"/>
                <w:lang w:val="ru-RU"/>
              </w:rPr>
            </w:pPr>
            <w:r>
              <w:rPr>
                <w:sz w:val="20"/>
                <w:lang w:val="ru-RU"/>
              </w:rPr>
              <w:t>–37,72</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47</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37</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–21,20</w:t>
            </w:r>
          </w:p>
        </w:tc>
      </w:tr>
      <w:tr w:rsidR="00D80435">
        <w:tblPrEx>
          <w:tblCellMar>
            <w:top w:w="0" w:type="dxa"/>
            <w:bottom w:w="0" w:type="dxa"/>
          </w:tblCellMar>
        </w:tblPrEx>
        <w:tc>
          <w:tcPr>
            <w:tcW w:w="3179" w:type="dxa"/>
            <w:tcBorders>
              <w:bottom w:val="single" w:sz="4" w:space="0" w:color="auto"/>
            </w:tcBorders>
          </w:tcPr>
          <w:p w:rsidR="00D80435" w:rsidRDefault="00D80435">
            <w:pPr>
              <w:spacing w:before="80" w:after="80"/>
              <w:jc w:val="left"/>
              <w:rPr>
                <w:sz w:val="20"/>
                <w:lang w:val="ru-RU"/>
              </w:rPr>
            </w:pPr>
            <w:r>
              <w:rPr>
                <w:sz w:val="20"/>
                <w:lang w:val="ru-RU"/>
              </w:rPr>
              <w:t xml:space="preserve">Нарушения Закона о предотвращении жестокостей в отношении СК и СП </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10 770</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8048</w:t>
            </w:r>
          </w:p>
        </w:tc>
        <w:tc>
          <w:tcPr>
            <w:tcW w:w="935" w:type="dxa"/>
            <w:tcBorders>
              <w:bottom w:val="single" w:sz="4" w:space="0" w:color="auto"/>
            </w:tcBorders>
          </w:tcPr>
          <w:p w:rsidR="00D80435" w:rsidRDefault="00D80435">
            <w:pPr>
              <w:spacing w:before="80" w:after="80"/>
              <w:jc w:val="center"/>
              <w:rPr>
                <w:sz w:val="20"/>
                <w:lang w:val="ru-RU"/>
              </w:rPr>
            </w:pPr>
            <w:r>
              <w:rPr>
                <w:sz w:val="20"/>
                <w:lang w:val="ru-RU"/>
              </w:rPr>
              <w:t>–25,27</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1800</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1340</w:t>
            </w:r>
          </w:p>
        </w:tc>
        <w:tc>
          <w:tcPr>
            <w:tcW w:w="1122" w:type="dxa"/>
            <w:tcBorders>
              <w:bottom w:val="single" w:sz="4" w:space="0" w:color="auto"/>
            </w:tcBorders>
          </w:tcPr>
          <w:p w:rsidR="00D80435" w:rsidRDefault="00D80435">
            <w:pPr>
              <w:spacing w:before="80" w:after="80"/>
              <w:jc w:val="center"/>
              <w:rPr>
                <w:sz w:val="20"/>
                <w:lang w:val="ru-RU"/>
              </w:rPr>
            </w:pPr>
            <w:r>
              <w:rPr>
                <w:sz w:val="20"/>
                <w:lang w:val="ru-RU"/>
              </w:rPr>
              <w:t>–25,56</w:t>
            </w:r>
          </w:p>
        </w:tc>
      </w:tr>
      <w:tr w:rsidR="00D80435">
        <w:tblPrEx>
          <w:tblCellMar>
            <w:top w:w="0" w:type="dxa"/>
            <w:bottom w:w="0" w:type="dxa"/>
          </w:tblCellMar>
        </w:tblPrEx>
        <w:trPr>
          <w:cantSplit/>
        </w:trPr>
        <w:tc>
          <w:tcPr>
            <w:tcW w:w="9724" w:type="dxa"/>
            <w:gridSpan w:val="7"/>
            <w:tcBorders>
              <w:top w:val="single" w:sz="4" w:space="0" w:color="auto"/>
              <w:left w:val="nil"/>
              <w:bottom w:val="nil"/>
              <w:right w:val="nil"/>
            </w:tcBorders>
          </w:tcPr>
          <w:p w:rsidR="00D80435" w:rsidRDefault="00D80435">
            <w:pPr>
              <w:spacing w:before="120" w:after="80"/>
              <w:ind w:left="-113"/>
              <w:rPr>
                <w:sz w:val="20"/>
                <w:lang w:val="ru-RU"/>
              </w:rPr>
            </w:pPr>
            <w:r>
              <w:rPr>
                <w:i/>
                <w:sz w:val="20"/>
                <w:lang w:val="ru-RU"/>
              </w:rPr>
              <w:t>Источник</w:t>
            </w:r>
            <w:r>
              <w:rPr>
                <w:sz w:val="20"/>
                <w:lang w:val="ru-RU"/>
              </w:rPr>
              <w:t>: Национальное бюро регистрации преступлений, 2003 год.</w:t>
            </w:r>
          </w:p>
        </w:tc>
      </w:tr>
    </w:tbl>
    <w:p w:rsidR="00D80435" w:rsidRDefault="00D80435">
      <w:pPr>
        <w:rPr>
          <w:lang w:val="ru-RU"/>
        </w:rPr>
      </w:pPr>
    </w:p>
    <w:p w:rsidR="00D80435" w:rsidRDefault="00D80435">
      <w:pPr>
        <w:rPr>
          <w:lang w:val="ru-RU"/>
        </w:rPr>
      </w:pPr>
      <w:r>
        <w:rPr>
          <w:lang w:val="ru-RU"/>
        </w:rPr>
        <w:t>Приведенные цифры относятся к общему количеству преступлений, совершенных в отношении мужчин и женщин; между тем число случаев изнасилования и похищений также уменьшилось. Зарегистрированные случаи изнасилования женщин – представительниц СК и СП составили в 2003 году, соответственно, 1089 и 551, то есть произошло снижение примерно на 18,18 процента и 7,71 процента, соответственно, по сравнению с 2002 годом. Доля преступлений, совершенных против представителей СК/СП, по сравнению с общим количеством преступлений в 2003 году составляет, соответственно, около 0,73 процента и 0,58 процента.</w:t>
      </w:r>
    </w:p>
    <w:p w:rsidR="00D80435" w:rsidRDefault="00D80435">
      <w:pPr>
        <w:rPr>
          <w:lang w:val="ru-RU"/>
        </w:rPr>
      </w:pPr>
      <w:r>
        <w:rPr>
          <w:lang w:val="ru-RU"/>
        </w:rPr>
        <w:t>353.</w:t>
      </w:r>
      <w:r>
        <w:rPr>
          <w:lang w:val="ru-RU"/>
        </w:rPr>
        <w:tab/>
        <w:t>Проблемы жестокостей и преступлений, совершаемых против женщин из группы СК и СП, решаются с помощью юридических мер. Несмотря на то что общий закон в виде индийского Уголовного кодекса применяется ко всем преступлениям, были приняты два специальных законодательных акта, а именно Закон о защите гражданских прав 1955 года, по которому институт неприкасаемости был запрещен, а его практика в какой бы то ни было форме была объявлена уголовно наказуемой; и вступивший в силу с 30 января 1990 года Закон о включенных в списки кастах и включенных в списки племенах (запрещение жестокостей) 1989 года, имеющий целью осуществление контроля и предотвращение преступлений в отношении СК/СП лицами, принадлежащими к другим общинам. Согласно специальным законодательным актам с 2001 года данные о преступлениях в отношении категории включенных в списки каст и включенных в списки племен собираются раздельно.</w:t>
      </w:r>
    </w:p>
    <w:p w:rsidR="00D80435" w:rsidRDefault="00D80435">
      <w:pPr>
        <w:rPr>
          <w:lang w:val="ru-RU"/>
        </w:rPr>
      </w:pPr>
      <w:r>
        <w:rPr>
          <w:lang w:val="ru-RU"/>
        </w:rPr>
        <w:t xml:space="preserve">354. </w:t>
      </w:r>
      <w:r>
        <w:rPr>
          <w:lang w:val="ru-RU"/>
        </w:rPr>
        <w:tab/>
        <w:t>Эти законодательные акты расширили специальные меры, принятые в интересах представителей СК/СП, на область уголовного права в той степени, в какой они предписывают более строгие наказания, нежели те, которые налагаются за соответствующие правонарушения по индийскому Уголовному кодексу (УКИ) и другим законам. Для быстрого судебного разбирательства дел, зарегистрированных исключительно согласно этим законам, в основных штатах были учреждены специальные центры. Кроме того, в соответствии с Законом о 65-й поправке к Конституции 1990 года, была создана Национальная комиссия по делам представителей СК/СП, действующая с 12 марта 1992 года, которая наделена широкими функциями и полномочиями гражданских судов по расследованию случаев нарушения прав по признаку кастовой принадлежности.</w:t>
      </w:r>
    </w:p>
    <w:p w:rsidR="00D80435" w:rsidRDefault="00D80435">
      <w:pPr>
        <w:spacing w:after="380"/>
        <w:rPr>
          <w:lang w:val="ru-RU"/>
        </w:rPr>
      </w:pPr>
      <w:r>
        <w:rPr>
          <w:lang w:val="ru-RU"/>
        </w:rPr>
        <w:t xml:space="preserve">355. </w:t>
      </w:r>
      <w:r>
        <w:rPr>
          <w:lang w:val="ru-RU"/>
        </w:rPr>
        <w:tab/>
        <w:t>Государство обязалось также принять необходимые правовые и административные меры по контролю за практикой виктимизации подозреваемых в колдовстве женщин, в сочетании с проведением широкомасштабной кампании по повышению осведомленности общественности и реабилитации подвергающихся преследованию женщин. Кроме того, оно намерено принять эффективные юридические и реабилитационные меры по противодействию сексуальной эксплуатации женщин на рабочем месте, особенно в отношении женщин-мигрантов.</w:t>
      </w:r>
    </w:p>
    <w:p w:rsidR="00D80435" w:rsidRDefault="00D80435">
      <w:pPr>
        <w:rPr>
          <w:b/>
          <w:lang w:val="ru-RU"/>
        </w:rPr>
      </w:pPr>
      <w:r>
        <w:rPr>
          <w:b/>
          <w:lang w:val="ru-RU"/>
        </w:rPr>
        <w:t>Правоприменение</w:t>
      </w:r>
    </w:p>
    <w:p w:rsidR="00D80435" w:rsidRDefault="00D80435">
      <w:pPr>
        <w:rPr>
          <w:lang w:val="ru-RU"/>
        </w:rPr>
      </w:pPr>
      <w:r>
        <w:rPr>
          <w:lang w:val="ru-RU"/>
        </w:rPr>
        <w:t xml:space="preserve">356. </w:t>
      </w:r>
      <w:r>
        <w:rPr>
          <w:lang w:val="ru-RU"/>
        </w:rPr>
        <w:tab/>
        <w:t>Согласно Конституции закон и порядок, а также уголовные правоотношения находятся в компетенции государства, и поэтому правительства штатов несут прямую ответственность за работу правоохранительных органов, которые регистрируют, расследуют, раскрывают и предупреждают преступления против женщин. Центральное правительство инициировало ряд мер, призванных осуществлять контроль за такими преступлениями. Помимо фактов в отношении внесения законодательных изменений в соответствующие акты правительствам штатов/союзных территорий время от времени направляются инструкции/руководящие указания относительно осуществления эффективного контроля и применения законодательства, касающегося преступлений в отношении женщин. В августе 2000 года министр по вопросам развития человеческих ресурсов направил циркуляр всем министрам внутренних дел штатов, в котором подчеркивалась необходимость включения модуля гендерной тематики в программу подготовки сотрудников правоохранительных органов, обучающихся в государственных академиях подготовки полицейского состава, а также требование по повышению осведомленности судебного корпуса в вопросах отношения полов.</w:t>
      </w:r>
    </w:p>
    <w:p w:rsidR="00D80435" w:rsidRDefault="00D80435">
      <w:pPr>
        <w:rPr>
          <w:lang w:val="ru-RU"/>
        </w:rPr>
      </w:pPr>
      <w:r>
        <w:rPr>
          <w:lang w:val="ru-RU"/>
        </w:rPr>
        <w:t>357.</w:t>
      </w:r>
      <w:r>
        <w:rPr>
          <w:lang w:val="ru-RU"/>
        </w:rPr>
        <w:tab/>
      </w:r>
      <w:r>
        <w:rPr>
          <w:b/>
          <w:lang w:val="ru-RU"/>
        </w:rPr>
        <w:t>Превентивные меры:</w:t>
      </w:r>
      <w:r>
        <w:rPr>
          <w:lang w:val="ru-RU"/>
        </w:rPr>
        <w:t xml:space="preserve"> Правительство усиливает действующее законодательство, а также укрепляет и расширяет институциональный аппарат (полицейские участки, состоящие целиком из женщин, повышение восприимчивости к гендерной тематике сотрудников правоохранительных органов, повышение правовой грамотности, создание соседских групп с участием гражданского общества и т. д.) посредством проведения обширных исследований и обзоров. Оно также осуществляет проекты, предоставляющие помощь уязвимым женщинам (дома краткосрочного пребывания, общежития для работающих женщин и т. д.), и проводит программы по реабилитации жертв насилия. Центральный совет социального обеспечения осуществляет проект, предусматривающий создание семейных консультативных центров с целью предоставления превентивных реабилитационных услуг женщинам и детям – жертвам жестокостей и семейных проблем. Семейные консультативные центры функционируют в районных полицейских управлениях различных штатов, а 19 семейных консультативных центров, работающих при полицейских управлениях в штатах Дели, Керала, Западная Бенгалия, Oрисса, Трипура, Путтучерри, Ассам, Карнатака, Манипур, Гоа, Махараштра, Пенджаб, Харьяна, Мегхалая, Нагаленд, Уттар-Прадеш, Сикким, Тамилнад и Мадхья-Прадеш, предоставляют юридическую помощь и выделяют "горячие телефонные линии" для оказания срочной помощи.</w:t>
      </w:r>
    </w:p>
    <w:p w:rsidR="00D80435" w:rsidRDefault="00D80435">
      <w:pPr>
        <w:spacing w:after="360"/>
        <w:rPr>
          <w:lang w:val="ru-RU"/>
        </w:rPr>
      </w:pPr>
      <w:r>
        <w:rPr>
          <w:lang w:val="ru-RU"/>
        </w:rPr>
        <w:t xml:space="preserve">358. </w:t>
      </w:r>
      <w:r>
        <w:rPr>
          <w:lang w:val="ru-RU"/>
        </w:rPr>
        <w:tab/>
        <w:t xml:space="preserve">Группы по борьбе с преступлениями против женщин были созданы в штатах Андхра-Прадеш, Пенджаб, Орисса, Раджастан, Тамилнад, Уттар-Прадеш, Химачал-Прадеш, Карнатака, Мадхья-Прадеш, а также союзных территориях Чандигарх, Дели и Путтучерри. Были учреждены специальные суды для рассмотрения дел о преступлениях против женщин. В 2001 году, который отмечался как год расширения прав и возможностей женщин, секретарь ДРЖД дал указание правительствам всех штатов учредить районные комитеты, возглавляемые районными магистратами, для рассмотрения и мониторинга случаев преступлений против женщин. Сообщалось, что правительства 12 штатов, в том числе штатов Андхра-Прадеш, Чаттисгарх, Даман и Диу, Харьяна, Керала, Мадхья-Прашед, Мегхалая, Мизорам, Орисса, Пенджаб и Уттар-Прадеш учредили такие комитеты. Центральное правительство также предприняло шаги по организации эффективной кампании, призванной повысить восприимчивость общественности к фактам насилия против женщин, и организовало сбор и анализ статистической информации, касающейся преступлений против женщин, в том числе сведений о случаях изнасилования, стимулирования выкидыша, домогательства как психологического, так и физического в семейных отношениях, а также о преступлениях, связанных с браком, смертью из-за приданого, непристойными предложениями, похищением с целью получения выкупа и сводничеством в отношении несовершеннолетних девочек. </w:t>
      </w:r>
    </w:p>
    <w:p w:rsidR="00D80435" w:rsidRDefault="00D80435">
      <w:pPr>
        <w:rPr>
          <w:b/>
          <w:lang w:val="ru-RU"/>
        </w:rPr>
      </w:pPr>
      <w:r>
        <w:rPr>
          <w:b/>
          <w:lang w:val="ru-RU"/>
        </w:rPr>
        <w:t>Институциональные механизмы</w:t>
      </w:r>
    </w:p>
    <w:p w:rsidR="00D80435" w:rsidRDefault="00D80435">
      <w:pPr>
        <w:rPr>
          <w:lang w:val="ru-RU"/>
        </w:rPr>
      </w:pPr>
      <w:r>
        <w:rPr>
          <w:lang w:val="ru-RU"/>
        </w:rPr>
        <w:t xml:space="preserve">359. </w:t>
      </w:r>
      <w:r>
        <w:rPr>
          <w:lang w:val="ru-RU"/>
        </w:rPr>
        <w:tab/>
        <w:t xml:space="preserve">Помимо полиции и судов существуют организации, которые участвуют в борьбе с преступлениями против женщин, в том числе Департамент развития женщин и детей, Национальная комиссия по делам женщин, Центральный совет социального обеспечения, Парламентский комитет по расширению прав и возможностей женщин и комиссии по правам человека. </w:t>
      </w:r>
    </w:p>
    <w:p w:rsidR="00D80435" w:rsidRDefault="00D80435">
      <w:pPr>
        <w:spacing w:after="360"/>
        <w:rPr>
          <w:lang w:val="ru-RU"/>
        </w:rPr>
      </w:pPr>
      <w:r>
        <w:rPr>
          <w:lang w:val="ru-RU"/>
        </w:rPr>
        <w:t xml:space="preserve">360. </w:t>
      </w:r>
      <w:r>
        <w:rPr>
          <w:lang w:val="ru-RU"/>
        </w:rPr>
        <w:tab/>
        <w:t xml:space="preserve">В рамках программы Махила Самахия в качестве инновационных методов противодействия насилию против женщин на местном уровне возникли Нари адалат (суды по делам женщин) и Махила панч (арбитражные суды, возглавляемые женщинами). Эти органы функционируют вне рамок формальной правовой системы, и используют давление со стороны общины, а также неформальные механизмы и общественный контроль чтобы призвать к ответственности виновников насилия и восстановить права женщин в семье. Нари адалат рассматривают случаи насилия в семье, изнасилования, развратных действий и сексуального домогательства в отношении детей. </w:t>
      </w:r>
    </w:p>
    <w:p w:rsidR="00D80435" w:rsidRDefault="00D80435">
      <w:pPr>
        <w:rPr>
          <w:b/>
          <w:lang w:val="ru-RU"/>
        </w:rPr>
      </w:pPr>
      <w:r>
        <w:rPr>
          <w:b/>
          <w:lang w:val="ru-RU"/>
        </w:rPr>
        <w:t>Планы и программы по расширению прав и возможностей женщин</w:t>
      </w:r>
    </w:p>
    <w:p w:rsidR="00D80435" w:rsidRDefault="00D80435">
      <w:pPr>
        <w:rPr>
          <w:lang w:val="ru-RU"/>
        </w:rPr>
      </w:pPr>
      <w:r>
        <w:rPr>
          <w:lang w:val="ru-RU"/>
        </w:rPr>
        <w:t>361.</w:t>
      </w:r>
      <w:r>
        <w:rPr>
          <w:lang w:val="ru-RU"/>
        </w:rPr>
        <w:tab/>
        <w:t>Правительство, признавая тот факт, что экономическая зависимость и уязвимость являются основными причинами жестокостей в отношении женщин, стремясь повысить уверенность женщин в своих силах и обеспечить их самостоятельность, осуществляет множество программ, таких как Экономическая программа для женщин (Свавламбан), ПППЗ, Социально-экономическая программа (СЭП), Ускоренные курсы профессиональной и общеобразовательной подготовки и т. д. В рамках программы Свадхар женщинам, находящимся в трудных условиях и не имеющим социально-экономической поддержки, предоставляются места для проживания и услуги по профессиональной подготовке. Программа повышения осведомленности, развернутая в 1986–1987 годах и осуществляемая с помощью неправительственных организаций, нацелена на повышение информированности сельских и неимущих женщин в отношении различных социальных вопросов, расширения их потенциальных возможностей в семье и обществе. Особое внимание уделяется участию женщин в институтах панчаят радж. Местные панчаяты и неправительственные организации низового уровня участвуют в осуществлении информационно-просветительских программ.</w:t>
      </w:r>
    </w:p>
    <w:p w:rsidR="00D80435" w:rsidRDefault="00D80435">
      <w:pPr>
        <w:rPr>
          <w:b/>
          <w:lang w:val="ru-RU"/>
        </w:rPr>
      </w:pPr>
      <w:r>
        <w:rPr>
          <w:b/>
          <w:lang w:val="ru-RU"/>
        </w:rPr>
        <w:br w:type="page"/>
        <w:t>Неправительственные организации</w:t>
      </w:r>
    </w:p>
    <w:p w:rsidR="00D80435" w:rsidRDefault="00D80435">
      <w:pPr>
        <w:spacing w:after="300"/>
        <w:rPr>
          <w:lang w:val="ru-RU"/>
        </w:rPr>
      </w:pPr>
      <w:r>
        <w:rPr>
          <w:lang w:val="ru-RU"/>
        </w:rPr>
        <w:t xml:space="preserve">362. </w:t>
      </w:r>
      <w:r>
        <w:rPr>
          <w:lang w:val="ru-RU"/>
        </w:rPr>
        <w:tab/>
        <w:t xml:space="preserve">НПО принимают весьма активное участие в пропаганде гендерной проблематики и предоставлении услуг по профессиональной подготовке. Правительство работает в тесном взаимодействии с НПО в различных областях, в том числе в сфере практической реализации планов, осуществления мониторинга, реформирования законодательства и т. д. Центральный совет социального обеспечения является зонтичной организацией, сотрудничающей с сетью НПО, охватывающих всю страну через свои отделения – советы социального обеспечения в штатах. </w:t>
      </w:r>
    </w:p>
    <w:p w:rsidR="00D80435" w:rsidRDefault="00D80435">
      <w:pPr>
        <w:rPr>
          <w:b/>
          <w:lang w:val="ru-RU"/>
        </w:rPr>
      </w:pPr>
      <w:r>
        <w:rPr>
          <w:b/>
          <w:lang w:val="ru-RU"/>
        </w:rPr>
        <w:t>Вызовы</w:t>
      </w:r>
    </w:p>
    <w:p w:rsidR="00D80435" w:rsidRDefault="00D80435">
      <w:pPr>
        <w:rPr>
          <w:lang w:val="ru-RU"/>
        </w:rPr>
      </w:pPr>
      <w:r>
        <w:rPr>
          <w:lang w:val="ru-RU"/>
        </w:rPr>
        <w:t xml:space="preserve">363. </w:t>
      </w:r>
      <w:r>
        <w:rPr>
          <w:lang w:val="ru-RU"/>
        </w:rPr>
        <w:tab/>
        <w:t xml:space="preserve">В Национальной политике по расширению прав и возможностей женщин 2001 года утверждается, что со всеми формами насилия в отношении женщин – физическим или психологическим, будь то в семье или в обществе, включая формы насилия, вытекающие из обычаев или традиций, – будет вестись эффективная борьба с целью ликвидации этого явления. Планируется создать и усилить вспомогательные институты и механизмы/программы с целью предотвращения такого насилия, включая сексуальное домогательство на рабочем месте, и искоренения таких обычаев, как требование приданого, а также с целью реабилитации жертв насилия и принятия эффективных мер против виновников такого насилия. В Программе содержится обязательство принимать эффективные меры для предупреждения всех форм насилия, включая сексуальное домогательство и такие обычаи, как требование приданого и торговля женщинами и девочками. Правительство работает над составлением Национального плана действий, чтобы реализовать задачи, поставленные в Национальной программе. Этот план будет уделять первостепенное внимание расширению инфраструктуры поддержки, позволяющей дополнить законодательные усилия, и созданию благоприятной для женщин среды, способствующей тому, чтобы они сообщали о случаях, связанных с насилием против них. Восприимчивость к гендерной тематике среди политиков будет повышаться вместе с ростом осведомленности о необходимости предупреждения жестокостей против женщин. </w:t>
      </w:r>
    </w:p>
    <w:p w:rsidR="00D80435" w:rsidRDefault="00D80435">
      <w:pPr>
        <w:rPr>
          <w:lang w:val="ru-RU"/>
        </w:rPr>
      </w:pPr>
      <w:r>
        <w:rPr>
          <w:lang w:val="ru-RU"/>
        </w:rPr>
        <w:t xml:space="preserve">364. </w:t>
      </w:r>
      <w:r>
        <w:rPr>
          <w:lang w:val="ru-RU"/>
        </w:rPr>
        <w:tab/>
        <w:t xml:space="preserve">В своем 10-м Пятилетнем плане правительство обязалось осуществить следующие меры: всемерно содействовать эффективному применению ЗПДД (Закона о регулировании и предотвращении злоупотреблений 1994 года) и строгому наказанию обеих сторон, а также контролировать практику убийства новорожденных и умерщвления плода женского пола; строго обеспечивать осуществление всех соответствующих правовых положений и удовлетворение в ускоренном порядке жалоб, обращая особое внимание на насилие и жестокости, связанные с гендерным фактором; принять меры по предупреждению сексуального домогательства на рабочем месте, а также проанализировать преступность в отношении женщин, ее распространенность, меры по предупреждению, расследованию, раскрытию и наказанию за преступления. </w:t>
      </w:r>
    </w:p>
    <w:p w:rsidR="00D80435" w:rsidRDefault="00D80435">
      <w:pPr>
        <w:rPr>
          <w:lang w:val="ru-RU"/>
        </w:rPr>
      </w:pPr>
    </w:p>
    <w:p w:rsidR="00D80435" w:rsidRDefault="00D80435">
      <w:pPr>
        <w:jc w:val="center"/>
        <w:rPr>
          <w:b/>
          <w:sz w:val="24"/>
          <w:lang w:val="ru-RU"/>
        </w:rPr>
      </w:pPr>
      <w:r>
        <w:rPr>
          <w:b/>
          <w:sz w:val="24"/>
          <w:lang w:val="ru-RU"/>
        </w:rPr>
        <w:t xml:space="preserve">Часть III.  Меры, принятые для осуществления Пекинской декларации </w:t>
      </w:r>
      <w:r>
        <w:rPr>
          <w:b/>
          <w:sz w:val="24"/>
          <w:lang w:val="ru-RU"/>
        </w:rPr>
        <w:br/>
        <w:t>и Платформы действий</w:t>
      </w:r>
    </w:p>
    <w:p w:rsidR="00D80435" w:rsidRDefault="00D80435">
      <w:pPr>
        <w:spacing w:after="0"/>
        <w:rPr>
          <w:b/>
          <w:lang w:val="ru-RU"/>
        </w:rPr>
      </w:pPr>
    </w:p>
    <w:p w:rsidR="00D80435" w:rsidRDefault="00D80435">
      <w:pPr>
        <w:rPr>
          <w:lang w:val="ru-RU"/>
        </w:rPr>
      </w:pPr>
      <w:r>
        <w:rPr>
          <w:lang w:val="ru-RU"/>
        </w:rPr>
        <w:t>365.</w:t>
      </w:r>
      <w:r>
        <w:rPr>
          <w:lang w:val="ru-RU"/>
        </w:rPr>
        <w:tab/>
        <w:t>Индия ратифицировала Пекинскую платформу действий без каких-либо оговорок и заявляет о своей полной приверженности Пекинской декларации и Платформе действий (ППД). 12 определенных ППД "важнейших областей, вызывающих беспокойство", в которых должно быть достигнуто гендерное равенство и расширены права и возможности женщин, обозначены в Национальной программе расширения прав и возможностей женщин, сформулированной в 2001 году. Достижения последних десяти лет были значительными, о чем свидетельствует данный доклад. Будущие действия будут направлены на ликвидацию остающихся пробелов и решение задач.</w:t>
      </w:r>
    </w:p>
    <w:p w:rsidR="00D80435" w:rsidRDefault="00D80435">
      <w:pPr>
        <w:rPr>
          <w:b/>
          <w:lang w:val="ru-RU"/>
        </w:rPr>
      </w:pPr>
      <w:r>
        <w:rPr>
          <w:b/>
          <w:lang w:val="ru-RU"/>
        </w:rPr>
        <w:t>Женщины и нищета</w:t>
      </w:r>
    </w:p>
    <w:p w:rsidR="00D80435" w:rsidRDefault="00D80435">
      <w:pPr>
        <w:rPr>
          <w:lang w:val="ru-RU"/>
        </w:rPr>
      </w:pPr>
      <w:r>
        <w:rPr>
          <w:lang w:val="ru-RU"/>
        </w:rPr>
        <w:t xml:space="preserve">366. </w:t>
      </w:r>
      <w:r>
        <w:rPr>
          <w:lang w:val="ru-RU"/>
        </w:rPr>
        <w:tab/>
        <w:t>В Индии нищета многомерна и многолика; однако важнейшим звеном в политике искоренения нищеты является занятость. С учетом этого факта были предприняты согласованные усилия, направленные на расширение доступа женщин к рабочим местам (о различных планах по сокращению нищеты см. статью 13). Попытки обеспечения продовольствием беднейших слоев предпринимаются в рамках Целевой системы общественного распределения (1997 год), программы Антиодая Анна Йоджана (2000 год) и некоторых проектов зерновых банков. Усилиями групп активистов кампания "Право на продовольствие" и действие Закона о праве на информацию были распространены на неимущих и уязвимых женщин.</w:t>
      </w:r>
    </w:p>
    <w:p w:rsidR="00D80435" w:rsidRDefault="00D80435">
      <w:pPr>
        <w:rPr>
          <w:lang w:val="ru-RU"/>
        </w:rPr>
      </w:pPr>
      <w:r>
        <w:rPr>
          <w:lang w:val="ru-RU"/>
        </w:rPr>
        <w:t xml:space="preserve">367. </w:t>
      </w:r>
      <w:r>
        <w:rPr>
          <w:lang w:val="ru-RU"/>
        </w:rPr>
        <w:tab/>
        <w:t>Правительство подчеркивает важность принятия нового законодательства, которое предоставляет женщинам равные права собственности на такие активы, как дома и земля. Предложенная недавно поправка к индусскому Закону о правопреемстве предусматривает, что дочери получат права на родовое имущество. Было признано, что земельные реформы и выделение государственной земли, излишков земли и пустошей группам женщин даст им возможность заняться сельскохозяйственной и смежной с сельским хозяйством деятельностью. Время от времени правительство в рамках различных пятилетних планов издает политические директивы, согласно которым все штаты должны выделять землю в совместную собственность, оформляя документы на имя мужа и жены и на имя одних только женщин. В рамках программы Индира Авас Йоджана дома выделяются на имя женщины – члена домашнего хозяйства, охваченного программой.</w:t>
      </w:r>
    </w:p>
    <w:p w:rsidR="00D80435" w:rsidRDefault="00D80435">
      <w:pPr>
        <w:spacing w:after="300"/>
        <w:rPr>
          <w:lang w:val="ru-RU"/>
        </w:rPr>
      </w:pPr>
      <w:r>
        <w:rPr>
          <w:lang w:val="ru-RU"/>
        </w:rPr>
        <w:t xml:space="preserve">368. </w:t>
      </w:r>
      <w:r>
        <w:rPr>
          <w:lang w:val="ru-RU"/>
        </w:rPr>
        <w:tab/>
        <w:t>В последние годы получили развитие различные инициативы по микрофинансированию. Подход правительства состоял в принятии мер, способствующих увеличению притока ресурсов к женским группам самопомощи. Раштрия Махила Кош (</w:t>
      </w:r>
      <w:r>
        <w:t>R</w:t>
      </w:r>
      <w:r>
        <w:rPr>
          <w:lang w:val="ru-RU"/>
        </w:rPr>
        <w:t>МК) предоставляет кредит неимущим женщинам на производство продовольствия и связанные с этим виды деятельности. Меры по развитию навыков и наращиванию потенциала поддерживаются при помощи таких программ, как ПППЗ. Начатый в 2001 года план Сваямсидха ставит своей целью всестороннее расширение прав и возможностей женщин путем предоставления им прямого доступа к ресурсам и контролю за ресурсами, обеспечивает мобилизацию усилий и интеграцию текущих секторальных программ. Был сформулирован состоящий из 14 пунктов План действий по увеличению кредитования женщин, в том числе в секторе малых предприятий. Государственным банкам было предложено выделять 5 процентов их чистого банковского кредита для кредитования женщин, и банки превысили этот лимит. Благодаря усилиям правительства произошло снижение уровня нищеты до 26 процентов в 2000 году по сравнению с 50 процентами в 1973 году. Число людей, живущих за чертой бедности, в абсолютном выражении в 2000 году снизилось до 260 млн.</w:t>
      </w:r>
    </w:p>
    <w:p w:rsidR="00D80435" w:rsidRDefault="00D80435">
      <w:pPr>
        <w:rPr>
          <w:b/>
          <w:lang w:val="ru-RU"/>
        </w:rPr>
      </w:pPr>
      <w:r>
        <w:rPr>
          <w:b/>
          <w:lang w:val="ru-RU"/>
        </w:rPr>
        <w:t>Образование и профессиональная подготовка женщин</w:t>
      </w:r>
    </w:p>
    <w:p w:rsidR="00D80435" w:rsidRDefault="00D80435">
      <w:pPr>
        <w:spacing w:after="340"/>
        <w:rPr>
          <w:lang w:val="ru-RU"/>
        </w:rPr>
      </w:pPr>
      <w:r>
        <w:rPr>
          <w:lang w:val="ru-RU"/>
        </w:rPr>
        <w:t xml:space="preserve">369. </w:t>
      </w:r>
      <w:r>
        <w:rPr>
          <w:lang w:val="ru-RU"/>
        </w:rPr>
        <w:tab/>
        <w:t>В соответствии со своими конституционными обязательствами правительство Индии предприняло несколько инициатив в виде программ по расширению прав и возможностей, принятия законодательных актов, проведению мероприятий по распространению грамотности, повышению образовательного уровня и ликвидации гендерного неравенства. Эффективной основой политики по расширению прав и возможностей является Национальная программа образования 1986 года</w:t>
      </w:r>
      <w:r>
        <w:rPr>
          <w:b/>
          <w:lang w:val="ru-RU"/>
        </w:rPr>
        <w:t xml:space="preserve">, </w:t>
      </w:r>
      <w:r>
        <w:rPr>
          <w:lang w:val="ru-RU"/>
        </w:rPr>
        <w:t>пересмотренная в 1992 году, и Программа действий 1992 года, которые дали толчок политике универсализации начального образования. К 2010 году правительство Индии обязалось реализовать цель введения всеобщего начального образования. Начатая в 2000 году программа</w:t>
      </w:r>
      <w:r>
        <w:rPr>
          <w:b/>
          <w:lang w:val="ru-RU"/>
        </w:rPr>
        <w:t xml:space="preserve"> Сарва Шикша Абхиян (</w:t>
      </w:r>
      <w:r>
        <w:rPr>
          <w:b/>
        </w:rPr>
        <w:t>SSA</w:t>
      </w:r>
      <w:r>
        <w:rPr>
          <w:b/>
          <w:lang w:val="ru-RU"/>
        </w:rPr>
        <w:t>)</w:t>
      </w:r>
      <w:r>
        <w:rPr>
          <w:lang w:val="ru-RU"/>
        </w:rPr>
        <w:t xml:space="preserve"> является национальной зонтичной программой, координирующей и направляющей меры по универсализации начального образования детей. 86-я поправка к Конституции (2002 год) провозглашает бесплатное и обязательное образование основополагающим правом всех детей в возрастной группе 6–14 лет. Центральное правительство осуществило ряд различных программ и планов для достижения вышеуказанной цели, что положительно сказалось на образовании девочек и женщин (подробности см. в статье 10).</w:t>
      </w:r>
    </w:p>
    <w:p w:rsidR="00D80435" w:rsidRDefault="00D80435">
      <w:pPr>
        <w:rPr>
          <w:b/>
          <w:lang w:val="ru-RU"/>
        </w:rPr>
      </w:pPr>
      <w:r>
        <w:rPr>
          <w:b/>
          <w:lang w:val="ru-RU"/>
        </w:rPr>
        <w:t>Женщины и охрана здоровья</w:t>
      </w:r>
    </w:p>
    <w:p w:rsidR="00D80435" w:rsidRDefault="00D80435">
      <w:pPr>
        <w:spacing w:after="300"/>
        <w:rPr>
          <w:lang w:val="ru-RU"/>
        </w:rPr>
      </w:pPr>
      <w:r>
        <w:rPr>
          <w:lang w:val="ru-RU"/>
        </w:rPr>
        <w:t xml:space="preserve">370. </w:t>
      </w:r>
      <w:r>
        <w:rPr>
          <w:lang w:val="ru-RU"/>
        </w:rPr>
        <w:tab/>
        <w:t>Охрана здоровья женщины в течение всей ее жизни от рождения до преклонного возраста признана первоочередной задачей государственного здравоохранения. Применяется комплексный подход к аспектам выживания, роста, развития и охраны здоровья. В Индии задача по улучшению состояния здоровья женщин решается путем обеспечения доступа к здравоохранению и пользованию медицинскими услугами, повышения благосостояния семьи, организации питания с особым упором на неимущие слои. Правительство обязалось увеличить государственное инвестирование в программы по ограничению распространения инфекционных заболеваний, а также взять на себя ведущую роль в усилиях по контролю за распространением СПИДа. В Национальной программе здравоохранения 2002 года предусматривается обеспечение более широкого доступа женщин к первичной медицинской помощи и уделение первоочередного внимания финансированию программ, связанных со здоровьем женщин. Ввиду ограниченности ресурсов, правительства почти всех штатов провели реформы здравоохранения. Нынешнее правительство обязуется увеличить расходы на общественное здравоохранение до 2–3 процентов ВВП (подробности см. в статье 12).</w:t>
      </w:r>
    </w:p>
    <w:p w:rsidR="00D80435" w:rsidRDefault="00D80435">
      <w:pPr>
        <w:rPr>
          <w:b/>
          <w:lang w:val="ru-RU"/>
        </w:rPr>
      </w:pPr>
      <w:r>
        <w:rPr>
          <w:b/>
          <w:lang w:val="ru-RU"/>
        </w:rPr>
        <w:t>Насилие в отношении женщин</w:t>
      </w:r>
    </w:p>
    <w:p w:rsidR="00D80435" w:rsidRDefault="00D80435">
      <w:pPr>
        <w:spacing w:after="320"/>
        <w:rPr>
          <w:lang w:val="ru-RU"/>
        </w:rPr>
      </w:pPr>
      <w:r>
        <w:rPr>
          <w:lang w:val="ru-RU"/>
        </w:rPr>
        <w:t xml:space="preserve">371. </w:t>
      </w:r>
      <w:r>
        <w:rPr>
          <w:lang w:val="ru-RU"/>
        </w:rPr>
        <w:tab/>
        <w:t>Насилие в отношении женщин проявляется в различных формах, включая сексуальное насилие/изнасилование, сексуальное домогательство, смертные случаи, связанные с обычаем получения приданого, а также насилие в семье. Чтобы эффективно решать эту проблему и ликвидировать разрыв между государственной и частной сферами, правительством и неправительственными организациями было осуществлено множество мероприятий. Правительство, с одной стороны, усиливает существующее законодательство путем его пересмотра и, в случаях необходимости, внесения поправок, создает институциональные механизмы (Национальная комиссия и комиссии штатов по делам женщин, женские полицейские отделения в полицейских участках и полицейские участки, полностью состоящие из женщин, и т. д.), а с другой стороны – осуществляет проекты, предоставляющие помощь уязвимым женщинам (создание домов кратковременного проживания, общежитий для работающих женщин и т. д.), проводит реабилитацию жертв насилия при помощи таких программ, как Свадхар, и установливает "горячие телефонные линии" для оказания помощи женщинам, находящимся в бедственном положении. Париварик Махила Лок Адалат (</w:t>
      </w:r>
      <w:r>
        <w:t>PMLA</w:t>
      </w:r>
      <w:r>
        <w:rPr>
          <w:lang w:val="ru-RU"/>
        </w:rPr>
        <w:t>) (общинный народный суд по делам женщин), созданный Национальной комиссией по делам женщин в качестве альтернативной системы отправления правосудия для предоставления женщинам скорого суда, является частью лок адалат (народных судов). Начиная с 1995 года Национальная комиссия по делам женщин совместно с НПО создает общинные народные суды, дополняющие систему правосудия. На всех уровнях среди официальных лиц проводится просветительская работа, а на Ежегодной конференции руководителей полиции одно заседание посвящается проблеме насилия в отношении женщин. С тем чтобы упростить процедуру сообщения о преступлениях в отношении женщин, в 14 штатах были созданы полицейские участки, состоящие только из женщин. Отделы добровольческих действий и консультативные центры по вопросам семьи в полицейских участках стремятся оказывать услуги по реабилитации. В последние годы были приняты важнейшие судебные решения, связанные с сексуальным домогательством на рабочем месте, соблюдением прав женщин, разводом, опекой и получением пособий на работе. Центральное правительство активно рассматривает возможность введения в действие закона о предупреждении сексуального домогательства в отношении женщин на рабочем месте и компенсации за него (подробности см. в разделах, посвященных насилию в отношении женщин).</w:t>
      </w:r>
    </w:p>
    <w:p w:rsidR="00D80435" w:rsidRDefault="00D80435">
      <w:pPr>
        <w:rPr>
          <w:lang w:val="ru-RU"/>
        </w:rPr>
      </w:pPr>
      <w:r>
        <w:rPr>
          <w:b/>
          <w:lang w:val="ru-RU"/>
        </w:rPr>
        <w:t>Женщины и экономика</w:t>
      </w:r>
      <w:r>
        <w:rPr>
          <w:lang w:val="ru-RU"/>
        </w:rPr>
        <w:t xml:space="preserve"> </w:t>
      </w:r>
    </w:p>
    <w:p w:rsidR="00D80435" w:rsidRDefault="00D80435">
      <w:pPr>
        <w:spacing w:after="320"/>
        <w:rPr>
          <w:lang w:val="ru-RU"/>
        </w:rPr>
      </w:pPr>
      <w:r>
        <w:rPr>
          <w:lang w:val="ru-RU"/>
        </w:rPr>
        <w:t xml:space="preserve">372. </w:t>
      </w:r>
      <w:r>
        <w:rPr>
          <w:lang w:val="ru-RU"/>
        </w:rPr>
        <w:tab/>
        <w:t>Правительство приняло ряд прямых и косвенных мер, направленных на расширение экономических прав и возможностей женщин. Национальная политика по расширению прав и возможностей женщин 2001 года задает параметры, в рамках которых предпринимаются усилия по учету интересов женщин при формировании и осуществлении макроэкономической и промышленной политики, а также проектов в области развития путем институционализации участия женщин в этих процессах. В формальном и неформальном секторах получает признание вклад женщин в экономическое развитие в качестве предпринимателей, производителей и работников. Учитывая решающую роль, которую женщины играют в электронике, информационной технологии, пищевой промышленности, производстве, обработке сельскохозяйственной продукции и текстильной промышленности, Национальная программа предусматривает ряд мер по всесторонней поддержке женщин, в том числе в области трудового законодательства и социального обеспечения. Планируется также оказание иных услуг, включая обеспечение безопасности, предоставление транспортных средств, организацию учреждений по уходу за ребенком и яслей по месту работы. В рамках Национальной сельскохозяйственной программы (2000 год) планируется приступить к осуществлению соответствующих структурных, функциональных и институциональных мероприятий по расширению прав и возможностей женщин. Департамент сельского хозяйства учредил Экспертный комитет по проблемам женщин в сельском хозяйстве, в задачи которого входит разработка благоприятной для женщин политики. Комитет сформулировал План действий. 10-й Пятилетний план определил задачу по расширению экономических возможностей женщин в качестве одной из необходимых предпосылок всестороннего развития потенциала женщин. Таким образом, усилия правительства направлены на создание благоприятной среды, способствующей участию женщин в экономической жизни.</w:t>
      </w:r>
    </w:p>
    <w:p w:rsidR="00D80435" w:rsidRDefault="00D80435">
      <w:pPr>
        <w:rPr>
          <w:b/>
          <w:lang w:val="ru-RU"/>
        </w:rPr>
      </w:pPr>
      <w:r>
        <w:rPr>
          <w:b/>
          <w:lang w:val="ru-RU"/>
        </w:rPr>
        <w:t>Участие женщин в работе директивных органов и в процессе принятия решений</w:t>
      </w:r>
    </w:p>
    <w:p w:rsidR="00D80435" w:rsidRDefault="00D80435">
      <w:pPr>
        <w:rPr>
          <w:lang w:val="ru-RU"/>
        </w:rPr>
      </w:pPr>
      <w:r>
        <w:rPr>
          <w:lang w:val="ru-RU"/>
        </w:rPr>
        <w:t xml:space="preserve">373. </w:t>
      </w:r>
      <w:r>
        <w:rPr>
          <w:lang w:val="ru-RU"/>
        </w:rPr>
        <w:tab/>
        <w:t>Создание благоприятной среды для равноправного участия мужчин и женщин в принятии решений на всех уровнях управления является жизненно важной мерой для укрепления демократии и ускорения качественного роста. 73-я и 74-я конституционные поправки (1993 год) предусматривают закрепление за женщинами одной трети от общего числа мест во всех местных выборных органах в сельских и городских районах, а также резервирование трети постов председателей в этих органах. Около миллиона женщин избираются в панчаяты и в местные выборные органы в городских районах на каждый пятилетний срок действия их полномочий. Политика по резервированию мест конкретно для женщин – представительниц включенных в списки каст и племен в еще большей мере способствует их привлечению к работе в этих органах.</w:t>
      </w:r>
    </w:p>
    <w:p w:rsidR="00D80435" w:rsidRDefault="00D80435">
      <w:pPr>
        <w:spacing w:after="320"/>
        <w:rPr>
          <w:lang w:val="ru-RU"/>
        </w:rPr>
      </w:pPr>
      <w:r>
        <w:rPr>
          <w:lang w:val="ru-RU"/>
        </w:rPr>
        <w:t xml:space="preserve">374. </w:t>
      </w:r>
      <w:r>
        <w:rPr>
          <w:lang w:val="ru-RU"/>
        </w:rPr>
        <w:tab/>
        <w:t xml:space="preserve">Создание благоприятной среды для равноправного участия как мужчин, так и женщин в процессе принятия решений на всех уровнях управления крайне важно для укрепления демократии и для ускорения качественного роста. Число женщин, занимающих официальные должности, остается сравнительно низким. В 2001 году женщины составляли 17,47 процента всех служащих в центральном правительстве, правительствах штатов и в местных органах власти. </w:t>
      </w:r>
    </w:p>
    <w:p w:rsidR="00D80435" w:rsidRDefault="00D80435">
      <w:pPr>
        <w:rPr>
          <w:b/>
          <w:lang w:val="ru-RU"/>
        </w:rPr>
      </w:pPr>
      <w:r>
        <w:rPr>
          <w:b/>
          <w:lang w:val="ru-RU"/>
        </w:rPr>
        <w:t>Институциональные механизмы для улучшения положения женщин</w:t>
      </w:r>
    </w:p>
    <w:p w:rsidR="00D80435" w:rsidRDefault="00D80435">
      <w:pPr>
        <w:spacing w:after="320"/>
        <w:rPr>
          <w:lang w:val="ru-RU"/>
        </w:rPr>
      </w:pPr>
      <w:r>
        <w:rPr>
          <w:lang w:val="ru-RU"/>
        </w:rPr>
        <w:t xml:space="preserve">375. </w:t>
      </w:r>
      <w:r>
        <w:rPr>
          <w:lang w:val="ru-RU"/>
        </w:rPr>
        <w:tab/>
        <w:t xml:space="preserve">Институциональные механизмы для улучшения положения женщин включают различные институты, созданные центральным правительством, правительствами штатов и местными органами управления, в том числе Департамент развития женщин и детей (ДРЖД) (на уровне центра и штатов), Национальную комиссию и комиссии штатов по делам женщин, Национальный институт общественного сотрудничества и развития ребенка, Центральный консультативный совет социального обеспечения, консультативные советы социального обеспечения штатов (уровень штатов), институты панчаят радж и органы местного самоуправления в городских районах, Национальную комиссию по правам человека, Раштрия Махила Кош и т. д. Институциональные механизмы и принципы, такие как разработка бюджета с учетом гендерного фактора, учета гендерного аспекта во всех видах деятельности и т. д., используются для внедрения концепции гендерного равенства в политику и планирование. Комиссия по планированию проводит периодические обзоры программ и планов, анализируя их воздействие на женщин. Был учрежден целый ряд комиссий и комитетов по конкретным проблемам, в том числе создана должность координатора по правам женщин в НКПЧ и Межминистерский комитет под эгидой ДРЖД по контролю за выполнением обязательств в соответствии с Конвенцией о ликвидации всех форм дискриминации в отношении женщин и т. д. Добровольческий сектор и женские группы участвуют в формулировании и осуществлении целого ряда планов и программ. Кроме того, различные департаменты правительства работают в партнерстве с двусторонними и многосторонними организациями и учреждениями Организации Объединенных Наций по конкретно ориентированным на женщин проектам и проектам, связанным с женщинами (подробности об институциональных механизмах см. в пп. 57–60). </w:t>
      </w:r>
    </w:p>
    <w:p w:rsidR="00D80435" w:rsidRDefault="00D80435">
      <w:pPr>
        <w:rPr>
          <w:b/>
          <w:lang w:val="ru-RU"/>
        </w:rPr>
      </w:pPr>
      <w:r>
        <w:rPr>
          <w:b/>
          <w:lang w:val="ru-RU"/>
        </w:rPr>
        <w:t>Прав человека и женщины</w:t>
      </w:r>
    </w:p>
    <w:p w:rsidR="00D80435" w:rsidRDefault="00D80435">
      <w:pPr>
        <w:spacing w:after="320"/>
        <w:rPr>
          <w:lang w:val="ru-RU"/>
        </w:rPr>
      </w:pPr>
      <w:r>
        <w:rPr>
          <w:lang w:val="ru-RU"/>
        </w:rPr>
        <w:t xml:space="preserve">376. </w:t>
      </w:r>
      <w:r>
        <w:rPr>
          <w:lang w:val="ru-RU"/>
        </w:rPr>
        <w:tab/>
        <w:t xml:space="preserve">Индия ратифицировала Конвенцию о ликвидации всех форм дискриминации в отношении женщин в 1993 году и Конвенцию о правах ребенка (КПР) в 1992 году. Государство создало независимые национальные институты для защиты и содействия осуществлению прав человека всех граждан, в том числе женщин, религиозных меньшинств и представителей различных каст, к числу которых относятся Национальная комиссия по правам человека (1994 год), Национальная комиссия по делам меньшинств (1992 год), Национальная комиссия по делам включенных в списки каст и включенных в списки племен (1990 год). Права женщин пожилого возраста были признаны в Национальной программе по делам пожилых людей (1999 год). </w:t>
      </w:r>
    </w:p>
    <w:p w:rsidR="00D80435" w:rsidRDefault="00D80435">
      <w:pPr>
        <w:rPr>
          <w:b/>
          <w:lang w:val="ru-RU"/>
        </w:rPr>
      </w:pPr>
      <w:r>
        <w:rPr>
          <w:b/>
          <w:lang w:val="ru-RU"/>
        </w:rPr>
        <w:t>Женщины и средства массовой информации</w:t>
      </w:r>
      <w:r>
        <w:rPr>
          <w:b/>
          <w:lang w:val="ru-RU"/>
        </w:rPr>
        <w:tab/>
      </w:r>
    </w:p>
    <w:p w:rsidR="00D80435" w:rsidRDefault="00D80435">
      <w:pPr>
        <w:rPr>
          <w:lang w:val="ru-RU"/>
        </w:rPr>
      </w:pPr>
      <w:r>
        <w:rPr>
          <w:lang w:val="ru-RU"/>
        </w:rPr>
        <w:t>377.</w:t>
      </w:r>
      <w:r>
        <w:rPr>
          <w:lang w:val="ru-RU"/>
        </w:rPr>
        <w:tab/>
        <w:t xml:space="preserve">Государственная информационная стратегия формирует положительный образ женщин и девочек. Средства массовой информации поощряются к разработке кодекса поведения, а инициативы, предпринятые в целях повышения восприимчивости к гендерной проблематике, включают такие меры, как принятие Кодекса в области коммерческой рекламы, просмотр программ до выхода в телеэфир выпускающим редактором на канале "Доордаршан" и </w:t>
      </w:r>
      <w:r>
        <w:rPr>
          <w:lang w:val="ru-RU"/>
        </w:rPr>
        <w:br/>
        <w:t xml:space="preserve">50-процентную представленность женщин в Совете по цензуре кинофильмов. Закон об информационной технологии объявил порнографию в прямом эфире наказуемым преступлением, а Парламентский комитет издал постановление, осуждающее демонстрацию в средствах массовой информации сцен насилия в семье. </w:t>
      </w:r>
    </w:p>
    <w:p w:rsidR="00D80435" w:rsidRDefault="00D80435">
      <w:pPr>
        <w:rPr>
          <w:b/>
          <w:lang w:val="ru-RU"/>
        </w:rPr>
      </w:pPr>
      <w:r>
        <w:rPr>
          <w:b/>
          <w:lang w:val="ru-RU"/>
        </w:rPr>
        <w:t>Женщины и окружающая среда</w:t>
      </w:r>
    </w:p>
    <w:p w:rsidR="00D80435" w:rsidRDefault="00D80435">
      <w:pPr>
        <w:spacing w:after="320"/>
        <w:rPr>
          <w:u w:val="single"/>
          <w:lang w:val="ru-RU"/>
        </w:rPr>
      </w:pPr>
      <w:r>
        <w:rPr>
          <w:lang w:val="ru-RU"/>
        </w:rPr>
        <w:t>378.</w:t>
      </w:r>
      <w:r>
        <w:rPr>
          <w:lang w:val="ru-RU"/>
        </w:rPr>
        <w:tab/>
        <w:t xml:space="preserve">Программы и планы, учитывающие связь между благосостоянием женщин и здоровой  окружающей средой, охватывают различные секторы и включают инициативы в области лесонасаждений, водоснабжения, сбора осадков, санитарии, управления природными ресурсами и т. д. Центральным учреждением, занимающимся вопросами окружающей среды, является министерство окружающей среды и лесов. Политика управления ресурсами с учетом гендерного фактора подкрепляется такими проектами, как совместные программы управления лесами, половину членов которых должны составлять женщины. Поощряется участие женщин в управлении ресурсами общин и в программах установления водораздела. Сельским женщинам, живущим за чертой бедности, предоставляется финансовая помощь для создания в лесничествах яслей. Министерство нетрадиционных источников энергии осуществляет несколько программ, направленных на сокращение тяжелого труда, и предоставляет оборудование для приготовления пищи и освещения. Образовательные программы по проблемам окружающей среды, поддерживаемые Департаментом образования, играют важную роль в повышении осведомленности населения и решении проблем, связанных с окружающей средой, с учетом местной специфики. Поощряются обычаи местных жителей, использующих методы рационального ведения хозяйства, сохраняющие и оберегающие леса. За последние десять лет в штате Уттаранчал возникли многочисленные женские группы (Махила Мангал Далс), которые охраняют и используют государственные леса на основе договоренности. </w:t>
      </w:r>
    </w:p>
    <w:p w:rsidR="00D80435" w:rsidRDefault="00D80435">
      <w:pPr>
        <w:rPr>
          <w:b/>
          <w:lang w:val="ru-RU"/>
        </w:rPr>
      </w:pPr>
      <w:r>
        <w:rPr>
          <w:lang w:val="ru-RU"/>
        </w:rPr>
        <w:t xml:space="preserve"> </w:t>
      </w:r>
      <w:r>
        <w:rPr>
          <w:b/>
          <w:lang w:val="ru-RU"/>
        </w:rPr>
        <w:t>Девочки</w:t>
      </w:r>
    </w:p>
    <w:p w:rsidR="00D80435" w:rsidRDefault="00D80435">
      <w:pPr>
        <w:rPr>
          <w:lang w:val="ru-RU"/>
        </w:rPr>
      </w:pPr>
      <w:r>
        <w:rPr>
          <w:lang w:val="ru-RU"/>
        </w:rPr>
        <w:t>379.</w:t>
      </w:r>
      <w:r>
        <w:rPr>
          <w:lang w:val="ru-RU"/>
        </w:rPr>
        <w:tab/>
        <w:t xml:space="preserve">Декада 1991–2000 годов отмечалась как "десятилетие девочки". Национальный план действий в интересах девочек (1992 год) подтверждает право девочек на равные возможности, ликвидацию всех форм насилия, укоренившегося в отношении девочек, и предоставляет средства для развития их личности. Индия подписала Конвенцию о правах ребенка. Первый доклад Комитету экспертов Организации Объединенных Наций по правам ребенка был рассмотрен в 2000 году. Второй доклад был представлен в 2004 году. </w:t>
      </w:r>
    </w:p>
    <w:p w:rsidR="00D80435" w:rsidRDefault="00D80435">
      <w:pPr>
        <w:spacing w:after="320"/>
        <w:rPr>
          <w:lang w:val="ru-RU"/>
        </w:rPr>
      </w:pPr>
      <w:r>
        <w:rPr>
          <w:lang w:val="ru-RU"/>
        </w:rPr>
        <w:t>380.</w:t>
      </w:r>
      <w:r>
        <w:rPr>
          <w:lang w:val="ru-RU"/>
        </w:rPr>
        <w:tab/>
        <w:t>Меры по улучшению положения девочек включают расширение Комплексного плана оказания услуг в сфере детского развития (КПДР), который в настоящее время охватывает 31,5 млн. детей и 6 млн. беременных женщин и кормящих матерей. Программа Кишори Шахти Йоджана</w:t>
      </w:r>
      <w:r>
        <w:rPr>
          <w:b/>
          <w:lang w:val="ru-RU"/>
        </w:rPr>
        <w:t xml:space="preserve"> </w:t>
      </w:r>
      <w:r>
        <w:rPr>
          <w:lang w:val="ru-RU"/>
        </w:rPr>
        <w:t>для</w:t>
      </w:r>
      <w:r>
        <w:rPr>
          <w:b/>
          <w:lang w:val="ru-RU"/>
        </w:rPr>
        <w:t xml:space="preserve"> </w:t>
      </w:r>
      <w:r>
        <w:rPr>
          <w:lang w:val="ru-RU"/>
        </w:rPr>
        <w:t>девочек-подростков (11–18 лет) была начата в 2000–2005 годах как часть КПДР. В соответствии с Программой охраны репродуктивного здоровья и здоровья детей (ПОРЗД) министерства здравоохранения и благосостояния семьи особое внимание придается вакцинации девочек. В рамках Департамента образования и Сарва Шикша Абхиян были выработаны конкретные программы, направленные на расширение доступа девочек к образованию, увеличение численности поступающих в школу девочек и удержание их в школе. Необходимо изменить отношение общества к таким явлениям, как внутрисемейное неравенство и предпочтение, отдаваемое в семье сыновьям; в этих целях в средствах массовой информации регулярно организуются просветительские кампании.</w:t>
      </w:r>
    </w:p>
    <w:p w:rsidR="00D80435" w:rsidRDefault="00D80435">
      <w:pPr>
        <w:rPr>
          <w:b/>
          <w:lang w:val="ru-RU"/>
        </w:rPr>
      </w:pPr>
      <w:r>
        <w:rPr>
          <w:b/>
          <w:lang w:val="ru-RU"/>
        </w:rPr>
        <w:t>Дополнительные обязательства</w:t>
      </w:r>
    </w:p>
    <w:p w:rsidR="00D80435" w:rsidRDefault="00D80435">
      <w:pPr>
        <w:rPr>
          <w:lang w:val="ru-RU"/>
        </w:rPr>
      </w:pPr>
      <w:r>
        <w:rPr>
          <w:lang w:val="ru-RU"/>
        </w:rPr>
        <w:t>381.</w:t>
      </w:r>
      <w:r>
        <w:rPr>
          <w:lang w:val="ru-RU"/>
        </w:rPr>
        <w:tab/>
        <w:t>В Пекине правительство Индии приняло пять других обязательств по улучшению положения женщин и девочек, в том числе следующие:</w:t>
      </w:r>
    </w:p>
    <w:p w:rsidR="00D80435" w:rsidRDefault="00D80435">
      <w:pPr>
        <w:rPr>
          <w:lang w:val="ru-RU"/>
        </w:rPr>
      </w:pPr>
      <w:r>
        <w:rPr>
          <w:lang w:val="ru-RU"/>
        </w:rPr>
        <w:tab/>
        <w:t>а)</w:t>
      </w:r>
      <w:r>
        <w:rPr>
          <w:lang w:val="ru-RU"/>
        </w:rPr>
        <w:tab/>
      </w:r>
      <w:r>
        <w:rPr>
          <w:b/>
          <w:lang w:val="ru-RU"/>
        </w:rPr>
        <w:t xml:space="preserve">Увеличить бюджетные расходы на образование до 6 процентов ВВП: </w:t>
      </w:r>
      <w:r>
        <w:rPr>
          <w:lang w:val="ru-RU"/>
        </w:rPr>
        <w:t>в этих целях нынешнее правительство в своем ежегодном бюджете на 2004–2005 годы ввело дополнительный налог на образование.</w:t>
      </w:r>
    </w:p>
    <w:p w:rsidR="00D80435" w:rsidRDefault="00D80435">
      <w:pPr>
        <w:rPr>
          <w:lang w:val="ru-RU"/>
        </w:rPr>
      </w:pPr>
      <w:r>
        <w:rPr>
          <w:lang w:val="ru-RU"/>
        </w:rPr>
        <w:tab/>
      </w:r>
      <w:r>
        <w:t>b</w:t>
      </w:r>
      <w:r>
        <w:rPr>
          <w:lang w:val="ru-RU"/>
        </w:rPr>
        <w:t>)</w:t>
      </w:r>
      <w:r>
        <w:rPr>
          <w:lang w:val="ru-RU"/>
        </w:rPr>
        <w:tab/>
      </w:r>
      <w:r>
        <w:rPr>
          <w:b/>
          <w:lang w:val="ru-RU"/>
        </w:rPr>
        <w:t xml:space="preserve">Сделать универсальной программу охраны материнства и детства: </w:t>
      </w:r>
      <w:r>
        <w:rPr>
          <w:lang w:val="ru-RU"/>
        </w:rPr>
        <w:t>охват этих программ значительно увеличился, о чем говорится в статье 12.</w:t>
      </w:r>
    </w:p>
    <w:p w:rsidR="00D80435" w:rsidRDefault="00D80435">
      <w:pPr>
        <w:rPr>
          <w:lang w:val="ru-RU"/>
        </w:rPr>
      </w:pPr>
      <w:r>
        <w:rPr>
          <w:lang w:val="ru-RU"/>
        </w:rPr>
        <w:tab/>
      </w:r>
      <w:r>
        <w:t>c</w:t>
      </w:r>
      <w:r>
        <w:rPr>
          <w:lang w:val="ru-RU"/>
        </w:rPr>
        <w:t>)</w:t>
      </w:r>
      <w:r>
        <w:rPr>
          <w:lang w:val="ru-RU"/>
        </w:rPr>
        <w:tab/>
      </w:r>
      <w:r>
        <w:rPr>
          <w:b/>
          <w:lang w:val="ru-RU"/>
        </w:rPr>
        <w:t xml:space="preserve">Сформулировать и приступить к осуществлению Национальной программы по улучшению положения женщин: </w:t>
      </w:r>
      <w:r>
        <w:rPr>
          <w:lang w:val="ru-RU"/>
        </w:rPr>
        <w:t>в</w:t>
      </w:r>
      <w:r>
        <w:rPr>
          <w:b/>
          <w:lang w:val="ru-RU"/>
        </w:rPr>
        <w:t xml:space="preserve"> </w:t>
      </w:r>
      <w:r>
        <w:rPr>
          <w:lang w:val="ru-RU"/>
        </w:rPr>
        <w:t>2001 году была принята Национальная программа расширения прав и возможностей женщин, призванная воплотить в жизнь принцип гендерной справедливости и сделать юридическое равенство равенством фактическим. Правительства нескольких штатов также разработали планы по расширению прав и возможностей женщин. Проект Плана действий по выполнению Национальной программы находится в стадии подготовки.</w:t>
      </w:r>
    </w:p>
    <w:p w:rsidR="00D80435" w:rsidRDefault="00D80435">
      <w:pPr>
        <w:rPr>
          <w:lang w:val="ru-RU"/>
        </w:rPr>
      </w:pPr>
      <w:r>
        <w:rPr>
          <w:lang w:val="ru-RU"/>
        </w:rPr>
        <w:tab/>
      </w:r>
      <w:r>
        <w:t>d</w:t>
      </w:r>
      <w:r>
        <w:rPr>
          <w:lang w:val="ru-RU"/>
        </w:rPr>
        <w:t>)</w:t>
      </w:r>
      <w:r>
        <w:rPr>
          <w:lang w:val="ru-RU"/>
        </w:rPr>
        <w:tab/>
      </w:r>
      <w:r>
        <w:rPr>
          <w:b/>
          <w:lang w:val="ru-RU"/>
        </w:rPr>
        <w:t>Учредить должность Комиссара по правам женщин в качестве государственного защитника прав человека женщин:</w:t>
      </w:r>
      <w:r>
        <w:rPr>
          <w:lang w:val="ru-RU"/>
        </w:rPr>
        <w:t xml:space="preserve"> Национальная комиссия по делам женщин, учрежденная в 1992 году для защиты прав и интересов женщин, действует в качестве предусмотренного законом омбудсмена по делам женщин. Председатель Национальной комиссии по делам женщин является в силу занимаемой должности членом Национальной комиссии по правам человека, что дает возможность повысить эффективность действий по защите предусмотренных для женщин правовых и конституционных гарантий.</w:t>
      </w:r>
    </w:p>
    <w:p w:rsidR="00D80435" w:rsidRDefault="00D80435">
      <w:pPr>
        <w:rPr>
          <w:b/>
          <w:lang w:val="ru-RU"/>
        </w:rPr>
      </w:pPr>
    </w:p>
    <w:p w:rsidR="00D80435" w:rsidRDefault="00D80435">
      <w:pPr>
        <w:jc w:val="center"/>
        <w:rPr>
          <w:b/>
          <w:sz w:val="24"/>
          <w:u w:val="single"/>
          <w:lang w:val="ru-RU"/>
        </w:rPr>
      </w:pPr>
      <w:r>
        <w:rPr>
          <w:b/>
          <w:sz w:val="24"/>
          <w:lang w:val="ru-RU"/>
        </w:rPr>
        <w:t xml:space="preserve">Часть IV.  Мадридский международный план действий </w:t>
      </w:r>
      <w:r>
        <w:rPr>
          <w:b/>
          <w:sz w:val="24"/>
          <w:lang w:val="ru-RU"/>
        </w:rPr>
        <w:br/>
        <w:t>по проблемам старения 2002 года</w:t>
      </w:r>
    </w:p>
    <w:p w:rsidR="00D80435" w:rsidRDefault="00D80435">
      <w:pPr>
        <w:pStyle w:val="Heading2"/>
        <w:spacing w:after="340"/>
      </w:pPr>
      <w:r>
        <w:t>Справочная информация</w:t>
      </w:r>
    </w:p>
    <w:p w:rsidR="00D80435" w:rsidRDefault="00D80435">
      <w:pPr>
        <w:spacing w:after="340"/>
        <w:rPr>
          <w:lang w:val="ru-RU"/>
        </w:rPr>
      </w:pPr>
      <w:r>
        <w:rPr>
          <w:lang w:val="ru-RU"/>
        </w:rPr>
        <w:t>382.</w:t>
      </w:r>
      <w:r>
        <w:rPr>
          <w:lang w:val="ru-RU"/>
        </w:rPr>
        <w:tab/>
        <w:t>Численность пожилых людей (60 лет и выше) увеличилась с 42,5 млн. в 1981 году до 55 млн. в 1991 году и на сегодняшний день, согласно проведенной в 2001 году переписи, пожилых людей насчитывается 76,6 млн., что составляет 7,45 процента общего населения страны. За последние два десятилетия было отмечено значительное увеличение численности пожилых людей, в абсолютном выражении составившее около 70 процентов. Постепенно пришло осознание того, что обеспечение благосостояния пожилых людей, долгое время считавшееся долгом семьи/общества, все в большее мере переходит в ведение государства, в том числе потому, что растет число оставшихся без средств пожилых людей, предоставленных самим себе вследствие крушения системы объединенной семьи, миграции населения из деревень в город, общей нищеты и отсутствия системы социального страхования, финансируемой государством.</w:t>
      </w:r>
    </w:p>
    <w:p w:rsidR="00D80435" w:rsidRDefault="00D80435">
      <w:pPr>
        <w:rPr>
          <w:b/>
          <w:lang w:val="ru-RU"/>
        </w:rPr>
      </w:pPr>
      <w:r>
        <w:rPr>
          <w:b/>
          <w:lang w:val="ru-RU"/>
        </w:rPr>
        <w:t>Инициативы государства</w:t>
      </w:r>
    </w:p>
    <w:p w:rsidR="00D80435" w:rsidRDefault="00D80435">
      <w:pPr>
        <w:rPr>
          <w:lang w:val="ru-RU"/>
        </w:rPr>
      </w:pPr>
      <w:r>
        <w:rPr>
          <w:lang w:val="ru-RU"/>
        </w:rPr>
        <w:t>383.</w:t>
      </w:r>
      <w:r>
        <w:rPr>
          <w:lang w:val="ru-RU"/>
        </w:rPr>
        <w:tab/>
        <w:t xml:space="preserve">Статья 41 Конституции обязывает государство, в рамках его экономического потенциала и развития, предпринимать эффективные усилия по обеспечению права на труд, образование и оказанию государственной помощи в случае безработицы, по достижении пожилого возраста, в связи с болезнями и нетрудоспособностью. В 1999 году была принята Национальная программа повышения благосостояния пожилых людей. Главные направления мероприятий и стратегии действий в интересах пожилых людей включают: финансовое обеспечение (в том числе пенсионное обеспечение), здравоохранение и питание, обеспечение жилищем, образование, профессиональную подготовку, исследования и распространение информации, оказание дополнительных услуг по уходу за пожилыми людьми в семье, а также защиту их жизни и имущества. Другие меры включают мeжсекторальное партнерство и конструктивные действия. </w:t>
      </w:r>
    </w:p>
    <w:p w:rsidR="00D80435" w:rsidRDefault="00D80435">
      <w:pPr>
        <w:rPr>
          <w:spacing w:val="-2"/>
          <w:lang w:val="ru-RU"/>
        </w:rPr>
      </w:pPr>
      <w:r>
        <w:rPr>
          <w:spacing w:val="-2"/>
          <w:lang w:val="ru-RU"/>
        </w:rPr>
        <w:t xml:space="preserve">384. </w:t>
      </w:r>
      <w:r>
        <w:rPr>
          <w:spacing w:val="-2"/>
          <w:lang w:val="ru-RU"/>
        </w:rPr>
        <w:tab/>
        <w:t>В ходе 9-го Пятилетнего плана был подготовлен План действий (2000–2005 годы) с целью приведения в действие Национальной программы по повышению благосостояния пожилых людей, где сформулированы инициативы, которые должны быть предприняты различными правительственными и неправительственными организациями. Был учрежден Национальный совет по делам пожилых людей (НСПЛ), в функции которого входит прием жалоб и предложений от пожилых людей. Этот Совет консультирует государство в вопросах, касающихся планов и программ, связанных с благосостоянием пожилых людей, содействуя их решению. Кроме того, с целью обеспечения необходимой координации и взаимодействия в решении вопросов, касающихся пожилых людей, был создан Межминистерский комитет (ММК), в состав которого вошли различные министерства/департаменты, занимающиеся вопросами благосостояния пожилых людей.</w:t>
      </w:r>
    </w:p>
    <w:p w:rsidR="00D80435" w:rsidRDefault="00D80435">
      <w:pPr>
        <w:rPr>
          <w:lang w:val="ru-RU"/>
        </w:rPr>
      </w:pPr>
      <w:r>
        <w:rPr>
          <w:lang w:val="ru-RU"/>
        </w:rPr>
        <w:t xml:space="preserve">385. </w:t>
      </w:r>
      <w:r>
        <w:rPr>
          <w:lang w:val="ru-RU"/>
        </w:rPr>
        <w:tab/>
        <w:t>Комплексная программа для лиц пожилого возраста была составлена на основе пересмотренной предыдущей программы под названием "Помощь организаций добровольцев", в рамках которой обеспечивался уход за пожилыми людьми. В течение 2004–2005 годов в соответствии с этой программой неправительственные организации получали финансовую помощь на содержание 626 домов для престарелых/центров дневного ухода/мобильных пунктов медицинского ухода, а также центров неформального обслуживания.</w:t>
      </w:r>
    </w:p>
    <w:p w:rsidR="00D80435" w:rsidRDefault="00D80435">
      <w:pPr>
        <w:rPr>
          <w:lang w:val="ru-RU"/>
        </w:rPr>
      </w:pPr>
      <w:r>
        <w:rPr>
          <w:lang w:val="ru-RU"/>
        </w:rPr>
        <w:t xml:space="preserve">386. </w:t>
      </w:r>
      <w:r>
        <w:rPr>
          <w:lang w:val="ru-RU"/>
        </w:rPr>
        <w:tab/>
        <w:t xml:space="preserve">Программа помощи, оказываемая институтам панчаят радж, организациям добровольцев и группам самопомощи в строительстве домов для престарелых и центров по оказанию различных услуг, была пересмотрена, с тем чтобы увеличить единовременную безвозмездную ссуду на строительство, выделенную для этих целей. С момента вступления в силу этой Программы в 1997 году было построено 45 домов для престарелых. Из общих капитальных расходов, предусмотренных на эти цели в 9-м Пятилетнем плане в размере 564,2 млн. рупий, на поддержку и содержание институциональных структур для престарелых было израсходовано 516,6 млн. рупий. Национальный план предоставления пенсий по старости был составной частью Национальной программы социальной помощи, в рамках которой лицам в возрасте 65 лет и старше, лишенным средств к существованию, ежемесячно предоставляется помощь в размере 75 рупий на каждого бенефициара. В 2002/2003 финансовом году эта программа приобрела государственный статус. В рамках Национального плана предоставления пенсий по старости центральное правительство продолжало поддерживать усилия штатов по предоставлению неимущим лицам старше 65 лет финансовой помощи в сумме 75 рупий ежемесячно. Администрация железных дорог, авиалиний и автомобильных дорог уделяет особое внимание пожилым людям в плане обеспечения билетами, устанавливая для них специальные очереди и предоставляя тарифы со скидкой, тогда как Департамент телекоммуникаций в первоочередном порядке устанавливает им телефонную связь. </w:t>
      </w:r>
    </w:p>
    <w:p w:rsidR="00D80435" w:rsidRDefault="00D80435">
      <w:pPr>
        <w:spacing w:after="300"/>
        <w:rPr>
          <w:lang w:val="ru-RU"/>
        </w:rPr>
      </w:pPr>
      <w:r>
        <w:rPr>
          <w:lang w:val="ru-RU"/>
        </w:rPr>
        <w:t>387.</w:t>
      </w:r>
      <w:r>
        <w:rPr>
          <w:lang w:val="ru-RU"/>
        </w:rPr>
        <w:tab/>
        <w:t>Национальный проект под названием Социальное обеспечение и доход пожилых людей (СОДП) был разработан с тем, чтобы решить проблему социального обеспечения и обеспечения надежного дохода пожилых людей, вызывающую все большую обеспокоенность общественности. Группа экспертов изучила вопросы, связанные со сбережениями, социальным обеспечением и пенсиями, и наметила стратегии, позволяющие работникам неформального сектора накопить достаточно сбережений в качестве страховки от нищеты в пожилом возрасте. На основе этого доклада была разработана новая пенсионная схема.</w:t>
      </w:r>
    </w:p>
    <w:p w:rsidR="00D80435" w:rsidRDefault="00D80435">
      <w:pPr>
        <w:rPr>
          <w:b/>
          <w:lang w:val="ru-RU"/>
        </w:rPr>
      </w:pPr>
      <w:r>
        <w:rPr>
          <w:b/>
          <w:lang w:val="ru-RU"/>
        </w:rPr>
        <w:br w:type="page"/>
        <w:t>Предстоящие задачи</w:t>
      </w:r>
    </w:p>
    <w:p w:rsidR="00D80435" w:rsidRDefault="00D80435">
      <w:pPr>
        <w:rPr>
          <w:lang w:val="ru-RU"/>
        </w:rPr>
      </w:pPr>
      <w:r>
        <w:rPr>
          <w:lang w:val="ru-RU"/>
        </w:rPr>
        <w:t>388.</w:t>
      </w:r>
      <w:r>
        <w:rPr>
          <w:lang w:val="ru-RU"/>
        </w:rPr>
        <w:tab/>
        <w:t>Имеющиеся сводные статистические данные недостаточны, для того чтобы оценить объем услуг, которыми пользуются пожилые женщины, и воздействие этих услуг. Несмотря на принятые меры, продолжает вызывать обеспокоенность проблема пожилых женщин, численность которых постоянно увеличивается. Пожилые женщины гораздо более уязвимы и нуждаются в особом внимании. Дискриминация и подчиненное положение, от которых страдают женщины, высокая доля вдов в возрастной группе 60 лет и старше, более благоприятное процентное соотношение между полами в этой возрастной группе, разительные диспропорции в грамотности и образовании, разница в заработках мужчин и женщин, более высокая заболеваемость пожилых женщин по сравнению с пожилыми мужчинами, обусловленный гендерными факторами дифференцированный доступ пожилых людей к здравоохранению – таковы проблемы, которые требуют решения и вмешательства со стороны государства.</w:t>
      </w:r>
    </w:p>
    <w:p w:rsidR="00D80435" w:rsidRDefault="00D80435">
      <w:pPr>
        <w:rPr>
          <w:lang w:val="ru-RU"/>
        </w:rPr>
      </w:pPr>
      <w:r>
        <w:rPr>
          <w:lang w:val="ru-RU"/>
        </w:rPr>
        <w:t>389.</w:t>
      </w:r>
      <w:r>
        <w:rPr>
          <w:lang w:val="ru-RU"/>
        </w:rPr>
        <w:tab/>
        <w:t>Поскольку, согласно вышеуказанной программе, главными обязательствами государства являются предоставление жилища, услуг в области здравоохранения, финансовое обеспечение, а также защита жизни и имущества, 10-й Пятилетний план (2002–2007 годы) предусматривает уделение особого внимания реализации текущих программ в этих областях. Существующие программы, обеспечивающие функционирование домов престарелых, центров дневного ухода и мобильных центров медицинского ухода, будут расширены в вертикальном и горизонтальном направлениях, с тем чтобы предоставить услуги по физической и эмоциональной реабилитации пожилых людей, в связи с чем предусматривается дополнительное вложение средств в профессиональную подготовку, трудовую терапию, организацию центров отдыха и досуга, клубов для общения друг с другом и т. д. В качестве конечной цели ставится создание по меньшей мере одного "Объединенного дома для престарелых" в каждом районе. Для достижения этой цели неправительственные организации будут укреплены путем наращивания потенциала, осуществления программ профессиональной подготовки персонала и координации усилий с благотворительными службами заинтересованных организаций, работающих в смежных областях. Планируется предпринять конструктивные действия, например создать специальные геронтологические центры в каждой районной больнице, а также специальные отделения для пожилых в медицинских центрах и в больницах, что позволит обеспечить пожилым людям более свободный доступ к важным общественным коммунальным службам.</w:t>
      </w:r>
    </w:p>
    <w:p w:rsidR="00D80435" w:rsidRDefault="00D80435">
      <w:pPr>
        <w:rPr>
          <w:lang w:val="ru-RU"/>
        </w:rPr>
      </w:pPr>
      <w:r>
        <w:rPr>
          <w:lang w:val="ru-RU"/>
        </w:rPr>
        <w:t>390.</w:t>
      </w:r>
      <w:r>
        <w:rPr>
          <w:lang w:val="ru-RU"/>
        </w:rPr>
        <w:tab/>
        <w:t>Учитывая асимметричность пирамиды населения, где в целом "число мужчин превышает число женщин", а в верхней части возрастной структуры "число женщин превышает число мужчин", правительство в 10-м Пятилетнем плане обязуется предоставить социальное обеспечение пожилым женщинам. Предусматривается, что в 10-м Пятилетнем плане первоочередное внимание будет уделено проблемам защиты жизни и имущества пожилых людей ввиду участившихся случаев мошенничества и обмана со стороны криминальных элементов, жертвами которых они легко становятся. Проводится общенациональная программа повышения осведомленности сотрудников правоохранительных органов, особенно местной полиции. Одновременно ведется просветительская работа среди семей и общественности, призванная повысить их ответственность за безопасность пожилых людей.</w:t>
      </w:r>
    </w:p>
    <w:p w:rsidR="00D80435" w:rsidRDefault="00D80435">
      <w:pPr>
        <w:rPr>
          <w:b/>
          <w:lang w:val="ru-RU"/>
        </w:rPr>
      </w:pPr>
    </w:p>
    <w:p w:rsidR="00D80435" w:rsidRDefault="00D80435">
      <w:pPr>
        <w:pStyle w:val="Heading4"/>
        <w:jc w:val="left"/>
      </w:pPr>
      <w:r>
        <w:br w:type="page"/>
        <w:t>ВЫВОДЫ</w:t>
      </w:r>
    </w:p>
    <w:p w:rsidR="00D80435" w:rsidRDefault="00D80435">
      <w:pPr>
        <w:rPr>
          <w:lang w:val="ru-RU"/>
        </w:rPr>
      </w:pPr>
      <w:r>
        <w:rPr>
          <w:lang w:val="ru-RU"/>
        </w:rPr>
        <w:t>В последние 7–8 лет правительство предприняло ряд различных инициатив – путем принятия законодательства, разработки политики и реализации практических мер и программ – в области борьбы с гендерным неравенством и дискриминацией в отношении женщин и девочек. Многие законы и программы все еще находятся в процессе обзора, предпринятого с целью исключения из них дискриминационных положений. По ряду показателей имеются существенные улучшения, которые подробно рассматривались в предыдущих пунктах. Учитывая, что общий уровень нищеты снизился до 26 процентов и заметно повысился уровень грамотности женщин, отчасти улучшилось соотношение полов, и женщины вошли в директивные органы, можно сделать вывод, что ситуация в отношении достижения равноправия мужчин и женщин улучшилась. Однако гендерная дискриминация остается важнейшей проблемой, требующей решения, и правительство будет продолжать политику согласованных усилий, направленных на ликвидацию дискриминации в отношении женщин и обеспечение условий для фактической реализации предоставленных им прав. Правительство обязуется осуществлять Национальную политику по расширению прав и возможностей женщин 2001 года и План действий, который находится в стадии утверждения. План призван повысить эффективность этой программы, усовершенствовать процедуры составления бюджета, учитывающие гендерный фактор, осуществить меры, предусмотренные в Плане по учету доли женщин, а также внедрить стратегии планирования, позволяющие улучшить социально-экономическое положение женщин, расширить их права и возможности.</w:t>
      </w:r>
    </w:p>
    <w:p w:rsidR="00D80435" w:rsidRDefault="00D80435">
      <w:pPr>
        <w:rPr>
          <w:lang w:val="ru-RU"/>
        </w:rPr>
      </w:pPr>
    </w:p>
    <w:p w:rsidR="00D80435" w:rsidRDefault="00D80435">
      <w:pPr>
        <w:rPr>
          <w:lang w:val="ru-RU"/>
        </w:rPr>
      </w:pPr>
    </w:p>
    <w:sectPr w:rsidR="00D80435">
      <w:footerReference w:type="default" r:id="rId18"/>
      <w:footerReference w:type="first" r:id="rId19"/>
      <w:pgSz w:w="12242" w:h="15842" w:code="1"/>
      <w:pgMar w:top="1418" w:right="1418" w:bottom="1701" w:left="1418" w:header="0" w:footer="907" w:gutter="0"/>
      <w:pgNumType w:start="1"/>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80435" w:rsidRDefault="00D80435">
      <w:pPr>
        <w:pStyle w:val="CommentText"/>
      </w:pPr>
      <w:r>
        <w:rPr>
          <w:rStyle w:val="CommentReference"/>
        </w:rPr>
        <w:annotationRef/>
      </w:r>
      <w:r>
        <w:t>&lt;&lt;ODS JOB NO&gt;&gt;N055</w:t>
      </w:r>
      <w:r>
        <w:rPr>
          <w:lang w:val="en-US"/>
        </w:rPr>
        <w:t>7218</w:t>
      </w:r>
      <w:r>
        <w:t>R&lt;&lt;ODS JOB NO&gt;&gt;</w:t>
      </w:r>
    </w:p>
    <w:p w:rsidR="00D80435" w:rsidRDefault="00D80435">
      <w:pPr>
        <w:pStyle w:val="CommentText"/>
      </w:pPr>
      <w:r>
        <w:t>&lt;&lt;ODS DOC SYMBOL1&gt;&gt;</w:t>
      </w:r>
      <w:r>
        <w:rPr>
          <w:lang w:val="en-US"/>
        </w:rPr>
        <w:t>CED</w:t>
      </w:r>
      <w:r>
        <w:t>A</w:t>
      </w:r>
      <w:r>
        <w:rPr>
          <w:lang w:val="en-US"/>
        </w:rPr>
        <w:t>W</w:t>
      </w:r>
      <w:r>
        <w:t>/C/</w:t>
      </w:r>
      <w:r>
        <w:rPr>
          <w:lang w:val="en-US"/>
        </w:rPr>
        <w:t>IND</w:t>
      </w:r>
      <w:r>
        <w:t>/</w:t>
      </w:r>
      <w:r>
        <w:rPr>
          <w:lang w:val="en-US"/>
        </w:rPr>
        <w:t>2-3</w:t>
      </w:r>
      <w:r>
        <w:t>&lt;&lt;ODS DOC SYMBOL1&gt;&gt;</w:t>
      </w:r>
    </w:p>
    <w:p w:rsidR="00D80435" w:rsidRDefault="00D804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435" w:rsidRDefault="00D80435">
      <w:r>
        <w:separator/>
      </w:r>
    </w:p>
  </w:endnote>
  <w:endnote w:type="continuationSeparator" w:id="0">
    <w:p w:rsidR="00D80435" w:rsidRDefault="00D80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435" w:rsidRDefault="00D8043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80435" w:rsidRDefault="00D8043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435" w:rsidRDefault="00D80435">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435" w:rsidRDefault="00D80435">
    <w:pPr>
      <w:pStyle w:val="Footer"/>
      <w:spacing w:after="0"/>
      <w:rPr>
        <w:sz w:val="20"/>
      </w:rPr>
    </w:pPr>
    <w:r>
      <w:rPr>
        <w:sz w:val="20"/>
        <w:lang w:val="ru-RU"/>
      </w:rPr>
      <w:t>0</w:t>
    </w:r>
    <w:r>
      <w:rPr>
        <w:sz w:val="20"/>
      </w:rPr>
      <w:t>5-5721</w:t>
    </w:r>
    <w:r>
      <w:rPr>
        <w:sz w:val="20"/>
        <w:lang w:val="ru-RU"/>
      </w:rPr>
      <w:t>8</w:t>
    </w:r>
    <w:r>
      <w:rPr>
        <w:sz w:val="20"/>
      </w:rPr>
      <w:t>.R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435" w:rsidRDefault="00D80435">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435" w:rsidRDefault="00D80435">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435" w:rsidRDefault="00D80435">
      <w:r>
        <w:separator/>
      </w:r>
    </w:p>
  </w:footnote>
  <w:footnote w:type="continuationSeparator" w:id="0">
    <w:p w:rsidR="00D80435" w:rsidRDefault="00D80435">
      <w:r>
        <w:continuationSeparator/>
      </w:r>
    </w:p>
  </w:footnote>
  <w:footnote w:id="1">
    <w:p w:rsidR="00D80435" w:rsidRDefault="00D80435">
      <w:pPr>
        <w:tabs>
          <w:tab w:val="left" w:pos="567"/>
        </w:tabs>
        <w:ind w:left="567" w:hanging="567"/>
        <w:rPr>
          <w:sz w:val="20"/>
          <w:lang w:val="ru-RU"/>
        </w:rPr>
      </w:pPr>
      <w:r>
        <w:rPr>
          <w:rStyle w:val="FootnoteReference"/>
          <w:sz w:val="18"/>
          <w:lang w:val="ru-RU"/>
        </w:rPr>
        <w:t>*</w:t>
      </w:r>
      <w:r>
        <w:rPr>
          <w:sz w:val="18"/>
          <w:lang w:val="ru-RU"/>
        </w:rPr>
        <w:tab/>
      </w:r>
      <w:r>
        <w:rPr>
          <w:sz w:val="20"/>
          <w:lang w:val="ru-RU"/>
        </w:rPr>
        <w:t>Настоящий доклад выпускается без официального редактирования.</w:t>
      </w:r>
    </w:p>
    <w:p w:rsidR="00D80435" w:rsidRDefault="00D80435">
      <w:pPr>
        <w:pStyle w:val="FootnoteText"/>
        <w:tabs>
          <w:tab w:val="left" w:pos="567"/>
        </w:tabs>
        <w:spacing w:before="20" w:after="20"/>
        <w:ind w:left="567" w:hanging="567"/>
        <w:rPr>
          <w:sz w:val="18"/>
          <w:lang w:val="ru-RU"/>
        </w:rPr>
      </w:pPr>
      <w:r>
        <w:rPr>
          <w:sz w:val="20"/>
          <w:lang w:val="ru-RU"/>
        </w:rPr>
        <w:tab/>
        <w:t xml:space="preserve">Первоначальный доклад, представленный правительством Индии и рассмотренный Комитетом на двадцать второй сессии, см. в документе </w:t>
      </w:r>
      <w:r>
        <w:rPr>
          <w:sz w:val="20"/>
        </w:rPr>
        <w:t>CEDAW</w:t>
      </w:r>
      <w:r>
        <w:rPr>
          <w:sz w:val="20"/>
          <w:lang w:val="ru-RU"/>
        </w:rPr>
        <w:t>/</w:t>
      </w:r>
      <w:r>
        <w:rPr>
          <w:sz w:val="20"/>
        </w:rPr>
        <w:t>C</w:t>
      </w:r>
      <w:r>
        <w:rPr>
          <w:sz w:val="20"/>
          <w:lang w:val="ru-RU"/>
        </w:rPr>
        <w:t>/</w:t>
      </w:r>
      <w:r>
        <w:rPr>
          <w:sz w:val="20"/>
        </w:rPr>
        <w:t>IND</w:t>
      </w:r>
      <w:r>
        <w:rPr>
          <w:sz w:val="20"/>
          <w:lang w:val="ru-RU"/>
        </w:rPr>
        <w:t>/1.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435" w:rsidRDefault="00D80435">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87"/>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435"/>
    <w:rsid w:val="00D804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680"/>
        <w:tab w:val="left" w:pos="1361"/>
      </w:tabs>
      <w:spacing w:after="240"/>
      <w:jc w:val="both"/>
    </w:pPr>
    <w:rPr>
      <w:sz w:val="22"/>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ru-RU" w:eastAsia="ru-RU"/>
    </w:rPr>
  </w:style>
  <w:style w:type="paragraph" w:styleId="Heading2">
    <w:name w:val="heading 2"/>
    <w:basedOn w:val="Normal"/>
    <w:next w:val="Normal"/>
    <w:qFormat/>
    <w:pPr>
      <w:keepNext/>
      <w:outlineLvl w:val="1"/>
    </w:pPr>
    <w:rPr>
      <w:b/>
      <w:bCs/>
      <w:lang w:val="ru-RU"/>
    </w:rPr>
  </w:style>
  <w:style w:type="paragraph" w:styleId="Heading3">
    <w:name w:val="heading 3"/>
    <w:basedOn w:val="Normal"/>
    <w:next w:val="Normal"/>
    <w:qFormat/>
    <w:pPr>
      <w:keepNext/>
      <w:spacing w:before="240" w:after="60"/>
      <w:outlineLvl w:val="2"/>
    </w:pPr>
    <w:rPr>
      <w:rFonts w:ascii="Arial" w:hAnsi="Arial" w:cs="Arial"/>
      <w:b/>
      <w:bCs/>
      <w:sz w:val="26"/>
      <w:szCs w:val="26"/>
      <w:lang w:val="ru-RU" w:eastAsia="ru-RU"/>
    </w:rPr>
  </w:style>
  <w:style w:type="paragraph" w:styleId="Heading4">
    <w:name w:val="heading 4"/>
    <w:basedOn w:val="Normal"/>
    <w:next w:val="Normal"/>
    <w:qFormat/>
    <w:pPr>
      <w:keepNext/>
      <w:jc w:val="center"/>
      <w:outlineLvl w:val="3"/>
    </w:pPr>
    <w:rPr>
      <w:b/>
      <w:bCs/>
      <w:sz w:val="24"/>
      <w:lang w:val="ru-RU"/>
    </w:rPr>
  </w:style>
  <w:style w:type="paragraph" w:styleId="Heading5">
    <w:name w:val="heading 5"/>
    <w:basedOn w:val="Normal"/>
    <w:next w:val="Normal"/>
    <w:qFormat/>
    <w:pPr>
      <w:keepNext/>
      <w:outlineLvl w:val="4"/>
    </w:pPr>
    <w:rPr>
      <w:b/>
      <w:sz w:val="20"/>
      <w:lang w:val="ru-RU"/>
    </w:rPr>
  </w:style>
  <w:style w:type="paragraph" w:styleId="Heading6">
    <w:name w:val="heading 6"/>
    <w:basedOn w:val="Normal"/>
    <w:next w:val="Normal"/>
    <w:qFormat/>
    <w:pPr>
      <w:keepNext/>
      <w:outlineLvl w:val="5"/>
    </w:pPr>
    <w:rPr>
      <w:bCs/>
      <w:sz w:val="28"/>
    </w:rPr>
  </w:style>
  <w:style w:type="paragraph" w:styleId="Heading7">
    <w:name w:val="heading 7"/>
    <w:basedOn w:val="Normal"/>
    <w:next w:val="Normal"/>
    <w:qFormat/>
    <w:pPr>
      <w:keepNext/>
      <w:jc w:val="center"/>
      <w:outlineLvl w:val="6"/>
    </w:pPr>
    <w:rPr>
      <w:b/>
    </w:rPr>
  </w:style>
  <w:style w:type="paragraph" w:styleId="Heading8">
    <w:name w:val="heading 8"/>
    <w:basedOn w:val="Normal"/>
    <w:next w:val="Normal"/>
    <w:qFormat/>
    <w:pPr>
      <w:keepNext/>
      <w:outlineLvl w:val="7"/>
    </w:pPr>
    <w:rPr>
      <w:b/>
      <w:bCs/>
      <w:color w:val="000000"/>
      <w:lang w:val="ru-RU"/>
    </w:rPr>
  </w:style>
  <w:style w:type="paragraph" w:styleId="Heading9">
    <w:name w:val="heading 9"/>
    <w:basedOn w:val="Normal"/>
    <w:next w:val="Normal"/>
    <w:qFormat/>
    <w:pPr>
      <w:spacing w:before="240" w:after="60"/>
      <w:jc w:val="left"/>
      <w:outlineLvl w:val="8"/>
    </w:pPr>
    <w:rPr>
      <w:rFonts w:ascii="Arial" w:hAnsi="Arial" w:cs="Arial"/>
      <w:szCs w:val="22"/>
      <w:lang w:val="fr-FR"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28"/>
    </w:rPr>
  </w:style>
  <w:style w:type="paragraph" w:styleId="BodyText2">
    <w:name w:val="Body Text 2"/>
    <w:basedOn w:val="Normal"/>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paragraph" w:styleId="BodyText">
    <w:name w:val="Body Text"/>
    <w:aliases w:val="Обычный1"/>
    <w:basedOn w:val="Normal"/>
    <w:pPr>
      <w:spacing w:line="480" w:lineRule="auto"/>
    </w:pPr>
    <w:rPr>
      <w:b/>
      <w:color w:val="000000"/>
      <w:lang w:val="ru-RU"/>
    </w:rPr>
  </w:style>
  <w:style w:type="paragraph" w:styleId="BodyText3">
    <w:name w:val="Body Text 3"/>
    <w:basedOn w:val="Normal"/>
    <w:rPr>
      <w:b/>
      <w:lang w:val="ru-RU"/>
    </w:rPr>
  </w:style>
  <w:style w:type="paragraph" w:styleId="BodyTextIndent">
    <w:name w:val="Body Text Indent"/>
    <w:basedOn w:val="Normal"/>
    <w:pPr>
      <w:spacing w:before="240"/>
      <w:ind w:left="1080" w:hanging="360"/>
    </w:pPr>
    <w:rPr>
      <w:lang w:val="ru-RU" w:eastAsia="ru-RU"/>
    </w:rPr>
  </w:style>
  <w:style w:type="paragraph" w:styleId="BodyTextIndent2">
    <w:name w:val="Body Text Indent 2"/>
    <w:basedOn w:val="Normal"/>
    <w:pPr>
      <w:spacing w:before="240"/>
      <w:ind w:left="1080" w:hanging="1440"/>
    </w:pPr>
    <w:rPr>
      <w:lang w:val="ru-RU" w:eastAsia="ru-RU"/>
    </w:rPr>
  </w:style>
  <w:style w:type="paragraph" w:styleId="BodyTextIndent3">
    <w:name w:val="Body Text Indent 3"/>
    <w:basedOn w:val="Normal"/>
    <w:pPr>
      <w:spacing w:before="240"/>
      <w:ind w:left="1080"/>
    </w:pPr>
    <w:rPr>
      <w:lang w:val="ru-RU" w:eastAsia="ru-RU"/>
    </w:rPr>
  </w:style>
  <w:style w:type="paragraph" w:styleId="FootnoteText">
    <w:name w:val="footnote text"/>
    <w:basedOn w:val="Normal"/>
    <w:semiHidden/>
    <w:rPr>
      <w:szCs w:val="22"/>
    </w:rPr>
  </w:style>
  <w:style w:type="character" w:styleId="FootnoteReference">
    <w:name w:val="footnote reference"/>
    <w:semiHidden/>
    <w:rPr>
      <w:vertAlign w:val="superscript"/>
    </w:rPr>
  </w:style>
  <w:style w:type="character" w:styleId="PageNumber">
    <w:name w:val="page number"/>
    <w:basedOn w:val="DefaultParagraphFont"/>
  </w:style>
  <w:style w:type="paragraph" w:customStyle="1" w:styleId="Web">
    <w:name w:val="Обычный (Web)"/>
    <w:basedOn w:val="Normal"/>
    <w:pPr>
      <w:spacing w:before="100" w:beforeAutospacing="1" w:after="100" w:afterAutospacing="1"/>
    </w:pPr>
    <w:rPr>
      <w:rFonts w:ascii="Arial Unicode MS" w:eastAsia="Arial Unicode MS" w:hAnsi="Arial Unicode MS"/>
    </w:rPr>
  </w:style>
  <w:style w:type="character" w:customStyle="1" w:styleId="goohl2">
    <w:name w:val="goohl2"/>
    <w:basedOn w:val="DefaultParagraphFont"/>
  </w:style>
  <w:style w:type="character" w:customStyle="1" w:styleId="goohl3">
    <w:name w:val="goohl3"/>
    <w:basedOn w:val="DefaultParagraphFont"/>
  </w:style>
  <w:style w:type="character" w:styleId="CommentReference">
    <w:name w:val="annotation reference"/>
    <w:semiHidden/>
    <w:rPr>
      <w:sz w:val="6"/>
    </w:rPr>
  </w:style>
  <w:style w:type="paragraph" w:styleId="CommentText">
    <w:name w:val="annotation text"/>
    <w:basedOn w:val="Normal"/>
    <w:semiHidden/>
    <w:pPr>
      <w:tabs>
        <w:tab w:val="clear" w:pos="680"/>
        <w:tab w:val="clear" w:pos="1361"/>
      </w:tabs>
      <w:spacing w:after="0" w:line="240" w:lineRule="exact"/>
      <w:jc w:val="left"/>
    </w:pPr>
    <w:rPr>
      <w:spacing w:val="4"/>
      <w:w w:val="103"/>
      <w:kern w:val="14"/>
      <w:sz w:val="20"/>
      <w:lang w:val="ru-RU"/>
    </w:rPr>
  </w:style>
  <w:style w:type="paragraph" w:styleId="BalloonText">
    <w:name w:val="Balloon Text"/>
    <w:basedOn w:val="Normal"/>
    <w:semiHidden/>
    <w:rsid w:val="00D804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wmf"/><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56941</Words>
  <Characters>324567</Characters>
  <Application>Microsoft Office Word</Application>
  <DocSecurity>4</DocSecurity>
  <Lines>2704</Lines>
  <Paragraphs>761</Paragraphs>
  <ScaleCrop>false</ScaleCrop>
  <HeadingPairs>
    <vt:vector size="2" baseType="variant">
      <vt:variant>
        <vt:lpstr>Title</vt:lpstr>
      </vt:variant>
      <vt:variant>
        <vt:i4>1</vt:i4>
      </vt:variant>
    </vt:vector>
  </HeadingPairs>
  <TitlesOfParts>
    <vt:vector size="1" baseType="lpstr">
      <vt:lpstr>      </vt:lpstr>
    </vt:vector>
  </TitlesOfParts>
  <Company>home</Company>
  <LinksUpToDate>false</LinksUpToDate>
  <CharactersWithSpaces>380747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Александр</dc:creator>
  <cp:keywords/>
  <dc:description/>
  <cp:lastModifiedBy>Maria.Griaznova_2</cp:lastModifiedBy>
  <cp:revision>8</cp:revision>
  <cp:lastPrinted>2006-01-12T06:48:00Z</cp:lastPrinted>
  <dcterms:created xsi:type="dcterms:W3CDTF">2006-01-12T06:33:00Z</dcterms:created>
  <dcterms:modified xsi:type="dcterms:W3CDTF">2007-01-24T13:44:00Z</dcterms:modified>
</cp:coreProperties>
</file>