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1701" w:h="354" w:hRule="exact" w:hSpace="181" w:wrap="notBeside" w:vAnchor="page" w:hAnchor="page" w:x="1307" w:y="1106" w:anchorLock="1"/>
        <w:spacing w:line="360" w:lineRule="exact"/>
      </w:pPr>
      <w:r>
        <w:rPr>
          <w:rFonts w:hint="eastAsia"/>
          <w:spacing w:val="80"/>
          <w:kern w:val="30"/>
          <w:sz w:val="30"/>
        </w:rPr>
        <w:t>联合国</w:t>
      </w:r>
    </w:p>
    <w:p w:rsidR="00000000" w:rsidRDefault="00000000">
      <w:pPr>
        <w:pStyle w:val="2"/>
        <w:framePr w:h="455" w:hRule="exact" w:wrap="notBeside" w:x="4311" w:y="1210"/>
        <w:spacing w:line="360" w:lineRule="exact"/>
        <w:rPr>
          <w:color w:val="auto"/>
        </w:rPr>
      </w:pPr>
      <w:r>
        <w:rPr>
          <w:b/>
          <w:color w:val="auto"/>
          <w:kern w:val="38"/>
          <w:sz w:val="32"/>
        </w:rPr>
        <w:t>CEDAW</w:t>
      </w:r>
      <w:r>
        <w:rPr>
          <w:rFonts w:hint="eastAsia"/>
          <w:color w:val="auto"/>
          <w:kern w:val="38"/>
        </w:rPr>
        <w:t>/</w:t>
      </w:r>
      <w:r>
        <w:rPr>
          <w:color w:val="auto"/>
          <w:kern w:val="38"/>
        </w:rPr>
        <w:t>C</w:t>
      </w:r>
      <w:r>
        <w:rPr>
          <w:rFonts w:hint="eastAsia"/>
          <w:color w:val="auto"/>
          <w:kern w:val="38"/>
        </w:rPr>
        <w:t>/</w:t>
      </w:r>
      <w:r>
        <w:rPr>
          <w:color w:val="auto"/>
          <w:kern w:val="38"/>
        </w:rPr>
        <w:t>DEN</w:t>
      </w:r>
      <w:r>
        <w:rPr>
          <w:rFonts w:hint="eastAsia"/>
          <w:color w:val="auto"/>
          <w:kern w:val="38"/>
        </w:rPr>
        <w:t>/</w:t>
      </w:r>
      <w:r>
        <w:rPr>
          <w:color w:val="auto"/>
          <w:kern w:val="38"/>
        </w:rPr>
        <w:t>5</w:t>
      </w:r>
    </w:p>
    <w:p w:rsidR="00000000" w:rsidRDefault="00000000">
      <w:pPr>
        <w:framePr w:w="4814" w:h="726" w:hRule="exact" w:hSpace="181" w:wrap="auto" w:vAnchor="text" w:hAnchor="page" w:x="2391" w:y="207"/>
        <w:spacing w:line="360" w:lineRule="exact"/>
        <w:jc w:val="left"/>
        <w:rPr>
          <w:rFonts w:ascii="SimHei" w:eastAsia="SimHei"/>
          <w:b/>
          <w:sz w:val="52"/>
        </w:rPr>
      </w:pPr>
      <w:r>
        <w:rPr>
          <w:rFonts w:ascii="SimHei" w:eastAsia="SimHei" w:hint="eastAsia"/>
          <w:b/>
          <w:sz w:val="34"/>
        </w:rPr>
        <w:t>消除对妇女一切形式歧视公约</w:t>
      </w:r>
    </w:p>
    <w:p w:rsidR="00000000" w:rsidRDefault="00000000">
      <w:pPr>
        <w:pStyle w:val="5"/>
        <w:framePr w:w="2852" w:wrap="notBeside" w:x="8151" w:y="1834"/>
        <w:spacing w:line="360" w:lineRule="exact"/>
        <w:rPr>
          <w:color w:val="auto"/>
          <w:spacing w:val="10"/>
        </w:rPr>
      </w:pPr>
      <w:r>
        <w:rPr>
          <w:color w:val="auto"/>
          <w:spacing w:val="10"/>
        </w:rPr>
        <w:t>Distr.: GENERAL</w:t>
      </w:r>
    </w:p>
    <w:p w:rsidR="00000000" w:rsidRDefault="00000000">
      <w:pPr>
        <w:pStyle w:val="5"/>
        <w:framePr w:w="2852" w:wrap="notBeside" w:x="8151" w:y="1834"/>
        <w:spacing w:line="360" w:lineRule="exact"/>
        <w:rPr>
          <w:color w:val="auto"/>
          <w:spacing w:val="10"/>
        </w:rPr>
      </w:pPr>
      <w:r>
        <w:rPr>
          <w:color w:val="auto"/>
          <w:spacing w:val="10"/>
        </w:rPr>
        <w:t>3 July 2000</w:t>
      </w:r>
    </w:p>
    <w:p w:rsidR="00000000" w:rsidRDefault="00000000">
      <w:pPr>
        <w:pStyle w:val="5"/>
        <w:framePr w:w="2852" w:wrap="notBeside" w:x="8151" w:y="1834"/>
        <w:spacing w:line="360" w:lineRule="exact"/>
        <w:rPr>
          <w:color w:val="auto"/>
          <w:spacing w:val="10"/>
        </w:rPr>
      </w:pPr>
      <w:r>
        <w:rPr>
          <w:color w:val="auto"/>
          <w:spacing w:val="10"/>
        </w:rPr>
        <w:t>Chinese</w:t>
      </w:r>
    </w:p>
    <w:p w:rsidR="00000000" w:rsidRDefault="00000000">
      <w:pPr>
        <w:pStyle w:val="5"/>
        <w:framePr w:w="2852" w:wrap="notBeside" w:x="8151" w:y="1834"/>
        <w:spacing w:line="360" w:lineRule="exact"/>
        <w:rPr>
          <w:color w:val="auto"/>
          <w:spacing w:val="10"/>
        </w:rPr>
      </w:pPr>
      <w:r>
        <w:rPr>
          <w:color w:val="auto"/>
          <w:spacing w:val="10"/>
        </w:rPr>
        <w:t>Original: English</w:t>
      </w:r>
    </w:p>
    <w:p w:rsidR="00000000" w:rsidRDefault="00000000">
      <w:pPr>
        <w:pStyle w:val="3"/>
        <w:framePr w:wrap="notBeside"/>
        <w:spacing w:line="360" w:lineRule="exact"/>
        <w:rPr>
          <w:color w:val="auto"/>
        </w:rPr>
      </w:pPr>
    </w:p>
    <w:p w:rsidR="00000000" w:rsidRDefault="00000000">
      <w:pPr>
        <w:framePr w:hSpace="181" w:wrap="around" w:vAnchor="text" w:hAnchor="page" w:x="1071" w:y="102"/>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9.5pt">
            <v:imagedata r:id="rId7" o:title=""/>
          </v:shape>
        </w:pict>
      </w:r>
    </w:p>
    <w:p w:rsidR="00000000" w:rsidRDefault="00000000">
      <w:pPr>
        <w:spacing w:line="360" w:lineRule="exact"/>
        <w:rPr>
          <w:rFonts w:ascii="SimHei" w:eastAsia="SimHei"/>
          <w:sz w:val="24"/>
        </w:rPr>
      </w:pPr>
      <w:r>
        <w:rPr>
          <w:rFonts w:ascii="SimHei" w:eastAsia="SimHei" w:hint="eastAsia"/>
          <w:sz w:val="24"/>
        </w:rPr>
        <w:t>消除对妇女歧视委员会</w:t>
      </w:r>
    </w:p>
    <w:p w:rsidR="00000000" w:rsidRDefault="00000000">
      <w:pPr>
        <w:pStyle w:val="6"/>
        <w:framePr w:wrap="notBeside" w:hAnchor="page" w:x="1187" w:y="3914"/>
        <w:pBdr>
          <w:top w:val="single" w:sz="18" w:space="1" w:color="auto"/>
        </w:pBdr>
        <w:spacing w:line="360" w:lineRule="exact"/>
        <w:rPr>
          <w:color w:val="auto"/>
        </w:rPr>
      </w:pPr>
    </w:p>
    <w:p w:rsidR="00000000" w:rsidRDefault="00000000">
      <w:pPr>
        <w:spacing w:line="360" w:lineRule="exact"/>
        <w:jc w:val="center"/>
        <w:rPr>
          <w:rFonts w:ascii="SimHei" w:eastAsia="SimHei"/>
          <w:sz w:val="28"/>
        </w:rPr>
      </w:pPr>
      <w:r>
        <w:rPr>
          <w:rStyle w:val="CommentReference"/>
          <w:rFonts w:hint="eastAsia"/>
          <w:vanish/>
        </w:rPr>
        <w:commentReference w:id="0"/>
      </w:r>
    </w:p>
    <w:p w:rsidR="00000000" w:rsidRDefault="00000000">
      <w:pPr>
        <w:spacing w:line="360" w:lineRule="exact"/>
        <w:jc w:val="center"/>
        <w:rPr>
          <w:rFonts w:ascii="SimHei" w:eastAsia="SimHei"/>
          <w:sz w:val="28"/>
        </w:rPr>
      </w:pPr>
    </w:p>
    <w:p w:rsidR="00000000" w:rsidRDefault="00000000">
      <w:pPr>
        <w:spacing w:after="240" w:line="360" w:lineRule="exact"/>
        <w:jc w:val="center"/>
        <w:rPr>
          <w:rFonts w:ascii="SimHei" w:eastAsia="SimHei"/>
          <w:sz w:val="28"/>
        </w:rPr>
      </w:pPr>
      <w:r>
        <w:rPr>
          <w:rFonts w:ascii="SimHei" w:eastAsia="SimHei" w:hint="eastAsia"/>
          <w:sz w:val="28"/>
        </w:rPr>
        <w:t>审议缔约国依照《消除对妇女一切形式歧视公约》第</w:t>
      </w:r>
      <w:r>
        <w:rPr>
          <w:rFonts w:ascii="SimHei" w:eastAsia="SimHei"/>
          <w:sz w:val="28"/>
        </w:rPr>
        <w:t>18</w:t>
      </w:r>
      <w:r>
        <w:rPr>
          <w:rFonts w:ascii="SimHei" w:eastAsia="SimHei" w:hint="eastAsia"/>
          <w:sz w:val="28"/>
        </w:rPr>
        <w:t>条提交的报告</w:t>
      </w:r>
    </w:p>
    <w:p w:rsidR="00000000" w:rsidRDefault="00000000">
      <w:pPr>
        <w:spacing w:after="240" w:line="360" w:lineRule="exact"/>
        <w:jc w:val="center"/>
        <w:rPr>
          <w:rFonts w:ascii="SimHei" w:eastAsia="SimHei"/>
          <w:sz w:val="28"/>
        </w:rPr>
      </w:pPr>
    </w:p>
    <w:p w:rsidR="00000000" w:rsidRDefault="00000000">
      <w:pPr>
        <w:spacing w:after="240" w:line="360" w:lineRule="exact"/>
        <w:jc w:val="center"/>
        <w:rPr>
          <w:rFonts w:ascii="SimHei" w:eastAsia="SimHei"/>
          <w:sz w:val="28"/>
        </w:rPr>
      </w:pPr>
      <w:r>
        <w:rPr>
          <w:rFonts w:ascii="SimHei" w:eastAsia="SimHei" w:hint="eastAsia"/>
          <w:sz w:val="28"/>
        </w:rPr>
        <w:t>缔约国的第五次定期报告</w:t>
      </w:r>
    </w:p>
    <w:p w:rsidR="00000000" w:rsidRDefault="00000000">
      <w:pPr>
        <w:spacing w:after="240" w:line="360" w:lineRule="exact"/>
        <w:ind w:right="20"/>
        <w:jc w:val="center"/>
      </w:pPr>
    </w:p>
    <w:p w:rsidR="00000000" w:rsidRDefault="00000000">
      <w:pPr>
        <w:spacing w:after="240" w:line="360" w:lineRule="exact"/>
        <w:ind w:right="20"/>
        <w:jc w:val="center"/>
        <w:rPr>
          <w:rFonts w:ascii="SimHei" w:eastAsia="SimHei"/>
          <w:sz w:val="28"/>
        </w:rPr>
      </w:pPr>
    </w:p>
    <w:p w:rsidR="00000000" w:rsidRDefault="00000000">
      <w:pPr>
        <w:spacing w:after="240" w:line="360" w:lineRule="exact"/>
        <w:ind w:right="20"/>
        <w:jc w:val="center"/>
        <w:rPr>
          <w:rFonts w:ascii="SimHei" w:eastAsia="SimHei"/>
          <w:sz w:val="28"/>
        </w:rPr>
      </w:pPr>
    </w:p>
    <w:p w:rsidR="00000000" w:rsidRDefault="00000000">
      <w:pPr>
        <w:spacing w:after="240" w:line="360" w:lineRule="exact"/>
        <w:ind w:right="20"/>
        <w:jc w:val="center"/>
        <w:rPr>
          <w:rFonts w:ascii="SimHei" w:eastAsia="SimHei"/>
          <w:sz w:val="28"/>
        </w:rPr>
      </w:pPr>
      <w:r>
        <w:rPr>
          <w:rFonts w:ascii="SimHei" w:eastAsia="SimHei" w:hint="eastAsia"/>
          <w:sz w:val="28"/>
        </w:rPr>
        <w:t>丹麦</w:t>
      </w:r>
      <w:r>
        <w:rPr>
          <w:rStyle w:val="FootnoteReference"/>
          <w:rFonts w:ascii="SimHei" w:eastAsia="SimHei"/>
          <w:sz w:val="28"/>
        </w:rPr>
        <w:footnoteReference w:customMarkFollows="1" w:id="1"/>
        <w:t>*</w:t>
      </w:r>
      <w:r>
        <w:rPr>
          <w:rFonts w:ascii="SimHei" w:eastAsia="SimHei"/>
          <w:sz w:val="28"/>
        </w:rPr>
        <w:t xml:space="preserve"> </w:t>
      </w:r>
    </w:p>
    <w:p w:rsidR="00000000" w:rsidRDefault="00000000">
      <w:pPr>
        <w:spacing w:after="240" w:line="360" w:lineRule="exact"/>
        <w:ind w:firstLine="425"/>
        <w:jc w:val="center"/>
        <w:rPr>
          <w:rFonts w:eastAsia="SimHei"/>
          <w:sz w:val="28"/>
        </w:rPr>
      </w:pPr>
      <w:r>
        <w:rPr>
          <w:rFonts w:ascii="SimHei" w:eastAsia="SimHei"/>
          <w:sz w:val="28"/>
        </w:rPr>
        <w:br w:type="page"/>
      </w:r>
      <w:r>
        <w:rPr>
          <w:rFonts w:eastAsia="SimHei" w:hint="eastAsia"/>
          <w:sz w:val="28"/>
        </w:rPr>
        <w:t>目录</w:t>
      </w:r>
    </w:p>
    <w:p w:rsidR="00000000" w:rsidRDefault="00000000">
      <w:pPr>
        <w:spacing w:after="240" w:line="360" w:lineRule="exact"/>
      </w:pPr>
      <w:r>
        <w:rPr>
          <w:rFonts w:hint="eastAsia"/>
        </w:rPr>
        <w:t>导言</w:t>
      </w:r>
    </w:p>
    <w:p w:rsidR="00000000" w:rsidRDefault="00000000">
      <w:pPr>
        <w:tabs>
          <w:tab w:val="right" w:leader="dot" w:pos="9240"/>
          <w:tab w:val="right" w:leader="dot" w:pos="13608"/>
          <w:tab w:val="right" w:leader="dot" w:pos="27216"/>
        </w:tabs>
        <w:spacing w:after="240" w:line="360" w:lineRule="exact"/>
        <w:rPr>
          <w:rFonts w:hint="eastAsia"/>
        </w:rPr>
      </w:pPr>
      <w:r>
        <w:rPr>
          <w:rFonts w:hint="eastAsia"/>
        </w:rPr>
        <w:t>第一章：平等工作的框架</w:t>
      </w:r>
      <w:r>
        <w:tab/>
      </w:r>
      <w:r>
        <w:rPr>
          <w:rFonts w:hint="eastAsia"/>
        </w:rPr>
        <w:t>6</w:t>
      </w:r>
    </w:p>
    <w:p w:rsidR="00000000" w:rsidRDefault="00000000">
      <w:pPr>
        <w:tabs>
          <w:tab w:val="right" w:leader="dot" w:pos="9240"/>
          <w:tab w:val="right" w:leader="dot" w:pos="13608"/>
          <w:tab w:val="right" w:leader="dot" w:pos="17010"/>
          <w:tab w:val="right" w:pos="27216"/>
        </w:tabs>
        <w:spacing w:after="240" w:line="360" w:lineRule="exact"/>
        <w:ind w:firstLine="425"/>
        <w:rPr>
          <w:rFonts w:hint="eastAsia"/>
        </w:rPr>
      </w:pPr>
      <w:r>
        <w:rPr>
          <w:rFonts w:hint="eastAsia"/>
        </w:rPr>
        <w:t>基础</w:t>
      </w:r>
      <w:r>
        <w:tab/>
      </w:r>
      <w:r>
        <w:rPr>
          <w:rFonts w:hint="eastAsia"/>
        </w:rPr>
        <w:t>6</w:t>
      </w:r>
    </w:p>
    <w:p w:rsidR="00000000" w:rsidRDefault="00000000">
      <w:pPr>
        <w:tabs>
          <w:tab w:val="right" w:leader="dot" w:pos="9242"/>
        </w:tabs>
        <w:spacing w:after="240" w:line="360" w:lineRule="exact"/>
        <w:ind w:firstLine="425"/>
        <w:rPr>
          <w:rFonts w:hint="eastAsia"/>
        </w:rPr>
      </w:pPr>
      <w:r>
        <w:rPr>
          <w:rFonts w:hint="eastAsia"/>
        </w:rPr>
        <w:t>宪法和立法</w:t>
      </w:r>
      <w:r>
        <w:tab/>
      </w:r>
      <w:r>
        <w:rPr>
          <w:rFonts w:hint="eastAsia"/>
        </w:rPr>
        <w:t>6</w:t>
      </w:r>
    </w:p>
    <w:p w:rsidR="00000000" w:rsidRDefault="00000000">
      <w:pPr>
        <w:tabs>
          <w:tab w:val="right" w:leader="dot" w:pos="9242"/>
        </w:tabs>
        <w:spacing w:after="240" w:line="360" w:lineRule="exact"/>
        <w:ind w:firstLine="425"/>
        <w:rPr>
          <w:rFonts w:hint="eastAsia"/>
        </w:rPr>
      </w:pPr>
      <w:r>
        <w:rPr>
          <w:rFonts w:hint="eastAsia"/>
        </w:rPr>
        <w:t>国家政策</w:t>
      </w:r>
      <w:r>
        <w:tab/>
      </w:r>
      <w:r>
        <w:rPr>
          <w:rFonts w:hint="eastAsia"/>
        </w:rPr>
        <w:t>7</w:t>
      </w:r>
    </w:p>
    <w:p w:rsidR="00000000" w:rsidRDefault="00000000">
      <w:pPr>
        <w:tabs>
          <w:tab w:val="right" w:leader="dot" w:pos="9242"/>
        </w:tabs>
        <w:spacing w:after="240" w:line="360" w:lineRule="exact"/>
        <w:ind w:firstLine="425"/>
        <w:rPr>
          <w:rFonts w:hint="eastAsia"/>
        </w:rPr>
      </w:pPr>
      <w:r>
        <w:rPr>
          <w:rFonts w:hint="eastAsia"/>
        </w:rPr>
        <w:t>平等机构和临时措施</w:t>
      </w:r>
      <w:r>
        <w:tab/>
      </w:r>
      <w:r>
        <w:rPr>
          <w:rFonts w:hint="eastAsia"/>
        </w:rPr>
        <w:t>8</w:t>
      </w:r>
    </w:p>
    <w:p w:rsidR="00000000" w:rsidRDefault="00000000">
      <w:pPr>
        <w:tabs>
          <w:tab w:val="right" w:leader="dot" w:pos="9242"/>
        </w:tabs>
        <w:spacing w:after="240" w:line="360" w:lineRule="exact"/>
        <w:ind w:firstLine="425"/>
        <w:rPr>
          <w:rFonts w:hint="eastAsia"/>
        </w:rPr>
      </w:pPr>
      <w:r>
        <w:rPr>
          <w:rFonts w:hint="eastAsia"/>
        </w:rPr>
        <w:t>优先重点</w:t>
      </w:r>
      <w:r>
        <w:tab/>
      </w:r>
      <w:r>
        <w:rPr>
          <w:rFonts w:hint="eastAsia"/>
        </w:rPr>
        <w:t>11</w:t>
      </w:r>
    </w:p>
    <w:p w:rsidR="00000000" w:rsidRDefault="00000000">
      <w:pPr>
        <w:tabs>
          <w:tab w:val="right" w:leader="dot" w:pos="9242"/>
        </w:tabs>
        <w:spacing w:after="240" w:line="360" w:lineRule="exact"/>
        <w:ind w:firstLine="425"/>
        <w:rPr>
          <w:rFonts w:hint="eastAsia"/>
        </w:rPr>
      </w:pPr>
      <w:r>
        <w:rPr>
          <w:rFonts w:hint="eastAsia"/>
        </w:rPr>
        <w:t>特别问题</w:t>
      </w:r>
      <w:r>
        <w:tab/>
      </w:r>
      <w:r>
        <w:rPr>
          <w:rFonts w:hint="eastAsia"/>
        </w:rPr>
        <w:t>12</w:t>
      </w:r>
    </w:p>
    <w:p w:rsidR="00000000" w:rsidRDefault="00000000">
      <w:pPr>
        <w:tabs>
          <w:tab w:val="right" w:leader="dot" w:pos="9242"/>
        </w:tabs>
        <w:spacing w:after="240" w:line="360" w:lineRule="exact"/>
        <w:rPr>
          <w:rFonts w:hint="eastAsia"/>
        </w:rPr>
      </w:pPr>
      <w:r>
        <w:rPr>
          <w:rFonts w:hint="eastAsia"/>
        </w:rPr>
        <w:t>第二章：公共生活</w:t>
      </w:r>
      <w:r>
        <w:tab/>
      </w:r>
      <w:r>
        <w:rPr>
          <w:rFonts w:hint="eastAsia"/>
        </w:rPr>
        <w:t>13</w:t>
      </w:r>
    </w:p>
    <w:p w:rsidR="00000000" w:rsidRDefault="00000000">
      <w:pPr>
        <w:tabs>
          <w:tab w:val="right" w:leader="dot" w:pos="9242"/>
        </w:tabs>
        <w:spacing w:after="240" w:line="360" w:lineRule="exact"/>
        <w:ind w:firstLine="425"/>
        <w:rPr>
          <w:rFonts w:hint="eastAsia"/>
        </w:rPr>
      </w:pPr>
      <w:r>
        <w:rPr>
          <w:rFonts w:hint="eastAsia"/>
        </w:rPr>
        <w:t>政治权利与参与</w:t>
      </w:r>
      <w:r>
        <w:tab/>
      </w:r>
      <w:r>
        <w:rPr>
          <w:rFonts w:hint="eastAsia"/>
        </w:rPr>
        <w:t>13</w:t>
      </w:r>
    </w:p>
    <w:p w:rsidR="00000000" w:rsidRDefault="00000000">
      <w:pPr>
        <w:tabs>
          <w:tab w:val="right" w:leader="dot" w:pos="9242"/>
        </w:tabs>
        <w:spacing w:after="240" w:line="360" w:lineRule="exact"/>
        <w:ind w:firstLine="425"/>
        <w:rPr>
          <w:rFonts w:hint="eastAsia"/>
        </w:rPr>
      </w:pPr>
      <w:r>
        <w:rPr>
          <w:rFonts w:hint="eastAsia"/>
        </w:rPr>
        <w:t>参与公职部门工作</w:t>
      </w:r>
      <w:r>
        <w:tab/>
      </w:r>
      <w:r>
        <w:rPr>
          <w:rFonts w:hint="eastAsia"/>
        </w:rPr>
        <w:t>16</w:t>
      </w:r>
    </w:p>
    <w:p w:rsidR="00000000" w:rsidRDefault="00000000">
      <w:pPr>
        <w:tabs>
          <w:tab w:val="right" w:leader="dot" w:pos="9242"/>
        </w:tabs>
        <w:spacing w:after="240" w:line="360" w:lineRule="exact"/>
        <w:ind w:firstLine="425"/>
        <w:rPr>
          <w:rFonts w:hint="eastAsia"/>
        </w:rPr>
      </w:pPr>
      <w:r>
        <w:rPr>
          <w:rFonts w:hint="eastAsia"/>
        </w:rPr>
        <w:t>代表政府</w:t>
      </w:r>
      <w:r>
        <w:tab/>
      </w:r>
      <w:r>
        <w:rPr>
          <w:rFonts w:hint="eastAsia"/>
        </w:rPr>
        <w:t>17</w:t>
      </w:r>
    </w:p>
    <w:p w:rsidR="00000000" w:rsidRDefault="00000000">
      <w:pPr>
        <w:tabs>
          <w:tab w:val="right" w:leader="dot" w:pos="9242"/>
        </w:tabs>
        <w:spacing w:after="240" w:line="360" w:lineRule="exact"/>
        <w:ind w:firstLine="425"/>
        <w:rPr>
          <w:rFonts w:hint="eastAsia"/>
        </w:rPr>
      </w:pPr>
      <w:r>
        <w:rPr>
          <w:rFonts w:hint="eastAsia"/>
        </w:rPr>
        <w:t>国籍</w:t>
      </w:r>
      <w:r>
        <w:tab/>
      </w:r>
      <w:r>
        <w:rPr>
          <w:rFonts w:hint="eastAsia"/>
        </w:rPr>
        <w:t>17</w:t>
      </w:r>
    </w:p>
    <w:p w:rsidR="00000000" w:rsidRDefault="00000000">
      <w:pPr>
        <w:tabs>
          <w:tab w:val="right" w:leader="dot" w:pos="9242"/>
        </w:tabs>
        <w:spacing w:after="240" w:line="360" w:lineRule="exact"/>
        <w:rPr>
          <w:rFonts w:hint="eastAsia"/>
        </w:rPr>
      </w:pPr>
      <w:r>
        <w:rPr>
          <w:rFonts w:hint="eastAsia"/>
        </w:rPr>
        <w:t>第三章：教育</w:t>
      </w:r>
      <w:r>
        <w:tab/>
      </w:r>
      <w:r>
        <w:rPr>
          <w:rFonts w:hint="eastAsia"/>
        </w:rPr>
        <w:t>19</w:t>
      </w:r>
    </w:p>
    <w:p w:rsidR="00000000" w:rsidRDefault="00000000">
      <w:pPr>
        <w:tabs>
          <w:tab w:val="right" w:leader="dot" w:pos="9242"/>
        </w:tabs>
        <w:spacing w:after="240" w:line="360" w:lineRule="exact"/>
        <w:ind w:firstLine="425"/>
        <w:rPr>
          <w:rFonts w:hint="eastAsia"/>
        </w:rPr>
      </w:pPr>
      <w:r>
        <w:rPr>
          <w:rFonts w:hint="eastAsia"/>
        </w:rPr>
        <w:t>教育机会</w:t>
      </w:r>
      <w:r>
        <w:tab/>
      </w:r>
      <w:r>
        <w:rPr>
          <w:rFonts w:hint="eastAsia"/>
        </w:rPr>
        <w:t>19</w:t>
      </w:r>
    </w:p>
    <w:p w:rsidR="00000000" w:rsidRDefault="00000000">
      <w:pPr>
        <w:tabs>
          <w:tab w:val="right" w:leader="dot" w:pos="9242"/>
        </w:tabs>
        <w:spacing w:after="240" w:line="360" w:lineRule="exact"/>
        <w:ind w:firstLine="425"/>
        <w:rPr>
          <w:rFonts w:hint="eastAsia"/>
        </w:rPr>
      </w:pPr>
      <w:r>
        <w:rPr>
          <w:rFonts w:hint="eastAsia"/>
        </w:rPr>
        <w:t>小学和初中</w:t>
      </w:r>
      <w:r>
        <w:tab/>
      </w:r>
      <w:r>
        <w:rPr>
          <w:rFonts w:hint="eastAsia"/>
        </w:rPr>
        <w:t>20</w:t>
      </w:r>
    </w:p>
    <w:p w:rsidR="00000000" w:rsidRDefault="00000000">
      <w:pPr>
        <w:tabs>
          <w:tab w:val="right" w:leader="dot" w:pos="9240"/>
        </w:tabs>
        <w:spacing w:after="240" w:line="360" w:lineRule="exact"/>
        <w:ind w:firstLine="425"/>
        <w:rPr>
          <w:rFonts w:hint="eastAsia"/>
        </w:rPr>
      </w:pPr>
      <w:r>
        <w:rPr>
          <w:rFonts w:hint="eastAsia"/>
        </w:rPr>
        <w:t>高中教育和职业培训</w:t>
      </w:r>
      <w:r>
        <w:tab/>
      </w:r>
      <w:r>
        <w:rPr>
          <w:rFonts w:hint="eastAsia"/>
        </w:rPr>
        <w:t>20</w:t>
      </w:r>
    </w:p>
    <w:p w:rsidR="00000000" w:rsidRDefault="00000000">
      <w:pPr>
        <w:tabs>
          <w:tab w:val="right" w:leader="dot" w:pos="9242"/>
        </w:tabs>
        <w:spacing w:after="240" w:line="360" w:lineRule="exact"/>
        <w:ind w:firstLine="425"/>
        <w:rPr>
          <w:rFonts w:hint="eastAsia"/>
        </w:rPr>
      </w:pPr>
      <w:r>
        <w:rPr>
          <w:rFonts w:hint="eastAsia"/>
        </w:rPr>
        <w:t>进修和高等教育</w:t>
      </w:r>
      <w:r>
        <w:tab/>
      </w:r>
      <w:r>
        <w:rPr>
          <w:rFonts w:hint="eastAsia"/>
        </w:rPr>
        <w:t>21</w:t>
      </w:r>
    </w:p>
    <w:p w:rsidR="00000000" w:rsidRDefault="00000000">
      <w:pPr>
        <w:tabs>
          <w:tab w:val="right" w:leader="dot" w:pos="9242"/>
        </w:tabs>
        <w:spacing w:after="240" w:line="360" w:lineRule="exact"/>
        <w:ind w:firstLine="425"/>
        <w:rPr>
          <w:rFonts w:hint="eastAsia"/>
        </w:rPr>
      </w:pPr>
      <w:r>
        <w:rPr>
          <w:rFonts w:hint="eastAsia"/>
        </w:rPr>
        <w:t>成人教育和终身学习</w:t>
      </w:r>
      <w:r>
        <w:tab/>
      </w:r>
      <w:r>
        <w:rPr>
          <w:rFonts w:hint="eastAsia"/>
        </w:rPr>
        <w:t>22</w:t>
      </w:r>
    </w:p>
    <w:p w:rsidR="00000000" w:rsidRDefault="00000000">
      <w:pPr>
        <w:tabs>
          <w:tab w:val="right" w:leader="dot" w:pos="9242"/>
        </w:tabs>
        <w:spacing w:after="240" w:line="360" w:lineRule="exact"/>
        <w:rPr>
          <w:rFonts w:hint="eastAsia"/>
        </w:rPr>
      </w:pPr>
      <w:r>
        <w:rPr>
          <w:rFonts w:hint="eastAsia"/>
        </w:rPr>
        <w:t>第四章：劳动力市场</w:t>
      </w:r>
      <w:r>
        <w:tab/>
      </w:r>
      <w:r>
        <w:rPr>
          <w:rFonts w:hint="eastAsia"/>
        </w:rPr>
        <w:t>24</w:t>
      </w:r>
    </w:p>
    <w:p w:rsidR="00000000" w:rsidRDefault="00000000">
      <w:pPr>
        <w:tabs>
          <w:tab w:val="right" w:leader="dot" w:pos="9242"/>
        </w:tabs>
        <w:spacing w:after="240" w:line="360" w:lineRule="exact"/>
        <w:ind w:firstLine="425"/>
        <w:rPr>
          <w:rFonts w:hint="eastAsia"/>
        </w:rPr>
      </w:pPr>
      <w:r>
        <w:rPr>
          <w:rFonts w:hint="eastAsia"/>
        </w:rPr>
        <w:t>劳动力市场的状况</w:t>
      </w:r>
      <w:r>
        <w:tab/>
      </w:r>
      <w:r>
        <w:rPr>
          <w:rFonts w:hint="eastAsia"/>
        </w:rPr>
        <w:t>24</w:t>
      </w:r>
    </w:p>
    <w:p w:rsidR="00000000" w:rsidRDefault="00000000">
      <w:pPr>
        <w:tabs>
          <w:tab w:val="right" w:leader="dot" w:pos="9242"/>
        </w:tabs>
        <w:spacing w:after="240" w:line="360" w:lineRule="exact"/>
        <w:ind w:firstLine="425"/>
        <w:rPr>
          <w:rFonts w:hint="eastAsia"/>
        </w:rPr>
      </w:pPr>
      <w:r>
        <w:rPr>
          <w:rFonts w:hint="eastAsia"/>
        </w:rPr>
        <w:t>提供就业机会的措施</w:t>
      </w:r>
      <w:r>
        <w:tab/>
      </w:r>
      <w:r>
        <w:rPr>
          <w:rFonts w:hint="eastAsia"/>
        </w:rPr>
        <w:t>26</w:t>
      </w:r>
    </w:p>
    <w:p w:rsidR="00000000" w:rsidRDefault="00000000">
      <w:pPr>
        <w:tabs>
          <w:tab w:val="right" w:leader="dot" w:pos="9242"/>
        </w:tabs>
        <w:spacing w:after="240" w:line="360" w:lineRule="exact"/>
        <w:ind w:firstLine="425"/>
        <w:rPr>
          <w:rFonts w:hint="eastAsia"/>
        </w:rPr>
      </w:pPr>
      <w:r>
        <w:rPr>
          <w:rFonts w:hint="eastAsia"/>
        </w:rPr>
        <w:t>女企业主</w:t>
      </w:r>
      <w:r>
        <w:tab/>
      </w:r>
      <w:r>
        <w:rPr>
          <w:rFonts w:hint="eastAsia"/>
        </w:rPr>
        <w:t>28</w:t>
      </w:r>
    </w:p>
    <w:p w:rsidR="00000000" w:rsidRDefault="00000000">
      <w:pPr>
        <w:tabs>
          <w:tab w:val="right" w:leader="dot" w:pos="9242"/>
        </w:tabs>
        <w:spacing w:after="240" w:line="360" w:lineRule="exact"/>
        <w:ind w:firstLine="425"/>
        <w:rPr>
          <w:rFonts w:hint="eastAsia"/>
        </w:rPr>
      </w:pPr>
      <w:r>
        <w:rPr>
          <w:rFonts w:hint="eastAsia"/>
        </w:rPr>
        <w:t>养恤金</w:t>
      </w:r>
      <w:r>
        <w:tab/>
      </w:r>
      <w:r>
        <w:rPr>
          <w:rFonts w:hint="eastAsia"/>
        </w:rPr>
        <w:t>31</w:t>
      </w:r>
    </w:p>
    <w:p w:rsidR="00000000" w:rsidRDefault="00000000">
      <w:pPr>
        <w:tabs>
          <w:tab w:val="right" w:leader="dot" w:pos="9242"/>
        </w:tabs>
        <w:spacing w:after="240" w:line="360" w:lineRule="exact"/>
        <w:ind w:firstLine="425"/>
        <w:rPr>
          <w:rFonts w:hint="eastAsia"/>
        </w:rPr>
      </w:pPr>
      <w:r>
        <w:rPr>
          <w:rFonts w:hint="eastAsia"/>
        </w:rPr>
        <w:t>平等待遇</w:t>
      </w:r>
      <w:r>
        <w:tab/>
      </w:r>
      <w:r>
        <w:rPr>
          <w:rFonts w:hint="eastAsia"/>
        </w:rPr>
        <w:t>31</w:t>
      </w:r>
    </w:p>
    <w:p w:rsidR="00000000" w:rsidRDefault="00000000">
      <w:pPr>
        <w:tabs>
          <w:tab w:val="right" w:leader="dot" w:pos="9242"/>
        </w:tabs>
        <w:spacing w:after="240" w:line="360" w:lineRule="exact"/>
        <w:ind w:firstLine="425"/>
        <w:rPr>
          <w:rFonts w:hint="eastAsia"/>
        </w:rPr>
      </w:pPr>
      <w:r>
        <w:rPr>
          <w:rFonts w:hint="eastAsia"/>
        </w:rPr>
        <w:t>协调家庭生活与工作生活</w:t>
      </w:r>
      <w:r>
        <w:tab/>
      </w:r>
      <w:r>
        <w:rPr>
          <w:rFonts w:hint="eastAsia"/>
        </w:rPr>
        <w:t>33</w:t>
      </w:r>
    </w:p>
    <w:p w:rsidR="00000000" w:rsidRDefault="00000000">
      <w:pPr>
        <w:tabs>
          <w:tab w:val="right" w:leader="dot" w:pos="9242"/>
        </w:tabs>
        <w:spacing w:after="240" w:line="360" w:lineRule="exact"/>
        <w:ind w:firstLine="425"/>
        <w:rPr>
          <w:rFonts w:hint="eastAsia"/>
        </w:rPr>
      </w:pPr>
      <w:r>
        <w:rPr>
          <w:rFonts w:hint="eastAsia"/>
        </w:rPr>
        <w:t>社会支助服务</w:t>
      </w:r>
      <w:r>
        <w:tab/>
      </w:r>
      <w:r>
        <w:rPr>
          <w:rFonts w:hint="eastAsia"/>
        </w:rPr>
        <w:t>34</w:t>
      </w:r>
    </w:p>
    <w:p w:rsidR="00000000" w:rsidRDefault="00000000">
      <w:pPr>
        <w:tabs>
          <w:tab w:val="right" w:leader="dot" w:pos="9242"/>
        </w:tabs>
        <w:spacing w:after="240" w:line="360" w:lineRule="exact"/>
        <w:rPr>
          <w:rFonts w:hint="eastAsia"/>
        </w:rPr>
      </w:pPr>
      <w:r>
        <w:rPr>
          <w:rFonts w:hint="eastAsia"/>
        </w:rPr>
        <w:t>第五章：其他法律和社会努力</w:t>
      </w:r>
      <w:r>
        <w:tab/>
      </w:r>
      <w:r>
        <w:rPr>
          <w:rFonts w:hint="eastAsia"/>
        </w:rPr>
        <w:t>35</w:t>
      </w:r>
    </w:p>
    <w:p w:rsidR="00000000" w:rsidRDefault="00000000">
      <w:pPr>
        <w:tabs>
          <w:tab w:val="right" w:leader="dot" w:pos="9242"/>
        </w:tabs>
        <w:spacing w:after="240" w:line="360" w:lineRule="exact"/>
        <w:ind w:firstLine="425"/>
        <w:rPr>
          <w:rFonts w:hint="eastAsia"/>
        </w:rPr>
      </w:pPr>
      <w:r>
        <w:rPr>
          <w:rFonts w:hint="eastAsia"/>
        </w:rPr>
        <w:t>保健问题</w:t>
      </w:r>
      <w:r>
        <w:tab/>
      </w:r>
      <w:r>
        <w:rPr>
          <w:rFonts w:hint="eastAsia"/>
        </w:rPr>
        <w:t>35</w:t>
      </w:r>
    </w:p>
    <w:p w:rsidR="00000000" w:rsidRDefault="00000000">
      <w:pPr>
        <w:tabs>
          <w:tab w:val="right" w:leader="dot" w:pos="9242"/>
        </w:tabs>
        <w:spacing w:after="240" w:line="360" w:lineRule="exact"/>
        <w:ind w:firstLine="425"/>
        <w:rPr>
          <w:rFonts w:hint="eastAsia"/>
        </w:rPr>
      </w:pPr>
      <w:r>
        <w:rPr>
          <w:rFonts w:hint="eastAsia"/>
        </w:rPr>
        <w:t>暴力和强奸</w:t>
      </w:r>
      <w:r>
        <w:tab/>
      </w:r>
      <w:r>
        <w:rPr>
          <w:rFonts w:hint="eastAsia"/>
        </w:rPr>
        <w:t>37</w:t>
      </w:r>
    </w:p>
    <w:p w:rsidR="00000000" w:rsidRDefault="00000000">
      <w:pPr>
        <w:tabs>
          <w:tab w:val="right" w:leader="dot" w:pos="9242"/>
        </w:tabs>
        <w:spacing w:after="240" w:line="360" w:lineRule="exact"/>
        <w:ind w:firstLine="425"/>
        <w:rPr>
          <w:rFonts w:hint="eastAsia"/>
        </w:rPr>
      </w:pPr>
      <w:r>
        <w:rPr>
          <w:rFonts w:hint="eastAsia"/>
        </w:rPr>
        <w:t>乱伦</w:t>
      </w:r>
      <w:r>
        <w:tab/>
      </w:r>
      <w:r>
        <w:rPr>
          <w:rFonts w:hint="eastAsia"/>
        </w:rPr>
        <w:t>40</w:t>
      </w:r>
    </w:p>
    <w:p w:rsidR="00000000" w:rsidRDefault="00000000">
      <w:pPr>
        <w:tabs>
          <w:tab w:val="right" w:leader="dot" w:pos="9242"/>
        </w:tabs>
        <w:spacing w:after="240" w:line="360" w:lineRule="exact"/>
        <w:ind w:firstLine="425"/>
        <w:rPr>
          <w:rFonts w:hint="eastAsia"/>
        </w:rPr>
      </w:pPr>
      <w:r>
        <w:rPr>
          <w:rFonts w:hint="eastAsia"/>
        </w:rPr>
        <w:t>卖淫</w:t>
      </w:r>
      <w:r>
        <w:tab/>
      </w:r>
      <w:r>
        <w:rPr>
          <w:rFonts w:hint="eastAsia"/>
        </w:rPr>
        <w:t>40</w:t>
      </w:r>
    </w:p>
    <w:p w:rsidR="00000000" w:rsidRDefault="00000000">
      <w:pPr>
        <w:tabs>
          <w:tab w:val="right" w:leader="dot" w:pos="9242"/>
        </w:tabs>
        <w:spacing w:after="240" w:line="360" w:lineRule="exact"/>
        <w:ind w:firstLine="425"/>
        <w:rPr>
          <w:rFonts w:hint="eastAsia"/>
        </w:rPr>
      </w:pPr>
      <w:r>
        <w:rPr>
          <w:rFonts w:hint="eastAsia"/>
        </w:rPr>
        <w:t>贩卖妇女</w:t>
      </w:r>
      <w:r>
        <w:tab/>
      </w:r>
      <w:r>
        <w:rPr>
          <w:rFonts w:hint="eastAsia"/>
        </w:rPr>
        <w:t>40</w:t>
      </w:r>
    </w:p>
    <w:p w:rsidR="00000000" w:rsidRDefault="00000000">
      <w:pPr>
        <w:tabs>
          <w:tab w:val="right" w:leader="dot" w:pos="9242"/>
        </w:tabs>
        <w:spacing w:after="240" w:line="360" w:lineRule="exact"/>
        <w:ind w:firstLine="425"/>
        <w:rPr>
          <w:rFonts w:hint="eastAsia"/>
        </w:rPr>
      </w:pPr>
      <w:r>
        <w:rPr>
          <w:rFonts w:hint="eastAsia"/>
        </w:rPr>
        <w:t>切割女性生殖器官</w:t>
      </w:r>
      <w:r>
        <w:tab/>
      </w:r>
      <w:r>
        <w:rPr>
          <w:rFonts w:hint="eastAsia"/>
        </w:rPr>
        <w:t>41</w:t>
      </w:r>
    </w:p>
    <w:p w:rsidR="00000000" w:rsidRDefault="00000000">
      <w:pPr>
        <w:tabs>
          <w:tab w:val="right" w:leader="dot" w:pos="9242"/>
        </w:tabs>
        <w:spacing w:after="240" w:line="360" w:lineRule="exact"/>
        <w:ind w:firstLine="425"/>
        <w:rPr>
          <w:rFonts w:hint="eastAsia"/>
        </w:rPr>
      </w:pPr>
      <w:r>
        <w:rPr>
          <w:rFonts w:hint="eastAsia"/>
        </w:rPr>
        <w:t>消除性别歧视</w:t>
      </w:r>
      <w:r>
        <w:tab/>
      </w:r>
      <w:r>
        <w:rPr>
          <w:rFonts w:hint="eastAsia"/>
        </w:rPr>
        <w:t>42</w:t>
      </w:r>
    </w:p>
    <w:p w:rsidR="00000000" w:rsidRDefault="00000000">
      <w:pPr>
        <w:tabs>
          <w:tab w:val="right" w:leader="dot" w:pos="9242"/>
        </w:tabs>
        <w:spacing w:after="240" w:line="360" w:lineRule="exact"/>
        <w:rPr>
          <w:rFonts w:hint="eastAsia"/>
        </w:rPr>
      </w:pPr>
      <w:r>
        <w:rPr>
          <w:rFonts w:hint="eastAsia"/>
        </w:rPr>
        <w:t>表</w:t>
      </w:r>
      <w:r>
        <w:tab/>
      </w:r>
      <w:r>
        <w:rPr>
          <w:rFonts w:hint="eastAsia"/>
        </w:rPr>
        <w:t>43</w:t>
      </w:r>
    </w:p>
    <w:p w:rsidR="00000000" w:rsidRDefault="00000000">
      <w:pPr>
        <w:numPr>
          <w:ilvl w:val="0"/>
          <w:numId w:val="1"/>
        </w:numPr>
        <w:tabs>
          <w:tab w:val="left" w:pos="0"/>
          <w:tab w:val="right" w:leader="dot" w:pos="9242"/>
        </w:tabs>
        <w:spacing w:after="240" w:line="360" w:lineRule="exact"/>
        <w:ind w:left="0" w:firstLine="425"/>
      </w:pPr>
      <w:r>
        <w:t>1970-1998</w:t>
      </w:r>
      <w:r>
        <w:rPr>
          <w:rFonts w:hint="eastAsia"/>
        </w:rPr>
        <w:t>年妇女在当选机构中的代表情况</w:t>
      </w:r>
      <w:r>
        <w:tab/>
      </w:r>
      <w:r>
        <w:rPr>
          <w:rFonts w:hint="eastAsia"/>
        </w:rPr>
        <w:t>43</w:t>
      </w:r>
    </w:p>
    <w:p w:rsidR="00000000" w:rsidRDefault="00000000">
      <w:pPr>
        <w:numPr>
          <w:ilvl w:val="0"/>
          <w:numId w:val="1"/>
        </w:numPr>
        <w:tabs>
          <w:tab w:val="left" w:pos="0"/>
          <w:tab w:val="right" w:leader="dot" w:pos="9242"/>
        </w:tabs>
        <w:spacing w:after="240" w:line="360" w:lineRule="exact"/>
        <w:ind w:left="0" w:firstLine="425"/>
      </w:pPr>
      <w:r>
        <w:t>1985-1998</w:t>
      </w:r>
      <w:r>
        <w:rPr>
          <w:rFonts w:hint="eastAsia"/>
        </w:rPr>
        <w:t>年妇女在公共委员会、主管当局和委员会中的代表情况</w:t>
      </w:r>
      <w:r>
        <w:tab/>
      </w:r>
      <w:r>
        <w:rPr>
          <w:rFonts w:hint="eastAsia"/>
        </w:rPr>
        <w:t>44</w:t>
      </w:r>
    </w:p>
    <w:p w:rsidR="00000000" w:rsidRDefault="00000000">
      <w:pPr>
        <w:tabs>
          <w:tab w:val="right" w:leader="dot" w:pos="9242"/>
        </w:tabs>
        <w:spacing w:after="240" w:line="360" w:lineRule="exact"/>
        <w:ind w:firstLine="425"/>
        <w:rPr>
          <w:rFonts w:hint="eastAsia"/>
        </w:rPr>
      </w:pPr>
      <w:r>
        <w:t>3.  1997</w:t>
      </w:r>
      <w:r>
        <w:rPr>
          <w:rFonts w:hint="eastAsia"/>
        </w:rPr>
        <w:t>年按完成最高教育程度开列的妇女和男子情况</w:t>
      </w:r>
      <w:r>
        <w:tab/>
      </w:r>
      <w:r>
        <w:rPr>
          <w:rFonts w:hint="eastAsia"/>
        </w:rPr>
        <w:t>44</w:t>
      </w:r>
    </w:p>
    <w:p w:rsidR="00000000" w:rsidRDefault="00000000">
      <w:pPr>
        <w:tabs>
          <w:tab w:val="right" w:leader="dot" w:pos="9242"/>
        </w:tabs>
        <w:spacing w:after="240" w:line="360" w:lineRule="exact"/>
        <w:ind w:firstLine="425"/>
        <w:rPr>
          <w:rFonts w:hint="eastAsia"/>
        </w:rPr>
      </w:pPr>
      <w:r>
        <w:t xml:space="preserve">4.  </w:t>
      </w:r>
      <w:r>
        <w:rPr>
          <w:rFonts w:hint="eastAsia"/>
        </w:rPr>
        <w:t>妇女和男子对高等教育的选择</w:t>
      </w:r>
      <w:r>
        <w:tab/>
      </w:r>
      <w:r>
        <w:rPr>
          <w:rFonts w:hint="eastAsia"/>
        </w:rPr>
        <w:t>45</w:t>
      </w:r>
    </w:p>
    <w:p w:rsidR="00000000" w:rsidRDefault="00000000">
      <w:pPr>
        <w:tabs>
          <w:tab w:val="right" w:leader="dot" w:pos="9242"/>
        </w:tabs>
        <w:spacing w:after="240" w:line="360" w:lineRule="exact"/>
        <w:ind w:firstLine="425"/>
        <w:rPr>
          <w:rFonts w:hint="eastAsia"/>
        </w:rPr>
      </w:pPr>
      <w:r>
        <w:t>5.  1976-1997</w:t>
      </w:r>
      <w:r>
        <w:rPr>
          <w:rFonts w:hint="eastAsia"/>
        </w:rPr>
        <w:t>年劳动力和参加比率</w:t>
      </w:r>
      <w:r>
        <w:tab/>
      </w:r>
      <w:r>
        <w:rPr>
          <w:rFonts w:hint="eastAsia"/>
        </w:rPr>
        <w:t>46</w:t>
      </w:r>
    </w:p>
    <w:p w:rsidR="00000000" w:rsidRDefault="00000000">
      <w:pPr>
        <w:tabs>
          <w:tab w:val="right" w:leader="dot" w:pos="9242"/>
        </w:tabs>
        <w:spacing w:after="240" w:line="360" w:lineRule="exact"/>
        <w:ind w:firstLine="425"/>
        <w:rPr>
          <w:rFonts w:hint="eastAsia"/>
        </w:rPr>
      </w:pPr>
      <w:r>
        <w:t>6.  1997</w:t>
      </w:r>
      <w:r>
        <w:rPr>
          <w:rFonts w:hint="eastAsia"/>
        </w:rPr>
        <w:t>年按性别分隔的劳动力市场</w:t>
      </w:r>
      <w:r>
        <w:tab/>
      </w:r>
      <w:r>
        <w:rPr>
          <w:rFonts w:hint="eastAsia"/>
        </w:rPr>
        <w:t>47</w:t>
      </w:r>
    </w:p>
    <w:p w:rsidR="00000000" w:rsidRDefault="00000000">
      <w:pPr>
        <w:tabs>
          <w:tab w:val="right" w:leader="dot" w:pos="9242"/>
        </w:tabs>
        <w:spacing w:after="240" w:line="360" w:lineRule="exact"/>
        <w:ind w:firstLine="425"/>
        <w:rPr>
          <w:rFonts w:hint="eastAsia"/>
        </w:rPr>
      </w:pPr>
      <w:r>
        <w:t>7.  1993-1997</w:t>
      </w:r>
      <w:r>
        <w:rPr>
          <w:rFonts w:hint="eastAsia"/>
        </w:rPr>
        <w:t>年男女个人收入情况</w:t>
      </w:r>
      <w:r>
        <w:tab/>
      </w:r>
      <w:r>
        <w:rPr>
          <w:rFonts w:hint="eastAsia"/>
        </w:rPr>
        <w:t>47</w:t>
      </w:r>
    </w:p>
    <w:p w:rsidR="00000000" w:rsidRDefault="00000000">
      <w:pPr>
        <w:tabs>
          <w:tab w:val="right" w:leader="dot" w:pos="9242"/>
        </w:tabs>
        <w:spacing w:after="240" w:line="360" w:lineRule="exact"/>
        <w:ind w:firstLine="425"/>
        <w:rPr>
          <w:rFonts w:hint="eastAsia"/>
        </w:rPr>
      </w:pPr>
      <w:r>
        <w:t>8.  1994-1997</w:t>
      </w:r>
      <w:r>
        <w:rPr>
          <w:rFonts w:hint="eastAsia"/>
        </w:rPr>
        <w:t>年休假妇女和男子平均人数</w:t>
      </w:r>
      <w:r>
        <w:tab/>
      </w:r>
      <w:r>
        <w:rPr>
          <w:rFonts w:hint="eastAsia"/>
        </w:rPr>
        <w:t>48</w:t>
      </w:r>
    </w:p>
    <w:p w:rsidR="00000000" w:rsidRDefault="00000000">
      <w:pPr>
        <w:tabs>
          <w:tab w:val="right" w:leader="dot" w:pos="9242"/>
        </w:tabs>
        <w:spacing w:after="240" w:line="360" w:lineRule="exact"/>
        <w:ind w:firstLine="425"/>
        <w:rPr>
          <w:rFonts w:hint="eastAsia"/>
        </w:rPr>
      </w:pPr>
      <w:r>
        <w:t>9.  1980-1998</w:t>
      </w:r>
      <w:r>
        <w:rPr>
          <w:rFonts w:hint="eastAsia"/>
        </w:rPr>
        <w:t>年妇女和男子失业情况</w:t>
      </w:r>
      <w:r>
        <w:tab/>
      </w:r>
      <w:r>
        <w:rPr>
          <w:rFonts w:hint="eastAsia"/>
        </w:rPr>
        <w:t>48</w:t>
      </w:r>
    </w:p>
    <w:p w:rsidR="00000000" w:rsidRDefault="00000000">
      <w:pPr>
        <w:tabs>
          <w:tab w:val="right" w:leader="dot" w:pos="9242"/>
        </w:tabs>
        <w:spacing w:after="240" w:line="360" w:lineRule="exact"/>
        <w:ind w:firstLine="425"/>
        <w:rPr>
          <w:rFonts w:hint="eastAsia"/>
        </w:rPr>
      </w:pPr>
      <w:r>
        <w:t>10.  1983-1996</w:t>
      </w:r>
      <w:r>
        <w:rPr>
          <w:rFonts w:hint="eastAsia"/>
        </w:rPr>
        <w:t>年的女性管理人员</w:t>
      </w:r>
      <w:r>
        <w:tab/>
      </w:r>
      <w:r>
        <w:rPr>
          <w:rFonts w:hint="eastAsia"/>
        </w:rPr>
        <w:t>50</w:t>
      </w:r>
    </w:p>
    <w:p w:rsidR="00000000" w:rsidRDefault="00000000">
      <w:pPr>
        <w:tabs>
          <w:tab w:val="right" w:leader="dot" w:pos="9242"/>
        </w:tabs>
        <w:spacing w:after="240" w:line="360" w:lineRule="exact"/>
        <w:ind w:firstLine="425"/>
        <w:rPr>
          <w:rFonts w:hint="eastAsia"/>
        </w:rPr>
      </w:pPr>
      <w:r>
        <w:rPr>
          <w:rFonts w:hint="eastAsia"/>
        </w:rPr>
        <w:t>丹麦非政府组织的评论</w:t>
      </w:r>
      <w:r>
        <w:tab/>
      </w:r>
      <w:r>
        <w:rPr>
          <w:rFonts w:hint="eastAsia"/>
        </w:rPr>
        <w:t>50</w:t>
      </w:r>
    </w:p>
    <w:p w:rsidR="00000000" w:rsidRDefault="00000000">
      <w:pPr>
        <w:tabs>
          <w:tab w:val="right" w:leader="dot" w:pos="9242"/>
        </w:tabs>
        <w:spacing w:after="240" w:line="360" w:lineRule="exact"/>
        <w:ind w:firstLine="425"/>
        <w:rPr>
          <w:rFonts w:hint="eastAsia"/>
        </w:rPr>
      </w:pPr>
      <w:r>
        <w:rPr>
          <w:rFonts w:hint="eastAsia"/>
        </w:rPr>
        <w:t>丹麦妇女委员会</w:t>
      </w:r>
      <w:r>
        <w:tab/>
      </w:r>
      <w:r>
        <w:rPr>
          <w:rFonts w:hint="eastAsia"/>
        </w:rPr>
        <w:t>50</w:t>
      </w:r>
    </w:p>
    <w:p w:rsidR="00000000" w:rsidRDefault="00000000">
      <w:pPr>
        <w:tabs>
          <w:tab w:val="right" w:leader="dot" w:pos="9242"/>
        </w:tabs>
        <w:spacing w:after="240" w:line="360" w:lineRule="exact"/>
        <w:ind w:firstLine="425"/>
        <w:rPr>
          <w:rFonts w:hint="eastAsia"/>
        </w:rPr>
      </w:pPr>
      <w:r>
        <w:rPr>
          <w:rFonts w:hint="eastAsia"/>
        </w:rPr>
        <w:t>丹麦妇女协会</w:t>
      </w:r>
      <w:r>
        <w:tab/>
      </w:r>
      <w:r>
        <w:rPr>
          <w:rFonts w:hint="eastAsia"/>
        </w:rPr>
        <w:t>53</w:t>
      </w:r>
    </w:p>
    <w:p w:rsidR="00000000" w:rsidRDefault="00000000">
      <w:pPr>
        <w:tabs>
          <w:tab w:val="right" w:leader="dot" w:pos="9242"/>
        </w:tabs>
        <w:spacing w:after="240" w:line="360" w:lineRule="exact"/>
        <w:ind w:firstLine="425"/>
        <w:rPr>
          <w:rFonts w:hint="eastAsia"/>
        </w:rPr>
      </w:pPr>
      <w:r>
        <w:rPr>
          <w:rFonts w:hint="eastAsia"/>
        </w:rPr>
        <w:t>丹麦男子论坛</w:t>
      </w:r>
      <w:r>
        <w:tab/>
      </w:r>
      <w:r>
        <w:rPr>
          <w:rFonts w:hint="eastAsia"/>
        </w:rPr>
        <w:t>58</w:t>
      </w:r>
    </w:p>
    <w:p w:rsidR="00000000" w:rsidRDefault="00000000">
      <w:pPr>
        <w:tabs>
          <w:tab w:val="right" w:leader="dot" w:pos="9240"/>
        </w:tabs>
        <w:spacing w:after="240" w:line="360" w:lineRule="exact"/>
        <w:jc w:val="center"/>
        <w:rPr>
          <w:rFonts w:eastAsia="SimHei"/>
          <w:sz w:val="24"/>
        </w:rPr>
      </w:pPr>
      <w:r>
        <w:br w:type="page"/>
      </w:r>
      <w:r>
        <w:rPr>
          <w:rFonts w:eastAsia="SimHei" w:hint="eastAsia"/>
          <w:sz w:val="24"/>
        </w:rPr>
        <w:t>导言</w:t>
      </w:r>
    </w:p>
    <w:p w:rsidR="00000000" w:rsidRDefault="00000000">
      <w:pPr>
        <w:spacing w:after="240" w:line="360" w:lineRule="exact"/>
        <w:ind w:firstLine="425"/>
      </w:pPr>
      <w:r>
        <w:t>1979</w:t>
      </w:r>
      <w:r>
        <w:rPr>
          <w:rFonts w:hint="eastAsia"/>
        </w:rPr>
        <w:t>年</w:t>
      </w:r>
      <w:r>
        <w:t>12</w:t>
      </w:r>
      <w:r>
        <w:rPr>
          <w:rFonts w:hint="eastAsia"/>
        </w:rPr>
        <w:t>月</w:t>
      </w:r>
      <w:r>
        <w:t>18</w:t>
      </w:r>
      <w:r>
        <w:rPr>
          <w:rFonts w:hint="eastAsia"/>
        </w:rPr>
        <w:t>日，联合国大会通过《消除对妇女一切形式歧视公约》。该公约于</w:t>
      </w:r>
      <w:r>
        <w:t>1983</w:t>
      </w:r>
      <w:r>
        <w:rPr>
          <w:rFonts w:hint="eastAsia"/>
        </w:rPr>
        <w:t>年</w:t>
      </w:r>
      <w:r>
        <w:t>5</w:t>
      </w:r>
      <w:r>
        <w:rPr>
          <w:rFonts w:hint="eastAsia"/>
        </w:rPr>
        <w:t>月</w:t>
      </w:r>
      <w:r>
        <w:t>21</w:t>
      </w:r>
      <w:r>
        <w:rPr>
          <w:rFonts w:hint="eastAsia"/>
        </w:rPr>
        <w:t>日在丹麦生效。</w:t>
      </w:r>
    </w:p>
    <w:p w:rsidR="00000000" w:rsidRDefault="00000000">
      <w:pPr>
        <w:spacing w:after="240" w:line="360" w:lineRule="exact"/>
        <w:ind w:firstLine="425"/>
      </w:pPr>
      <w:r>
        <w:rPr>
          <w:rFonts w:hint="eastAsia"/>
        </w:rPr>
        <w:t>执行《公约》各条款所规定的各项义务的责任落在各国政府身上，但从事男女平等领域工作的许多机构、组织、团体和个人若不参与，这种责任便无从谈起。</w:t>
      </w:r>
    </w:p>
    <w:p w:rsidR="00000000" w:rsidRDefault="00000000">
      <w:pPr>
        <w:spacing w:after="240" w:line="360" w:lineRule="exact"/>
        <w:ind w:firstLine="425"/>
      </w:pPr>
      <w:r>
        <w:rPr>
          <w:rFonts w:hint="eastAsia"/>
        </w:rPr>
        <w:t>按照规定，丹麦于</w:t>
      </w:r>
      <w:r>
        <w:t>1984</w:t>
      </w:r>
      <w:r>
        <w:rPr>
          <w:rFonts w:hint="eastAsia"/>
        </w:rPr>
        <w:t>年向消除对妇女歧视委员会提交第一次报告供其审议。</w:t>
      </w:r>
      <w:r>
        <w:t>1988</w:t>
      </w:r>
      <w:r>
        <w:rPr>
          <w:rFonts w:hint="eastAsia"/>
        </w:rPr>
        <w:t>年，提交了关于《公约》执行情况的第二次报告。</w:t>
      </w:r>
      <w:r>
        <w:t>1993</w:t>
      </w:r>
      <w:r>
        <w:rPr>
          <w:rFonts w:hint="eastAsia"/>
        </w:rPr>
        <w:t>年初提交了第三次报告，在</w:t>
      </w:r>
      <w:r>
        <w:t>1997</w:t>
      </w:r>
      <w:r>
        <w:rPr>
          <w:rFonts w:hint="eastAsia"/>
        </w:rPr>
        <w:t>年</w:t>
      </w:r>
      <w:r>
        <w:t>1</w:t>
      </w:r>
      <w:r>
        <w:rPr>
          <w:rFonts w:hint="eastAsia"/>
        </w:rPr>
        <w:t>月提交了第四次报告。</w:t>
      </w:r>
    </w:p>
    <w:p w:rsidR="00000000" w:rsidRDefault="00000000">
      <w:pPr>
        <w:spacing w:after="240" w:line="360" w:lineRule="exact"/>
        <w:ind w:firstLine="425"/>
      </w:pPr>
      <w:r>
        <w:t>1997</w:t>
      </w:r>
      <w:r>
        <w:rPr>
          <w:rFonts w:hint="eastAsia"/>
        </w:rPr>
        <w:t>年</w:t>
      </w:r>
      <w:r>
        <w:t>1</w:t>
      </w:r>
      <w:r>
        <w:rPr>
          <w:rFonts w:hint="eastAsia"/>
        </w:rPr>
        <w:t>月在纽约对第三次报告进行了审查。本报告不重复委员会在审议丹麦第三次报告时，在消除对妇女歧视委员会第</w:t>
      </w:r>
      <w:r>
        <w:t>328</w:t>
      </w:r>
      <w:r>
        <w:rPr>
          <w:rFonts w:hint="eastAsia"/>
        </w:rPr>
        <w:t>和</w:t>
      </w:r>
      <w:r>
        <w:t>329</w:t>
      </w:r>
      <w:r>
        <w:rPr>
          <w:rFonts w:hint="eastAsia"/>
        </w:rPr>
        <w:t>次会议简要记录（</w:t>
      </w:r>
      <w:r>
        <w:t>CEDAW/C</w:t>
      </w:r>
      <w:r>
        <w:rPr>
          <w:rFonts w:hint="eastAsia"/>
        </w:rPr>
        <w:t>/</w:t>
      </w:r>
      <w:r>
        <w:t>DEN/3</w:t>
      </w:r>
      <w:r>
        <w:rPr>
          <w:rFonts w:hint="eastAsia"/>
        </w:rPr>
        <w:t>）中介绍的各种发展。不过本报告讨论委员会关注的问题和建议。</w:t>
      </w:r>
    </w:p>
    <w:p w:rsidR="00000000" w:rsidRDefault="00000000">
      <w:pPr>
        <w:spacing w:after="240" w:line="360" w:lineRule="exact"/>
        <w:ind w:firstLine="425"/>
      </w:pPr>
      <w:r>
        <w:rPr>
          <w:rFonts w:hint="eastAsia"/>
        </w:rPr>
        <w:t>消除对妇女歧视委员会尚未审议丹麦关于《消除对妇女歧视公约》的第四次报告。人们希望将同时审议第四次和第五次报告。因此，本报告的结构大体与上期第四次报告相同。每章与《公约》不同部分相对应。但关于教育和就业的章节除外。将在单独的章节中讨论这两部分。按照惯例邀请丹麦妇女非政府组织对该报告提出意见。一个新情况是还有丹麦男子组织的一个伞式组织提出了一些评论。这些评论载于本报告结尾部分。</w:t>
      </w:r>
    </w:p>
    <w:p w:rsidR="00000000" w:rsidRDefault="00000000">
      <w:pPr>
        <w:spacing w:after="240" w:line="360" w:lineRule="exact"/>
        <w:ind w:firstLine="425"/>
      </w:pPr>
      <w:r>
        <w:rPr>
          <w:rFonts w:hint="eastAsia"/>
        </w:rPr>
        <w:t>本第五次报告介绍丹麦在过去</w:t>
      </w:r>
      <w:r>
        <w:t>3</w:t>
      </w:r>
      <w:r>
        <w:rPr>
          <w:rFonts w:hint="eastAsia"/>
        </w:rPr>
        <w:t>至</w:t>
      </w:r>
      <w:r>
        <w:t>4</w:t>
      </w:r>
      <w:r>
        <w:rPr>
          <w:rFonts w:hint="eastAsia"/>
        </w:rPr>
        <w:t>年间最重要的性别问题。</w:t>
      </w:r>
    </w:p>
    <w:p w:rsidR="00000000" w:rsidRDefault="00000000">
      <w:pPr>
        <w:spacing w:after="240" w:line="360" w:lineRule="exact"/>
        <w:jc w:val="center"/>
        <w:rPr>
          <w:rFonts w:eastAsia="SimHei"/>
          <w:sz w:val="24"/>
        </w:rPr>
      </w:pPr>
      <w:r>
        <w:rPr>
          <w:rFonts w:eastAsia="SimHei"/>
        </w:rPr>
        <w:br w:type="page"/>
      </w:r>
      <w:r>
        <w:rPr>
          <w:rFonts w:eastAsia="SimHei" w:hint="eastAsia"/>
          <w:sz w:val="24"/>
        </w:rPr>
        <w:t>第</w:t>
      </w:r>
      <w:r>
        <w:rPr>
          <w:rFonts w:eastAsia="SimHei"/>
          <w:sz w:val="24"/>
        </w:rPr>
        <w:t>1</w:t>
      </w:r>
      <w:r>
        <w:rPr>
          <w:rFonts w:eastAsia="SimHei" w:hint="eastAsia"/>
          <w:sz w:val="24"/>
        </w:rPr>
        <w:t>章</w:t>
      </w:r>
      <w:r>
        <w:rPr>
          <w:rFonts w:eastAsia="SimHei"/>
          <w:sz w:val="24"/>
        </w:rPr>
        <w:t xml:space="preserve">  </w:t>
      </w:r>
      <w:r>
        <w:rPr>
          <w:rFonts w:eastAsia="SimHei" w:hint="eastAsia"/>
          <w:sz w:val="24"/>
        </w:rPr>
        <w:t>平等工作的框架</w:t>
      </w:r>
    </w:p>
    <w:p w:rsidR="00000000" w:rsidRDefault="00000000">
      <w:pPr>
        <w:spacing w:after="240" w:line="360" w:lineRule="exact"/>
        <w:ind w:left="120" w:hanging="120"/>
        <w:jc w:val="center"/>
        <w:rPr>
          <w:rFonts w:eastAsia="SimHei"/>
        </w:rPr>
      </w:pPr>
      <w:r>
        <w:rPr>
          <w:rFonts w:eastAsia="SimHei" w:hint="eastAsia"/>
        </w:rPr>
        <w:t>第</w:t>
      </w:r>
      <w:r>
        <w:rPr>
          <w:rFonts w:eastAsia="SimHei"/>
        </w:rPr>
        <w:t>1</w:t>
      </w:r>
      <w:r>
        <w:rPr>
          <w:rFonts w:eastAsia="SimHei" w:hint="eastAsia"/>
        </w:rPr>
        <w:t>条</w:t>
      </w:r>
    </w:p>
    <w:p w:rsidR="00000000" w:rsidRDefault="00000000">
      <w:pPr>
        <w:spacing w:after="240" w:line="360" w:lineRule="exact"/>
        <w:ind w:left="120" w:hanging="120"/>
        <w:jc w:val="center"/>
        <w:rPr>
          <w:rFonts w:eastAsia="SimHei"/>
        </w:rPr>
      </w:pPr>
      <w:r>
        <w:rPr>
          <w:rFonts w:eastAsia="SimHei" w:hint="eastAsia"/>
        </w:rPr>
        <w:t>基础</w:t>
      </w:r>
    </w:p>
    <w:p w:rsidR="00000000" w:rsidRDefault="00000000">
      <w:pPr>
        <w:spacing w:after="240" w:line="360" w:lineRule="exact"/>
        <w:ind w:firstLine="425"/>
      </w:pPr>
      <w:r>
        <w:rPr>
          <w:rFonts w:hint="eastAsia"/>
        </w:rPr>
        <w:t>实现男女平等是丹麦政策的首要目标。实现这一目标的工作目标是促进在政治、经济、社会、文化、民事或任何其他领域对人权和基本自由的理解。</w:t>
      </w:r>
    </w:p>
    <w:p w:rsidR="00000000" w:rsidRDefault="00000000">
      <w:pPr>
        <w:spacing w:after="240" w:line="360" w:lineRule="exact"/>
        <w:ind w:firstLine="425"/>
      </w:pPr>
      <w:r>
        <w:rPr>
          <w:rFonts w:hint="eastAsia"/>
        </w:rPr>
        <w:t>男女在社会所有领域有着同样的权利、义务和机会。从原则上来说，这不仅涉及通过立法确定的正式平等，而且也涉及执行确保实际落实男女平等的措施。</w:t>
      </w:r>
    </w:p>
    <w:p w:rsidR="00000000" w:rsidRDefault="00000000">
      <w:pPr>
        <w:spacing w:after="240" w:line="360" w:lineRule="exact"/>
        <w:ind w:firstLine="425"/>
      </w:pPr>
      <w:r>
        <w:rPr>
          <w:rFonts w:hint="eastAsia"/>
        </w:rPr>
        <w:t>丹麦自上次于</w:t>
      </w:r>
      <w:r>
        <w:t>1996</w:t>
      </w:r>
      <w:r>
        <w:rPr>
          <w:rFonts w:hint="eastAsia"/>
        </w:rPr>
        <w:t>年</w:t>
      </w:r>
      <w:r>
        <w:t>12</w:t>
      </w:r>
      <w:r>
        <w:rPr>
          <w:rFonts w:hint="eastAsia"/>
        </w:rPr>
        <w:t>月提交关于《消除对妇女歧视公约》的第四次报告以来一直着重加强丹麦社会各级的男女平等问题，主要是作为</w:t>
      </w:r>
      <w:r>
        <w:t>1995</w:t>
      </w:r>
      <w:r>
        <w:rPr>
          <w:rFonts w:hint="eastAsia"/>
        </w:rPr>
        <w:t>年《第四次妇女问题世界会议行动</w:t>
      </w:r>
      <w:r>
        <w:t xml:space="preserve"> </w:t>
      </w:r>
      <w:r>
        <w:rPr>
          <w:rFonts w:hint="eastAsia"/>
        </w:rPr>
        <w:t>纲要》后续行动的一部分。</w:t>
      </w:r>
    </w:p>
    <w:p w:rsidR="00000000" w:rsidRDefault="00000000">
      <w:pPr>
        <w:spacing w:after="240" w:line="360" w:lineRule="exact"/>
        <w:jc w:val="center"/>
        <w:rPr>
          <w:rFonts w:eastAsia="SimHei"/>
        </w:rPr>
      </w:pPr>
      <w:r>
        <w:rPr>
          <w:rFonts w:eastAsia="SimHei" w:hint="eastAsia"/>
        </w:rPr>
        <w:t>第</w:t>
      </w:r>
      <w:r>
        <w:rPr>
          <w:rFonts w:eastAsia="SimHei"/>
        </w:rPr>
        <w:t xml:space="preserve"> 2</w:t>
      </w:r>
      <w:r>
        <w:rPr>
          <w:rFonts w:eastAsia="SimHei" w:hint="eastAsia"/>
        </w:rPr>
        <w:t>条</w:t>
      </w:r>
    </w:p>
    <w:p w:rsidR="00000000" w:rsidRDefault="00000000">
      <w:pPr>
        <w:spacing w:after="240" w:line="360" w:lineRule="exact"/>
        <w:jc w:val="center"/>
        <w:rPr>
          <w:rFonts w:eastAsia="SimHei"/>
        </w:rPr>
      </w:pPr>
      <w:r>
        <w:rPr>
          <w:rFonts w:eastAsia="SimHei" w:hint="eastAsia"/>
        </w:rPr>
        <w:t>宪法和立法</w:t>
      </w:r>
    </w:p>
    <w:p w:rsidR="00000000" w:rsidRDefault="00000000">
      <w:pPr>
        <w:spacing w:after="240" w:line="360" w:lineRule="exact"/>
        <w:ind w:firstLine="425"/>
      </w:pPr>
      <w:r>
        <w:rPr>
          <w:rFonts w:hint="eastAsia"/>
        </w:rPr>
        <w:t>如前几期报告所述，立法方面对于妇女与男子的平等权利问题几乎不存在任何障碍。</w:t>
      </w:r>
    </w:p>
    <w:p w:rsidR="00000000" w:rsidRDefault="00000000">
      <w:pPr>
        <w:spacing w:after="240" w:line="360" w:lineRule="exact"/>
        <w:ind w:firstLine="425"/>
      </w:pPr>
      <w:r>
        <w:rPr>
          <w:rFonts w:hint="eastAsia"/>
        </w:rPr>
        <w:t>丹麦</w:t>
      </w:r>
      <w:r>
        <w:t>1953</w:t>
      </w:r>
      <w:r>
        <w:rPr>
          <w:rFonts w:hint="eastAsia"/>
        </w:rPr>
        <w:t>年宪法未载有关于妇女与男子平等的具体条款，但体现了男女平等待遇的原则。</w:t>
      </w:r>
    </w:p>
    <w:p w:rsidR="00000000" w:rsidRDefault="00000000">
      <w:pPr>
        <w:spacing w:after="240" w:line="360" w:lineRule="exact"/>
        <w:ind w:firstLine="425"/>
      </w:pPr>
      <w:r>
        <w:rPr>
          <w:rFonts w:hint="eastAsia"/>
        </w:rPr>
        <w:t>自</w:t>
      </w:r>
      <w:r>
        <w:t>1976</w:t>
      </w:r>
      <w:r>
        <w:rPr>
          <w:rFonts w:hint="eastAsia"/>
        </w:rPr>
        <w:t>年以来，各届继任政府继续努力扩大和改进妇女与男子在法律上的平等。前五项议会法令专论促进平等的问题：关于《男女平等机会法》、《男女平等报酬法》、《男女平等待遇法》、《任命公共委员会成员男女平等法》以及《任命公务员委员会成员男女机会平等法》（参考丹麦第四次报告）。现在这些法令中的三项法令由关于妇女与男子平等待遇的新法令所取代。</w:t>
      </w:r>
      <w:r>
        <w:rPr>
          <w:rStyle w:val="FootnoteReference"/>
        </w:rPr>
        <w:footnoteReference w:id="2"/>
      </w:r>
      <w:r>
        <w:rPr>
          <w:rFonts w:hint="eastAsia"/>
        </w:rPr>
        <w:t>《男女平等报酬法》和《男女平等待遇法》继续生效。</w:t>
      </w:r>
    </w:p>
    <w:p w:rsidR="00000000" w:rsidRDefault="00000000">
      <w:pPr>
        <w:spacing w:after="240" w:line="360" w:lineRule="exact"/>
        <w:ind w:firstLine="425"/>
      </w:pPr>
      <w:r>
        <w:rPr>
          <w:rFonts w:hint="eastAsia"/>
        </w:rPr>
        <w:t>《宪法》和平等法要求公营部门和私营部门确保尊重男女平等。关于执行平等法令和其他影响平等工作的法律措施和实际措施将在有关章节讨论。</w:t>
      </w:r>
    </w:p>
    <w:p w:rsidR="00000000" w:rsidRDefault="00000000">
      <w:pPr>
        <w:spacing w:after="240" w:line="360" w:lineRule="exact"/>
        <w:ind w:firstLine="425"/>
      </w:pPr>
      <w:r>
        <w:rPr>
          <w:rFonts w:hint="eastAsia"/>
        </w:rPr>
        <w:t>丹麦在适当的时间执行了欧洲联盟关于男女平等的多项指示。丹麦政府奉行在欧盟关于男女平等的框架内实现平等权利的积极政策。</w:t>
      </w:r>
    </w:p>
    <w:p w:rsidR="00000000" w:rsidRDefault="00000000">
      <w:pPr>
        <w:spacing w:after="240" w:line="360" w:lineRule="exact"/>
        <w:ind w:firstLine="425"/>
      </w:pPr>
      <w:r>
        <w:rPr>
          <w:rFonts w:hint="eastAsia"/>
        </w:rPr>
        <w:t>丹麦还一直执行《行动纲要》。</w:t>
      </w:r>
      <w:r>
        <w:t>1998</w:t>
      </w:r>
      <w:r>
        <w:rPr>
          <w:rFonts w:hint="eastAsia"/>
        </w:rPr>
        <w:t>年，丹麦政府就国家和国际执行情况向议会提交了第二次报告。</w:t>
      </w:r>
    </w:p>
    <w:p w:rsidR="00000000" w:rsidRDefault="00000000">
      <w:pPr>
        <w:spacing w:after="240" w:line="360" w:lineRule="exact"/>
        <w:ind w:firstLine="425"/>
      </w:pPr>
      <w:r>
        <w:rPr>
          <w:rFonts w:hint="eastAsia"/>
        </w:rPr>
        <w:t>同样，政府采取各种措施执行《消除对妇女歧视公约》。</w:t>
      </w:r>
      <w:r>
        <w:t>1999</w:t>
      </w:r>
      <w:r>
        <w:rPr>
          <w:rFonts w:hint="eastAsia"/>
        </w:rPr>
        <w:t>年，联合国通过了《消除对妇女歧视公约任择议定书》。丹麦一向积极参加各种磋商，以确保公约所规定权利受到缔约国侵犯的受害人或受害人群体有权向消除对妇女歧视委员会提出控诉。丹麦与其他一些缔约国于</w:t>
      </w:r>
      <w:r>
        <w:t>1999</w:t>
      </w:r>
      <w:r>
        <w:rPr>
          <w:rFonts w:hint="eastAsia"/>
        </w:rPr>
        <w:t>年</w:t>
      </w:r>
      <w:r>
        <w:t>10</w:t>
      </w:r>
      <w:r>
        <w:rPr>
          <w:rFonts w:hint="eastAsia"/>
        </w:rPr>
        <w:t>月</w:t>
      </w:r>
      <w:r>
        <w:t>9</w:t>
      </w:r>
      <w:r>
        <w:rPr>
          <w:rFonts w:hint="eastAsia"/>
        </w:rPr>
        <w:t>日即联合国人权日共同签署了该议定书。人们预计最迟于</w:t>
      </w:r>
      <w:r>
        <w:t>2000</w:t>
      </w:r>
      <w:r>
        <w:rPr>
          <w:rFonts w:hint="eastAsia"/>
        </w:rPr>
        <w:t>年</w:t>
      </w:r>
      <w:r>
        <w:t>6</w:t>
      </w:r>
      <w:r>
        <w:rPr>
          <w:rFonts w:hint="eastAsia"/>
        </w:rPr>
        <w:t>月批准该议定书。</w:t>
      </w:r>
    </w:p>
    <w:p w:rsidR="00000000" w:rsidRDefault="00000000">
      <w:pPr>
        <w:spacing w:after="240" w:line="360" w:lineRule="exact"/>
        <w:ind w:firstLine="425"/>
      </w:pPr>
      <w:r>
        <w:rPr>
          <w:rFonts w:hint="eastAsia"/>
        </w:rPr>
        <w:t>丹麦男女平等法律体系不适用于法罗群岛和格陵兰，因为平等问题属法罗群岛和格陵兰地方自治立法管辖。法罗群岛平等地位委员会（</w:t>
      </w:r>
      <w:r>
        <w:t>1994</w:t>
      </w:r>
      <w:r>
        <w:rPr>
          <w:rFonts w:hint="eastAsia"/>
        </w:rPr>
        <w:t>年成立）旨在加强在劳动、教育和文化领域中的男女平等。格陵兰平等地位委员会（</w:t>
      </w:r>
      <w:r>
        <w:t>1998</w:t>
      </w:r>
      <w:r>
        <w:rPr>
          <w:rFonts w:hint="eastAsia"/>
        </w:rPr>
        <w:t>年</w:t>
      </w:r>
      <w:r>
        <w:t>12</w:t>
      </w:r>
      <w:r>
        <w:rPr>
          <w:rFonts w:hint="eastAsia"/>
        </w:rPr>
        <w:t>月成立）特别强调劳动力市场以及教育、文化和家庭生活中的男女平等问题。</w:t>
      </w:r>
    </w:p>
    <w:p w:rsidR="00000000" w:rsidRDefault="00000000">
      <w:pPr>
        <w:spacing w:after="240" w:line="360" w:lineRule="exact"/>
        <w:jc w:val="center"/>
        <w:rPr>
          <w:rFonts w:eastAsia="SimHei"/>
        </w:rPr>
      </w:pPr>
      <w:r>
        <w:rPr>
          <w:rFonts w:eastAsia="SimHei" w:hint="eastAsia"/>
        </w:rPr>
        <w:t>第</w:t>
      </w:r>
      <w:r>
        <w:rPr>
          <w:rFonts w:eastAsia="SimHei"/>
        </w:rPr>
        <w:t>3</w:t>
      </w:r>
      <w:r>
        <w:rPr>
          <w:rFonts w:eastAsia="SimHei" w:hint="eastAsia"/>
        </w:rPr>
        <w:t>条</w:t>
      </w:r>
    </w:p>
    <w:p w:rsidR="00000000" w:rsidRDefault="00000000">
      <w:pPr>
        <w:spacing w:after="240" w:line="360" w:lineRule="exact"/>
        <w:jc w:val="center"/>
        <w:rPr>
          <w:rFonts w:eastAsia="SimHei"/>
        </w:rPr>
      </w:pPr>
      <w:r>
        <w:rPr>
          <w:rFonts w:eastAsia="SimHei" w:hint="eastAsia"/>
        </w:rPr>
        <w:t>国家政策</w:t>
      </w:r>
    </w:p>
    <w:p w:rsidR="00000000" w:rsidRDefault="00000000">
      <w:pPr>
        <w:spacing w:after="240" w:line="360" w:lineRule="exact"/>
        <w:ind w:firstLine="425"/>
      </w:pPr>
      <w:r>
        <w:rPr>
          <w:rFonts w:hint="eastAsia"/>
        </w:rPr>
        <w:t>丹麦国家男女平等政策是通过政府、议会、平等地位委员会和非政府组织之间不断相互作用形成的。</w:t>
      </w:r>
    </w:p>
    <w:p w:rsidR="00000000" w:rsidRDefault="00000000">
      <w:pPr>
        <w:spacing w:after="240" w:line="360" w:lineRule="exact"/>
        <w:rPr>
          <w:rFonts w:eastAsia="SimHei"/>
        </w:rPr>
      </w:pPr>
      <w:r>
        <w:rPr>
          <w:rFonts w:eastAsia="SimHei" w:hint="eastAsia"/>
        </w:rPr>
        <w:t>政府关于男女平等的行动计划</w:t>
      </w:r>
    </w:p>
    <w:p w:rsidR="00000000" w:rsidRDefault="00000000">
      <w:pPr>
        <w:spacing w:after="240" w:line="360" w:lineRule="exact"/>
        <w:ind w:firstLine="425"/>
      </w:pPr>
      <w:r>
        <w:rPr>
          <w:rFonts w:hint="eastAsia"/>
        </w:rPr>
        <w:t>除立法以外，实现男女完全平等的一个重要步骤是通过政府关于男女平等的行动计划。该行动计划于</w:t>
      </w:r>
      <w:r>
        <w:t>1987</w:t>
      </w:r>
      <w:r>
        <w:rPr>
          <w:rFonts w:hint="eastAsia"/>
        </w:rPr>
        <w:t>年首次提交议会。总战略是使各部及其他中央政府机关作为面向将来的与性别相关的业务活动的发起人和表率。</w:t>
      </w:r>
    </w:p>
    <w:p w:rsidR="00000000" w:rsidRDefault="00000000">
      <w:pPr>
        <w:spacing w:after="240" w:line="360" w:lineRule="exact"/>
        <w:ind w:firstLine="425"/>
      </w:pPr>
      <w:r>
        <w:rPr>
          <w:rFonts w:hint="eastAsia"/>
        </w:rPr>
        <w:t>大约每隔三年，丹麦政府编制促进政府组织和机构的平等地位和平等机会的行动计划。现提及以前各次报告关于行动计划的时期：</w:t>
      </w:r>
      <w:r>
        <w:t>1987-1990</w:t>
      </w:r>
      <w:r>
        <w:rPr>
          <w:rFonts w:hint="eastAsia"/>
        </w:rPr>
        <w:t>年（第一时期）；</w:t>
      </w:r>
      <w:r>
        <w:t>1991-1993</w:t>
      </w:r>
      <w:r>
        <w:rPr>
          <w:rFonts w:hint="eastAsia"/>
        </w:rPr>
        <w:t>年（第二时期），以及</w:t>
      </w:r>
      <w:r>
        <w:t>1994-1996</w:t>
      </w:r>
      <w:r>
        <w:rPr>
          <w:rFonts w:hint="eastAsia"/>
        </w:rPr>
        <w:t>年（第三时期）。</w:t>
      </w:r>
      <w:r>
        <w:t>1996</w:t>
      </w:r>
      <w:r>
        <w:rPr>
          <w:rFonts w:hint="eastAsia"/>
        </w:rPr>
        <w:t>年</w:t>
      </w:r>
      <w:r>
        <w:t>12</w:t>
      </w:r>
      <w:r>
        <w:rPr>
          <w:rFonts w:hint="eastAsia"/>
        </w:rPr>
        <w:t>月，平等地位委员会评价了最后的行动计划。议会决定在从事男女平等工作的国家机构进行重组期间延迟对此评价的辩论。</w:t>
      </w:r>
    </w:p>
    <w:p w:rsidR="00000000" w:rsidRDefault="00000000">
      <w:pPr>
        <w:spacing w:after="240" w:line="360" w:lineRule="exact"/>
        <w:ind w:firstLine="425"/>
      </w:pPr>
      <w:r>
        <w:rPr>
          <w:rFonts w:hint="eastAsia"/>
        </w:rPr>
        <w:t>男女平等事务部长将从</w:t>
      </w:r>
      <w:r>
        <w:t>2000</w:t>
      </w:r>
      <w:r>
        <w:rPr>
          <w:rFonts w:hint="eastAsia"/>
        </w:rPr>
        <w:t>年起负责编制每年的前瞻计划和行动计划。</w:t>
      </w:r>
    </w:p>
    <w:p w:rsidR="00000000" w:rsidRDefault="00000000">
      <w:pPr>
        <w:spacing w:after="240" w:line="360" w:lineRule="exact"/>
        <w:ind w:firstLine="425"/>
      </w:pPr>
      <w:r>
        <w:t>1995</w:t>
      </w:r>
      <w:r>
        <w:rPr>
          <w:rFonts w:hint="eastAsia"/>
        </w:rPr>
        <w:t>年，议会通过了一项法令，要求丹麦所有市、郡每两年报告其促进男女平等工作的情况。</w:t>
      </w:r>
      <w:r>
        <w:t>1997</w:t>
      </w:r>
      <w:r>
        <w:rPr>
          <w:rFonts w:hint="eastAsia"/>
        </w:rPr>
        <w:t>年，平等地位委员会发表了第一份关于在各市促进男女平等的进展的报告。</w:t>
      </w:r>
      <w:r>
        <w:t>1999</w:t>
      </w:r>
      <w:r>
        <w:rPr>
          <w:rFonts w:hint="eastAsia"/>
        </w:rPr>
        <w:t>年</w:t>
      </w:r>
      <w:r>
        <w:t>12</w:t>
      </w:r>
      <w:r>
        <w:rPr>
          <w:rFonts w:hint="eastAsia"/>
        </w:rPr>
        <w:t>月发表了第二份报告。报告列入了所有市级的性别统计数字以及对各种倡议及其成果的评价。见第</w:t>
      </w:r>
      <w:r>
        <w:t>4</w:t>
      </w:r>
      <w:r>
        <w:rPr>
          <w:rFonts w:hint="eastAsia"/>
        </w:rPr>
        <w:t>章。</w:t>
      </w:r>
    </w:p>
    <w:p w:rsidR="00000000" w:rsidRDefault="00000000">
      <w:pPr>
        <w:spacing w:after="240" w:line="360" w:lineRule="exact"/>
        <w:rPr>
          <w:rFonts w:eastAsia="SimHei"/>
        </w:rPr>
      </w:pPr>
      <w:r>
        <w:rPr>
          <w:rFonts w:eastAsia="SimHei" w:hint="eastAsia"/>
        </w:rPr>
        <w:t>北京第四次联合国妇女问题世界会议的后续行动</w:t>
      </w:r>
    </w:p>
    <w:p w:rsidR="00000000" w:rsidRDefault="00000000">
      <w:pPr>
        <w:spacing w:after="240" w:line="360" w:lineRule="exact"/>
        <w:ind w:firstLine="425"/>
      </w:pPr>
      <w:r>
        <w:rPr>
          <w:rFonts w:hint="eastAsia"/>
        </w:rPr>
        <w:t>如前期报告所述，</w:t>
      </w:r>
      <w:r>
        <w:t>1996</w:t>
      </w:r>
      <w:r>
        <w:rPr>
          <w:rFonts w:hint="eastAsia"/>
        </w:rPr>
        <w:t>年</w:t>
      </w:r>
      <w:r>
        <w:t>4</w:t>
      </w:r>
      <w:r>
        <w:rPr>
          <w:rFonts w:hint="eastAsia"/>
        </w:rPr>
        <w:t>月，丹麦政府向议会提交了第一份关于在北京举行的第四次联合国妇女问题世界会议的后续行动的报告。议会支持政府在</w:t>
      </w:r>
      <w:r>
        <w:t>1997/1998</w:t>
      </w:r>
      <w:r>
        <w:rPr>
          <w:rFonts w:hint="eastAsia"/>
        </w:rPr>
        <w:t>年会议上就《行动纲要》的执行情况提交一份全面报告；并将性别观点纳入国家以及</w:t>
      </w:r>
      <w:r>
        <w:t xml:space="preserve"> </w:t>
      </w:r>
      <w:r>
        <w:rPr>
          <w:rFonts w:hint="eastAsia"/>
        </w:rPr>
        <w:t>国际一级的行政、政治和规划活动的主流。</w:t>
      </w:r>
    </w:p>
    <w:p w:rsidR="00000000" w:rsidRDefault="00000000">
      <w:pPr>
        <w:spacing w:after="240" w:line="360" w:lineRule="exact"/>
        <w:ind w:firstLine="425"/>
      </w:pPr>
      <w:r>
        <w:t>1998</w:t>
      </w:r>
      <w:r>
        <w:rPr>
          <w:rFonts w:hint="eastAsia"/>
        </w:rPr>
        <w:t>年</w:t>
      </w:r>
      <w:r>
        <w:t>5</w:t>
      </w:r>
      <w:r>
        <w:rPr>
          <w:rFonts w:hint="eastAsia"/>
        </w:rPr>
        <w:t>月，丹麦政府向议会提交了第二个关于在国家和国际一级执行《第四次联合国妇女问题世界会议行动纲要》的情况的报告。其成果列入本报告。</w:t>
      </w:r>
    </w:p>
    <w:p w:rsidR="00000000" w:rsidRDefault="00000000">
      <w:pPr>
        <w:spacing w:after="240" w:line="360" w:lineRule="exact"/>
        <w:rPr>
          <w:rFonts w:eastAsia="SimHei"/>
        </w:rPr>
      </w:pPr>
      <w:r>
        <w:rPr>
          <w:rFonts w:eastAsia="SimHei" w:hint="eastAsia"/>
        </w:rPr>
        <w:t>将性别观点纳入主流</w:t>
      </w:r>
    </w:p>
    <w:p w:rsidR="00000000" w:rsidRDefault="00000000">
      <w:pPr>
        <w:spacing w:after="240" w:line="360" w:lineRule="exact"/>
        <w:ind w:firstLine="425"/>
      </w:pPr>
      <w:r>
        <w:rPr>
          <w:rFonts w:hint="eastAsia"/>
        </w:rPr>
        <w:t>丹麦政府两性平等政策的基础是纳入主流的概念。男女平等事务部长对促进男女平等负有直接责任，而各部负责确保在其各自职权范围内的男女平等。前文还提及关于男女平等待遇的新法令在很大程度上以纳入主流概念为依据。必须对所有政治倡议其中包括所有劳动力市场的法案进行评价，以保障男女平等。然而，纳入主流战略仍需进一步落实。仍需增加一些将性别观点纳入主流的方法。</w:t>
      </w:r>
    </w:p>
    <w:p w:rsidR="00000000" w:rsidRDefault="00000000">
      <w:pPr>
        <w:spacing w:after="240" w:line="360" w:lineRule="exact"/>
        <w:ind w:firstLine="425"/>
      </w:pPr>
      <w:r>
        <w:rPr>
          <w:rFonts w:hint="eastAsia"/>
        </w:rPr>
        <w:t>北欧部长理事会于</w:t>
      </w:r>
      <w:r>
        <w:t>1997</w:t>
      </w:r>
      <w:r>
        <w:rPr>
          <w:rFonts w:hint="eastAsia"/>
        </w:rPr>
        <w:t>年发起了北欧将性别观点纳入主流项目：一个三年期的“伞式项目”。它在北欧国家设有关于性别观点纳入主流的各种项目。预计在</w:t>
      </w:r>
      <w:r>
        <w:t>2000</w:t>
      </w:r>
      <w:r>
        <w:rPr>
          <w:rFonts w:hint="eastAsia"/>
        </w:rPr>
        <w:t>年间将发表一个最后报告。</w:t>
      </w:r>
      <w:r>
        <w:t>2000</w:t>
      </w:r>
      <w:r>
        <w:rPr>
          <w:rFonts w:hint="eastAsia"/>
        </w:rPr>
        <w:t>年</w:t>
      </w:r>
      <w:r>
        <w:t>11</w:t>
      </w:r>
      <w:r>
        <w:rPr>
          <w:rFonts w:hint="eastAsia"/>
        </w:rPr>
        <w:t>月，将在经合组织和北欧部长理事会在巴黎联合举办的关于将性别观点纳入主流的国际会议上提交这些成果。</w:t>
      </w:r>
    </w:p>
    <w:p w:rsidR="00000000" w:rsidRDefault="00000000">
      <w:pPr>
        <w:spacing w:after="240" w:line="360" w:lineRule="exact"/>
        <w:ind w:firstLine="120"/>
        <w:jc w:val="center"/>
        <w:rPr>
          <w:rFonts w:eastAsia="SimHei"/>
        </w:rPr>
      </w:pPr>
      <w:r>
        <w:rPr>
          <w:rFonts w:eastAsia="SimHei" w:hint="eastAsia"/>
        </w:rPr>
        <w:t>第</w:t>
      </w:r>
      <w:r>
        <w:rPr>
          <w:rFonts w:eastAsia="SimHei"/>
        </w:rPr>
        <w:t>4</w:t>
      </w:r>
      <w:r>
        <w:rPr>
          <w:rFonts w:eastAsia="SimHei" w:hint="eastAsia"/>
        </w:rPr>
        <w:t>条</w:t>
      </w:r>
    </w:p>
    <w:p w:rsidR="00000000" w:rsidRDefault="00000000">
      <w:pPr>
        <w:spacing w:after="240" w:line="360" w:lineRule="exact"/>
        <w:ind w:firstLine="120"/>
        <w:jc w:val="center"/>
        <w:rPr>
          <w:rFonts w:eastAsia="SimHei"/>
        </w:rPr>
      </w:pPr>
      <w:r>
        <w:rPr>
          <w:rFonts w:eastAsia="SimHei" w:hint="eastAsia"/>
        </w:rPr>
        <w:t>平等机构和临时措施</w:t>
      </w:r>
    </w:p>
    <w:p w:rsidR="00000000" w:rsidRDefault="00000000">
      <w:pPr>
        <w:spacing w:after="240" w:line="360" w:lineRule="exact"/>
        <w:ind w:firstLine="425"/>
      </w:pPr>
      <w:r>
        <w:rPr>
          <w:rFonts w:hint="eastAsia"/>
        </w:rPr>
        <w:t>作为</w:t>
      </w:r>
      <w:r>
        <w:t>1996</w:t>
      </w:r>
      <w:r>
        <w:rPr>
          <w:rFonts w:hint="eastAsia"/>
        </w:rPr>
        <w:t>年</w:t>
      </w:r>
      <w:r>
        <w:t>3</w:t>
      </w:r>
      <w:r>
        <w:rPr>
          <w:rFonts w:hint="eastAsia"/>
        </w:rPr>
        <w:t>月北京会议的后续行动，丹麦政府设立了一个审议“促进两性平等体制机构”的委员会。现行机制已有</w:t>
      </w:r>
      <w:r>
        <w:t>20</w:t>
      </w:r>
      <w:r>
        <w:rPr>
          <w:rFonts w:hint="eastAsia"/>
        </w:rPr>
        <w:t>多年的历史，已被认为不适宜。该委员会由政府各部、工会和非政府组织组成。</w:t>
      </w:r>
    </w:p>
    <w:p w:rsidR="00000000" w:rsidRDefault="00000000">
      <w:pPr>
        <w:spacing w:after="240" w:line="360" w:lineRule="exact"/>
        <w:ind w:firstLine="425"/>
      </w:pPr>
      <w:r>
        <w:rPr>
          <w:rFonts w:hint="eastAsia"/>
        </w:rPr>
        <w:t>委员会分析了关于现行体制机构的问题。它指出，现行机构即平等地位委员会承担的任务过多、过杂，诸如，司法上诉、发动公众辩论、为首相提供行政支持、负责男女平等问题以及为公众提供信息服务。</w:t>
      </w:r>
    </w:p>
    <w:p w:rsidR="00000000" w:rsidRDefault="00000000">
      <w:pPr>
        <w:spacing w:after="240" w:line="360" w:lineRule="exact"/>
        <w:ind w:firstLine="425"/>
      </w:pPr>
      <w:r>
        <w:t>1999</w:t>
      </w:r>
      <w:r>
        <w:rPr>
          <w:rFonts w:hint="eastAsia"/>
        </w:rPr>
        <w:t>年</w:t>
      </w:r>
      <w:r>
        <w:t>3</w:t>
      </w:r>
      <w:r>
        <w:rPr>
          <w:rFonts w:hint="eastAsia"/>
        </w:rPr>
        <w:t>月，委员会提交了一份题为“致力于男女平等”的全面报告。该报告载有约</w:t>
      </w:r>
      <w:r>
        <w:t>40</w:t>
      </w:r>
      <w:r>
        <w:rPr>
          <w:rFonts w:hint="eastAsia"/>
        </w:rPr>
        <w:t>个促进在丹麦社会的男女平等的主题和题目，以及将现行男女平等机构分为三个分立的机构和对以前的工作进行分工的提议，以便加强男女平等的努力和增强透明度。</w:t>
      </w:r>
    </w:p>
    <w:p w:rsidR="00000000" w:rsidRDefault="00000000">
      <w:pPr>
        <w:spacing w:after="240" w:line="360" w:lineRule="exact"/>
        <w:ind w:firstLine="425"/>
      </w:pPr>
      <w:r>
        <w:t>1999</w:t>
      </w:r>
      <w:r>
        <w:rPr>
          <w:rFonts w:hint="eastAsia"/>
        </w:rPr>
        <w:t>年</w:t>
      </w:r>
      <w:r>
        <w:t>5</w:t>
      </w:r>
      <w:r>
        <w:rPr>
          <w:rFonts w:hint="eastAsia"/>
        </w:rPr>
        <w:t>月，议会对该报告进行了辩论。议会按照丹麦政府的请求支持委员会的建议，并建议政府应该：</w:t>
      </w:r>
    </w:p>
    <w:p w:rsidR="00000000" w:rsidRDefault="00000000">
      <w:pPr>
        <w:numPr>
          <w:ilvl w:val="0"/>
          <w:numId w:val="7"/>
        </w:numPr>
        <w:tabs>
          <w:tab w:val="left" w:pos="425"/>
        </w:tabs>
        <w:spacing w:after="240" w:line="360" w:lineRule="exact"/>
      </w:pPr>
      <w:r>
        <w:rPr>
          <w:rFonts w:hint="eastAsia"/>
        </w:rPr>
        <w:t>提高公共行政促进将性别观点纳入主流的能力；</w:t>
      </w:r>
    </w:p>
    <w:p w:rsidR="00000000" w:rsidRDefault="00000000">
      <w:pPr>
        <w:numPr>
          <w:ilvl w:val="0"/>
          <w:numId w:val="7"/>
        </w:numPr>
        <w:tabs>
          <w:tab w:val="left" w:pos="425"/>
        </w:tabs>
        <w:spacing w:after="240" w:line="360" w:lineRule="exact"/>
      </w:pPr>
      <w:r>
        <w:rPr>
          <w:rFonts w:hint="eastAsia"/>
        </w:rPr>
        <w:t>致力于男女获得平等报酬和养恤金；</w:t>
      </w:r>
    </w:p>
    <w:p w:rsidR="00000000" w:rsidRDefault="00000000">
      <w:pPr>
        <w:numPr>
          <w:ilvl w:val="0"/>
          <w:numId w:val="7"/>
        </w:numPr>
        <w:tabs>
          <w:tab w:val="left" w:pos="425"/>
        </w:tabs>
        <w:spacing w:after="240" w:line="360" w:lineRule="exact"/>
      </w:pPr>
      <w:r>
        <w:rPr>
          <w:rFonts w:hint="eastAsia"/>
        </w:rPr>
        <w:t>致力于男女平等参加社会中的决策；</w:t>
      </w:r>
    </w:p>
    <w:p w:rsidR="00000000" w:rsidRDefault="00000000">
      <w:pPr>
        <w:numPr>
          <w:ilvl w:val="0"/>
          <w:numId w:val="7"/>
        </w:numPr>
        <w:tabs>
          <w:tab w:val="left" w:pos="425"/>
        </w:tabs>
        <w:spacing w:after="240" w:line="360" w:lineRule="exact"/>
      </w:pPr>
      <w:r>
        <w:rPr>
          <w:rFonts w:hint="eastAsia"/>
        </w:rPr>
        <w:t>支持促进工作生活和家庭生活之间的协调努力；</w:t>
      </w:r>
    </w:p>
    <w:p w:rsidR="00000000" w:rsidRDefault="00000000">
      <w:pPr>
        <w:numPr>
          <w:ilvl w:val="0"/>
          <w:numId w:val="7"/>
        </w:numPr>
        <w:tabs>
          <w:tab w:val="left" w:pos="425"/>
        </w:tabs>
        <w:spacing w:after="240" w:line="360" w:lineRule="exact"/>
      </w:pPr>
      <w:r>
        <w:rPr>
          <w:rFonts w:hint="eastAsia"/>
        </w:rPr>
        <w:t>编制关于男女平等问题，包括性别统计数字在内的更好资料；</w:t>
      </w:r>
    </w:p>
    <w:p w:rsidR="00000000" w:rsidRDefault="00000000">
      <w:pPr>
        <w:numPr>
          <w:ilvl w:val="0"/>
          <w:numId w:val="7"/>
        </w:numPr>
        <w:tabs>
          <w:tab w:val="left" w:pos="425"/>
        </w:tabs>
        <w:spacing w:after="240" w:line="360" w:lineRule="exact"/>
      </w:pPr>
      <w:r>
        <w:rPr>
          <w:rFonts w:hint="eastAsia"/>
        </w:rPr>
        <w:t>就社会的男女平等地位问题向议会提交年度报告；</w:t>
      </w:r>
    </w:p>
    <w:p w:rsidR="00000000" w:rsidRDefault="00000000">
      <w:pPr>
        <w:numPr>
          <w:ilvl w:val="0"/>
          <w:numId w:val="7"/>
        </w:numPr>
        <w:tabs>
          <w:tab w:val="left" w:pos="425"/>
        </w:tabs>
        <w:spacing w:after="240" w:line="360" w:lineRule="exact"/>
      </w:pPr>
      <w:r>
        <w:rPr>
          <w:rFonts w:hint="eastAsia"/>
        </w:rPr>
        <w:t>按照委员会的建议撤消平等地位委员会；</w:t>
      </w:r>
    </w:p>
    <w:p w:rsidR="00000000" w:rsidRDefault="00000000">
      <w:pPr>
        <w:numPr>
          <w:ilvl w:val="0"/>
          <w:numId w:val="7"/>
        </w:numPr>
        <w:tabs>
          <w:tab w:val="left" w:pos="425"/>
        </w:tabs>
        <w:spacing w:after="240" w:line="360" w:lineRule="exact"/>
      </w:pPr>
      <w:r>
        <w:rPr>
          <w:rFonts w:hint="eastAsia"/>
        </w:rPr>
        <w:t>设立一个关于男女平等的“知识中心”；</w:t>
      </w:r>
    </w:p>
    <w:p w:rsidR="00000000" w:rsidRDefault="00000000">
      <w:pPr>
        <w:numPr>
          <w:ilvl w:val="0"/>
          <w:numId w:val="7"/>
        </w:numPr>
        <w:tabs>
          <w:tab w:val="left" w:pos="425"/>
        </w:tabs>
        <w:spacing w:after="240" w:line="360" w:lineRule="exact"/>
      </w:pPr>
      <w:r>
        <w:rPr>
          <w:rFonts w:hint="eastAsia"/>
        </w:rPr>
        <w:t>设立一个局，负责处理关于性别歧视的投诉，试验期为两年。</w:t>
      </w:r>
    </w:p>
    <w:p w:rsidR="00000000" w:rsidRDefault="00000000">
      <w:pPr>
        <w:spacing w:after="240" w:line="360" w:lineRule="exact"/>
        <w:ind w:firstLine="425"/>
      </w:pPr>
      <w:r>
        <w:rPr>
          <w:rFonts w:hint="eastAsia"/>
        </w:rPr>
        <w:t>由于得到议会辩论的广泛支持，</w:t>
      </w:r>
      <w:r>
        <w:t>1999</w:t>
      </w:r>
      <w:r>
        <w:rPr>
          <w:rFonts w:hint="eastAsia"/>
        </w:rPr>
        <w:t>年</w:t>
      </w:r>
      <w:r>
        <w:t>7</w:t>
      </w:r>
      <w:r>
        <w:rPr>
          <w:rFonts w:hint="eastAsia"/>
        </w:rPr>
        <w:t>月，首相任命了一个男女平等事务部长（本期还有住房和城市事务部长），负责促进男女平等。根据纳入主流战略，其他所有部长仍负责确保在其职务范围内的男女平等。</w:t>
      </w:r>
    </w:p>
    <w:p w:rsidR="00000000" w:rsidRDefault="00000000">
      <w:pPr>
        <w:spacing w:after="240" w:line="360" w:lineRule="exact"/>
        <w:ind w:firstLine="425"/>
      </w:pPr>
      <w:r>
        <w:rPr>
          <w:rFonts w:hint="eastAsia"/>
        </w:rPr>
        <w:t>作为上述措施的第二步，</w:t>
      </w:r>
      <w:r>
        <w:t>2000</w:t>
      </w:r>
      <w:r>
        <w:rPr>
          <w:rFonts w:hint="eastAsia"/>
        </w:rPr>
        <w:t>年</w:t>
      </w:r>
      <w:r>
        <w:t>2</w:t>
      </w:r>
      <w:r>
        <w:rPr>
          <w:rFonts w:hint="eastAsia"/>
        </w:rPr>
        <w:t>月向议会提交了新的法案，该法案于</w:t>
      </w:r>
      <w:r>
        <w:t>2000</w:t>
      </w:r>
      <w:r>
        <w:rPr>
          <w:rFonts w:hint="eastAsia"/>
        </w:rPr>
        <w:t>年</w:t>
      </w:r>
      <w:r>
        <w:t>5</w:t>
      </w:r>
      <w:r>
        <w:rPr>
          <w:rFonts w:hint="eastAsia"/>
        </w:rPr>
        <w:t>月获得通过。新的法律规定设立关于男女平等的新的体制机构，以促进男女间的平等机会。立法列入了将性别观点纳入主流的原则。各部将有可能发起促进平等的行动。政府当局每两年应编写关于平等地位的说明。进一步加强了有关公共委员会以及由部长设立的委员会等的构成细则，以使更多的妇女参加社会的决策过程。</w:t>
      </w:r>
    </w:p>
    <w:p w:rsidR="00000000" w:rsidRDefault="00000000">
      <w:pPr>
        <w:spacing w:after="240" w:line="360" w:lineRule="exact"/>
        <w:ind w:firstLine="425"/>
      </w:pPr>
      <w:r>
        <w:rPr>
          <w:rFonts w:hint="eastAsia"/>
        </w:rPr>
        <w:t>法律以委员会提出的各项建议为依据。平等地位委员会将由三个分立的机构所取代。首先将设立一个男女平等事务部长属下的司级单位。除此之外，还将设立有非政府组织、社会合作伙伴、研究人员、顾问等各界人士广泛参加的知识中心和辩论论坛。最后，将设立一个男女平等事务投诉主管局，它有权作出具有法律约束力的决定（试验期为</w:t>
      </w:r>
      <w:r>
        <w:t>2</w:t>
      </w:r>
      <w:r>
        <w:rPr>
          <w:rFonts w:hint="eastAsia"/>
        </w:rPr>
        <w:t>年）。该法律旨在将性别观点纳入所有政策和管理部门（换言之就是纳入主流）以及可在特殊领域实施特殊战略，即所谓的双重战略。</w:t>
      </w:r>
    </w:p>
    <w:p w:rsidR="00000000" w:rsidRDefault="00000000">
      <w:pPr>
        <w:spacing w:after="240" w:line="360" w:lineRule="exact"/>
        <w:ind w:firstLine="425"/>
      </w:pPr>
      <w:r>
        <w:rPr>
          <w:rFonts w:hint="eastAsia"/>
        </w:rPr>
        <w:t>议会为</w:t>
      </w:r>
      <w:r>
        <w:t>2000</w:t>
      </w:r>
      <w:r>
        <w:rPr>
          <w:rFonts w:hint="eastAsia"/>
        </w:rPr>
        <w:t>年的预算拨款</w:t>
      </w:r>
      <w:r>
        <w:t>1950</w:t>
      </w:r>
      <w:r>
        <w:rPr>
          <w:rFonts w:hint="eastAsia"/>
        </w:rPr>
        <w:t>万丹麦克朗，这是以前为平等工作拨款的两倍以上。</w:t>
      </w:r>
    </w:p>
    <w:p w:rsidR="00000000" w:rsidRDefault="00000000">
      <w:pPr>
        <w:spacing w:after="240" w:line="360" w:lineRule="exact"/>
        <w:rPr>
          <w:rFonts w:eastAsia="SimHei"/>
        </w:rPr>
      </w:pPr>
      <w:r>
        <w:rPr>
          <w:rFonts w:eastAsia="SimHei" w:hint="eastAsia"/>
        </w:rPr>
        <w:t>平等地位委员会</w:t>
      </w:r>
    </w:p>
    <w:p w:rsidR="00000000" w:rsidRDefault="00000000">
      <w:pPr>
        <w:spacing w:after="240" w:line="360" w:lineRule="exact"/>
        <w:ind w:firstLine="425"/>
      </w:pPr>
      <w:r>
        <w:rPr>
          <w:rFonts w:hint="eastAsia"/>
        </w:rPr>
        <w:t>在</w:t>
      </w:r>
      <w:r>
        <w:t>1999</w:t>
      </w:r>
      <w:r>
        <w:rPr>
          <w:rFonts w:hint="eastAsia"/>
        </w:rPr>
        <w:t>年</w:t>
      </w:r>
      <w:r>
        <w:t>7</w:t>
      </w:r>
      <w:r>
        <w:rPr>
          <w:rFonts w:hint="eastAsia"/>
        </w:rPr>
        <w:t>月任命新的男女平等事务部长以前，平等地位委员会是政府在该领域的主要行为者。</w:t>
      </w:r>
    </w:p>
    <w:p w:rsidR="00000000" w:rsidRDefault="00000000">
      <w:pPr>
        <w:spacing w:after="240" w:line="360" w:lineRule="exact"/>
        <w:ind w:firstLine="425"/>
      </w:pPr>
      <w:r>
        <w:rPr>
          <w:rFonts w:hint="eastAsia"/>
        </w:rPr>
        <w:t>平等地位委员会还行使问题调查官的职能，以确保遵守法令。该委员会有权对按照《男妇平等待遇法》和《男女平等报酬法》处理的案例提出意见，并按《男女平等待遇法》的有关规定进行分配。</w:t>
      </w:r>
      <w:r>
        <w:t>1998</w:t>
      </w:r>
      <w:r>
        <w:rPr>
          <w:rFonts w:hint="eastAsia"/>
        </w:rPr>
        <w:t>年，委员会收到了有关按照上述两法之一处理的事情的具体案例的问询</w:t>
      </w:r>
      <w:r>
        <w:t>92</w:t>
      </w:r>
      <w:r>
        <w:rPr>
          <w:rFonts w:hint="eastAsia"/>
        </w:rPr>
        <w:t>件。平等地位委员会处理了</w:t>
      </w:r>
      <w:r>
        <w:t>15</w:t>
      </w:r>
      <w:r>
        <w:rPr>
          <w:rFonts w:hint="eastAsia"/>
        </w:rPr>
        <w:t>件案例。</w:t>
      </w:r>
    </w:p>
    <w:p w:rsidR="00000000" w:rsidRDefault="00000000">
      <w:pPr>
        <w:spacing w:after="240" w:line="360" w:lineRule="exact"/>
        <w:ind w:firstLine="425"/>
      </w:pPr>
      <w:r>
        <w:rPr>
          <w:rFonts w:hint="eastAsia"/>
        </w:rPr>
        <w:t>委员会还监测和促进男女在社会中的平等机会。人们通过各种出版物、会议等收集和传播经验。</w:t>
      </w:r>
    </w:p>
    <w:p w:rsidR="00000000" w:rsidRDefault="00000000">
      <w:pPr>
        <w:spacing w:after="240" w:line="360" w:lineRule="exact"/>
        <w:ind w:firstLine="425"/>
      </w:pPr>
      <w:r>
        <w:rPr>
          <w:rFonts w:hint="eastAsia"/>
        </w:rPr>
        <w:t>委员会还提供关于在公营和私营部门开展将性别观点纳入主流的咨询活动。委员会提供的咨询覆盖的领域有：协调工作生活和工作生活，关于女经理的问题或有助于促进按性别分工的劳动力市场的改革措施。</w:t>
      </w:r>
    </w:p>
    <w:p w:rsidR="00000000" w:rsidRDefault="00000000">
      <w:pPr>
        <w:spacing w:after="240" w:line="360" w:lineRule="exact"/>
        <w:ind w:firstLine="425"/>
      </w:pPr>
      <w:r>
        <w:rPr>
          <w:rFonts w:hint="eastAsia"/>
        </w:rPr>
        <w:t>为了改变人们的观念和增强对于男女平等重要性的认识，在过去的一些年中，委员会侧重于开展宣传和辩论活动，发起了一些会议、听证会和讲习班，并在传媒中推动辩论。而且在因特网设立了网址，提供关于委员会的工作和决定的信息。还包括执行关于平等地位事务的法院判决和关于报纸和杂志中男女平等辩论的数据库的联接。</w:t>
      </w:r>
    </w:p>
    <w:p w:rsidR="00000000" w:rsidRDefault="00000000">
      <w:pPr>
        <w:spacing w:after="240" w:line="360" w:lineRule="exact"/>
        <w:ind w:firstLine="425"/>
      </w:pPr>
      <w:r>
        <w:rPr>
          <w:rFonts w:hint="eastAsia"/>
        </w:rPr>
        <w:t>为了能以文件证明男女两性之间的不平等以及更新知识，绝对需要统计数字。</w:t>
      </w:r>
      <w:r>
        <w:t>1998</w:t>
      </w:r>
      <w:r>
        <w:rPr>
          <w:rFonts w:hint="eastAsia"/>
        </w:rPr>
        <w:t>年，平等地位委员会制定了拟列入委员会年度报告的性别统计数字的注释版。而且，在</w:t>
      </w:r>
      <w:r>
        <w:t>1999</w:t>
      </w:r>
      <w:r>
        <w:rPr>
          <w:rFonts w:hint="eastAsia"/>
        </w:rPr>
        <w:t>年</w:t>
      </w:r>
      <w:r>
        <w:t>12</w:t>
      </w:r>
      <w:r>
        <w:rPr>
          <w:rFonts w:hint="eastAsia"/>
        </w:rPr>
        <w:t>月，委员会出版了一本题为“妇女与男子”的书。该出版物是</w:t>
      </w:r>
      <w:r>
        <w:t>1995</w:t>
      </w:r>
      <w:r>
        <w:rPr>
          <w:rFonts w:hint="eastAsia"/>
        </w:rPr>
        <w:t>年的类似出版物的后续行动，是与丹麦统计局合作编写的。统计数字显示一些不平等现象在过去一些年间并没有减轻，这些数字为今后的工作奠定基础，例如，在男女平等报酬和决策领域。</w:t>
      </w:r>
    </w:p>
    <w:p w:rsidR="00000000" w:rsidRDefault="00000000">
      <w:pPr>
        <w:spacing w:after="240" w:line="360" w:lineRule="exact"/>
        <w:ind w:firstLine="425"/>
      </w:pPr>
      <w:r>
        <w:t>1998</w:t>
      </w:r>
      <w:r>
        <w:rPr>
          <w:rFonts w:hint="eastAsia"/>
        </w:rPr>
        <w:t>年，向委员会提供的财政拨款达</w:t>
      </w:r>
      <w:r>
        <w:t>760</w:t>
      </w:r>
      <w:r>
        <w:rPr>
          <w:rFonts w:hint="eastAsia"/>
        </w:rPr>
        <w:t>万丹麦克朗。日常工作由</w:t>
      </w:r>
      <w:r>
        <w:t>14</w:t>
      </w:r>
      <w:r>
        <w:rPr>
          <w:rFonts w:hint="eastAsia"/>
        </w:rPr>
        <w:t>个雇员组成的秘书承担，其中有</w:t>
      </w:r>
      <w:r>
        <w:t>6</w:t>
      </w:r>
      <w:r>
        <w:rPr>
          <w:rFonts w:hint="eastAsia"/>
        </w:rPr>
        <w:t>个雇员是男性。</w:t>
      </w:r>
    </w:p>
    <w:p w:rsidR="00000000" w:rsidRDefault="00000000">
      <w:pPr>
        <w:spacing w:after="240" w:line="360" w:lineRule="exact"/>
        <w:ind w:firstLine="425"/>
      </w:pPr>
      <w:r>
        <w:rPr>
          <w:rFonts w:hint="eastAsia"/>
        </w:rPr>
        <w:t>丹麦努力促进丹麦人关注国际促进平等的努力。由外交部和平等地位委员会（现为男女平等事务部长办公室）共同承担国际任务。</w:t>
      </w:r>
    </w:p>
    <w:p w:rsidR="00000000" w:rsidRDefault="00000000">
      <w:pPr>
        <w:spacing w:after="240" w:line="360" w:lineRule="exact"/>
        <w:rPr>
          <w:rFonts w:eastAsia="SimHei"/>
        </w:rPr>
      </w:pPr>
      <w:r>
        <w:rPr>
          <w:rFonts w:eastAsia="SimHei" w:hint="eastAsia"/>
        </w:rPr>
        <w:t>国际平等事务委员会</w:t>
      </w:r>
    </w:p>
    <w:p w:rsidR="00000000" w:rsidRDefault="00000000">
      <w:pPr>
        <w:spacing w:after="240" w:line="360" w:lineRule="exact"/>
        <w:ind w:firstLine="425"/>
      </w:pPr>
      <w:r>
        <w:rPr>
          <w:rFonts w:hint="eastAsia"/>
        </w:rPr>
        <w:t>国际平等事务委员会关注下述机构的国际男女平等问题：联合国、欧盟、欧洲理事会、北欧部长理事会、欧洲安全与合作组织和经合组织。在</w:t>
      </w:r>
      <w:r>
        <w:t>1999</w:t>
      </w:r>
      <w:r>
        <w:rPr>
          <w:rFonts w:hint="eastAsia"/>
        </w:rPr>
        <w:t>年</w:t>
      </w:r>
      <w:r>
        <w:t>7</w:t>
      </w:r>
      <w:r>
        <w:rPr>
          <w:rFonts w:hint="eastAsia"/>
        </w:rPr>
        <w:t>月，由首相任命该委员会。这种责任现已移交男女平等事务部长。委员会主席由一位议员担任。委员会负责协调国际男女平等事务。外交部长主持秘书处的工作。</w:t>
      </w:r>
    </w:p>
    <w:p w:rsidR="00000000" w:rsidRDefault="00000000">
      <w:pPr>
        <w:spacing w:after="240" w:line="360" w:lineRule="exact"/>
      </w:pPr>
      <w:r>
        <w:rPr>
          <w:rFonts w:eastAsia="SimHei" w:hint="eastAsia"/>
        </w:rPr>
        <w:t>非政府组织</w:t>
      </w:r>
    </w:p>
    <w:p w:rsidR="00000000" w:rsidRDefault="00000000">
      <w:pPr>
        <w:spacing w:after="240" w:line="360" w:lineRule="exact"/>
        <w:ind w:firstLine="425"/>
      </w:pPr>
      <w:r>
        <w:rPr>
          <w:rFonts w:hint="eastAsia"/>
        </w:rPr>
        <w:t>丹麦一个悠久的传统是，非政府组织在实现男女平等以及克服性别歧视和陈规陋习的过程中发挥非常积极的作用。对于丹麦全国妇女委员会（它是</w:t>
      </w:r>
      <w:r>
        <w:t>49</w:t>
      </w:r>
      <w:r>
        <w:rPr>
          <w:rFonts w:hint="eastAsia"/>
        </w:rPr>
        <w:t>个妇女组织的伞式组织以及前“丹麦全国妇女委员会”的新名称）和丹麦妇女协会来说，尤其如此。这些非政府组织既是公共主动倡议的监督者，又是实现男女平等进程的积极参加者，其中包括传播关于《消除对妇女一切歧视公约》、《行动纲要》以及国家政策的知识。</w:t>
      </w:r>
    </w:p>
    <w:p w:rsidR="00000000" w:rsidRDefault="00000000">
      <w:pPr>
        <w:spacing w:after="240" w:line="360" w:lineRule="exact"/>
        <w:ind w:firstLine="425"/>
      </w:pPr>
      <w:r>
        <w:rPr>
          <w:rFonts w:hint="eastAsia"/>
        </w:rPr>
        <w:t>与非政府组织合作是丹麦政府的一个优先事项。它们在平等地位委员会、国际平等事务委员会和其他委员会均有代表，而且，它们经常参加国家以及国际的活动。它们还派代表在关于未来男女平等工作委员会任职并将在新的体制机构中有代表任职。</w:t>
      </w:r>
    </w:p>
    <w:p w:rsidR="00000000" w:rsidRDefault="00000000">
      <w:pPr>
        <w:pStyle w:val="BodyTextIndent"/>
        <w:spacing w:line="360" w:lineRule="exact"/>
      </w:pPr>
      <w:r>
        <w:rPr>
          <w:rFonts w:hint="eastAsia"/>
        </w:rPr>
        <w:t>非政府组织参加丹麦出席联合国会议的政府代表团。委员会还是非政府组织与官方大会和会议相关活动的协调机构。</w:t>
      </w:r>
    </w:p>
    <w:p w:rsidR="00000000" w:rsidRDefault="00000000">
      <w:pPr>
        <w:spacing w:after="240" w:line="360" w:lineRule="exact"/>
      </w:pPr>
      <w:r>
        <w:rPr>
          <w:rFonts w:eastAsia="SimHei" w:hint="eastAsia"/>
        </w:rPr>
        <w:t>临时措施</w:t>
      </w:r>
    </w:p>
    <w:p w:rsidR="00000000" w:rsidRDefault="00000000">
      <w:pPr>
        <w:spacing w:after="240" w:line="360" w:lineRule="exact"/>
        <w:ind w:firstLine="425"/>
      </w:pPr>
      <w:r>
        <w:rPr>
          <w:rFonts w:hint="eastAsia"/>
        </w:rPr>
        <w:t>如以前报告指出，可利用《男女平等待遇法》的一些段落来采取促进男女平等的临时性措施。必须根据具体估计数和作为实现平等的总目标的一部分采取关于利用临时特殊措施的决定。第</w:t>
      </w:r>
      <w:r>
        <w:t>3</w:t>
      </w:r>
      <w:r>
        <w:rPr>
          <w:rFonts w:hint="eastAsia"/>
        </w:rPr>
        <w:t>章和第</w:t>
      </w:r>
      <w:r>
        <w:t>4</w:t>
      </w:r>
      <w:r>
        <w:rPr>
          <w:rFonts w:hint="eastAsia"/>
        </w:rPr>
        <w:t>章将讨论关于此种措施的详情。</w:t>
      </w:r>
    </w:p>
    <w:p w:rsidR="00000000" w:rsidRDefault="00000000">
      <w:pPr>
        <w:spacing w:after="240" w:line="360" w:lineRule="exact"/>
        <w:jc w:val="center"/>
        <w:rPr>
          <w:rFonts w:eastAsia="SimHei"/>
        </w:rPr>
      </w:pPr>
      <w:r>
        <w:rPr>
          <w:rFonts w:eastAsia="SimHei" w:hint="eastAsia"/>
        </w:rPr>
        <w:t>第</w:t>
      </w:r>
      <w:r>
        <w:rPr>
          <w:rFonts w:eastAsia="SimHei"/>
        </w:rPr>
        <w:t>5</w:t>
      </w:r>
      <w:r>
        <w:rPr>
          <w:rFonts w:eastAsia="SimHei" w:hint="eastAsia"/>
        </w:rPr>
        <w:t>条</w:t>
      </w:r>
    </w:p>
    <w:p w:rsidR="00000000" w:rsidRDefault="00000000">
      <w:pPr>
        <w:spacing w:after="240" w:line="360" w:lineRule="exact"/>
        <w:jc w:val="center"/>
        <w:rPr>
          <w:rFonts w:eastAsia="SimHei"/>
        </w:rPr>
      </w:pPr>
      <w:r>
        <w:rPr>
          <w:rFonts w:eastAsia="SimHei" w:hint="eastAsia"/>
        </w:rPr>
        <w:t>优先重点</w:t>
      </w:r>
    </w:p>
    <w:p w:rsidR="00000000" w:rsidRDefault="00000000">
      <w:pPr>
        <w:spacing w:after="240" w:line="360" w:lineRule="exact"/>
        <w:ind w:firstLine="425"/>
      </w:pPr>
      <w:r>
        <w:rPr>
          <w:rFonts w:hint="eastAsia"/>
        </w:rPr>
        <w:t>在报告内，丹麦的男女平等政策的重点领域如下：</w:t>
      </w:r>
    </w:p>
    <w:p w:rsidR="00000000" w:rsidRDefault="00000000">
      <w:pPr>
        <w:spacing w:after="240" w:line="360" w:lineRule="exact"/>
        <w:rPr>
          <w:rFonts w:eastAsia="SimHei"/>
        </w:rPr>
      </w:pPr>
      <w:r>
        <w:rPr>
          <w:rFonts w:eastAsia="SimHei" w:hint="eastAsia"/>
        </w:rPr>
        <w:t>男女平等报酬和养恤金</w:t>
      </w:r>
    </w:p>
    <w:p w:rsidR="00000000" w:rsidRDefault="00000000">
      <w:pPr>
        <w:spacing w:after="240" w:line="360" w:lineRule="exact"/>
        <w:ind w:firstLine="425"/>
      </w:pPr>
      <w:r>
        <w:rPr>
          <w:rFonts w:hint="eastAsia"/>
        </w:rPr>
        <w:t>消除妇女与男子在报酬和养恤金方面的不平等是个重要的领域。统计数字显示：平均而言，妇女在劳动力市场的收入所得仍然只占男子收入所得的</w:t>
      </w:r>
      <w:r>
        <w:t>80%</w:t>
      </w:r>
      <w:r>
        <w:rPr>
          <w:rFonts w:hint="eastAsia"/>
        </w:rPr>
        <w:t>。过去几年这种状况没有发生变化。尽管有《男女平等报酬法》和其他倡议，但在</w:t>
      </w:r>
      <w:r>
        <w:t>1970</w:t>
      </w:r>
      <w:r>
        <w:rPr>
          <w:rFonts w:hint="eastAsia"/>
        </w:rPr>
        <w:t>年代和</w:t>
      </w:r>
      <w:r>
        <w:t>1980</w:t>
      </w:r>
      <w:r>
        <w:rPr>
          <w:rFonts w:hint="eastAsia"/>
        </w:rPr>
        <w:t>年代间，男子与妇女报酬差距不断缩小的趋势似乎已停滞不前。</w:t>
      </w:r>
    </w:p>
    <w:p w:rsidR="00000000" w:rsidRDefault="00000000">
      <w:pPr>
        <w:spacing w:after="240" w:line="360" w:lineRule="exact"/>
        <w:ind w:firstLine="425"/>
      </w:pPr>
      <w:r>
        <w:rPr>
          <w:rFonts w:hint="eastAsia"/>
        </w:rPr>
        <w:t>而且，妇女的养恤金状况是一个值得关注的大问题。妇女更可能只得到基本的养恤金，而男女在其积极从业期间的收入差别又在养恤金多少中反映出来（参考第</w:t>
      </w:r>
      <w:r>
        <w:t>4</w:t>
      </w:r>
      <w:r>
        <w:rPr>
          <w:rFonts w:hint="eastAsia"/>
        </w:rPr>
        <w:t>章）。</w:t>
      </w:r>
    </w:p>
    <w:p w:rsidR="00000000" w:rsidRDefault="00000000">
      <w:pPr>
        <w:spacing w:after="240" w:line="360" w:lineRule="exact"/>
        <w:rPr>
          <w:rFonts w:eastAsia="SimHei"/>
        </w:rPr>
      </w:pPr>
      <w:r>
        <w:rPr>
          <w:rFonts w:eastAsia="SimHei" w:hint="eastAsia"/>
        </w:rPr>
        <w:t>妇女与权力</w:t>
      </w:r>
    </w:p>
    <w:p w:rsidR="00000000" w:rsidRDefault="00000000">
      <w:pPr>
        <w:spacing w:after="240" w:line="360" w:lineRule="exact"/>
        <w:ind w:firstLine="425"/>
      </w:pPr>
      <w:r>
        <w:rPr>
          <w:rFonts w:hint="eastAsia"/>
        </w:rPr>
        <w:t>如今，男子在社会每个部门所担任的决策职务仍比妇女多很多。妇女参与公共生活与决策历来是人们关注的中心事项。</w:t>
      </w:r>
      <w:r>
        <w:t>1997</w:t>
      </w:r>
      <w:r>
        <w:rPr>
          <w:rFonts w:hint="eastAsia"/>
        </w:rPr>
        <w:t>年，丹麦政府决定发起对权力和权力关系问题进行分析，其目的是探讨丹麦的政治决策过程和权力平衡。该报告的指导委员会决定聘用一个雇员以确保将性别观点纳入主流和性别问题。委员会的工作持续到</w:t>
      </w:r>
      <w:r>
        <w:t>2003</w:t>
      </w:r>
      <w:r>
        <w:rPr>
          <w:rFonts w:hint="eastAsia"/>
        </w:rPr>
        <w:t>年（参考第</w:t>
      </w:r>
      <w:r>
        <w:t>4</w:t>
      </w:r>
      <w:r>
        <w:rPr>
          <w:rFonts w:hint="eastAsia"/>
        </w:rPr>
        <w:t>章）。</w:t>
      </w:r>
    </w:p>
    <w:p w:rsidR="00000000" w:rsidRDefault="00000000">
      <w:pPr>
        <w:spacing w:after="240" w:line="360" w:lineRule="exact"/>
        <w:rPr>
          <w:rFonts w:eastAsia="SimHei"/>
        </w:rPr>
      </w:pPr>
      <w:r>
        <w:rPr>
          <w:rFonts w:eastAsia="SimHei" w:hint="eastAsia"/>
        </w:rPr>
        <w:t>对妇女的暴力行为</w:t>
      </w:r>
    </w:p>
    <w:p w:rsidR="00000000" w:rsidRDefault="00000000">
      <w:pPr>
        <w:spacing w:after="240" w:line="360" w:lineRule="exact"/>
        <w:ind w:firstLine="425"/>
      </w:pPr>
      <w:r>
        <w:rPr>
          <w:rFonts w:hint="eastAsia"/>
        </w:rPr>
        <w:t>人们一直极其关注全球对妇女暴力行为的增加。因此，丹麦政府以及丹麦的非政府组织把工作重点放在这个问题上并发起了关于家庭暴力、卖淫、贩运妇女、切割女性生殖器的一系列项目（参考第</w:t>
      </w:r>
      <w:r>
        <w:t>5</w:t>
      </w:r>
      <w:r>
        <w:rPr>
          <w:rFonts w:hint="eastAsia"/>
        </w:rPr>
        <w:t>章）。</w:t>
      </w:r>
    </w:p>
    <w:p w:rsidR="00000000" w:rsidRDefault="00000000">
      <w:pPr>
        <w:spacing w:after="240" w:line="360" w:lineRule="exact"/>
        <w:rPr>
          <w:rFonts w:eastAsia="SimHei"/>
        </w:rPr>
      </w:pPr>
      <w:r>
        <w:rPr>
          <w:rFonts w:eastAsia="SimHei" w:hint="eastAsia"/>
        </w:rPr>
        <w:t>男子与平等</w:t>
      </w:r>
    </w:p>
    <w:p w:rsidR="00000000" w:rsidRDefault="00000000">
      <w:pPr>
        <w:spacing w:after="240" w:line="360" w:lineRule="exact"/>
        <w:ind w:firstLine="425"/>
      </w:pPr>
      <w:r>
        <w:rPr>
          <w:rFonts w:hint="eastAsia"/>
        </w:rPr>
        <w:t>男子的作用在正进行的关于男女平等和性别的新角色的辩论中是个重要要素。人们对于确定男子面临的特殊问题和使男子参与有关平等机会的工作的热情正在增加。通过了北欧国家男子和男女平等的行动计划，并以采用更灵活的休假计划和特殊的育儿假方式采以了一些新的主动行动（参考第</w:t>
      </w:r>
      <w:r>
        <w:t>4</w:t>
      </w:r>
      <w:r>
        <w:rPr>
          <w:rFonts w:hint="eastAsia"/>
        </w:rPr>
        <w:t>章）。</w:t>
      </w:r>
    </w:p>
    <w:p w:rsidR="00000000" w:rsidRDefault="00000000">
      <w:pPr>
        <w:spacing w:after="240" w:line="360" w:lineRule="exact"/>
        <w:rPr>
          <w:rFonts w:eastAsia="SimHei"/>
        </w:rPr>
      </w:pPr>
      <w:r>
        <w:rPr>
          <w:rFonts w:eastAsia="SimHei" w:hint="eastAsia"/>
        </w:rPr>
        <w:t>国际合作</w:t>
      </w:r>
    </w:p>
    <w:p w:rsidR="00000000" w:rsidRDefault="00000000">
      <w:pPr>
        <w:spacing w:after="240" w:line="360" w:lineRule="exact"/>
        <w:ind w:firstLine="425"/>
      </w:pPr>
      <w:r>
        <w:rPr>
          <w:rFonts w:hint="eastAsia"/>
        </w:rPr>
        <w:t>丹麦一向重视在加强与联合国、欧盟、北欧国家一级的国际合作以及与南部国家的发展合作。它的特别优先事项是继续开展联合国《行动纲要》的后续行动。丹麦政府</w:t>
      </w:r>
      <w:r>
        <w:t>1998</w:t>
      </w:r>
      <w:r>
        <w:rPr>
          <w:rFonts w:hint="eastAsia"/>
        </w:rPr>
        <w:t>年据此向议会提出进展报告。</w:t>
      </w:r>
    </w:p>
    <w:p w:rsidR="00000000" w:rsidRDefault="00000000">
      <w:pPr>
        <w:spacing w:after="240" w:line="360" w:lineRule="exact"/>
        <w:jc w:val="center"/>
        <w:rPr>
          <w:rFonts w:eastAsia="SimHei"/>
        </w:rPr>
      </w:pPr>
      <w:r>
        <w:rPr>
          <w:rFonts w:eastAsia="SimHei" w:hint="eastAsia"/>
        </w:rPr>
        <w:t>第</w:t>
      </w:r>
      <w:r>
        <w:rPr>
          <w:rFonts w:eastAsia="SimHei"/>
        </w:rPr>
        <w:t>6</w:t>
      </w:r>
      <w:r>
        <w:rPr>
          <w:rFonts w:eastAsia="SimHei" w:hint="eastAsia"/>
        </w:rPr>
        <w:t>条</w:t>
      </w:r>
    </w:p>
    <w:p w:rsidR="00000000" w:rsidRDefault="00000000">
      <w:pPr>
        <w:spacing w:after="240" w:line="360" w:lineRule="exact"/>
        <w:jc w:val="center"/>
        <w:rPr>
          <w:rFonts w:eastAsia="SimHei"/>
        </w:rPr>
      </w:pPr>
      <w:r>
        <w:rPr>
          <w:rFonts w:eastAsia="SimHei" w:hint="eastAsia"/>
        </w:rPr>
        <w:t>特别问题</w:t>
      </w:r>
    </w:p>
    <w:p w:rsidR="00000000" w:rsidRDefault="00000000">
      <w:pPr>
        <w:spacing w:after="240" w:line="360" w:lineRule="exact"/>
        <w:ind w:firstLine="425"/>
      </w:pPr>
      <w:r>
        <w:rPr>
          <w:rFonts w:hint="eastAsia"/>
        </w:rPr>
        <w:t>男女平等事务部部长采取了加强与少数民族妇女合作的主动行动，特别是使她们参与国内更高一级的民主决策过程。其意图是制定一项平等政策，并必须依据这些妇女的特殊情况制定这一政策。</w:t>
      </w:r>
    </w:p>
    <w:p w:rsidR="00000000" w:rsidRDefault="00000000">
      <w:pPr>
        <w:spacing w:after="240" w:line="360" w:lineRule="exact"/>
        <w:ind w:firstLine="425"/>
      </w:pPr>
      <w:r>
        <w:rPr>
          <w:rFonts w:hint="eastAsia"/>
        </w:rPr>
        <w:t>关于诸如基于性别的暴力、强奸、乱伦、贩运妇女、卖淫以及切割女性生殖器问题，见本报告第</w:t>
      </w:r>
      <w:r>
        <w:t>5</w:t>
      </w:r>
      <w:r>
        <w:rPr>
          <w:rFonts w:hint="eastAsia"/>
        </w:rPr>
        <w:t>章。</w:t>
      </w:r>
    </w:p>
    <w:p w:rsidR="00000000" w:rsidRDefault="00000000">
      <w:pPr>
        <w:spacing w:after="240" w:line="360" w:lineRule="exact"/>
        <w:jc w:val="center"/>
        <w:rPr>
          <w:rFonts w:eastAsia="SimHei"/>
          <w:sz w:val="24"/>
        </w:rPr>
      </w:pPr>
      <w:r>
        <w:rPr>
          <w:rFonts w:eastAsia="SimHei"/>
          <w:sz w:val="24"/>
        </w:rPr>
        <w:br w:type="page"/>
      </w:r>
      <w:r>
        <w:rPr>
          <w:rFonts w:eastAsia="SimHei" w:hint="eastAsia"/>
          <w:sz w:val="24"/>
        </w:rPr>
        <w:t>第</w:t>
      </w:r>
      <w:r>
        <w:rPr>
          <w:rFonts w:eastAsia="SimHei"/>
          <w:sz w:val="24"/>
        </w:rPr>
        <w:t>2</w:t>
      </w:r>
      <w:r>
        <w:rPr>
          <w:rFonts w:eastAsia="SimHei" w:hint="eastAsia"/>
          <w:sz w:val="24"/>
        </w:rPr>
        <w:t>章：公共生活</w:t>
      </w:r>
    </w:p>
    <w:p w:rsidR="00000000" w:rsidRDefault="00000000">
      <w:pPr>
        <w:spacing w:after="240" w:line="360" w:lineRule="exact"/>
        <w:jc w:val="center"/>
        <w:rPr>
          <w:rFonts w:eastAsia="SimHei"/>
        </w:rPr>
      </w:pPr>
      <w:r>
        <w:rPr>
          <w:rFonts w:eastAsia="SimHei" w:hint="eastAsia"/>
        </w:rPr>
        <w:t>第</w:t>
      </w:r>
      <w:r>
        <w:rPr>
          <w:rFonts w:eastAsia="SimHei"/>
        </w:rPr>
        <w:t>7</w:t>
      </w:r>
      <w:r>
        <w:rPr>
          <w:rFonts w:eastAsia="SimHei" w:hint="eastAsia"/>
        </w:rPr>
        <w:t>条</w:t>
      </w:r>
    </w:p>
    <w:p w:rsidR="00000000" w:rsidRDefault="00000000">
      <w:pPr>
        <w:spacing w:after="240" w:line="360" w:lineRule="exact"/>
        <w:jc w:val="center"/>
        <w:rPr>
          <w:rFonts w:eastAsia="SimHei"/>
        </w:rPr>
      </w:pPr>
      <w:r>
        <w:rPr>
          <w:rFonts w:eastAsia="SimHei" w:hint="eastAsia"/>
        </w:rPr>
        <w:t>政治权利与参与</w:t>
      </w:r>
    </w:p>
    <w:p w:rsidR="00000000" w:rsidRDefault="00000000">
      <w:pPr>
        <w:spacing w:after="240" w:line="360" w:lineRule="exact"/>
        <w:ind w:firstLine="425"/>
      </w:pPr>
      <w:r>
        <w:rPr>
          <w:rFonts w:hint="eastAsia"/>
        </w:rPr>
        <w:t>多年以来，为了促进男女平等，丹麦历来重视妇女参与公共生活和决策过程。如前几次报告所述，丹麦妇女与男子享有同等的政治权利。两性均有投票权并均有资格参加地方政府和议会以及参加欧洲议会的选举。</w:t>
      </w:r>
    </w:p>
    <w:p w:rsidR="00000000" w:rsidRDefault="00000000">
      <w:pPr>
        <w:spacing w:after="240" w:line="360" w:lineRule="exact"/>
        <w:ind w:firstLine="425"/>
      </w:pPr>
      <w:r>
        <w:rPr>
          <w:rFonts w:hint="eastAsia"/>
        </w:rPr>
        <w:t>妇女在许多权力和决策职务的任职者中仍居少数。尽管在私营领域担任高级管理职务者的性别失衡现象非常严重，但他们在议会中几乎是均衡的。虽然已消除了所有的立法障碍，但仍必须改变对下述问题的观念：妇女全面参加公共生活、公共委员会、理事会、委员会、决策过程咨询委员会以及在政府部门供职。许多妇女不愿意参加竞选。大多数妇女仍然承担家庭和住户的主要责任。这使她们难以再参加活跃的政治生活。</w:t>
      </w:r>
    </w:p>
    <w:p w:rsidR="00000000" w:rsidRDefault="00000000">
      <w:pPr>
        <w:spacing w:after="240" w:line="360" w:lineRule="exact"/>
        <w:ind w:firstLine="425"/>
      </w:pPr>
      <w:r>
        <w:rPr>
          <w:rFonts w:hint="eastAsia"/>
        </w:rPr>
        <w:t>非政府组织继续参与制定关于妇女参加决策的官方平等地位议程并执行政府在这个领域中的男女平等政策。</w:t>
      </w:r>
    </w:p>
    <w:p w:rsidR="00000000" w:rsidRDefault="00000000">
      <w:pPr>
        <w:spacing w:after="240" w:line="360" w:lineRule="exact"/>
        <w:ind w:firstLine="425"/>
      </w:pPr>
      <w:r>
        <w:t>1997</w:t>
      </w:r>
      <w:r>
        <w:rPr>
          <w:rFonts w:hint="eastAsia"/>
        </w:rPr>
        <w:t>年，政府决定发起对权力和权力关系的一项研究。其目的是探讨丹麦的政治决策过程和权力平衡。负责该项研究的指导委员会决定设立一个员额以确保性别问题在该项分析中将性别问题纳入主流以及使男女两性在研究管理层、背景群体等中间都有代表性。这项分析将再持续</w:t>
      </w:r>
      <w:r>
        <w:t>3</w:t>
      </w:r>
      <w:r>
        <w:rPr>
          <w:rFonts w:hint="eastAsia"/>
        </w:rPr>
        <w:t>年。</w:t>
      </w:r>
    </w:p>
    <w:p w:rsidR="00000000" w:rsidRDefault="00000000">
      <w:pPr>
        <w:spacing w:after="240" w:line="360" w:lineRule="exact"/>
        <w:rPr>
          <w:rFonts w:eastAsia="SimHei"/>
        </w:rPr>
      </w:pPr>
      <w:r>
        <w:rPr>
          <w:rFonts w:eastAsia="SimHei" w:hint="eastAsia"/>
        </w:rPr>
        <w:t>地方政府机构</w:t>
      </w:r>
    </w:p>
    <w:p w:rsidR="00000000" w:rsidRDefault="00000000">
      <w:pPr>
        <w:spacing w:after="240" w:line="360" w:lineRule="exact"/>
        <w:ind w:firstLine="425"/>
      </w:pPr>
      <w:r>
        <w:rPr>
          <w:rFonts w:hint="eastAsia"/>
        </w:rPr>
        <w:t>在过去几年间，人们注意到妇女在参加地方政府选举并获成功方面的波动极小。</w:t>
      </w:r>
    </w:p>
    <w:p w:rsidR="00000000" w:rsidRDefault="00000000">
      <w:pPr>
        <w:spacing w:after="240" w:line="360" w:lineRule="exact"/>
        <w:ind w:firstLine="425"/>
      </w:pPr>
      <w:r>
        <w:br w:type="page"/>
      </w:r>
      <w:r>
        <w:rPr>
          <w:rFonts w:hint="eastAsia"/>
        </w:rPr>
        <w:t>当选妇女的百分比：</w:t>
      </w:r>
    </w:p>
    <w:tbl>
      <w:tblPr>
        <w:tblW w:w="0" w:type="auto"/>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1983"/>
        <w:gridCol w:w="1983"/>
        <w:gridCol w:w="1983"/>
        <w:gridCol w:w="1983"/>
        <w:gridCol w:w="1983"/>
      </w:tblGrid>
      <w:tr w:rsidR="00000000">
        <w:tblPrEx>
          <w:tblCellMar>
            <w:top w:w="0" w:type="dxa"/>
            <w:bottom w:w="0" w:type="dxa"/>
          </w:tblCellMar>
        </w:tblPrEx>
        <w:tc>
          <w:tcPr>
            <w:tcW w:w="1983" w:type="dxa"/>
            <w:tcBorders>
              <w:top w:val="single" w:sz="4" w:space="0" w:color="auto"/>
              <w:left w:val="nil"/>
              <w:bottom w:val="nil"/>
              <w:right w:val="nil"/>
            </w:tcBorders>
          </w:tcPr>
          <w:p w:rsidR="00000000" w:rsidRDefault="00000000">
            <w:pPr>
              <w:spacing w:line="360" w:lineRule="exact"/>
              <w:jc w:val="left"/>
            </w:pPr>
            <w:r>
              <w:rPr>
                <w:rFonts w:hint="eastAsia"/>
              </w:rPr>
              <w:t>地方政府选举</w:t>
            </w:r>
          </w:p>
        </w:tc>
        <w:tc>
          <w:tcPr>
            <w:tcW w:w="1983" w:type="dxa"/>
            <w:tcBorders>
              <w:top w:val="single" w:sz="4" w:space="0" w:color="auto"/>
              <w:left w:val="nil"/>
              <w:bottom w:val="nil"/>
              <w:right w:val="nil"/>
            </w:tcBorders>
          </w:tcPr>
          <w:p w:rsidR="00000000" w:rsidRDefault="00000000">
            <w:pPr>
              <w:spacing w:line="360" w:lineRule="exact"/>
              <w:jc w:val="center"/>
            </w:pPr>
            <w:r>
              <w:t>1985</w:t>
            </w:r>
            <w:r>
              <w:rPr>
                <w:rFonts w:hint="eastAsia"/>
              </w:rPr>
              <w:t>年</w:t>
            </w:r>
          </w:p>
        </w:tc>
        <w:tc>
          <w:tcPr>
            <w:tcW w:w="1983" w:type="dxa"/>
            <w:tcBorders>
              <w:top w:val="single" w:sz="4" w:space="0" w:color="auto"/>
              <w:left w:val="nil"/>
              <w:bottom w:val="nil"/>
              <w:right w:val="nil"/>
            </w:tcBorders>
          </w:tcPr>
          <w:p w:rsidR="00000000" w:rsidRDefault="00000000">
            <w:pPr>
              <w:spacing w:line="360" w:lineRule="exact"/>
              <w:jc w:val="center"/>
            </w:pPr>
            <w:r>
              <w:t>1989</w:t>
            </w:r>
            <w:r>
              <w:rPr>
                <w:rFonts w:hint="eastAsia"/>
              </w:rPr>
              <w:t>年</w:t>
            </w:r>
          </w:p>
        </w:tc>
        <w:tc>
          <w:tcPr>
            <w:tcW w:w="1983" w:type="dxa"/>
            <w:tcBorders>
              <w:top w:val="single" w:sz="4" w:space="0" w:color="auto"/>
              <w:left w:val="nil"/>
              <w:bottom w:val="nil"/>
              <w:right w:val="nil"/>
            </w:tcBorders>
          </w:tcPr>
          <w:p w:rsidR="00000000" w:rsidRDefault="00000000">
            <w:pPr>
              <w:spacing w:line="360" w:lineRule="exact"/>
              <w:jc w:val="center"/>
            </w:pPr>
            <w:r>
              <w:t>1993</w:t>
            </w:r>
            <w:r>
              <w:rPr>
                <w:rFonts w:hint="eastAsia"/>
              </w:rPr>
              <w:t>年</w:t>
            </w:r>
          </w:p>
        </w:tc>
        <w:tc>
          <w:tcPr>
            <w:tcW w:w="1983" w:type="dxa"/>
            <w:tcBorders>
              <w:top w:val="single" w:sz="4" w:space="0" w:color="auto"/>
              <w:left w:val="nil"/>
              <w:bottom w:val="nil"/>
              <w:right w:val="nil"/>
            </w:tcBorders>
          </w:tcPr>
          <w:p w:rsidR="00000000" w:rsidRDefault="00000000">
            <w:pPr>
              <w:spacing w:line="360" w:lineRule="exact"/>
              <w:jc w:val="center"/>
            </w:pPr>
            <w:r>
              <w:t>1997</w:t>
            </w:r>
            <w:r>
              <w:rPr>
                <w:rFonts w:hint="eastAsia"/>
              </w:rPr>
              <w:t>年</w:t>
            </w:r>
          </w:p>
        </w:tc>
      </w:tr>
      <w:tr w:rsidR="00000000">
        <w:tblPrEx>
          <w:tblCellMar>
            <w:top w:w="0" w:type="dxa"/>
            <w:bottom w:w="0" w:type="dxa"/>
          </w:tblCellMar>
        </w:tblPrEx>
        <w:tc>
          <w:tcPr>
            <w:tcW w:w="1983" w:type="dxa"/>
            <w:tcBorders>
              <w:top w:val="single" w:sz="4" w:space="0" w:color="auto"/>
              <w:left w:val="nil"/>
              <w:bottom w:val="nil"/>
            </w:tcBorders>
          </w:tcPr>
          <w:p w:rsidR="00000000" w:rsidRDefault="00000000">
            <w:pPr>
              <w:spacing w:line="360" w:lineRule="exact"/>
            </w:pPr>
          </w:p>
        </w:tc>
        <w:tc>
          <w:tcPr>
            <w:tcW w:w="1983" w:type="dxa"/>
            <w:tcBorders>
              <w:top w:val="single" w:sz="4" w:space="0" w:color="auto"/>
              <w:bottom w:val="nil"/>
            </w:tcBorders>
          </w:tcPr>
          <w:p w:rsidR="00000000" w:rsidRDefault="00000000">
            <w:pPr>
              <w:spacing w:line="360" w:lineRule="exact"/>
              <w:jc w:val="center"/>
            </w:pPr>
            <w:r>
              <w:rPr>
                <w:rFonts w:hint="eastAsia"/>
              </w:rPr>
              <w:t>妇女</w:t>
            </w:r>
          </w:p>
        </w:tc>
        <w:tc>
          <w:tcPr>
            <w:tcW w:w="1983" w:type="dxa"/>
            <w:tcBorders>
              <w:top w:val="single" w:sz="4" w:space="0" w:color="auto"/>
              <w:bottom w:val="nil"/>
            </w:tcBorders>
          </w:tcPr>
          <w:p w:rsidR="00000000" w:rsidRDefault="00000000">
            <w:pPr>
              <w:spacing w:line="360" w:lineRule="exact"/>
              <w:jc w:val="center"/>
            </w:pPr>
            <w:r>
              <w:rPr>
                <w:rFonts w:hint="eastAsia"/>
              </w:rPr>
              <w:t>妇女</w:t>
            </w:r>
          </w:p>
        </w:tc>
        <w:tc>
          <w:tcPr>
            <w:tcW w:w="1983" w:type="dxa"/>
            <w:tcBorders>
              <w:top w:val="single" w:sz="4" w:space="0" w:color="auto"/>
              <w:bottom w:val="nil"/>
            </w:tcBorders>
          </w:tcPr>
          <w:p w:rsidR="00000000" w:rsidRDefault="00000000">
            <w:pPr>
              <w:spacing w:line="360" w:lineRule="exact"/>
              <w:jc w:val="center"/>
            </w:pPr>
            <w:r>
              <w:rPr>
                <w:rFonts w:hint="eastAsia"/>
              </w:rPr>
              <w:t>妇女</w:t>
            </w:r>
          </w:p>
        </w:tc>
        <w:tc>
          <w:tcPr>
            <w:tcW w:w="1983" w:type="dxa"/>
            <w:tcBorders>
              <w:top w:val="single" w:sz="4" w:space="0" w:color="auto"/>
              <w:bottom w:val="nil"/>
              <w:right w:val="nil"/>
            </w:tcBorders>
          </w:tcPr>
          <w:p w:rsidR="00000000" w:rsidRDefault="00000000">
            <w:pPr>
              <w:spacing w:line="360" w:lineRule="exact"/>
              <w:jc w:val="center"/>
            </w:pPr>
            <w:r>
              <w:rPr>
                <w:rFonts w:hint="eastAsia"/>
              </w:rPr>
              <w:t>妇女</w:t>
            </w:r>
          </w:p>
        </w:tc>
      </w:tr>
      <w:tr w:rsidR="00000000">
        <w:tblPrEx>
          <w:tblCellMar>
            <w:top w:w="0" w:type="dxa"/>
            <w:bottom w:w="0" w:type="dxa"/>
          </w:tblCellMar>
        </w:tblPrEx>
        <w:tc>
          <w:tcPr>
            <w:tcW w:w="1983" w:type="dxa"/>
            <w:tcBorders>
              <w:top w:val="nil"/>
              <w:left w:val="nil"/>
              <w:bottom w:val="single" w:sz="4" w:space="0" w:color="auto"/>
            </w:tcBorders>
          </w:tcPr>
          <w:p w:rsidR="00000000" w:rsidRDefault="00000000">
            <w:pPr>
              <w:spacing w:line="360" w:lineRule="exact"/>
            </w:pPr>
          </w:p>
        </w:tc>
        <w:tc>
          <w:tcPr>
            <w:tcW w:w="1983" w:type="dxa"/>
            <w:tcBorders>
              <w:top w:val="nil"/>
              <w:bottom w:val="single" w:sz="4" w:space="0" w:color="auto"/>
            </w:tcBorders>
          </w:tcPr>
          <w:p w:rsidR="00000000" w:rsidRDefault="00000000">
            <w:pPr>
              <w:spacing w:line="360" w:lineRule="exact"/>
              <w:jc w:val="center"/>
            </w:pPr>
            <w:r>
              <w:t>%</w:t>
            </w:r>
          </w:p>
        </w:tc>
        <w:tc>
          <w:tcPr>
            <w:tcW w:w="1983" w:type="dxa"/>
            <w:tcBorders>
              <w:top w:val="nil"/>
              <w:bottom w:val="single" w:sz="4" w:space="0" w:color="auto"/>
            </w:tcBorders>
          </w:tcPr>
          <w:p w:rsidR="00000000" w:rsidRDefault="00000000">
            <w:pPr>
              <w:spacing w:line="360" w:lineRule="exact"/>
              <w:jc w:val="center"/>
            </w:pPr>
            <w:r>
              <w:t>%</w:t>
            </w:r>
          </w:p>
        </w:tc>
        <w:tc>
          <w:tcPr>
            <w:tcW w:w="1983" w:type="dxa"/>
            <w:tcBorders>
              <w:top w:val="nil"/>
              <w:bottom w:val="single" w:sz="4" w:space="0" w:color="auto"/>
            </w:tcBorders>
          </w:tcPr>
          <w:p w:rsidR="00000000" w:rsidRDefault="00000000">
            <w:pPr>
              <w:spacing w:line="360" w:lineRule="exact"/>
              <w:jc w:val="center"/>
            </w:pPr>
            <w:r>
              <w:t>%</w:t>
            </w:r>
          </w:p>
        </w:tc>
        <w:tc>
          <w:tcPr>
            <w:tcW w:w="1983" w:type="dxa"/>
            <w:tcBorders>
              <w:top w:val="nil"/>
              <w:bottom w:val="single" w:sz="4" w:space="0" w:color="auto"/>
              <w:right w:val="nil"/>
            </w:tcBorders>
          </w:tcPr>
          <w:p w:rsidR="00000000" w:rsidRDefault="00000000">
            <w:pPr>
              <w:spacing w:line="360" w:lineRule="exact"/>
              <w:jc w:val="center"/>
            </w:pPr>
            <w:r>
              <w:t>%</w:t>
            </w:r>
          </w:p>
        </w:tc>
      </w:tr>
      <w:tr w:rsidR="00000000">
        <w:tblPrEx>
          <w:tblCellMar>
            <w:top w:w="0" w:type="dxa"/>
            <w:bottom w:w="0" w:type="dxa"/>
          </w:tblCellMar>
        </w:tblPrEx>
        <w:tc>
          <w:tcPr>
            <w:tcW w:w="1983" w:type="dxa"/>
            <w:tcBorders>
              <w:top w:val="single" w:sz="4" w:space="0" w:color="auto"/>
              <w:left w:val="nil"/>
              <w:bottom w:val="nil"/>
            </w:tcBorders>
          </w:tcPr>
          <w:p w:rsidR="00000000" w:rsidRDefault="00000000">
            <w:pPr>
              <w:spacing w:line="360" w:lineRule="exact"/>
              <w:jc w:val="left"/>
            </w:pPr>
            <w:r>
              <w:rPr>
                <w:rFonts w:hint="eastAsia"/>
              </w:rPr>
              <w:t>市</w:t>
            </w:r>
          </w:p>
        </w:tc>
        <w:tc>
          <w:tcPr>
            <w:tcW w:w="1983" w:type="dxa"/>
            <w:tcBorders>
              <w:top w:val="single" w:sz="4" w:space="0" w:color="auto"/>
              <w:bottom w:val="nil"/>
            </w:tcBorders>
          </w:tcPr>
          <w:p w:rsidR="00000000" w:rsidRDefault="00000000">
            <w:pPr>
              <w:spacing w:line="360" w:lineRule="exact"/>
              <w:ind w:right="790"/>
              <w:jc w:val="right"/>
            </w:pPr>
            <w:r>
              <w:t>30</w:t>
            </w:r>
          </w:p>
        </w:tc>
        <w:tc>
          <w:tcPr>
            <w:tcW w:w="1983" w:type="dxa"/>
            <w:tcBorders>
              <w:top w:val="single" w:sz="4" w:space="0" w:color="auto"/>
              <w:bottom w:val="nil"/>
            </w:tcBorders>
          </w:tcPr>
          <w:p w:rsidR="00000000" w:rsidRDefault="00000000">
            <w:pPr>
              <w:spacing w:line="360" w:lineRule="exact"/>
              <w:ind w:right="790"/>
              <w:jc w:val="right"/>
            </w:pPr>
            <w:r>
              <w:t>26</w:t>
            </w:r>
          </w:p>
        </w:tc>
        <w:tc>
          <w:tcPr>
            <w:tcW w:w="1983" w:type="dxa"/>
            <w:tcBorders>
              <w:top w:val="single" w:sz="4" w:space="0" w:color="auto"/>
              <w:bottom w:val="nil"/>
            </w:tcBorders>
          </w:tcPr>
          <w:p w:rsidR="00000000" w:rsidRDefault="00000000">
            <w:pPr>
              <w:spacing w:line="360" w:lineRule="exact"/>
              <w:ind w:right="790"/>
              <w:jc w:val="right"/>
            </w:pPr>
            <w:r>
              <w:t>28</w:t>
            </w:r>
          </w:p>
        </w:tc>
        <w:tc>
          <w:tcPr>
            <w:tcW w:w="1983" w:type="dxa"/>
            <w:tcBorders>
              <w:top w:val="single" w:sz="4" w:space="0" w:color="auto"/>
              <w:bottom w:val="nil"/>
              <w:right w:val="nil"/>
            </w:tcBorders>
          </w:tcPr>
          <w:p w:rsidR="00000000" w:rsidRDefault="00000000">
            <w:pPr>
              <w:spacing w:line="360" w:lineRule="exact"/>
              <w:ind w:right="790"/>
              <w:jc w:val="right"/>
            </w:pPr>
            <w:r>
              <w:t>27</w:t>
            </w:r>
          </w:p>
        </w:tc>
      </w:tr>
      <w:tr w:rsidR="00000000">
        <w:tblPrEx>
          <w:tblCellMar>
            <w:top w:w="0" w:type="dxa"/>
            <w:bottom w:w="0" w:type="dxa"/>
          </w:tblCellMar>
        </w:tblPrEx>
        <w:tc>
          <w:tcPr>
            <w:tcW w:w="1983" w:type="dxa"/>
            <w:tcBorders>
              <w:top w:val="nil"/>
              <w:left w:val="nil"/>
              <w:bottom w:val="single" w:sz="4" w:space="0" w:color="auto"/>
            </w:tcBorders>
          </w:tcPr>
          <w:p w:rsidR="00000000" w:rsidRDefault="00000000">
            <w:pPr>
              <w:spacing w:line="360" w:lineRule="exact"/>
              <w:jc w:val="left"/>
            </w:pPr>
            <w:r>
              <w:rPr>
                <w:rFonts w:hint="eastAsia"/>
              </w:rPr>
              <w:t>郡</w:t>
            </w:r>
          </w:p>
        </w:tc>
        <w:tc>
          <w:tcPr>
            <w:tcW w:w="1983" w:type="dxa"/>
            <w:tcBorders>
              <w:top w:val="nil"/>
              <w:bottom w:val="single" w:sz="4" w:space="0" w:color="auto"/>
            </w:tcBorders>
          </w:tcPr>
          <w:p w:rsidR="00000000" w:rsidRDefault="00000000">
            <w:pPr>
              <w:spacing w:line="360" w:lineRule="exact"/>
              <w:ind w:right="790"/>
              <w:jc w:val="right"/>
            </w:pPr>
            <w:r>
              <w:t>29</w:t>
            </w:r>
          </w:p>
        </w:tc>
        <w:tc>
          <w:tcPr>
            <w:tcW w:w="1983" w:type="dxa"/>
            <w:tcBorders>
              <w:top w:val="nil"/>
              <w:bottom w:val="single" w:sz="4" w:space="0" w:color="auto"/>
            </w:tcBorders>
          </w:tcPr>
          <w:p w:rsidR="00000000" w:rsidRDefault="00000000">
            <w:pPr>
              <w:spacing w:line="360" w:lineRule="exact"/>
              <w:ind w:right="790"/>
              <w:jc w:val="right"/>
            </w:pPr>
            <w:r>
              <w:t>29</w:t>
            </w:r>
          </w:p>
        </w:tc>
        <w:tc>
          <w:tcPr>
            <w:tcW w:w="1983" w:type="dxa"/>
            <w:tcBorders>
              <w:top w:val="nil"/>
              <w:bottom w:val="single" w:sz="4" w:space="0" w:color="auto"/>
            </w:tcBorders>
          </w:tcPr>
          <w:p w:rsidR="00000000" w:rsidRDefault="00000000">
            <w:pPr>
              <w:spacing w:line="360" w:lineRule="exact"/>
              <w:ind w:right="790"/>
              <w:jc w:val="right"/>
            </w:pPr>
            <w:r>
              <w:t>31</w:t>
            </w:r>
          </w:p>
        </w:tc>
        <w:tc>
          <w:tcPr>
            <w:tcW w:w="1983" w:type="dxa"/>
            <w:tcBorders>
              <w:top w:val="nil"/>
              <w:bottom w:val="single" w:sz="4" w:space="0" w:color="auto"/>
              <w:right w:val="nil"/>
            </w:tcBorders>
          </w:tcPr>
          <w:p w:rsidR="00000000" w:rsidRDefault="00000000">
            <w:pPr>
              <w:spacing w:line="360" w:lineRule="exact"/>
              <w:ind w:right="790"/>
              <w:jc w:val="right"/>
            </w:pPr>
            <w:r>
              <w:t>29</w:t>
            </w:r>
          </w:p>
        </w:tc>
      </w:tr>
      <w:tr w:rsidR="00000000">
        <w:tblPrEx>
          <w:tblCellMar>
            <w:top w:w="0" w:type="dxa"/>
            <w:bottom w:w="0" w:type="dxa"/>
          </w:tblCellMar>
        </w:tblPrEx>
        <w:tc>
          <w:tcPr>
            <w:tcW w:w="1983" w:type="dxa"/>
            <w:tcBorders>
              <w:top w:val="single" w:sz="4" w:space="0" w:color="auto"/>
              <w:left w:val="nil"/>
              <w:bottom w:val="single" w:sz="4" w:space="0" w:color="auto"/>
            </w:tcBorders>
          </w:tcPr>
          <w:p w:rsidR="00000000" w:rsidRDefault="00000000">
            <w:pPr>
              <w:spacing w:line="360" w:lineRule="exact"/>
              <w:jc w:val="left"/>
            </w:pPr>
          </w:p>
        </w:tc>
        <w:tc>
          <w:tcPr>
            <w:tcW w:w="1983" w:type="dxa"/>
            <w:tcBorders>
              <w:top w:val="single" w:sz="4" w:space="0" w:color="auto"/>
              <w:bottom w:val="single" w:sz="4" w:space="0" w:color="auto"/>
            </w:tcBorders>
          </w:tcPr>
          <w:p w:rsidR="00000000" w:rsidRDefault="00000000">
            <w:pPr>
              <w:spacing w:line="360" w:lineRule="exact"/>
              <w:ind w:right="790"/>
              <w:jc w:val="right"/>
            </w:pPr>
          </w:p>
        </w:tc>
        <w:tc>
          <w:tcPr>
            <w:tcW w:w="1983" w:type="dxa"/>
            <w:tcBorders>
              <w:top w:val="single" w:sz="4" w:space="0" w:color="auto"/>
              <w:bottom w:val="single" w:sz="4" w:space="0" w:color="auto"/>
            </w:tcBorders>
          </w:tcPr>
          <w:p w:rsidR="00000000" w:rsidRDefault="00000000">
            <w:pPr>
              <w:spacing w:line="360" w:lineRule="exact"/>
              <w:ind w:right="790"/>
              <w:jc w:val="right"/>
            </w:pPr>
          </w:p>
        </w:tc>
        <w:tc>
          <w:tcPr>
            <w:tcW w:w="1983" w:type="dxa"/>
            <w:tcBorders>
              <w:top w:val="single" w:sz="4" w:space="0" w:color="auto"/>
              <w:bottom w:val="single" w:sz="4" w:space="0" w:color="auto"/>
            </w:tcBorders>
          </w:tcPr>
          <w:p w:rsidR="00000000" w:rsidRDefault="00000000">
            <w:pPr>
              <w:spacing w:line="360" w:lineRule="exact"/>
              <w:ind w:right="790"/>
              <w:jc w:val="right"/>
            </w:pPr>
          </w:p>
        </w:tc>
        <w:tc>
          <w:tcPr>
            <w:tcW w:w="1983" w:type="dxa"/>
            <w:tcBorders>
              <w:top w:val="single" w:sz="4" w:space="0" w:color="auto"/>
              <w:bottom w:val="single" w:sz="4" w:space="0" w:color="auto"/>
              <w:right w:val="nil"/>
            </w:tcBorders>
          </w:tcPr>
          <w:p w:rsidR="00000000" w:rsidRDefault="00000000">
            <w:pPr>
              <w:spacing w:line="360" w:lineRule="exact"/>
              <w:ind w:right="790"/>
              <w:jc w:val="right"/>
            </w:pPr>
          </w:p>
        </w:tc>
      </w:tr>
      <w:tr w:rsidR="00000000">
        <w:tblPrEx>
          <w:tblCellMar>
            <w:top w:w="0" w:type="dxa"/>
            <w:bottom w:w="0" w:type="dxa"/>
          </w:tblCellMar>
        </w:tblPrEx>
        <w:tc>
          <w:tcPr>
            <w:tcW w:w="1983" w:type="dxa"/>
            <w:tcBorders>
              <w:top w:val="single" w:sz="4" w:space="0" w:color="auto"/>
              <w:left w:val="nil"/>
              <w:bottom w:val="nil"/>
            </w:tcBorders>
          </w:tcPr>
          <w:p w:rsidR="00000000" w:rsidRDefault="00000000">
            <w:pPr>
              <w:spacing w:line="360" w:lineRule="exact"/>
            </w:pPr>
            <w:r>
              <w:rPr>
                <w:rFonts w:hint="eastAsia"/>
              </w:rPr>
              <w:t>市长</w:t>
            </w:r>
          </w:p>
        </w:tc>
        <w:tc>
          <w:tcPr>
            <w:tcW w:w="1983" w:type="dxa"/>
            <w:tcBorders>
              <w:top w:val="single" w:sz="4" w:space="0" w:color="auto"/>
              <w:bottom w:val="nil"/>
            </w:tcBorders>
          </w:tcPr>
          <w:p w:rsidR="00000000" w:rsidRDefault="00000000">
            <w:pPr>
              <w:spacing w:line="360" w:lineRule="exact"/>
              <w:ind w:right="790"/>
              <w:jc w:val="right"/>
            </w:pPr>
            <w:r>
              <w:t>4</w:t>
            </w:r>
          </w:p>
        </w:tc>
        <w:tc>
          <w:tcPr>
            <w:tcW w:w="1983" w:type="dxa"/>
            <w:tcBorders>
              <w:top w:val="single" w:sz="4" w:space="0" w:color="auto"/>
              <w:bottom w:val="nil"/>
            </w:tcBorders>
          </w:tcPr>
          <w:p w:rsidR="00000000" w:rsidRDefault="00000000">
            <w:pPr>
              <w:spacing w:line="360" w:lineRule="exact"/>
              <w:ind w:right="790"/>
              <w:jc w:val="right"/>
            </w:pPr>
            <w:r>
              <w:t>9</w:t>
            </w:r>
          </w:p>
        </w:tc>
        <w:tc>
          <w:tcPr>
            <w:tcW w:w="1983" w:type="dxa"/>
            <w:tcBorders>
              <w:top w:val="single" w:sz="4" w:space="0" w:color="auto"/>
              <w:bottom w:val="nil"/>
            </w:tcBorders>
          </w:tcPr>
          <w:p w:rsidR="00000000" w:rsidRDefault="00000000">
            <w:pPr>
              <w:spacing w:line="360" w:lineRule="exact"/>
              <w:ind w:right="790"/>
              <w:jc w:val="right"/>
            </w:pPr>
            <w:r>
              <w:t>10</w:t>
            </w:r>
          </w:p>
        </w:tc>
        <w:tc>
          <w:tcPr>
            <w:tcW w:w="1983" w:type="dxa"/>
            <w:tcBorders>
              <w:top w:val="single" w:sz="4" w:space="0" w:color="auto"/>
              <w:bottom w:val="nil"/>
              <w:right w:val="nil"/>
            </w:tcBorders>
          </w:tcPr>
          <w:p w:rsidR="00000000" w:rsidRDefault="00000000">
            <w:pPr>
              <w:spacing w:line="360" w:lineRule="exact"/>
              <w:ind w:right="790"/>
              <w:jc w:val="right"/>
            </w:pPr>
            <w:r>
              <w:t>11</w:t>
            </w:r>
          </w:p>
        </w:tc>
      </w:tr>
      <w:tr w:rsidR="00000000">
        <w:tblPrEx>
          <w:tblCellMar>
            <w:top w:w="0" w:type="dxa"/>
            <w:bottom w:w="0" w:type="dxa"/>
          </w:tblCellMar>
        </w:tblPrEx>
        <w:tc>
          <w:tcPr>
            <w:tcW w:w="1983" w:type="dxa"/>
            <w:tcBorders>
              <w:top w:val="nil"/>
              <w:left w:val="nil"/>
              <w:bottom w:val="single" w:sz="6" w:space="0" w:color="auto"/>
            </w:tcBorders>
          </w:tcPr>
          <w:p w:rsidR="00000000" w:rsidRDefault="00000000">
            <w:pPr>
              <w:spacing w:line="360" w:lineRule="exact"/>
            </w:pPr>
            <w:r>
              <w:rPr>
                <w:rFonts w:hint="eastAsia"/>
              </w:rPr>
              <w:t>郡长</w:t>
            </w:r>
          </w:p>
        </w:tc>
        <w:tc>
          <w:tcPr>
            <w:tcW w:w="1983" w:type="dxa"/>
            <w:tcBorders>
              <w:top w:val="nil"/>
            </w:tcBorders>
          </w:tcPr>
          <w:p w:rsidR="00000000" w:rsidRDefault="00000000">
            <w:pPr>
              <w:spacing w:line="360" w:lineRule="exact"/>
              <w:ind w:right="790"/>
              <w:jc w:val="right"/>
            </w:pPr>
            <w:r>
              <w:t>0</w:t>
            </w:r>
          </w:p>
        </w:tc>
        <w:tc>
          <w:tcPr>
            <w:tcW w:w="1983" w:type="dxa"/>
            <w:tcBorders>
              <w:top w:val="nil"/>
            </w:tcBorders>
          </w:tcPr>
          <w:p w:rsidR="00000000" w:rsidRDefault="00000000">
            <w:pPr>
              <w:spacing w:line="360" w:lineRule="exact"/>
              <w:ind w:right="790"/>
              <w:jc w:val="right"/>
            </w:pPr>
            <w:r>
              <w:t>7</w:t>
            </w:r>
          </w:p>
        </w:tc>
        <w:tc>
          <w:tcPr>
            <w:tcW w:w="1983" w:type="dxa"/>
            <w:tcBorders>
              <w:top w:val="nil"/>
            </w:tcBorders>
          </w:tcPr>
          <w:p w:rsidR="00000000" w:rsidRDefault="00000000">
            <w:pPr>
              <w:spacing w:line="360" w:lineRule="exact"/>
              <w:ind w:right="790"/>
              <w:jc w:val="right"/>
            </w:pPr>
            <w:r>
              <w:t>21</w:t>
            </w:r>
          </w:p>
        </w:tc>
        <w:tc>
          <w:tcPr>
            <w:tcW w:w="1983" w:type="dxa"/>
            <w:tcBorders>
              <w:top w:val="nil"/>
              <w:bottom w:val="single" w:sz="6" w:space="0" w:color="auto"/>
              <w:right w:val="nil"/>
            </w:tcBorders>
          </w:tcPr>
          <w:p w:rsidR="00000000" w:rsidRDefault="00000000">
            <w:pPr>
              <w:spacing w:line="360" w:lineRule="exact"/>
              <w:ind w:right="790"/>
              <w:jc w:val="right"/>
            </w:pPr>
            <w:r>
              <w:t>14</w:t>
            </w:r>
          </w:p>
        </w:tc>
      </w:tr>
    </w:tbl>
    <w:p w:rsidR="00000000" w:rsidRDefault="00000000">
      <w:pPr>
        <w:spacing w:after="240" w:line="360" w:lineRule="exact"/>
        <w:ind w:firstLine="425"/>
      </w:pPr>
      <w:r>
        <w:rPr>
          <w:rFonts w:hint="eastAsia"/>
        </w:rPr>
        <w:t>资料来源：平等地位委员会年度报告，</w:t>
      </w:r>
      <w:r>
        <w:t>1998</w:t>
      </w:r>
      <w:r>
        <w:rPr>
          <w:rFonts w:hint="eastAsia"/>
        </w:rPr>
        <w:t>年。</w:t>
      </w:r>
    </w:p>
    <w:p w:rsidR="00000000" w:rsidRDefault="00000000">
      <w:pPr>
        <w:spacing w:after="240" w:line="360" w:lineRule="exact"/>
        <w:ind w:firstLine="425"/>
      </w:pPr>
      <w:r>
        <w:rPr>
          <w:rFonts w:hint="eastAsia"/>
        </w:rPr>
        <w:t>继</w:t>
      </w:r>
      <w:r>
        <w:t>1997</w:t>
      </w:r>
      <w:r>
        <w:rPr>
          <w:rFonts w:hint="eastAsia"/>
        </w:rPr>
        <w:t>年当地政府选举之后，平等地位委员会开展了一项关于当地政府中政治职务方面性别平衡情况调查。妇女在当选的地方市级成员中占</w:t>
      </w:r>
      <w:r>
        <w:t>27%</w:t>
      </w:r>
      <w:r>
        <w:rPr>
          <w:rFonts w:hint="eastAsia"/>
        </w:rPr>
        <w:t>。这与</w:t>
      </w:r>
      <w:r>
        <w:t>1993</w:t>
      </w:r>
      <w:r>
        <w:rPr>
          <w:rFonts w:hint="eastAsia"/>
        </w:rPr>
        <w:t>年妇女占</w:t>
      </w:r>
      <w:r>
        <w:t>27.9%</w:t>
      </w:r>
      <w:r>
        <w:rPr>
          <w:rFonts w:hint="eastAsia"/>
        </w:rPr>
        <w:t>的比例相比，略有减少。</w:t>
      </w:r>
      <w:r>
        <w:t>1997</w:t>
      </w:r>
      <w:r>
        <w:rPr>
          <w:rFonts w:hint="eastAsia"/>
        </w:rPr>
        <w:t>年选举中妇女候选人比例为</w:t>
      </w:r>
      <w:r>
        <w:t>28.5%</w:t>
      </w:r>
      <w:r>
        <w:rPr>
          <w:rFonts w:hint="eastAsia"/>
        </w:rPr>
        <w:t>，而</w:t>
      </w:r>
      <w:r>
        <w:t>1993</w:t>
      </w:r>
      <w:r>
        <w:rPr>
          <w:rFonts w:hint="eastAsia"/>
        </w:rPr>
        <w:t>年为</w:t>
      </w:r>
      <w:r>
        <w:t>29.6%</w:t>
      </w:r>
      <w:r>
        <w:rPr>
          <w:rFonts w:hint="eastAsia"/>
        </w:rPr>
        <w:t>。</w:t>
      </w:r>
    </w:p>
    <w:p w:rsidR="00000000" w:rsidRDefault="00000000">
      <w:pPr>
        <w:spacing w:after="240" w:line="360" w:lineRule="exact"/>
        <w:ind w:firstLine="425"/>
      </w:pPr>
      <w:r>
        <w:rPr>
          <w:rFonts w:hint="eastAsia"/>
        </w:rPr>
        <w:t>虽然接近临界数量，但妇女在地方政府选举中的代表人数出现某种停滞的现象很普遍。人们注意到，在高级政治职务提名中，各市的女市长所占比例略有增加，而各郡的女郡长代表有所减少。</w:t>
      </w:r>
    </w:p>
    <w:p w:rsidR="00000000" w:rsidRDefault="00000000">
      <w:pPr>
        <w:spacing w:after="240" w:line="360" w:lineRule="exact"/>
        <w:ind w:firstLine="425"/>
      </w:pPr>
      <w:r>
        <w:rPr>
          <w:rFonts w:hint="eastAsia"/>
        </w:rPr>
        <w:t>为了鼓励更多的妇女参加地方政府一级的选举，每年为每个孩子发给妇女</w:t>
      </w:r>
      <w:r>
        <w:t>1</w:t>
      </w:r>
      <w:r>
        <w:rPr>
          <w:rFonts w:hint="eastAsia"/>
        </w:rPr>
        <w:t>万丹麦克朗以抵消在参加会议期间支付看护孩子的费用。然而，需要做的工作还很多，其中包括改变观念，改变政治气候和缩短较长的工作时间。</w:t>
      </w:r>
    </w:p>
    <w:p w:rsidR="00000000" w:rsidRDefault="00000000">
      <w:pPr>
        <w:spacing w:after="240" w:line="360" w:lineRule="exact"/>
        <w:rPr>
          <w:rFonts w:eastAsia="SimHei"/>
        </w:rPr>
      </w:pPr>
      <w:r>
        <w:rPr>
          <w:rFonts w:eastAsia="SimHei" w:hint="eastAsia"/>
        </w:rPr>
        <w:t>议会选举</w:t>
      </w:r>
    </w:p>
    <w:p w:rsidR="00000000" w:rsidRDefault="00000000">
      <w:pPr>
        <w:spacing w:after="240" w:line="360" w:lineRule="exact"/>
        <w:ind w:firstLine="425"/>
      </w:pPr>
      <w:r>
        <w:rPr>
          <w:rFonts w:hint="eastAsia"/>
        </w:rPr>
        <w:t>妇女在议会的比例不断增加。现在妇女在丹麦议会内和内阁中所占比例均超过“临界数量”。</w:t>
      </w:r>
    </w:p>
    <w:tbl>
      <w:tblPr>
        <w:tblW w:w="10468" w:type="dxa"/>
        <w:tblLayout w:type="fixed"/>
        <w:tblCellMar>
          <w:left w:w="28" w:type="dxa"/>
          <w:right w:w="28" w:type="dxa"/>
        </w:tblCellMar>
        <w:tblLook w:val="0000" w:firstRow="0" w:lastRow="0" w:firstColumn="0" w:lastColumn="0" w:noHBand="0" w:noVBand="0"/>
      </w:tblPr>
      <w:tblGrid>
        <w:gridCol w:w="1239"/>
        <w:gridCol w:w="1239"/>
        <w:gridCol w:w="1239"/>
        <w:gridCol w:w="1471"/>
        <w:gridCol w:w="1440"/>
        <w:gridCol w:w="1440"/>
        <w:gridCol w:w="1680"/>
        <w:gridCol w:w="720"/>
      </w:tblGrid>
      <w:tr w:rsidR="00000000">
        <w:tblPrEx>
          <w:tblCellMar>
            <w:top w:w="0" w:type="dxa"/>
            <w:bottom w:w="0" w:type="dxa"/>
          </w:tblCellMar>
        </w:tblPrEx>
        <w:tc>
          <w:tcPr>
            <w:tcW w:w="1239" w:type="dxa"/>
            <w:tcBorders>
              <w:top w:val="single" w:sz="6" w:space="0" w:color="auto"/>
              <w:bottom w:val="single" w:sz="6" w:space="0" w:color="auto"/>
            </w:tcBorders>
          </w:tcPr>
          <w:p w:rsidR="00000000" w:rsidRDefault="00000000">
            <w:pPr>
              <w:spacing w:line="360" w:lineRule="exact"/>
              <w:jc w:val="center"/>
              <w:rPr>
                <w:sz w:val="18"/>
              </w:rPr>
            </w:pPr>
            <w:r>
              <w:rPr>
                <w:rFonts w:hint="eastAsia"/>
                <w:sz w:val="18"/>
              </w:rPr>
              <w:t>议会选举</w:t>
            </w:r>
          </w:p>
        </w:tc>
        <w:tc>
          <w:tcPr>
            <w:tcW w:w="1239" w:type="dxa"/>
            <w:tcBorders>
              <w:top w:val="single" w:sz="6" w:space="0" w:color="auto"/>
              <w:bottom w:val="single" w:sz="6" w:space="0" w:color="auto"/>
            </w:tcBorders>
          </w:tcPr>
          <w:p w:rsidR="00000000" w:rsidRDefault="00000000">
            <w:pPr>
              <w:spacing w:line="360" w:lineRule="exact"/>
              <w:jc w:val="center"/>
              <w:rPr>
                <w:sz w:val="18"/>
              </w:rPr>
            </w:pPr>
            <w:r>
              <w:rPr>
                <w:sz w:val="18"/>
              </w:rPr>
              <w:t>1982-1987</w:t>
            </w:r>
            <w:r>
              <w:rPr>
                <w:rFonts w:hint="eastAsia"/>
                <w:sz w:val="18"/>
              </w:rPr>
              <w:t>年</w:t>
            </w:r>
          </w:p>
        </w:tc>
        <w:tc>
          <w:tcPr>
            <w:tcW w:w="1239" w:type="dxa"/>
            <w:tcBorders>
              <w:top w:val="single" w:sz="6" w:space="0" w:color="auto"/>
              <w:bottom w:val="single" w:sz="6" w:space="0" w:color="auto"/>
            </w:tcBorders>
          </w:tcPr>
          <w:p w:rsidR="00000000" w:rsidRDefault="00000000">
            <w:pPr>
              <w:spacing w:line="360" w:lineRule="exact"/>
              <w:jc w:val="center"/>
              <w:rPr>
                <w:sz w:val="18"/>
              </w:rPr>
            </w:pPr>
            <w:r>
              <w:rPr>
                <w:sz w:val="18"/>
              </w:rPr>
              <w:t>1987-1988</w:t>
            </w:r>
            <w:r>
              <w:rPr>
                <w:rFonts w:hint="eastAsia"/>
                <w:sz w:val="18"/>
              </w:rPr>
              <w:t>年</w:t>
            </w:r>
          </w:p>
        </w:tc>
        <w:tc>
          <w:tcPr>
            <w:tcW w:w="1471" w:type="dxa"/>
            <w:tcBorders>
              <w:top w:val="single" w:sz="6" w:space="0" w:color="auto"/>
              <w:bottom w:val="single" w:sz="6" w:space="0" w:color="auto"/>
            </w:tcBorders>
          </w:tcPr>
          <w:p w:rsidR="00000000" w:rsidRDefault="00000000">
            <w:pPr>
              <w:spacing w:line="360" w:lineRule="exact"/>
              <w:jc w:val="center"/>
              <w:rPr>
                <w:sz w:val="18"/>
              </w:rPr>
            </w:pPr>
            <w:r>
              <w:rPr>
                <w:sz w:val="18"/>
              </w:rPr>
              <w:t>1988-1990</w:t>
            </w:r>
            <w:r>
              <w:rPr>
                <w:rFonts w:hint="eastAsia"/>
                <w:sz w:val="18"/>
              </w:rPr>
              <w:t>年</w:t>
            </w:r>
          </w:p>
        </w:tc>
        <w:tc>
          <w:tcPr>
            <w:tcW w:w="1440" w:type="dxa"/>
            <w:tcBorders>
              <w:top w:val="single" w:sz="6" w:space="0" w:color="auto"/>
              <w:bottom w:val="single" w:sz="6" w:space="0" w:color="auto"/>
            </w:tcBorders>
          </w:tcPr>
          <w:p w:rsidR="00000000" w:rsidRDefault="00000000">
            <w:pPr>
              <w:spacing w:line="360" w:lineRule="exact"/>
              <w:jc w:val="center"/>
              <w:rPr>
                <w:sz w:val="18"/>
              </w:rPr>
            </w:pPr>
            <w:r>
              <w:rPr>
                <w:sz w:val="18"/>
              </w:rPr>
              <w:t>1990-1993</w:t>
            </w:r>
            <w:r>
              <w:rPr>
                <w:rFonts w:hint="eastAsia"/>
                <w:sz w:val="18"/>
              </w:rPr>
              <w:t>年</w:t>
            </w:r>
          </w:p>
        </w:tc>
        <w:tc>
          <w:tcPr>
            <w:tcW w:w="1440" w:type="dxa"/>
            <w:tcBorders>
              <w:top w:val="single" w:sz="6" w:space="0" w:color="auto"/>
              <w:bottom w:val="single" w:sz="6" w:space="0" w:color="auto"/>
            </w:tcBorders>
          </w:tcPr>
          <w:p w:rsidR="00000000" w:rsidRDefault="00000000">
            <w:pPr>
              <w:spacing w:line="360" w:lineRule="exact"/>
              <w:jc w:val="center"/>
              <w:rPr>
                <w:sz w:val="18"/>
              </w:rPr>
            </w:pPr>
            <w:r>
              <w:rPr>
                <w:sz w:val="18"/>
              </w:rPr>
              <w:t>1993-1994</w:t>
            </w:r>
            <w:r>
              <w:rPr>
                <w:rFonts w:hint="eastAsia"/>
                <w:sz w:val="18"/>
              </w:rPr>
              <w:t>年</w:t>
            </w:r>
          </w:p>
        </w:tc>
        <w:tc>
          <w:tcPr>
            <w:tcW w:w="1680" w:type="dxa"/>
            <w:tcBorders>
              <w:top w:val="single" w:sz="6" w:space="0" w:color="auto"/>
              <w:bottom w:val="single" w:sz="6" w:space="0" w:color="auto"/>
            </w:tcBorders>
          </w:tcPr>
          <w:p w:rsidR="00000000" w:rsidRDefault="00000000">
            <w:pPr>
              <w:spacing w:line="360" w:lineRule="exact"/>
              <w:jc w:val="center"/>
              <w:rPr>
                <w:sz w:val="18"/>
              </w:rPr>
            </w:pPr>
            <w:r>
              <w:rPr>
                <w:sz w:val="18"/>
              </w:rPr>
              <w:t>1994-1998</w:t>
            </w:r>
            <w:r>
              <w:rPr>
                <w:rFonts w:hint="eastAsia"/>
                <w:sz w:val="18"/>
              </w:rPr>
              <w:t>年</w:t>
            </w:r>
          </w:p>
        </w:tc>
        <w:tc>
          <w:tcPr>
            <w:tcW w:w="720" w:type="dxa"/>
            <w:tcBorders>
              <w:top w:val="single" w:sz="6" w:space="0" w:color="auto"/>
              <w:bottom w:val="single" w:sz="6" w:space="0" w:color="auto"/>
            </w:tcBorders>
          </w:tcPr>
          <w:p w:rsidR="00000000" w:rsidRDefault="00000000">
            <w:pPr>
              <w:spacing w:line="360" w:lineRule="exact"/>
              <w:jc w:val="center"/>
              <w:rPr>
                <w:sz w:val="18"/>
              </w:rPr>
            </w:pPr>
            <w:r>
              <w:rPr>
                <w:sz w:val="18"/>
              </w:rPr>
              <w:t>1998</w:t>
            </w:r>
            <w:r>
              <w:rPr>
                <w:rFonts w:hint="eastAsia"/>
                <w:sz w:val="18"/>
              </w:rPr>
              <w:t>年</w:t>
            </w:r>
            <w:r>
              <w:rPr>
                <w:rFonts w:hint="eastAsia"/>
                <w:sz w:val="18"/>
              </w:rPr>
              <w:t>-</w:t>
            </w:r>
          </w:p>
        </w:tc>
      </w:tr>
      <w:tr w:rsidR="00000000">
        <w:tblPrEx>
          <w:tblCellMar>
            <w:top w:w="0" w:type="dxa"/>
            <w:bottom w:w="0" w:type="dxa"/>
          </w:tblCellMar>
        </w:tblPrEx>
        <w:tc>
          <w:tcPr>
            <w:tcW w:w="1239" w:type="dxa"/>
          </w:tcPr>
          <w:p w:rsidR="00000000" w:rsidRDefault="00000000">
            <w:pPr>
              <w:spacing w:line="360" w:lineRule="exact"/>
              <w:jc w:val="center"/>
              <w:rPr>
                <w:sz w:val="18"/>
              </w:rPr>
            </w:pPr>
          </w:p>
        </w:tc>
        <w:tc>
          <w:tcPr>
            <w:tcW w:w="1239" w:type="dxa"/>
          </w:tcPr>
          <w:p w:rsidR="00000000" w:rsidRDefault="00000000">
            <w:pPr>
              <w:spacing w:line="360" w:lineRule="exact"/>
              <w:jc w:val="center"/>
              <w:rPr>
                <w:sz w:val="18"/>
              </w:rPr>
            </w:pPr>
            <w:r>
              <w:rPr>
                <w:rFonts w:hint="eastAsia"/>
                <w:sz w:val="18"/>
              </w:rPr>
              <w:t>妇女</w:t>
            </w:r>
          </w:p>
        </w:tc>
        <w:tc>
          <w:tcPr>
            <w:tcW w:w="1239" w:type="dxa"/>
          </w:tcPr>
          <w:p w:rsidR="00000000" w:rsidRDefault="00000000">
            <w:pPr>
              <w:spacing w:line="360" w:lineRule="exact"/>
              <w:jc w:val="center"/>
              <w:rPr>
                <w:sz w:val="18"/>
              </w:rPr>
            </w:pPr>
            <w:r>
              <w:rPr>
                <w:rFonts w:hint="eastAsia"/>
                <w:sz w:val="18"/>
              </w:rPr>
              <w:t>妇女</w:t>
            </w:r>
          </w:p>
        </w:tc>
        <w:tc>
          <w:tcPr>
            <w:tcW w:w="1471" w:type="dxa"/>
          </w:tcPr>
          <w:p w:rsidR="00000000" w:rsidRDefault="00000000">
            <w:pPr>
              <w:spacing w:line="360" w:lineRule="exact"/>
              <w:jc w:val="center"/>
              <w:rPr>
                <w:sz w:val="18"/>
              </w:rPr>
            </w:pPr>
            <w:r>
              <w:rPr>
                <w:rFonts w:hint="eastAsia"/>
                <w:sz w:val="18"/>
              </w:rPr>
              <w:t>妇女</w:t>
            </w:r>
          </w:p>
        </w:tc>
        <w:tc>
          <w:tcPr>
            <w:tcW w:w="1440" w:type="dxa"/>
          </w:tcPr>
          <w:p w:rsidR="00000000" w:rsidRDefault="00000000">
            <w:pPr>
              <w:spacing w:line="360" w:lineRule="exact"/>
              <w:jc w:val="center"/>
              <w:rPr>
                <w:sz w:val="18"/>
              </w:rPr>
            </w:pPr>
            <w:r>
              <w:rPr>
                <w:rFonts w:hint="eastAsia"/>
                <w:sz w:val="18"/>
              </w:rPr>
              <w:t>妇女</w:t>
            </w:r>
          </w:p>
        </w:tc>
        <w:tc>
          <w:tcPr>
            <w:tcW w:w="1440" w:type="dxa"/>
          </w:tcPr>
          <w:p w:rsidR="00000000" w:rsidRDefault="00000000">
            <w:pPr>
              <w:spacing w:line="360" w:lineRule="exact"/>
              <w:jc w:val="center"/>
              <w:rPr>
                <w:sz w:val="18"/>
              </w:rPr>
            </w:pPr>
            <w:r>
              <w:rPr>
                <w:rFonts w:hint="eastAsia"/>
                <w:sz w:val="18"/>
              </w:rPr>
              <w:t>妇女</w:t>
            </w:r>
          </w:p>
        </w:tc>
        <w:tc>
          <w:tcPr>
            <w:tcW w:w="1680" w:type="dxa"/>
          </w:tcPr>
          <w:p w:rsidR="00000000" w:rsidRDefault="00000000">
            <w:pPr>
              <w:spacing w:line="360" w:lineRule="exact"/>
              <w:jc w:val="center"/>
              <w:rPr>
                <w:sz w:val="18"/>
              </w:rPr>
            </w:pPr>
            <w:r>
              <w:rPr>
                <w:rFonts w:hint="eastAsia"/>
                <w:sz w:val="18"/>
              </w:rPr>
              <w:t>妇女</w:t>
            </w:r>
          </w:p>
        </w:tc>
        <w:tc>
          <w:tcPr>
            <w:tcW w:w="720" w:type="dxa"/>
          </w:tcPr>
          <w:p w:rsidR="00000000" w:rsidRDefault="00000000">
            <w:pPr>
              <w:spacing w:line="360" w:lineRule="exact"/>
              <w:jc w:val="center"/>
              <w:rPr>
                <w:sz w:val="18"/>
              </w:rPr>
            </w:pPr>
            <w:r>
              <w:rPr>
                <w:rFonts w:hint="eastAsia"/>
                <w:sz w:val="18"/>
              </w:rPr>
              <w:t>妇女</w:t>
            </w:r>
          </w:p>
        </w:tc>
      </w:tr>
      <w:tr w:rsidR="00000000">
        <w:tblPrEx>
          <w:tblCellMar>
            <w:top w:w="0" w:type="dxa"/>
            <w:bottom w:w="0" w:type="dxa"/>
          </w:tblCellMar>
        </w:tblPrEx>
        <w:tc>
          <w:tcPr>
            <w:tcW w:w="1239" w:type="dxa"/>
            <w:tcBorders>
              <w:bottom w:val="single" w:sz="6" w:space="0" w:color="auto"/>
            </w:tcBorders>
          </w:tcPr>
          <w:p w:rsidR="00000000" w:rsidRDefault="00000000">
            <w:pPr>
              <w:spacing w:line="360" w:lineRule="exact"/>
              <w:jc w:val="center"/>
              <w:rPr>
                <w:sz w:val="18"/>
              </w:rPr>
            </w:pPr>
          </w:p>
        </w:tc>
        <w:tc>
          <w:tcPr>
            <w:tcW w:w="1239" w:type="dxa"/>
            <w:tcBorders>
              <w:bottom w:val="single" w:sz="6" w:space="0" w:color="auto"/>
            </w:tcBorders>
          </w:tcPr>
          <w:p w:rsidR="00000000" w:rsidRDefault="00000000">
            <w:pPr>
              <w:spacing w:line="360" w:lineRule="exact"/>
              <w:jc w:val="center"/>
              <w:rPr>
                <w:sz w:val="18"/>
              </w:rPr>
            </w:pPr>
            <w:r>
              <w:rPr>
                <w:sz w:val="18"/>
              </w:rPr>
              <w:t>%</w:t>
            </w:r>
          </w:p>
        </w:tc>
        <w:tc>
          <w:tcPr>
            <w:tcW w:w="1239" w:type="dxa"/>
            <w:tcBorders>
              <w:bottom w:val="single" w:sz="6" w:space="0" w:color="auto"/>
            </w:tcBorders>
          </w:tcPr>
          <w:p w:rsidR="00000000" w:rsidRDefault="00000000">
            <w:pPr>
              <w:spacing w:line="360" w:lineRule="exact"/>
              <w:jc w:val="center"/>
              <w:rPr>
                <w:sz w:val="18"/>
              </w:rPr>
            </w:pPr>
            <w:r>
              <w:rPr>
                <w:sz w:val="18"/>
              </w:rPr>
              <w:t>%</w:t>
            </w:r>
          </w:p>
        </w:tc>
        <w:tc>
          <w:tcPr>
            <w:tcW w:w="1471" w:type="dxa"/>
            <w:tcBorders>
              <w:bottom w:val="single" w:sz="6" w:space="0" w:color="auto"/>
            </w:tcBorders>
          </w:tcPr>
          <w:p w:rsidR="00000000" w:rsidRDefault="00000000">
            <w:pPr>
              <w:spacing w:line="360" w:lineRule="exact"/>
              <w:jc w:val="center"/>
              <w:rPr>
                <w:sz w:val="18"/>
              </w:rPr>
            </w:pPr>
            <w:r>
              <w:rPr>
                <w:sz w:val="18"/>
              </w:rPr>
              <w:t>%</w:t>
            </w:r>
          </w:p>
        </w:tc>
        <w:tc>
          <w:tcPr>
            <w:tcW w:w="1440" w:type="dxa"/>
            <w:tcBorders>
              <w:bottom w:val="single" w:sz="6" w:space="0" w:color="auto"/>
            </w:tcBorders>
          </w:tcPr>
          <w:p w:rsidR="00000000" w:rsidRDefault="00000000">
            <w:pPr>
              <w:spacing w:line="360" w:lineRule="exact"/>
              <w:jc w:val="center"/>
              <w:rPr>
                <w:sz w:val="18"/>
              </w:rPr>
            </w:pPr>
            <w:r>
              <w:rPr>
                <w:sz w:val="18"/>
              </w:rPr>
              <w:t>%</w:t>
            </w:r>
          </w:p>
        </w:tc>
        <w:tc>
          <w:tcPr>
            <w:tcW w:w="1440" w:type="dxa"/>
            <w:tcBorders>
              <w:bottom w:val="single" w:sz="6" w:space="0" w:color="auto"/>
            </w:tcBorders>
          </w:tcPr>
          <w:p w:rsidR="00000000" w:rsidRDefault="00000000">
            <w:pPr>
              <w:spacing w:line="360" w:lineRule="exact"/>
              <w:jc w:val="center"/>
              <w:rPr>
                <w:sz w:val="18"/>
              </w:rPr>
            </w:pPr>
            <w:r>
              <w:rPr>
                <w:sz w:val="18"/>
              </w:rPr>
              <w:t>%</w:t>
            </w:r>
          </w:p>
        </w:tc>
        <w:tc>
          <w:tcPr>
            <w:tcW w:w="1680" w:type="dxa"/>
            <w:tcBorders>
              <w:bottom w:val="single" w:sz="6" w:space="0" w:color="auto"/>
            </w:tcBorders>
          </w:tcPr>
          <w:p w:rsidR="00000000" w:rsidRDefault="00000000">
            <w:pPr>
              <w:spacing w:line="360" w:lineRule="exact"/>
              <w:jc w:val="center"/>
              <w:rPr>
                <w:sz w:val="18"/>
              </w:rPr>
            </w:pPr>
            <w:r>
              <w:rPr>
                <w:sz w:val="18"/>
              </w:rPr>
              <w:t>%</w:t>
            </w:r>
          </w:p>
        </w:tc>
        <w:tc>
          <w:tcPr>
            <w:tcW w:w="720" w:type="dxa"/>
            <w:tcBorders>
              <w:bottom w:val="single" w:sz="6" w:space="0" w:color="auto"/>
            </w:tcBorders>
          </w:tcPr>
          <w:p w:rsidR="00000000" w:rsidRDefault="00000000">
            <w:pPr>
              <w:spacing w:line="360" w:lineRule="exact"/>
              <w:jc w:val="center"/>
              <w:rPr>
                <w:sz w:val="18"/>
              </w:rPr>
            </w:pPr>
            <w:r>
              <w:rPr>
                <w:sz w:val="18"/>
              </w:rPr>
              <w:t>%</w:t>
            </w:r>
          </w:p>
        </w:tc>
      </w:tr>
      <w:tr w:rsidR="00000000">
        <w:tblPrEx>
          <w:tblCellMar>
            <w:top w:w="0" w:type="dxa"/>
            <w:bottom w:w="0" w:type="dxa"/>
          </w:tblCellMar>
        </w:tblPrEx>
        <w:tc>
          <w:tcPr>
            <w:tcW w:w="1239" w:type="dxa"/>
          </w:tcPr>
          <w:p w:rsidR="00000000" w:rsidRDefault="00000000">
            <w:pPr>
              <w:spacing w:line="360" w:lineRule="exact"/>
              <w:jc w:val="center"/>
              <w:rPr>
                <w:sz w:val="18"/>
              </w:rPr>
            </w:pPr>
            <w:r>
              <w:rPr>
                <w:rFonts w:hint="eastAsia"/>
                <w:sz w:val="18"/>
              </w:rPr>
              <w:t>议会</w:t>
            </w:r>
          </w:p>
        </w:tc>
        <w:tc>
          <w:tcPr>
            <w:tcW w:w="1239" w:type="dxa"/>
          </w:tcPr>
          <w:p w:rsidR="00000000" w:rsidRDefault="00000000">
            <w:pPr>
              <w:spacing w:line="360" w:lineRule="exact"/>
              <w:jc w:val="center"/>
              <w:rPr>
                <w:sz w:val="18"/>
              </w:rPr>
            </w:pPr>
            <w:r>
              <w:rPr>
                <w:sz w:val="18"/>
              </w:rPr>
              <w:t>26</w:t>
            </w:r>
          </w:p>
        </w:tc>
        <w:tc>
          <w:tcPr>
            <w:tcW w:w="1239" w:type="dxa"/>
          </w:tcPr>
          <w:p w:rsidR="00000000" w:rsidRDefault="00000000">
            <w:pPr>
              <w:spacing w:line="360" w:lineRule="exact"/>
              <w:jc w:val="center"/>
              <w:rPr>
                <w:sz w:val="18"/>
              </w:rPr>
            </w:pPr>
            <w:r>
              <w:rPr>
                <w:sz w:val="18"/>
              </w:rPr>
              <w:t>29</w:t>
            </w:r>
          </w:p>
        </w:tc>
        <w:tc>
          <w:tcPr>
            <w:tcW w:w="1471" w:type="dxa"/>
          </w:tcPr>
          <w:p w:rsidR="00000000" w:rsidRDefault="00000000">
            <w:pPr>
              <w:spacing w:line="360" w:lineRule="exact"/>
              <w:jc w:val="center"/>
              <w:rPr>
                <w:sz w:val="18"/>
              </w:rPr>
            </w:pPr>
            <w:r>
              <w:rPr>
                <w:sz w:val="18"/>
              </w:rPr>
              <w:t>31</w:t>
            </w:r>
          </w:p>
        </w:tc>
        <w:tc>
          <w:tcPr>
            <w:tcW w:w="1440" w:type="dxa"/>
          </w:tcPr>
          <w:p w:rsidR="00000000" w:rsidRDefault="00000000">
            <w:pPr>
              <w:spacing w:line="360" w:lineRule="exact"/>
              <w:jc w:val="center"/>
              <w:rPr>
                <w:sz w:val="18"/>
              </w:rPr>
            </w:pPr>
            <w:r>
              <w:rPr>
                <w:sz w:val="18"/>
              </w:rPr>
              <w:t>33</w:t>
            </w:r>
          </w:p>
        </w:tc>
        <w:tc>
          <w:tcPr>
            <w:tcW w:w="1440" w:type="dxa"/>
          </w:tcPr>
          <w:p w:rsidR="00000000" w:rsidRDefault="00000000">
            <w:pPr>
              <w:spacing w:line="360" w:lineRule="exact"/>
              <w:jc w:val="center"/>
              <w:rPr>
                <w:sz w:val="18"/>
              </w:rPr>
            </w:pPr>
            <w:r>
              <w:rPr>
                <w:sz w:val="18"/>
              </w:rPr>
              <w:t>33</w:t>
            </w:r>
          </w:p>
        </w:tc>
        <w:tc>
          <w:tcPr>
            <w:tcW w:w="1680" w:type="dxa"/>
          </w:tcPr>
          <w:p w:rsidR="00000000" w:rsidRDefault="00000000">
            <w:pPr>
              <w:spacing w:line="360" w:lineRule="exact"/>
              <w:jc w:val="center"/>
              <w:rPr>
                <w:sz w:val="18"/>
              </w:rPr>
            </w:pPr>
            <w:r>
              <w:rPr>
                <w:sz w:val="18"/>
              </w:rPr>
              <w:t>33</w:t>
            </w:r>
          </w:p>
        </w:tc>
        <w:tc>
          <w:tcPr>
            <w:tcW w:w="720" w:type="dxa"/>
          </w:tcPr>
          <w:p w:rsidR="00000000" w:rsidRDefault="00000000">
            <w:pPr>
              <w:spacing w:line="360" w:lineRule="exact"/>
              <w:jc w:val="center"/>
              <w:rPr>
                <w:sz w:val="18"/>
              </w:rPr>
            </w:pPr>
            <w:r>
              <w:rPr>
                <w:sz w:val="18"/>
              </w:rPr>
              <w:t>37</w:t>
            </w:r>
          </w:p>
        </w:tc>
      </w:tr>
      <w:tr w:rsidR="00000000">
        <w:tblPrEx>
          <w:tblCellMar>
            <w:top w:w="0" w:type="dxa"/>
            <w:bottom w:w="0" w:type="dxa"/>
          </w:tblCellMar>
        </w:tblPrEx>
        <w:tc>
          <w:tcPr>
            <w:tcW w:w="1239" w:type="dxa"/>
            <w:tcBorders>
              <w:bottom w:val="single" w:sz="6" w:space="0" w:color="auto"/>
            </w:tcBorders>
          </w:tcPr>
          <w:p w:rsidR="00000000" w:rsidRDefault="00000000">
            <w:pPr>
              <w:spacing w:line="360" w:lineRule="exact"/>
              <w:jc w:val="center"/>
              <w:rPr>
                <w:sz w:val="18"/>
              </w:rPr>
            </w:pPr>
            <w:r>
              <w:rPr>
                <w:rFonts w:hint="eastAsia"/>
                <w:sz w:val="18"/>
              </w:rPr>
              <w:t>内阁</w:t>
            </w:r>
          </w:p>
        </w:tc>
        <w:tc>
          <w:tcPr>
            <w:tcW w:w="1239" w:type="dxa"/>
            <w:tcBorders>
              <w:bottom w:val="single" w:sz="6" w:space="0" w:color="auto"/>
            </w:tcBorders>
          </w:tcPr>
          <w:p w:rsidR="00000000" w:rsidRDefault="00000000">
            <w:pPr>
              <w:spacing w:line="360" w:lineRule="exact"/>
              <w:jc w:val="center"/>
              <w:rPr>
                <w:sz w:val="18"/>
              </w:rPr>
            </w:pPr>
            <w:r>
              <w:rPr>
                <w:sz w:val="18"/>
              </w:rPr>
              <w:t>19</w:t>
            </w:r>
          </w:p>
        </w:tc>
        <w:tc>
          <w:tcPr>
            <w:tcW w:w="1239" w:type="dxa"/>
            <w:tcBorders>
              <w:bottom w:val="single" w:sz="6" w:space="0" w:color="auto"/>
            </w:tcBorders>
          </w:tcPr>
          <w:p w:rsidR="00000000" w:rsidRDefault="00000000">
            <w:pPr>
              <w:spacing w:line="360" w:lineRule="exact"/>
              <w:jc w:val="center"/>
              <w:rPr>
                <w:sz w:val="18"/>
              </w:rPr>
            </w:pPr>
            <w:r>
              <w:rPr>
                <w:sz w:val="18"/>
              </w:rPr>
              <w:t>14</w:t>
            </w:r>
          </w:p>
        </w:tc>
        <w:tc>
          <w:tcPr>
            <w:tcW w:w="1471" w:type="dxa"/>
            <w:tcBorders>
              <w:bottom w:val="single" w:sz="6" w:space="0" w:color="auto"/>
            </w:tcBorders>
          </w:tcPr>
          <w:p w:rsidR="00000000" w:rsidRDefault="00000000">
            <w:pPr>
              <w:spacing w:line="360" w:lineRule="exact"/>
              <w:jc w:val="center"/>
              <w:rPr>
                <w:sz w:val="18"/>
              </w:rPr>
            </w:pPr>
            <w:r>
              <w:rPr>
                <w:sz w:val="18"/>
              </w:rPr>
              <w:t>19</w:t>
            </w:r>
          </w:p>
        </w:tc>
        <w:tc>
          <w:tcPr>
            <w:tcW w:w="1440" w:type="dxa"/>
            <w:tcBorders>
              <w:bottom w:val="single" w:sz="6" w:space="0" w:color="auto"/>
            </w:tcBorders>
          </w:tcPr>
          <w:p w:rsidR="00000000" w:rsidRDefault="00000000">
            <w:pPr>
              <w:spacing w:line="360" w:lineRule="exact"/>
              <w:jc w:val="center"/>
              <w:rPr>
                <w:sz w:val="18"/>
              </w:rPr>
            </w:pPr>
            <w:r>
              <w:rPr>
                <w:sz w:val="18"/>
              </w:rPr>
              <w:t>21</w:t>
            </w:r>
          </w:p>
        </w:tc>
        <w:tc>
          <w:tcPr>
            <w:tcW w:w="1440" w:type="dxa"/>
            <w:tcBorders>
              <w:bottom w:val="single" w:sz="6" w:space="0" w:color="auto"/>
            </w:tcBorders>
          </w:tcPr>
          <w:p w:rsidR="00000000" w:rsidRDefault="00000000">
            <w:pPr>
              <w:spacing w:line="360" w:lineRule="exact"/>
              <w:jc w:val="center"/>
              <w:rPr>
                <w:sz w:val="18"/>
              </w:rPr>
            </w:pPr>
            <w:r>
              <w:rPr>
                <w:sz w:val="18"/>
              </w:rPr>
              <w:t>33</w:t>
            </w:r>
          </w:p>
        </w:tc>
        <w:tc>
          <w:tcPr>
            <w:tcW w:w="1680" w:type="dxa"/>
            <w:tcBorders>
              <w:bottom w:val="single" w:sz="6" w:space="0" w:color="auto"/>
            </w:tcBorders>
          </w:tcPr>
          <w:p w:rsidR="00000000" w:rsidRDefault="00000000">
            <w:pPr>
              <w:spacing w:line="360" w:lineRule="exact"/>
              <w:jc w:val="center"/>
              <w:rPr>
                <w:sz w:val="18"/>
              </w:rPr>
            </w:pPr>
            <w:r>
              <w:rPr>
                <w:sz w:val="18"/>
              </w:rPr>
              <w:t>35</w:t>
            </w:r>
          </w:p>
        </w:tc>
        <w:tc>
          <w:tcPr>
            <w:tcW w:w="720" w:type="dxa"/>
            <w:tcBorders>
              <w:bottom w:val="single" w:sz="6" w:space="0" w:color="auto"/>
            </w:tcBorders>
          </w:tcPr>
          <w:p w:rsidR="00000000" w:rsidRDefault="00000000">
            <w:pPr>
              <w:spacing w:line="360" w:lineRule="exact"/>
              <w:jc w:val="center"/>
              <w:rPr>
                <w:sz w:val="18"/>
              </w:rPr>
            </w:pPr>
            <w:r>
              <w:rPr>
                <w:sz w:val="18"/>
              </w:rPr>
              <w:t>45</w:t>
            </w:r>
          </w:p>
        </w:tc>
      </w:tr>
    </w:tbl>
    <w:p w:rsidR="00000000" w:rsidRDefault="00000000">
      <w:pPr>
        <w:spacing w:after="240" w:line="360" w:lineRule="exact"/>
        <w:ind w:firstLine="425"/>
      </w:pPr>
      <w:r>
        <w:rPr>
          <w:rFonts w:hint="eastAsia"/>
        </w:rPr>
        <w:t>资料来源：《平等地位委员会年度报告》，</w:t>
      </w:r>
      <w:r>
        <w:t>1998</w:t>
      </w:r>
      <w:r>
        <w:rPr>
          <w:rFonts w:hint="eastAsia"/>
        </w:rPr>
        <w:t>年，以及丹麦议会，</w:t>
      </w:r>
      <w:r>
        <w:t>1999</w:t>
      </w:r>
      <w:r>
        <w:rPr>
          <w:rFonts w:hint="eastAsia"/>
        </w:rPr>
        <w:t>年。</w:t>
      </w:r>
    </w:p>
    <w:p w:rsidR="00000000" w:rsidRDefault="00000000">
      <w:pPr>
        <w:spacing w:after="240" w:line="360" w:lineRule="exact"/>
        <w:ind w:firstLine="425"/>
      </w:pPr>
      <w:r>
        <w:rPr>
          <w:rFonts w:hint="eastAsia"/>
        </w:rPr>
        <w:t>妇女在议会各委员会中所占比例超过</w:t>
      </w:r>
      <w:r>
        <w:t>33%</w:t>
      </w:r>
      <w:r>
        <w:rPr>
          <w:rFonts w:hint="eastAsia"/>
        </w:rPr>
        <w:t>，而且，自</w:t>
      </w:r>
      <w:r>
        <w:t>1990</w:t>
      </w:r>
      <w:r>
        <w:rPr>
          <w:rFonts w:hint="eastAsia"/>
        </w:rPr>
        <w:t>年以来她们的比例相当稳定。</w:t>
      </w:r>
      <w:r>
        <w:t>1997</w:t>
      </w:r>
      <w:r>
        <w:rPr>
          <w:rFonts w:hint="eastAsia"/>
        </w:rPr>
        <w:t>年，她们占议会各委员会的</w:t>
      </w:r>
      <w:r>
        <w:t>36%</w:t>
      </w:r>
      <w:r>
        <w:rPr>
          <w:rFonts w:hint="eastAsia"/>
        </w:rPr>
        <w:t>以上，与</w:t>
      </w:r>
      <w:r>
        <w:t>1996</w:t>
      </w:r>
      <w:r>
        <w:rPr>
          <w:rFonts w:hint="eastAsia"/>
        </w:rPr>
        <w:t>年相比略有下降。</w:t>
      </w:r>
    </w:p>
    <w:tbl>
      <w:tblPr>
        <w:tblW w:w="0" w:type="auto"/>
        <w:tblLayout w:type="fixed"/>
        <w:tblCellMar>
          <w:left w:w="28" w:type="dxa"/>
          <w:right w:w="28" w:type="dxa"/>
        </w:tblCellMar>
        <w:tblLook w:val="0000" w:firstRow="0" w:lastRow="0" w:firstColumn="0" w:lastColumn="0" w:noHBand="0" w:noVBand="0"/>
      </w:tblPr>
      <w:tblGrid>
        <w:gridCol w:w="1239"/>
        <w:gridCol w:w="1239"/>
        <w:gridCol w:w="1239"/>
        <w:gridCol w:w="1239"/>
        <w:gridCol w:w="1239"/>
        <w:gridCol w:w="1239"/>
        <w:gridCol w:w="1239"/>
        <w:gridCol w:w="1239"/>
      </w:tblGrid>
      <w:tr w:rsidR="00000000">
        <w:tblPrEx>
          <w:tblCellMar>
            <w:top w:w="0" w:type="dxa"/>
            <w:bottom w:w="0" w:type="dxa"/>
          </w:tblCellMar>
        </w:tblPrEx>
        <w:tc>
          <w:tcPr>
            <w:tcW w:w="1239" w:type="dxa"/>
            <w:tcBorders>
              <w:top w:val="single" w:sz="6" w:space="0" w:color="auto"/>
              <w:bottom w:val="single" w:sz="6" w:space="0" w:color="auto"/>
            </w:tcBorders>
          </w:tcPr>
          <w:p w:rsidR="00000000" w:rsidRDefault="00000000">
            <w:pPr>
              <w:spacing w:line="360" w:lineRule="exact"/>
              <w:rPr>
                <w:sz w:val="18"/>
              </w:rPr>
            </w:pPr>
            <w:r>
              <w:rPr>
                <w:rFonts w:hint="eastAsia"/>
                <w:sz w:val="18"/>
              </w:rPr>
              <w:t>议会委员会</w:t>
            </w:r>
          </w:p>
        </w:tc>
        <w:tc>
          <w:tcPr>
            <w:tcW w:w="1239" w:type="dxa"/>
            <w:tcBorders>
              <w:top w:val="single" w:sz="6" w:space="0" w:color="auto"/>
              <w:bottom w:val="single" w:sz="6" w:space="0" w:color="auto"/>
            </w:tcBorders>
          </w:tcPr>
          <w:p w:rsidR="00000000" w:rsidRDefault="00000000">
            <w:pPr>
              <w:spacing w:line="360" w:lineRule="exact"/>
              <w:jc w:val="center"/>
              <w:rPr>
                <w:sz w:val="18"/>
              </w:rPr>
            </w:pPr>
            <w:r>
              <w:rPr>
                <w:sz w:val="18"/>
              </w:rPr>
              <w:t>1990</w:t>
            </w:r>
            <w:r>
              <w:rPr>
                <w:rFonts w:hint="eastAsia"/>
                <w:sz w:val="18"/>
              </w:rPr>
              <w:t>年</w:t>
            </w:r>
          </w:p>
        </w:tc>
        <w:tc>
          <w:tcPr>
            <w:tcW w:w="1239" w:type="dxa"/>
            <w:tcBorders>
              <w:top w:val="single" w:sz="6" w:space="0" w:color="auto"/>
              <w:bottom w:val="single" w:sz="6" w:space="0" w:color="auto"/>
            </w:tcBorders>
          </w:tcPr>
          <w:p w:rsidR="00000000" w:rsidRDefault="00000000">
            <w:pPr>
              <w:spacing w:line="360" w:lineRule="exact"/>
              <w:jc w:val="center"/>
              <w:rPr>
                <w:sz w:val="18"/>
              </w:rPr>
            </w:pPr>
            <w:r>
              <w:rPr>
                <w:sz w:val="18"/>
              </w:rPr>
              <w:t>1994</w:t>
            </w:r>
            <w:r>
              <w:rPr>
                <w:rFonts w:hint="eastAsia"/>
                <w:sz w:val="18"/>
              </w:rPr>
              <w:t>年</w:t>
            </w:r>
          </w:p>
        </w:tc>
        <w:tc>
          <w:tcPr>
            <w:tcW w:w="1239" w:type="dxa"/>
            <w:tcBorders>
              <w:top w:val="single" w:sz="6" w:space="0" w:color="auto"/>
              <w:bottom w:val="single" w:sz="6" w:space="0" w:color="auto"/>
            </w:tcBorders>
          </w:tcPr>
          <w:p w:rsidR="00000000" w:rsidRDefault="00000000">
            <w:pPr>
              <w:spacing w:line="360" w:lineRule="exact"/>
              <w:jc w:val="center"/>
              <w:rPr>
                <w:sz w:val="18"/>
              </w:rPr>
            </w:pPr>
            <w:r>
              <w:rPr>
                <w:sz w:val="18"/>
              </w:rPr>
              <w:t>1995</w:t>
            </w:r>
            <w:r>
              <w:rPr>
                <w:rFonts w:hint="eastAsia"/>
                <w:sz w:val="18"/>
              </w:rPr>
              <w:t>年</w:t>
            </w:r>
          </w:p>
        </w:tc>
        <w:tc>
          <w:tcPr>
            <w:tcW w:w="1239" w:type="dxa"/>
            <w:tcBorders>
              <w:top w:val="single" w:sz="6" w:space="0" w:color="auto"/>
              <w:bottom w:val="single" w:sz="6" w:space="0" w:color="auto"/>
            </w:tcBorders>
          </w:tcPr>
          <w:p w:rsidR="00000000" w:rsidRDefault="00000000">
            <w:pPr>
              <w:spacing w:line="360" w:lineRule="exact"/>
              <w:jc w:val="center"/>
              <w:rPr>
                <w:sz w:val="18"/>
              </w:rPr>
            </w:pPr>
            <w:r>
              <w:rPr>
                <w:sz w:val="18"/>
              </w:rPr>
              <w:t>1996</w:t>
            </w:r>
            <w:r>
              <w:rPr>
                <w:rFonts w:hint="eastAsia"/>
                <w:sz w:val="18"/>
              </w:rPr>
              <w:t>年</w:t>
            </w:r>
          </w:p>
        </w:tc>
        <w:tc>
          <w:tcPr>
            <w:tcW w:w="1239" w:type="dxa"/>
            <w:tcBorders>
              <w:top w:val="single" w:sz="6" w:space="0" w:color="auto"/>
              <w:bottom w:val="single" w:sz="6" w:space="0" w:color="auto"/>
            </w:tcBorders>
          </w:tcPr>
          <w:p w:rsidR="00000000" w:rsidRDefault="00000000">
            <w:pPr>
              <w:spacing w:line="360" w:lineRule="exact"/>
              <w:jc w:val="center"/>
              <w:rPr>
                <w:sz w:val="18"/>
              </w:rPr>
            </w:pPr>
            <w:r>
              <w:rPr>
                <w:sz w:val="18"/>
              </w:rPr>
              <w:t>1997</w:t>
            </w:r>
            <w:r>
              <w:rPr>
                <w:rFonts w:hint="eastAsia"/>
                <w:sz w:val="18"/>
              </w:rPr>
              <w:t>年</w:t>
            </w:r>
          </w:p>
        </w:tc>
        <w:tc>
          <w:tcPr>
            <w:tcW w:w="1239" w:type="dxa"/>
            <w:tcBorders>
              <w:top w:val="single" w:sz="6" w:space="0" w:color="auto"/>
              <w:bottom w:val="single" w:sz="6" w:space="0" w:color="auto"/>
            </w:tcBorders>
          </w:tcPr>
          <w:p w:rsidR="00000000" w:rsidRDefault="00000000">
            <w:pPr>
              <w:spacing w:line="360" w:lineRule="exact"/>
              <w:jc w:val="center"/>
              <w:rPr>
                <w:sz w:val="18"/>
              </w:rPr>
            </w:pPr>
            <w:r>
              <w:rPr>
                <w:sz w:val="18"/>
              </w:rPr>
              <w:t>1998</w:t>
            </w:r>
            <w:r>
              <w:rPr>
                <w:rFonts w:hint="eastAsia"/>
                <w:sz w:val="18"/>
              </w:rPr>
              <w:t>年</w:t>
            </w:r>
          </w:p>
        </w:tc>
        <w:tc>
          <w:tcPr>
            <w:tcW w:w="1239" w:type="dxa"/>
            <w:tcBorders>
              <w:top w:val="single" w:sz="6" w:space="0" w:color="auto"/>
              <w:bottom w:val="single" w:sz="6" w:space="0" w:color="auto"/>
            </w:tcBorders>
          </w:tcPr>
          <w:p w:rsidR="00000000" w:rsidRDefault="00000000">
            <w:pPr>
              <w:spacing w:line="360" w:lineRule="exact"/>
              <w:jc w:val="center"/>
              <w:rPr>
                <w:sz w:val="18"/>
              </w:rPr>
            </w:pPr>
            <w:r>
              <w:rPr>
                <w:sz w:val="18"/>
              </w:rPr>
              <w:t>1999</w:t>
            </w:r>
            <w:r>
              <w:rPr>
                <w:rFonts w:hint="eastAsia"/>
                <w:sz w:val="18"/>
              </w:rPr>
              <w:t>年</w:t>
            </w:r>
          </w:p>
        </w:tc>
      </w:tr>
      <w:tr w:rsidR="00000000">
        <w:tblPrEx>
          <w:tblCellMar>
            <w:top w:w="0" w:type="dxa"/>
            <w:bottom w:w="0" w:type="dxa"/>
          </w:tblCellMar>
        </w:tblPrEx>
        <w:tc>
          <w:tcPr>
            <w:tcW w:w="1239" w:type="dxa"/>
          </w:tcPr>
          <w:p w:rsidR="00000000" w:rsidRDefault="00000000">
            <w:pPr>
              <w:spacing w:line="360" w:lineRule="exact"/>
              <w:rPr>
                <w:sz w:val="18"/>
              </w:rPr>
            </w:pPr>
          </w:p>
        </w:tc>
        <w:tc>
          <w:tcPr>
            <w:tcW w:w="1239" w:type="dxa"/>
          </w:tcPr>
          <w:p w:rsidR="00000000" w:rsidRDefault="00000000">
            <w:pPr>
              <w:spacing w:line="360" w:lineRule="exact"/>
              <w:jc w:val="center"/>
              <w:rPr>
                <w:sz w:val="18"/>
              </w:rPr>
            </w:pPr>
            <w:r>
              <w:rPr>
                <w:rFonts w:hint="eastAsia"/>
                <w:sz w:val="18"/>
              </w:rPr>
              <w:t>妇女</w:t>
            </w:r>
          </w:p>
        </w:tc>
        <w:tc>
          <w:tcPr>
            <w:tcW w:w="1239" w:type="dxa"/>
          </w:tcPr>
          <w:p w:rsidR="00000000" w:rsidRDefault="00000000">
            <w:pPr>
              <w:spacing w:line="360" w:lineRule="exact"/>
              <w:jc w:val="center"/>
              <w:rPr>
                <w:sz w:val="18"/>
              </w:rPr>
            </w:pPr>
            <w:r>
              <w:rPr>
                <w:rFonts w:hint="eastAsia"/>
                <w:sz w:val="18"/>
              </w:rPr>
              <w:t>妇女</w:t>
            </w:r>
          </w:p>
        </w:tc>
        <w:tc>
          <w:tcPr>
            <w:tcW w:w="1239" w:type="dxa"/>
          </w:tcPr>
          <w:p w:rsidR="00000000" w:rsidRDefault="00000000">
            <w:pPr>
              <w:spacing w:line="360" w:lineRule="exact"/>
              <w:jc w:val="center"/>
              <w:rPr>
                <w:sz w:val="18"/>
              </w:rPr>
            </w:pPr>
            <w:r>
              <w:rPr>
                <w:rFonts w:hint="eastAsia"/>
                <w:sz w:val="18"/>
              </w:rPr>
              <w:t>妇女</w:t>
            </w:r>
          </w:p>
        </w:tc>
        <w:tc>
          <w:tcPr>
            <w:tcW w:w="1239" w:type="dxa"/>
          </w:tcPr>
          <w:p w:rsidR="00000000" w:rsidRDefault="00000000">
            <w:pPr>
              <w:spacing w:line="360" w:lineRule="exact"/>
              <w:jc w:val="center"/>
              <w:rPr>
                <w:sz w:val="18"/>
              </w:rPr>
            </w:pPr>
            <w:r>
              <w:rPr>
                <w:rFonts w:hint="eastAsia"/>
                <w:sz w:val="18"/>
              </w:rPr>
              <w:t>妇女</w:t>
            </w:r>
          </w:p>
        </w:tc>
        <w:tc>
          <w:tcPr>
            <w:tcW w:w="1239" w:type="dxa"/>
          </w:tcPr>
          <w:p w:rsidR="00000000" w:rsidRDefault="00000000">
            <w:pPr>
              <w:spacing w:line="360" w:lineRule="exact"/>
              <w:jc w:val="center"/>
              <w:rPr>
                <w:sz w:val="18"/>
              </w:rPr>
            </w:pPr>
            <w:r>
              <w:rPr>
                <w:rFonts w:hint="eastAsia"/>
                <w:sz w:val="18"/>
              </w:rPr>
              <w:t>妇女</w:t>
            </w:r>
          </w:p>
        </w:tc>
        <w:tc>
          <w:tcPr>
            <w:tcW w:w="1239" w:type="dxa"/>
          </w:tcPr>
          <w:p w:rsidR="00000000" w:rsidRDefault="00000000">
            <w:pPr>
              <w:spacing w:line="360" w:lineRule="exact"/>
              <w:jc w:val="center"/>
              <w:rPr>
                <w:sz w:val="18"/>
              </w:rPr>
            </w:pPr>
            <w:r>
              <w:rPr>
                <w:rFonts w:hint="eastAsia"/>
                <w:sz w:val="18"/>
              </w:rPr>
              <w:t>妇女</w:t>
            </w:r>
          </w:p>
        </w:tc>
        <w:tc>
          <w:tcPr>
            <w:tcW w:w="1239" w:type="dxa"/>
          </w:tcPr>
          <w:p w:rsidR="00000000" w:rsidRDefault="00000000">
            <w:pPr>
              <w:spacing w:line="360" w:lineRule="exact"/>
              <w:jc w:val="center"/>
              <w:rPr>
                <w:sz w:val="18"/>
              </w:rPr>
            </w:pPr>
            <w:r>
              <w:rPr>
                <w:rFonts w:hint="eastAsia"/>
                <w:sz w:val="18"/>
              </w:rPr>
              <w:t>妇女</w:t>
            </w:r>
          </w:p>
        </w:tc>
      </w:tr>
      <w:tr w:rsidR="00000000">
        <w:tblPrEx>
          <w:tblCellMar>
            <w:top w:w="0" w:type="dxa"/>
            <w:bottom w:w="0" w:type="dxa"/>
          </w:tblCellMar>
        </w:tblPrEx>
        <w:tc>
          <w:tcPr>
            <w:tcW w:w="1239" w:type="dxa"/>
          </w:tcPr>
          <w:p w:rsidR="00000000" w:rsidRDefault="00000000">
            <w:pPr>
              <w:spacing w:line="360" w:lineRule="exact"/>
              <w:rPr>
                <w:sz w:val="18"/>
              </w:rPr>
            </w:pPr>
          </w:p>
        </w:tc>
        <w:tc>
          <w:tcPr>
            <w:tcW w:w="1239" w:type="dxa"/>
          </w:tcPr>
          <w:p w:rsidR="00000000" w:rsidRDefault="00000000">
            <w:pPr>
              <w:spacing w:line="360" w:lineRule="exact"/>
              <w:jc w:val="center"/>
              <w:rPr>
                <w:sz w:val="18"/>
              </w:rPr>
            </w:pPr>
            <w:r>
              <w:rPr>
                <w:sz w:val="18"/>
              </w:rPr>
              <w:t>%</w:t>
            </w:r>
          </w:p>
        </w:tc>
        <w:tc>
          <w:tcPr>
            <w:tcW w:w="1239" w:type="dxa"/>
          </w:tcPr>
          <w:p w:rsidR="00000000" w:rsidRDefault="00000000">
            <w:pPr>
              <w:spacing w:line="360" w:lineRule="exact"/>
              <w:jc w:val="center"/>
              <w:rPr>
                <w:sz w:val="18"/>
              </w:rPr>
            </w:pPr>
            <w:r>
              <w:rPr>
                <w:sz w:val="18"/>
              </w:rPr>
              <w:t>%</w:t>
            </w:r>
          </w:p>
        </w:tc>
        <w:tc>
          <w:tcPr>
            <w:tcW w:w="1239" w:type="dxa"/>
          </w:tcPr>
          <w:p w:rsidR="00000000" w:rsidRDefault="00000000">
            <w:pPr>
              <w:spacing w:line="360" w:lineRule="exact"/>
              <w:jc w:val="center"/>
              <w:rPr>
                <w:sz w:val="18"/>
              </w:rPr>
            </w:pPr>
            <w:r>
              <w:rPr>
                <w:sz w:val="18"/>
              </w:rPr>
              <w:t>%</w:t>
            </w:r>
          </w:p>
        </w:tc>
        <w:tc>
          <w:tcPr>
            <w:tcW w:w="1239" w:type="dxa"/>
          </w:tcPr>
          <w:p w:rsidR="00000000" w:rsidRDefault="00000000">
            <w:pPr>
              <w:spacing w:line="360" w:lineRule="exact"/>
              <w:jc w:val="center"/>
              <w:rPr>
                <w:sz w:val="18"/>
              </w:rPr>
            </w:pPr>
            <w:r>
              <w:rPr>
                <w:sz w:val="18"/>
              </w:rPr>
              <w:t>%</w:t>
            </w:r>
          </w:p>
        </w:tc>
        <w:tc>
          <w:tcPr>
            <w:tcW w:w="1239" w:type="dxa"/>
          </w:tcPr>
          <w:p w:rsidR="00000000" w:rsidRDefault="00000000">
            <w:pPr>
              <w:spacing w:line="360" w:lineRule="exact"/>
              <w:jc w:val="center"/>
              <w:rPr>
                <w:sz w:val="18"/>
              </w:rPr>
            </w:pPr>
            <w:r>
              <w:rPr>
                <w:sz w:val="18"/>
              </w:rPr>
              <w:t>%</w:t>
            </w:r>
          </w:p>
        </w:tc>
        <w:tc>
          <w:tcPr>
            <w:tcW w:w="1239" w:type="dxa"/>
          </w:tcPr>
          <w:p w:rsidR="00000000" w:rsidRDefault="00000000">
            <w:pPr>
              <w:spacing w:line="360" w:lineRule="exact"/>
              <w:jc w:val="center"/>
              <w:rPr>
                <w:sz w:val="18"/>
              </w:rPr>
            </w:pPr>
            <w:r>
              <w:rPr>
                <w:sz w:val="18"/>
              </w:rPr>
              <w:t>%</w:t>
            </w:r>
          </w:p>
        </w:tc>
        <w:tc>
          <w:tcPr>
            <w:tcW w:w="1239" w:type="dxa"/>
          </w:tcPr>
          <w:p w:rsidR="00000000" w:rsidRDefault="00000000">
            <w:pPr>
              <w:spacing w:line="360" w:lineRule="exact"/>
              <w:jc w:val="center"/>
              <w:rPr>
                <w:sz w:val="18"/>
              </w:rPr>
            </w:pPr>
            <w:r>
              <w:rPr>
                <w:sz w:val="18"/>
              </w:rPr>
              <w:t>%</w:t>
            </w:r>
          </w:p>
        </w:tc>
      </w:tr>
      <w:tr w:rsidR="00000000">
        <w:tblPrEx>
          <w:tblCellMar>
            <w:top w:w="0" w:type="dxa"/>
            <w:bottom w:w="0" w:type="dxa"/>
          </w:tblCellMar>
        </w:tblPrEx>
        <w:tc>
          <w:tcPr>
            <w:tcW w:w="1239" w:type="dxa"/>
            <w:tcBorders>
              <w:top w:val="single" w:sz="6" w:space="0" w:color="auto"/>
              <w:bottom w:val="single" w:sz="6" w:space="0" w:color="auto"/>
            </w:tcBorders>
          </w:tcPr>
          <w:p w:rsidR="00000000" w:rsidRDefault="00000000">
            <w:pPr>
              <w:spacing w:line="360" w:lineRule="exact"/>
              <w:rPr>
                <w:sz w:val="18"/>
              </w:rPr>
            </w:pPr>
          </w:p>
        </w:tc>
        <w:tc>
          <w:tcPr>
            <w:tcW w:w="1239" w:type="dxa"/>
            <w:tcBorders>
              <w:top w:val="single" w:sz="6" w:space="0" w:color="auto"/>
              <w:bottom w:val="single" w:sz="6" w:space="0" w:color="auto"/>
            </w:tcBorders>
          </w:tcPr>
          <w:p w:rsidR="00000000" w:rsidRDefault="00000000">
            <w:pPr>
              <w:spacing w:line="360" w:lineRule="exact"/>
              <w:jc w:val="center"/>
              <w:rPr>
                <w:sz w:val="18"/>
              </w:rPr>
            </w:pPr>
            <w:r>
              <w:rPr>
                <w:sz w:val="18"/>
              </w:rPr>
              <w:t>27</w:t>
            </w:r>
          </w:p>
        </w:tc>
        <w:tc>
          <w:tcPr>
            <w:tcW w:w="1239" w:type="dxa"/>
            <w:tcBorders>
              <w:top w:val="single" w:sz="6" w:space="0" w:color="auto"/>
              <w:bottom w:val="single" w:sz="6" w:space="0" w:color="auto"/>
            </w:tcBorders>
          </w:tcPr>
          <w:p w:rsidR="00000000" w:rsidRDefault="00000000">
            <w:pPr>
              <w:spacing w:line="360" w:lineRule="exact"/>
              <w:jc w:val="center"/>
              <w:rPr>
                <w:sz w:val="18"/>
              </w:rPr>
            </w:pPr>
            <w:r>
              <w:rPr>
                <w:sz w:val="18"/>
              </w:rPr>
              <w:t>36</w:t>
            </w:r>
          </w:p>
        </w:tc>
        <w:tc>
          <w:tcPr>
            <w:tcW w:w="1239" w:type="dxa"/>
            <w:tcBorders>
              <w:top w:val="single" w:sz="6" w:space="0" w:color="auto"/>
              <w:bottom w:val="single" w:sz="6" w:space="0" w:color="auto"/>
            </w:tcBorders>
          </w:tcPr>
          <w:p w:rsidR="00000000" w:rsidRDefault="00000000">
            <w:pPr>
              <w:spacing w:line="360" w:lineRule="exact"/>
              <w:jc w:val="center"/>
              <w:rPr>
                <w:sz w:val="18"/>
              </w:rPr>
            </w:pPr>
            <w:r>
              <w:rPr>
                <w:sz w:val="18"/>
              </w:rPr>
              <w:t>36</w:t>
            </w:r>
          </w:p>
        </w:tc>
        <w:tc>
          <w:tcPr>
            <w:tcW w:w="1239" w:type="dxa"/>
            <w:tcBorders>
              <w:top w:val="single" w:sz="6" w:space="0" w:color="auto"/>
              <w:bottom w:val="single" w:sz="6" w:space="0" w:color="auto"/>
            </w:tcBorders>
          </w:tcPr>
          <w:p w:rsidR="00000000" w:rsidRDefault="00000000">
            <w:pPr>
              <w:spacing w:line="360" w:lineRule="exact"/>
              <w:jc w:val="center"/>
              <w:rPr>
                <w:sz w:val="18"/>
              </w:rPr>
            </w:pPr>
            <w:r>
              <w:rPr>
                <w:sz w:val="18"/>
              </w:rPr>
              <w:t>37</w:t>
            </w:r>
          </w:p>
        </w:tc>
        <w:tc>
          <w:tcPr>
            <w:tcW w:w="1239" w:type="dxa"/>
            <w:tcBorders>
              <w:top w:val="single" w:sz="6" w:space="0" w:color="auto"/>
              <w:bottom w:val="single" w:sz="6" w:space="0" w:color="auto"/>
            </w:tcBorders>
          </w:tcPr>
          <w:p w:rsidR="00000000" w:rsidRDefault="00000000">
            <w:pPr>
              <w:spacing w:line="360" w:lineRule="exact"/>
              <w:jc w:val="center"/>
              <w:rPr>
                <w:sz w:val="18"/>
              </w:rPr>
            </w:pPr>
            <w:r>
              <w:rPr>
                <w:sz w:val="18"/>
              </w:rPr>
              <w:t>36</w:t>
            </w:r>
          </w:p>
        </w:tc>
        <w:tc>
          <w:tcPr>
            <w:tcW w:w="1239" w:type="dxa"/>
            <w:tcBorders>
              <w:top w:val="single" w:sz="6" w:space="0" w:color="auto"/>
              <w:bottom w:val="single" w:sz="6" w:space="0" w:color="auto"/>
            </w:tcBorders>
          </w:tcPr>
          <w:p w:rsidR="00000000" w:rsidRDefault="00000000">
            <w:pPr>
              <w:spacing w:line="360" w:lineRule="exact"/>
              <w:jc w:val="center"/>
              <w:rPr>
                <w:sz w:val="18"/>
              </w:rPr>
            </w:pPr>
            <w:r>
              <w:rPr>
                <w:sz w:val="18"/>
              </w:rPr>
              <w:t>37</w:t>
            </w:r>
          </w:p>
        </w:tc>
        <w:tc>
          <w:tcPr>
            <w:tcW w:w="1239" w:type="dxa"/>
            <w:tcBorders>
              <w:top w:val="single" w:sz="6" w:space="0" w:color="auto"/>
              <w:bottom w:val="single" w:sz="6" w:space="0" w:color="auto"/>
            </w:tcBorders>
          </w:tcPr>
          <w:p w:rsidR="00000000" w:rsidRDefault="00000000">
            <w:pPr>
              <w:spacing w:line="360" w:lineRule="exact"/>
              <w:jc w:val="center"/>
              <w:rPr>
                <w:sz w:val="18"/>
              </w:rPr>
            </w:pPr>
            <w:r>
              <w:rPr>
                <w:sz w:val="18"/>
              </w:rPr>
              <w:t>37</w:t>
            </w:r>
          </w:p>
        </w:tc>
      </w:tr>
    </w:tbl>
    <w:p w:rsidR="00000000" w:rsidRDefault="00000000">
      <w:pPr>
        <w:spacing w:after="240" w:line="360" w:lineRule="exact"/>
        <w:ind w:firstLine="425"/>
      </w:pPr>
      <w:r>
        <w:rPr>
          <w:rFonts w:hint="eastAsia"/>
        </w:rPr>
        <w:t>资料来源：《平等地位委员会年度报告》，</w:t>
      </w:r>
      <w:r>
        <w:t>1998</w:t>
      </w:r>
      <w:r>
        <w:rPr>
          <w:rFonts w:hint="eastAsia"/>
        </w:rPr>
        <w:t>年，以及丹麦议会，</w:t>
      </w:r>
      <w:r>
        <w:t>2000</w:t>
      </w:r>
      <w:r>
        <w:rPr>
          <w:rFonts w:hint="eastAsia"/>
        </w:rPr>
        <w:t>年。</w:t>
      </w:r>
    </w:p>
    <w:p w:rsidR="00000000" w:rsidRDefault="00000000">
      <w:pPr>
        <w:spacing w:after="240" w:line="360" w:lineRule="exact"/>
        <w:ind w:firstLine="425"/>
      </w:pPr>
      <w:r>
        <w:rPr>
          <w:rFonts w:hint="eastAsia"/>
        </w:rPr>
        <w:t>与欧洲其余国家相比，丹麦的女议员人数最多，而且，在</w:t>
      </w:r>
      <w:r>
        <w:t>1998</w:t>
      </w:r>
      <w:r>
        <w:rPr>
          <w:rFonts w:hint="eastAsia"/>
        </w:rPr>
        <w:t>年，政党成员有</w:t>
      </w:r>
      <w:r>
        <w:t>38%</w:t>
      </w:r>
      <w:r>
        <w:rPr>
          <w:rFonts w:hint="eastAsia"/>
        </w:rPr>
        <w:t>是妇女。</w:t>
      </w:r>
    </w:p>
    <w:p w:rsidR="00000000" w:rsidRDefault="00000000">
      <w:pPr>
        <w:spacing w:after="240" w:line="360" w:lineRule="exact"/>
        <w:rPr>
          <w:rFonts w:eastAsia="SimHei"/>
        </w:rPr>
      </w:pPr>
      <w:r>
        <w:rPr>
          <w:rFonts w:eastAsia="SimHei" w:hint="eastAsia"/>
        </w:rPr>
        <w:t>欧洲议会选举</w:t>
      </w:r>
    </w:p>
    <w:p w:rsidR="00000000" w:rsidRDefault="00000000">
      <w:pPr>
        <w:spacing w:after="240" w:line="360" w:lineRule="exact"/>
        <w:ind w:firstLine="425"/>
      </w:pPr>
      <w:r>
        <w:rPr>
          <w:rFonts w:hint="eastAsia"/>
        </w:rPr>
        <w:t>在整个报告期间，丹麦妇女在欧洲议会的比例相当高。</w:t>
      </w:r>
      <w:r>
        <w:t>1994</w:t>
      </w:r>
      <w:r>
        <w:rPr>
          <w:rFonts w:hint="eastAsia"/>
        </w:rPr>
        <w:t>年妇女代表比例最高，达到</w:t>
      </w:r>
      <w:r>
        <w:t>44%</w:t>
      </w:r>
      <w:r>
        <w:rPr>
          <w:rFonts w:hint="eastAsia"/>
        </w:rPr>
        <w:t>。从</w:t>
      </w:r>
      <w:r>
        <w:t>1995</w:t>
      </w:r>
      <w:r>
        <w:rPr>
          <w:rFonts w:hint="eastAsia"/>
        </w:rPr>
        <w:t>至</w:t>
      </w:r>
      <w:r>
        <w:t>1999</w:t>
      </w:r>
      <w:r>
        <w:rPr>
          <w:rFonts w:hint="eastAsia"/>
        </w:rPr>
        <w:t>年，有一名丹麦妇女担任专员。</w:t>
      </w:r>
      <w:r>
        <w:t>1999</w:t>
      </w:r>
      <w:r>
        <w:rPr>
          <w:rFonts w:hint="eastAsia"/>
        </w:rPr>
        <w:t>年，妇女在欧洲议会的比例降至</w:t>
      </w:r>
      <w:r>
        <w:t>38%</w:t>
      </w:r>
      <w:r>
        <w:rPr>
          <w:rFonts w:hint="eastAsia"/>
        </w:rPr>
        <w:t>（</w:t>
      </w:r>
      <w:r>
        <w:t>16</w:t>
      </w:r>
      <w:r>
        <w:rPr>
          <w:rFonts w:hint="eastAsia"/>
        </w:rPr>
        <w:t>名成员中有</w:t>
      </w:r>
      <w:r>
        <w:t>6</w:t>
      </w:r>
      <w:r>
        <w:rPr>
          <w:rFonts w:hint="eastAsia"/>
        </w:rPr>
        <w:t>名妇女）。</w:t>
      </w:r>
    </w:p>
    <w:tbl>
      <w:tblPr>
        <w:tblW w:w="0" w:type="auto"/>
        <w:tblLayout w:type="fixed"/>
        <w:tblCellMar>
          <w:left w:w="28" w:type="dxa"/>
          <w:right w:w="28" w:type="dxa"/>
        </w:tblCellMar>
        <w:tblLook w:val="0000" w:firstRow="0" w:lastRow="0" w:firstColumn="0" w:lastColumn="0" w:noHBand="0" w:noVBand="0"/>
      </w:tblPr>
      <w:tblGrid>
        <w:gridCol w:w="1652"/>
        <w:gridCol w:w="1652"/>
        <w:gridCol w:w="1652"/>
        <w:gridCol w:w="1652"/>
        <w:gridCol w:w="1652"/>
        <w:gridCol w:w="1652"/>
      </w:tblGrid>
      <w:tr w:rsidR="00000000">
        <w:tblPrEx>
          <w:tblCellMar>
            <w:top w:w="0" w:type="dxa"/>
            <w:bottom w:w="0" w:type="dxa"/>
          </w:tblCellMar>
        </w:tblPrEx>
        <w:tc>
          <w:tcPr>
            <w:tcW w:w="1652" w:type="dxa"/>
            <w:tcBorders>
              <w:top w:val="single" w:sz="6" w:space="0" w:color="auto"/>
            </w:tcBorders>
          </w:tcPr>
          <w:p w:rsidR="00000000" w:rsidRDefault="00000000">
            <w:pPr>
              <w:spacing w:line="360" w:lineRule="exact"/>
            </w:pPr>
            <w:r>
              <w:rPr>
                <w:rFonts w:hint="eastAsia"/>
              </w:rPr>
              <w:t>欧洲议会选举</w:t>
            </w:r>
          </w:p>
        </w:tc>
        <w:tc>
          <w:tcPr>
            <w:tcW w:w="1652" w:type="dxa"/>
            <w:tcBorders>
              <w:top w:val="single" w:sz="6" w:space="0" w:color="auto"/>
            </w:tcBorders>
          </w:tcPr>
          <w:p w:rsidR="00000000" w:rsidRDefault="00000000">
            <w:pPr>
              <w:spacing w:line="360" w:lineRule="exact"/>
              <w:jc w:val="center"/>
            </w:pPr>
            <w:r>
              <w:t>1979</w:t>
            </w:r>
            <w:r>
              <w:rPr>
                <w:rFonts w:hint="eastAsia"/>
              </w:rPr>
              <w:t>年</w:t>
            </w:r>
          </w:p>
        </w:tc>
        <w:tc>
          <w:tcPr>
            <w:tcW w:w="1652" w:type="dxa"/>
            <w:tcBorders>
              <w:top w:val="single" w:sz="6" w:space="0" w:color="auto"/>
            </w:tcBorders>
          </w:tcPr>
          <w:p w:rsidR="00000000" w:rsidRDefault="00000000">
            <w:pPr>
              <w:spacing w:line="360" w:lineRule="exact"/>
              <w:jc w:val="center"/>
            </w:pPr>
            <w:r>
              <w:t>1984</w:t>
            </w:r>
            <w:r>
              <w:rPr>
                <w:rFonts w:hint="eastAsia"/>
              </w:rPr>
              <w:t>年</w:t>
            </w:r>
          </w:p>
        </w:tc>
        <w:tc>
          <w:tcPr>
            <w:tcW w:w="1652" w:type="dxa"/>
            <w:tcBorders>
              <w:top w:val="single" w:sz="6" w:space="0" w:color="auto"/>
            </w:tcBorders>
          </w:tcPr>
          <w:p w:rsidR="00000000" w:rsidRDefault="00000000">
            <w:pPr>
              <w:spacing w:line="360" w:lineRule="exact"/>
              <w:jc w:val="center"/>
            </w:pPr>
            <w:r>
              <w:t>1989</w:t>
            </w:r>
            <w:r>
              <w:rPr>
                <w:rFonts w:hint="eastAsia"/>
              </w:rPr>
              <w:t>年</w:t>
            </w:r>
          </w:p>
        </w:tc>
        <w:tc>
          <w:tcPr>
            <w:tcW w:w="1652" w:type="dxa"/>
            <w:tcBorders>
              <w:top w:val="single" w:sz="6" w:space="0" w:color="auto"/>
            </w:tcBorders>
          </w:tcPr>
          <w:p w:rsidR="00000000" w:rsidRDefault="00000000">
            <w:pPr>
              <w:spacing w:line="360" w:lineRule="exact"/>
              <w:jc w:val="center"/>
            </w:pPr>
            <w:r>
              <w:t>1994</w:t>
            </w:r>
            <w:r>
              <w:rPr>
                <w:rFonts w:hint="eastAsia"/>
              </w:rPr>
              <w:t>年</w:t>
            </w:r>
          </w:p>
        </w:tc>
        <w:tc>
          <w:tcPr>
            <w:tcW w:w="1652" w:type="dxa"/>
            <w:tcBorders>
              <w:top w:val="single" w:sz="6" w:space="0" w:color="auto"/>
            </w:tcBorders>
          </w:tcPr>
          <w:p w:rsidR="00000000" w:rsidRDefault="00000000">
            <w:pPr>
              <w:spacing w:line="360" w:lineRule="exact"/>
              <w:jc w:val="center"/>
            </w:pPr>
            <w:r>
              <w:t>1999</w:t>
            </w:r>
            <w:r>
              <w:rPr>
                <w:rFonts w:hint="eastAsia"/>
              </w:rPr>
              <w:t>年</w:t>
            </w:r>
          </w:p>
        </w:tc>
      </w:tr>
      <w:tr w:rsidR="00000000">
        <w:tblPrEx>
          <w:tblCellMar>
            <w:top w:w="0" w:type="dxa"/>
            <w:bottom w:w="0" w:type="dxa"/>
          </w:tblCellMar>
        </w:tblPrEx>
        <w:tc>
          <w:tcPr>
            <w:tcW w:w="1652" w:type="dxa"/>
            <w:tcBorders>
              <w:top w:val="single" w:sz="6" w:space="0" w:color="auto"/>
            </w:tcBorders>
          </w:tcPr>
          <w:p w:rsidR="00000000" w:rsidRDefault="00000000">
            <w:pPr>
              <w:spacing w:line="360" w:lineRule="exact"/>
            </w:pPr>
          </w:p>
        </w:tc>
        <w:tc>
          <w:tcPr>
            <w:tcW w:w="1652" w:type="dxa"/>
            <w:tcBorders>
              <w:top w:val="single" w:sz="6" w:space="0" w:color="auto"/>
            </w:tcBorders>
          </w:tcPr>
          <w:p w:rsidR="00000000" w:rsidRDefault="00000000">
            <w:pPr>
              <w:spacing w:line="360" w:lineRule="exact"/>
              <w:jc w:val="center"/>
            </w:pPr>
            <w:r>
              <w:rPr>
                <w:rFonts w:hint="eastAsia"/>
              </w:rPr>
              <w:t>妇女</w:t>
            </w:r>
          </w:p>
        </w:tc>
        <w:tc>
          <w:tcPr>
            <w:tcW w:w="1652" w:type="dxa"/>
            <w:tcBorders>
              <w:top w:val="single" w:sz="6" w:space="0" w:color="auto"/>
            </w:tcBorders>
          </w:tcPr>
          <w:p w:rsidR="00000000" w:rsidRDefault="00000000">
            <w:pPr>
              <w:spacing w:line="360" w:lineRule="exact"/>
              <w:jc w:val="center"/>
            </w:pPr>
            <w:r>
              <w:rPr>
                <w:rFonts w:hint="eastAsia"/>
              </w:rPr>
              <w:t>妇女</w:t>
            </w:r>
          </w:p>
        </w:tc>
        <w:tc>
          <w:tcPr>
            <w:tcW w:w="1652" w:type="dxa"/>
            <w:tcBorders>
              <w:top w:val="single" w:sz="6" w:space="0" w:color="auto"/>
            </w:tcBorders>
          </w:tcPr>
          <w:p w:rsidR="00000000" w:rsidRDefault="00000000">
            <w:pPr>
              <w:spacing w:line="360" w:lineRule="exact"/>
              <w:jc w:val="center"/>
            </w:pPr>
            <w:r>
              <w:rPr>
                <w:rFonts w:hint="eastAsia"/>
              </w:rPr>
              <w:t>妇女</w:t>
            </w:r>
          </w:p>
        </w:tc>
        <w:tc>
          <w:tcPr>
            <w:tcW w:w="1652" w:type="dxa"/>
            <w:tcBorders>
              <w:top w:val="single" w:sz="6" w:space="0" w:color="auto"/>
            </w:tcBorders>
          </w:tcPr>
          <w:p w:rsidR="00000000" w:rsidRDefault="00000000">
            <w:pPr>
              <w:spacing w:line="360" w:lineRule="exact"/>
              <w:jc w:val="center"/>
            </w:pPr>
            <w:r>
              <w:rPr>
                <w:rFonts w:hint="eastAsia"/>
              </w:rPr>
              <w:t>妇女</w:t>
            </w:r>
          </w:p>
        </w:tc>
        <w:tc>
          <w:tcPr>
            <w:tcW w:w="1652" w:type="dxa"/>
            <w:tcBorders>
              <w:top w:val="single" w:sz="6" w:space="0" w:color="auto"/>
            </w:tcBorders>
          </w:tcPr>
          <w:p w:rsidR="00000000" w:rsidRDefault="00000000">
            <w:pPr>
              <w:spacing w:line="360" w:lineRule="exact"/>
              <w:jc w:val="center"/>
            </w:pPr>
            <w:r>
              <w:rPr>
                <w:rFonts w:hint="eastAsia"/>
              </w:rPr>
              <w:t>妇女</w:t>
            </w:r>
          </w:p>
        </w:tc>
      </w:tr>
      <w:tr w:rsidR="00000000">
        <w:tblPrEx>
          <w:tblCellMar>
            <w:top w:w="0" w:type="dxa"/>
            <w:bottom w:w="0" w:type="dxa"/>
          </w:tblCellMar>
        </w:tblPrEx>
        <w:tc>
          <w:tcPr>
            <w:tcW w:w="1652" w:type="dxa"/>
          </w:tcPr>
          <w:p w:rsidR="00000000" w:rsidRDefault="00000000">
            <w:pPr>
              <w:spacing w:line="360" w:lineRule="exact"/>
            </w:pPr>
          </w:p>
        </w:tc>
        <w:tc>
          <w:tcPr>
            <w:tcW w:w="1652" w:type="dxa"/>
          </w:tcPr>
          <w:p w:rsidR="00000000" w:rsidRDefault="00000000">
            <w:pPr>
              <w:spacing w:line="360" w:lineRule="exact"/>
              <w:jc w:val="center"/>
            </w:pPr>
            <w:r>
              <w:t>%</w:t>
            </w:r>
          </w:p>
        </w:tc>
        <w:tc>
          <w:tcPr>
            <w:tcW w:w="1652" w:type="dxa"/>
          </w:tcPr>
          <w:p w:rsidR="00000000" w:rsidRDefault="00000000">
            <w:pPr>
              <w:spacing w:line="360" w:lineRule="exact"/>
              <w:jc w:val="center"/>
            </w:pPr>
            <w:r>
              <w:t>%</w:t>
            </w:r>
          </w:p>
        </w:tc>
        <w:tc>
          <w:tcPr>
            <w:tcW w:w="1652" w:type="dxa"/>
          </w:tcPr>
          <w:p w:rsidR="00000000" w:rsidRDefault="00000000">
            <w:pPr>
              <w:spacing w:line="360" w:lineRule="exact"/>
              <w:jc w:val="center"/>
            </w:pPr>
            <w:r>
              <w:t>%</w:t>
            </w:r>
          </w:p>
        </w:tc>
        <w:tc>
          <w:tcPr>
            <w:tcW w:w="1652" w:type="dxa"/>
          </w:tcPr>
          <w:p w:rsidR="00000000" w:rsidRDefault="00000000">
            <w:pPr>
              <w:spacing w:line="360" w:lineRule="exact"/>
              <w:jc w:val="center"/>
            </w:pPr>
            <w:r>
              <w:t>%</w:t>
            </w:r>
          </w:p>
        </w:tc>
        <w:tc>
          <w:tcPr>
            <w:tcW w:w="1652" w:type="dxa"/>
          </w:tcPr>
          <w:p w:rsidR="00000000" w:rsidRDefault="00000000">
            <w:pPr>
              <w:spacing w:line="360" w:lineRule="exact"/>
              <w:jc w:val="center"/>
            </w:pPr>
            <w:r>
              <w:t>%</w:t>
            </w:r>
          </w:p>
        </w:tc>
      </w:tr>
      <w:tr w:rsidR="00000000">
        <w:tblPrEx>
          <w:tblCellMar>
            <w:top w:w="0" w:type="dxa"/>
            <w:bottom w:w="0" w:type="dxa"/>
          </w:tblCellMar>
        </w:tblPrEx>
        <w:tc>
          <w:tcPr>
            <w:tcW w:w="1652" w:type="dxa"/>
            <w:tcBorders>
              <w:top w:val="single" w:sz="6" w:space="0" w:color="auto"/>
            </w:tcBorders>
          </w:tcPr>
          <w:p w:rsidR="00000000" w:rsidRDefault="00000000">
            <w:pPr>
              <w:spacing w:line="360" w:lineRule="exact"/>
            </w:pPr>
            <w:r>
              <w:rPr>
                <w:rFonts w:hint="eastAsia"/>
              </w:rPr>
              <w:t>欧洲议会专员</w:t>
            </w:r>
          </w:p>
        </w:tc>
        <w:tc>
          <w:tcPr>
            <w:tcW w:w="1652" w:type="dxa"/>
            <w:tcBorders>
              <w:top w:val="single" w:sz="6" w:space="0" w:color="auto"/>
            </w:tcBorders>
          </w:tcPr>
          <w:p w:rsidR="00000000" w:rsidRDefault="00000000">
            <w:pPr>
              <w:spacing w:line="360" w:lineRule="exact"/>
              <w:jc w:val="center"/>
            </w:pPr>
            <w:r>
              <w:t>33</w:t>
            </w:r>
          </w:p>
        </w:tc>
        <w:tc>
          <w:tcPr>
            <w:tcW w:w="1652" w:type="dxa"/>
            <w:tcBorders>
              <w:top w:val="single" w:sz="6" w:space="0" w:color="auto"/>
            </w:tcBorders>
          </w:tcPr>
          <w:p w:rsidR="00000000" w:rsidRDefault="00000000">
            <w:pPr>
              <w:spacing w:line="360" w:lineRule="exact"/>
              <w:jc w:val="center"/>
            </w:pPr>
            <w:r>
              <w:t>38</w:t>
            </w:r>
          </w:p>
        </w:tc>
        <w:tc>
          <w:tcPr>
            <w:tcW w:w="1652" w:type="dxa"/>
            <w:tcBorders>
              <w:top w:val="single" w:sz="6" w:space="0" w:color="auto"/>
            </w:tcBorders>
          </w:tcPr>
          <w:p w:rsidR="00000000" w:rsidRDefault="00000000">
            <w:pPr>
              <w:spacing w:line="360" w:lineRule="exact"/>
              <w:jc w:val="center"/>
            </w:pPr>
            <w:r>
              <w:t>38</w:t>
            </w:r>
          </w:p>
        </w:tc>
        <w:tc>
          <w:tcPr>
            <w:tcW w:w="1652" w:type="dxa"/>
            <w:tcBorders>
              <w:top w:val="single" w:sz="6" w:space="0" w:color="auto"/>
            </w:tcBorders>
          </w:tcPr>
          <w:p w:rsidR="00000000" w:rsidRDefault="00000000">
            <w:pPr>
              <w:spacing w:line="360" w:lineRule="exact"/>
              <w:jc w:val="center"/>
            </w:pPr>
            <w:r>
              <w:t>44</w:t>
            </w:r>
          </w:p>
        </w:tc>
        <w:tc>
          <w:tcPr>
            <w:tcW w:w="1652" w:type="dxa"/>
            <w:tcBorders>
              <w:top w:val="single" w:sz="6" w:space="0" w:color="auto"/>
            </w:tcBorders>
          </w:tcPr>
          <w:p w:rsidR="00000000" w:rsidRDefault="00000000">
            <w:pPr>
              <w:spacing w:line="360" w:lineRule="exact"/>
              <w:jc w:val="center"/>
            </w:pPr>
            <w:r>
              <w:t>38</w:t>
            </w:r>
          </w:p>
        </w:tc>
      </w:tr>
      <w:tr w:rsidR="00000000">
        <w:tblPrEx>
          <w:tblCellMar>
            <w:top w:w="0" w:type="dxa"/>
            <w:bottom w:w="0" w:type="dxa"/>
          </w:tblCellMar>
        </w:tblPrEx>
        <w:tc>
          <w:tcPr>
            <w:tcW w:w="1652" w:type="dxa"/>
            <w:tcBorders>
              <w:bottom w:val="single" w:sz="6" w:space="0" w:color="auto"/>
            </w:tcBorders>
          </w:tcPr>
          <w:p w:rsidR="00000000" w:rsidRDefault="00000000">
            <w:pPr>
              <w:spacing w:line="360" w:lineRule="exact"/>
            </w:pPr>
          </w:p>
        </w:tc>
        <w:tc>
          <w:tcPr>
            <w:tcW w:w="1652" w:type="dxa"/>
            <w:tcBorders>
              <w:bottom w:val="single" w:sz="6" w:space="0" w:color="auto"/>
            </w:tcBorders>
          </w:tcPr>
          <w:p w:rsidR="00000000" w:rsidRDefault="00000000">
            <w:pPr>
              <w:spacing w:line="360" w:lineRule="exact"/>
              <w:jc w:val="center"/>
            </w:pPr>
            <w:r>
              <w:t>0</w:t>
            </w:r>
          </w:p>
        </w:tc>
        <w:tc>
          <w:tcPr>
            <w:tcW w:w="1652" w:type="dxa"/>
            <w:tcBorders>
              <w:bottom w:val="single" w:sz="6" w:space="0" w:color="auto"/>
            </w:tcBorders>
          </w:tcPr>
          <w:p w:rsidR="00000000" w:rsidRDefault="00000000">
            <w:pPr>
              <w:spacing w:line="360" w:lineRule="exact"/>
              <w:jc w:val="center"/>
            </w:pPr>
            <w:r>
              <w:t>0</w:t>
            </w:r>
          </w:p>
        </w:tc>
        <w:tc>
          <w:tcPr>
            <w:tcW w:w="1652" w:type="dxa"/>
            <w:tcBorders>
              <w:bottom w:val="single" w:sz="6" w:space="0" w:color="auto"/>
            </w:tcBorders>
          </w:tcPr>
          <w:p w:rsidR="00000000" w:rsidRDefault="00000000">
            <w:pPr>
              <w:spacing w:line="360" w:lineRule="exact"/>
              <w:jc w:val="center"/>
            </w:pPr>
            <w:r>
              <w:t>0</w:t>
            </w:r>
          </w:p>
        </w:tc>
        <w:tc>
          <w:tcPr>
            <w:tcW w:w="1652" w:type="dxa"/>
            <w:tcBorders>
              <w:bottom w:val="single" w:sz="6" w:space="0" w:color="auto"/>
            </w:tcBorders>
          </w:tcPr>
          <w:p w:rsidR="00000000" w:rsidRDefault="00000000">
            <w:pPr>
              <w:spacing w:line="360" w:lineRule="exact"/>
              <w:jc w:val="center"/>
            </w:pPr>
            <w:r>
              <w:t>1</w:t>
            </w:r>
          </w:p>
        </w:tc>
        <w:tc>
          <w:tcPr>
            <w:tcW w:w="1652" w:type="dxa"/>
            <w:tcBorders>
              <w:bottom w:val="single" w:sz="6" w:space="0" w:color="auto"/>
            </w:tcBorders>
          </w:tcPr>
          <w:p w:rsidR="00000000" w:rsidRDefault="00000000">
            <w:pPr>
              <w:spacing w:line="360" w:lineRule="exact"/>
              <w:jc w:val="center"/>
            </w:pPr>
            <w:r>
              <w:t>0</w:t>
            </w:r>
          </w:p>
        </w:tc>
      </w:tr>
    </w:tbl>
    <w:p w:rsidR="00000000" w:rsidRDefault="00000000">
      <w:pPr>
        <w:spacing w:after="240" w:line="360" w:lineRule="exact"/>
        <w:ind w:firstLine="425"/>
      </w:pPr>
      <w:r>
        <w:rPr>
          <w:rFonts w:hint="eastAsia"/>
        </w:rPr>
        <w:t>资料来源：《平等地位委员会年度报告》，</w:t>
      </w:r>
      <w:r>
        <w:t>1998</w:t>
      </w:r>
      <w:r>
        <w:rPr>
          <w:rFonts w:hint="eastAsia"/>
        </w:rPr>
        <w:t>年。</w:t>
      </w:r>
    </w:p>
    <w:p w:rsidR="00000000" w:rsidRDefault="00000000">
      <w:pPr>
        <w:spacing w:after="240" w:line="360" w:lineRule="exact"/>
        <w:rPr>
          <w:rFonts w:eastAsia="SimHei"/>
        </w:rPr>
      </w:pPr>
      <w:r>
        <w:rPr>
          <w:rFonts w:eastAsia="SimHei" w:hint="eastAsia"/>
        </w:rPr>
        <w:t>公共委员会、主管当局和委员会</w:t>
      </w:r>
    </w:p>
    <w:p w:rsidR="00000000" w:rsidRDefault="00000000">
      <w:pPr>
        <w:spacing w:after="240" w:line="360" w:lineRule="exact"/>
        <w:ind w:firstLine="425"/>
      </w:pPr>
      <w:r>
        <w:rPr>
          <w:rFonts w:hint="eastAsia"/>
        </w:rPr>
        <w:t>如前期报告所述，有两项现行法令（见第一章和附件）对任命妇女进入中央或地方一级所设的各种委员会产生影响，这些委员会的职责是向部长、市长及其行政部门提供咨询意见。在提名候选人时，必须提出男女各一名候选人。在特殊情况下，如果在显然无法合理预期达到这些要求的情况下，可准许豁免此种规定。</w:t>
      </w:r>
    </w:p>
    <w:p w:rsidR="00000000" w:rsidRDefault="00000000">
      <w:pPr>
        <w:spacing w:after="240" w:line="360" w:lineRule="exact"/>
        <w:ind w:firstLine="425"/>
      </w:pPr>
      <w:r>
        <w:rPr>
          <w:rFonts w:hint="eastAsia"/>
        </w:rPr>
        <w:t>与任命公共委员会、主管当局及各种委员会等成员相关的《男女平等法令》自</w:t>
      </w:r>
      <w:r>
        <w:t>1985</w:t>
      </w:r>
      <w:r>
        <w:rPr>
          <w:rFonts w:hint="eastAsia"/>
        </w:rPr>
        <w:t>年</w:t>
      </w:r>
      <w:r>
        <w:t>7</w:t>
      </w:r>
      <w:r>
        <w:rPr>
          <w:rFonts w:hint="eastAsia"/>
        </w:rPr>
        <w:t>月生效。</w:t>
      </w:r>
      <w:r>
        <w:t>1984</w:t>
      </w:r>
      <w:r>
        <w:rPr>
          <w:rFonts w:hint="eastAsia"/>
        </w:rPr>
        <w:t>年，妇女所占比例是</w:t>
      </w:r>
      <w:r>
        <w:t>12.7%</w:t>
      </w:r>
      <w:r>
        <w:rPr>
          <w:rFonts w:hint="eastAsia"/>
        </w:rPr>
        <w:t>。</w:t>
      </w:r>
      <w:r>
        <w:t>1996</w:t>
      </w:r>
      <w:r>
        <w:rPr>
          <w:rFonts w:hint="eastAsia"/>
        </w:rPr>
        <w:t>年，妇女在向首相办公室汇报的新任命的委员会中的比例增至</w:t>
      </w:r>
      <w:r>
        <w:t>38.9%</w:t>
      </w:r>
      <w:r>
        <w:rPr>
          <w:rFonts w:hint="eastAsia"/>
        </w:rPr>
        <w:t>。</w:t>
      </w:r>
      <w:r>
        <w:rPr>
          <w:rStyle w:val="FootnoteReference"/>
        </w:rPr>
        <w:footnoteReference w:id="3"/>
      </w:r>
      <w:r>
        <w:t>1998</w:t>
      </w:r>
      <w:r>
        <w:rPr>
          <w:rFonts w:hint="eastAsia"/>
        </w:rPr>
        <w:t>年，妇女所占比例是</w:t>
      </w:r>
      <w:r>
        <w:t>38%</w:t>
      </w:r>
      <w:r>
        <w:rPr>
          <w:rFonts w:hint="eastAsia"/>
        </w:rPr>
        <w:t>，略低于</w:t>
      </w:r>
      <w:r>
        <w:t>1996</w:t>
      </w:r>
      <w:r>
        <w:rPr>
          <w:rFonts w:hint="eastAsia"/>
        </w:rPr>
        <w:t>年和</w:t>
      </w:r>
      <w:r>
        <w:t>1997</w:t>
      </w:r>
      <w:r>
        <w:rPr>
          <w:rFonts w:hint="eastAsia"/>
        </w:rPr>
        <w:t>年的数字（</w:t>
      </w:r>
      <w:r>
        <w:t>38.4%</w:t>
      </w:r>
      <w:r>
        <w:rPr>
          <w:rFonts w:hint="eastAsia"/>
        </w:rPr>
        <w:t>）</w:t>
      </w:r>
    </w:p>
    <w:p w:rsidR="00000000" w:rsidRDefault="00000000">
      <w:pPr>
        <w:spacing w:after="240" w:line="360" w:lineRule="exact"/>
        <w:ind w:firstLine="425"/>
      </w:pPr>
      <w:r>
        <w:rPr>
          <w:rFonts w:hint="eastAsia"/>
        </w:rPr>
        <w:t>自</w:t>
      </w:r>
      <w:r>
        <w:t>1990</w:t>
      </w:r>
      <w:r>
        <w:rPr>
          <w:rFonts w:hint="eastAsia"/>
        </w:rPr>
        <w:t>年</w:t>
      </w:r>
      <w:r>
        <w:t>7</w:t>
      </w:r>
      <w:r>
        <w:rPr>
          <w:rFonts w:hint="eastAsia"/>
        </w:rPr>
        <w:t>月，关于在公共行政机构中的某些执行局担任领导职务的《男女平等机会法》生效。该法旨在确保执行局的男女构成达到均衡。在这个问题上，“均衡”表示代表不足的性别约占三分之一。尚未充分实现这一目标。</w:t>
      </w:r>
      <w:r>
        <w:t>1990</w:t>
      </w:r>
      <w:r>
        <w:rPr>
          <w:rFonts w:hint="eastAsia"/>
        </w:rPr>
        <w:t>年，妇女的份额是</w:t>
      </w:r>
      <w:r>
        <w:t>24.1%</w:t>
      </w:r>
      <w:r>
        <w:rPr>
          <w:rFonts w:hint="eastAsia"/>
        </w:rPr>
        <w:t>；</w:t>
      </w:r>
      <w:r>
        <w:t>1994</w:t>
      </w:r>
      <w:r>
        <w:rPr>
          <w:rFonts w:hint="eastAsia"/>
        </w:rPr>
        <w:t>年</w:t>
      </w:r>
      <w:r>
        <w:t>29.2%</w:t>
      </w:r>
      <w:r>
        <w:rPr>
          <w:rFonts w:hint="eastAsia"/>
        </w:rPr>
        <w:t>。</w:t>
      </w:r>
      <w:r>
        <w:t>1997</w:t>
      </w:r>
      <w:r>
        <w:rPr>
          <w:rFonts w:hint="eastAsia"/>
        </w:rPr>
        <w:t>年是</w:t>
      </w:r>
      <w:r>
        <w:t>26.5%</w:t>
      </w:r>
      <w:r>
        <w:rPr>
          <w:rFonts w:hint="eastAsia"/>
        </w:rPr>
        <w:t>。比</w:t>
      </w:r>
      <w:r>
        <w:t>1994</w:t>
      </w:r>
      <w:r>
        <w:rPr>
          <w:rFonts w:hint="eastAsia"/>
        </w:rPr>
        <w:t>年下降了近</w:t>
      </w:r>
      <w:r>
        <w:t>3%</w:t>
      </w:r>
      <w:r>
        <w:rPr>
          <w:rFonts w:hint="eastAsia"/>
        </w:rPr>
        <w:t>。</w:t>
      </w:r>
    </w:p>
    <w:p w:rsidR="00000000" w:rsidRDefault="00000000">
      <w:pPr>
        <w:spacing w:after="240" w:line="360" w:lineRule="exact"/>
        <w:ind w:firstLine="425"/>
      </w:pPr>
      <w:r>
        <w:rPr>
          <w:rFonts w:hint="eastAsia"/>
        </w:rPr>
        <w:t>这个领域的丹麦立法对妇女的任命产生积极的影响，但统计数字表明，妇女仍然是少数。担任各种机构秘书处成员和担任主席的妇女，尤其是少数。为了改变这种状况，一些部长拒绝从各组织任命成员，直到它们对男女的提名数字相等。其他部长缩短了任命期以对各组织施加压力。</w:t>
      </w:r>
    </w:p>
    <w:p w:rsidR="00000000" w:rsidRDefault="00000000">
      <w:pPr>
        <w:spacing w:after="240" w:line="360" w:lineRule="exact"/>
        <w:ind w:firstLine="425"/>
      </w:pPr>
      <w:r>
        <w:rPr>
          <w:rFonts w:hint="eastAsia"/>
        </w:rPr>
        <w:t>政府为在政府各委员会和执行委员会的构成中实现更好的性别平衡所作的部分努力是发表白皮书。这促成对讨论中的两项法令的修正。</w:t>
      </w:r>
    </w:p>
    <w:p w:rsidR="00000000" w:rsidRDefault="00000000">
      <w:pPr>
        <w:spacing w:after="240" w:line="360" w:lineRule="exact"/>
        <w:rPr>
          <w:rFonts w:eastAsia="SimHei"/>
        </w:rPr>
      </w:pPr>
      <w:r>
        <w:rPr>
          <w:rFonts w:eastAsia="SimHei" w:hint="eastAsia"/>
        </w:rPr>
        <w:t>开展运动和其他宣传活动</w:t>
      </w:r>
    </w:p>
    <w:p w:rsidR="00000000" w:rsidRDefault="00000000">
      <w:pPr>
        <w:spacing w:after="240" w:line="360" w:lineRule="exact"/>
        <w:ind w:firstLine="425"/>
      </w:pPr>
      <w:r>
        <w:rPr>
          <w:rFonts w:hint="eastAsia"/>
        </w:rPr>
        <w:t>事实证明，立法是增加妇女代表数如在委员会任职的有效手段。持之以恒对于促进更大男女平等的工作至关重要。开展运动和传播信息对于妇女参政和改变人们的观念至关重要。</w:t>
      </w:r>
    </w:p>
    <w:p w:rsidR="00000000" w:rsidRDefault="00000000">
      <w:pPr>
        <w:tabs>
          <w:tab w:val="right" w:leader="dot" w:pos="8505"/>
        </w:tabs>
        <w:spacing w:after="240" w:line="360" w:lineRule="exact"/>
        <w:ind w:firstLine="425"/>
      </w:pPr>
      <w:r>
        <w:rPr>
          <w:rFonts w:hint="eastAsia"/>
        </w:rPr>
        <w:t>平等地位委员会特别尝试改变人们关于男女平等的观念。委员会利用公众辩论通过对性别问题方面的发展发表意见所创造的各种机会。</w:t>
      </w:r>
    </w:p>
    <w:p w:rsidR="00000000" w:rsidRDefault="00000000">
      <w:pPr>
        <w:spacing w:after="240" w:line="360" w:lineRule="exact"/>
        <w:ind w:firstLine="425"/>
      </w:pPr>
      <w:r>
        <w:rPr>
          <w:rFonts w:hint="eastAsia"/>
        </w:rPr>
        <w:t>如前期报告所述，各政党和非政府组织在这一领域传播的信息最多。特别是丹麦国家妇女委员会和丹麦妇女协会均积极参与促使任命妇女进入公共委员会，并鼓励妇女参与政治和各种委员会的决策过程，帮助妇女为此做好准备。她们在每次选举时发起运动，邀请女政治家出席会议和研讨会以便让更多女政治家参政，并在国家和国际一级影响公共政策。</w:t>
      </w:r>
    </w:p>
    <w:p w:rsidR="00000000" w:rsidRDefault="00000000">
      <w:pPr>
        <w:spacing w:after="240" w:line="360" w:lineRule="exact"/>
        <w:rPr>
          <w:rFonts w:eastAsia="SimHei"/>
        </w:rPr>
      </w:pPr>
      <w:r>
        <w:rPr>
          <w:rFonts w:eastAsia="SimHei" w:hint="eastAsia"/>
        </w:rPr>
        <w:t>参与公职部门工作</w:t>
      </w:r>
    </w:p>
    <w:p w:rsidR="00000000" w:rsidRDefault="00000000">
      <w:pPr>
        <w:spacing w:after="240" w:line="360" w:lineRule="exact"/>
        <w:ind w:firstLine="425"/>
      </w:pPr>
      <w:r>
        <w:rPr>
          <w:rFonts w:hint="eastAsia"/>
        </w:rPr>
        <w:t>女性和男性一样拥有被任命公职的正式机会。公营部门的女性雇员明显占多数，但担任管理职务的妇女却明显占少数。</w:t>
      </w:r>
    </w:p>
    <w:p w:rsidR="00000000" w:rsidRDefault="00000000">
      <w:pPr>
        <w:spacing w:after="240" w:line="360" w:lineRule="exact"/>
        <w:rPr>
          <w:rFonts w:eastAsia="SimHei"/>
        </w:rPr>
      </w:pPr>
      <w:r>
        <w:rPr>
          <w:rFonts w:eastAsia="SimHei" w:hint="eastAsia"/>
        </w:rPr>
        <w:t>国家和市</w:t>
      </w:r>
    </w:p>
    <w:p w:rsidR="00000000" w:rsidRDefault="00000000">
      <w:pPr>
        <w:spacing w:after="240" w:line="360" w:lineRule="exact"/>
        <w:ind w:firstLine="425"/>
      </w:pPr>
      <w:r>
        <w:rPr>
          <w:rFonts w:hint="eastAsia"/>
        </w:rPr>
        <w:t>在公共行政系统，管理职位是以</w:t>
      </w:r>
      <w:r>
        <w:t>36</w:t>
      </w:r>
      <w:r>
        <w:rPr>
          <w:rFonts w:hint="eastAsia"/>
        </w:rPr>
        <w:t>级至</w:t>
      </w:r>
      <w:r>
        <w:t>42</w:t>
      </w:r>
      <w:r>
        <w:rPr>
          <w:rFonts w:hint="eastAsia"/>
        </w:rPr>
        <w:t>级的薪金组加以分类的。男性占据了大多数管理职位。当职位级别更高时，男性的主导地位也随之提高。自</w:t>
      </w:r>
      <w:r>
        <w:t>1983</w:t>
      </w:r>
      <w:r>
        <w:rPr>
          <w:rFonts w:hint="eastAsia"/>
        </w:rPr>
        <w:t>年至</w:t>
      </w:r>
      <w:r>
        <w:t>1996</w:t>
      </w:r>
      <w:r>
        <w:rPr>
          <w:rFonts w:hint="eastAsia"/>
        </w:rPr>
        <w:t>年以来，女性在中央政府拥有管理职位的份额从</w:t>
      </w:r>
      <w:r>
        <w:t>9%</w:t>
      </w:r>
      <w:r>
        <w:rPr>
          <w:rFonts w:hint="eastAsia"/>
        </w:rPr>
        <w:t>上升至</w:t>
      </w:r>
      <w:r>
        <w:t>20%</w:t>
      </w:r>
      <w:r>
        <w:rPr>
          <w:rFonts w:hint="eastAsia"/>
        </w:rPr>
        <w:t>。同期，女性在最高管理层就职的份额由</w:t>
      </w:r>
      <w:r>
        <w:t>3%</w:t>
      </w:r>
      <w:r>
        <w:rPr>
          <w:rFonts w:hint="eastAsia"/>
        </w:rPr>
        <w:t>上升至</w:t>
      </w:r>
      <w:r>
        <w:t>10%</w:t>
      </w:r>
      <w:r>
        <w:rPr>
          <w:rFonts w:hint="eastAsia"/>
        </w:rPr>
        <w:t>。</w:t>
      </w:r>
      <w:r>
        <w:t>1998</w:t>
      </w:r>
      <w:r>
        <w:rPr>
          <w:rFonts w:hint="eastAsia"/>
        </w:rPr>
        <w:t>年，各部</w:t>
      </w:r>
      <w:r>
        <w:t>19</w:t>
      </w:r>
      <w:r>
        <w:rPr>
          <w:rFonts w:hint="eastAsia"/>
        </w:rPr>
        <w:t>个常设秘书处中均无女性。但</w:t>
      </w:r>
      <w:r>
        <w:t>1998</w:t>
      </w:r>
      <w:r>
        <w:rPr>
          <w:rFonts w:hint="eastAsia"/>
        </w:rPr>
        <w:t>年，</w:t>
      </w:r>
      <w:r>
        <w:t>11%</w:t>
      </w:r>
      <w:r>
        <w:rPr>
          <w:rFonts w:hint="eastAsia"/>
        </w:rPr>
        <w:t>的部门首长是女性。</w:t>
      </w:r>
    </w:p>
    <w:p w:rsidR="00000000" w:rsidRDefault="00000000">
      <w:pPr>
        <w:spacing w:after="240" w:line="360" w:lineRule="exact"/>
        <w:ind w:firstLine="425"/>
      </w:pPr>
      <w:r>
        <w:t>1983</w:t>
      </w:r>
      <w:r>
        <w:rPr>
          <w:rFonts w:hint="eastAsia"/>
        </w:rPr>
        <w:t>年至</w:t>
      </w:r>
      <w:r>
        <w:t>1996</w:t>
      </w:r>
      <w:r>
        <w:rPr>
          <w:rFonts w:hint="eastAsia"/>
        </w:rPr>
        <w:t>年间，女性担任城市管理职位的份额由</w:t>
      </w:r>
      <w:r>
        <w:t>12%</w:t>
      </w:r>
      <w:r>
        <w:rPr>
          <w:rFonts w:hint="eastAsia"/>
        </w:rPr>
        <w:t>上升至</w:t>
      </w:r>
      <w:r>
        <w:t>20%</w:t>
      </w:r>
      <w:r>
        <w:rPr>
          <w:rFonts w:hint="eastAsia"/>
        </w:rPr>
        <w:t>。同期，女性在最高管理层就职的份额由</w:t>
      </w:r>
      <w:r>
        <w:t>1%</w:t>
      </w:r>
      <w:r>
        <w:rPr>
          <w:rFonts w:hint="eastAsia"/>
        </w:rPr>
        <w:t>上升至</w:t>
      </w:r>
      <w:r>
        <w:t>8%</w:t>
      </w:r>
      <w:r>
        <w:rPr>
          <w:rFonts w:hint="eastAsia"/>
        </w:rPr>
        <w:t>。女性担任市主任职务的份额已从</w:t>
      </w:r>
      <w:r>
        <w:t>1990</w:t>
      </w:r>
      <w:r>
        <w:rPr>
          <w:rFonts w:hint="eastAsia"/>
        </w:rPr>
        <w:t>年的</w:t>
      </w:r>
      <w:r>
        <w:t>5%</w:t>
      </w:r>
      <w:r>
        <w:rPr>
          <w:rFonts w:hint="eastAsia"/>
        </w:rPr>
        <w:t>增加至</w:t>
      </w:r>
      <w:r>
        <w:t>1998</w:t>
      </w:r>
      <w:r>
        <w:rPr>
          <w:rFonts w:hint="eastAsia"/>
        </w:rPr>
        <w:t>年的约</w:t>
      </w:r>
      <w:r>
        <w:t>14%</w:t>
      </w:r>
      <w:r>
        <w:rPr>
          <w:rFonts w:hint="eastAsia"/>
        </w:rPr>
        <w:t>。</w:t>
      </w:r>
    </w:p>
    <w:p w:rsidR="00000000" w:rsidRDefault="00000000">
      <w:pPr>
        <w:spacing w:after="240" w:line="360" w:lineRule="exact"/>
        <w:rPr>
          <w:rFonts w:eastAsia="SimHei"/>
        </w:rPr>
      </w:pPr>
      <w:r>
        <w:rPr>
          <w:rFonts w:eastAsia="SimHei"/>
        </w:rPr>
        <w:br w:type="page"/>
      </w:r>
      <w:r>
        <w:rPr>
          <w:rFonts w:eastAsia="SimHei" w:hint="eastAsia"/>
        </w:rPr>
        <w:t>武装部队</w:t>
      </w:r>
    </w:p>
    <w:p w:rsidR="00000000" w:rsidRDefault="00000000">
      <w:pPr>
        <w:spacing w:after="240" w:line="360" w:lineRule="exact"/>
        <w:ind w:firstLine="425"/>
      </w:pPr>
      <w:r>
        <w:rPr>
          <w:rFonts w:hint="eastAsia"/>
        </w:rPr>
        <w:t>在</w:t>
      </w:r>
      <w:r>
        <w:t>1997</w:t>
      </w:r>
      <w:r>
        <w:rPr>
          <w:rFonts w:hint="eastAsia"/>
        </w:rPr>
        <w:t>年，修订了征募自愿在武装部队服役人员的规定。随后的修正案使征募更多女性进行军事训练成为可能。实行个性化体育和培训的可能性提高了。这将能使更多的妇女以优异的成绩完成培训。</w:t>
      </w:r>
    </w:p>
    <w:p w:rsidR="00000000" w:rsidRDefault="00000000">
      <w:pPr>
        <w:spacing w:after="240" w:line="360" w:lineRule="exact"/>
        <w:ind w:firstLine="425"/>
        <w:rPr>
          <w:rFonts w:hint="eastAsia"/>
        </w:rPr>
      </w:pPr>
      <w:r>
        <w:t>2000</w:t>
      </w:r>
      <w:r>
        <w:rPr>
          <w:rFonts w:hint="eastAsia"/>
        </w:rPr>
        <w:t>年，将修订体育训练要求。预计采用新的体育训练规定将有可能进一步增加应征参加军训的妇女的人数，并使女性军事人员更易于达到执行公务的身体训练要求。</w:t>
      </w:r>
    </w:p>
    <w:p w:rsidR="00000000" w:rsidRDefault="00000000">
      <w:pPr>
        <w:spacing w:after="240" w:line="360" w:lineRule="exact"/>
        <w:ind w:firstLine="425"/>
      </w:pPr>
      <w:r>
        <w:t>1998</w:t>
      </w:r>
      <w:r>
        <w:rPr>
          <w:rFonts w:hint="eastAsia"/>
        </w:rPr>
        <w:t>年</w:t>
      </w:r>
      <w:r>
        <w:t>2</w:t>
      </w:r>
      <w:r>
        <w:rPr>
          <w:rFonts w:hint="eastAsia"/>
        </w:rPr>
        <w:t>月，通过了一项法令，该法规定妇女可按与那些申请普通的义务兵役相类似的条件，自愿应征入伍，以便使其与男子在平等的基础上，成为武装部队动员单位的组成部分。</w:t>
      </w:r>
    </w:p>
    <w:p w:rsidR="00000000" w:rsidRDefault="00000000">
      <w:pPr>
        <w:spacing w:after="240" w:line="360" w:lineRule="exact"/>
        <w:ind w:firstLine="425"/>
      </w:pPr>
      <w:r>
        <w:rPr>
          <w:rFonts w:hint="eastAsia"/>
        </w:rPr>
        <w:t>当今约有</w:t>
      </w:r>
      <w:r>
        <w:t>5%</w:t>
      </w:r>
      <w:r>
        <w:rPr>
          <w:rFonts w:hint="eastAsia"/>
        </w:rPr>
        <w:t>的军事人员是妇女。这些女军事人员中大多数为列兵。由于女性人员较少和妇女最近才参加武装部队，所以在</w:t>
      </w:r>
      <w:r>
        <w:t>1999</w:t>
      </w:r>
      <w:r>
        <w:rPr>
          <w:rFonts w:hint="eastAsia"/>
        </w:rPr>
        <w:t>年之前，没有被提升到高级职务的女军官。</w:t>
      </w:r>
      <w:r>
        <w:t>1999</w:t>
      </w:r>
      <w:r>
        <w:rPr>
          <w:rFonts w:hint="eastAsia"/>
        </w:rPr>
        <w:t>年才有第一个晋升至高级指挥官的妇女。</w:t>
      </w:r>
    </w:p>
    <w:p w:rsidR="00000000" w:rsidRDefault="00000000">
      <w:pPr>
        <w:spacing w:after="240" w:line="360" w:lineRule="exact"/>
        <w:ind w:firstLine="425"/>
      </w:pPr>
      <w:r>
        <w:rPr>
          <w:rFonts w:hint="eastAsia"/>
        </w:rPr>
        <w:t>武装部队正在努力提拔更多的妇女。女性军职人员与男性军职人员平等参加武装部队的管理发展方案。此外，女性军职人员被录取参加特殊方案，以使增加对高级女军官的任命。</w:t>
      </w:r>
    </w:p>
    <w:p w:rsidR="00000000" w:rsidRDefault="00000000">
      <w:pPr>
        <w:spacing w:after="240" w:line="360" w:lineRule="exact"/>
        <w:jc w:val="center"/>
        <w:rPr>
          <w:rFonts w:eastAsia="SimHei"/>
        </w:rPr>
      </w:pPr>
      <w:r>
        <w:rPr>
          <w:rFonts w:eastAsia="SimHei" w:hint="eastAsia"/>
        </w:rPr>
        <w:t>第</w:t>
      </w:r>
      <w:r>
        <w:rPr>
          <w:rFonts w:eastAsia="SimHei"/>
        </w:rPr>
        <w:t>8</w:t>
      </w:r>
      <w:r>
        <w:rPr>
          <w:rFonts w:eastAsia="SimHei" w:hint="eastAsia"/>
        </w:rPr>
        <w:t>条</w:t>
      </w:r>
    </w:p>
    <w:p w:rsidR="00000000" w:rsidRDefault="00000000">
      <w:pPr>
        <w:spacing w:after="240" w:line="360" w:lineRule="exact"/>
        <w:jc w:val="center"/>
        <w:rPr>
          <w:rFonts w:eastAsia="SimHei"/>
        </w:rPr>
      </w:pPr>
      <w:r>
        <w:rPr>
          <w:rFonts w:eastAsia="SimHei" w:hint="eastAsia"/>
        </w:rPr>
        <w:t>代表政府</w:t>
      </w:r>
    </w:p>
    <w:p w:rsidR="00000000" w:rsidRDefault="00000000">
      <w:pPr>
        <w:spacing w:after="240" w:line="360" w:lineRule="exact"/>
        <w:ind w:firstLine="425"/>
      </w:pPr>
      <w:r>
        <w:rPr>
          <w:rFonts w:hint="eastAsia"/>
        </w:rPr>
        <w:t>丹麦妇女享有与男子同样的在国际一级代表丹麦政府的权利。</w:t>
      </w:r>
    </w:p>
    <w:p w:rsidR="00000000" w:rsidRDefault="00000000">
      <w:pPr>
        <w:spacing w:after="240" w:line="360" w:lineRule="exact"/>
        <w:ind w:firstLine="425"/>
      </w:pPr>
      <w:r>
        <w:rPr>
          <w:rFonts w:hint="eastAsia"/>
        </w:rPr>
        <w:t>外交部的工作人员总数近</w:t>
      </w:r>
      <w:r>
        <w:t>2500</w:t>
      </w:r>
      <w:r>
        <w:rPr>
          <w:rFonts w:hint="eastAsia"/>
        </w:rPr>
        <w:t>名。其中有</w:t>
      </w:r>
      <w:r>
        <w:t>953</w:t>
      </w:r>
      <w:r>
        <w:rPr>
          <w:rFonts w:hint="eastAsia"/>
        </w:rPr>
        <w:t>人在哥本哈根工作。</w:t>
      </w:r>
      <w:r>
        <w:t>1999</w:t>
      </w:r>
      <w:r>
        <w:rPr>
          <w:rFonts w:hint="eastAsia"/>
        </w:rPr>
        <w:t>年，妇女占雇员总数的</w:t>
      </w:r>
      <w:r>
        <w:t>45%</w:t>
      </w:r>
      <w:r>
        <w:rPr>
          <w:rFonts w:hint="eastAsia"/>
        </w:rPr>
        <w:t>，但担任高级职务的男子比例要高得多。在各种学术部门中，妇女占</w:t>
      </w:r>
      <w:r>
        <w:t>27%</w:t>
      </w:r>
      <w:r>
        <w:rPr>
          <w:rFonts w:hint="eastAsia"/>
        </w:rPr>
        <w:t>。在高级公务员一级（</w:t>
      </w:r>
      <w:r>
        <w:t>36</w:t>
      </w:r>
      <w:r>
        <w:rPr>
          <w:rFonts w:hint="eastAsia"/>
        </w:rPr>
        <w:t>至</w:t>
      </w:r>
      <w:r>
        <w:t>42</w:t>
      </w:r>
      <w:r>
        <w:rPr>
          <w:rFonts w:hint="eastAsia"/>
        </w:rPr>
        <w:t>薪金组），</w:t>
      </w:r>
      <w:r>
        <w:t>167</w:t>
      </w:r>
      <w:r>
        <w:rPr>
          <w:rFonts w:hint="eastAsia"/>
        </w:rPr>
        <w:t>人中的</w:t>
      </w:r>
      <w:r>
        <w:t>18</w:t>
      </w:r>
      <w:r>
        <w:rPr>
          <w:rFonts w:hint="eastAsia"/>
        </w:rPr>
        <w:t>人或</w:t>
      </w:r>
      <w:r>
        <w:t>11%</w:t>
      </w:r>
      <w:r>
        <w:rPr>
          <w:rFonts w:hint="eastAsia"/>
        </w:rPr>
        <w:t>是妇女。在</w:t>
      </w:r>
      <w:r>
        <w:t>40</w:t>
      </w:r>
      <w:r>
        <w:rPr>
          <w:rFonts w:hint="eastAsia"/>
        </w:rPr>
        <w:t>级至</w:t>
      </w:r>
      <w:r>
        <w:t>42</w:t>
      </w:r>
      <w:r>
        <w:rPr>
          <w:rFonts w:hint="eastAsia"/>
        </w:rPr>
        <w:t>级薪金组中的最高级管理部门一级，</w:t>
      </w:r>
      <w:r>
        <w:t>9</w:t>
      </w:r>
      <w:r>
        <w:rPr>
          <w:rFonts w:hint="eastAsia"/>
        </w:rPr>
        <w:t>人中只有</w:t>
      </w:r>
      <w:r>
        <w:t>1</w:t>
      </w:r>
      <w:r>
        <w:rPr>
          <w:rFonts w:hint="eastAsia"/>
        </w:rPr>
        <w:t>人是妇女。</w:t>
      </w:r>
    </w:p>
    <w:p w:rsidR="00000000" w:rsidRDefault="00000000">
      <w:pPr>
        <w:spacing w:after="240" w:line="360" w:lineRule="exact"/>
        <w:ind w:firstLine="425"/>
      </w:pPr>
      <w:r>
        <w:t>1993</w:t>
      </w:r>
      <w:r>
        <w:rPr>
          <w:rFonts w:hint="eastAsia"/>
        </w:rPr>
        <w:t>年底，外交部发布了题为“外交部门在</w:t>
      </w:r>
      <w:r>
        <w:t>2000</w:t>
      </w:r>
      <w:r>
        <w:rPr>
          <w:rFonts w:hint="eastAsia"/>
        </w:rPr>
        <w:t>年实现平等”的行动计划。该计划已经修订并于</w:t>
      </w:r>
      <w:r>
        <w:t>2000</w:t>
      </w:r>
      <w:r>
        <w:rPr>
          <w:rFonts w:hint="eastAsia"/>
        </w:rPr>
        <w:t>年</w:t>
      </w:r>
      <w:r>
        <w:t>4</w:t>
      </w:r>
      <w:r>
        <w:rPr>
          <w:rFonts w:hint="eastAsia"/>
        </w:rPr>
        <w:t>月定稿。上述数字显示，至</w:t>
      </w:r>
      <w:r>
        <w:t>2000</w:t>
      </w:r>
      <w:r>
        <w:rPr>
          <w:rFonts w:hint="eastAsia"/>
        </w:rPr>
        <w:t>年距实现男女平等的目标还相差很远。</w:t>
      </w:r>
    </w:p>
    <w:p w:rsidR="00000000" w:rsidRDefault="00000000">
      <w:pPr>
        <w:spacing w:after="240" w:line="360" w:lineRule="exact"/>
        <w:jc w:val="center"/>
        <w:rPr>
          <w:rFonts w:eastAsia="SimHei"/>
        </w:rPr>
      </w:pPr>
      <w:r>
        <w:rPr>
          <w:rFonts w:eastAsia="SimHei" w:hint="eastAsia"/>
        </w:rPr>
        <w:t>第</w:t>
      </w:r>
      <w:r>
        <w:rPr>
          <w:rFonts w:eastAsia="SimHei"/>
        </w:rPr>
        <w:t>9</w:t>
      </w:r>
      <w:r>
        <w:rPr>
          <w:rFonts w:eastAsia="SimHei" w:hint="eastAsia"/>
        </w:rPr>
        <w:t>条</w:t>
      </w:r>
    </w:p>
    <w:p w:rsidR="00000000" w:rsidRDefault="00000000">
      <w:pPr>
        <w:spacing w:after="240" w:line="360" w:lineRule="exact"/>
        <w:jc w:val="center"/>
        <w:rPr>
          <w:rFonts w:eastAsia="SimHei"/>
        </w:rPr>
      </w:pPr>
      <w:r>
        <w:rPr>
          <w:rFonts w:eastAsia="SimHei" w:hint="eastAsia"/>
        </w:rPr>
        <w:t>国籍</w:t>
      </w:r>
    </w:p>
    <w:p w:rsidR="00000000" w:rsidRDefault="00000000">
      <w:pPr>
        <w:spacing w:after="240" w:line="360" w:lineRule="exact"/>
        <w:ind w:firstLine="425"/>
      </w:pPr>
      <w:r>
        <w:rPr>
          <w:rFonts w:hint="eastAsia"/>
        </w:rPr>
        <w:t>如前期报告所述，《丹麦国籍法》完全符合《公约》第</w:t>
      </w:r>
      <w:r>
        <w:t>9</w:t>
      </w:r>
      <w:r>
        <w:rPr>
          <w:rFonts w:hint="eastAsia"/>
        </w:rPr>
        <w:t>条。</w:t>
      </w:r>
    </w:p>
    <w:p w:rsidR="00000000" w:rsidRDefault="00000000">
      <w:pPr>
        <w:spacing w:after="240" w:line="360" w:lineRule="exact"/>
        <w:ind w:firstLine="425"/>
      </w:pPr>
      <w:r>
        <w:rPr>
          <w:rFonts w:hint="eastAsia"/>
        </w:rPr>
        <w:t>《外国人法》就外国人进入丹麦及其在丹麦的居住作出规定。该法没有性别区分。</w:t>
      </w:r>
    </w:p>
    <w:p w:rsidR="00000000" w:rsidRDefault="00000000">
      <w:pPr>
        <w:spacing w:after="240" w:line="360" w:lineRule="exact"/>
        <w:ind w:firstLine="425"/>
      </w:pPr>
      <w:r>
        <w:rPr>
          <w:rFonts w:hint="eastAsia"/>
        </w:rPr>
        <w:t>难民和移民获得居留许可及获得国籍的权利历来是</w:t>
      </w:r>
      <w:r>
        <w:t>1990</w:t>
      </w:r>
      <w:r>
        <w:rPr>
          <w:rFonts w:hint="eastAsia"/>
        </w:rPr>
        <w:t>年代人们议论纷纷的问题。外国妇女来丹麦的理由各不相同（如作为难民、由于婚姻或家庭团聚等）。还有，她们来自各种有不同背景的国家。了解每个人的具体情况以及确保男女平等是很重要的。</w:t>
      </w:r>
    </w:p>
    <w:p w:rsidR="00000000" w:rsidRDefault="00000000">
      <w:pPr>
        <w:spacing w:after="240" w:line="360" w:lineRule="exact"/>
        <w:ind w:firstLine="425"/>
      </w:pPr>
      <w:r>
        <w:rPr>
          <w:rFonts w:hint="eastAsia"/>
        </w:rPr>
        <w:t>如前期报告所述，</w:t>
      </w:r>
      <w:r>
        <w:t>1993</w:t>
      </w:r>
      <w:r>
        <w:rPr>
          <w:rFonts w:hint="eastAsia"/>
        </w:rPr>
        <w:t>年，在内务部的主持下成立了一个“外国妇女融入丹麦及其法律地位委员会”。该委员会被委派审查发给居留许可证的规定和撤消居留许可证的规定。平等地位委员会在该委员会派有代表。委员会报告的第一部分于</w:t>
      </w:r>
      <w:r>
        <w:t>1995</w:t>
      </w:r>
      <w:r>
        <w:rPr>
          <w:rFonts w:hint="eastAsia"/>
        </w:rPr>
        <w:t>年发表。这导致</w:t>
      </w:r>
      <w:r>
        <w:t>1996</w:t>
      </w:r>
      <w:r>
        <w:rPr>
          <w:rFonts w:hint="eastAsia"/>
        </w:rPr>
        <w:t>年</w:t>
      </w:r>
      <w:r>
        <w:t>5</w:t>
      </w:r>
      <w:r>
        <w:rPr>
          <w:rFonts w:hint="eastAsia"/>
        </w:rPr>
        <w:t>月对《外国人法》的修正案。</w:t>
      </w:r>
    </w:p>
    <w:p w:rsidR="00000000" w:rsidRDefault="00000000">
      <w:pPr>
        <w:spacing w:after="240" w:line="360" w:lineRule="exact"/>
        <w:ind w:firstLine="425"/>
      </w:pPr>
      <w:r>
        <w:rPr>
          <w:rFonts w:hint="eastAsia"/>
        </w:rPr>
        <w:t>由于通过了关于受到暴力的外国妇女的居留许可的《外国人法》的修正案，这个群体的法律地位方面普遍有所改进。关于撤消居住许可的案例问题，移民局必须考虑到此种撤消是否会对有关妇女造成特别伤害。妇女受到暴力、虐待或使其离开与在丹麦长期居住的男子共享的居所的其他伤害可造成此种伤害的后果。因此，在此种情况下，受到暴力的外国妇女在丹麦的居住时间不再是个决定因素。</w:t>
      </w:r>
    </w:p>
    <w:p w:rsidR="00000000" w:rsidRDefault="00000000">
      <w:pPr>
        <w:spacing w:after="240" w:line="360" w:lineRule="exact"/>
        <w:ind w:firstLine="425"/>
      </w:pPr>
      <w:r>
        <w:t>1998</w:t>
      </w:r>
      <w:r>
        <w:rPr>
          <w:rFonts w:hint="eastAsia"/>
        </w:rPr>
        <w:t>年春，委员会提出其关于加强外国妇女融入丹麦及其法律地位报告的第二部分。委员会提出了一些旨在促进外国妇女融入丹麦的一些措施。目前正在审议该报告，以确定政府在此领域所采取的进一步的行动。至</w:t>
      </w:r>
      <w:r>
        <w:t>1999</w:t>
      </w:r>
      <w:r>
        <w:rPr>
          <w:rFonts w:hint="eastAsia"/>
        </w:rPr>
        <w:t>年底，尚未开始任何方案或采取任何措施。</w:t>
      </w:r>
    </w:p>
    <w:p w:rsidR="00000000" w:rsidRDefault="00000000">
      <w:pPr>
        <w:spacing w:after="240" w:line="360" w:lineRule="exact"/>
        <w:jc w:val="center"/>
        <w:rPr>
          <w:rFonts w:eastAsia="SimHei"/>
          <w:sz w:val="24"/>
        </w:rPr>
      </w:pPr>
      <w:r>
        <w:rPr>
          <w:rFonts w:eastAsia="SimHei"/>
          <w:sz w:val="24"/>
        </w:rPr>
        <w:br w:type="page"/>
      </w:r>
      <w:r>
        <w:rPr>
          <w:rFonts w:eastAsia="SimHei" w:hint="eastAsia"/>
          <w:sz w:val="24"/>
        </w:rPr>
        <w:t>第三章：教育</w:t>
      </w:r>
    </w:p>
    <w:p w:rsidR="00000000" w:rsidRDefault="00000000">
      <w:pPr>
        <w:spacing w:after="240" w:line="360" w:lineRule="exact"/>
        <w:jc w:val="center"/>
        <w:rPr>
          <w:rFonts w:eastAsia="SimHei"/>
        </w:rPr>
      </w:pPr>
      <w:r>
        <w:rPr>
          <w:rFonts w:eastAsia="SimHei" w:hint="eastAsia"/>
        </w:rPr>
        <w:t>第</w:t>
      </w:r>
      <w:r>
        <w:rPr>
          <w:rFonts w:eastAsia="SimHei"/>
        </w:rPr>
        <w:t>10</w:t>
      </w:r>
      <w:r>
        <w:rPr>
          <w:rFonts w:eastAsia="SimHei" w:hint="eastAsia"/>
        </w:rPr>
        <w:t>条</w:t>
      </w:r>
    </w:p>
    <w:p w:rsidR="00000000" w:rsidRDefault="00000000">
      <w:pPr>
        <w:spacing w:after="240" w:line="360" w:lineRule="exact"/>
        <w:jc w:val="center"/>
        <w:rPr>
          <w:rFonts w:eastAsia="SimHei"/>
        </w:rPr>
      </w:pPr>
      <w:r>
        <w:rPr>
          <w:rFonts w:eastAsia="SimHei" w:hint="eastAsia"/>
        </w:rPr>
        <w:t>教育机会</w:t>
      </w:r>
    </w:p>
    <w:p w:rsidR="00000000" w:rsidRDefault="00000000">
      <w:pPr>
        <w:spacing w:after="240" w:line="360" w:lineRule="exact"/>
        <w:ind w:firstLine="425"/>
        <w:rPr>
          <w:rFonts w:hint="eastAsia"/>
        </w:rPr>
      </w:pPr>
      <w:r>
        <w:rPr>
          <w:rFonts w:hint="eastAsia"/>
        </w:rPr>
        <w:t>如前期报告所述，在丹麦，几代人以来，男女儿童和男女公民均享有接受从学前班至高等教育的各级教育的同等权利，可以参加各种培训和职业辅导以及业余时间参加成人和终生教育。</w:t>
      </w:r>
    </w:p>
    <w:p w:rsidR="00000000" w:rsidRDefault="00000000">
      <w:pPr>
        <w:spacing w:after="240" w:line="360" w:lineRule="exact"/>
        <w:rPr>
          <w:rFonts w:eastAsia="SimHei"/>
        </w:rPr>
      </w:pPr>
      <w:r>
        <w:rPr>
          <w:rFonts w:eastAsia="SimHei" w:hint="eastAsia"/>
        </w:rPr>
        <w:t>将性别观点纳入主流</w:t>
      </w:r>
    </w:p>
    <w:p w:rsidR="00000000" w:rsidRDefault="00000000">
      <w:pPr>
        <w:spacing w:after="240" w:line="360" w:lineRule="exact"/>
        <w:ind w:firstLine="425"/>
      </w:pPr>
      <w:r>
        <w:rPr>
          <w:rFonts w:hint="eastAsia"/>
        </w:rPr>
        <w:t>自</w:t>
      </w:r>
      <w:r>
        <w:t>1994</w:t>
      </w:r>
      <w:r>
        <w:rPr>
          <w:rFonts w:hint="eastAsia"/>
        </w:rPr>
        <w:t>年以来，一直将两性平等纳入教育系统的主流。它被列入小学法的序言并融入构成该法的实质内容的执行命令及指导原则。在教育、职业和劳动力市场指导等必修课的教学大纲中还具体提及平等的概念。</w:t>
      </w:r>
    </w:p>
    <w:p w:rsidR="00000000" w:rsidRDefault="00000000">
      <w:pPr>
        <w:spacing w:after="240" w:line="360" w:lineRule="exact"/>
        <w:ind w:firstLine="425"/>
      </w:pPr>
      <w:r>
        <w:rPr>
          <w:rFonts w:hint="eastAsia"/>
        </w:rPr>
        <w:t>平等概念也是高中教育目标和课程的组成部分及学习和职业规划的指导原则。人们继续把职业培训视为男女平等的一种具体手段。现在，仍然为那些旨在通过此种教育改进女童和妇女状况的项目提供拨款。</w:t>
      </w:r>
    </w:p>
    <w:p w:rsidR="00000000" w:rsidRDefault="00000000">
      <w:pPr>
        <w:spacing w:after="240" w:line="360" w:lineRule="exact"/>
        <w:ind w:firstLine="425"/>
      </w:pPr>
      <w:r>
        <w:rPr>
          <w:rFonts w:hint="eastAsia"/>
        </w:rPr>
        <w:t>人权教育不是国家教学大纲的必修部分，但在小学的各项目标均列入“人类的平等价值”问题，以作为小学开展教学的一项基本规范。</w:t>
      </w:r>
    </w:p>
    <w:p w:rsidR="00000000" w:rsidRDefault="00000000">
      <w:pPr>
        <w:spacing w:after="240" w:line="360" w:lineRule="exact"/>
        <w:rPr>
          <w:rFonts w:eastAsia="SimHei"/>
        </w:rPr>
      </w:pPr>
      <w:r>
        <w:rPr>
          <w:rFonts w:eastAsia="SimHei" w:hint="eastAsia"/>
        </w:rPr>
        <w:t>受教育程度</w:t>
      </w:r>
    </w:p>
    <w:p w:rsidR="00000000" w:rsidRDefault="00000000">
      <w:pPr>
        <w:spacing w:after="240" w:line="360" w:lineRule="exact"/>
        <w:ind w:firstLine="425"/>
      </w:pPr>
      <w:r>
        <w:rPr>
          <w:rFonts w:hint="eastAsia"/>
        </w:rPr>
        <w:t>丹麦人口的总体受教育程度一直在稳步提高。同时受到高等院校教育的人口比例不断增加。</w:t>
      </w:r>
    </w:p>
    <w:p w:rsidR="00000000" w:rsidRDefault="00000000">
      <w:pPr>
        <w:spacing w:after="240" w:line="360" w:lineRule="exact"/>
        <w:ind w:firstLine="425"/>
      </w:pPr>
      <w:r>
        <w:rPr>
          <w:rFonts w:hint="eastAsia"/>
        </w:rPr>
        <w:t>近些年来，妇女受教育的比例有所增加，而且在一些领域青年妇女居大多数。妇女在学生中所占份额日益增加。同时，在</w:t>
      </w:r>
      <w:r>
        <w:t>22—66</w:t>
      </w:r>
      <w:r>
        <w:rPr>
          <w:rFonts w:hint="eastAsia"/>
        </w:rPr>
        <w:t>多年龄组，只完成义务教育的妇女的百分比从</w:t>
      </w:r>
      <w:r>
        <w:t>1985</w:t>
      </w:r>
      <w:r>
        <w:rPr>
          <w:rFonts w:hint="eastAsia"/>
        </w:rPr>
        <w:t>年的</w:t>
      </w:r>
      <w:r>
        <w:t>55%</w:t>
      </w:r>
      <w:r>
        <w:rPr>
          <w:rFonts w:hint="eastAsia"/>
        </w:rPr>
        <w:t>降至</w:t>
      </w:r>
      <w:r>
        <w:t>1994</w:t>
      </w:r>
      <w:r>
        <w:rPr>
          <w:rFonts w:hint="eastAsia"/>
        </w:rPr>
        <w:t>年的</w:t>
      </w:r>
      <w:r>
        <w:t>44%</w:t>
      </w:r>
      <w:r>
        <w:rPr>
          <w:rFonts w:hint="eastAsia"/>
        </w:rPr>
        <w:t>和</w:t>
      </w:r>
      <w:r>
        <w:t>1997</w:t>
      </w:r>
      <w:r>
        <w:rPr>
          <w:rFonts w:hint="eastAsia"/>
        </w:rPr>
        <w:t>年的</w:t>
      </w:r>
      <w:r>
        <w:t>38%</w:t>
      </w:r>
      <w:r>
        <w:rPr>
          <w:rFonts w:hint="eastAsia"/>
        </w:rPr>
        <w:t>。</w:t>
      </w:r>
    </w:p>
    <w:p w:rsidR="00000000" w:rsidRDefault="00000000">
      <w:pPr>
        <w:spacing w:after="240" w:line="360" w:lineRule="exact"/>
        <w:ind w:firstLine="425"/>
      </w:pPr>
      <w:r>
        <w:rPr>
          <w:rFonts w:hint="eastAsia"/>
        </w:rPr>
        <w:t>现在，女生占高中学生的大多数（</w:t>
      </w:r>
      <w:r>
        <w:t>1997</w:t>
      </w:r>
      <w:r>
        <w:rPr>
          <w:rFonts w:hint="eastAsia"/>
        </w:rPr>
        <w:t>年为</w:t>
      </w:r>
      <w:r>
        <w:t>60%</w:t>
      </w:r>
      <w:r>
        <w:rPr>
          <w:rFonts w:hint="eastAsia"/>
        </w:rPr>
        <w:t>）和占中等长度大学教育的大多数（</w:t>
      </w:r>
      <w:r>
        <w:t>1997</w:t>
      </w:r>
      <w:r>
        <w:rPr>
          <w:rFonts w:hint="eastAsia"/>
        </w:rPr>
        <w:t>年占</w:t>
      </w:r>
      <w:r>
        <w:t>66%</w:t>
      </w:r>
      <w:r>
        <w:rPr>
          <w:rFonts w:hint="eastAsia"/>
        </w:rPr>
        <w:t>）。然而，男生仍占职业教育的大多数（</w:t>
      </w:r>
      <w:r>
        <w:t>1996</w:t>
      </w:r>
      <w:r>
        <w:rPr>
          <w:rFonts w:hint="eastAsia"/>
        </w:rPr>
        <w:t>年为</w:t>
      </w:r>
      <w:r>
        <w:t>55%</w:t>
      </w:r>
      <w:r>
        <w:rPr>
          <w:rFonts w:hint="eastAsia"/>
        </w:rPr>
        <w:t>）。高等教育中的两性现在接近持平（</w:t>
      </w:r>
      <w:r>
        <w:t>1997</w:t>
      </w:r>
      <w:r>
        <w:rPr>
          <w:rFonts w:hint="eastAsia"/>
        </w:rPr>
        <w:t>年，女生占</w:t>
      </w:r>
      <w:r>
        <w:t>49.3%</w:t>
      </w:r>
      <w:r>
        <w:rPr>
          <w:rFonts w:hint="eastAsia"/>
        </w:rPr>
        <w:t>，男生占</w:t>
      </w:r>
      <w:r>
        <w:t>50.7%</w:t>
      </w:r>
      <w:r>
        <w:rPr>
          <w:rFonts w:hint="eastAsia"/>
        </w:rPr>
        <w:t>）。在一些科目中，女生数目多于男生，例如，在曾经是“男生的专业”的法律和医学专业中，便是女生居多。</w:t>
      </w:r>
    </w:p>
    <w:p w:rsidR="00000000" w:rsidRDefault="00000000">
      <w:pPr>
        <w:spacing w:after="240" w:line="360" w:lineRule="exact"/>
        <w:ind w:firstLine="425"/>
      </w:pPr>
      <w:r>
        <w:rPr>
          <w:rFonts w:hint="eastAsia"/>
        </w:rPr>
        <w:t>尽管存在这些趋向，但男女生在选择专业和教育方面仍存在很大区别。例如，在高等院校教育中，就读科学和技术专业的学生仍以男生为主。然而，妇女较其以前的代表性已有所提高。例如，就读技术专业的妇女比例已从</w:t>
      </w:r>
      <w:r>
        <w:t>1981</w:t>
      </w:r>
      <w:r>
        <w:rPr>
          <w:rFonts w:hint="eastAsia"/>
        </w:rPr>
        <w:t>年的</w:t>
      </w:r>
      <w:r>
        <w:t>16%</w:t>
      </w:r>
      <w:r>
        <w:rPr>
          <w:rFonts w:hint="eastAsia"/>
        </w:rPr>
        <w:t>增至</w:t>
      </w:r>
      <w:r>
        <w:t>1997</w:t>
      </w:r>
      <w:r>
        <w:rPr>
          <w:rFonts w:hint="eastAsia"/>
        </w:rPr>
        <w:t>年的</w:t>
      </w:r>
      <w:r>
        <w:t>36%</w:t>
      </w:r>
      <w:r>
        <w:rPr>
          <w:rFonts w:hint="eastAsia"/>
        </w:rPr>
        <w:t>。同时，研读教育学和保教育课程及人文学的女生现在明显占多数，而且在近些年来这一比例有所增加。</w:t>
      </w:r>
    </w:p>
    <w:p w:rsidR="00000000" w:rsidRDefault="00000000">
      <w:pPr>
        <w:spacing w:after="240" w:line="360" w:lineRule="exact"/>
        <w:ind w:firstLine="425"/>
      </w:pPr>
      <w:r>
        <w:rPr>
          <w:rFonts w:hint="eastAsia"/>
        </w:rPr>
        <w:t>男女参加成人教育和培训的比例都很高。参加普及成人教育课程的妇女多于男子，而参加成人劳动力市场教育课程的男子多于妇女。</w:t>
      </w:r>
    </w:p>
    <w:p w:rsidR="00000000" w:rsidRDefault="00000000">
      <w:pPr>
        <w:spacing w:after="240" w:line="360" w:lineRule="exact"/>
        <w:ind w:firstLine="425"/>
      </w:pPr>
      <w:r>
        <w:rPr>
          <w:rFonts w:hint="eastAsia"/>
        </w:rPr>
        <w:t>为改变基于性别的教育选择仍需做许多工作。政府强调小学担负着培养男女学童适应更加广泛的教育和职业选择的具体责任。在这方面，重要的问题是：男女学童自觉选择从传统上来说他们不会选择的学习科目。</w:t>
      </w:r>
    </w:p>
    <w:p w:rsidR="00000000" w:rsidRDefault="00000000">
      <w:pPr>
        <w:spacing w:after="240" w:line="360" w:lineRule="exact"/>
        <w:jc w:val="center"/>
        <w:rPr>
          <w:rFonts w:eastAsia="SimHei"/>
        </w:rPr>
      </w:pPr>
      <w:r>
        <w:rPr>
          <w:rFonts w:eastAsia="SimHei" w:hint="eastAsia"/>
        </w:rPr>
        <w:t>小学和初中</w:t>
      </w:r>
    </w:p>
    <w:p w:rsidR="00000000" w:rsidRDefault="00000000">
      <w:pPr>
        <w:spacing w:after="240" w:line="360" w:lineRule="exact"/>
        <w:ind w:firstLine="425"/>
      </w:pPr>
      <w:r>
        <w:rPr>
          <w:rFonts w:hint="eastAsia"/>
        </w:rPr>
        <w:t>为了增强男女学童获得教育资格的平等机会，小学正在努力提高女童对技术学科和自然科学的兴趣，例如，通过对这些科目进行早期介绍。为此于</w:t>
      </w:r>
      <w:r>
        <w:t>1994</w:t>
      </w:r>
      <w:r>
        <w:rPr>
          <w:rFonts w:hint="eastAsia"/>
        </w:rPr>
        <w:t>年引进了一个新学科：自然</w:t>
      </w:r>
      <w:r>
        <w:t>/</w:t>
      </w:r>
      <w:r>
        <w:rPr>
          <w:rFonts w:hint="eastAsia"/>
        </w:rPr>
        <w:t>技术科学。从四年级开始教授该科目。对于自然</w:t>
      </w:r>
      <w:r>
        <w:rPr>
          <w:rFonts w:hint="eastAsia"/>
        </w:rPr>
        <w:t>/</w:t>
      </w:r>
      <w:r>
        <w:rPr>
          <w:rFonts w:hint="eastAsia"/>
        </w:rPr>
        <w:t>技术科学新学科的一份评估报告显示，在科目选择和男女教师的教学方法方面仍然存在相当大的性别差距。从教于技术科目、数学、物理和化学的男性教师多于妇女，而从教于自然科学和生物学的女教师多于男教师。</w:t>
      </w:r>
    </w:p>
    <w:p w:rsidR="00000000" w:rsidRDefault="00000000">
      <w:pPr>
        <w:spacing w:after="240" w:line="360" w:lineRule="exact"/>
        <w:jc w:val="center"/>
        <w:rPr>
          <w:rFonts w:eastAsia="SimHei"/>
        </w:rPr>
      </w:pPr>
      <w:r>
        <w:rPr>
          <w:rFonts w:eastAsia="SimHei" w:hint="eastAsia"/>
        </w:rPr>
        <w:t>高中教育和职业培训</w:t>
      </w:r>
    </w:p>
    <w:p w:rsidR="00000000" w:rsidRDefault="00000000">
      <w:pPr>
        <w:spacing w:after="240" w:line="360" w:lineRule="exact"/>
        <w:ind w:firstLine="425"/>
      </w:pPr>
      <w:r>
        <w:rPr>
          <w:rFonts w:hint="eastAsia"/>
        </w:rPr>
        <w:t>升入高中的女生比例不断增加，</w:t>
      </w:r>
      <w:r>
        <w:t>1997</w:t>
      </w:r>
      <w:r>
        <w:rPr>
          <w:rFonts w:hint="eastAsia"/>
        </w:rPr>
        <w:t>年，升入高中的女生比例较小，而</w:t>
      </w:r>
      <w:r>
        <w:t>1997</w:t>
      </w:r>
      <w:r>
        <w:rPr>
          <w:rFonts w:hint="eastAsia"/>
        </w:rPr>
        <w:t>年，升入高中的女生占入学总人数的</w:t>
      </w:r>
      <w:r>
        <w:t>60</w:t>
      </w:r>
      <w:r>
        <w:rPr>
          <w:rFonts w:hint="eastAsia"/>
        </w:rPr>
        <w:t>％。</w:t>
      </w:r>
    </w:p>
    <w:p w:rsidR="00000000" w:rsidRDefault="00000000">
      <w:pPr>
        <w:spacing w:after="240" w:line="360" w:lineRule="exact"/>
        <w:ind w:firstLine="425"/>
      </w:pPr>
      <w:r>
        <w:rPr>
          <w:rFonts w:hint="eastAsia"/>
        </w:rPr>
        <w:t>从总体水平看，职业培训方面的变化不甚突出。</w:t>
      </w:r>
      <w:r>
        <w:t>1998</w:t>
      </w:r>
      <w:r>
        <w:rPr>
          <w:rFonts w:hint="eastAsia"/>
        </w:rPr>
        <w:t>年，男生占学生总数的</w:t>
      </w:r>
      <w:r>
        <w:t>55%</w:t>
      </w:r>
      <w:r>
        <w:rPr>
          <w:rFonts w:hint="eastAsia"/>
        </w:rPr>
        <w:t>。不过，这些数字掩盖了不同课程与科目之间及内部的重大差异。女生占就读文员和文书教育课程学生的</w:t>
      </w:r>
      <w:r>
        <w:t>75%</w:t>
      </w:r>
      <w:r>
        <w:rPr>
          <w:rFonts w:hint="eastAsia"/>
        </w:rPr>
        <w:t>。在就读服务业科目的学生中以女生为主，占</w:t>
      </w:r>
      <w:r>
        <w:t>90%</w:t>
      </w:r>
      <w:r>
        <w:rPr>
          <w:rFonts w:hint="eastAsia"/>
        </w:rPr>
        <w:t>。相反，男生在就读钢铁和金属加工专业（这些科目的三分之一没有女生）以及建筑业和运输业的学生中占</w:t>
      </w:r>
      <w:r>
        <w:t>96%</w:t>
      </w:r>
      <w:r>
        <w:rPr>
          <w:rFonts w:hint="eastAsia"/>
        </w:rPr>
        <w:t>。不过，现在有更多学科的男女比例较以前更均衡，但仍需做很多工作才能实现职业培训方面的男女平等。</w:t>
      </w:r>
    </w:p>
    <w:p w:rsidR="00000000" w:rsidRDefault="00000000">
      <w:pPr>
        <w:spacing w:after="240" w:line="360" w:lineRule="exact"/>
        <w:ind w:firstLine="425"/>
      </w:pPr>
      <w:r>
        <w:rPr>
          <w:rFonts w:hint="eastAsia"/>
        </w:rPr>
        <w:t>教育部一个重要的优先事项是确保男女学童有获得信息技术的平等机会。例如，</w:t>
      </w:r>
      <w:r>
        <w:t>1997</w:t>
      </w:r>
      <w:r>
        <w:rPr>
          <w:rFonts w:hint="eastAsia"/>
        </w:rPr>
        <w:t>年，就职业教育和培训中的信息技术科目设立了一个试验性开发项目，即其中也包括女童对于信息技术的态度问题。在高中，确定了面向全体学生的将信息技术纳入所有学科的各种试验。一般说来，男女学童对信息技术媒体的态度极其不同。人们利用了分组工作的机会。以此种方式，可针对不同情况的特殊的学生小组实施教育。</w:t>
      </w:r>
    </w:p>
    <w:p w:rsidR="00000000" w:rsidRDefault="00000000">
      <w:pPr>
        <w:spacing w:after="240" w:line="360" w:lineRule="exact"/>
        <w:ind w:firstLine="425"/>
      </w:pPr>
      <w:r>
        <w:rPr>
          <w:rFonts w:hint="eastAsia"/>
        </w:rPr>
        <w:t>经验还显示，有更多的妇女</w:t>
      </w:r>
      <w:r>
        <w:t>/</w:t>
      </w:r>
      <w:r>
        <w:rPr>
          <w:rFonts w:hint="eastAsia"/>
        </w:rPr>
        <w:t>女童将申请在信息技术部门接受培训，如果该行业的形象有所改变的话，例如，用诸如设计、通讯等词汇取代与信息技术相关的传统词汇。</w:t>
      </w:r>
    </w:p>
    <w:p w:rsidR="00000000" w:rsidRDefault="00000000">
      <w:pPr>
        <w:spacing w:after="240" w:line="360" w:lineRule="exact"/>
        <w:jc w:val="center"/>
        <w:rPr>
          <w:rFonts w:eastAsia="SimHei"/>
        </w:rPr>
      </w:pPr>
      <w:r>
        <w:rPr>
          <w:rFonts w:eastAsia="SimHei"/>
        </w:rPr>
        <w:br w:type="page"/>
      </w:r>
      <w:r>
        <w:rPr>
          <w:rFonts w:eastAsia="SimHei" w:hint="eastAsia"/>
        </w:rPr>
        <w:t>进修和高等教育</w:t>
      </w:r>
    </w:p>
    <w:p w:rsidR="00000000" w:rsidRDefault="00000000">
      <w:pPr>
        <w:spacing w:after="240" w:line="360" w:lineRule="exact"/>
        <w:jc w:val="left"/>
        <w:rPr>
          <w:rFonts w:eastAsia="SimHei"/>
        </w:rPr>
      </w:pPr>
      <w:r>
        <w:rPr>
          <w:rFonts w:eastAsia="SimHei" w:hint="eastAsia"/>
        </w:rPr>
        <w:t>妇女与男子的比例</w:t>
      </w:r>
    </w:p>
    <w:p w:rsidR="00000000" w:rsidRDefault="00000000">
      <w:pPr>
        <w:spacing w:after="240" w:line="360" w:lineRule="exact"/>
        <w:ind w:firstLine="425"/>
      </w:pPr>
      <w:r>
        <w:t>1997</w:t>
      </w:r>
      <w:r>
        <w:rPr>
          <w:rFonts w:hint="eastAsia"/>
        </w:rPr>
        <w:t>年，参加短期高等教育课程的男子占学生的大多数，为</w:t>
      </w:r>
      <w:r>
        <w:t>52%</w:t>
      </w:r>
      <w:r>
        <w:rPr>
          <w:rFonts w:hint="eastAsia"/>
        </w:rPr>
        <w:t>，而参加中期高等教育的妇女占学生总数的</w:t>
      </w:r>
      <w:r>
        <w:t>64%</w:t>
      </w:r>
      <w:r>
        <w:rPr>
          <w:rFonts w:hint="eastAsia"/>
        </w:rPr>
        <w:t>。参加长期高等教育的妇女与男子几乎持平（</w:t>
      </w:r>
      <w:r>
        <w:t>1998</w:t>
      </w:r>
      <w:r>
        <w:rPr>
          <w:rFonts w:hint="eastAsia"/>
        </w:rPr>
        <w:t>年，妇女占</w:t>
      </w:r>
      <w:r>
        <w:t>49.3%</w:t>
      </w:r>
      <w:r>
        <w:rPr>
          <w:rFonts w:hint="eastAsia"/>
        </w:rPr>
        <w:t>，而男子占</w:t>
      </w:r>
      <w:r>
        <w:t>50.7%</w:t>
      </w:r>
      <w:r>
        <w:rPr>
          <w:rFonts w:hint="eastAsia"/>
        </w:rPr>
        <w:t>，相当于</w:t>
      </w:r>
      <w:r>
        <w:t>50%</w:t>
      </w:r>
      <w:r>
        <w:rPr>
          <w:rFonts w:hint="eastAsia"/>
        </w:rPr>
        <w:t>与</w:t>
      </w:r>
      <w:r>
        <w:t>50%</w:t>
      </w:r>
      <w:r>
        <w:rPr>
          <w:rFonts w:hint="eastAsia"/>
        </w:rPr>
        <w:t>）。如上所述，这方面的各种课程亦提示性别取向。</w:t>
      </w:r>
    </w:p>
    <w:p w:rsidR="00000000" w:rsidRDefault="00000000">
      <w:pPr>
        <w:spacing w:after="240" w:line="360" w:lineRule="exact"/>
        <w:rPr>
          <w:rFonts w:eastAsia="SimHei"/>
        </w:rPr>
      </w:pPr>
      <w:r>
        <w:rPr>
          <w:rFonts w:eastAsia="SimHei" w:hint="eastAsia"/>
        </w:rPr>
        <w:t>大学教学与研究</w:t>
      </w:r>
    </w:p>
    <w:p w:rsidR="00000000" w:rsidRDefault="00000000">
      <w:pPr>
        <w:spacing w:after="240" w:line="360" w:lineRule="exact"/>
        <w:ind w:firstLine="425"/>
      </w:pPr>
      <w:r>
        <w:t>1998</w:t>
      </w:r>
      <w:r>
        <w:rPr>
          <w:rFonts w:hint="eastAsia"/>
        </w:rPr>
        <w:t>年，中小学校的《新教师培训法令》规定必须将信息技术作为一个不可缺少的部分列入教育的所有科目。</w:t>
      </w:r>
    </w:p>
    <w:p w:rsidR="00000000" w:rsidRDefault="00000000">
      <w:pPr>
        <w:spacing w:after="240" w:line="360" w:lineRule="exact"/>
        <w:ind w:firstLine="425"/>
      </w:pPr>
      <w:r>
        <w:t>1985</w:t>
      </w:r>
      <w:r>
        <w:rPr>
          <w:rFonts w:hint="eastAsia"/>
        </w:rPr>
        <w:t>年，妇女只占博士生的</w:t>
      </w:r>
      <w:r>
        <w:t>17%</w:t>
      </w:r>
      <w:r>
        <w:rPr>
          <w:rFonts w:hint="eastAsia"/>
        </w:rPr>
        <w:t>。</w:t>
      </w:r>
      <w:r>
        <w:t>1999</w:t>
      </w:r>
      <w:r>
        <w:rPr>
          <w:rFonts w:hint="eastAsia"/>
        </w:rPr>
        <w:t>年，该比例几乎增长到</w:t>
      </w:r>
      <w:r>
        <w:t>40%</w:t>
      </w:r>
      <w:r>
        <w:rPr>
          <w:rFonts w:hint="eastAsia"/>
        </w:rPr>
        <w:t>，而且，这里的研究领域的选择也是按性别划分的。对于此种增长的一种解释是，在传统上吸引许多女生的保健教育内部，博士生招收人数增加了。技术和自然科学专业仍然很难吸引女生。</w:t>
      </w:r>
    </w:p>
    <w:p w:rsidR="00000000" w:rsidRDefault="00000000">
      <w:pPr>
        <w:spacing w:after="240" w:line="360" w:lineRule="exact"/>
        <w:ind w:firstLine="425"/>
      </w:pPr>
      <w:r>
        <w:rPr>
          <w:rFonts w:hint="eastAsia"/>
        </w:rPr>
        <w:t>丹麦专业协会联盟与财政部就带薪博士生奖学金达成的一项协议于</w:t>
      </w:r>
      <w:r>
        <w:t>1998</w:t>
      </w:r>
      <w:r>
        <w:rPr>
          <w:rFonts w:hint="eastAsia"/>
        </w:rPr>
        <w:t>年</w:t>
      </w:r>
      <w:r>
        <w:t>1</w:t>
      </w:r>
      <w:r>
        <w:rPr>
          <w:rFonts w:hint="eastAsia"/>
        </w:rPr>
        <w:t>月</w:t>
      </w:r>
      <w:r>
        <w:t>1</w:t>
      </w:r>
      <w:r>
        <w:rPr>
          <w:rFonts w:hint="eastAsia"/>
        </w:rPr>
        <w:t>日生效。该协议规定享有奖学金的博士生与雇员地位等同，以便将学生列入政府关于产假、收养和育儿假的协议。在该协议生效日之前获得奖学金的博士生，如果有子女，仍可选择享受长达</w:t>
      </w:r>
      <w:r>
        <w:t>12</w:t>
      </w:r>
      <w:r>
        <w:rPr>
          <w:rFonts w:hint="eastAsia"/>
        </w:rPr>
        <w:t>个月的普通学生的奖学金。</w:t>
      </w:r>
    </w:p>
    <w:p w:rsidR="00000000" w:rsidRDefault="00000000">
      <w:pPr>
        <w:spacing w:after="240" w:line="360" w:lineRule="exact"/>
        <w:ind w:firstLine="425"/>
      </w:pPr>
      <w:r>
        <w:rPr>
          <w:rFonts w:hint="eastAsia"/>
        </w:rPr>
        <w:t>女博士生情况说明，参加大学教学和研究的女生数目增加了，但这点在征聘工作人员或从事大学教学和研究的妇女雇员的数目方面并未体现出来。</w:t>
      </w:r>
      <w:r>
        <w:t>1982</w:t>
      </w:r>
      <w:r>
        <w:rPr>
          <w:rFonts w:hint="eastAsia"/>
        </w:rPr>
        <w:t>年，妇女占大学教授人数的</w:t>
      </w:r>
      <w:r>
        <w:t>3%</w:t>
      </w:r>
      <w:r>
        <w:rPr>
          <w:rFonts w:hint="eastAsia"/>
        </w:rPr>
        <w:t>。</w:t>
      </w:r>
      <w:r>
        <w:t>1991</w:t>
      </w:r>
      <w:r>
        <w:rPr>
          <w:rFonts w:hint="eastAsia"/>
        </w:rPr>
        <w:t>年，该数字略有增加，增至</w:t>
      </w:r>
      <w:r>
        <w:t>4%</w:t>
      </w:r>
      <w:r>
        <w:rPr>
          <w:rFonts w:hint="eastAsia"/>
        </w:rPr>
        <w:t>，而</w:t>
      </w:r>
      <w:r>
        <w:t>1995</w:t>
      </w:r>
      <w:r>
        <w:rPr>
          <w:rFonts w:hint="eastAsia"/>
        </w:rPr>
        <w:t>年该数字增至</w:t>
      </w:r>
      <w:r>
        <w:t>6%</w:t>
      </w:r>
      <w:r>
        <w:rPr>
          <w:rFonts w:hint="eastAsia"/>
        </w:rPr>
        <w:t>。</w:t>
      </w:r>
      <w:r>
        <w:t>1997</w:t>
      </w:r>
      <w:r>
        <w:rPr>
          <w:rFonts w:hint="eastAsia"/>
        </w:rPr>
        <w:t>年，教育部对</w:t>
      </w:r>
      <w:r>
        <w:t>1994</w:t>
      </w:r>
      <w:r>
        <w:rPr>
          <w:rFonts w:hint="eastAsia"/>
        </w:rPr>
        <w:t>-</w:t>
      </w:r>
      <w:r>
        <w:t>1996</w:t>
      </w:r>
      <w:r>
        <w:rPr>
          <w:rFonts w:hint="eastAsia"/>
        </w:rPr>
        <w:t>年的数字进行了分析。妇女在讲师类任职者增加了约</w:t>
      </w:r>
      <w:r>
        <w:t>9</w:t>
      </w:r>
      <w:r>
        <w:rPr>
          <w:rFonts w:hint="eastAsia"/>
        </w:rPr>
        <w:t>％；在教授和助理教授类任职者增加了</w:t>
      </w:r>
      <w:r>
        <w:t>2%</w:t>
      </w:r>
      <w:r>
        <w:rPr>
          <w:rFonts w:hint="eastAsia"/>
        </w:rPr>
        <w:t>。</w:t>
      </w:r>
    </w:p>
    <w:p w:rsidR="00000000" w:rsidRDefault="00000000">
      <w:pPr>
        <w:spacing w:after="240" w:line="360" w:lineRule="exact"/>
        <w:ind w:firstLine="425"/>
      </w:pPr>
      <w:r>
        <w:rPr>
          <w:rFonts w:hint="eastAsia"/>
        </w:rPr>
        <w:t>一项调查表明，从</w:t>
      </w:r>
      <w:r>
        <w:t>1995</w:t>
      </w:r>
      <w:r>
        <w:rPr>
          <w:rFonts w:hint="eastAsia"/>
        </w:rPr>
        <w:t>-</w:t>
      </w:r>
      <w:r>
        <w:t>1996</w:t>
      </w:r>
      <w:r>
        <w:rPr>
          <w:rFonts w:hint="eastAsia"/>
        </w:rPr>
        <w:t>年，申请教授职务者约有</w:t>
      </w:r>
      <w:r>
        <w:t>50%</w:t>
      </w:r>
      <w:r>
        <w:rPr>
          <w:rFonts w:hint="eastAsia"/>
        </w:rPr>
        <w:t>是妇女。妇女在经评定合格者中占</w:t>
      </w:r>
      <w:r>
        <w:t>39%</w:t>
      </w:r>
      <w:r>
        <w:rPr>
          <w:rFonts w:hint="eastAsia"/>
        </w:rPr>
        <w:t>。然而，如已说明的那样，教授中只有</w:t>
      </w:r>
      <w:r>
        <w:t>6%</w:t>
      </w:r>
      <w:r>
        <w:rPr>
          <w:rFonts w:hint="eastAsia"/>
        </w:rPr>
        <w:t>是妇女。</w:t>
      </w:r>
    </w:p>
    <w:p w:rsidR="00000000" w:rsidRDefault="00000000">
      <w:pPr>
        <w:spacing w:after="240" w:line="360" w:lineRule="exact"/>
        <w:ind w:firstLine="425"/>
      </w:pPr>
      <w:r>
        <w:rPr>
          <w:rFonts w:hint="eastAsia"/>
        </w:rPr>
        <w:t>因此，在大学教学和研究工作人员中，性别平等状况与人们的期望仍相距甚远。近些年来，丹麦政府采取若干措施改变此种状况，但迄今为止未取得任何重大成果：</w:t>
      </w:r>
    </w:p>
    <w:p w:rsidR="00000000" w:rsidRDefault="00000000">
      <w:pPr>
        <w:numPr>
          <w:ilvl w:val="0"/>
          <w:numId w:val="8"/>
        </w:numPr>
        <w:spacing w:after="240" w:line="360" w:lineRule="exact"/>
      </w:pPr>
      <w:r>
        <w:rPr>
          <w:rFonts w:hint="eastAsia"/>
        </w:rPr>
        <w:t>于</w:t>
      </w:r>
      <w:r>
        <w:t>1996</w:t>
      </w:r>
      <w:r>
        <w:rPr>
          <w:rFonts w:hint="eastAsia"/>
        </w:rPr>
        <w:t>年开始的关于高等教育与研究方面的性别障碍的研究方案仍在运作之中。它将于</w:t>
      </w:r>
      <w:r>
        <w:t>2001</w:t>
      </w:r>
      <w:r>
        <w:rPr>
          <w:rFonts w:hint="eastAsia"/>
        </w:rPr>
        <w:t>年结束。其成果将转化为政治行动。</w:t>
      </w:r>
    </w:p>
    <w:p w:rsidR="00000000" w:rsidRDefault="00000000">
      <w:pPr>
        <w:numPr>
          <w:ilvl w:val="0"/>
          <w:numId w:val="8"/>
        </w:numPr>
        <w:tabs>
          <w:tab w:val="left" w:pos="425"/>
        </w:tabs>
        <w:spacing w:after="240" w:line="360" w:lineRule="exact"/>
      </w:pPr>
      <w:r>
        <w:t>1997</w:t>
      </w:r>
      <w:r>
        <w:rPr>
          <w:rFonts w:hint="eastAsia"/>
        </w:rPr>
        <w:t>年开始了关于妇女研究员的特殊方案。政府为这个女研究员联合行动方案拨款</w:t>
      </w:r>
      <w:r>
        <w:t>7800</w:t>
      </w:r>
      <w:r>
        <w:rPr>
          <w:rFonts w:hint="eastAsia"/>
        </w:rPr>
        <w:t>万丹麦克朗，以用于由杰出女研究员领导的研究项目。</w:t>
      </w:r>
      <w:r>
        <w:t>1998</w:t>
      </w:r>
      <w:r>
        <w:rPr>
          <w:rFonts w:hint="eastAsia"/>
        </w:rPr>
        <w:t>年</w:t>
      </w:r>
      <w:r>
        <w:t>12</w:t>
      </w:r>
      <w:r>
        <w:rPr>
          <w:rFonts w:hint="eastAsia"/>
        </w:rPr>
        <w:t>月，</w:t>
      </w:r>
      <w:r>
        <w:t>16</w:t>
      </w:r>
      <w:r>
        <w:rPr>
          <w:rFonts w:hint="eastAsia"/>
        </w:rPr>
        <w:t>名研究员收到了女研究员联合行动方案的拨款。所有这些研究员均为女性。这些研究项目覆盖人文学、社会科学和自然科学范围内各种各样的学科领域。该方案运作期为</w:t>
      </w:r>
      <w:r>
        <w:t>4</w:t>
      </w:r>
      <w:r>
        <w:rPr>
          <w:rFonts w:hint="eastAsia"/>
        </w:rPr>
        <w:t>年。</w:t>
      </w:r>
    </w:p>
    <w:p w:rsidR="00000000" w:rsidRDefault="00000000">
      <w:pPr>
        <w:numPr>
          <w:ilvl w:val="0"/>
          <w:numId w:val="8"/>
        </w:numPr>
        <w:tabs>
          <w:tab w:val="left" w:pos="425"/>
        </w:tabs>
        <w:spacing w:after="240" w:line="360" w:lineRule="exact"/>
      </w:pPr>
      <w:r>
        <w:t>1997</w:t>
      </w:r>
      <w:r>
        <w:rPr>
          <w:rFonts w:hint="eastAsia"/>
        </w:rPr>
        <w:t>年，研究与信息技术部发表了旨在增加担任研究职务的妇女人数的</w:t>
      </w:r>
      <w:r>
        <w:t>11</w:t>
      </w:r>
      <w:r>
        <w:rPr>
          <w:rFonts w:hint="eastAsia"/>
        </w:rPr>
        <w:t>点行动计划。这项使更多妇女参加研究的计划包括下述主要几点：</w:t>
      </w:r>
      <w:r>
        <w:t>1</w:t>
      </w:r>
      <w:r>
        <w:rPr>
          <w:rFonts w:hint="eastAsia"/>
        </w:rPr>
        <w:t>）平等机会：管理责任；</w:t>
      </w:r>
      <w:r>
        <w:t>2</w:t>
      </w:r>
      <w:r>
        <w:rPr>
          <w:rFonts w:hint="eastAsia"/>
        </w:rPr>
        <w:t>）更多的女教授；</w:t>
      </w:r>
      <w:r>
        <w:t>3</w:t>
      </w:r>
      <w:r>
        <w:rPr>
          <w:rFonts w:hint="eastAsia"/>
        </w:rPr>
        <w:t>）提高对工作机会广告的认识；</w:t>
      </w:r>
      <w:r>
        <w:t>4</w:t>
      </w:r>
      <w:r>
        <w:rPr>
          <w:rFonts w:hint="eastAsia"/>
        </w:rPr>
        <w:t>）不按性别选举委员会；</w:t>
      </w:r>
      <w:r>
        <w:t>5</w:t>
      </w:r>
      <w:r>
        <w:rPr>
          <w:rFonts w:hint="eastAsia"/>
        </w:rPr>
        <w:t>）辅导与指导；</w:t>
      </w:r>
      <w:r>
        <w:t>6</w:t>
      </w:r>
      <w:r>
        <w:rPr>
          <w:rFonts w:hint="eastAsia"/>
        </w:rPr>
        <w:t>）关于研究方面的平等机会的年度报告；</w:t>
      </w:r>
      <w:r>
        <w:t>7</w:t>
      </w:r>
      <w:r>
        <w:rPr>
          <w:rFonts w:hint="eastAsia"/>
        </w:rPr>
        <w:t>）性别研究方面的高度优先次序；</w:t>
      </w:r>
      <w:r>
        <w:t>8</w:t>
      </w:r>
      <w:r>
        <w:rPr>
          <w:rFonts w:hint="eastAsia"/>
        </w:rPr>
        <w:t>）政府关于平等机会研究所；</w:t>
      </w:r>
      <w:r>
        <w:t>9</w:t>
      </w:r>
      <w:r>
        <w:rPr>
          <w:rFonts w:hint="eastAsia"/>
        </w:rPr>
        <w:t>）青年男女的育儿补贴；</w:t>
      </w:r>
      <w:r>
        <w:t>10</w:t>
      </w:r>
      <w:r>
        <w:rPr>
          <w:rFonts w:hint="eastAsia"/>
        </w:rPr>
        <w:t>）家庭与职业平衡；</w:t>
      </w:r>
      <w:r>
        <w:t>11</w:t>
      </w:r>
      <w:r>
        <w:rPr>
          <w:rFonts w:hint="eastAsia"/>
        </w:rPr>
        <w:t>）各行各业的平等机会。</w:t>
      </w:r>
    </w:p>
    <w:p w:rsidR="00000000" w:rsidRDefault="00000000">
      <w:pPr>
        <w:numPr>
          <w:ilvl w:val="0"/>
          <w:numId w:val="8"/>
        </w:numPr>
        <w:tabs>
          <w:tab w:val="left" w:pos="425"/>
        </w:tabs>
        <w:spacing w:after="240" w:line="360" w:lineRule="exact"/>
      </w:pPr>
      <w:r>
        <w:t>11</w:t>
      </w:r>
      <w:r>
        <w:rPr>
          <w:rFonts w:hint="eastAsia"/>
        </w:rPr>
        <w:t>点行动计划的一项成果是，研究和信息技术部所属的一个委员会（研究平等委员会）于</w:t>
      </w:r>
      <w:r>
        <w:t>1998</w:t>
      </w:r>
      <w:r>
        <w:rPr>
          <w:rFonts w:hint="eastAsia"/>
        </w:rPr>
        <w:t>年</w:t>
      </w:r>
      <w:r>
        <w:t>12</w:t>
      </w:r>
      <w:r>
        <w:rPr>
          <w:rFonts w:hint="eastAsia"/>
        </w:rPr>
        <w:t>月末发表了一个报告。该报告载有一系列关于在丹麦如何增加女研究员人数的建议。丹麦议会于</w:t>
      </w:r>
      <w:r>
        <w:t>1999</w:t>
      </w:r>
      <w:r>
        <w:rPr>
          <w:rFonts w:hint="eastAsia"/>
        </w:rPr>
        <w:t>年</w:t>
      </w:r>
      <w:r>
        <w:t>2</w:t>
      </w:r>
      <w:r>
        <w:rPr>
          <w:rFonts w:hint="eastAsia"/>
        </w:rPr>
        <w:t>月对这些建议进行辩论。根据这场辩论的结果和委员会的建议，研究与信息技术部长将考虑采取适当的措施以进一步促进研究方面的平等机会。</w:t>
      </w:r>
    </w:p>
    <w:p w:rsidR="00000000" w:rsidRDefault="00000000">
      <w:pPr>
        <w:numPr>
          <w:ilvl w:val="0"/>
          <w:numId w:val="8"/>
        </w:numPr>
        <w:tabs>
          <w:tab w:val="left" w:pos="425"/>
        </w:tabs>
        <w:spacing w:after="240" w:line="360" w:lineRule="exact"/>
      </w:pPr>
      <w:r>
        <w:t>1999</w:t>
      </w:r>
      <w:r>
        <w:rPr>
          <w:rFonts w:hint="eastAsia"/>
        </w:rPr>
        <w:t>年，平等地位委员会发表了一份关于大学中性别平等状况的报告并提出了一整套的综合建议。这些建议处理如何促进全体人员中的性别平衡，例如，大学可以聘用顾问，集中解决妇女面临的结构性障碍。而且，全体人员应直接向管理部门报告。最后，报告建议在各种机构和下一级单位成立平等委员会。</w:t>
      </w:r>
    </w:p>
    <w:p w:rsidR="00000000" w:rsidRDefault="00000000">
      <w:pPr>
        <w:spacing w:after="240" w:line="360" w:lineRule="exact"/>
        <w:ind w:firstLine="425"/>
      </w:pPr>
      <w:r>
        <w:rPr>
          <w:rFonts w:hint="eastAsia"/>
        </w:rPr>
        <w:t>现在，在丹麦的大多数大学中，由现有中心为妇女研究或</w:t>
      </w:r>
      <w:r>
        <w:t>/</w:t>
      </w:r>
      <w:r>
        <w:rPr>
          <w:rFonts w:hint="eastAsia"/>
        </w:rPr>
        <w:t>和性别研究开设文学士课程和开放式大学课程。还有在全国范围内正在运作的博士方案，“以多学科观点理解性别”。性别研究还能满足多学科办法的需求。在国家和国际研究方案中均对这种办法给予高度重视。</w:t>
      </w:r>
    </w:p>
    <w:p w:rsidR="00000000" w:rsidRDefault="00000000">
      <w:pPr>
        <w:spacing w:after="240" w:line="360" w:lineRule="exact"/>
        <w:ind w:firstLine="425"/>
      </w:pPr>
      <w:r>
        <w:rPr>
          <w:rFonts w:hint="eastAsia"/>
        </w:rPr>
        <w:t>由于认识到文件对于说明为什么研究界妇女人数较少极其重要，研究部发起了以性别观点对丹麦大学的三年聘用工作进行的一项分析。该报告于</w:t>
      </w:r>
      <w:r>
        <w:t>1999</w:t>
      </w:r>
      <w:r>
        <w:rPr>
          <w:rFonts w:hint="eastAsia"/>
        </w:rPr>
        <w:t>年底发表。一项结论表明，妇女对大学职务的申请程度确实不亚于其男同事。计划提出</w:t>
      </w:r>
      <w:r>
        <w:t>2000</w:t>
      </w:r>
      <w:r>
        <w:rPr>
          <w:rFonts w:hint="eastAsia"/>
        </w:rPr>
        <w:t>年后读行动报告。</w:t>
      </w:r>
    </w:p>
    <w:p w:rsidR="00000000" w:rsidRDefault="00000000">
      <w:pPr>
        <w:spacing w:after="240" w:line="360" w:lineRule="exact"/>
        <w:ind w:firstLine="425"/>
      </w:pPr>
      <w:r>
        <w:rPr>
          <w:rFonts w:hint="eastAsia"/>
        </w:rPr>
        <w:t>在</w:t>
      </w:r>
      <w:r>
        <w:t>2000</w:t>
      </w:r>
      <w:r>
        <w:rPr>
          <w:rFonts w:hint="eastAsia"/>
        </w:rPr>
        <w:t>年初，研究部与丹麦各大学鉴署了一些大学业绩合约。这些合约为每个大学提供了今后几年的工作框架。所有大学在其合约中均承诺为实现性别平等更加而努力。</w:t>
      </w:r>
    </w:p>
    <w:p w:rsidR="00000000" w:rsidRDefault="00000000">
      <w:pPr>
        <w:spacing w:after="240" w:line="360" w:lineRule="exact"/>
        <w:jc w:val="center"/>
        <w:rPr>
          <w:rFonts w:eastAsia="SimHei"/>
        </w:rPr>
      </w:pPr>
      <w:r>
        <w:rPr>
          <w:rFonts w:eastAsia="SimHei" w:hint="eastAsia"/>
        </w:rPr>
        <w:t>成人教育和终生学习</w:t>
      </w:r>
    </w:p>
    <w:p w:rsidR="00000000" w:rsidRDefault="00000000">
      <w:pPr>
        <w:spacing w:after="240" w:line="360" w:lineRule="exact"/>
        <w:ind w:firstLine="425"/>
      </w:pPr>
      <w:r>
        <w:rPr>
          <w:rFonts w:hint="eastAsia"/>
        </w:rPr>
        <w:t>男女的终生教育是教育部的一个高度优先领域。其主要目标是提高那些离校而未受到任何补充教育的人的资质。一些学校的类型与在受到短期教育之后离校的学生相关，如“非居住者民办中学”、“生产学校”以及成人教育中心。</w:t>
      </w:r>
    </w:p>
    <w:p w:rsidR="00000000" w:rsidRDefault="00000000">
      <w:pPr>
        <w:spacing w:after="240" w:line="360" w:lineRule="exact"/>
        <w:rPr>
          <w:rFonts w:eastAsia="SimHei"/>
        </w:rPr>
      </w:pPr>
      <w:r>
        <w:rPr>
          <w:rFonts w:eastAsia="SimHei" w:hint="eastAsia"/>
        </w:rPr>
        <w:t>民办中学和成人教育中心</w:t>
      </w:r>
    </w:p>
    <w:p w:rsidR="00000000" w:rsidRDefault="00000000">
      <w:pPr>
        <w:spacing w:after="240" w:line="360" w:lineRule="exact"/>
        <w:ind w:firstLine="425"/>
      </w:pPr>
      <w:r>
        <w:rPr>
          <w:rFonts w:hint="eastAsia"/>
        </w:rPr>
        <w:t>开放式教育和多种成人教育方式所吸引的妇女多于男子，除了一些比较专业的职业课程。这些课程更多地在男子通常在青年男子中颇受欢迎。非居住者民办学校和成人教育中心更多地在妇女当中，特别是教育背景比男子差的老一代妇女当中特别受欢迎。</w:t>
      </w:r>
    </w:p>
    <w:p w:rsidR="00000000" w:rsidRDefault="00000000">
      <w:pPr>
        <w:spacing w:after="240" w:line="360" w:lineRule="exact"/>
        <w:rPr>
          <w:rFonts w:eastAsia="SimHei"/>
        </w:rPr>
      </w:pPr>
      <w:r>
        <w:rPr>
          <w:rFonts w:eastAsia="SimHei" w:hint="eastAsia"/>
        </w:rPr>
        <w:t>培训和入门课程</w:t>
      </w:r>
    </w:p>
    <w:p w:rsidR="00000000" w:rsidRDefault="00000000">
      <w:pPr>
        <w:spacing w:after="240" w:line="360" w:lineRule="exact"/>
        <w:ind w:firstLine="425"/>
      </w:pPr>
      <w:r>
        <w:rPr>
          <w:rFonts w:hint="eastAsia"/>
        </w:rPr>
        <w:t>作为政府减少劳动力市场性别分隔程度的尝试的一个方面，为男女开设了各种培训和入门课程，使其受到从传统上来说由另一性别把持的专业的培训。向无技能的失业妇女提供特殊培训。此种主动行动须由平等地位委员批准不遵守《男女平等待遇法》。事实证明，这些培训和入门课程是使同一待业的性别分隔在劳动力市场上消失的一项重要的方法。</w:t>
      </w:r>
    </w:p>
    <w:p w:rsidR="00000000" w:rsidRDefault="00000000">
      <w:pPr>
        <w:spacing w:after="240" w:line="360" w:lineRule="exact"/>
        <w:ind w:firstLine="425"/>
      </w:pPr>
      <w:r>
        <w:t>1998</w:t>
      </w:r>
      <w:r>
        <w:rPr>
          <w:rFonts w:hint="eastAsia"/>
        </w:rPr>
        <w:t>年，平等地位委员会几次批准不遵守《男女平等待遇法》，以帮助增加信息技术领域中的妇女人数。人们利用一些开设妇女专门课程以及开展各种会议和媒体辩论的手段以实现这样的目标：使更多的妇女选择信息技术知识作为先决条件的职业。</w:t>
      </w:r>
    </w:p>
    <w:p w:rsidR="00000000" w:rsidRDefault="00000000">
      <w:pPr>
        <w:spacing w:after="240" w:line="360" w:lineRule="exact"/>
        <w:jc w:val="center"/>
        <w:rPr>
          <w:rFonts w:eastAsia="SimHei"/>
          <w:sz w:val="24"/>
        </w:rPr>
      </w:pPr>
      <w:r>
        <w:rPr>
          <w:rFonts w:eastAsia="SimHei"/>
        </w:rPr>
        <w:br w:type="page"/>
      </w:r>
      <w:r>
        <w:rPr>
          <w:rFonts w:eastAsia="SimHei" w:hint="eastAsia"/>
          <w:sz w:val="24"/>
        </w:rPr>
        <w:t>第四章：劳动力市场</w:t>
      </w:r>
    </w:p>
    <w:p w:rsidR="00000000" w:rsidRDefault="00000000">
      <w:pPr>
        <w:spacing w:after="240" w:line="360" w:lineRule="exact"/>
        <w:jc w:val="center"/>
        <w:rPr>
          <w:rFonts w:eastAsia="SimHei"/>
        </w:rPr>
      </w:pPr>
      <w:r>
        <w:rPr>
          <w:rFonts w:eastAsia="SimHei" w:hint="eastAsia"/>
        </w:rPr>
        <w:t>第</w:t>
      </w:r>
      <w:r>
        <w:rPr>
          <w:rFonts w:eastAsia="SimHei"/>
        </w:rPr>
        <w:t>11</w:t>
      </w:r>
      <w:r>
        <w:rPr>
          <w:rFonts w:eastAsia="SimHei" w:hint="eastAsia"/>
        </w:rPr>
        <w:t>条</w:t>
      </w:r>
    </w:p>
    <w:p w:rsidR="00000000" w:rsidRDefault="00000000">
      <w:pPr>
        <w:spacing w:after="240" w:line="360" w:lineRule="exact"/>
        <w:jc w:val="center"/>
        <w:rPr>
          <w:rFonts w:eastAsia="SimHei"/>
        </w:rPr>
      </w:pPr>
      <w:r>
        <w:rPr>
          <w:rFonts w:eastAsia="SimHei" w:hint="eastAsia"/>
        </w:rPr>
        <w:t>劳动力市场的状况</w:t>
      </w:r>
    </w:p>
    <w:p w:rsidR="00000000" w:rsidRDefault="00000000">
      <w:pPr>
        <w:spacing w:after="240" w:line="360" w:lineRule="exact"/>
        <w:ind w:firstLine="425"/>
      </w:pPr>
      <w:r>
        <w:rPr>
          <w:rFonts w:hint="eastAsia"/>
        </w:rPr>
        <w:t>如前期报告所述，丹麦男子和妇女有自由平等的机会从事任何职业或任何就业行业。而且，性别均衡的劳动力市场在丹麦被视为与性别平等相关的最重要目标之一。</w:t>
      </w:r>
    </w:p>
    <w:p w:rsidR="00000000" w:rsidRDefault="00000000">
      <w:pPr>
        <w:spacing w:after="240" w:line="360" w:lineRule="exact"/>
        <w:rPr>
          <w:rFonts w:eastAsia="SimHei"/>
        </w:rPr>
      </w:pPr>
      <w:r>
        <w:rPr>
          <w:rFonts w:eastAsia="SimHei" w:hint="eastAsia"/>
        </w:rPr>
        <w:t>就业率</w:t>
      </w:r>
    </w:p>
    <w:p w:rsidR="00000000" w:rsidRDefault="00000000">
      <w:pPr>
        <w:spacing w:after="240" w:line="360" w:lineRule="exact"/>
        <w:ind w:firstLine="425"/>
      </w:pPr>
      <w:r>
        <w:rPr>
          <w:rFonts w:hint="eastAsia"/>
        </w:rPr>
        <w:t>丹麦妇女的就业率很高。</w:t>
      </w:r>
      <w:r>
        <w:t>1998</w:t>
      </w:r>
      <w:r>
        <w:rPr>
          <w:rFonts w:hint="eastAsia"/>
        </w:rPr>
        <w:t>年，妇女的就业率增至</w:t>
      </w:r>
      <w:r>
        <w:t>73.3%</w:t>
      </w:r>
      <w:r>
        <w:rPr>
          <w:rFonts w:hint="eastAsia"/>
        </w:rPr>
        <w:t>；而男子的就业率下降至</w:t>
      </w:r>
      <w:r>
        <w:t>81.6%</w:t>
      </w:r>
      <w:r>
        <w:rPr>
          <w:rFonts w:hint="eastAsia"/>
        </w:rPr>
        <w:t>。妇女的就业率在</w:t>
      </w:r>
      <w:r>
        <w:t>1981</w:t>
      </w:r>
      <w:r>
        <w:rPr>
          <w:rFonts w:hint="eastAsia"/>
        </w:rPr>
        <w:t>年至</w:t>
      </w:r>
      <w:r>
        <w:t>1989</w:t>
      </w:r>
      <w:r>
        <w:rPr>
          <w:rFonts w:hint="eastAsia"/>
        </w:rPr>
        <w:t>年间是上升的。</w:t>
      </w:r>
      <w:r>
        <w:t>1989</w:t>
      </w:r>
      <w:r>
        <w:rPr>
          <w:rFonts w:hint="eastAsia"/>
        </w:rPr>
        <w:t>年以后，妇女的就业率趋于稳定。男子的就业率在</w:t>
      </w:r>
      <w:r>
        <w:t>1981—1989</w:t>
      </w:r>
      <w:r>
        <w:rPr>
          <w:rFonts w:hint="eastAsia"/>
        </w:rPr>
        <w:t>年间几乎趋于稳定。此后降至目前的水平。</w:t>
      </w:r>
    </w:p>
    <w:p w:rsidR="00000000" w:rsidRDefault="00000000">
      <w:pPr>
        <w:spacing w:after="240" w:line="360" w:lineRule="exact"/>
        <w:ind w:firstLine="425"/>
      </w:pPr>
      <w:r>
        <w:rPr>
          <w:rFonts w:hint="eastAsia"/>
        </w:rPr>
        <w:t>妇女的就业率高意味着妇女获得高度的经济独立性。妇女中从事经济活动者增多是在结构改革和失业率增加期间发生的。妇女仍未达到与男子同等的水平。但是，由于男子的就业率下降，妇女与男子的就业率比以往任何时候都更接近。</w:t>
      </w:r>
    </w:p>
    <w:p w:rsidR="00000000" w:rsidRDefault="00000000">
      <w:pPr>
        <w:spacing w:after="240" w:line="360" w:lineRule="exact"/>
        <w:rPr>
          <w:rFonts w:eastAsia="SimHei"/>
        </w:rPr>
      </w:pPr>
      <w:r>
        <w:rPr>
          <w:rFonts w:eastAsia="SimHei" w:hint="eastAsia"/>
        </w:rPr>
        <w:t>失业率</w:t>
      </w:r>
    </w:p>
    <w:p w:rsidR="00000000" w:rsidRDefault="00000000">
      <w:pPr>
        <w:spacing w:after="240" w:line="360" w:lineRule="exact"/>
        <w:ind w:firstLine="425"/>
      </w:pPr>
      <w:r>
        <w:t>1998</w:t>
      </w:r>
      <w:r>
        <w:rPr>
          <w:rFonts w:hint="eastAsia"/>
        </w:rPr>
        <w:t>年，妇女的失业率是</w:t>
      </w:r>
      <w:r>
        <w:t>7.9%</w:t>
      </w:r>
      <w:r>
        <w:rPr>
          <w:rFonts w:hint="eastAsia"/>
        </w:rPr>
        <w:t>，男子为</w:t>
      </w:r>
      <w:r>
        <w:t>5.5%</w:t>
      </w:r>
      <w:r>
        <w:rPr>
          <w:rFonts w:hint="eastAsia"/>
        </w:rPr>
        <w:t>。自</w:t>
      </w:r>
      <w:r>
        <w:t>1996</w:t>
      </w:r>
      <w:r>
        <w:rPr>
          <w:rFonts w:hint="eastAsia"/>
        </w:rPr>
        <w:t>年以来，妇女（及男子）的失业率一直在下降。</w:t>
      </w:r>
      <w:r>
        <w:t>1996</w:t>
      </w:r>
      <w:r>
        <w:rPr>
          <w:rFonts w:hint="eastAsia"/>
        </w:rPr>
        <w:t>年妇女的失业率是</w:t>
      </w:r>
      <w:r>
        <w:t>9.9%</w:t>
      </w:r>
      <w:r>
        <w:rPr>
          <w:rFonts w:hint="eastAsia"/>
        </w:rPr>
        <w:t>，而</w:t>
      </w:r>
      <w:r>
        <w:t>1997</w:t>
      </w:r>
      <w:r>
        <w:rPr>
          <w:rFonts w:hint="eastAsia"/>
        </w:rPr>
        <w:t>年是</w:t>
      </w:r>
      <w:r>
        <w:t>8.3%</w:t>
      </w:r>
      <w:r>
        <w:rPr>
          <w:rFonts w:hint="eastAsia"/>
        </w:rPr>
        <w:t>。然而，妇女的失业率仍然普遍高于男子的失业率。</w:t>
      </w:r>
      <w:r>
        <w:t>1998</w:t>
      </w:r>
      <w:r>
        <w:rPr>
          <w:rFonts w:hint="eastAsia"/>
        </w:rPr>
        <w:t>年，</w:t>
      </w:r>
      <w:r>
        <w:t>25—34</w:t>
      </w:r>
      <w:r>
        <w:rPr>
          <w:rFonts w:hint="eastAsia"/>
        </w:rPr>
        <w:t>岁和</w:t>
      </w:r>
      <w:r>
        <w:t>55—67</w:t>
      </w:r>
      <w:r>
        <w:rPr>
          <w:rFonts w:hint="eastAsia"/>
        </w:rPr>
        <w:t>岁年龄组的差异最大；</w:t>
      </w:r>
      <w:r>
        <w:t>24</w:t>
      </w:r>
      <w:r>
        <w:rPr>
          <w:rFonts w:hint="eastAsia"/>
        </w:rPr>
        <w:t>岁以下和</w:t>
      </w:r>
      <w:r>
        <w:t>40—49</w:t>
      </w:r>
      <w:r>
        <w:rPr>
          <w:rFonts w:hint="eastAsia"/>
        </w:rPr>
        <w:t>岁年龄组的差异最小。</w:t>
      </w:r>
    </w:p>
    <w:p w:rsidR="00000000" w:rsidRDefault="00000000">
      <w:pPr>
        <w:spacing w:after="240" w:line="360" w:lineRule="exact"/>
        <w:ind w:firstLine="425"/>
      </w:pPr>
      <w:r>
        <w:rPr>
          <w:rFonts w:hint="eastAsia"/>
        </w:rPr>
        <w:t>妇女在长期失业和低收入工作者中的比例份额也很大。劳工部和妇女工作者联盟联合发起了一些旨在增强无技能失业劳动力的能力的项目。</w:t>
      </w:r>
    </w:p>
    <w:p w:rsidR="00000000" w:rsidRDefault="00000000">
      <w:pPr>
        <w:spacing w:after="240" w:line="360" w:lineRule="exact"/>
        <w:rPr>
          <w:rFonts w:eastAsia="SimHei"/>
        </w:rPr>
      </w:pPr>
      <w:r>
        <w:rPr>
          <w:rFonts w:eastAsia="SimHei" w:hint="eastAsia"/>
        </w:rPr>
        <w:t>妇女的职业和就业障碍</w:t>
      </w:r>
    </w:p>
    <w:p w:rsidR="00000000" w:rsidRDefault="00000000">
      <w:pPr>
        <w:spacing w:after="240" w:line="360" w:lineRule="exact"/>
        <w:ind w:firstLine="425"/>
      </w:pPr>
      <w:r>
        <w:rPr>
          <w:rFonts w:hint="eastAsia"/>
        </w:rPr>
        <w:t>然而，妇女仍然面临重大的职业和就业障碍。在几乎所有行业和年龄组中，妇女仍然比男子受到更加严重的失业影响。劳动力市场仍然按照性别划分。因为大多数男子在以其为主的职业中从业；而妇女在其占大多数的行业从业。妇女与男子的薪资差别仍然约为</w:t>
      </w:r>
      <w:r>
        <w:t>20%</w:t>
      </w:r>
      <w:r>
        <w:rPr>
          <w:rFonts w:hint="eastAsia"/>
        </w:rPr>
        <w:t>，而且最近并未减少。妇女进入管理层仍然困难重重。此外，妇女仍然担负着照顾子女和家庭的主要责任，尽管其担任高级职务。利用带薪产假和父亲假权利的男子的百分比较低证实了这一趋向。</w:t>
      </w:r>
    </w:p>
    <w:p w:rsidR="00000000" w:rsidRDefault="00000000">
      <w:pPr>
        <w:spacing w:after="240" w:line="360" w:lineRule="exact"/>
        <w:rPr>
          <w:rFonts w:eastAsia="SimHei"/>
        </w:rPr>
      </w:pPr>
      <w:r>
        <w:rPr>
          <w:rFonts w:eastAsia="SimHei"/>
        </w:rPr>
        <w:br w:type="page"/>
      </w:r>
      <w:r>
        <w:rPr>
          <w:rFonts w:eastAsia="SimHei" w:hint="eastAsia"/>
        </w:rPr>
        <w:t>非全日性就业</w:t>
      </w:r>
    </w:p>
    <w:p w:rsidR="00000000" w:rsidRDefault="00000000">
      <w:pPr>
        <w:spacing w:after="240" w:line="360" w:lineRule="exact"/>
        <w:ind w:firstLine="425"/>
      </w:pPr>
      <w:r>
        <w:rPr>
          <w:rFonts w:hint="eastAsia"/>
        </w:rPr>
        <w:t>一些年来，从事非全日性就业的雇员数目普遍下降。</w:t>
      </w:r>
      <w:r>
        <w:t>1999</w:t>
      </w:r>
      <w:r>
        <w:rPr>
          <w:rFonts w:hint="eastAsia"/>
        </w:rPr>
        <w:t>年，从事非全日性就业的妇女占就业人口的</w:t>
      </w:r>
      <w:r>
        <w:t>17.9%</w:t>
      </w:r>
      <w:r>
        <w:rPr>
          <w:rFonts w:hint="eastAsia"/>
        </w:rPr>
        <w:t>，而男子占</w:t>
      </w:r>
      <w:r>
        <w:t>10.8%</w:t>
      </w:r>
      <w:r>
        <w:rPr>
          <w:rFonts w:hint="eastAsia"/>
        </w:rPr>
        <w:t>。在过去的</w:t>
      </w:r>
      <w:r>
        <w:t>20</w:t>
      </w:r>
      <w:r>
        <w:rPr>
          <w:rFonts w:hint="eastAsia"/>
        </w:rPr>
        <w:t>年间，从事非全日性工作的妇女的比例从</w:t>
      </w:r>
      <w:r>
        <w:t>46%</w:t>
      </w:r>
      <w:r>
        <w:rPr>
          <w:rFonts w:hint="eastAsia"/>
        </w:rPr>
        <w:t>下降到</w:t>
      </w:r>
      <w:r>
        <w:t>18%</w:t>
      </w:r>
      <w:r>
        <w:rPr>
          <w:rFonts w:hint="eastAsia"/>
        </w:rPr>
        <w:t>。同时，从事非全日性工作的男子从约</w:t>
      </w:r>
      <w:r>
        <w:t>5%</w:t>
      </w:r>
      <w:r>
        <w:rPr>
          <w:rFonts w:hint="eastAsia"/>
        </w:rPr>
        <w:t>上升到</w:t>
      </w:r>
      <w:r>
        <w:t>10%</w:t>
      </w:r>
      <w:r>
        <w:rPr>
          <w:rFonts w:hint="eastAsia"/>
        </w:rPr>
        <w:t>。</w:t>
      </w:r>
    </w:p>
    <w:p w:rsidR="00000000" w:rsidRDefault="00000000">
      <w:pPr>
        <w:pStyle w:val="BodyTextIndent"/>
        <w:spacing w:line="360" w:lineRule="exact"/>
      </w:pPr>
      <w:r>
        <w:rPr>
          <w:rFonts w:hint="eastAsia"/>
        </w:rPr>
        <w:t>非全日性就业通常与妇女相关。然而，近些年来，人们对非全日性就业的观念有所改变。如今，人们认为，非全日性工作为希望在其有生之年的特定时期内缩短工作日的男子和妇女提供了一种可能性。</w:t>
      </w:r>
    </w:p>
    <w:tbl>
      <w:tblPr>
        <w:tblW w:w="0" w:type="auto"/>
        <w:tblBorders>
          <w:top w:val="single" w:sz="6" w:space="0" w:color="auto"/>
          <w:bottom w:val="single" w:sz="6" w:space="0" w:color="auto"/>
        </w:tblBorders>
        <w:tblLayout w:type="fixed"/>
        <w:tblCellMar>
          <w:left w:w="28" w:type="dxa"/>
          <w:right w:w="28" w:type="dxa"/>
        </w:tblCellMar>
        <w:tblLook w:val="0000" w:firstRow="0" w:lastRow="0" w:firstColumn="0" w:lastColumn="0" w:noHBand="0" w:noVBand="0"/>
      </w:tblPr>
      <w:tblGrid>
        <w:gridCol w:w="3388"/>
        <w:gridCol w:w="1080"/>
        <w:gridCol w:w="1080"/>
        <w:gridCol w:w="960"/>
        <w:gridCol w:w="1080"/>
        <w:gridCol w:w="919"/>
        <w:gridCol w:w="1320"/>
      </w:tblGrid>
      <w:tr w:rsidR="00000000">
        <w:tblPrEx>
          <w:tblCellMar>
            <w:top w:w="0" w:type="dxa"/>
            <w:bottom w:w="0" w:type="dxa"/>
          </w:tblCellMar>
        </w:tblPrEx>
        <w:tc>
          <w:tcPr>
            <w:tcW w:w="3388" w:type="dxa"/>
            <w:tcBorders>
              <w:top w:val="single" w:sz="12" w:space="0" w:color="auto"/>
            </w:tcBorders>
          </w:tcPr>
          <w:p w:rsidR="00000000" w:rsidRDefault="00000000">
            <w:pPr>
              <w:spacing w:line="360" w:lineRule="exact"/>
            </w:pPr>
            <w:r>
              <w:rPr>
                <w:rFonts w:hint="eastAsia"/>
              </w:rPr>
              <w:t>从事非全日性工作的妇女和男子</w:t>
            </w:r>
          </w:p>
        </w:tc>
        <w:tc>
          <w:tcPr>
            <w:tcW w:w="1080" w:type="dxa"/>
            <w:tcBorders>
              <w:top w:val="single" w:sz="12" w:space="0" w:color="auto"/>
            </w:tcBorders>
          </w:tcPr>
          <w:p w:rsidR="00000000" w:rsidRDefault="00000000">
            <w:pPr>
              <w:spacing w:line="360" w:lineRule="exact"/>
              <w:jc w:val="center"/>
            </w:pPr>
            <w:r>
              <w:t>1977</w:t>
            </w:r>
            <w:r>
              <w:rPr>
                <w:rFonts w:hint="eastAsia"/>
              </w:rPr>
              <w:t>年</w:t>
            </w:r>
          </w:p>
        </w:tc>
        <w:tc>
          <w:tcPr>
            <w:tcW w:w="1080" w:type="dxa"/>
            <w:tcBorders>
              <w:top w:val="single" w:sz="12" w:space="0" w:color="auto"/>
            </w:tcBorders>
          </w:tcPr>
          <w:p w:rsidR="00000000" w:rsidRDefault="00000000">
            <w:pPr>
              <w:spacing w:line="360" w:lineRule="exact"/>
              <w:jc w:val="center"/>
            </w:pPr>
            <w:r>
              <w:t>1983</w:t>
            </w:r>
            <w:r>
              <w:rPr>
                <w:rFonts w:hint="eastAsia"/>
              </w:rPr>
              <w:t>年</w:t>
            </w:r>
          </w:p>
        </w:tc>
        <w:tc>
          <w:tcPr>
            <w:tcW w:w="960" w:type="dxa"/>
            <w:tcBorders>
              <w:top w:val="single" w:sz="12" w:space="0" w:color="auto"/>
            </w:tcBorders>
          </w:tcPr>
          <w:p w:rsidR="00000000" w:rsidRDefault="00000000">
            <w:pPr>
              <w:spacing w:line="360" w:lineRule="exact"/>
              <w:jc w:val="center"/>
            </w:pPr>
            <w:r>
              <w:t>1987</w:t>
            </w:r>
            <w:r>
              <w:rPr>
                <w:rFonts w:hint="eastAsia"/>
              </w:rPr>
              <w:t>年</w:t>
            </w:r>
          </w:p>
        </w:tc>
        <w:tc>
          <w:tcPr>
            <w:tcW w:w="1080" w:type="dxa"/>
            <w:tcBorders>
              <w:top w:val="single" w:sz="12" w:space="0" w:color="auto"/>
            </w:tcBorders>
          </w:tcPr>
          <w:p w:rsidR="00000000" w:rsidRDefault="00000000">
            <w:pPr>
              <w:spacing w:line="360" w:lineRule="exact"/>
              <w:jc w:val="center"/>
            </w:pPr>
            <w:r>
              <w:t>1993</w:t>
            </w:r>
            <w:r>
              <w:rPr>
                <w:rFonts w:hint="eastAsia"/>
              </w:rPr>
              <w:t>年</w:t>
            </w:r>
          </w:p>
        </w:tc>
        <w:tc>
          <w:tcPr>
            <w:tcW w:w="919" w:type="dxa"/>
            <w:tcBorders>
              <w:top w:val="single" w:sz="12" w:space="0" w:color="auto"/>
            </w:tcBorders>
          </w:tcPr>
          <w:p w:rsidR="00000000" w:rsidRDefault="00000000">
            <w:pPr>
              <w:spacing w:line="360" w:lineRule="exact"/>
              <w:jc w:val="center"/>
            </w:pPr>
            <w:r>
              <w:t>1997</w:t>
            </w:r>
            <w:r>
              <w:rPr>
                <w:rFonts w:hint="eastAsia"/>
              </w:rPr>
              <w:t>年</w:t>
            </w:r>
          </w:p>
        </w:tc>
        <w:tc>
          <w:tcPr>
            <w:tcW w:w="1320" w:type="dxa"/>
            <w:tcBorders>
              <w:top w:val="single" w:sz="12" w:space="0" w:color="auto"/>
            </w:tcBorders>
          </w:tcPr>
          <w:p w:rsidR="00000000" w:rsidRDefault="00000000">
            <w:pPr>
              <w:spacing w:line="360" w:lineRule="exact"/>
              <w:jc w:val="center"/>
            </w:pPr>
            <w:r>
              <w:t>1998</w:t>
            </w:r>
            <w:r>
              <w:rPr>
                <w:rFonts w:hint="eastAsia"/>
              </w:rPr>
              <w:t>年</w:t>
            </w:r>
          </w:p>
        </w:tc>
      </w:tr>
      <w:tr w:rsidR="00000000">
        <w:tblPrEx>
          <w:tblCellMar>
            <w:top w:w="0" w:type="dxa"/>
            <w:bottom w:w="0" w:type="dxa"/>
          </w:tblCellMar>
        </w:tblPrEx>
        <w:tc>
          <w:tcPr>
            <w:tcW w:w="3388" w:type="dxa"/>
          </w:tcPr>
          <w:p w:rsidR="00000000" w:rsidRDefault="00000000">
            <w:pPr>
              <w:spacing w:line="360" w:lineRule="exact"/>
            </w:pPr>
            <w:r>
              <w:rPr>
                <w:rFonts w:hint="eastAsia"/>
              </w:rPr>
              <w:t>妇女</w:t>
            </w:r>
          </w:p>
        </w:tc>
        <w:tc>
          <w:tcPr>
            <w:tcW w:w="1080" w:type="dxa"/>
          </w:tcPr>
          <w:p w:rsidR="00000000" w:rsidRDefault="00000000">
            <w:pPr>
              <w:spacing w:line="360" w:lineRule="exact"/>
              <w:ind w:right="227"/>
              <w:jc w:val="right"/>
            </w:pPr>
            <w:r>
              <w:t>46.1</w:t>
            </w:r>
          </w:p>
        </w:tc>
        <w:tc>
          <w:tcPr>
            <w:tcW w:w="1080" w:type="dxa"/>
          </w:tcPr>
          <w:p w:rsidR="00000000" w:rsidRDefault="00000000">
            <w:pPr>
              <w:spacing w:line="360" w:lineRule="exact"/>
              <w:ind w:right="227"/>
              <w:jc w:val="right"/>
            </w:pPr>
            <w:r>
              <w:t>35.2</w:t>
            </w:r>
          </w:p>
        </w:tc>
        <w:tc>
          <w:tcPr>
            <w:tcW w:w="960" w:type="dxa"/>
          </w:tcPr>
          <w:p w:rsidR="00000000" w:rsidRDefault="00000000">
            <w:pPr>
              <w:spacing w:line="360" w:lineRule="exact"/>
              <w:ind w:right="227"/>
              <w:jc w:val="right"/>
            </w:pPr>
            <w:r>
              <w:t>30.2</w:t>
            </w:r>
          </w:p>
        </w:tc>
        <w:tc>
          <w:tcPr>
            <w:tcW w:w="1080" w:type="dxa"/>
          </w:tcPr>
          <w:p w:rsidR="00000000" w:rsidRDefault="00000000">
            <w:pPr>
              <w:spacing w:line="360" w:lineRule="exact"/>
              <w:jc w:val="center"/>
            </w:pPr>
            <w:r>
              <w:t>24.2</w:t>
            </w:r>
          </w:p>
        </w:tc>
        <w:tc>
          <w:tcPr>
            <w:tcW w:w="919" w:type="dxa"/>
          </w:tcPr>
          <w:p w:rsidR="00000000" w:rsidRDefault="00000000">
            <w:pPr>
              <w:spacing w:line="360" w:lineRule="exact"/>
              <w:jc w:val="center"/>
            </w:pPr>
            <w:r>
              <w:t>18.5</w:t>
            </w:r>
          </w:p>
        </w:tc>
        <w:tc>
          <w:tcPr>
            <w:tcW w:w="1320" w:type="dxa"/>
          </w:tcPr>
          <w:p w:rsidR="00000000" w:rsidRDefault="00000000">
            <w:pPr>
              <w:spacing w:line="360" w:lineRule="exact"/>
              <w:jc w:val="center"/>
            </w:pPr>
            <w:r>
              <w:t>17.9</w:t>
            </w:r>
          </w:p>
        </w:tc>
      </w:tr>
      <w:tr w:rsidR="00000000">
        <w:tblPrEx>
          <w:tblCellMar>
            <w:top w:w="0" w:type="dxa"/>
            <w:bottom w:w="0" w:type="dxa"/>
          </w:tblCellMar>
        </w:tblPrEx>
        <w:tc>
          <w:tcPr>
            <w:tcW w:w="3388" w:type="dxa"/>
            <w:tcBorders>
              <w:bottom w:val="single" w:sz="12" w:space="0" w:color="auto"/>
            </w:tcBorders>
          </w:tcPr>
          <w:p w:rsidR="00000000" w:rsidRDefault="00000000">
            <w:pPr>
              <w:spacing w:line="360" w:lineRule="exact"/>
            </w:pPr>
            <w:r>
              <w:rPr>
                <w:rFonts w:hint="eastAsia"/>
              </w:rPr>
              <w:t>男子</w:t>
            </w:r>
          </w:p>
        </w:tc>
        <w:tc>
          <w:tcPr>
            <w:tcW w:w="1080" w:type="dxa"/>
            <w:tcBorders>
              <w:bottom w:val="single" w:sz="12" w:space="0" w:color="auto"/>
            </w:tcBorders>
          </w:tcPr>
          <w:p w:rsidR="00000000" w:rsidRDefault="00000000">
            <w:pPr>
              <w:spacing w:line="360" w:lineRule="exact"/>
              <w:ind w:right="227"/>
              <w:jc w:val="right"/>
            </w:pPr>
            <w:r>
              <w:t>5.4</w:t>
            </w:r>
          </w:p>
        </w:tc>
        <w:tc>
          <w:tcPr>
            <w:tcW w:w="1080" w:type="dxa"/>
            <w:tcBorders>
              <w:bottom w:val="single" w:sz="12" w:space="0" w:color="auto"/>
            </w:tcBorders>
          </w:tcPr>
          <w:p w:rsidR="00000000" w:rsidRDefault="00000000">
            <w:pPr>
              <w:spacing w:line="360" w:lineRule="exact"/>
              <w:ind w:right="227"/>
              <w:jc w:val="right"/>
            </w:pPr>
            <w:r>
              <w:t>8.2</w:t>
            </w:r>
          </w:p>
        </w:tc>
        <w:tc>
          <w:tcPr>
            <w:tcW w:w="960" w:type="dxa"/>
            <w:tcBorders>
              <w:bottom w:val="single" w:sz="12" w:space="0" w:color="auto"/>
            </w:tcBorders>
          </w:tcPr>
          <w:p w:rsidR="00000000" w:rsidRDefault="00000000">
            <w:pPr>
              <w:spacing w:line="360" w:lineRule="exact"/>
              <w:ind w:right="227"/>
              <w:jc w:val="right"/>
            </w:pPr>
            <w:r>
              <w:t>8.8</w:t>
            </w:r>
          </w:p>
        </w:tc>
        <w:tc>
          <w:tcPr>
            <w:tcW w:w="1080" w:type="dxa"/>
            <w:tcBorders>
              <w:bottom w:val="single" w:sz="12" w:space="0" w:color="auto"/>
            </w:tcBorders>
          </w:tcPr>
          <w:p w:rsidR="00000000" w:rsidRDefault="00000000">
            <w:pPr>
              <w:spacing w:line="360" w:lineRule="exact"/>
              <w:jc w:val="center"/>
            </w:pPr>
            <w:r>
              <w:t>11.0</w:t>
            </w:r>
          </w:p>
        </w:tc>
        <w:tc>
          <w:tcPr>
            <w:tcW w:w="919" w:type="dxa"/>
            <w:tcBorders>
              <w:bottom w:val="single" w:sz="12" w:space="0" w:color="auto"/>
            </w:tcBorders>
          </w:tcPr>
          <w:p w:rsidR="00000000" w:rsidRDefault="00000000">
            <w:pPr>
              <w:spacing w:line="360" w:lineRule="exact"/>
              <w:jc w:val="center"/>
            </w:pPr>
            <w:r>
              <w:t>10.7</w:t>
            </w:r>
          </w:p>
        </w:tc>
        <w:tc>
          <w:tcPr>
            <w:tcW w:w="1320" w:type="dxa"/>
            <w:tcBorders>
              <w:bottom w:val="single" w:sz="12" w:space="0" w:color="auto"/>
            </w:tcBorders>
          </w:tcPr>
          <w:p w:rsidR="00000000" w:rsidRDefault="00000000">
            <w:pPr>
              <w:spacing w:line="360" w:lineRule="exact"/>
              <w:jc w:val="center"/>
            </w:pPr>
            <w:r>
              <w:t>10.8</w:t>
            </w:r>
          </w:p>
        </w:tc>
      </w:tr>
    </w:tbl>
    <w:p w:rsidR="00000000" w:rsidRDefault="00000000">
      <w:pPr>
        <w:spacing w:after="240" w:line="360" w:lineRule="exact"/>
        <w:ind w:firstLine="425"/>
      </w:pPr>
      <w:r>
        <w:rPr>
          <w:rFonts w:hint="eastAsia"/>
        </w:rPr>
        <w:t>资料来源：统计十年审查，</w:t>
      </w:r>
      <w:r>
        <w:t>1993</w:t>
      </w:r>
      <w:r>
        <w:rPr>
          <w:rFonts w:hint="eastAsia"/>
        </w:rPr>
        <w:t>年和</w:t>
      </w:r>
      <w:r>
        <w:t>1998</w:t>
      </w:r>
      <w:r>
        <w:rPr>
          <w:rFonts w:hint="eastAsia"/>
        </w:rPr>
        <w:t>年，丹麦统计局。</w:t>
      </w:r>
    </w:p>
    <w:p w:rsidR="00000000" w:rsidRDefault="00000000">
      <w:pPr>
        <w:spacing w:after="240" w:line="360" w:lineRule="exact"/>
        <w:rPr>
          <w:rFonts w:eastAsia="SimHei"/>
        </w:rPr>
      </w:pPr>
      <w:r>
        <w:rPr>
          <w:rFonts w:eastAsia="SimHei" w:hint="eastAsia"/>
        </w:rPr>
        <w:t>劳动力市场的性别分隔</w:t>
      </w:r>
    </w:p>
    <w:p w:rsidR="00000000" w:rsidRDefault="00000000">
      <w:pPr>
        <w:spacing w:after="240" w:line="360" w:lineRule="exact"/>
        <w:ind w:firstLine="425"/>
      </w:pPr>
      <w:r>
        <w:rPr>
          <w:rFonts w:hint="eastAsia"/>
        </w:rPr>
        <w:t>在劳动力市场中，仍然以性别分隔为主，这表明男女的行为方面仍然存在基本的差别。在很大程度上，男女在不同的部门从业。</w:t>
      </w:r>
      <w:r>
        <w:t>1997</w:t>
      </w:r>
      <w:r>
        <w:rPr>
          <w:rFonts w:hint="eastAsia"/>
        </w:rPr>
        <w:t>年，半数的就业妇女从业于公共和私人服务业。男子在贸易、技能手工艺、运输、渔业、能源、水和工业的从业者中所占百分比高达</w:t>
      </w:r>
      <w:r>
        <w:t>68%</w:t>
      </w:r>
      <w:r>
        <w:rPr>
          <w:rFonts w:hint="eastAsia"/>
        </w:rPr>
        <w:t>至</w:t>
      </w:r>
      <w:r>
        <w:t>90%</w:t>
      </w:r>
      <w:r>
        <w:rPr>
          <w:rFonts w:hint="eastAsia"/>
        </w:rPr>
        <w:t>。</w:t>
      </w:r>
    </w:p>
    <w:p w:rsidR="00000000" w:rsidRDefault="00000000">
      <w:pPr>
        <w:spacing w:after="240" w:line="360" w:lineRule="exact"/>
        <w:ind w:firstLine="425"/>
      </w:pPr>
      <w:r>
        <w:rPr>
          <w:rFonts w:hint="eastAsia"/>
        </w:rPr>
        <w:t>劳动力市场的性别分隔有若干原因，如妇女和男子选择学习不同的科目。妇女主要就读人文学、保健和社会研究。这些科目为在公营部门就业提供极大的可能性。而男子主要研读面向技术的科目。另一种解释是男子与妇女为特殊类别的职业所吸引。</w:t>
      </w:r>
    </w:p>
    <w:p w:rsidR="00000000" w:rsidRDefault="00000000">
      <w:pPr>
        <w:spacing w:after="240" w:line="360" w:lineRule="exact"/>
        <w:ind w:firstLine="425"/>
      </w:pPr>
      <w:r>
        <w:t>1998</w:t>
      </w:r>
      <w:r>
        <w:rPr>
          <w:rFonts w:hint="eastAsia"/>
        </w:rPr>
        <w:t>年，妇女在各郡和市的从业者中占</w:t>
      </w:r>
      <w:r>
        <w:t>75%</w:t>
      </w:r>
      <w:r>
        <w:rPr>
          <w:rFonts w:hint="eastAsia"/>
        </w:rPr>
        <w:t>。相反，男子在私营部门从业者约占</w:t>
      </w:r>
      <w:r>
        <w:t>66%</w:t>
      </w:r>
      <w:r>
        <w:rPr>
          <w:rFonts w:hint="eastAsia"/>
        </w:rPr>
        <w:t>。在国营部门，男子占从业者的</w:t>
      </w:r>
      <w:r>
        <w:t>58%</w:t>
      </w:r>
      <w:r>
        <w:rPr>
          <w:rFonts w:hint="eastAsia"/>
        </w:rPr>
        <w:t>。</w:t>
      </w:r>
    </w:p>
    <w:p w:rsidR="00000000" w:rsidRDefault="00000000">
      <w:pPr>
        <w:spacing w:after="240" w:line="360" w:lineRule="exact"/>
        <w:ind w:firstLine="425"/>
      </w:pPr>
      <w:r>
        <w:rPr>
          <w:rFonts w:hint="eastAsia"/>
        </w:rPr>
        <w:t>妇女在劳动力市场中的职务反映出劳动力市场的纵向性别分隔。合作企业主通常为妇女；而男子在自谋职业者和企业主中居大多数。在最高级雇员及私营部门和公营部门的最高级经理中也是以男子为主（见第二章）。</w:t>
      </w:r>
    </w:p>
    <w:p w:rsidR="00000000" w:rsidRDefault="00000000">
      <w:pPr>
        <w:spacing w:after="240" w:line="360" w:lineRule="exact"/>
        <w:ind w:firstLine="425"/>
      </w:pPr>
      <w:r>
        <w:rPr>
          <w:rFonts w:hint="eastAsia"/>
        </w:rPr>
        <w:t>人们作出各种尝试以消除劳动力市场横向和纵向的性别分离现象。例如，通过在聘用和提升方面将性别观点纳入主流，协调男子和妇女的家庭与工作责任及采取同等报酬的主动行动。</w:t>
      </w:r>
    </w:p>
    <w:p w:rsidR="00000000" w:rsidRDefault="00000000">
      <w:pPr>
        <w:spacing w:after="240" w:line="360" w:lineRule="exact"/>
        <w:ind w:firstLine="425"/>
      </w:pPr>
      <w:r>
        <w:rPr>
          <w:rFonts w:hint="eastAsia"/>
        </w:rPr>
        <w:t>社会事务部及后来的部级儿童委员会重点解决如何使更多的男子成为托儿所和幼儿园的教育者和教师的问题，因为许多这类机构传统上是以妇女为主的。男女儿童需要与妇女在一起，也需要与男子在一起。因此，这一主动行动应视为打破劳动力市场的性别分离的一种手段。</w:t>
      </w:r>
      <w:r>
        <w:t>1997</w:t>
      </w:r>
      <w:r>
        <w:rPr>
          <w:rFonts w:hint="eastAsia"/>
        </w:rPr>
        <w:t>年，出版了一部题为“在女性为主的环境中的男童”的出版物。</w:t>
      </w:r>
      <w:r>
        <w:t>1997</w:t>
      </w:r>
      <w:r>
        <w:rPr>
          <w:rFonts w:hint="eastAsia"/>
        </w:rPr>
        <w:t>年还成立了一个有平等地位委员代表参加的工作小组。</w:t>
      </w:r>
      <w:r>
        <w:t>1998</w:t>
      </w:r>
      <w:r>
        <w:rPr>
          <w:rFonts w:hint="eastAsia"/>
        </w:rPr>
        <w:t>年</w:t>
      </w:r>
      <w:r>
        <w:t>10</w:t>
      </w:r>
      <w:r>
        <w:rPr>
          <w:rFonts w:hint="eastAsia"/>
        </w:rPr>
        <w:t>月，社会事务部发表了题为“更多的男子在幼儿园就业”的报告。</w:t>
      </w:r>
    </w:p>
    <w:p w:rsidR="00000000" w:rsidRDefault="00000000">
      <w:pPr>
        <w:spacing w:after="240" w:line="360" w:lineRule="exact"/>
        <w:jc w:val="center"/>
        <w:rPr>
          <w:rFonts w:eastAsia="SimHei"/>
        </w:rPr>
      </w:pPr>
      <w:r>
        <w:rPr>
          <w:rFonts w:eastAsia="SimHei" w:hint="eastAsia"/>
        </w:rPr>
        <w:t>提供就业机会的措施</w:t>
      </w:r>
    </w:p>
    <w:p w:rsidR="00000000" w:rsidRDefault="00000000">
      <w:pPr>
        <w:spacing w:after="240" w:line="360" w:lineRule="exact"/>
        <w:rPr>
          <w:rFonts w:eastAsia="SimHei"/>
        </w:rPr>
      </w:pPr>
      <w:r>
        <w:rPr>
          <w:rFonts w:eastAsia="SimHei" w:hint="eastAsia"/>
        </w:rPr>
        <w:t>将性别观点纳入主流</w:t>
      </w:r>
    </w:p>
    <w:p w:rsidR="00000000" w:rsidRDefault="00000000">
      <w:pPr>
        <w:spacing w:after="240" w:line="360" w:lineRule="exact"/>
        <w:ind w:firstLine="425"/>
      </w:pPr>
      <w:r>
        <w:rPr>
          <w:rFonts w:hint="eastAsia"/>
        </w:rPr>
        <w:t>如第</w:t>
      </w:r>
      <w:r>
        <w:t>1</w:t>
      </w:r>
      <w:r>
        <w:rPr>
          <w:rFonts w:hint="eastAsia"/>
        </w:rPr>
        <w:t>章所述，丹麦政府的性别平等政策的基础是将性别观点纳入主流。男女平等事务部部长对促进性别平等负有直接责任；同时，其他各部部长负责在其职务范围内确保性别平等。在劳工部长的职务范围内，所有政治倡议均被评估以确保性别平等。</w:t>
      </w:r>
    </w:p>
    <w:p w:rsidR="00000000" w:rsidRDefault="00000000">
      <w:pPr>
        <w:spacing w:after="240" w:line="360" w:lineRule="exact"/>
        <w:ind w:firstLine="425"/>
      </w:pPr>
      <w:r>
        <w:rPr>
          <w:rFonts w:hint="eastAsia"/>
        </w:rPr>
        <w:t>自</w:t>
      </w:r>
      <w:r>
        <w:t>1997</w:t>
      </w:r>
      <w:r>
        <w:rPr>
          <w:rFonts w:hint="eastAsia"/>
        </w:rPr>
        <w:t>年以来，丹麦一直参加由北欧部长理事会发起的一个北欧将性别观点纳入主流项目。其目的是在北欧国家的</w:t>
      </w:r>
      <w:r>
        <w:t>12</w:t>
      </w:r>
      <w:r>
        <w:rPr>
          <w:rFonts w:hint="eastAsia"/>
        </w:rPr>
        <w:t>个次级项目的基础上建立一个北欧国家将性别观点纳入主流的样板。丹麦选择了一个市即</w:t>
      </w:r>
      <w:r>
        <w:t>Ringsted</w:t>
      </w:r>
      <w:r>
        <w:rPr>
          <w:rFonts w:hint="eastAsia"/>
        </w:rPr>
        <w:t>作为一个案例研究：“聘用方面的平等待遇”。该项目在一个拥有</w:t>
      </w:r>
      <w:r>
        <w:t>3600</w:t>
      </w:r>
      <w:r>
        <w:rPr>
          <w:rFonts w:hint="eastAsia"/>
        </w:rPr>
        <w:t>名雇员的与居住在该市的</w:t>
      </w:r>
      <w:r>
        <w:t>3</w:t>
      </w:r>
      <w:r>
        <w:rPr>
          <w:rFonts w:hint="eastAsia"/>
        </w:rPr>
        <w:t>万居民打交道的组织进行。现在，劳动力的</w:t>
      </w:r>
      <w:r>
        <w:t>77%</w:t>
      </w:r>
      <w:r>
        <w:rPr>
          <w:rFonts w:hint="eastAsia"/>
        </w:rPr>
        <w:t>为妇女，</w:t>
      </w:r>
      <w:r>
        <w:t>23%</w:t>
      </w:r>
      <w:r>
        <w:rPr>
          <w:rFonts w:hint="eastAsia"/>
        </w:rPr>
        <w:t>为男子。因此，目标群体由妇女和男子组成。其目的是测试和确立在聘用工作人员程序方面将性别平等观点纳入主流的方法，并倡导在公共机构和公司展开关于性别平等的辩论。</w:t>
      </w:r>
      <w:r>
        <w:t>1998</w:t>
      </w:r>
      <w:r>
        <w:rPr>
          <w:rFonts w:hint="eastAsia"/>
        </w:rPr>
        <w:t>年，该市与平等地位委员会合作发表一本小册子，以在雇员中引发讨论，并作为所有任命委员会的一个指南。该项目将于</w:t>
      </w:r>
      <w:r>
        <w:t>2000</w:t>
      </w:r>
      <w:r>
        <w:rPr>
          <w:rFonts w:hint="eastAsia"/>
        </w:rPr>
        <w:t>年完成。</w:t>
      </w:r>
    </w:p>
    <w:p w:rsidR="00000000" w:rsidRDefault="00000000">
      <w:pPr>
        <w:spacing w:after="240" w:line="360" w:lineRule="exact"/>
        <w:rPr>
          <w:rFonts w:eastAsia="SimHei"/>
        </w:rPr>
      </w:pPr>
      <w:r>
        <w:rPr>
          <w:rFonts w:eastAsia="SimHei" w:hint="eastAsia"/>
        </w:rPr>
        <w:t>关注男子</w:t>
      </w:r>
    </w:p>
    <w:p w:rsidR="00000000" w:rsidRDefault="00000000">
      <w:pPr>
        <w:spacing w:after="240" w:line="360" w:lineRule="exact"/>
        <w:ind w:firstLine="425"/>
      </w:pPr>
      <w:r>
        <w:rPr>
          <w:rFonts w:hint="eastAsia"/>
        </w:rPr>
        <w:t>由于将性别观点纳入主流概念的变化的结果，工作重点已由作为有“特殊需求的”妇女群体转向性别之间和性别内部更复杂的关系格局。国际和国内方面都日益关注确定男子所面临的特殊问题以及使男子参加与平等机会相关的工作。现在，男子被视为解决男女不平等问题的一个重要组成部分。这就是平等地位委员会选择男子作为工作重点并使他们参加性别平等辩论的原因。正是在这种背景下，丹麦参加了在北欧部长理事会主持下通过的男子与性别平等行动计划，并且投票赞成雇用一个人以协调深入研究和考察男子问题。这个职务是世界上这类职务的第一例，并且设在挪威奥斯陆的北欧妇女研究和性别研究所。</w:t>
      </w:r>
    </w:p>
    <w:p w:rsidR="00000000" w:rsidRDefault="00000000">
      <w:pPr>
        <w:spacing w:after="240" w:line="360" w:lineRule="exact"/>
        <w:ind w:firstLine="425"/>
      </w:pPr>
      <w:r>
        <w:t>1997</w:t>
      </w:r>
      <w:r>
        <w:rPr>
          <w:rFonts w:hint="eastAsia"/>
        </w:rPr>
        <w:t>年</w:t>
      </w:r>
      <w:r>
        <w:t>5</w:t>
      </w:r>
      <w:r>
        <w:rPr>
          <w:rFonts w:hint="eastAsia"/>
        </w:rPr>
        <w:t>月，委员会安排了“男子的工作场所文化”的会议，以推动关于新的性别角色的辩论。</w:t>
      </w:r>
      <w:r>
        <w:t>1999</w:t>
      </w:r>
      <w:r>
        <w:rPr>
          <w:rFonts w:hint="eastAsia"/>
        </w:rPr>
        <w:t>年</w:t>
      </w:r>
      <w:r>
        <w:t>11</w:t>
      </w:r>
      <w:r>
        <w:rPr>
          <w:rFonts w:hint="eastAsia"/>
        </w:rPr>
        <w:t>月，委员会出版了“各行其是的男子”一书，以发起对男子作为父亲、配偶、离婚的父亲和有家庭责任的雇员的辩论，而且也讨论是否关于女性价值的主导观点使男子难以处在“社会的最底层”。</w:t>
      </w:r>
    </w:p>
    <w:p w:rsidR="00000000" w:rsidRDefault="00000000">
      <w:pPr>
        <w:spacing w:after="240" w:line="360" w:lineRule="exact"/>
        <w:rPr>
          <w:rFonts w:eastAsia="SimHei"/>
        </w:rPr>
      </w:pPr>
      <w:r>
        <w:rPr>
          <w:rFonts w:eastAsia="SimHei" w:hint="eastAsia"/>
        </w:rPr>
        <w:t>纠正歧视措施</w:t>
      </w:r>
    </w:p>
    <w:p w:rsidR="00000000" w:rsidRDefault="00000000">
      <w:pPr>
        <w:spacing w:after="240" w:line="360" w:lineRule="exact"/>
        <w:ind w:firstLine="425"/>
      </w:pPr>
      <w:r>
        <w:rPr>
          <w:rFonts w:hint="eastAsia"/>
        </w:rPr>
        <w:t>采取有利于代表不足的性别的纠正歧视措施是丹麦关于性别平等辩论中最有争论的主题之一。它适用于妇女在传统上以男子为主的领域就业以及男子在社会支助部门就业。尽管人们认可纠正歧视措施为促进男女平等的一种手段，但许多妇女和男子不会立即认可它是促进更好的性别平衡的一种手段。一些妇女常称她们不愿因其性别得到优惠待遇。因此，纠正歧视性措施的行动只适合于有限的一些情况。</w:t>
      </w:r>
    </w:p>
    <w:p w:rsidR="00000000" w:rsidRDefault="00000000">
      <w:pPr>
        <w:spacing w:after="240" w:line="360" w:lineRule="exact"/>
        <w:ind w:firstLine="425"/>
      </w:pPr>
      <w:r>
        <w:rPr>
          <w:rFonts w:hint="eastAsia"/>
        </w:rPr>
        <w:t>传媒继续开展纠正歧视措施的讨论。为使这一辩论更严谨，平等地位委员会于</w:t>
      </w:r>
      <w:r>
        <w:t>1998</w:t>
      </w:r>
      <w:r>
        <w:rPr>
          <w:rFonts w:hint="eastAsia"/>
        </w:rPr>
        <w:t>年</w:t>
      </w:r>
      <w:r>
        <w:t>11</w:t>
      </w:r>
      <w:r>
        <w:rPr>
          <w:rFonts w:hint="eastAsia"/>
        </w:rPr>
        <w:t>月主办了一场听证会。辩论的主题是纠正歧视措施是否是歧视性的，它是否能为确保在性别平等领域取得进展作出实际贡献。这场辩论还在继续。</w:t>
      </w:r>
    </w:p>
    <w:p w:rsidR="00000000" w:rsidRDefault="00000000">
      <w:pPr>
        <w:spacing w:after="240" w:line="360" w:lineRule="exact"/>
        <w:jc w:val="center"/>
        <w:rPr>
          <w:rFonts w:eastAsia="SimHei"/>
        </w:rPr>
      </w:pPr>
      <w:r>
        <w:rPr>
          <w:rFonts w:eastAsia="SimHei" w:hint="eastAsia"/>
        </w:rPr>
        <w:t>就业机会</w:t>
      </w:r>
    </w:p>
    <w:p w:rsidR="00000000" w:rsidRDefault="00000000">
      <w:pPr>
        <w:spacing w:after="240" w:line="360" w:lineRule="exact"/>
        <w:rPr>
          <w:rFonts w:eastAsia="SimHei"/>
        </w:rPr>
      </w:pPr>
      <w:r>
        <w:rPr>
          <w:rFonts w:eastAsia="SimHei" w:hint="eastAsia"/>
        </w:rPr>
        <w:t>国家劳动力市场管理局和公共就业事务处</w:t>
      </w:r>
    </w:p>
    <w:p w:rsidR="00000000" w:rsidRDefault="00000000">
      <w:pPr>
        <w:spacing w:after="240" w:line="360" w:lineRule="exact"/>
        <w:ind w:firstLine="425"/>
      </w:pPr>
      <w:r>
        <w:rPr>
          <w:rFonts w:hint="eastAsia"/>
        </w:rPr>
        <w:t>如前期报告所述，</w:t>
      </w:r>
      <w:r>
        <w:t>14</w:t>
      </w:r>
      <w:r>
        <w:rPr>
          <w:rFonts w:hint="eastAsia"/>
        </w:rPr>
        <w:t>个区域公共就业事务处的</w:t>
      </w:r>
      <w:r>
        <w:t>29</w:t>
      </w:r>
      <w:r>
        <w:rPr>
          <w:rFonts w:hint="eastAsia"/>
        </w:rPr>
        <w:t>名平等问题顾问在实现性别平等方面发挥重要作用。这些顾问参加教育方案和方针的制定与规划，促进妇女与男子获得可以更好适应市场需求的资格。理论指导与在相关企业的训练相结合。顾问的工作由国家劳动力市场管理局协调。该局还收集成果和经验并向地方一级宣传这种知识。</w:t>
      </w:r>
    </w:p>
    <w:p w:rsidR="00000000" w:rsidRDefault="00000000">
      <w:pPr>
        <w:spacing w:after="240" w:line="360" w:lineRule="exact"/>
        <w:ind w:firstLine="425"/>
      </w:pPr>
      <w:r>
        <w:rPr>
          <w:rFonts w:hint="eastAsia"/>
        </w:rPr>
        <w:t>近些年来，国家劳动力市场管理局和公共就业事务处为实现性别平等采取了将性别观点纳入主流的办法。同时，各种项目提供一些发现促进性别平等的新的方式方法的机会。作为一种促进性别平等的战略，将性别观点纳入主流在公共就业事务处越来越普遍。因此，这一趋向是日益使性别平等活动的确定和执行与公共就业事务处在区域一级的其他工作相联系。</w:t>
      </w:r>
    </w:p>
    <w:p w:rsidR="00000000" w:rsidRDefault="00000000">
      <w:pPr>
        <w:spacing w:after="240" w:line="360" w:lineRule="exact"/>
        <w:ind w:firstLine="425"/>
      </w:pPr>
      <w:r>
        <w:rPr>
          <w:rFonts w:hint="eastAsia"/>
        </w:rPr>
        <w:t>由于劳动力市场中的性别平等是劳动力市场总体政策努力的一部分，对其重视程度依区域不同和时期不同而异是很自然的。就目前的一般领域而言，性别平等被列入针对企业的工作并以各种方式列入预防出现所谓的瓶颈问题的工作。在这个问题上采用的一种手段是进行工作轮换。</w:t>
      </w:r>
    </w:p>
    <w:p w:rsidR="00000000" w:rsidRDefault="00000000">
      <w:pPr>
        <w:spacing w:after="240" w:line="360" w:lineRule="exact"/>
        <w:ind w:firstLine="425"/>
      </w:pPr>
      <w:r>
        <w:rPr>
          <w:rFonts w:hint="eastAsia"/>
        </w:rPr>
        <w:t>为了使平等工作更有效，同时加强公共就业事务处将性别观点纳入主流的工作，有</w:t>
      </w:r>
      <w:r>
        <w:t>3</w:t>
      </w:r>
      <w:r>
        <w:rPr>
          <w:rFonts w:hint="eastAsia"/>
        </w:rPr>
        <w:t>个区域开办了一个项目。该项目旨在通过纳入性别平等问题使公共就业事务处的工作达标。该项目的总目标是通过下列办法使公共就业事务处的工作更加专业化：对工作人员的观念产生影响以及制定可在公共就业事务处加强性别认识的各种措施。如果项目在这些方面获得成功，那么，工作人员在提供信息和咨询时将会更加不分性别。通过重点解决日常生活中的性别问题，人们打算给妇女以及男子提供更多的关于迄今某种性别一直代表比例不足的特殊领域的就业咨询。</w:t>
      </w:r>
    </w:p>
    <w:p w:rsidR="00000000" w:rsidRDefault="00000000">
      <w:pPr>
        <w:spacing w:after="240" w:line="360" w:lineRule="exact"/>
        <w:ind w:firstLine="425"/>
      </w:pPr>
      <w:r>
        <w:rPr>
          <w:rFonts w:hint="eastAsia"/>
        </w:rPr>
        <w:t>而且，公共就业事务处在更广泛的活动范围内从事促进性别平等的工作，这些活动针对各种企业以及针对有关使失业者胜任和促进其在劳动力市场的各种机会的工作。</w:t>
      </w:r>
    </w:p>
    <w:p w:rsidR="00000000" w:rsidRDefault="00000000">
      <w:pPr>
        <w:spacing w:after="240" w:line="360" w:lineRule="exact"/>
        <w:ind w:firstLine="425"/>
      </w:pPr>
      <w:r>
        <w:rPr>
          <w:rFonts w:hint="eastAsia"/>
        </w:rPr>
        <w:t>由于劳动力市场中的性别平等被列为总体就业政治活动的一部分，对这些活动的重视程度区域和时期而异是自然而然的。应该指出的是，妇女被越来越多地介绍到传统上以男子为主体的就业领域。</w:t>
      </w:r>
    </w:p>
    <w:p w:rsidR="00000000" w:rsidRDefault="00000000">
      <w:pPr>
        <w:spacing w:after="240" w:line="360" w:lineRule="exact"/>
        <w:rPr>
          <w:rFonts w:eastAsia="SimHei"/>
        </w:rPr>
      </w:pPr>
      <w:r>
        <w:rPr>
          <w:rFonts w:eastAsia="SimHei" w:hint="eastAsia"/>
        </w:rPr>
        <w:t>劳动力市场委员会</w:t>
      </w:r>
    </w:p>
    <w:p w:rsidR="00000000" w:rsidRDefault="00000000">
      <w:pPr>
        <w:spacing w:after="240" w:line="360" w:lineRule="exact"/>
        <w:ind w:firstLine="425"/>
      </w:pPr>
      <w:r>
        <w:t>1995—1998</w:t>
      </w:r>
      <w:r>
        <w:rPr>
          <w:rFonts w:hint="eastAsia"/>
        </w:rPr>
        <w:t>年期间，在一个地方劳动力市场委员会创办的项目中，有</w:t>
      </w:r>
      <w:r>
        <w:t>100</w:t>
      </w:r>
      <w:r>
        <w:rPr>
          <w:rFonts w:hint="eastAsia"/>
        </w:rPr>
        <w:t>名失业男子完成了</w:t>
      </w:r>
      <w:r>
        <w:t>20</w:t>
      </w:r>
      <w:r>
        <w:rPr>
          <w:rFonts w:hint="eastAsia"/>
        </w:rPr>
        <w:t>个月的培训课程，以便成为合格的社会和保健工作者。这</w:t>
      </w:r>
      <w:r>
        <w:rPr>
          <w:rFonts w:hint="eastAsia"/>
        </w:rPr>
        <w:t>100</w:t>
      </w:r>
      <w:r>
        <w:rPr>
          <w:rFonts w:hint="eastAsia"/>
        </w:rPr>
        <w:t>人中，后来在这个领域从业的有</w:t>
      </w:r>
      <w:r>
        <w:t>70</w:t>
      </w:r>
      <w:r>
        <w:rPr>
          <w:rFonts w:hint="eastAsia"/>
        </w:rPr>
        <w:t>名。一项评价显示，失业者和以前未受任何教育的男子乐意投入一个新的部门（如果他们可以受到专业化和个性化的教育的话），而且，男子乐意开始从事传统上被视为是典型的妇女职业。</w:t>
      </w:r>
    </w:p>
    <w:p w:rsidR="00000000" w:rsidRDefault="00000000">
      <w:pPr>
        <w:spacing w:after="240" w:line="360" w:lineRule="exact"/>
        <w:rPr>
          <w:rFonts w:eastAsia="SimHei"/>
        </w:rPr>
      </w:pPr>
      <w:r>
        <w:rPr>
          <w:rFonts w:eastAsia="SimHei" w:hint="eastAsia"/>
        </w:rPr>
        <w:t>郡和市</w:t>
      </w:r>
    </w:p>
    <w:p w:rsidR="00000000" w:rsidRDefault="00000000">
      <w:pPr>
        <w:spacing w:after="240" w:line="360" w:lineRule="exact"/>
        <w:ind w:firstLine="425"/>
      </w:pPr>
      <w:r>
        <w:t>1997</w:t>
      </w:r>
      <w:r>
        <w:rPr>
          <w:rFonts w:hint="eastAsia"/>
        </w:rPr>
        <w:t>年</w:t>
      </w:r>
      <w:r>
        <w:t>11</w:t>
      </w:r>
      <w:r>
        <w:rPr>
          <w:rFonts w:hint="eastAsia"/>
        </w:rPr>
        <w:t>月和</w:t>
      </w:r>
      <w:r>
        <w:t>1999</w:t>
      </w:r>
      <w:r>
        <w:rPr>
          <w:rFonts w:hint="eastAsia"/>
        </w:rPr>
        <w:t>年</w:t>
      </w:r>
      <w:r>
        <w:t>12</w:t>
      </w:r>
      <w:r>
        <w:rPr>
          <w:rFonts w:hint="eastAsia"/>
        </w:rPr>
        <w:t>月，平等地位委员会发表了对地方当局根据《地方当局委员会法》编制的两年期性别平等报告的评估意见。这两份报告被广泛散发，并且被提交给议会的地方当局委员会。</w:t>
      </w:r>
    </w:p>
    <w:p w:rsidR="00000000" w:rsidRDefault="00000000">
      <w:pPr>
        <w:spacing w:after="240" w:line="360" w:lineRule="exact"/>
        <w:ind w:firstLine="425"/>
      </w:pPr>
      <w:r>
        <w:rPr>
          <w:rFonts w:hint="eastAsia"/>
        </w:rPr>
        <w:t>从</w:t>
      </w:r>
      <w:r>
        <w:t>1997</w:t>
      </w:r>
      <w:r>
        <w:rPr>
          <w:rFonts w:hint="eastAsia"/>
        </w:rPr>
        <w:t>年至</w:t>
      </w:r>
      <w:r>
        <w:t>1999</w:t>
      </w:r>
      <w:r>
        <w:rPr>
          <w:rFonts w:hint="eastAsia"/>
        </w:rPr>
        <w:t>年，作出特别努力向市民和雇员宣传地方性别平等政策和性别平等的状况的市的数目增加了一倍。该项评估表明，一些地方当局采取了许多不同的主动行动。对以下方面给予特别重视：聘用代表不足的性别、女经理以及在家庭生活和工作之间更好地协调一致。一些最积极的地方当局指出，它们在现有的性别角色和家庭格局方面面临一种限制因素，迫使它们把重点放在下一代上面。</w:t>
      </w:r>
    </w:p>
    <w:p w:rsidR="00000000" w:rsidRDefault="00000000">
      <w:pPr>
        <w:spacing w:after="240" w:line="360" w:lineRule="exact"/>
        <w:ind w:firstLine="425"/>
      </w:pPr>
      <w:r>
        <w:rPr>
          <w:rFonts w:hint="eastAsia"/>
        </w:rPr>
        <w:t>然而，在评价成果后必须指出的是，在打破各市的性别分化的劳动力市场方面一无进展。妇女占雇员人数的</w:t>
      </w:r>
      <w:r>
        <w:t>75%</w:t>
      </w:r>
      <w:r>
        <w:rPr>
          <w:rFonts w:hint="eastAsia"/>
        </w:rPr>
        <w:t>；而男子把持</w:t>
      </w:r>
      <w:r>
        <w:t>85%</w:t>
      </w:r>
      <w:r>
        <w:rPr>
          <w:rFonts w:hint="eastAsia"/>
        </w:rPr>
        <w:t>以上的高级领导职务。在丹麦最大的妇女工作场所，性别平等处于停滞状态；而且实际上取得的成果寥寥无几。地方当局对于性别平等仍需做很多工作。</w:t>
      </w:r>
    </w:p>
    <w:p w:rsidR="00000000" w:rsidRDefault="00000000">
      <w:pPr>
        <w:spacing w:after="240" w:line="360" w:lineRule="exact"/>
        <w:ind w:firstLine="425"/>
      </w:pPr>
      <w:r>
        <w:t>1999</w:t>
      </w:r>
      <w:r>
        <w:rPr>
          <w:rFonts w:hint="eastAsia"/>
        </w:rPr>
        <w:t>年</w:t>
      </w:r>
      <w:r>
        <w:t>10</w:t>
      </w:r>
      <w:r>
        <w:rPr>
          <w:rFonts w:hint="eastAsia"/>
        </w:rPr>
        <w:t>月，平等地位委员会与丹麦的全国地方当局协会以及丹麦郡委员会协会联合安排了关于性别平等的课程。其目标群体是：政治家、经理以及在各市、郡人事管理部门工作的雇员。</w:t>
      </w:r>
    </w:p>
    <w:p w:rsidR="00000000" w:rsidRDefault="00000000">
      <w:pPr>
        <w:spacing w:after="240" w:line="360" w:lineRule="exact"/>
        <w:jc w:val="center"/>
        <w:rPr>
          <w:rFonts w:eastAsia="SimHei"/>
        </w:rPr>
      </w:pPr>
      <w:r>
        <w:rPr>
          <w:rFonts w:eastAsia="SimHei" w:hint="eastAsia"/>
        </w:rPr>
        <w:t>女企业主</w:t>
      </w:r>
    </w:p>
    <w:p w:rsidR="00000000" w:rsidRDefault="00000000">
      <w:pPr>
        <w:spacing w:after="240" w:line="360" w:lineRule="exact"/>
        <w:ind w:firstLine="425"/>
      </w:pPr>
      <w:r>
        <w:t>1997</w:t>
      </w:r>
      <w:r>
        <w:rPr>
          <w:rFonts w:hint="eastAsia"/>
        </w:rPr>
        <w:t>年</w:t>
      </w:r>
      <w:r>
        <w:t>9</w:t>
      </w:r>
      <w:r>
        <w:rPr>
          <w:rFonts w:hint="eastAsia"/>
        </w:rPr>
        <w:t>月，丹麦中小型企业联合会与平等地位委员会以及其他组织合作主办了一次关于“欧洲女性合作企业主、企业主和企业所有人”的欧盟会议。各种介绍和研究表明，女企业主比男企业主遇到的障碍更多。它最后向欧盟及其成员国提出一些建议，以促进采取产生更多的女企业家的主动行动。该联合会于</w:t>
      </w:r>
      <w:r>
        <w:t>1998</w:t>
      </w:r>
      <w:r>
        <w:rPr>
          <w:rFonts w:hint="eastAsia"/>
        </w:rPr>
        <w:t>年发表了一项关于女合作企业主的研究。</w:t>
      </w:r>
    </w:p>
    <w:p w:rsidR="00000000" w:rsidRDefault="00000000">
      <w:pPr>
        <w:spacing w:after="240" w:line="360" w:lineRule="exact"/>
        <w:ind w:firstLine="425"/>
      </w:pPr>
      <w:r>
        <w:t>1997</w:t>
      </w:r>
      <w:r>
        <w:rPr>
          <w:rFonts w:hint="eastAsia"/>
        </w:rPr>
        <w:t>年</w:t>
      </w:r>
      <w:r>
        <w:t>12</w:t>
      </w:r>
      <w:r>
        <w:rPr>
          <w:rFonts w:hint="eastAsia"/>
        </w:rPr>
        <w:t>月，工业和商业部采取一些扶植女企业主的重点措施。它通过创办一个两年期项目来提供统计数据和资料，分析女企业主所面临的障碍和为新的主动行动提出建议。为将题目列入政治议程，该部</w:t>
      </w:r>
      <w:r>
        <w:t>1998</w:t>
      </w:r>
      <w:r>
        <w:rPr>
          <w:rFonts w:hint="eastAsia"/>
        </w:rPr>
        <w:t>年</w:t>
      </w:r>
      <w:r>
        <w:t>9</w:t>
      </w:r>
      <w:r>
        <w:rPr>
          <w:rFonts w:hint="eastAsia"/>
        </w:rPr>
        <w:t>月在其题为“将来的企业需要更多的妇女”的年度业务报告列入分立的一章。此后，发表了丹麦文和英文的一个特殊出版物以传播信息和鼓励公众对该题目进行讨论。</w:t>
      </w:r>
      <w:r>
        <w:t>1999</w:t>
      </w:r>
      <w:r>
        <w:rPr>
          <w:rFonts w:hint="eastAsia"/>
        </w:rPr>
        <w:t>年，进行了补充分析，并于</w:t>
      </w:r>
      <w:r>
        <w:t>1999</w:t>
      </w:r>
      <w:r>
        <w:rPr>
          <w:rFonts w:hint="eastAsia"/>
        </w:rPr>
        <w:t>年</w:t>
      </w:r>
      <w:r>
        <w:t>11</w:t>
      </w:r>
      <w:r>
        <w:rPr>
          <w:rFonts w:hint="eastAsia"/>
        </w:rPr>
        <w:t>月安排了对今后政策的辩论会。分析报告将于</w:t>
      </w:r>
      <w:r>
        <w:t>2000</w:t>
      </w:r>
      <w:r>
        <w:rPr>
          <w:rFonts w:hint="eastAsia"/>
        </w:rPr>
        <w:t>年发表。分析结果将成为丹麦政府审议确保今后鼓励更多的妇女创办自己的企业的各项倡议的依据。</w:t>
      </w:r>
    </w:p>
    <w:p w:rsidR="00000000" w:rsidRDefault="00000000">
      <w:pPr>
        <w:spacing w:after="240" w:line="360" w:lineRule="exact"/>
        <w:ind w:firstLine="425"/>
      </w:pPr>
      <w:r>
        <w:t>1998</w:t>
      </w:r>
      <w:r>
        <w:rPr>
          <w:rFonts w:hint="eastAsia"/>
        </w:rPr>
        <w:t>年，在丹麦贸易和工业局内设一个特别股。该股与致力于促进女企业主发展的有关各方建立了合作关系并考虑到欧盟和经合组织的经验。今后，</w:t>
      </w:r>
      <w:r>
        <w:t>2000</w:t>
      </w:r>
      <w:r>
        <w:rPr>
          <w:rFonts w:hint="eastAsia"/>
        </w:rPr>
        <w:t>年首次发表的关于企业主的定期统计报告将按性别划分。今后几年，该股将收集关于女企业主从业的更多的资料，从而落实政府关于增加女企业主数目的目标。</w:t>
      </w:r>
    </w:p>
    <w:p w:rsidR="00000000" w:rsidRDefault="00000000">
      <w:pPr>
        <w:spacing w:after="240" w:line="360" w:lineRule="exact"/>
        <w:jc w:val="center"/>
        <w:rPr>
          <w:rFonts w:eastAsia="SimHei"/>
        </w:rPr>
      </w:pPr>
      <w:r>
        <w:rPr>
          <w:rFonts w:eastAsia="SimHei" w:hint="eastAsia"/>
        </w:rPr>
        <w:t>管理</w:t>
      </w:r>
    </w:p>
    <w:p w:rsidR="00000000" w:rsidRDefault="00000000">
      <w:pPr>
        <w:spacing w:after="240" w:line="360" w:lineRule="exact"/>
        <w:ind w:firstLine="425"/>
      </w:pPr>
      <w:r>
        <w:rPr>
          <w:rFonts w:hint="eastAsia"/>
        </w:rPr>
        <w:t>公营部门和私营部门培养更多女经理的工作只是实现了一部分。因为妇女仍然是代表名额不足，在私营部门尤其如此。</w:t>
      </w:r>
    </w:p>
    <w:p w:rsidR="00000000" w:rsidRDefault="00000000">
      <w:pPr>
        <w:spacing w:after="240" w:line="360" w:lineRule="exact"/>
        <w:ind w:firstLine="425"/>
      </w:pPr>
      <w:r>
        <w:rPr>
          <w:rFonts w:hint="eastAsia"/>
        </w:rPr>
        <w:t>男子仍占丹麦最高级管理层的</w:t>
      </w:r>
      <w:r>
        <w:t>90%</w:t>
      </w:r>
      <w:r>
        <w:rPr>
          <w:rFonts w:hint="eastAsia"/>
        </w:rPr>
        <w:t>至</w:t>
      </w:r>
      <w:r>
        <w:t>95%</w:t>
      </w:r>
      <w:r>
        <w:rPr>
          <w:rFonts w:hint="eastAsia"/>
        </w:rPr>
        <w:t>。即使在公营部门担任高级女经理的比例略高于其在私营劳动力市场任高级职务的比例，但差别也不是很大。</w:t>
      </w:r>
    </w:p>
    <w:p w:rsidR="00000000" w:rsidRDefault="00000000">
      <w:pPr>
        <w:spacing w:after="240" w:line="360" w:lineRule="exact"/>
        <w:ind w:firstLine="425"/>
      </w:pPr>
      <w:r>
        <w:rPr>
          <w:rFonts w:hint="eastAsia"/>
        </w:rPr>
        <w:t>然而，几乎得不到任何关于公营和私营公司领导人或私营部门经理的任何统计数字。丹麦统计研究所认真比较了国家、各市和私营部门各种不同的职务类别，并草拟了关于私营部门的经理的统计数据。</w:t>
      </w:r>
    </w:p>
    <w:p w:rsidR="00000000" w:rsidRDefault="00000000">
      <w:pPr>
        <w:spacing w:after="240" w:line="360" w:lineRule="exact"/>
        <w:ind w:firstLine="425"/>
      </w:pPr>
      <w:r>
        <w:rPr>
          <w:rFonts w:hint="eastAsia"/>
        </w:rPr>
        <w:t>这些数字显示，丹麦妇女在私营部门参加经济决策的程度不如男子。妇女只占高级经理的</w:t>
      </w:r>
      <w:r>
        <w:t>5%</w:t>
      </w:r>
      <w:r>
        <w:rPr>
          <w:rFonts w:hint="eastAsia"/>
        </w:rPr>
        <w:t>，而且，在</w:t>
      </w:r>
      <w:r>
        <w:t>1983—1992</w:t>
      </w:r>
      <w:r>
        <w:rPr>
          <w:rFonts w:hint="eastAsia"/>
        </w:rPr>
        <w:t>年仅略有增长，即从</w:t>
      </w:r>
      <w:r>
        <w:t>3%</w:t>
      </w:r>
      <w:r>
        <w:rPr>
          <w:rFonts w:hint="eastAsia"/>
        </w:rPr>
        <w:t>增至</w:t>
      </w:r>
      <w:r>
        <w:t>5%</w:t>
      </w:r>
      <w:r>
        <w:rPr>
          <w:rFonts w:hint="eastAsia"/>
        </w:rPr>
        <w:t>。妇女担任中层管理职务的人数增加较多，从</w:t>
      </w:r>
      <w:r>
        <w:t>6%</w:t>
      </w:r>
      <w:r>
        <w:rPr>
          <w:rFonts w:hint="eastAsia"/>
        </w:rPr>
        <w:t>增至</w:t>
      </w:r>
      <w:r>
        <w:t>14%</w:t>
      </w:r>
      <w:r>
        <w:rPr>
          <w:rFonts w:hint="eastAsia"/>
        </w:rPr>
        <w:t>。</w:t>
      </w:r>
    </w:p>
    <w:p w:rsidR="00000000" w:rsidRDefault="00000000">
      <w:pPr>
        <w:spacing w:after="240" w:line="360" w:lineRule="exact"/>
        <w:ind w:firstLine="425"/>
      </w:pPr>
      <w:r>
        <w:rPr>
          <w:rFonts w:hint="eastAsia"/>
        </w:rPr>
        <w:t>就公营部门而言，从</w:t>
      </w:r>
      <w:r>
        <w:t>1983</w:t>
      </w:r>
      <w:r>
        <w:rPr>
          <w:rFonts w:hint="eastAsia"/>
        </w:rPr>
        <w:t>至</w:t>
      </w:r>
      <w:r>
        <w:t>1996</w:t>
      </w:r>
      <w:r>
        <w:rPr>
          <w:rFonts w:hint="eastAsia"/>
        </w:rPr>
        <w:t>年，在国家部门担任中层管理职务的妇女的百分比从</w:t>
      </w:r>
      <w:r>
        <w:t>9%</w:t>
      </w:r>
      <w:r>
        <w:rPr>
          <w:rFonts w:hint="eastAsia"/>
        </w:rPr>
        <w:t>增至</w:t>
      </w:r>
      <w:r>
        <w:t>20%</w:t>
      </w:r>
      <w:r>
        <w:rPr>
          <w:rFonts w:hint="eastAsia"/>
        </w:rPr>
        <w:t>，约等于各市的百分比（见第</w:t>
      </w:r>
      <w:r>
        <w:rPr>
          <w:rFonts w:hint="eastAsia"/>
        </w:rPr>
        <w:t>2</w:t>
      </w:r>
      <w:r>
        <w:rPr>
          <w:rFonts w:hint="eastAsia"/>
        </w:rPr>
        <w:t>章）。在公营部门，妇女担任高级职务的人数在</w:t>
      </w:r>
      <w:r>
        <w:t>1983</w:t>
      </w:r>
      <w:r>
        <w:rPr>
          <w:rFonts w:hint="eastAsia"/>
        </w:rPr>
        <w:t>年至</w:t>
      </w:r>
      <w:r>
        <w:t>1996</w:t>
      </w:r>
      <w:r>
        <w:rPr>
          <w:rFonts w:hint="eastAsia"/>
        </w:rPr>
        <w:t>年期间增至约</w:t>
      </w:r>
      <w:r>
        <w:t>10%</w:t>
      </w:r>
      <w:r>
        <w:rPr>
          <w:rFonts w:hint="eastAsia"/>
        </w:rPr>
        <w:t>。</w:t>
      </w:r>
    </w:p>
    <w:p w:rsidR="00000000" w:rsidRDefault="00000000">
      <w:pPr>
        <w:spacing w:after="240" w:line="360" w:lineRule="exact"/>
        <w:ind w:firstLine="425"/>
      </w:pPr>
      <w:r>
        <w:rPr>
          <w:rFonts w:hint="eastAsia"/>
        </w:rPr>
        <w:t>通过对国家行政机构、各市和私营部门的数字进行比较，可以得出如下结论：在国家担任中层和高层管理人员的妇女的百分比最高；而在私营部门该比例最低。</w:t>
      </w:r>
    </w:p>
    <w:p w:rsidR="00000000" w:rsidRDefault="00000000">
      <w:pPr>
        <w:spacing w:after="240" w:line="360" w:lineRule="exact"/>
        <w:ind w:firstLine="425"/>
      </w:pPr>
      <w:r>
        <w:t>1996</w:t>
      </w:r>
      <w:r>
        <w:rPr>
          <w:rFonts w:hint="eastAsia"/>
        </w:rPr>
        <w:t>年，北欧部长理事会发表了关于“担任领导职务的妇女”的一项调查的结果，提供了在丹麦</w:t>
      </w:r>
      <w:r>
        <w:t>100</w:t>
      </w:r>
      <w:r>
        <w:rPr>
          <w:rFonts w:hint="eastAsia"/>
        </w:rPr>
        <w:t>家最大公司的管理委员会成员中的性别分布数字。这些数字显示，董事长成员中只有</w:t>
      </w:r>
      <w:r>
        <w:t>1%</w:t>
      </w:r>
      <w:r>
        <w:rPr>
          <w:rFonts w:hint="eastAsia"/>
        </w:rPr>
        <w:t>（！）是妇女，执行委员会成员中只有</w:t>
      </w:r>
      <w:r>
        <w:t>10%</w:t>
      </w:r>
      <w:r>
        <w:rPr>
          <w:rFonts w:hint="eastAsia"/>
        </w:rPr>
        <w:t>是妇女，约半数公司的高层管理部门无妇女任职。</w:t>
      </w:r>
    </w:p>
    <w:p w:rsidR="00000000" w:rsidRDefault="00000000">
      <w:pPr>
        <w:spacing w:after="240" w:line="360" w:lineRule="exact"/>
        <w:ind w:firstLine="425"/>
      </w:pPr>
      <w:r>
        <w:rPr>
          <w:rFonts w:hint="eastAsia"/>
        </w:rPr>
        <w:t>而且，在由私营部门和公营部门的在职经理组成的公司之间实权人士网络中，妇女只占</w:t>
      </w:r>
      <w:r>
        <w:t>5.5%</w:t>
      </w:r>
      <w:r>
        <w:rPr>
          <w:rFonts w:hint="eastAsia"/>
        </w:rPr>
        <w:t>的份额。不过近些年来，为公营部门和私营部门的妇女经理以及担任管理职务前的妇女设立了更多的妇女网络。</w:t>
      </w:r>
    </w:p>
    <w:p w:rsidR="00000000" w:rsidRDefault="00000000">
      <w:pPr>
        <w:pStyle w:val="BodyTextIndent"/>
        <w:spacing w:line="360" w:lineRule="exact"/>
      </w:pPr>
      <w:r>
        <w:rPr>
          <w:rFonts w:hint="eastAsia"/>
        </w:rPr>
        <w:t>丹麦政府通过各种调查、公共辩论、会议等继续解决女经理和女经济决策者人数少的问题，以便促进公司和各种机构的观念改变。公营部门采用了促进平等的行动计划（聘用更多的女经理和使愿意成为经理的人具有资格），而采用私营部门只在很小程度上采用这些行动计划。</w:t>
      </w:r>
    </w:p>
    <w:p w:rsidR="00000000" w:rsidRDefault="00000000">
      <w:pPr>
        <w:spacing w:after="240" w:line="360" w:lineRule="exact"/>
        <w:ind w:firstLine="425"/>
      </w:pPr>
      <w:r>
        <w:t>1998</w:t>
      </w:r>
      <w:r>
        <w:rPr>
          <w:rFonts w:hint="eastAsia"/>
        </w:rPr>
        <w:t>年</w:t>
      </w:r>
      <w:r>
        <w:t>4</w:t>
      </w:r>
      <w:r>
        <w:rPr>
          <w:rFonts w:hint="eastAsia"/>
        </w:rPr>
        <w:t>月，劳工部与丹麦经理和执行官协会合作主办了</w:t>
      </w:r>
      <w:r>
        <w:t>2002</w:t>
      </w:r>
      <w:r>
        <w:rPr>
          <w:rFonts w:hint="eastAsia"/>
        </w:rPr>
        <w:t>年基于妇女与男子的不同管理价值观进行管理的质量问题的会议。</w:t>
      </w:r>
    </w:p>
    <w:p w:rsidR="00000000" w:rsidRDefault="00000000">
      <w:pPr>
        <w:spacing w:after="240" w:line="360" w:lineRule="exact"/>
        <w:jc w:val="center"/>
        <w:rPr>
          <w:rFonts w:eastAsia="SimHei"/>
        </w:rPr>
      </w:pPr>
      <w:r>
        <w:rPr>
          <w:rFonts w:eastAsia="SimHei" w:hint="eastAsia"/>
        </w:rPr>
        <w:t>男女平等报酬</w:t>
      </w:r>
    </w:p>
    <w:p w:rsidR="00000000" w:rsidRDefault="00000000">
      <w:pPr>
        <w:spacing w:after="240" w:line="360" w:lineRule="exact"/>
        <w:ind w:firstLine="425"/>
      </w:pPr>
      <w:r>
        <w:rPr>
          <w:rFonts w:hint="eastAsia"/>
        </w:rPr>
        <w:t>薪酬差距是男女平等领域中最严重的问题之一。在政府和非政府组织一级采取了许多推动这方面进展的主动行动。</w:t>
      </w:r>
      <w:r>
        <w:rPr>
          <w:rStyle w:val="FootnoteReference"/>
        </w:rPr>
        <w:footnoteReference w:customMarkFollows="1" w:id="4"/>
        <w:t>3</w:t>
      </w:r>
    </w:p>
    <w:p w:rsidR="00000000" w:rsidRDefault="00000000">
      <w:pPr>
        <w:spacing w:after="240" w:line="360" w:lineRule="exact"/>
        <w:ind w:firstLine="425"/>
      </w:pPr>
      <w:r>
        <w:rPr>
          <w:rFonts w:hint="eastAsia"/>
        </w:rPr>
        <w:t>根据《欧共体条约》第</w:t>
      </w:r>
      <w:r>
        <w:t>141</w:t>
      </w:r>
      <w:r>
        <w:rPr>
          <w:rFonts w:hint="eastAsia"/>
        </w:rPr>
        <w:t>条，所有成员国的雇员均有权利获得平等报酬而不因性别受到歧视。在丹麦，欧共体关于平等报酬的指令由《男女平等报酬法》落实（见附件）。</w:t>
      </w:r>
    </w:p>
    <w:p w:rsidR="00000000" w:rsidRDefault="00000000">
      <w:pPr>
        <w:spacing w:after="240" w:line="360" w:lineRule="exact"/>
        <w:ind w:firstLine="425"/>
      </w:pPr>
      <w:r>
        <w:t>1996</w:t>
      </w:r>
      <w:r>
        <w:rPr>
          <w:rFonts w:hint="eastAsia"/>
        </w:rPr>
        <w:t>年，妇女的报酬约比男子报酬低</w:t>
      </w:r>
      <w:r>
        <w:t>10%–24%</w:t>
      </w:r>
      <w:r>
        <w:rPr>
          <w:rFonts w:hint="eastAsia"/>
        </w:rPr>
        <w:t>。</w:t>
      </w:r>
    </w:p>
    <w:tbl>
      <w:tblPr>
        <w:tblW w:w="0" w:type="auto"/>
        <w:tblBorders>
          <w:top w:val="single" w:sz="12" w:space="0" w:color="auto"/>
          <w:bottom w:val="single" w:sz="12" w:space="0" w:color="auto"/>
          <w:insideH w:val="single" w:sz="6" w:space="0" w:color="auto"/>
        </w:tblBorders>
        <w:tblLayout w:type="fixed"/>
        <w:tblCellMar>
          <w:left w:w="28" w:type="dxa"/>
          <w:right w:w="28" w:type="dxa"/>
        </w:tblCellMar>
        <w:tblLook w:val="0000" w:firstRow="0" w:lastRow="0" w:firstColumn="0" w:lastColumn="0" w:noHBand="0" w:noVBand="0"/>
      </w:tblPr>
      <w:tblGrid>
        <w:gridCol w:w="2176"/>
        <w:gridCol w:w="2176"/>
        <w:gridCol w:w="2176"/>
        <w:gridCol w:w="3340"/>
      </w:tblGrid>
      <w:tr w:rsidR="00000000">
        <w:tblPrEx>
          <w:tblCellMar>
            <w:top w:w="0" w:type="dxa"/>
            <w:bottom w:w="0" w:type="dxa"/>
          </w:tblCellMar>
        </w:tblPrEx>
        <w:tc>
          <w:tcPr>
            <w:tcW w:w="2176" w:type="dxa"/>
          </w:tcPr>
          <w:p w:rsidR="00000000" w:rsidRDefault="00000000">
            <w:pPr>
              <w:spacing w:line="360" w:lineRule="exact"/>
            </w:pPr>
            <w:r>
              <w:rPr>
                <w:rFonts w:hint="eastAsia"/>
              </w:rPr>
              <w:t>妇女的收入占男子收入的百分比</w:t>
            </w:r>
          </w:p>
        </w:tc>
        <w:tc>
          <w:tcPr>
            <w:tcW w:w="2176" w:type="dxa"/>
            <w:tcBorders>
              <w:left w:val="single" w:sz="6" w:space="0" w:color="auto"/>
            </w:tcBorders>
          </w:tcPr>
          <w:p w:rsidR="00000000" w:rsidRDefault="00000000">
            <w:pPr>
              <w:spacing w:line="360" w:lineRule="exact"/>
              <w:jc w:val="center"/>
            </w:pPr>
            <w:r>
              <w:rPr>
                <w:rFonts w:hint="eastAsia"/>
              </w:rPr>
              <w:t>市各部门的</w:t>
            </w:r>
          </w:p>
          <w:p w:rsidR="00000000" w:rsidRDefault="00000000">
            <w:pPr>
              <w:spacing w:line="360" w:lineRule="exact"/>
              <w:jc w:val="center"/>
            </w:pPr>
            <w:r>
              <w:rPr>
                <w:rFonts w:hint="eastAsia"/>
              </w:rPr>
              <w:t>妇女</w:t>
            </w:r>
          </w:p>
        </w:tc>
        <w:tc>
          <w:tcPr>
            <w:tcW w:w="2176" w:type="dxa"/>
            <w:tcBorders>
              <w:left w:val="single" w:sz="6" w:space="0" w:color="auto"/>
            </w:tcBorders>
          </w:tcPr>
          <w:p w:rsidR="00000000" w:rsidRDefault="00000000">
            <w:pPr>
              <w:spacing w:line="360" w:lineRule="exact"/>
              <w:jc w:val="center"/>
            </w:pPr>
            <w:r>
              <w:rPr>
                <w:rFonts w:hint="eastAsia"/>
              </w:rPr>
              <w:t>国家企业的</w:t>
            </w:r>
          </w:p>
          <w:p w:rsidR="00000000" w:rsidRDefault="00000000">
            <w:pPr>
              <w:spacing w:line="360" w:lineRule="exact"/>
              <w:jc w:val="center"/>
            </w:pPr>
            <w:r>
              <w:rPr>
                <w:rFonts w:hint="eastAsia"/>
              </w:rPr>
              <w:t>妇女</w:t>
            </w:r>
          </w:p>
        </w:tc>
        <w:tc>
          <w:tcPr>
            <w:tcW w:w="3340" w:type="dxa"/>
            <w:tcBorders>
              <w:left w:val="single" w:sz="6" w:space="0" w:color="auto"/>
            </w:tcBorders>
          </w:tcPr>
          <w:p w:rsidR="00000000" w:rsidRDefault="00000000">
            <w:pPr>
              <w:spacing w:line="360" w:lineRule="exact"/>
              <w:jc w:val="center"/>
            </w:pPr>
            <w:r>
              <w:rPr>
                <w:rFonts w:hint="eastAsia"/>
              </w:rPr>
              <w:t>私营企业的</w:t>
            </w:r>
          </w:p>
          <w:p w:rsidR="00000000" w:rsidRDefault="00000000">
            <w:pPr>
              <w:spacing w:line="360" w:lineRule="exact"/>
              <w:jc w:val="center"/>
            </w:pPr>
            <w:r>
              <w:rPr>
                <w:rFonts w:hint="eastAsia"/>
              </w:rPr>
              <w:t>妇女</w:t>
            </w:r>
          </w:p>
        </w:tc>
      </w:tr>
      <w:tr w:rsidR="00000000">
        <w:tblPrEx>
          <w:tblCellMar>
            <w:top w:w="0" w:type="dxa"/>
            <w:bottom w:w="0" w:type="dxa"/>
          </w:tblCellMar>
        </w:tblPrEx>
        <w:tc>
          <w:tcPr>
            <w:tcW w:w="2176" w:type="dxa"/>
          </w:tcPr>
          <w:p w:rsidR="00000000" w:rsidRDefault="00000000">
            <w:pPr>
              <w:spacing w:line="360" w:lineRule="exact"/>
            </w:pPr>
            <w:r>
              <w:t>1996</w:t>
            </w:r>
            <w:r>
              <w:rPr>
                <w:rFonts w:hint="eastAsia"/>
              </w:rPr>
              <w:t>年</w:t>
            </w:r>
          </w:p>
        </w:tc>
        <w:tc>
          <w:tcPr>
            <w:tcW w:w="2176" w:type="dxa"/>
            <w:tcBorders>
              <w:left w:val="single" w:sz="6" w:space="0" w:color="auto"/>
            </w:tcBorders>
          </w:tcPr>
          <w:p w:rsidR="00000000" w:rsidRDefault="00000000">
            <w:pPr>
              <w:spacing w:line="360" w:lineRule="exact"/>
              <w:jc w:val="center"/>
            </w:pPr>
            <w:r>
              <w:t>86.3</w:t>
            </w:r>
          </w:p>
        </w:tc>
        <w:tc>
          <w:tcPr>
            <w:tcW w:w="2176" w:type="dxa"/>
            <w:tcBorders>
              <w:left w:val="single" w:sz="6" w:space="0" w:color="auto"/>
            </w:tcBorders>
          </w:tcPr>
          <w:p w:rsidR="00000000" w:rsidRDefault="00000000">
            <w:pPr>
              <w:spacing w:line="360" w:lineRule="exact"/>
              <w:jc w:val="center"/>
            </w:pPr>
            <w:r>
              <w:t>88.7</w:t>
            </w:r>
          </w:p>
        </w:tc>
        <w:tc>
          <w:tcPr>
            <w:tcW w:w="3340" w:type="dxa"/>
            <w:tcBorders>
              <w:left w:val="single" w:sz="6" w:space="0" w:color="auto"/>
            </w:tcBorders>
          </w:tcPr>
          <w:p w:rsidR="00000000" w:rsidRDefault="00000000">
            <w:pPr>
              <w:spacing w:line="360" w:lineRule="exact"/>
              <w:jc w:val="center"/>
            </w:pPr>
            <w:r>
              <w:t>76.4</w:t>
            </w:r>
          </w:p>
        </w:tc>
      </w:tr>
    </w:tbl>
    <w:p w:rsidR="00000000" w:rsidRDefault="00000000">
      <w:pPr>
        <w:spacing w:after="240" w:line="360" w:lineRule="exact"/>
        <w:ind w:firstLine="425"/>
      </w:pPr>
      <w:r>
        <w:rPr>
          <w:rFonts w:hint="eastAsia"/>
        </w:rPr>
        <w:t>资料来源：</w:t>
      </w:r>
      <w:r>
        <w:t>1998</w:t>
      </w:r>
      <w:r>
        <w:rPr>
          <w:rFonts w:hint="eastAsia"/>
        </w:rPr>
        <w:t>年年度报告，丹麦平等地位委员会。</w:t>
      </w:r>
    </w:p>
    <w:p w:rsidR="00000000" w:rsidRDefault="00000000">
      <w:pPr>
        <w:spacing w:after="240" w:line="360" w:lineRule="exact"/>
        <w:ind w:firstLine="425"/>
      </w:pPr>
      <w:r>
        <w:rPr>
          <w:rFonts w:hint="eastAsia"/>
        </w:rPr>
        <w:t>尽管有《男女平等报酬法》（其生效已达</w:t>
      </w:r>
      <w:r>
        <w:t>23</w:t>
      </w:r>
      <w:r>
        <w:rPr>
          <w:rFonts w:hint="eastAsia"/>
        </w:rPr>
        <w:t>年之久），有</w:t>
      </w:r>
      <w:r>
        <w:t>29</w:t>
      </w:r>
      <w:r>
        <w:rPr>
          <w:rFonts w:hint="eastAsia"/>
        </w:rPr>
        <w:t>起平等报酬案件提交给丹麦法院，多年来对平等报酬政策有明确承诺以及有许多平等报酬的项目，但在妇女和男子的工资和薪资方面仍存在重大的差异。</w:t>
      </w:r>
    </w:p>
    <w:p w:rsidR="00000000" w:rsidRDefault="00000000">
      <w:pPr>
        <w:spacing w:after="240" w:line="360" w:lineRule="exact"/>
        <w:ind w:firstLine="425"/>
      </w:pPr>
      <w:r>
        <w:t>1999</w:t>
      </w:r>
      <w:r>
        <w:rPr>
          <w:rFonts w:hint="eastAsia"/>
        </w:rPr>
        <w:t>年秋，劳工部安排了关于平等报酬的三次会议，以便重点解决工资差别的原因，并且就有关消除工资差别需要采取的措施与社会合作伙伴展开对话。这三次会议的主题是：“性别分割的劳动力市场造成工资差距”，“报酬和专业声望”以及“不按性别付酬的系统”。这些会议使人们对制定工资所涉机制加深了认识，它们为劳工部今后缩小工资差距的工作打下良好的基础。此外，劳工部创办了两个关于平等报酬的项目。</w:t>
      </w:r>
    </w:p>
    <w:p w:rsidR="00000000" w:rsidRDefault="00000000">
      <w:pPr>
        <w:spacing w:after="240" w:line="360" w:lineRule="exact"/>
        <w:ind w:firstLine="425"/>
      </w:pPr>
      <w:r>
        <w:rPr>
          <w:rFonts w:hint="eastAsia"/>
        </w:rPr>
        <w:t>社会研究所将完成一个关于平等报酬的统计数据的项目。从长远的观点来看，该项目的成果将奠定统计基础，以便有可能对实际工资进行比较。在关于薪资和工资的统计数据改变之前是不可能这样做的。今后，将把可靠的数字列入统计数据，并按期进行比较。</w:t>
      </w:r>
    </w:p>
    <w:p w:rsidR="00000000" w:rsidRDefault="00000000">
      <w:pPr>
        <w:spacing w:after="240" w:line="360" w:lineRule="exact"/>
        <w:ind w:firstLine="425"/>
      </w:pPr>
      <w:r>
        <w:rPr>
          <w:rFonts w:hint="eastAsia"/>
        </w:rPr>
        <w:t>新的报酬系统使监察其对报酬差距的影响变得十分重要。这就是必须控制这些系统、工资的级别以及工资的范围的原因，以查明如何影响报酬差距。</w:t>
      </w:r>
    </w:p>
    <w:p w:rsidR="00000000" w:rsidRDefault="00000000">
      <w:pPr>
        <w:spacing w:after="240" w:line="360" w:lineRule="exact"/>
        <w:jc w:val="center"/>
        <w:rPr>
          <w:rFonts w:eastAsia="SimHei"/>
        </w:rPr>
      </w:pPr>
      <w:r>
        <w:rPr>
          <w:rFonts w:eastAsia="SimHei" w:hint="eastAsia"/>
        </w:rPr>
        <w:t>养恤金</w:t>
      </w:r>
    </w:p>
    <w:p w:rsidR="00000000" w:rsidRDefault="00000000">
      <w:pPr>
        <w:spacing w:after="240" w:line="360" w:lineRule="exact"/>
        <w:ind w:firstLine="425"/>
      </w:pPr>
      <w:r>
        <w:rPr>
          <w:rFonts w:hint="eastAsia"/>
        </w:rPr>
        <w:t>自从上次报告以来，开展了不少关于养恤金方面的性别歧视的倡议和辩论。一般说来，很难改变计算养恤金的实际依据。一个主要问题是，两种性别在预期寿命和病残之间普遍存在某些基于性别的差异。这使我们难以为妇女和男子提出共同的养恤金方案。而且，妇女往往意识不到其权利，对其地位的了解也总是不太充分。</w:t>
      </w:r>
    </w:p>
    <w:p w:rsidR="00000000" w:rsidRDefault="00000000">
      <w:pPr>
        <w:spacing w:after="240" w:line="360" w:lineRule="exact"/>
        <w:ind w:firstLine="425"/>
      </w:pPr>
      <w:r>
        <w:t>1998</w:t>
      </w:r>
      <w:r>
        <w:rPr>
          <w:rFonts w:hint="eastAsia"/>
        </w:rPr>
        <w:t>年春，劳工部发表了一份关于养恤金的报告。该报告审查了有关由性别决定的养恤金的覆盖面问题。该报告的一项结论是，妇女占集体养恤金安排的成员总数的一半，是当今养恤金覆盖面的主要组成部分。以前，男子既参加覆盖范围最大的养恤金，也参加覆盖范围最小的养恤金。而一般来说，妇女更悠久的传统是在集体养恤金安排中储蓄。然而，报告另一结论说，在改进男子的养恤金覆盖范围的同时，妇女和男子的养恤金存款额之间现有的不平等现象今后还将扩大。</w:t>
      </w:r>
    </w:p>
    <w:p w:rsidR="00000000" w:rsidRDefault="00000000">
      <w:pPr>
        <w:spacing w:after="240" w:line="360" w:lineRule="exact"/>
        <w:ind w:firstLine="425"/>
      </w:pPr>
      <w:r>
        <w:t>1998</w:t>
      </w:r>
      <w:r>
        <w:rPr>
          <w:rFonts w:hint="eastAsia"/>
        </w:rPr>
        <w:t>年春，平等地位委员会发表了一份关于妇女和男子的职业养恤金状况的白皮书。该报告在媒体和各种保险公司引起相当激烈的辩论。现在仍在继续审查这一题目。</w:t>
      </w:r>
    </w:p>
    <w:p w:rsidR="00000000" w:rsidRDefault="00000000">
      <w:pPr>
        <w:spacing w:after="240" w:line="360" w:lineRule="exact"/>
        <w:ind w:firstLine="425"/>
      </w:pPr>
      <w:r>
        <w:t>1998</w:t>
      </w:r>
      <w:r>
        <w:rPr>
          <w:rFonts w:hint="eastAsia"/>
        </w:rPr>
        <w:t>年，经济事务部长就有关妇女和男子在职业养恤金方案中的平等待遇的立法征得了议会的同意。该提案采用“普通性别”作为计算</w:t>
      </w:r>
      <w:r>
        <w:t>1999</w:t>
      </w:r>
      <w:r>
        <w:rPr>
          <w:rFonts w:hint="eastAsia"/>
        </w:rPr>
        <w:t>年</w:t>
      </w:r>
      <w:r>
        <w:t>7</w:t>
      </w:r>
      <w:r>
        <w:rPr>
          <w:rFonts w:hint="eastAsia"/>
        </w:rPr>
        <w:t>月</w:t>
      </w:r>
      <w:r>
        <w:t>1</w:t>
      </w:r>
      <w:r>
        <w:rPr>
          <w:rFonts w:hint="eastAsia"/>
        </w:rPr>
        <w:t>日以后的新成员养恤金的精算依据。以前，向妇女支付的养恤金较低，因为她们的预期寿命较长。对于在新立法生效之后接纳养恤基金接纳的人来说，此种不平等现象得到了纠正。由于该法只涉及养恤金方案的一些新成员，因此，直至</w:t>
      </w:r>
      <w:r>
        <w:t>2040</w:t>
      </w:r>
      <w:r>
        <w:rPr>
          <w:rFonts w:hint="eastAsia"/>
        </w:rPr>
        <w:t>年它才能完全适作。</w:t>
      </w:r>
    </w:p>
    <w:p w:rsidR="00000000" w:rsidRDefault="00000000">
      <w:pPr>
        <w:spacing w:after="240" w:line="360" w:lineRule="exact"/>
        <w:jc w:val="center"/>
        <w:rPr>
          <w:rFonts w:eastAsia="SimHei"/>
        </w:rPr>
      </w:pPr>
      <w:r>
        <w:rPr>
          <w:rFonts w:eastAsia="SimHei" w:hint="eastAsia"/>
        </w:rPr>
        <w:t>平等待遇</w:t>
      </w:r>
    </w:p>
    <w:p w:rsidR="00000000" w:rsidRDefault="00000000">
      <w:pPr>
        <w:spacing w:after="240" w:line="360" w:lineRule="exact"/>
        <w:rPr>
          <w:rFonts w:eastAsia="SimHei"/>
        </w:rPr>
      </w:pPr>
      <w:r>
        <w:rPr>
          <w:rFonts w:eastAsia="SimHei" w:hint="eastAsia"/>
        </w:rPr>
        <w:t>经修正的《男女平等待遇法》</w:t>
      </w:r>
    </w:p>
    <w:p w:rsidR="00000000" w:rsidRDefault="00000000">
      <w:pPr>
        <w:spacing w:after="240" w:line="360" w:lineRule="exact"/>
        <w:ind w:firstLine="425"/>
      </w:pPr>
      <w:r>
        <w:rPr>
          <w:rFonts w:hint="eastAsia"/>
        </w:rPr>
        <w:t>《男女平等待遇法》载明，男女在聘用、调动和提升方面应享有平等待遇。男女有权获得平等的工作条件和获得职业培训和继续培训的平等机会。如果雇主不能履行提供平等待遇的义务，雇员则可得到补偿。</w:t>
      </w:r>
    </w:p>
    <w:p w:rsidR="00000000" w:rsidRDefault="00000000">
      <w:pPr>
        <w:spacing w:after="240" w:line="360" w:lineRule="exact"/>
        <w:ind w:firstLine="425"/>
      </w:pPr>
      <w:r>
        <w:t>1989</w:t>
      </w:r>
      <w:r>
        <w:rPr>
          <w:rFonts w:hint="eastAsia"/>
        </w:rPr>
        <w:t>年，《产假法》等被列入《关于就业和产假等的平等待遇法》。</w:t>
      </w:r>
      <w:r>
        <w:t>1970</w:t>
      </w:r>
      <w:r>
        <w:rPr>
          <w:rFonts w:hint="eastAsia"/>
        </w:rPr>
        <w:t>年，议会通过了《在生病或怀孕期间领取每日现金津贴和男女在就业和产假等方面的平等待遇法》。此新法令对上述法令进行了修正。新法令从</w:t>
      </w:r>
      <w:r>
        <w:t>1998</w:t>
      </w:r>
      <w:r>
        <w:rPr>
          <w:rFonts w:hint="eastAsia"/>
        </w:rPr>
        <w:t>年</w:t>
      </w:r>
      <w:r>
        <w:t>4</w:t>
      </w:r>
      <w:r>
        <w:rPr>
          <w:rFonts w:hint="eastAsia"/>
        </w:rPr>
        <w:t>月</w:t>
      </w:r>
      <w:r>
        <w:t>1</w:t>
      </w:r>
      <w:r>
        <w:rPr>
          <w:rFonts w:hint="eastAsia"/>
        </w:rPr>
        <w:t>日生效，修正案将产假从</w:t>
      </w:r>
      <w:r>
        <w:t>24</w:t>
      </w:r>
      <w:r>
        <w:rPr>
          <w:rFonts w:hint="eastAsia"/>
        </w:rPr>
        <w:t>周延长到</w:t>
      </w:r>
      <w:r>
        <w:t>26</w:t>
      </w:r>
      <w:r>
        <w:rPr>
          <w:rFonts w:hint="eastAsia"/>
        </w:rPr>
        <w:t>周。</w:t>
      </w:r>
    </w:p>
    <w:p w:rsidR="00000000" w:rsidRDefault="00000000">
      <w:pPr>
        <w:spacing w:after="240" w:line="360" w:lineRule="exact"/>
        <w:ind w:firstLine="425"/>
      </w:pPr>
      <w:r>
        <w:rPr>
          <w:rFonts w:hint="eastAsia"/>
        </w:rPr>
        <w:t>同时，在孩子出生或领养后，父亲获得在第</w:t>
      </w:r>
      <w:r>
        <w:t>25</w:t>
      </w:r>
      <w:r>
        <w:rPr>
          <w:rFonts w:hint="eastAsia"/>
        </w:rPr>
        <w:t>周和</w:t>
      </w:r>
      <w:r>
        <w:t>26</w:t>
      </w:r>
      <w:r>
        <w:rPr>
          <w:rFonts w:hint="eastAsia"/>
        </w:rPr>
        <w:t>周休两周父亲假的权利。只有父亲可享有此种权利。</w:t>
      </w:r>
    </w:p>
    <w:p w:rsidR="00000000" w:rsidRDefault="00000000">
      <w:pPr>
        <w:spacing w:after="240" w:line="360" w:lineRule="exact"/>
        <w:ind w:firstLine="425"/>
      </w:pPr>
      <w:r>
        <w:rPr>
          <w:rFonts w:hint="eastAsia"/>
        </w:rPr>
        <w:t>应把新的父亲假视为第一步，它增加父亲参加育儿和休假的机会，而且也为父母亲与儿童的团聚创造了更好的条件。</w:t>
      </w:r>
      <w:r>
        <w:t>1999</w:t>
      </w:r>
      <w:r>
        <w:rPr>
          <w:rFonts w:hint="eastAsia"/>
        </w:rPr>
        <w:t>年第三季度中，有</w:t>
      </w:r>
      <w:r>
        <w:t>19%</w:t>
      </w:r>
      <w:r>
        <w:rPr>
          <w:rFonts w:hint="eastAsia"/>
        </w:rPr>
        <w:t>的男子在孩子出生或领养后的第</w:t>
      </w:r>
      <w:r>
        <w:t>25</w:t>
      </w:r>
      <w:r>
        <w:rPr>
          <w:rFonts w:hint="eastAsia"/>
        </w:rPr>
        <w:t>周和</w:t>
      </w:r>
      <w:r>
        <w:t>26</w:t>
      </w:r>
      <w:r>
        <w:rPr>
          <w:rFonts w:hint="eastAsia"/>
        </w:rPr>
        <w:t>周享受其休父亲假的新权利——自该法生效以来，这一数字有所增加。</w:t>
      </w:r>
    </w:p>
    <w:p w:rsidR="00000000" w:rsidRDefault="00000000">
      <w:pPr>
        <w:spacing w:after="240" w:line="360" w:lineRule="exact"/>
        <w:rPr>
          <w:rFonts w:eastAsia="SimHei"/>
        </w:rPr>
      </w:pPr>
      <w:r>
        <w:rPr>
          <w:rFonts w:eastAsia="SimHei" w:hint="eastAsia"/>
        </w:rPr>
        <w:t>不同的休假方式</w:t>
      </w:r>
    </w:p>
    <w:p w:rsidR="00000000" w:rsidRDefault="00000000">
      <w:pPr>
        <w:spacing w:after="240" w:line="360" w:lineRule="exact"/>
        <w:ind w:firstLine="425"/>
      </w:pPr>
      <w:r>
        <w:t>1976</w:t>
      </w:r>
      <w:r>
        <w:rPr>
          <w:rFonts w:hint="eastAsia"/>
        </w:rPr>
        <w:t>年至</w:t>
      </w:r>
      <w:r>
        <w:t>1997</w:t>
      </w:r>
      <w:r>
        <w:rPr>
          <w:rFonts w:hint="eastAsia"/>
        </w:rPr>
        <w:t>年期间制定的立法使雇员有可能以不同的方式休假，并享有完全或部分领取每日现金津贴的权利。该法包括关于下述问题的条款：</w:t>
      </w:r>
    </w:p>
    <w:p w:rsidR="00000000" w:rsidRDefault="00000000">
      <w:pPr>
        <w:spacing w:after="240" w:line="360" w:lineRule="exact"/>
        <w:ind w:firstLine="425"/>
      </w:pPr>
      <w:r>
        <w:rPr>
          <w:rFonts w:hint="eastAsia"/>
        </w:rPr>
        <w:t>怀孕和产假：女雇员在产前约</w:t>
      </w:r>
      <w:r>
        <w:t>4</w:t>
      </w:r>
      <w:r>
        <w:rPr>
          <w:rFonts w:hint="eastAsia"/>
        </w:rPr>
        <w:t>周之日起有权因怀孕或生产离岗。孩子出生后，父母亲可有权休假总计</w:t>
      </w:r>
      <w:r>
        <w:t>24</w:t>
      </w:r>
      <w:r>
        <w:rPr>
          <w:rFonts w:hint="eastAsia"/>
        </w:rPr>
        <w:t>周。其中，在孩子出生第</w:t>
      </w:r>
      <w:r>
        <w:t>14</w:t>
      </w:r>
      <w:r>
        <w:rPr>
          <w:rFonts w:hint="eastAsia"/>
        </w:rPr>
        <w:t>周后父亲可以休长达</w:t>
      </w:r>
      <w:r>
        <w:t>10</w:t>
      </w:r>
      <w:r>
        <w:rPr>
          <w:rFonts w:hint="eastAsia"/>
        </w:rPr>
        <w:t>周的假期。一次只准许父母亲中一人享受休假的权利。</w:t>
      </w:r>
    </w:p>
    <w:p w:rsidR="00000000" w:rsidRDefault="00000000">
      <w:pPr>
        <w:spacing w:after="240" w:line="360" w:lineRule="exact"/>
        <w:ind w:firstLine="425"/>
      </w:pPr>
      <w:r>
        <w:rPr>
          <w:rFonts w:hint="eastAsia"/>
        </w:rPr>
        <w:t>陪产假：孩子的父亲应有权利在孩子出生或在家收养孩子之后休假两周或根据与雇主的协议在孩子出生后的第一个</w:t>
      </w:r>
      <w:r>
        <w:t>14</w:t>
      </w:r>
      <w:r>
        <w:rPr>
          <w:rFonts w:hint="eastAsia"/>
        </w:rPr>
        <w:t>周内休假两周。而且，父亲有权在孩子出生或收养的第</w:t>
      </w:r>
      <w:r>
        <w:t>25</w:t>
      </w:r>
      <w:r>
        <w:rPr>
          <w:rFonts w:hint="eastAsia"/>
        </w:rPr>
        <w:t>周和</w:t>
      </w:r>
      <w:r>
        <w:t>26</w:t>
      </w:r>
      <w:r>
        <w:rPr>
          <w:rFonts w:hint="eastAsia"/>
        </w:rPr>
        <w:t>周内休假两周。</w:t>
      </w:r>
    </w:p>
    <w:p w:rsidR="00000000" w:rsidRDefault="00000000">
      <w:pPr>
        <w:spacing w:after="240" w:line="360" w:lineRule="exact"/>
        <w:ind w:firstLine="425"/>
      </w:pPr>
      <w:r>
        <w:rPr>
          <w:rFonts w:hint="eastAsia"/>
        </w:rPr>
        <w:t>父母亲假的展期：在职雇员有权在不间断的至少</w:t>
      </w:r>
      <w:r>
        <w:t>8</w:t>
      </w:r>
      <w:r>
        <w:rPr>
          <w:rFonts w:hint="eastAsia"/>
        </w:rPr>
        <w:t>周至多</w:t>
      </w:r>
      <w:r>
        <w:t>13</w:t>
      </w:r>
      <w:r>
        <w:rPr>
          <w:rFonts w:hint="eastAsia"/>
        </w:rPr>
        <w:t>周的时期内离岗去照顾其子女。不过，人们有权休假至少</w:t>
      </w:r>
      <w:r>
        <w:t>8</w:t>
      </w:r>
      <w:r>
        <w:rPr>
          <w:rFonts w:hint="eastAsia"/>
        </w:rPr>
        <w:t>周和至多</w:t>
      </w:r>
      <w:r>
        <w:t>26</w:t>
      </w:r>
      <w:r>
        <w:rPr>
          <w:rFonts w:hint="eastAsia"/>
        </w:rPr>
        <w:t>周，如果休假开始时，孩子尚不满</w:t>
      </w:r>
      <w:r>
        <w:t>1</w:t>
      </w:r>
      <w:r>
        <w:rPr>
          <w:rFonts w:hint="eastAsia"/>
        </w:rPr>
        <w:t>岁的话。</w:t>
      </w:r>
    </w:p>
    <w:p w:rsidR="00000000" w:rsidRDefault="00000000">
      <w:pPr>
        <w:spacing w:after="240" w:line="360" w:lineRule="exact"/>
        <w:ind w:firstLine="425"/>
      </w:pPr>
      <w:r>
        <w:rPr>
          <w:rFonts w:hint="eastAsia"/>
        </w:rPr>
        <w:t>休假方案的享用因时间不同而差异很大，大多数取决于经济补偿数额的多少。假期补偿是最高失业救济金的</w:t>
      </w:r>
      <w:r>
        <w:t>80%</w:t>
      </w:r>
      <w:r>
        <w:rPr>
          <w:rFonts w:hint="eastAsia"/>
        </w:rPr>
        <w:t>。该比率后来改为</w:t>
      </w:r>
      <w:r>
        <w:t>70%</w:t>
      </w:r>
      <w:r>
        <w:rPr>
          <w:rFonts w:hint="eastAsia"/>
        </w:rPr>
        <w:t>。现在的比率是失业救济金的</w:t>
      </w:r>
      <w:r>
        <w:t>60%</w:t>
      </w:r>
      <w:r>
        <w:rPr>
          <w:rFonts w:hint="eastAsia"/>
        </w:rPr>
        <w:t>。对所有方式的休假方案的利用率在</w:t>
      </w:r>
      <w:r>
        <w:t>1995</w:t>
      </w:r>
      <w:r>
        <w:rPr>
          <w:rFonts w:hint="eastAsia"/>
        </w:rPr>
        <w:t>年达到最高峰；并自此以后下降。</w:t>
      </w:r>
      <w:r>
        <w:t>1998</w:t>
      </w:r>
      <w:r>
        <w:rPr>
          <w:rFonts w:hint="eastAsia"/>
        </w:rPr>
        <w:t>年，享用展期父母假的妇女人数只占</w:t>
      </w:r>
      <w:r>
        <w:t>1995</w:t>
      </w:r>
      <w:r>
        <w:rPr>
          <w:rFonts w:hint="eastAsia"/>
        </w:rPr>
        <w:t>年人数的一半。极少数男子休展期父母假。</w:t>
      </w:r>
      <w:r>
        <w:t>1998</w:t>
      </w:r>
      <w:r>
        <w:rPr>
          <w:rFonts w:hint="eastAsia"/>
        </w:rPr>
        <w:t>年，享用展期父母假的男子人数降至</w:t>
      </w:r>
      <w:r>
        <w:t>1995</w:t>
      </w:r>
      <w:r>
        <w:rPr>
          <w:rFonts w:hint="eastAsia"/>
        </w:rPr>
        <w:t>年使用此种假期的男子人数的半数以下。</w:t>
      </w:r>
    </w:p>
    <w:p w:rsidR="00000000" w:rsidRDefault="00000000">
      <w:pPr>
        <w:spacing w:after="240" w:line="360" w:lineRule="exact"/>
        <w:ind w:firstLine="425"/>
      </w:pPr>
      <w:r>
        <w:rPr>
          <w:rFonts w:hint="eastAsia"/>
        </w:rPr>
        <w:t>怀孕和生产不得构成解雇或对妇女采取歧视待遇的合法理由。这对于享受陪产假的男子同样适用。如果雇员因怀孕或生产而被解雇，则可命令雇主恢复其雇佣关系。不过，作为一种备选办法，雇员可从雇主处获得最长达</w:t>
      </w:r>
      <w:r>
        <w:t>78</w:t>
      </w:r>
      <w:r>
        <w:rPr>
          <w:rFonts w:hint="eastAsia"/>
        </w:rPr>
        <w:t>周的补偿。在关于因怀孕和生产解雇的案例中，改变了由谁承担举证责任的做法。因此，正是雇主必须证明解雇雇员是出于怀孕及生产以外的理由。</w:t>
      </w:r>
    </w:p>
    <w:p w:rsidR="00000000" w:rsidRDefault="00000000">
      <w:pPr>
        <w:spacing w:after="240" w:line="360" w:lineRule="exact"/>
        <w:rPr>
          <w:rFonts w:eastAsia="SimHei"/>
        </w:rPr>
      </w:pPr>
      <w:r>
        <w:rPr>
          <w:rFonts w:eastAsia="SimHei" w:hint="eastAsia"/>
        </w:rPr>
        <w:t>《男女平等待遇法》的例外情况</w:t>
      </w:r>
    </w:p>
    <w:p w:rsidR="00000000" w:rsidRDefault="00000000">
      <w:pPr>
        <w:spacing w:after="240" w:line="360" w:lineRule="exact"/>
        <w:ind w:firstLine="425"/>
      </w:pPr>
      <w:r>
        <w:rPr>
          <w:rFonts w:hint="eastAsia"/>
        </w:rPr>
        <w:t>根据《男妇平等待遇法》，平等地位委员会可准许一些例外情况，以便规定一些与平等待遇细则不符的特殊措施。如果此种措施的目标是促进男女间的平等机会（纠正歧视措施）的话，便可能这样做。</w:t>
      </w:r>
    </w:p>
    <w:p w:rsidR="00000000" w:rsidRDefault="00000000">
      <w:pPr>
        <w:spacing w:after="240" w:line="360" w:lineRule="exact"/>
        <w:ind w:firstLine="425"/>
      </w:pPr>
      <w:r>
        <w:rPr>
          <w:rFonts w:hint="eastAsia"/>
        </w:rPr>
        <w:t>在</w:t>
      </w:r>
      <w:r>
        <w:t>1990—1999</w:t>
      </w:r>
      <w:r>
        <w:rPr>
          <w:rFonts w:hint="eastAsia"/>
        </w:rPr>
        <w:t>年期间，平等地位委员会准许的例外案例总计有</w:t>
      </w:r>
      <w:r>
        <w:t>61</w:t>
      </w:r>
      <w:r>
        <w:rPr>
          <w:rFonts w:hint="eastAsia"/>
        </w:rPr>
        <w:t>起。这些例外案例中有</w:t>
      </w:r>
      <w:r>
        <w:t>26</w:t>
      </w:r>
      <w:r>
        <w:rPr>
          <w:rFonts w:hint="eastAsia"/>
        </w:rPr>
        <w:t>起是针对男子的。例如，准许育儿机构和社会及保健部门登载招聘男子的广告，以及准许确定针对男子的特殊培训措施。有</w:t>
      </w:r>
      <w:r>
        <w:t>6</w:t>
      </w:r>
      <w:r>
        <w:rPr>
          <w:rFonts w:hint="eastAsia"/>
        </w:rPr>
        <w:t>起例外情况未明确针对男性或女性，而是提及针对任职代表不足的性别所采取的措施。</w:t>
      </w:r>
      <w:r>
        <w:t>29</w:t>
      </w:r>
      <w:r>
        <w:rPr>
          <w:rFonts w:hint="eastAsia"/>
        </w:rPr>
        <w:t>起例外情况涉及妇女的优惠待遇，如为招聘妇女担任博士特别职务和适合妇女的课程和研究职务登载广告。</w:t>
      </w:r>
    </w:p>
    <w:p w:rsidR="00000000" w:rsidRDefault="00000000">
      <w:pPr>
        <w:spacing w:after="240" w:line="360" w:lineRule="exact"/>
        <w:ind w:firstLine="425"/>
      </w:pPr>
      <w:r>
        <w:rPr>
          <w:rFonts w:hint="eastAsia"/>
        </w:rPr>
        <w:t>关于性骚扰，妇女的提升、老年妇女以及工作环境诸问题见前期报告。</w:t>
      </w:r>
    </w:p>
    <w:p w:rsidR="00000000" w:rsidRDefault="00000000">
      <w:pPr>
        <w:spacing w:after="240" w:line="360" w:lineRule="exact"/>
        <w:jc w:val="center"/>
        <w:rPr>
          <w:rFonts w:eastAsia="SimHei"/>
        </w:rPr>
      </w:pPr>
      <w:r>
        <w:rPr>
          <w:rFonts w:eastAsia="SimHei" w:hint="eastAsia"/>
        </w:rPr>
        <w:t>协调家庭生活与工作生活</w:t>
      </w:r>
    </w:p>
    <w:p w:rsidR="00000000" w:rsidRDefault="00000000">
      <w:pPr>
        <w:spacing w:after="240" w:line="360" w:lineRule="exact"/>
        <w:ind w:firstLine="425"/>
      </w:pPr>
      <w:r>
        <w:rPr>
          <w:rFonts w:hint="eastAsia"/>
        </w:rPr>
        <w:t>工作生活与家庭生活之间的关系一直是受到关注的领域：</w:t>
      </w:r>
      <w:r>
        <w:t>1998</w:t>
      </w:r>
      <w:r>
        <w:rPr>
          <w:rFonts w:hint="eastAsia"/>
        </w:rPr>
        <w:t>年，通常有子女的妇女的年龄组（</w:t>
      </w:r>
      <w:r>
        <w:t>20</w:t>
      </w:r>
      <w:r>
        <w:rPr>
          <w:rFonts w:hint="eastAsia"/>
        </w:rPr>
        <w:t>至</w:t>
      </w:r>
      <w:r>
        <w:t>45</w:t>
      </w:r>
      <w:r>
        <w:rPr>
          <w:rFonts w:hint="eastAsia"/>
        </w:rPr>
        <w:t>岁）的妇女就业率介于</w:t>
      </w:r>
      <w:r>
        <w:t>80%</w:t>
      </w:r>
      <w:r>
        <w:rPr>
          <w:rFonts w:hint="eastAsia"/>
        </w:rPr>
        <w:t>至</w:t>
      </w:r>
      <w:r>
        <w:t>88%</w:t>
      </w:r>
      <w:r>
        <w:rPr>
          <w:rFonts w:hint="eastAsia"/>
        </w:rPr>
        <w:t>之间。</w:t>
      </w:r>
    </w:p>
    <w:p w:rsidR="00000000" w:rsidRDefault="00000000">
      <w:pPr>
        <w:spacing w:after="240" w:line="360" w:lineRule="exact"/>
        <w:ind w:firstLine="425"/>
      </w:pPr>
      <w:r>
        <w:rPr>
          <w:rFonts w:hint="eastAsia"/>
        </w:rPr>
        <w:t>法律规定提供公共日托育儿设施。这些机构由地方当局经管。现在育儿假的规定还有效，近些年来，参加日间托儿所、文娱小组以及学校关爱方案的儿童数目及有关设施的数目都有所增加。</w:t>
      </w:r>
    </w:p>
    <w:p w:rsidR="00000000" w:rsidRDefault="00000000">
      <w:pPr>
        <w:spacing w:after="240" w:line="360" w:lineRule="exact"/>
        <w:ind w:firstLine="425"/>
      </w:pPr>
      <w:r>
        <w:rPr>
          <w:rFonts w:hint="eastAsia"/>
        </w:rPr>
        <w:t>近几年，财政部致力于确定改善工作生活与家庭生活之间的关系的手段。在公务员制度范围内存在一些易于使家庭生活和工作生活相结合的安排，诸如，在产假期间享受全薪，在孩子生病期的第一天呆在家里，享受“护理日”津贴，在家工作等。虽然上述安排对妇女和男子均有效，但主要为妇女所用。在私营部门，可通过集体谈判或个人与雇主签约获得这些权利。</w:t>
      </w:r>
    </w:p>
    <w:p w:rsidR="00000000" w:rsidRDefault="00000000">
      <w:pPr>
        <w:spacing w:after="240" w:line="360" w:lineRule="exact"/>
        <w:ind w:firstLine="425"/>
      </w:pPr>
      <w:r>
        <w:rPr>
          <w:rFonts w:hint="eastAsia"/>
        </w:rPr>
        <w:t>近些年创办了一些关于如何协调工作与家庭生活的项目。从</w:t>
      </w:r>
      <w:r>
        <w:t>1997</w:t>
      </w:r>
      <w:r>
        <w:rPr>
          <w:rFonts w:hint="eastAsia"/>
        </w:rPr>
        <w:t>年起，丹麦妇女工作者联盟利用社会事务部提供的财政支助在</w:t>
      </w:r>
      <w:r>
        <w:t>Union</w:t>
      </w:r>
      <w:r>
        <w:rPr>
          <w:rFonts w:hint="eastAsia"/>
        </w:rPr>
        <w:t>-P</w:t>
      </w:r>
      <w:r>
        <w:t>ak</w:t>
      </w:r>
      <w:r>
        <w:rPr>
          <w:rFonts w:hint="eastAsia"/>
        </w:rPr>
        <w:t>公司开展“更美好生活的时间”的项目。该项目为期</w:t>
      </w:r>
      <w:r>
        <w:t>4</w:t>
      </w:r>
      <w:r>
        <w:rPr>
          <w:rFonts w:hint="eastAsia"/>
        </w:rPr>
        <w:t>个月，准许</w:t>
      </w:r>
      <w:r>
        <w:t>10</w:t>
      </w:r>
      <w:r>
        <w:rPr>
          <w:rFonts w:hint="eastAsia"/>
        </w:rPr>
        <w:t>个有小孩子的女雇员每周工作</w:t>
      </w:r>
      <w:r>
        <w:t>30</w:t>
      </w:r>
      <w:r>
        <w:rPr>
          <w:rFonts w:hint="eastAsia"/>
        </w:rPr>
        <w:t>小时，并享有全薪、弹性时间和另外享有</w:t>
      </w:r>
      <w:r>
        <w:t>80%</w:t>
      </w:r>
      <w:r>
        <w:rPr>
          <w:rFonts w:hint="eastAsia"/>
        </w:rPr>
        <w:t>工资补偿的</w:t>
      </w:r>
      <w:r>
        <w:t>10</w:t>
      </w:r>
      <w:r>
        <w:rPr>
          <w:rFonts w:hint="eastAsia"/>
        </w:rPr>
        <w:t>天休假。在“更美好生活的时间”项目中，雇主估计在此期间生产力略有增加。雇主赞成让工作人员每周工作</w:t>
      </w:r>
      <w:r>
        <w:t>30</w:t>
      </w:r>
      <w:r>
        <w:rPr>
          <w:rFonts w:hint="eastAsia"/>
        </w:rPr>
        <w:t>小时，但不赞成全薪补偿。雇员发现工作同时间缩短大大改善了他们的生活。</w:t>
      </w:r>
    </w:p>
    <w:p w:rsidR="00000000" w:rsidRDefault="00000000">
      <w:pPr>
        <w:spacing w:after="240" w:line="360" w:lineRule="exact"/>
        <w:ind w:firstLine="425"/>
      </w:pPr>
      <w:r>
        <w:rPr>
          <w:rFonts w:hint="eastAsia"/>
        </w:rPr>
        <w:t>平等地位委员会把重点放在男子的作用以及协调工作生活和家庭生活上。例如，委员会就男子享用休假方案、用于分担家务的时间以及男子有关离婚和监护的权利问题开展宣传运动并促进交流。</w:t>
      </w:r>
    </w:p>
    <w:p w:rsidR="00000000" w:rsidRDefault="00000000">
      <w:pPr>
        <w:spacing w:after="240" w:line="360" w:lineRule="exact"/>
        <w:ind w:firstLine="425"/>
      </w:pPr>
      <w:r>
        <w:rPr>
          <w:rFonts w:hint="eastAsia"/>
        </w:rPr>
        <w:t>如前期报告所述，希望在工作生活中休息一段时间以照顾家庭的雇员有可能享有展期的育儿假。</w:t>
      </w:r>
      <w:r>
        <w:t>1995</w:t>
      </w:r>
      <w:r>
        <w:rPr>
          <w:rFonts w:hint="eastAsia"/>
        </w:rPr>
        <w:t>年，男子在获准享受展期育儿假者只占</w:t>
      </w:r>
      <w:r>
        <w:t>10%</w:t>
      </w:r>
      <w:r>
        <w:rPr>
          <w:rFonts w:hint="eastAsia"/>
        </w:rPr>
        <w:t>。为此，平等地位委员会在</w:t>
      </w:r>
      <w:r>
        <w:rPr>
          <w:rFonts w:hint="eastAsia"/>
        </w:rPr>
        <w:t>1995</w:t>
      </w:r>
      <w:r>
        <w:rPr>
          <w:rFonts w:hint="eastAsia"/>
        </w:rPr>
        <w:t>年开展一项运动。</w:t>
      </w:r>
      <w:r>
        <w:t>1997</w:t>
      </w:r>
      <w:r>
        <w:rPr>
          <w:rFonts w:hint="eastAsia"/>
        </w:rPr>
        <w:t>年，平等地位委员会出版了“休假的父亲”的小册子。该小册子评价了这一运动并介绍了所有北欧国家的休假方案。令人遗憾的是，人们几乎是无动于衷。对于为何只有极少数男子选择享用展期育儿假，据说有三大主要障碍：</w:t>
      </w:r>
      <w:r>
        <w:t>1</w:t>
      </w:r>
      <w:r>
        <w:rPr>
          <w:rFonts w:hint="eastAsia"/>
        </w:rPr>
        <w:t>）经济补偿不够多；</w:t>
      </w:r>
      <w:r>
        <w:t>2</w:t>
      </w:r>
      <w:r>
        <w:rPr>
          <w:rFonts w:hint="eastAsia"/>
        </w:rPr>
        <w:t>）假期不够灵活；</w:t>
      </w:r>
      <w:r>
        <w:t>3</w:t>
      </w:r>
      <w:r>
        <w:rPr>
          <w:rFonts w:hint="eastAsia"/>
        </w:rPr>
        <w:t>）观念与传统问题。委员会继续强调下述问题的重要性：采取更灵活的休假方案、改变观念以及在工作场所更加易于把工作与家庭生活结合起来。</w:t>
      </w:r>
      <w:r>
        <w:t>1999</w:t>
      </w:r>
      <w:r>
        <w:rPr>
          <w:rFonts w:hint="eastAsia"/>
        </w:rPr>
        <w:t>年</w:t>
      </w:r>
      <w:r>
        <w:t>11</w:t>
      </w:r>
      <w:r>
        <w:rPr>
          <w:rFonts w:hint="eastAsia"/>
        </w:rPr>
        <w:t>月，平等地位委员会发表了题为“各行其是的男子”一书，拟将用于辩论。</w:t>
      </w:r>
    </w:p>
    <w:p w:rsidR="00000000" w:rsidRDefault="00000000">
      <w:pPr>
        <w:spacing w:after="240" w:line="360" w:lineRule="exact"/>
        <w:ind w:firstLine="425"/>
      </w:pPr>
      <w:r>
        <w:t>2000</w:t>
      </w:r>
      <w:r>
        <w:rPr>
          <w:rFonts w:hint="eastAsia"/>
        </w:rPr>
        <w:t>年</w:t>
      </w:r>
      <w:r>
        <w:t>1</w:t>
      </w:r>
      <w:r>
        <w:rPr>
          <w:rFonts w:hint="eastAsia"/>
        </w:rPr>
        <w:t>月通过了一项关于展期育儿假的新法令。其目标是更具灵活性。该法建议父母亲可享有为期</w:t>
      </w:r>
      <w:r>
        <w:t>8</w:t>
      </w:r>
      <w:r>
        <w:rPr>
          <w:rFonts w:hint="eastAsia"/>
        </w:rPr>
        <w:t>周（不是</w:t>
      </w:r>
      <w:r>
        <w:t>13</w:t>
      </w:r>
      <w:r>
        <w:rPr>
          <w:rFonts w:hint="eastAsia"/>
        </w:rPr>
        <w:t>周）的假期。最后两周应用于使孩子熟悉育儿机构的环境。有残疾儿童的父母应享有特殊条件。</w:t>
      </w:r>
    </w:p>
    <w:p w:rsidR="00000000" w:rsidRDefault="00000000">
      <w:pPr>
        <w:spacing w:after="240" w:line="360" w:lineRule="exact"/>
        <w:jc w:val="center"/>
        <w:rPr>
          <w:rFonts w:eastAsia="SimHei"/>
        </w:rPr>
      </w:pPr>
      <w:r>
        <w:rPr>
          <w:rFonts w:eastAsia="SimHei"/>
        </w:rPr>
        <w:br w:type="page"/>
      </w:r>
      <w:r>
        <w:rPr>
          <w:rFonts w:eastAsia="SimHei" w:hint="eastAsia"/>
        </w:rPr>
        <w:t>社会支助服务</w:t>
      </w:r>
    </w:p>
    <w:p w:rsidR="00000000" w:rsidRDefault="00000000">
      <w:pPr>
        <w:spacing w:after="240" w:line="360" w:lineRule="exact"/>
        <w:ind w:firstLine="425"/>
      </w:pPr>
      <w:r>
        <w:rPr>
          <w:rFonts w:hint="eastAsia"/>
        </w:rPr>
        <w:t>日托设施以及孩子生病情况在上期报告中介绍。</w:t>
      </w:r>
    </w:p>
    <w:p w:rsidR="00000000" w:rsidRDefault="00000000">
      <w:pPr>
        <w:spacing w:after="240" w:line="360" w:lineRule="exact"/>
        <w:ind w:firstLine="425"/>
      </w:pPr>
      <w:r>
        <w:t>1997</w:t>
      </w:r>
      <w:r>
        <w:rPr>
          <w:rFonts w:hint="eastAsia"/>
        </w:rPr>
        <w:t>年</w:t>
      </w:r>
      <w:r>
        <w:t>1</w:t>
      </w:r>
      <w:r>
        <w:rPr>
          <w:rFonts w:hint="eastAsia"/>
        </w:rPr>
        <w:t>月，哥本哈根市设立了“孕期补助基金”，市机关每年支付占其工资预算</w:t>
      </w:r>
      <w:r>
        <w:t>0.7%</w:t>
      </w:r>
      <w:r>
        <w:rPr>
          <w:rFonts w:hint="eastAsia"/>
        </w:rPr>
        <w:t>的款额。对较小的机关来说，支付妇女产假期间离岗费用是一个相当重的经济负担。这一新的怀孕基金的宗旨是使得雇用和提拔女雇员更具吸引力。</w:t>
      </w:r>
    </w:p>
    <w:p w:rsidR="00000000" w:rsidRDefault="00000000">
      <w:pPr>
        <w:spacing w:after="240" w:line="360" w:lineRule="exact"/>
        <w:ind w:firstLine="425"/>
      </w:pPr>
      <w:r>
        <w:t>1999</w:t>
      </w:r>
      <w:r>
        <w:rPr>
          <w:rFonts w:hint="eastAsia"/>
        </w:rPr>
        <w:t>年的《财政法》使国营机构有可能由于为人们休假、生育孩子和领养孩子期间的接替者支付的额外费用而获补偿。</w:t>
      </w:r>
    </w:p>
    <w:p w:rsidR="00000000" w:rsidRDefault="00000000">
      <w:pPr>
        <w:spacing w:after="240" w:line="360" w:lineRule="exact"/>
        <w:ind w:firstLine="425"/>
      </w:pPr>
      <w:r>
        <w:rPr>
          <w:rFonts w:hint="eastAsia"/>
        </w:rPr>
        <w:t>根据欧盟的决定并经平等地位委员会申请，关于雇员的立法被修正并从</w:t>
      </w:r>
      <w:r>
        <w:t>1999</w:t>
      </w:r>
      <w:r>
        <w:rPr>
          <w:rFonts w:hint="eastAsia"/>
        </w:rPr>
        <w:t>年</w:t>
      </w:r>
      <w:r>
        <w:t>4</w:t>
      </w:r>
      <w:r>
        <w:rPr>
          <w:rFonts w:hint="eastAsia"/>
        </w:rPr>
        <w:t>月</w:t>
      </w:r>
      <w:r>
        <w:t>1</w:t>
      </w:r>
      <w:r>
        <w:rPr>
          <w:rFonts w:hint="eastAsia"/>
        </w:rPr>
        <w:t>日起生效。因此，由于怀孕致病而离岗的妇女不再只获得其工资一半，而是全额工资。现在，因怀孕所致疾病离岗的待遇与由于任何其他疾病的待遇相同。</w:t>
      </w:r>
    </w:p>
    <w:p w:rsidR="00000000" w:rsidRDefault="00000000">
      <w:pPr>
        <w:spacing w:after="240" w:line="360" w:lineRule="exact"/>
        <w:ind w:firstLine="425"/>
      </w:pPr>
      <w:r>
        <w:rPr>
          <w:rFonts w:hint="eastAsia"/>
        </w:rPr>
        <w:t>如前期报告所述，人们越来越多地采纳雇主与雇员之间个别议定弹性工作时间的办法，以找到协调工作生活和家庭生活的最佳方式。</w:t>
      </w:r>
      <w:r>
        <w:t>1999</w:t>
      </w:r>
      <w:r>
        <w:rPr>
          <w:rFonts w:hint="eastAsia"/>
        </w:rPr>
        <w:t>年，财政部和雇主组织通过集体谈判过程议定在新协议中列入一项特别条款，其中规定，如果雇主和雇员组织代表同意，可以安排弹性工作时间。这意味着当今大多数部均采用弹性时间的办法，使雇员可以在其自己选择的某段时期内开始和终止工作。</w:t>
      </w:r>
    </w:p>
    <w:p w:rsidR="00000000" w:rsidRDefault="00000000">
      <w:pPr>
        <w:spacing w:after="240" w:line="360" w:lineRule="exact"/>
        <w:ind w:firstLine="425"/>
      </w:pPr>
      <w:r>
        <w:rPr>
          <w:rFonts w:hint="eastAsia"/>
        </w:rPr>
        <w:t>通讯技术的迅速发展提供了安排工作的新方式。现在基于信息技术的工作可在传统工作场所以外的其他地方进行，通常是在雇员的家中完成。近些年来，公共机构和私营企业发起了关于远程工作的一些试验以推动采用弹性工作时间。</w:t>
      </w:r>
    </w:p>
    <w:p w:rsidR="00000000" w:rsidRDefault="00000000">
      <w:pPr>
        <w:spacing w:after="240" w:line="360" w:lineRule="exact"/>
        <w:ind w:firstLine="425"/>
      </w:pPr>
      <w:r>
        <w:rPr>
          <w:rFonts w:hint="eastAsia"/>
        </w:rPr>
        <w:t>财政部和中央各组织达成在丹麦国家实行远程工作的框架协议。一个实验方案于</w:t>
      </w:r>
      <w:r>
        <w:t>1998</w:t>
      </w:r>
      <w:r>
        <w:rPr>
          <w:rFonts w:hint="eastAsia"/>
        </w:rPr>
        <w:t>年</w:t>
      </w:r>
      <w:r>
        <w:t>1</w:t>
      </w:r>
      <w:r>
        <w:rPr>
          <w:rFonts w:hint="eastAsia"/>
        </w:rPr>
        <w:t>月</w:t>
      </w:r>
      <w:r>
        <w:t>1</w:t>
      </w:r>
      <w:r>
        <w:rPr>
          <w:rFonts w:hint="eastAsia"/>
        </w:rPr>
        <w:t>日生效。其目标是促进工作方式的使用，使其作为加强工作安排的灵活性以及加强工作与家庭生活协调的一种手段。此时评价该项实验还为时过早，因为它在</w:t>
      </w:r>
      <w:r>
        <w:t>2001</w:t>
      </w:r>
      <w:r>
        <w:rPr>
          <w:rFonts w:hint="eastAsia"/>
        </w:rPr>
        <w:t>年</w:t>
      </w:r>
      <w:r>
        <w:t>3</w:t>
      </w:r>
      <w:r>
        <w:rPr>
          <w:rFonts w:hint="eastAsia"/>
        </w:rPr>
        <w:t>月之前不会结束。</w:t>
      </w:r>
    </w:p>
    <w:p w:rsidR="00000000" w:rsidRDefault="00000000">
      <w:pPr>
        <w:spacing w:after="240" w:line="360" w:lineRule="exact"/>
        <w:ind w:firstLine="425"/>
      </w:pPr>
      <w:r>
        <w:rPr>
          <w:rFonts w:hint="eastAsia"/>
        </w:rPr>
        <w:t>暂时还得不到关于有多少妇女和男子利用新技术在工作地点以外工作的统计数据。</w:t>
      </w:r>
    </w:p>
    <w:p w:rsidR="00000000" w:rsidRDefault="00000000">
      <w:pPr>
        <w:spacing w:after="240" w:line="360" w:lineRule="exact"/>
        <w:jc w:val="center"/>
        <w:rPr>
          <w:rFonts w:eastAsia="SimHei"/>
          <w:sz w:val="24"/>
        </w:rPr>
      </w:pPr>
      <w:r>
        <w:rPr>
          <w:rFonts w:eastAsia="SimHei"/>
        </w:rPr>
        <w:br w:type="page"/>
      </w:r>
      <w:r>
        <w:rPr>
          <w:rFonts w:eastAsia="SimHei" w:hint="eastAsia"/>
          <w:sz w:val="24"/>
        </w:rPr>
        <w:t>第五章：其他法律和社会努力</w:t>
      </w:r>
    </w:p>
    <w:p w:rsidR="00000000" w:rsidRDefault="00000000">
      <w:pPr>
        <w:spacing w:after="240" w:line="360" w:lineRule="exact"/>
        <w:jc w:val="center"/>
        <w:rPr>
          <w:rFonts w:eastAsia="SimHei"/>
        </w:rPr>
      </w:pPr>
      <w:r>
        <w:rPr>
          <w:rFonts w:eastAsia="SimHei" w:hint="eastAsia"/>
        </w:rPr>
        <w:t>第</w:t>
      </w:r>
      <w:r>
        <w:rPr>
          <w:rFonts w:eastAsia="SimHei"/>
        </w:rPr>
        <w:t>12</w:t>
      </w:r>
      <w:r>
        <w:rPr>
          <w:rFonts w:eastAsia="SimHei" w:hint="eastAsia"/>
        </w:rPr>
        <w:t>条</w:t>
      </w:r>
    </w:p>
    <w:p w:rsidR="00000000" w:rsidRDefault="00000000">
      <w:pPr>
        <w:spacing w:after="240" w:line="360" w:lineRule="exact"/>
        <w:jc w:val="center"/>
        <w:rPr>
          <w:rFonts w:eastAsia="SimHei"/>
        </w:rPr>
      </w:pPr>
      <w:r>
        <w:rPr>
          <w:rFonts w:eastAsia="SimHei" w:hint="eastAsia"/>
        </w:rPr>
        <w:t>保健问题</w:t>
      </w:r>
    </w:p>
    <w:p w:rsidR="00000000" w:rsidRDefault="00000000">
      <w:pPr>
        <w:pStyle w:val="BodyTextIndent"/>
        <w:spacing w:line="360" w:lineRule="exact"/>
      </w:pPr>
      <w:r>
        <w:rPr>
          <w:rFonts w:hint="eastAsia"/>
        </w:rPr>
        <w:t>如前期报告所述，妇女与男子有获得保健服务（包括那些与计划生育相关的保健服务）的平等机会。丹麦政府继续评价与性别相关的保健问题的优先次序和解决妇女的特殊保健问题如乳腺癌的预防方案。关于妇女保健的研究在丹麦受到重视，妇女与男子在同等的基础上被列为研究课题。</w:t>
      </w:r>
    </w:p>
    <w:p w:rsidR="00000000" w:rsidRDefault="00000000">
      <w:pPr>
        <w:spacing w:after="240" w:line="360" w:lineRule="exact"/>
        <w:rPr>
          <w:rFonts w:eastAsia="SimHei"/>
        </w:rPr>
      </w:pPr>
      <w:r>
        <w:rPr>
          <w:rFonts w:eastAsia="SimHei" w:hint="eastAsia"/>
        </w:rPr>
        <w:t>生育率和收养</w:t>
      </w:r>
    </w:p>
    <w:p w:rsidR="00000000" w:rsidRDefault="00000000">
      <w:pPr>
        <w:spacing w:after="240" w:line="360" w:lineRule="exact"/>
        <w:ind w:firstLine="425"/>
      </w:pPr>
      <w:r>
        <w:rPr>
          <w:rFonts w:hint="eastAsia"/>
        </w:rPr>
        <w:t>在</w:t>
      </w:r>
      <w:r>
        <w:t>1980</w:t>
      </w:r>
      <w:r>
        <w:rPr>
          <w:rFonts w:hint="eastAsia"/>
        </w:rPr>
        <w:t>年代中期，妇女的生育率达到最低点（</w:t>
      </w:r>
      <w:r>
        <w:t>1.4</w:t>
      </w:r>
      <w:r>
        <w:rPr>
          <w:rFonts w:hint="eastAsia"/>
        </w:rPr>
        <w:t>）。自那时起一直在提高。</w:t>
      </w:r>
      <w:r>
        <w:t>1997</w:t>
      </w:r>
      <w:r>
        <w:rPr>
          <w:rFonts w:hint="eastAsia"/>
        </w:rPr>
        <w:t>年为</w:t>
      </w:r>
      <w:r>
        <w:t>1.8</w:t>
      </w:r>
      <w:r>
        <w:rPr>
          <w:rFonts w:hint="eastAsia"/>
        </w:rPr>
        <w:t>。同时，随着每个妇女的生育数减少，妇女生育的平均年龄从</w:t>
      </w:r>
      <w:r>
        <w:t>1960</w:t>
      </w:r>
      <w:r>
        <w:rPr>
          <w:rFonts w:hint="eastAsia"/>
        </w:rPr>
        <w:t>年的</w:t>
      </w:r>
      <w:r>
        <w:t>27</w:t>
      </w:r>
      <w:r>
        <w:rPr>
          <w:rFonts w:hint="eastAsia"/>
        </w:rPr>
        <w:t>岁增至</w:t>
      </w:r>
      <w:r>
        <w:t>1997</w:t>
      </w:r>
      <w:r>
        <w:rPr>
          <w:rFonts w:hint="eastAsia"/>
        </w:rPr>
        <w:t>年的</w:t>
      </w:r>
      <w:r>
        <w:t>29.4</w:t>
      </w:r>
      <w:r>
        <w:rPr>
          <w:rFonts w:hint="eastAsia"/>
        </w:rPr>
        <w:t>岁。同期，妇女生育第一个孩子的平均年龄从</w:t>
      </w:r>
      <w:r>
        <w:t>22.5</w:t>
      </w:r>
      <w:r>
        <w:rPr>
          <w:rFonts w:hint="eastAsia"/>
        </w:rPr>
        <w:t>岁增至</w:t>
      </w:r>
      <w:r>
        <w:t>27</w:t>
      </w:r>
      <w:r>
        <w:rPr>
          <w:rFonts w:hint="eastAsia"/>
        </w:rPr>
        <w:t>岁。此种增加是当今更多的妇女故意推迟生育子女而造成的。</w:t>
      </w:r>
    </w:p>
    <w:p w:rsidR="00000000" w:rsidRDefault="00000000">
      <w:pPr>
        <w:spacing w:after="240" w:line="360" w:lineRule="exact"/>
        <w:ind w:firstLine="425"/>
      </w:pPr>
      <w:r>
        <w:rPr>
          <w:rFonts w:hint="eastAsia"/>
        </w:rPr>
        <w:t>目前尚未得到关于生育治疗以及采用医学助产技术的统计数据，但在考虑对所有不孕症的治疗情况进行登记。现在登记的只有“</w:t>
      </w:r>
      <w:r>
        <w:t>IVF”</w:t>
      </w:r>
      <w:r>
        <w:rPr>
          <w:rFonts w:hint="eastAsia"/>
        </w:rPr>
        <w:t>治疗（试管婴儿技术）。</w:t>
      </w:r>
      <w:r>
        <w:t>1994/1995</w:t>
      </w:r>
      <w:r>
        <w:rPr>
          <w:rFonts w:hint="eastAsia"/>
        </w:rPr>
        <w:t>年（最近数据未得到），开始治疗</w:t>
      </w:r>
      <w:r>
        <w:t>9400</w:t>
      </w:r>
      <w:r>
        <w:rPr>
          <w:rFonts w:hint="eastAsia"/>
        </w:rPr>
        <w:t>例。由于这些治疗诞生了</w:t>
      </w:r>
      <w:r>
        <w:t>2200</w:t>
      </w:r>
      <w:r>
        <w:rPr>
          <w:rFonts w:hint="eastAsia"/>
        </w:rPr>
        <w:t>个婴儿。</w:t>
      </w:r>
    </w:p>
    <w:p w:rsidR="00000000" w:rsidRDefault="00000000">
      <w:pPr>
        <w:spacing w:after="240" w:line="360" w:lineRule="exact"/>
        <w:ind w:firstLine="425"/>
      </w:pPr>
      <w:r>
        <w:t>1997</w:t>
      </w:r>
      <w:r>
        <w:rPr>
          <w:rFonts w:hint="eastAsia"/>
        </w:rPr>
        <w:t>年，经认可的领养儿童有</w:t>
      </w:r>
      <w:r>
        <w:t>579</w:t>
      </w:r>
      <w:r>
        <w:rPr>
          <w:rFonts w:hint="eastAsia"/>
        </w:rPr>
        <w:t>个，而</w:t>
      </w:r>
      <w:r>
        <w:t>1994</w:t>
      </w:r>
      <w:r>
        <w:rPr>
          <w:rFonts w:hint="eastAsia"/>
        </w:rPr>
        <w:t>年为</w:t>
      </w:r>
      <w:r>
        <w:t>495</w:t>
      </w:r>
      <w:r>
        <w:rPr>
          <w:rFonts w:hint="eastAsia"/>
        </w:rPr>
        <w:t>个。</w:t>
      </w:r>
    </w:p>
    <w:p w:rsidR="00000000" w:rsidRDefault="00000000">
      <w:pPr>
        <w:spacing w:after="240" w:line="360" w:lineRule="exact"/>
        <w:rPr>
          <w:rFonts w:eastAsia="SimHei"/>
        </w:rPr>
      </w:pPr>
      <w:r>
        <w:rPr>
          <w:rFonts w:eastAsia="SimHei" w:hint="eastAsia"/>
        </w:rPr>
        <w:t>流产</w:t>
      </w:r>
    </w:p>
    <w:p w:rsidR="00000000" w:rsidRDefault="00000000">
      <w:pPr>
        <w:spacing w:after="240" w:line="360" w:lineRule="exact"/>
        <w:ind w:firstLine="425"/>
      </w:pPr>
      <w:r>
        <w:rPr>
          <w:rFonts w:hint="eastAsia"/>
        </w:rPr>
        <w:t>自从</w:t>
      </w:r>
      <w:r>
        <w:t>1988</w:t>
      </w:r>
      <w:r>
        <w:rPr>
          <w:rFonts w:hint="eastAsia"/>
        </w:rPr>
        <w:t>年以来，人工流产所占比例相对减少。</w:t>
      </w:r>
      <w:r>
        <w:t>1996</w:t>
      </w:r>
      <w:r>
        <w:rPr>
          <w:rFonts w:hint="eastAsia"/>
        </w:rPr>
        <w:t>年人工流产占活产儿出生人数的</w:t>
      </w:r>
      <w:r>
        <w:t>26.8%</w:t>
      </w:r>
      <w:r>
        <w:rPr>
          <w:rFonts w:hint="eastAsia"/>
        </w:rPr>
        <w:t>。</w:t>
      </w:r>
    </w:p>
    <w:p w:rsidR="00000000" w:rsidRDefault="00000000">
      <w:pPr>
        <w:spacing w:after="240" w:line="360" w:lineRule="exact"/>
        <w:ind w:firstLine="425"/>
      </w:pPr>
      <w:r>
        <w:t>1998</w:t>
      </w:r>
      <w:r>
        <w:rPr>
          <w:rFonts w:hint="eastAsia"/>
        </w:rPr>
        <w:t>年初，丹麦引进</w:t>
      </w:r>
      <w:r>
        <w:t>RU—486</w:t>
      </w:r>
      <w:r>
        <w:rPr>
          <w:rFonts w:hint="eastAsia"/>
        </w:rPr>
        <w:t>药丸用于怀孕第</w:t>
      </w:r>
      <w:r>
        <w:t>8</w:t>
      </w:r>
      <w:r>
        <w:rPr>
          <w:rFonts w:hint="eastAsia"/>
        </w:rPr>
        <w:t>周和第</w:t>
      </w:r>
      <w:r>
        <w:t>9</w:t>
      </w:r>
      <w:r>
        <w:rPr>
          <w:rFonts w:hint="eastAsia"/>
        </w:rPr>
        <w:t>周之间的流产。现在尚不能在所有医院得到</w:t>
      </w:r>
      <w:r>
        <w:t>RU—486</w:t>
      </w:r>
      <w:r>
        <w:rPr>
          <w:rFonts w:hint="eastAsia"/>
        </w:rPr>
        <w:t>药丸，但预计在</w:t>
      </w:r>
      <w:r>
        <w:t>2000</w:t>
      </w:r>
      <w:r>
        <w:rPr>
          <w:rFonts w:hint="eastAsia"/>
        </w:rPr>
        <w:t>年间将会实现这一点。尚未取得这方面的统计数据和经验。</w:t>
      </w:r>
    </w:p>
    <w:p w:rsidR="00000000" w:rsidRDefault="00000000">
      <w:pPr>
        <w:spacing w:after="240" w:line="360" w:lineRule="exact"/>
        <w:ind w:firstLine="425"/>
      </w:pPr>
      <w:r>
        <w:t>1999</w:t>
      </w:r>
      <w:r>
        <w:rPr>
          <w:rFonts w:hint="eastAsia"/>
        </w:rPr>
        <w:t>年</w:t>
      </w:r>
      <w:r>
        <w:t>10</w:t>
      </w:r>
      <w:r>
        <w:rPr>
          <w:rFonts w:hint="eastAsia"/>
        </w:rPr>
        <w:t>月通过了一个关于流产的新的行动计划以使人工流产的数目减至最少。国家拨款</w:t>
      </w:r>
      <w:r>
        <w:t>2000</w:t>
      </w:r>
      <w:r>
        <w:rPr>
          <w:rFonts w:hint="eastAsia"/>
        </w:rPr>
        <w:t>万丹麦法朗，卫生部长设立了一个专家小组以关注该行动计划的执行。该行动计划是根据现行的在怀孕</w:t>
      </w:r>
      <w:r>
        <w:t>12</w:t>
      </w:r>
      <w:r>
        <w:rPr>
          <w:rFonts w:hint="eastAsia"/>
        </w:rPr>
        <w:t>周结束之前可以自由流产的法律制定的。其目标是增加信息量、提供咨询、交流经验、培训顾问人员和开展研究。拟将采取的全动行动包括：示范项目、全国范围内的电话咨询以及为顾问人员编写的一本手册。将于</w:t>
      </w:r>
      <w:r>
        <w:t>2005</w:t>
      </w:r>
      <w:r>
        <w:rPr>
          <w:rFonts w:hint="eastAsia"/>
        </w:rPr>
        <w:t>年</w:t>
      </w:r>
      <w:r>
        <w:t>1</w:t>
      </w:r>
      <w:r>
        <w:rPr>
          <w:rFonts w:hint="eastAsia"/>
        </w:rPr>
        <w:t>月进行一次评价。</w:t>
      </w:r>
    </w:p>
    <w:p w:rsidR="00000000" w:rsidRDefault="00000000">
      <w:pPr>
        <w:spacing w:after="240" w:line="360" w:lineRule="exact"/>
        <w:rPr>
          <w:rFonts w:eastAsia="SimHei"/>
        </w:rPr>
      </w:pPr>
      <w:r>
        <w:rPr>
          <w:rFonts w:eastAsia="SimHei" w:hint="eastAsia"/>
        </w:rPr>
        <w:t>寿命</w:t>
      </w:r>
    </w:p>
    <w:p w:rsidR="00000000" w:rsidRDefault="00000000">
      <w:pPr>
        <w:spacing w:after="240" w:line="360" w:lineRule="exact"/>
        <w:ind w:firstLine="425"/>
      </w:pPr>
      <w:r>
        <w:rPr>
          <w:rFonts w:hint="eastAsia"/>
        </w:rPr>
        <w:t>在</w:t>
      </w:r>
      <w:r>
        <w:t>1997</w:t>
      </w:r>
      <w:r>
        <w:rPr>
          <w:rFonts w:hint="eastAsia"/>
        </w:rPr>
        <w:t>—</w:t>
      </w:r>
      <w:r>
        <w:t>1998</w:t>
      </w:r>
      <w:r>
        <w:rPr>
          <w:rFonts w:hint="eastAsia"/>
        </w:rPr>
        <w:t>年间，妇女的平均寿命比男子长</w:t>
      </w:r>
      <w:r>
        <w:t>5</w:t>
      </w:r>
      <w:r>
        <w:rPr>
          <w:rFonts w:hint="eastAsia"/>
        </w:rPr>
        <w:t>岁。在</w:t>
      </w:r>
      <w:r>
        <w:t>1980</w:t>
      </w:r>
      <w:r>
        <w:rPr>
          <w:rFonts w:hint="eastAsia"/>
        </w:rPr>
        <w:t>年代，男女之间的寿命差是</w:t>
      </w:r>
      <w:r>
        <w:t>6</w:t>
      </w:r>
      <w:r>
        <w:rPr>
          <w:rFonts w:hint="eastAsia"/>
        </w:rPr>
        <w:t>年。男子寿命较短的原因是，在所有年龄组他们的死亡率都高于平均水平。以后一些年的发展缩短了性别差异，因为男子寿命的延长超过了妇女。</w:t>
      </w:r>
      <w:r>
        <w:t>1997—1998</w:t>
      </w:r>
      <w:r>
        <w:rPr>
          <w:rFonts w:hint="eastAsia"/>
        </w:rPr>
        <w:t>年，妇女的寿命延长至</w:t>
      </w:r>
      <w:r>
        <w:t>78.6</w:t>
      </w:r>
      <w:r>
        <w:rPr>
          <w:rFonts w:hint="eastAsia"/>
        </w:rPr>
        <w:t>岁，而男子则延长至</w:t>
      </w:r>
      <w:r>
        <w:t>73.7</w:t>
      </w:r>
      <w:r>
        <w:rPr>
          <w:rFonts w:hint="eastAsia"/>
        </w:rPr>
        <w:t>岁。</w:t>
      </w:r>
    </w:p>
    <w:p w:rsidR="00000000" w:rsidRDefault="00000000">
      <w:pPr>
        <w:spacing w:after="240" w:line="360" w:lineRule="exact"/>
        <w:ind w:firstLine="425"/>
      </w:pPr>
      <w:r>
        <w:rPr>
          <w:rFonts w:hint="eastAsia"/>
        </w:rPr>
        <w:t>在</w:t>
      </w:r>
      <w:r>
        <w:t>1970</w:t>
      </w:r>
      <w:r>
        <w:rPr>
          <w:rFonts w:hint="eastAsia"/>
        </w:rPr>
        <w:t>年代和</w:t>
      </w:r>
      <w:r>
        <w:t>1980</w:t>
      </w:r>
      <w:r>
        <w:rPr>
          <w:rFonts w:hint="eastAsia"/>
        </w:rPr>
        <w:t>年代，男女的最常见死因是冠心病。现在这种情况已经有改变。死于冠心病的人数正在减少，而死于癌症者持续增加。</w:t>
      </w:r>
      <w:r>
        <w:t>1997</w:t>
      </w:r>
      <w:r>
        <w:rPr>
          <w:rFonts w:hint="eastAsia"/>
        </w:rPr>
        <w:t>年，癌症已成为男女两性的最常见死因，因为所有死亡的</w:t>
      </w:r>
      <w:r>
        <w:t>25.6%</w:t>
      </w:r>
      <w:r>
        <w:rPr>
          <w:rFonts w:hint="eastAsia"/>
        </w:rPr>
        <w:t>是由癌症所致。</w:t>
      </w:r>
    </w:p>
    <w:p w:rsidR="00000000" w:rsidRDefault="00000000">
      <w:pPr>
        <w:spacing w:after="240" w:line="360" w:lineRule="exact"/>
        <w:ind w:firstLine="425"/>
      </w:pPr>
      <w:r>
        <w:rPr>
          <w:rFonts w:hint="eastAsia"/>
        </w:rPr>
        <w:t>丹麦妇女吸烟者很众。自九十年代初期，男女吸烟者的比例几乎持平。</w:t>
      </w:r>
      <w:r>
        <w:t>1994</w:t>
      </w:r>
      <w:r>
        <w:rPr>
          <w:rFonts w:hint="eastAsia"/>
        </w:rPr>
        <w:t>年，</w:t>
      </w:r>
      <w:r>
        <w:t>35%</w:t>
      </w:r>
      <w:r>
        <w:rPr>
          <w:rFonts w:hint="eastAsia"/>
        </w:rPr>
        <w:t>的妇女和</w:t>
      </w:r>
      <w:r>
        <w:t>39%</w:t>
      </w:r>
      <w:r>
        <w:rPr>
          <w:rFonts w:hint="eastAsia"/>
        </w:rPr>
        <w:t>的男子每日吸烟。这个数字一向很稳定，但在九十年代期间开始稳定而缓慢地下降。</w:t>
      </w:r>
      <w:r>
        <w:t>1999</w:t>
      </w:r>
      <w:r>
        <w:rPr>
          <w:rFonts w:hint="eastAsia"/>
        </w:rPr>
        <w:t>年，</w:t>
      </w:r>
      <w:r>
        <w:t>27%</w:t>
      </w:r>
      <w:r>
        <w:rPr>
          <w:rFonts w:hint="eastAsia"/>
        </w:rPr>
        <w:t>的妇女和</w:t>
      </w:r>
      <w:r>
        <w:t>35%</w:t>
      </w:r>
      <w:r>
        <w:rPr>
          <w:rFonts w:hint="eastAsia"/>
        </w:rPr>
        <w:t>的男子声称他们每日吸烟，女性重度吸烟者的数字似乎有所下降。在整个九十年代，约有</w:t>
      </w:r>
      <w:r>
        <w:t>14%</w:t>
      </w:r>
      <w:r>
        <w:rPr>
          <w:rFonts w:hint="eastAsia"/>
        </w:rPr>
        <w:t>的妇女每日吸香烟达</w:t>
      </w:r>
      <w:r>
        <w:t>15</w:t>
      </w:r>
      <w:r>
        <w:rPr>
          <w:rFonts w:hint="eastAsia"/>
        </w:rPr>
        <w:t>支以上。</w:t>
      </w:r>
      <w:r>
        <w:t>1999</w:t>
      </w:r>
      <w:r>
        <w:rPr>
          <w:rFonts w:hint="eastAsia"/>
        </w:rPr>
        <w:t>年，该数字降至</w:t>
      </w:r>
      <w:r>
        <w:t>12%</w:t>
      </w:r>
      <w:r>
        <w:rPr>
          <w:rFonts w:hint="eastAsia"/>
        </w:rPr>
        <w:t>。然而，在男子中该数字仍然约为</w:t>
      </w:r>
      <w:r>
        <w:t>19%</w:t>
      </w:r>
      <w:r>
        <w:rPr>
          <w:rFonts w:hint="eastAsia"/>
        </w:rPr>
        <w:t>。由于妇女吸烟者人数比例很大，所以女性人口死于肺癌以及阻塞性疾病者人数增加。</w:t>
      </w:r>
    </w:p>
    <w:p w:rsidR="00000000" w:rsidRDefault="00000000">
      <w:pPr>
        <w:spacing w:after="240" w:line="360" w:lineRule="exact"/>
        <w:ind w:firstLine="425"/>
      </w:pPr>
      <w:r>
        <w:rPr>
          <w:rFonts w:hint="eastAsia"/>
        </w:rPr>
        <w:t>为了减少预期的死于肺癌人数的增加，丹麦政府于</w:t>
      </w:r>
      <w:r>
        <w:t>1995</w:t>
      </w:r>
      <w:r>
        <w:rPr>
          <w:rFonts w:hint="eastAsia"/>
        </w:rPr>
        <w:t>年发动了戒烟运动，由丹麦吸烟与健康委员会主办（禁烟方案）。迄今为止戒烟运动的成果表明，必须同时实行三种不同的方法：</w:t>
      </w:r>
      <w:r>
        <w:t>1</w:t>
      </w:r>
      <w:r>
        <w:rPr>
          <w:rFonts w:hint="eastAsia"/>
        </w:rPr>
        <w:t>）严格吸烟管理条例；</w:t>
      </w:r>
      <w:r>
        <w:t>2</w:t>
      </w:r>
      <w:r>
        <w:rPr>
          <w:rFonts w:hint="eastAsia"/>
        </w:rPr>
        <w:t>）向那些希望戒烟者提供帮助和咨询；以及</w:t>
      </w:r>
      <w:r>
        <w:t>3</w:t>
      </w:r>
      <w:r>
        <w:rPr>
          <w:rFonts w:hint="eastAsia"/>
        </w:rPr>
        <w:t>）鼓励青年人避免首先吸烟。</w:t>
      </w:r>
    </w:p>
    <w:p w:rsidR="00000000" w:rsidRDefault="00000000">
      <w:pPr>
        <w:spacing w:after="240" w:line="360" w:lineRule="exact"/>
        <w:rPr>
          <w:rFonts w:eastAsia="SimHei"/>
        </w:rPr>
      </w:pPr>
      <w:r>
        <w:rPr>
          <w:rFonts w:eastAsia="SimHei" w:hint="eastAsia"/>
        </w:rPr>
        <w:t>艾滋病毒</w:t>
      </w:r>
      <w:r>
        <w:rPr>
          <w:rFonts w:eastAsia="SimHei"/>
        </w:rPr>
        <w:t>/</w:t>
      </w:r>
      <w:r>
        <w:rPr>
          <w:rFonts w:eastAsia="SimHei" w:hint="eastAsia"/>
        </w:rPr>
        <w:t>艾滋病</w:t>
      </w:r>
    </w:p>
    <w:p w:rsidR="00000000" w:rsidRDefault="00000000">
      <w:pPr>
        <w:spacing w:after="240" w:line="360" w:lineRule="exact"/>
        <w:ind w:firstLine="425"/>
      </w:pPr>
      <w:r>
        <w:rPr>
          <w:rFonts w:hint="eastAsia"/>
        </w:rPr>
        <w:t>至</w:t>
      </w:r>
      <w:r>
        <w:t>1998</w:t>
      </w:r>
      <w:r>
        <w:rPr>
          <w:rFonts w:hint="eastAsia"/>
        </w:rPr>
        <w:t>年底，在丹麦有</w:t>
      </w:r>
      <w:r>
        <w:t>641</w:t>
      </w:r>
      <w:r>
        <w:rPr>
          <w:rFonts w:hint="eastAsia"/>
        </w:rPr>
        <w:t>名妇女被诊断为艾滋病毒</w:t>
      </w:r>
      <w:r>
        <w:t>/</w:t>
      </w:r>
      <w:r>
        <w:rPr>
          <w:rFonts w:hint="eastAsia"/>
        </w:rPr>
        <w:t>艾滋病患者。这在被诊断出艾滋病毒</w:t>
      </w:r>
      <w:r>
        <w:t>/</w:t>
      </w:r>
      <w:r>
        <w:rPr>
          <w:rFonts w:hint="eastAsia"/>
        </w:rPr>
        <w:t>艾滋病的所有人中占近</w:t>
      </w:r>
      <w:r>
        <w:rPr>
          <w:rFonts w:hint="eastAsia"/>
        </w:rPr>
        <w:t>25%</w:t>
      </w:r>
      <w:r>
        <w:rPr>
          <w:rFonts w:hint="eastAsia"/>
        </w:rPr>
        <w:t>。</w:t>
      </w:r>
    </w:p>
    <w:p w:rsidR="00000000" w:rsidRDefault="00000000">
      <w:pPr>
        <w:spacing w:after="240" w:line="360" w:lineRule="exact"/>
        <w:ind w:firstLine="425"/>
      </w:pPr>
      <w:r>
        <w:rPr>
          <w:rFonts w:hint="eastAsia"/>
        </w:rPr>
        <w:t>妇女在预防艾滋病毒</w:t>
      </w:r>
      <w:r>
        <w:t>/</w:t>
      </w:r>
      <w:r>
        <w:rPr>
          <w:rFonts w:hint="eastAsia"/>
        </w:rPr>
        <w:t>艾滋病方面未被定为优先的目标群体，但作为静脉注射毒品滥用者的妇女是危险群体的组成部分。此外，优先重视是向大众宣传。在</w:t>
      </w:r>
      <w:r>
        <w:t>1998</w:t>
      </w:r>
      <w:r>
        <w:rPr>
          <w:rFonts w:hint="eastAsia"/>
        </w:rPr>
        <w:t>年，报道有</w:t>
      </w:r>
      <w:r>
        <w:t>61</w:t>
      </w:r>
      <w:r>
        <w:rPr>
          <w:rFonts w:hint="eastAsia"/>
        </w:rPr>
        <w:t>名妇女感染艾滋病毒，有</w:t>
      </w:r>
      <w:r>
        <w:t>11</w:t>
      </w:r>
      <w:r>
        <w:rPr>
          <w:rFonts w:hint="eastAsia"/>
        </w:rPr>
        <w:t>名妇女感染艾滋病。大多数艾滋病毒阳性的妇女属于少数民族且在国外出生。</w:t>
      </w:r>
    </w:p>
    <w:p w:rsidR="00000000" w:rsidRDefault="00000000">
      <w:pPr>
        <w:spacing w:after="240" w:line="360" w:lineRule="exact"/>
        <w:rPr>
          <w:rFonts w:eastAsia="SimHei"/>
        </w:rPr>
      </w:pPr>
      <w:r>
        <w:rPr>
          <w:rFonts w:eastAsia="SimHei" w:hint="eastAsia"/>
        </w:rPr>
        <w:t>促进健康方案</w:t>
      </w:r>
    </w:p>
    <w:p w:rsidR="00000000" w:rsidRDefault="00000000">
      <w:pPr>
        <w:spacing w:after="240" w:line="360" w:lineRule="exact"/>
        <w:ind w:firstLine="425"/>
      </w:pPr>
      <w:r>
        <w:t>1999</w:t>
      </w:r>
      <w:r>
        <w:rPr>
          <w:rFonts w:hint="eastAsia"/>
        </w:rPr>
        <w:t>年</w:t>
      </w:r>
      <w:r>
        <w:t>5</w:t>
      </w:r>
      <w:r>
        <w:rPr>
          <w:rFonts w:hint="eastAsia"/>
        </w:rPr>
        <w:t>月，政府宣布了跨部门的公共保健和促进健康方案。以下针对妇女的目标被列为方案的一部分：</w:t>
      </w:r>
    </w:p>
    <w:p w:rsidR="00000000" w:rsidRDefault="00000000">
      <w:pPr>
        <w:numPr>
          <w:ilvl w:val="0"/>
          <w:numId w:val="9"/>
        </w:numPr>
        <w:tabs>
          <w:tab w:val="left" w:pos="210"/>
        </w:tabs>
        <w:spacing w:after="240" w:line="360" w:lineRule="exact"/>
      </w:pPr>
      <w:r>
        <w:rPr>
          <w:rFonts w:hint="eastAsia"/>
        </w:rPr>
        <w:t>在孕妇中大力限制吸烟和喝酒；</w:t>
      </w:r>
    </w:p>
    <w:p w:rsidR="00000000" w:rsidRDefault="00000000">
      <w:pPr>
        <w:numPr>
          <w:ilvl w:val="0"/>
          <w:numId w:val="9"/>
        </w:numPr>
        <w:tabs>
          <w:tab w:val="left" w:pos="210"/>
        </w:tabs>
        <w:spacing w:after="240" w:line="360" w:lineRule="exact"/>
      </w:pPr>
      <w:r>
        <w:rPr>
          <w:rFonts w:hint="eastAsia"/>
        </w:rPr>
        <w:t>保护儿童和孕妇免受麻醉品毒害；</w:t>
      </w:r>
    </w:p>
    <w:p w:rsidR="00000000" w:rsidRDefault="00000000">
      <w:pPr>
        <w:numPr>
          <w:ilvl w:val="0"/>
          <w:numId w:val="9"/>
        </w:numPr>
        <w:tabs>
          <w:tab w:val="left" w:pos="210"/>
        </w:tabs>
        <w:spacing w:after="240" w:line="360" w:lineRule="exact"/>
      </w:pPr>
      <w:r>
        <w:rPr>
          <w:rFonts w:hint="eastAsia"/>
        </w:rPr>
        <w:t>大力确保孕妇不从事可对胎儿造成伤害的工作；</w:t>
      </w:r>
    </w:p>
    <w:p w:rsidR="00000000" w:rsidRDefault="00000000">
      <w:pPr>
        <w:numPr>
          <w:ilvl w:val="0"/>
          <w:numId w:val="9"/>
        </w:numPr>
        <w:tabs>
          <w:tab w:val="left" w:pos="210"/>
        </w:tabs>
        <w:spacing w:after="240" w:line="360" w:lineRule="exact"/>
      </w:pPr>
      <w:r>
        <w:rPr>
          <w:rFonts w:hint="eastAsia"/>
        </w:rPr>
        <w:t>加强对孕妇麻醉品滥用者的工作以及限制吸烟在这些妇女当中造成的伤害；</w:t>
      </w:r>
    </w:p>
    <w:p w:rsidR="00000000" w:rsidRDefault="00000000">
      <w:pPr>
        <w:numPr>
          <w:ilvl w:val="0"/>
          <w:numId w:val="9"/>
        </w:numPr>
        <w:tabs>
          <w:tab w:val="left" w:pos="210"/>
        </w:tabs>
        <w:spacing w:after="240" w:line="360" w:lineRule="exact"/>
      </w:pPr>
      <w:r>
        <w:rPr>
          <w:rFonts w:hint="eastAsia"/>
        </w:rPr>
        <w:t>针对极其年轻、在社会上处境不利的母亲和家庭制定一些咨询方法。</w:t>
      </w:r>
    </w:p>
    <w:p w:rsidR="00000000" w:rsidRDefault="00000000">
      <w:pPr>
        <w:spacing w:after="240" w:line="360" w:lineRule="exact"/>
        <w:jc w:val="center"/>
        <w:rPr>
          <w:rFonts w:eastAsia="SimHei"/>
        </w:rPr>
      </w:pPr>
      <w:r>
        <w:rPr>
          <w:rFonts w:eastAsia="SimHei" w:hint="eastAsia"/>
        </w:rPr>
        <w:t>第六条</w:t>
      </w:r>
    </w:p>
    <w:p w:rsidR="00000000" w:rsidRDefault="00000000">
      <w:pPr>
        <w:spacing w:after="240" w:line="360" w:lineRule="exact"/>
        <w:jc w:val="center"/>
      </w:pPr>
      <w:r>
        <w:rPr>
          <w:rFonts w:eastAsia="SimHei" w:hint="eastAsia"/>
        </w:rPr>
        <w:t>暴力和强奸</w:t>
      </w:r>
    </w:p>
    <w:p w:rsidR="00000000" w:rsidRDefault="00000000">
      <w:pPr>
        <w:spacing w:after="240" w:line="360" w:lineRule="exact"/>
        <w:ind w:firstLine="425"/>
      </w:pPr>
      <w:r>
        <w:rPr>
          <w:rFonts w:hint="eastAsia"/>
        </w:rPr>
        <w:t>按照《刑法典》第</w:t>
      </w:r>
      <w:r>
        <w:t>244—249</w:t>
      </w:r>
      <w:r>
        <w:rPr>
          <w:rFonts w:hint="eastAsia"/>
        </w:rPr>
        <w:t>条，对妇女施加暴力行为应受到惩处。这些规定覆盖了不论受害者为何性别的暴力行为。在量刑时，应根据《刑法典》第</w:t>
      </w:r>
      <w:r>
        <w:t>80</w:t>
      </w:r>
      <w:r>
        <w:rPr>
          <w:rFonts w:hint="eastAsia"/>
        </w:rPr>
        <w:t>条考虑到罪行的严重程度。此项评估载有关于受害人的资料，并载明这些规定对于打击对妇女的暴力行为是充分有效的。</w:t>
      </w:r>
    </w:p>
    <w:p w:rsidR="00000000" w:rsidRDefault="00000000">
      <w:pPr>
        <w:spacing w:after="240" w:line="360" w:lineRule="exact"/>
        <w:ind w:firstLine="425"/>
      </w:pPr>
      <w:r>
        <w:rPr>
          <w:rFonts w:hint="eastAsia"/>
        </w:rPr>
        <w:t>如前期报告所述，在丹麦，对妇女的暴力行为被视为和作为人权问题处理，自上期报告以来，已大大加强对此问题的关注。政府和非政府组织都开展了一些活动，以消除任何针对特定性别的暴力行为。</w:t>
      </w:r>
    </w:p>
    <w:p w:rsidR="00000000" w:rsidRDefault="00000000">
      <w:pPr>
        <w:spacing w:after="240" w:line="360" w:lineRule="exact"/>
        <w:ind w:firstLine="425"/>
      </w:pPr>
      <w:r>
        <w:t xml:space="preserve"> </w:t>
      </w:r>
      <w:r>
        <w:rPr>
          <w:rFonts w:hint="eastAsia"/>
        </w:rPr>
        <w:t>对妇女的暴力行为尤其是由于一些人将妇女视为玩物所致。可将暴力视为男子统治妇女的一个复杂因素。经验表明，有必要采用一个多部门办法，有效打击对妇女的暴力行为并对受害者提供支助。加强政府和非政府组织的合作以及使男罪犯参与打击对妇女暴力行为的工作是十分必要的。</w:t>
      </w:r>
    </w:p>
    <w:p w:rsidR="00000000" w:rsidRDefault="00000000">
      <w:pPr>
        <w:spacing w:after="240" w:line="360" w:lineRule="exact"/>
        <w:ind w:firstLine="425"/>
      </w:pPr>
      <w:r>
        <w:t>1979</w:t>
      </w:r>
      <w:r>
        <w:rPr>
          <w:rFonts w:hint="eastAsia"/>
        </w:rPr>
        <w:t>年，非政府组织设立了第一个危机中心，以便为作为暴力受害人的妇女或受到暴力威胁的妇女提供帮助。</w:t>
      </w:r>
      <w:r>
        <w:t>1999</w:t>
      </w:r>
      <w:r>
        <w:rPr>
          <w:rFonts w:hint="eastAsia"/>
        </w:rPr>
        <w:t>年，全国设有约</w:t>
      </w:r>
      <w:r>
        <w:t>36</w:t>
      </w:r>
      <w:r>
        <w:rPr>
          <w:rFonts w:hint="eastAsia"/>
        </w:rPr>
        <w:t>个危机中心。这些中心仍然主要由志愿者经营。妇女在这些中心不必登记，匿名受到完全的尊重。</w:t>
      </w:r>
      <w:r>
        <w:t>18</w:t>
      </w:r>
      <w:r>
        <w:rPr>
          <w:rFonts w:hint="eastAsia"/>
        </w:rPr>
        <w:t>岁以下的子女可随妇女到危机中心。这些中心的经费部门由公共部门提供，部分由在此过夜的受害人的付款（付款范围从</w:t>
      </w:r>
      <w:r>
        <w:t>0</w:t>
      </w:r>
      <w:r>
        <w:rPr>
          <w:rFonts w:hint="eastAsia"/>
        </w:rPr>
        <w:t>至</w:t>
      </w:r>
      <w:r>
        <w:t>200</w:t>
      </w:r>
      <w:r>
        <w:rPr>
          <w:rFonts w:hint="eastAsia"/>
        </w:rPr>
        <w:t>丹麦克朗）提供。这些危机中心为暴力受害人提供综合支助。而且，现在所有的危机中心均有儿童顾问。现在，在丹麦有两个供男子使用的男性暴力受害人庇护所。</w:t>
      </w:r>
    </w:p>
    <w:p w:rsidR="00000000" w:rsidRDefault="00000000">
      <w:pPr>
        <w:spacing w:after="240" w:line="360" w:lineRule="exact"/>
        <w:ind w:firstLine="425"/>
      </w:pPr>
      <w:r>
        <w:rPr>
          <w:rFonts w:hint="eastAsia"/>
        </w:rPr>
        <w:t>到危机中心求助的妇女日益增加。人们严密监测这种发展情况。还为处于易受伤害状况的妇女设立了以自助群体为基础的网络。例如，社会事务部正在支助为妓女和其他受到各种形式虐待的群体采取的主动行动。</w:t>
      </w:r>
    </w:p>
    <w:p w:rsidR="00000000" w:rsidRDefault="00000000">
      <w:pPr>
        <w:spacing w:after="240" w:line="360" w:lineRule="exact"/>
        <w:ind w:firstLine="425"/>
      </w:pPr>
      <w:r>
        <w:t>1993</w:t>
      </w:r>
      <w:r>
        <w:rPr>
          <w:rFonts w:hint="eastAsia"/>
        </w:rPr>
        <w:t>年</w:t>
      </w:r>
      <w:r>
        <w:t>12</w:t>
      </w:r>
      <w:r>
        <w:rPr>
          <w:rFonts w:hint="eastAsia"/>
        </w:rPr>
        <w:t>月，丹麦内务部任命成立一个外国妇女的融入和法律权利问题委员会。该委员会的总体目标是审查获得或撤消居住许可证的各种规定。该委员会将特别关注在由于家庭暴力造成婚姻或同居关系解体的案例中必须修改这些条例的必要性。而且，委员会的目标是分析一些关于外国妇女融入丹麦的重要事项，以审查有多少外国妇女利用了为被殴打妇女设立的庇护所。</w:t>
      </w:r>
    </w:p>
    <w:p w:rsidR="00000000" w:rsidRDefault="00000000">
      <w:pPr>
        <w:spacing w:after="240" w:line="360" w:lineRule="exact"/>
        <w:ind w:firstLine="425"/>
      </w:pPr>
      <w:r>
        <w:rPr>
          <w:rFonts w:hint="eastAsia"/>
        </w:rPr>
        <w:t>委员会报告的第一部分介绍了外国妇女根据《外国人法》所享有的法律地位。该部分于</w:t>
      </w:r>
      <w:r>
        <w:t>1995</w:t>
      </w:r>
      <w:r>
        <w:rPr>
          <w:rFonts w:hint="eastAsia"/>
        </w:rPr>
        <w:t>年</w:t>
      </w:r>
      <w:r>
        <w:t>9</w:t>
      </w:r>
      <w:r>
        <w:rPr>
          <w:rFonts w:hint="eastAsia"/>
        </w:rPr>
        <w:t>月提出。委员会建议除其他外，对《外国人法》提出一项修正案，修改在家庭暴力导致婚姻</w:t>
      </w:r>
      <w:r>
        <w:t>/</w:t>
      </w:r>
      <w:r>
        <w:rPr>
          <w:rFonts w:hint="eastAsia"/>
        </w:rPr>
        <w:t>同居关系解体的情况下撤消或拒绝给予居住许可的规定。因此《外国人法》自</w:t>
      </w:r>
      <w:r>
        <w:t>1996</w:t>
      </w:r>
      <w:r>
        <w:rPr>
          <w:rFonts w:hint="eastAsia"/>
        </w:rPr>
        <w:t>年</w:t>
      </w:r>
      <w:r>
        <w:t>6</w:t>
      </w:r>
      <w:r>
        <w:rPr>
          <w:rFonts w:hint="eastAsia"/>
        </w:rPr>
        <w:t>月</w:t>
      </w:r>
      <w:r>
        <w:t>1</w:t>
      </w:r>
      <w:r>
        <w:rPr>
          <w:rFonts w:hint="eastAsia"/>
        </w:rPr>
        <w:t>日起被修改了。</w:t>
      </w:r>
    </w:p>
    <w:p w:rsidR="00000000" w:rsidRDefault="00000000">
      <w:pPr>
        <w:spacing w:after="240" w:line="360" w:lineRule="exact"/>
        <w:ind w:firstLine="425"/>
      </w:pPr>
      <w:r>
        <w:rPr>
          <w:rFonts w:hint="eastAsia"/>
        </w:rPr>
        <w:t>在撤消或拒绝居住许可之前，有关当局必须决定此种状况是否家庭暴力所致，以及撤消或拒绝会对有关个人产生何种影响。</w:t>
      </w:r>
    </w:p>
    <w:p w:rsidR="00000000" w:rsidRDefault="00000000">
      <w:pPr>
        <w:spacing w:after="240" w:line="360" w:lineRule="exact"/>
        <w:ind w:firstLine="425"/>
      </w:pPr>
      <w:r>
        <w:t>1996</w:t>
      </w:r>
      <w:r>
        <w:rPr>
          <w:rFonts w:hint="eastAsia"/>
        </w:rPr>
        <w:t>年</w:t>
      </w:r>
      <w:r>
        <w:t>7</w:t>
      </w:r>
      <w:r>
        <w:rPr>
          <w:rFonts w:hint="eastAsia"/>
        </w:rPr>
        <w:t>月，丹麦移民局任命了一个工作组对上述委员会建议采取后续行动。</w:t>
      </w:r>
    </w:p>
    <w:p w:rsidR="00000000" w:rsidRDefault="00000000">
      <w:pPr>
        <w:spacing w:after="240" w:line="360" w:lineRule="exact"/>
        <w:ind w:firstLine="425"/>
      </w:pPr>
      <w:r>
        <w:t>1997</w:t>
      </w:r>
      <w:r>
        <w:rPr>
          <w:rFonts w:hint="eastAsia"/>
        </w:rPr>
        <w:t>年</w:t>
      </w:r>
      <w:r>
        <w:t>5</w:t>
      </w:r>
      <w:r>
        <w:rPr>
          <w:rFonts w:hint="eastAsia"/>
        </w:rPr>
        <w:t>月，该工作组发表了其第一个报告。该报告载有一些关于被殴打外国妇女的法律地位作出行政改进的思考与建议。作为这些建议的一个普遍的后续行动，丹麦移民局目前正与丹麦国家警察专员以及哥本哈根市合作审查监测同居关系程序和细则以及警察是否应得到社会工作者的援助。</w:t>
      </w:r>
    </w:p>
    <w:p w:rsidR="00000000" w:rsidRDefault="00000000">
      <w:pPr>
        <w:spacing w:after="240" w:line="360" w:lineRule="exact"/>
        <w:ind w:firstLine="425"/>
      </w:pPr>
      <w:r>
        <w:rPr>
          <w:rFonts w:hint="eastAsia"/>
        </w:rPr>
        <w:t>而且，该移民局还任命了一个工作组。该工作目前正在为处理与被殴打外国妇女相关的事项制定指导原则。</w:t>
      </w:r>
    </w:p>
    <w:p w:rsidR="00000000" w:rsidRDefault="00000000">
      <w:pPr>
        <w:spacing w:after="240" w:line="360" w:lineRule="exact"/>
        <w:ind w:firstLine="425"/>
      </w:pPr>
      <w:r>
        <w:t>1998</w:t>
      </w:r>
      <w:r>
        <w:rPr>
          <w:rFonts w:hint="eastAsia"/>
        </w:rPr>
        <w:t>年</w:t>
      </w:r>
      <w:r>
        <w:t>9</w:t>
      </w:r>
      <w:r>
        <w:rPr>
          <w:rFonts w:hint="eastAsia"/>
        </w:rPr>
        <w:t>月，外国妇女融入和法律权利问题委员会提交其第二份报告。该报告主要介绍了外国妇女在丹麦的融入情况并为改善少数民族妇女的融入前景提出一些提议和建议。</w:t>
      </w:r>
    </w:p>
    <w:p w:rsidR="00000000" w:rsidRDefault="00000000">
      <w:pPr>
        <w:spacing w:after="240" w:line="360" w:lineRule="exact"/>
        <w:ind w:firstLine="425"/>
      </w:pPr>
      <w:r>
        <w:rPr>
          <w:rFonts w:hint="eastAsia"/>
        </w:rPr>
        <w:t>丹麦国家警察专员与丹麦统计局和哥本哈根大学合作，根据从</w:t>
      </w:r>
      <w:r>
        <w:t>1995</w:t>
      </w:r>
      <w:r>
        <w:rPr>
          <w:rFonts w:hint="eastAsia"/>
        </w:rPr>
        <w:t>年和</w:t>
      </w:r>
      <w:r>
        <w:t>1996</w:t>
      </w:r>
      <w:r>
        <w:rPr>
          <w:rFonts w:hint="eastAsia"/>
        </w:rPr>
        <w:t>年对受害者的研究结果编辑了一份报告。报告介绍了街头暴力行为，工作场所的暴力以及家庭暴力。</w:t>
      </w:r>
      <w:r>
        <w:t>199</w:t>
      </w:r>
      <w:r>
        <w:rPr>
          <w:rFonts w:hint="eastAsia"/>
        </w:rPr>
        <w:t>8</w:t>
      </w:r>
      <w:r>
        <w:rPr>
          <w:rFonts w:hint="eastAsia"/>
        </w:rPr>
        <w:t>年发表了这些结论。该报告显示在已审查的材料中有一种转变规范和观念的趋势，因而有助于减少妻子被殴打的情况。</w:t>
      </w:r>
    </w:p>
    <w:p w:rsidR="00000000" w:rsidRDefault="00000000">
      <w:pPr>
        <w:spacing w:after="240" w:line="360" w:lineRule="exact"/>
        <w:ind w:firstLine="425"/>
      </w:pPr>
      <w:r>
        <w:rPr>
          <w:rFonts w:hint="eastAsia"/>
        </w:rPr>
        <w:t>“帮助暴力受害者国家联盟”是个私人团体。它对</w:t>
      </w:r>
      <w:r>
        <w:t>1995</w:t>
      </w:r>
      <w:r>
        <w:rPr>
          <w:rFonts w:hint="eastAsia"/>
        </w:rPr>
        <w:t>至</w:t>
      </w:r>
      <w:r>
        <w:t>1998</w:t>
      </w:r>
      <w:r>
        <w:rPr>
          <w:rFonts w:hint="eastAsia"/>
        </w:rPr>
        <w:t>年期间的家庭暴力进行一项研究。该项研究由司法部提供财政支助。该研究的目的是评估向受到暴力影响的家庭提供咨询的情况。参与各方对该项目表示关注。项目普遍提高了妇女的自尊。此外，妇女在该项目的保护环境内获得了对抗侵犯自己的男子</w:t>
      </w:r>
      <w:r>
        <w:t>/</w:t>
      </w:r>
      <w:r>
        <w:rPr>
          <w:rFonts w:hint="eastAsia"/>
        </w:rPr>
        <w:t>丈夫的正面经验。在离婚或家庭破裂的案例中，在父母探访权利、共同财产分割、子女的监护权以及子女的居所诸方面也取得一些积极的成果。</w:t>
      </w:r>
    </w:p>
    <w:p w:rsidR="00000000" w:rsidRDefault="00000000">
      <w:pPr>
        <w:spacing w:after="240" w:line="360" w:lineRule="exact"/>
        <w:ind w:firstLine="425"/>
      </w:pPr>
      <w:r>
        <w:t>1997</w:t>
      </w:r>
      <w:r>
        <w:rPr>
          <w:rFonts w:hint="eastAsia"/>
        </w:rPr>
        <w:t>年，议会修正了加强对受害者支助的法律。结果，成立了一些为暴力受害者服务的地方咨询中心。地方警察局建立这些中心，由自愿者对其管理。打算让它们作为对警察已经提供服务的一种独立的辅助性服务。</w:t>
      </w:r>
    </w:p>
    <w:p w:rsidR="00000000" w:rsidRDefault="00000000">
      <w:pPr>
        <w:spacing w:after="240" w:line="360" w:lineRule="exact"/>
        <w:ind w:firstLine="425"/>
      </w:pPr>
      <w:r>
        <w:rPr>
          <w:rFonts w:hint="eastAsia"/>
        </w:rPr>
        <w:t>在这方面应该指出的是，司法部正向所有警区提出了一份备忘录，说明有关警方对于罪行和事故受害人及其亲属的处理问题。该备忘录载有警方处理受害人及其亲属的指示原则以及关于受害人权利的相关规定等概略介绍。</w:t>
      </w:r>
    </w:p>
    <w:p w:rsidR="00000000" w:rsidRDefault="00000000">
      <w:pPr>
        <w:spacing w:after="240" w:line="360" w:lineRule="exact"/>
        <w:ind w:firstLine="425"/>
      </w:pPr>
      <w:r>
        <w:rPr>
          <w:rFonts w:hint="eastAsia"/>
        </w:rPr>
        <w:t>丹麦不仅向妇女提供援助。如上文提及的两个男性危机中心一样，已为男性罪犯设立了咨询服务。在某市的关于家庭暴力的试点项目表明，</w:t>
      </w:r>
      <w:r>
        <w:t>5</w:t>
      </w:r>
      <w:r>
        <w:rPr>
          <w:rFonts w:hint="eastAsia"/>
        </w:rPr>
        <w:t>个罪犯中有</w:t>
      </w:r>
      <w:r>
        <w:t>4</w:t>
      </w:r>
      <w:r>
        <w:rPr>
          <w:rFonts w:hint="eastAsia"/>
        </w:rPr>
        <w:t>个乐于接受改造。在发动暴力行为之前个人品行、社会和专业方面表现良好的男子参加这个项目的时间最长，收益最大。</w:t>
      </w:r>
    </w:p>
    <w:p w:rsidR="00000000" w:rsidRDefault="00000000">
      <w:pPr>
        <w:spacing w:after="240" w:line="360" w:lineRule="exact"/>
        <w:ind w:firstLine="425"/>
      </w:pPr>
      <w:r>
        <w:t>1999</w:t>
      </w:r>
      <w:r>
        <w:rPr>
          <w:rFonts w:hint="eastAsia"/>
        </w:rPr>
        <w:t>年</w:t>
      </w:r>
      <w:r>
        <w:t>5</w:t>
      </w:r>
      <w:r>
        <w:rPr>
          <w:rFonts w:hint="eastAsia"/>
        </w:rPr>
        <w:t>月，一个男子小组发起类似加拿大模式的“白丝带”组织的主动行动。其重点目标是解决下列问题，即据认为，在丹麦对妇女施加暴力行为之普遍程度是每年向警方报告的</w:t>
      </w:r>
      <w:r>
        <w:t>1</w:t>
      </w:r>
      <w:r>
        <w:rPr>
          <w:rFonts w:hint="eastAsia"/>
        </w:rPr>
        <w:t>万案例的</w:t>
      </w:r>
      <w:r>
        <w:t>5</w:t>
      </w:r>
      <w:r>
        <w:rPr>
          <w:rFonts w:hint="eastAsia"/>
        </w:rPr>
        <w:t>至</w:t>
      </w:r>
      <w:r>
        <w:t>10</w:t>
      </w:r>
      <w:r>
        <w:rPr>
          <w:rFonts w:hint="eastAsia"/>
        </w:rPr>
        <w:t>倍。该组织谋求使其他男子了解这一问题并保请政治家采取主动行动。需要进行研究，并因此改变经常把此种问题缩小乃至作为与私人有关的问题处理的观念。</w:t>
      </w:r>
    </w:p>
    <w:p w:rsidR="00000000" w:rsidRDefault="00000000">
      <w:pPr>
        <w:spacing w:after="240" w:line="360" w:lineRule="exact"/>
        <w:ind w:firstLine="425"/>
      </w:pPr>
      <w:r>
        <w:t>1999</w:t>
      </w:r>
      <w:r>
        <w:rPr>
          <w:rFonts w:hint="eastAsia"/>
        </w:rPr>
        <w:t>年</w:t>
      </w:r>
      <w:r>
        <w:t>11</w:t>
      </w:r>
      <w:r>
        <w:rPr>
          <w:rFonts w:hint="eastAsia"/>
        </w:rPr>
        <w:t>月，社会发展中心主办了关于对妇女暴力行为的一个国际会议，以作为欧盟委员会关于暴力运动的一部分。其目标是提高人们的认识并制定也包括男子在内的新的战略。</w:t>
      </w:r>
    </w:p>
    <w:p w:rsidR="00000000" w:rsidRDefault="00000000">
      <w:pPr>
        <w:spacing w:after="240" w:line="360" w:lineRule="exact"/>
        <w:ind w:firstLine="425"/>
      </w:pPr>
      <w:r>
        <w:t>1998</w:t>
      </w:r>
      <w:r>
        <w:rPr>
          <w:rFonts w:hint="eastAsia"/>
        </w:rPr>
        <w:t>年，卫生部长设立了一个工作小组，以制定如何在地方一级和国家一级加强对性暴力受害人的政府支助。结果是于</w:t>
      </w:r>
      <w:r>
        <w:t>1999</w:t>
      </w:r>
      <w:r>
        <w:rPr>
          <w:rFonts w:hint="eastAsia"/>
        </w:rPr>
        <w:t>年</w:t>
      </w:r>
      <w:r>
        <w:t>10</w:t>
      </w:r>
      <w:r>
        <w:rPr>
          <w:rFonts w:hint="eastAsia"/>
        </w:rPr>
        <w:t>月向一个试点项目方案提供为期</w:t>
      </w:r>
      <w:r>
        <w:t>4</w:t>
      </w:r>
      <w:r>
        <w:rPr>
          <w:rFonts w:hint="eastAsia"/>
        </w:rPr>
        <w:t>年的</w:t>
      </w:r>
      <w:r>
        <w:t>2000</w:t>
      </w:r>
      <w:r>
        <w:rPr>
          <w:rFonts w:hint="eastAsia"/>
        </w:rPr>
        <w:t>万丹麦克朗的拨款。该项目方案向性暴力受害人提供全面的医疗和法律支助及咨询服务。该方案还将收集资料并最终向与处理性暴力受害人打交道的所有各方提交标准和指导原则。</w:t>
      </w:r>
    </w:p>
    <w:p w:rsidR="00000000" w:rsidRDefault="00000000">
      <w:pPr>
        <w:spacing w:after="240" w:line="360" w:lineRule="exact"/>
        <w:ind w:firstLine="425"/>
      </w:pPr>
      <w:r>
        <w:rPr>
          <w:rFonts w:hint="eastAsia"/>
        </w:rPr>
        <w:t>一般性的罪行统计数字所提供的关于对妇女施加暴力行为程度的资料极少。不过，司法部已经同警方合作采取改变工作程序的主动行动，以便将来有可能保留受害人的性别和年龄的统计数字。而且，开始进行一些以对妇女施加暴力行为为重点的调查。这些调查中，除了对上述暴力进行调查以外，还应提及“丹麦的性骚扰程度和性质”的调查，该调查由国家警察专员于</w:t>
      </w:r>
      <w:r>
        <w:t>1998</w:t>
      </w:r>
      <w:r>
        <w:rPr>
          <w:rFonts w:hint="eastAsia"/>
        </w:rPr>
        <w:t>年公布。此项调查的目的旨在说明性骚扰不同方面的问题，诸如罪行本身、受害人和罪犯诸方面的问题。</w:t>
      </w:r>
    </w:p>
    <w:p w:rsidR="00000000" w:rsidRDefault="00000000">
      <w:pPr>
        <w:spacing w:after="240" w:line="360" w:lineRule="exact"/>
        <w:ind w:firstLine="425"/>
      </w:pPr>
      <w:r>
        <w:t>1996</w:t>
      </w:r>
      <w:r>
        <w:rPr>
          <w:rFonts w:hint="eastAsia"/>
        </w:rPr>
        <w:t>年</w:t>
      </w:r>
      <w:r>
        <w:t>11</w:t>
      </w:r>
      <w:r>
        <w:rPr>
          <w:rFonts w:hint="eastAsia"/>
        </w:rPr>
        <w:t>月，社会事务部发起了一项关于“在危机中心的少数民族妇女和儿童”的调查。之所以进行这项调查是因为利用该中心的少数民族妇女的人数不断增加。该调查报告于</w:t>
      </w:r>
      <w:r>
        <w:t>1999</w:t>
      </w:r>
      <w:r>
        <w:rPr>
          <w:rFonts w:hint="eastAsia"/>
        </w:rPr>
        <w:t>年</w:t>
      </w:r>
      <w:r>
        <w:t>8</w:t>
      </w:r>
      <w:r>
        <w:rPr>
          <w:rFonts w:hint="eastAsia"/>
        </w:rPr>
        <w:t>月发表。其结果表明应采取更多的主动行动，并表明在由各政府机构供资的合作项目之间应开展更密切的合作。</w:t>
      </w:r>
    </w:p>
    <w:p w:rsidR="00000000" w:rsidRDefault="00000000">
      <w:pPr>
        <w:spacing w:after="240" w:line="360" w:lineRule="exact"/>
        <w:ind w:firstLine="425"/>
      </w:pPr>
      <w:r>
        <w:rPr>
          <w:rFonts w:hint="eastAsia"/>
        </w:rPr>
        <w:t>将于</w:t>
      </w:r>
      <w:r>
        <w:t>2000</w:t>
      </w:r>
      <w:r>
        <w:rPr>
          <w:rFonts w:hint="eastAsia"/>
        </w:rPr>
        <w:t>年创办一个北欧国家关于性别与暴力的研究方案。</w:t>
      </w:r>
      <w:r>
        <w:t>2000</w:t>
      </w:r>
      <w:r>
        <w:rPr>
          <w:rFonts w:hint="eastAsia"/>
        </w:rPr>
        <w:t>年的储备款为</w:t>
      </w:r>
      <w:r>
        <w:t>3500</w:t>
      </w:r>
      <w:r>
        <w:rPr>
          <w:rFonts w:hint="eastAsia"/>
        </w:rPr>
        <w:t>万丹麦克朗，下一个</w:t>
      </w:r>
      <w:r>
        <w:t>4</w:t>
      </w:r>
      <w:r>
        <w:rPr>
          <w:rFonts w:hint="eastAsia"/>
        </w:rPr>
        <w:t>年期拨款额与此相等。</w:t>
      </w:r>
    </w:p>
    <w:p w:rsidR="00000000" w:rsidRDefault="00000000">
      <w:pPr>
        <w:spacing w:after="240" w:line="360" w:lineRule="exact"/>
        <w:ind w:firstLine="425"/>
        <w:rPr>
          <w:rFonts w:hint="eastAsia"/>
        </w:rPr>
      </w:pPr>
      <w:r>
        <w:rPr>
          <w:rFonts w:hint="eastAsia"/>
        </w:rPr>
        <w:t>“</w:t>
      </w:r>
      <w:r>
        <w:t>Nor Vold</w:t>
      </w:r>
      <w:r>
        <w:rPr>
          <w:rFonts w:hint="eastAsia"/>
        </w:rPr>
        <w:t>”也是北欧国家</w:t>
      </w:r>
      <w:r>
        <w:t>1998</w:t>
      </w:r>
      <w:r>
        <w:rPr>
          <w:rFonts w:hint="eastAsia"/>
        </w:rPr>
        <w:t>年确定的一个研究项目。其目标是测定暴力对妇女造成的影响。该方案将重点了解性暴力对妇女健康产生何种影响以及需要采取哪些措施改进对受害人的支助，从而避免造成长期的后果（肉体疾病）。该方案得到北欧部长理事会的支助。</w:t>
      </w:r>
    </w:p>
    <w:p w:rsidR="00000000" w:rsidRDefault="00000000">
      <w:pPr>
        <w:spacing w:after="240" w:line="360" w:lineRule="exact"/>
        <w:ind w:firstLine="425"/>
      </w:pPr>
      <w:r>
        <w:rPr>
          <w:rFonts w:hint="eastAsia"/>
        </w:rPr>
        <w:t>据报道，丹麦政府和非政府组织创办了一系列关于对妇女暴力行为的项目。近期尚未得到关于这些项目的成果的报告，然而，许多难民和危机中心的出现以及政府和非政府组织早些时候打击各种不同类别的暴力的努力已产生重大影响。强奸案和报告的家庭暴力案件数目有所下降，对所有类别的暴力的受害人支助的质量均有所提高。据报道，近些年来人们关于暴力的观念有所改变。其意义是，现在不再像以前那样，把暴力作为一种家庭内部事务来容忍。更多的暴力受害人现在能够改变其状况，因为她们已有较高的在经济上独立于罪犯的能力。妇女运动进一步帮助许多妇女解放自己。</w:t>
      </w:r>
    </w:p>
    <w:p w:rsidR="00000000" w:rsidRDefault="00000000">
      <w:pPr>
        <w:spacing w:after="240" w:line="360" w:lineRule="exact"/>
        <w:ind w:firstLine="425"/>
      </w:pPr>
      <w:r>
        <w:rPr>
          <w:rFonts w:hint="eastAsia"/>
        </w:rPr>
        <w:t>此外，男女平等事务部长设立了一个由各部代表参加的工作小组。该工作小组的目标是加强暴力和贩运领域的努力，以对犯罪进行预防和对受害人进行保护。</w:t>
      </w:r>
    </w:p>
    <w:p w:rsidR="00000000" w:rsidRDefault="00000000">
      <w:pPr>
        <w:spacing w:after="240" w:line="360" w:lineRule="exact"/>
        <w:jc w:val="center"/>
        <w:rPr>
          <w:rFonts w:eastAsia="SimHei"/>
        </w:rPr>
      </w:pPr>
      <w:r>
        <w:rPr>
          <w:rFonts w:eastAsia="SimHei" w:hint="eastAsia"/>
        </w:rPr>
        <w:t>乱伦</w:t>
      </w:r>
    </w:p>
    <w:p w:rsidR="00000000" w:rsidRDefault="00000000">
      <w:pPr>
        <w:spacing w:after="240" w:line="360" w:lineRule="exact"/>
        <w:ind w:firstLine="425"/>
      </w:pPr>
      <w:r>
        <w:rPr>
          <w:rFonts w:hint="eastAsia"/>
        </w:rPr>
        <w:t>对儿童的性虐待是丹麦社会引起严重关注的事项。最近，政府的跨部门儿童委员会成立了一个工作小组由</w:t>
      </w:r>
      <w:r>
        <w:t>5</w:t>
      </w:r>
      <w:r>
        <w:rPr>
          <w:rFonts w:hint="eastAsia"/>
        </w:rPr>
        <w:t>个不同的部包括社会事务部和司法部在内的代表参加，以制定一个行动计划提议，加强避免对儿童的性虐待的行动。</w:t>
      </w:r>
    </w:p>
    <w:p w:rsidR="00000000" w:rsidRDefault="00000000">
      <w:pPr>
        <w:spacing w:after="240" w:line="360" w:lineRule="exact"/>
        <w:jc w:val="center"/>
        <w:rPr>
          <w:rFonts w:eastAsia="SimHei"/>
        </w:rPr>
      </w:pPr>
      <w:r>
        <w:rPr>
          <w:rFonts w:eastAsia="SimHei" w:hint="eastAsia"/>
        </w:rPr>
        <w:t>卖淫</w:t>
      </w:r>
    </w:p>
    <w:p w:rsidR="00000000" w:rsidRDefault="00000000">
      <w:pPr>
        <w:spacing w:after="240" w:line="360" w:lineRule="exact"/>
        <w:ind w:firstLine="425"/>
      </w:pPr>
      <w:r>
        <w:rPr>
          <w:rFonts w:hint="eastAsia"/>
        </w:rPr>
        <w:t>自上次报告以来更加重视卖淫现象。主办了关于此题目的各种会议以及更广泛地公开这种辩论。</w:t>
      </w:r>
    </w:p>
    <w:p w:rsidR="00000000" w:rsidRDefault="00000000">
      <w:pPr>
        <w:spacing w:after="240" w:line="360" w:lineRule="exact"/>
        <w:ind w:firstLine="425"/>
      </w:pPr>
      <w:r>
        <w:t>1999</w:t>
      </w:r>
      <w:r>
        <w:rPr>
          <w:rFonts w:hint="eastAsia"/>
        </w:rPr>
        <w:t>年初，议会对《刑法典》关于卖淫的规定进行了修正，以便改进这一易受伤害妇女群体的生活质量、健康状况和社会状况。虽然从本质上来说，卖淫在丹麦不合法，但此修正案有助于进一步使妓女合法化。为了改善妓女的生活质量和社会地位，对关于拉皮条的法律进行了修改。现在，妓女可以与男子合法居住在一起，如果该男子以妓女卖淫收入生活未达到剥削的程度的话。最后，顾客购买</w:t>
      </w:r>
      <w:r>
        <w:t>18</w:t>
      </w:r>
      <w:r>
        <w:rPr>
          <w:rFonts w:hint="eastAsia"/>
        </w:rPr>
        <w:t>岁以下妓女的性服务是非法的。</w:t>
      </w:r>
    </w:p>
    <w:p w:rsidR="00000000" w:rsidRDefault="00000000">
      <w:pPr>
        <w:spacing w:after="240" w:line="360" w:lineRule="exact"/>
        <w:jc w:val="center"/>
        <w:rPr>
          <w:rFonts w:eastAsia="SimHei"/>
        </w:rPr>
      </w:pPr>
      <w:r>
        <w:rPr>
          <w:rFonts w:eastAsia="SimHei" w:hint="eastAsia"/>
        </w:rPr>
        <w:t>贩卖妇女</w:t>
      </w:r>
    </w:p>
    <w:p w:rsidR="00000000" w:rsidRDefault="00000000">
      <w:pPr>
        <w:spacing w:after="240" w:line="360" w:lineRule="exact"/>
        <w:ind w:firstLine="425"/>
      </w:pPr>
      <w:r>
        <w:t>1999</w:t>
      </w:r>
      <w:r>
        <w:rPr>
          <w:rFonts w:hint="eastAsia"/>
        </w:rPr>
        <w:t>年初关于贩卖妇女的辩论导致一些主动倡议。其所涉范围从确定研讨会和各种会议的问题到强化警方拘捕贩运者的努力。依据《刑法典》，贩卖妇女在某些情况下要受到惩罚。该法典特别禁止以性剥削为目的将人口贩运出境，而且根据《移民法》禁止进口和偷运人口。</w:t>
      </w:r>
    </w:p>
    <w:p w:rsidR="00000000" w:rsidRDefault="00000000">
      <w:pPr>
        <w:spacing w:after="240" w:line="360" w:lineRule="exact"/>
        <w:ind w:firstLine="425"/>
      </w:pPr>
      <w:r>
        <w:rPr>
          <w:rFonts w:hint="eastAsia"/>
        </w:rPr>
        <w:t>为确保关于“进口”妇女以从事走淫的刑法规定在实际中充分有效，司法部请检察长对在此领域进一步增加刑法规定的必要性进行审查和评价。检查长仍未确定其对该事项的答复。</w:t>
      </w:r>
    </w:p>
    <w:p w:rsidR="00000000" w:rsidRDefault="00000000">
      <w:pPr>
        <w:spacing w:after="240" w:line="360" w:lineRule="exact"/>
        <w:ind w:firstLine="425"/>
      </w:pPr>
      <w:r>
        <w:rPr>
          <w:rFonts w:hint="eastAsia"/>
        </w:rPr>
        <w:t>近些年来，贩卖妇女一直是关于国际性别平等议程的一个重要组成部分。媒体报道揭示，在丹麦贩卖妇女的活动是由来已久，妇女的非政府组织也强调了这个问题。国际辩论和邻国的经验有助于使人们更加认识到解决这一问题的重要性。自上期报告以来，丹麦对这一问题的重视程度大大提高了。</w:t>
      </w:r>
    </w:p>
    <w:p w:rsidR="00000000" w:rsidRDefault="00000000">
      <w:pPr>
        <w:spacing w:after="240" w:line="360" w:lineRule="exact"/>
        <w:ind w:firstLine="425"/>
      </w:pPr>
      <w:r>
        <w:rPr>
          <w:rFonts w:hint="eastAsia"/>
        </w:rPr>
        <w:t>所采取的一些主动行动有：</w:t>
      </w:r>
    </w:p>
    <w:p w:rsidR="00000000" w:rsidRDefault="00000000">
      <w:pPr>
        <w:numPr>
          <w:ilvl w:val="0"/>
          <w:numId w:val="11"/>
        </w:numPr>
        <w:spacing w:after="240" w:line="360" w:lineRule="exact"/>
      </w:pPr>
      <w:r>
        <w:t>1999</w:t>
      </w:r>
      <w:r>
        <w:rPr>
          <w:rFonts w:hint="eastAsia"/>
        </w:rPr>
        <w:t>年</w:t>
      </w:r>
      <w:r>
        <w:t>1</w:t>
      </w:r>
      <w:r>
        <w:rPr>
          <w:rFonts w:hint="eastAsia"/>
        </w:rPr>
        <w:t>月，平等地位委员会主办了关于制止和打击贩卖妇女的必要性和可行性的国际公开听证会，并特别强调对东欧和亚洲国家妇女的贩卖问题。听证会之后媒体对此展开激烈的辩论，并对这一问题进一步分析以便查明修改立法基础和范围的必要性，以帮助贩卖的受害人。</w:t>
      </w:r>
    </w:p>
    <w:p w:rsidR="00000000" w:rsidRDefault="00000000">
      <w:pPr>
        <w:numPr>
          <w:ilvl w:val="0"/>
          <w:numId w:val="11"/>
        </w:numPr>
        <w:spacing w:after="240" w:line="360" w:lineRule="exact"/>
      </w:pPr>
      <w:r>
        <w:t>1999</w:t>
      </w:r>
      <w:r>
        <w:rPr>
          <w:rFonts w:hint="eastAsia"/>
        </w:rPr>
        <w:t>年</w:t>
      </w:r>
      <w:r>
        <w:t>12</w:t>
      </w:r>
      <w:r>
        <w:rPr>
          <w:rFonts w:hint="eastAsia"/>
        </w:rPr>
        <w:t>月，国际废娼者联合会（废娼联）主办了一个关于贩卖妇女问题的国际会议。会议目标是突出解决贩卖妇女问题，并特别关注波罗的海国家和东欧国家的贩卖妇女情况。会议的另一个目标是在出口国家和目的地国家的非政府组织与政府组织之间建立密切的联络。</w:t>
      </w:r>
    </w:p>
    <w:p w:rsidR="00000000" w:rsidRDefault="00000000">
      <w:pPr>
        <w:numPr>
          <w:ilvl w:val="0"/>
          <w:numId w:val="11"/>
        </w:numPr>
        <w:spacing w:after="240" w:line="360" w:lineRule="exact"/>
      </w:pPr>
      <w:r>
        <w:rPr>
          <w:rFonts w:hint="eastAsia"/>
        </w:rPr>
        <w:t>司法部长发动了一项综合调查，以查明问题的程度和查明作出有目标的打击贩卖妇女的合适努力的必要性。司法部要求检察官进行调查，以弄清在何种程度上需要进一步对与贩卖妇女相关的卖淫行为采取立法主动行动。</w:t>
      </w:r>
    </w:p>
    <w:p w:rsidR="00000000" w:rsidRDefault="00000000">
      <w:pPr>
        <w:numPr>
          <w:ilvl w:val="0"/>
          <w:numId w:val="11"/>
        </w:numPr>
        <w:spacing w:after="240" w:line="360" w:lineRule="exact"/>
      </w:pPr>
      <w:r>
        <w:rPr>
          <w:rFonts w:hint="eastAsia"/>
        </w:rPr>
        <w:t>男女平等事务部长设立了一个旨在特别加强在打击贩卖行为领域的工作的部间工作组。</w:t>
      </w:r>
    </w:p>
    <w:p w:rsidR="00000000" w:rsidRDefault="00000000">
      <w:pPr>
        <w:numPr>
          <w:ilvl w:val="0"/>
          <w:numId w:val="11"/>
        </w:numPr>
        <w:spacing w:after="240" w:line="360" w:lineRule="exact"/>
      </w:pPr>
      <w:r>
        <w:rPr>
          <w:rFonts w:hint="eastAsia"/>
        </w:rPr>
        <w:t>而且，主办了若干研讨会。</w:t>
      </w:r>
    </w:p>
    <w:p w:rsidR="00000000" w:rsidRDefault="00000000">
      <w:pPr>
        <w:spacing w:after="240" w:line="360" w:lineRule="exact"/>
        <w:ind w:firstLine="425"/>
      </w:pPr>
      <w:r>
        <w:rPr>
          <w:rFonts w:hint="eastAsia"/>
        </w:rPr>
        <w:t>丹麦在加强打击贩卖妇女的立法方面在国际上包括在欧盟发挥了积极的作用。</w:t>
      </w:r>
      <w:r>
        <w:t>1999</w:t>
      </w:r>
      <w:r>
        <w:rPr>
          <w:rFonts w:hint="eastAsia"/>
        </w:rPr>
        <w:t>年，丹麦积极参加《联合国打击跨国有组织犯罪公约关于防止、禁止和惩治贩运人口特别是妇女和儿童行为的补充议定书》的谈判工作。</w:t>
      </w:r>
    </w:p>
    <w:p w:rsidR="00000000" w:rsidRDefault="00000000">
      <w:pPr>
        <w:spacing w:after="240" w:line="360" w:lineRule="exact"/>
        <w:jc w:val="center"/>
        <w:rPr>
          <w:rFonts w:eastAsia="SimHei"/>
        </w:rPr>
      </w:pPr>
      <w:r>
        <w:rPr>
          <w:rFonts w:eastAsia="SimHei" w:hint="eastAsia"/>
        </w:rPr>
        <w:t>切割女性生殖器官</w:t>
      </w:r>
    </w:p>
    <w:p w:rsidR="00000000" w:rsidRDefault="00000000">
      <w:pPr>
        <w:pStyle w:val="BodyTextIndent"/>
        <w:spacing w:line="360" w:lineRule="exact"/>
      </w:pPr>
      <w:r>
        <w:rPr>
          <w:rFonts w:hint="eastAsia"/>
        </w:rPr>
        <w:t>自上期报告以来，切割妇女生殖器官问题在丹麦受到特别重视。在丹麦从事切割妇女生殖器官的活动是违法的。</w:t>
      </w:r>
    </w:p>
    <w:p w:rsidR="00000000" w:rsidRDefault="00000000">
      <w:pPr>
        <w:spacing w:after="240" w:line="360" w:lineRule="exact"/>
        <w:ind w:firstLine="425"/>
      </w:pPr>
      <w:r>
        <w:rPr>
          <w:rFonts w:hint="eastAsia"/>
        </w:rPr>
        <w:t>全国保健委员会于</w:t>
      </w:r>
      <w:r>
        <w:t>1997</w:t>
      </w:r>
      <w:r>
        <w:rPr>
          <w:rFonts w:hint="eastAsia"/>
        </w:rPr>
        <w:t>年发起一场关于切割女性生殖器官的宣传运动，拟于</w:t>
      </w:r>
      <w:r>
        <w:t>1997</w:t>
      </w:r>
      <w:r>
        <w:rPr>
          <w:rFonts w:hint="eastAsia"/>
        </w:rPr>
        <w:t>至</w:t>
      </w:r>
      <w:r>
        <w:t>1999</w:t>
      </w:r>
      <w:r>
        <w:rPr>
          <w:rFonts w:hint="eastAsia"/>
        </w:rPr>
        <w:t>年间开展这场运动。这场运动的目标是防止居住在丹麦的少女进行女性生殖器官切割。</w:t>
      </w:r>
    </w:p>
    <w:p w:rsidR="00000000" w:rsidRDefault="00000000">
      <w:pPr>
        <w:spacing w:after="240" w:line="360" w:lineRule="exact"/>
        <w:ind w:firstLine="425"/>
      </w:pPr>
      <w:r>
        <w:rPr>
          <w:rFonts w:hint="eastAsia"/>
        </w:rPr>
        <w:t>这场运动特别针对生活在丹麦的难民家庭，主要是索马里人，但也针对医生、保健服务业人员、教师、翻译和社会工作者等等。这场运动强调此种做法对少女及成年妇女均是有害的。它由三部分要素组成：</w:t>
      </w:r>
    </w:p>
    <w:p w:rsidR="00000000" w:rsidRDefault="00000000">
      <w:pPr>
        <w:numPr>
          <w:ilvl w:val="0"/>
          <w:numId w:val="13"/>
        </w:numPr>
        <w:spacing w:after="240" w:line="360" w:lineRule="exact"/>
      </w:pPr>
      <w:r>
        <w:rPr>
          <w:rFonts w:hint="eastAsia"/>
        </w:rPr>
        <w:t>向保健人员、教师、社会工作者等提供宣传材料；</w:t>
      </w:r>
    </w:p>
    <w:p w:rsidR="00000000" w:rsidRDefault="00000000">
      <w:pPr>
        <w:numPr>
          <w:ilvl w:val="0"/>
          <w:numId w:val="13"/>
        </w:numPr>
        <w:spacing w:after="240" w:line="360" w:lineRule="exact"/>
      </w:pPr>
      <w:r>
        <w:rPr>
          <w:rFonts w:hint="eastAsia"/>
        </w:rPr>
        <w:t>为索马里人制作的索马里文音像带</w:t>
      </w:r>
      <w:r>
        <w:rPr>
          <w:rFonts w:eastAsia="SimHei"/>
        </w:rPr>
        <w:t>–</w:t>
      </w:r>
      <w:r>
        <w:rPr>
          <w:rFonts w:hint="eastAsia"/>
        </w:rPr>
        <w:t>以启发人们展开讨论。该音像带宣传切割女性生殖器官所涉健康风险以及丹麦儿童的权利；</w:t>
      </w:r>
    </w:p>
    <w:p w:rsidR="00000000" w:rsidRDefault="00000000">
      <w:pPr>
        <w:numPr>
          <w:ilvl w:val="0"/>
          <w:numId w:val="13"/>
        </w:numPr>
        <w:spacing w:after="240" w:line="360" w:lineRule="exact"/>
      </w:pPr>
      <w:r>
        <w:rPr>
          <w:rFonts w:hint="eastAsia"/>
        </w:rPr>
        <w:t>关于索马里人和致力于防止切割女性生殖器官的地方支助工作组的辩论。</w:t>
      </w:r>
    </w:p>
    <w:p w:rsidR="00000000" w:rsidRDefault="00000000">
      <w:pPr>
        <w:spacing w:after="240" w:line="360" w:lineRule="exact"/>
        <w:ind w:firstLine="425"/>
      </w:pPr>
      <w:r>
        <w:t>1999</w:t>
      </w:r>
      <w:r>
        <w:rPr>
          <w:rFonts w:hint="eastAsia"/>
        </w:rPr>
        <w:t>年对此项运动、音像带和手册进行评价。将依据评价的成果开展这个领域的主动行动。所汲取的教训之一是把索马里人列入预防工作具有非常重要的意义。为此，成立了丹麦人</w:t>
      </w:r>
      <w:r>
        <w:t>—</w:t>
      </w:r>
      <w:r>
        <w:rPr>
          <w:rFonts w:hint="eastAsia"/>
        </w:rPr>
        <w:t>索马里人联合工作组以及促进联合宣传和保健教育活动。预计在</w:t>
      </w:r>
      <w:r>
        <w:t>2000</w:t>
      </w:r>
      <w:r>
        <w:rPr>
          <w:rFonts w:hint="eastAsia"/>
        </w:rPr>
        <w:t>年此项主动行动将再展期一年。</w:t>
      </w:r>
    </w:p>
    <w:p w:rsidR="00000000" w:rsidRDefault="00000000">
      <w:pPr>
        <w:spacing w:after="240" w:line="360" w:lineRule="exact"/>
        <w:jc w:val="center"/>
        <w:rPr>
          <w:rFonts w:eastAsia="SimHei" w:hint="eastAsia"/>
        </w:rPr>
      </w:pPr>
      <w:r>
        <w:rPr>
          <w:rFonts w:eastAsia="SimHei"/>
        </w:rPr>
        <w:br w:type="page"/>
      </w:r>
      <w:r>
        <w:rPr>
          <w:rFonts w:eastAsia="SimHei" w:hint="eastAsia"/>
        </w:rPr>
        <w:t>第</w:t>
      </w:r>
      <w:r>
        <w:rPr>
          <w:rFonts w:eastAsia="SimHei"/>
        </w:rPr>
        <w:t>13–16</w:t>
      </w:r>
      <w:r>
        <w:rPr>
          <w:rFonts w:eastAsia="SimHei" w:hint="eastAsia"/>
        </w:rPr>
        <w:t>条</w:t>
      </w:r>
    </w:p>
    <w:p w:rsidR="00000000" w:rsidRDefault="00000000">
      <w:pPr>
        <w:spacing w:after="240" w:line="360" w:lineRule="exact"/>
        <w:jc w:val="center"/>
        <w:rPr>
          <w:rFonts w:eastAsia="SimHei" w:hint="eastAsia"/>
        </w:rPr>
      </w:pPr>
      <w:r>
        <w:rPr>
          <w:rFonts w:eastAsia="SimHei" w:hint="eastAsia"/>
        </w:rPr>
        <w:t>消除性别歧视</w:t>
      </w:r>
    </w:p>
    <w:p w:rsidR="00000000" w:rsidRDefault="00000000">
      <w:pPr>
        <w:spacing w:after="240" w:line="360" w:lineRule="exact"/>
        <w:ind w:firstLine="425"/>
      </w:pPr>
      <w:r>
        <w:rPr>
          <w:rFonts w:hint="eastAsia"/>
        </w:rPr>
        <w:t>如前期报告所述，丹麦遵守了公约的所有规定。就法律面前平等和涉及婚姻和家庭关系的所有事项而言，妇女与男子在经济和社会生活中被给予平等的权利。</w:t>
      </w:r>
    </w:p>
    <w:p w:rsidR="00000000" w:rsidRDefault="00000000">
      <w:pPr>
        <w:spacing w:after="240" w:line="360" w:lineRule="exact"/>
        <w:ind w:firstLine="425"/>
      </w:pPr>
      <w:r>
        <w:rPr>
          <w:rFonts w:hint="eastAsia"/>
        </w:rPr>
        <w:t>参见以往各期报告以及对</w:t>
      </w:r>
      <w:r>
        <w:t>1997</w:t>
      </w:r>
      <w:r>
        <w:rPr>
          <w:rFonts w:hint="eastAsia"/>
        </w:rPr>
        <w:t>年</w:t>
      </w:r>
      <w:r>
        <w:t>1</w:t>
      </w:r>
      <w:r>
        <w:rPr>
          <w:rFonts w:hint="eastAsia"/>
        </w:rPr>
        <w:t>月在纽约审查依照《消除对妇女歧视公约》提交的第三次报告期间所提出问题的答复。</w:t>
      </w:r>
    </w:p>
    <w:p w:rsidR="00000000" w:rsidRDefault="00000000">
      <w:pPr>
        <w:spacing w:after="240" w:line="360" w:lineRule="exact"/>
        <w:ind w:firstLine="425"/>
        <w:jc w:val="center"/>
        <w:rPr>
          <w:rFonts w:eastAsia="SimHei"/>
        </w:rPr>
      </w:pPr>
      <w:r>
        <w:br w:type="page"/>
      </w:r>
      <w:r>
        <w:rPr>
          <w:rFonts w:eastAsia="SimHei" w:hint="eastAsia"/>
        </w:rPr>
        <w:t>表</w:t>
      </w:r>
    </w:p>
    <w:p w:rsidR="00000000" w:rsidRDefault="00000000">
      <w:pPr>
        <w:spacing w:after="240" w:line="360" w:lineRule="exact"/>
        <w:ind w:firstLine="425"/>
        <w:rPr>
          <w:rFonts w:eastAsia="SimHei"/>
        </w:rPr>
      </w:pPr>
      <w:r>
        <w:rPr>
          <w:rFonts w:eastAsia="SimHei"/>
          <w:noProof/>
          <w:sz w:val="20"/>
        </w:rPr>
        <w:pict>
          <v:shapetype id="_x0000_t202" coordsize="21600,21600" o:spt="202" path="m,l,21600r21600,l21600,xe">
            <v:stroke joinstyle="miter"/>
            <v:path gradientshapeok="t" o:connecttype="rect"/>
          </v:shapetype>
          <v:shape id="_x0000_s1027" type="#_x0000_t202" style="position:absolute;left:0;text-align:left;margin-left:66pt;margin-top:29.6pt;width:366pt;height:551.2pt;z-index:1" filled="f">
            <v:textbox>
              <w:txbxContent>
                <w:p w:rsidR="00000000" w:rsidRDefault="00000000">
                  <w:pPr>
                    <w:jc w:val="center"/>
                  </w:pPr>
                  <w:r>
                    <w:pict>
                      <v:shape id="_x0000_i1026" type="#_x0000_t75" style="width:280.5pt;height:531pt">
                        <v:imagedata r:id="rId9" o:title="2"/>
                      </v:shape>
                    </w:pict>
                  </w:r>
                </w:p>
              </w:txbxContent>
            </v:textbox>
          </v:shape>
        </w:pict>
      </w:r>
      <w:r>
        <w:rPr>
          <w:rFonts w:eastAsia="SimHei" w:hint="eastAsia"/>
        </w:rPr>
        <w:t>表</w:t>
      </w:r>
      <w:r>
        <w:rPr>
          <w:rFonts w:eastAsia="SimHei"/>
        </w:rPr>
        <w:t xml:space="preserve">1.  </w:t>
      </w:r>
      <w:r>
        <w:rPr>
          <w:rFonts w:eastAsia="SimHei" w:hint="eastAsia"/>
        </w:rPr>
        <w:t>1970</w:t>
      </w:r>
      <w:r>
        <w:rPr>
          <w:rFonts w:eastAsia="SimHei" w:hint="eastAsia"/>
        </w:rPr>
        <w:t>—</w:t>
      </w:r>
      <w:r>
        <w:rPr>
          <w:rFonts w:eastAsia="SimHei" w:hint="eastAsia"/>
        </w:rPr>
        <w:t>1998</w:t>
      </w:r>
      <w:r>
        <w:rPr>
          <w:rFonts w:eastAsia="SimHei" w:hint="eastAsia"/>
        </w:rPr>
        <w:t>年妇女在当选举机构中的代表情况</w:t>
      </w:r>
    </w:p>
    <w:p w:rsidR="00000000" w:rsidRDefault="00000000">
      <w:pPr>
        <w:spacing w:after="240" w:line="360" w:lineRule="exact"/>
        <w:rPr>
          <w:rFonts w:hint="eastAsia"/>
        </w:rPr>
      </w:pPr>
    </w:p>
    <w:p w:rsidR="00000000" w:rsidRDefault="00000000">
      <w:pPr>
        <w:spacing w:after="240" w:line="360" w:lineRule="exact"/>
        <w:jc w:val="center"/>
        <w:rPr>
          <w:rFonts w:eastAsia="SimHei" w:hint="eastAsia"/>
        </w:rPr>
      </w:pPr>
    </w:p>
    <w:p w:rsidR="00000000" w:rsidRDefault="00000000">
      <w:pPr>
        <w:spacing w:after="240" w:line="360" w:lineRule="exact"/>
        <w:jc w:val="center"/>
        <w:rPr>
          <w:rFonts w:eastAsia="SimHei"/>
        </w:rPr>
      </w:pPr>
      <w:r>
        <w:rPr>
          <w:noProof/>
          <w:sz w:val="20"/>
        </w:rPr>
        <w:pict>
          <v:shape id="_x0000_s1028" type="#_x0000_t202" style="position:absolute;left:0;text-align:left;margin-left:201.3pt;margin-top:442.25pt;width:84pt;height:48.4pt;z-index:2" filled="f" stroked="f">
            <v:textbox style="layout-flow:vertical;mso-next-textbox:#_x0000_s1028">
              <w:txbxContent>
                <w:p w:rsidR="00000000" w:rsidRDefault="00000000">
                  <w:pPr>
                    <w:spacing w:line="180" w:lineRule="exact"/>
                    <w:rPr>
                      <w:rFonts w:hint="eastAsia"/>
                      <w:sz w:val="13"/>
                    </w:rPr>
                  </w:pPr>
                  <w:r>
                    <w:rPr>
                      <w:rFonts w:hint="eastAsia"/>
                      <w:sz w:val="13"/>
                    </w:rPr>
                    <w:t>议会</w:t>
                  </w:r>
                </w:p>
                <w:p w:rsidR="00000000" w:rsidRDefault="00000000">
                  <w:pPr>
                    <w:spacing w:line="180" w:lineRule="exact"/>
                    <w:rPr>
                      <w:rFonts w:hint="eastAsia"/>
                      <w:sz w:val="13"/>
                    </w:rPr>
                  </w:pPr>
                  <w:r>
                    <w:rPr>
                      <w:rFonts w:hint="eastAsia"/>
                      <w:sz w:val="13"/>
                    </w:rPr>
                    <w:t>郡</w:t>
                  </w:r>
                </w:p>
                <w:p w:rsidR="00000000" w:rsidRDefault="00000000">
                  <w:pPr>
                    <w:spacing w:line="180" w:lineRule="exact"/>
                    <w:rPr>
                      <w:rFonts w:hint="eastAsia"/>
                      <w:sz w:val="13"/>
                    </w:rPr>
                  </w:pPr>
                  <w:r>
                    <w:rPr>
                      <w:rFonts w:hint="eastAsia"/>
                      <w:sz w:val="13"/>
                    </w:rPr>
                    <w:t>市</w:t>
                  </w:r>
                </w:p>
                <w:p w:rsidR="00000000" w:rsidRDefault="00000000">
                  <w:pPr>
                    <w:spacing w:line="180" w:lineRule="exact"/>
                    <w:rPr>
                      <w:sz w:val="13"/>
                    </w:rPr>
                  </w:pPr>
                  <w:r>
                    <w:rPr>
                      <w:rFonts w:hint="eastAsia"/>
                      <w:sz w:val="13"/>
                    </w:rPr>
                    <w:t>欧盟议会</w:t>
                  </w:r>
                </w:p>
              </w:txbxContent>
            </v:textbox>
          </v:shape>
        </w:pict>
      </w:r>
      <w:r>
        <w:rPr>
          <w:rFonts w:eastAsia="SimHei"/>
        </w:rPr>
        <w:br w:type="page"/>
      </w:r>
      <w:r>
        <w:rPr>
          <w:rFonts w:eastAsia="SimHei" w:hint="eastAsia"/>
        </w:rPr>
        <w:t>表</w:t>
      </w:r>
      <w:r>
        <w:rPr>
          <w:rFonts w:eastAsia="SimHei"/>
        </w:rPr>
        <w:t>2.  1985</w:t>
      </w:r>
      <w:r>
        <w:rPr>
          <w:rFonts w:eastAsia="SimHei" w:hint="eastAsia"/>
        </w:rPr>
        <w:t>-</w:t>
      </w:r>
      <w:r>
        <w:rPr>
          <w:rFonts w:eastAsia="SimHei"/>
        </w:rPr>
        <w:t>1998</w:t>
      </w:r>
      <w:r>
        <w:rPr>
          <w:rFonts w:eastAsia="SimHei" w:hint="eastAsia"/>
        </w:rPr>
        <w:t>年妇女在公共委员会、主管当局和委员会中的代表情况</w:t>
      </w:r>
    </w:p>
    <w:tbl>
      <w:tblPr>
        <w:tblW w:w="0" w:type="auto"/>
        <w:tblInd w:w="1588" w:type="dxa"/>
        <w:tblBorders>
          <w:top w:val="single" w:sz="6" w:space="0" w:color="auto"/>
          <w:bottom w:val="single" w:sz="6" w:space="0" w:color="auto"/>
        </w:tblBorders>
        <w:tblLayout w:type="fixed"/>
        <w:tblCellMar>
          <w:left w:w="28" w:type="dxa"/>
          <w:right w:w="28" w:type="dxa"/>
        </w:tblCellMar>
        <w:tblLook w:val="0000" w:firstRow="0" w:lastRow="0" w:firstColumn="0" w:lastColumn="0" w:noHBand="0" w:noVBand="0"/>
      </w:tblPr>
      <w:tblGrid>
        <w:gridCol w:w="3480"/>
        <w:gridCol w:w="3120"/>
      </w:tblGrid>
      <w:tr w:rsidR="00000000">
        <w:tblPrEx>
          <w:tblCellMar>
            <w:top w:w="0" w:type="dxa"/>
            <w:bottom w:w="0" w:type="dxa"/>
          </w:tblCellMar>
        </w:tblPrEx>
        <w:tc>
          <w:tcPr>
            <w:tcW w:w="3480" w:type="dxa"/>
            <w:tcBorders>
              <w:top w:val="single" w:sz="6" w:space="0" w:color="auto"/>
              <w:bottom w:val="single" w:sz="4" w:space="0" w:color="auto"/>
            </w:tcBorders>
          </w:tcPr>
          <w:p w:rsidR="00000000" w:rsidRDefault="00000000">
            <w:pPr>
              <w:spacing w:line="360" w:lineRule="exact"/>
              <w:jc w:val="center"/>
            </w:pPr>
            <w:r>
              <w:rPr>
                <w:rFonts w:hint="eastAsia"/>
              </w:rPr>
              <w:t>从下述时期建立的委员会</w:t>
            </w:r>
          </w:p>
        </w:tc>
        <w:tc>
          <w:tcPr>
            <w:tcW w:w="3120" w:type="dxa"/>
            <w:tcBorders>
              <w:top w:val="single" w:sz="6" w:space="0" w:color="auto"/>
              <w:bottom w:val="single" w:sz="4" w:space="0" w:color="auto"/>
            </w:tcBorders>
          </w:tcPr>
          <w:p w:rsidR="00000000" w:rsidRDefault="00000000">
            <w:pPr>
              <w:spacing w:line="360" w:lineRule="exact"/>
              <w:jc w:val="center"/>
            </w:pPr>
            <w:r>
              <w:rPr>
                <w:rFonts w:hint="eastAsia"/>
              </w:rPr>
              <w:t>妇女所占</w:t>
            </w:r>
            <w:r>
              <w:t>%</w:t>
            </w:r>
          </w:p>
        </w:tc>
      </w:tr>
      <w:tr w:rsidR="00000000">
        <w:tblPrEx>
          <w:tblCellMar>
            <w:top w:w="0" w:type="dxa"/>
            <w:bottom w:w="0" w:type="dxa"/>
          </w:tblCellMar>
        </w:tblPrEx>
        <w:tc>
          <w:tcPr>
            <w:tcW w:w="3480" w:type="dxa"/>
            <w:tcBorders>
              <w:top w:val="single" w:sz="4" w:space="0" w:color="auto"/>
            </w:tcBorders>
          </w:tcPr>
          <w:p w:rsidR="00000000" w:rsidRDefault="00000000">
            <w:pPr>
              <w:spacing w:line="360" w:lineRule="exact"/>
              <w:ind w:right="1588"/>
              <w:jc w:val="right"/>
            </w:pPr>
            <w:r>
              <w:t>5-31.12.86</w:t>
            </w:r>
          </w:p>
        </w:tc>
        <w:tc>
          <w:tcPr>
            <w:tcW w:w="3120" w:type="dxa"/>
            <w:tcBorders>
              <w:top w:val="single" w:sz="4" w:space="0" w:color="auto"/>
            </w:tcBorders>
          </w:tcPr>
          <w:p w:rsidR="00000000" w:rsidRDefault="00000000">
            <w:pPr>
              <w:spacing w:line="360" w:lineRule="exact"/>
              <w:jc w:val="center"/>
            </w:pPr>
            <w:r>
              <w:t>30.7%</w:t>
            </w:r>
          </w:p>
        </w:tc>
      </w:tr>
      <w:tr w:rsidR="00000000">
        <w:tblPrEx>
          <w:tblCellMar>
            <w:top w:w="0" w:type="dxa"/>
            <w:bottom w:w="0" w:type="dxa"/>
          </w:tblCellMar>
        </w:tblPrEx>
        <w:tc>
          <w:tcPr>
            <w:tcW w:w="3480" w:type="dxa"/>
          </w:tcPr>
          <w:p w:rsidR="00000000" w:rsidRDefault="00000000">
            <w:pPr>
              <w:spacing w:line="360" w:lineRule="exact"/>
              <w:ind w:right="1588"/>
              <w:jc w:val="right"/>
            </w:pPr>
            <w:r>
              <w:t>7-31.12.87</w:t>
            </w:r>
          </w:p>
        </w:tc>
        <w:tc>
          <w:tcPr>
            <w:tcW w:w="3120" w:type="dxa"/>
          </w:tcPr>
          <w:p w:rsidR="00000000" w:rsidRDefault="00000000">
            <w:pPr>
              <w:spacing w:line="360" w:lineRule="exact"/>
              <w:jc w:val="center"/>
            </w:pPr>
            <w:r>
              <w:t>38.0%</w:t>
            </w:r>
          </w:p>
        </w:tc>
      </w:tr>
      <w:tr w:rsidR="00000000">
        <w:tblPrEx>
          <w:tblCellMar>
            <w:top w:w="0" w:type="dxa"/>
            <w:bottom w:w="0" w:type="dxa"/>
          </w:tblCellMar>
        </w:tblPrEx>
        <w:tc>
          <w:tcPr>
            <w:tcW w:w="3480" w:type="dxa"/>
          </w:tcPr>
          <w:p w:rsidR="00000000" w:rsidRDefault="00000000">
            <w:pPr>
              <w:spacing w:line="360" w:lineRule="exact"/>
              <w:ind w:right="1588"/>
              <w:jc w:val="right"/>
            </w:pPr>
            <w:r>
              <w:t>1988</w:t>
            </w:r>
          </w:p>
        </w:tc>
        <w:tc>
          <w:tcPr>
            <w:tcW w:w="3120" w:type="dxa"/>
          </w:tcPr>
          <w:p w:rsidR="00000000" w:rsidRDefault="00000000">
            <w:pPr>
              <w:spacing w:line="360" w:lineRule="exact"/>
              <w:jc w:val="center"/>
            </w:pPr>
            <w:r>
              <w:t>38.0%</w:t>
            </w:r>
          </w:p>
        </w:tc>
      </w:tr>
      <w:tr w:rsidR="00000000">
        <w:tblPrEx>
          <w:tblCellMar>
            <w:top w:w="0" w:type="dxa"/>
            <w:bottom w:w="0" w:type="dxa"/>
          </w:tblCellMar>
        </w:tblPrEx>
        <w:tc>
          <w:tcPr>
            <w:tcW w:w="3480" w:type="dxa"/>
          </w:tcPr>
          <w:p w:rsidR="00000000" w:rsidRDefault="00000000">
            <w:pPr>
              <w:spacing w:line="360" w:lineRule="exact"/>
              <w:ind w:right="1588"/>
              <w:jc w:val="right"/>
            </w:pPr>
            <w:r>
              <w:t>1989</w:t>
            </w:r>
          </w:p>
        </w:tc>
        <w:tc>
          <w:tcPr>
            <w:tcW w:w="3120" w:type="dxa"/>
          </w:tcPr>
          <w:p w:rsidR="00000000" w:rsidRDefault="00000000">
            <w:pPr>
              <w:spacing w:line="360" w:lineRule="exact"/>
              <w:jc w:val="center"/>
            </w:pPr>
            <w:r>
              <w:t>31.2%</w:t>
            </w:r>
          </w:p>
        </w:tc>
      </w:tr>
      <w:tr w:rsidR="00000000">
        <w:tblPrEx>
          <w:tblCellMar>
            <w:top w:w="0" w:type="dxa"/>
            <w:bottom w:w="0" w:type="dxa"/>
          </w:tblCellMar>
        </w:tblPrEx>
        <w:tc>
          <w:tcPr>
            <w:tcW w:w="3480" w:type="dxa"/>
          </w:tcPr>
          <w:p w:rsidR="00000000" w:rsidRDefault="00000000">
            <w:pPr>
              <w:spacing w:line="360" w:lineRule="exact"/>
              <w:ind w:right="1588"/>
              <w:jc w:val="right"/>
            </w:pPr>
            <w:r>
              <w:t>1990</w:t>
            </w:r>
          </w:p>
        </w:tc>
        <w:tc>
          <w:tcPr>
            <w:tcW w:w="3120" w:type="dxa"/>
          </w:tcPr>
          <w:p w:rsidR="00000000" w:rsidRDefault="00000000">
            <w:pPr>
              <w:spacing w:line="360" w:lineRule="exact"/>
              <w:jc w:val="center"/>
            </w:pPr>
            <w:r>
              <w:t>38.0%</w:t>
            </w:r>
          </w:p>
        </w:tc>
      </w:tr>
      <w:tr w:rsidR="00000000">
        <w:tblPrEx>
          <w:tblCellMar>
            <w:top w:w="0" w:type="dxa"/>
            <w:bottom w:w="0" w:type="dxa"/>
          </w:tblCellMar>
        </w:tblPrEx>
        <w:tc>
          <w:tcPr>
            <w:tcW w:w="3480" w:type="dxa"/>
          </w:tcPr>
          <w:p w:rsidR="00000000" w:rsidRDefault="00000000">
            <w:pPr>
              <w:spacing w:line="360" w:lineRule="exact"/>
              <w:ind w:right="1588"/>
              <w:jc w:val="right"/>
            </w:pPr>
            <w:r>
              <w:t>1991</w:t>
            </w:r>
          </w:p>
        </w:tc>
        <w:tc>
          <w:tcPr>
            <w:tcW w:w="3120" w:type="dxa"/>
          </w:tcPr>
          <w:p w:rsidR="00000000" w:rsidRDefault="00000000">
            <w:pPr>
              <w:spacing w:line="360" w:lineRule="exact"/>
              <w:jc w:val="center"/>
            </w:pPr>
            <w:r>
              <w:t>34.9%</w:t>
            </w:r>
          </w:p>
        </w:tc>
      </w:tr>
      <w:tr w:rsidR="00000000">
        <w:tblPrEx>
          <w:tblCellMar>
            <w:top w:w="0" w:type="dxa"/>
            <w:bottom w:w="0" w:type="dxa"/>
          </w:tblCellMar>
        </w:tblPrEx>
        <w:tc>
          <w:tcPr>
            <w:tcW w:w="3480" w:type="dxa"/>
          </w:tcPr>
          <w:p w:rsidR="00000000" w:rsidRDefault="00000000">
            <w:pPr>
              <w:spacing w:line="360" w:lineRule="exact"/>
              <w:ind w:right="1588"/>
              <w:jc w:val="right"/>
            </w:pPr>
            <w:r>
              <w:t>1992</w:t>
            </w:r>
          </w:p>
        </w:tc>
        <w:tc>
          <w:tcPr>
            <w:tcW w:w="3120" w:type="dxa"/>
          </w:tcPr>
          <w:p w:rsidR="00000000" w:rsidRDefault="00000000">
            <w:pPr>
              <w:spacing w:line="360" w:lineRule="exact"/>
              <w:jc w:val="center"/>
            </w:pPr>
            <w:r>
              <w:t>37.0%</w:t>
            </w:r>
          </w:p>
        </w:tc>
      </w:tr>
      <w:tr w:rsidR="00000000">
        <w:tblPrEx>
          <w:tblCellMar>
            <w:top w:w="0" w:type="dxa"/>
            <w:bottom w:w="0" w:type="dxa"/>
          </w:tblCellMar>
        </w:tblPrEx>
        <w:tc>
          <w:tcPr>
            <w:tcW w:w="3480" w:type="dxa"/>
          </w:tcPr>
          <w:p w:rsidR="00000000" w:rsidRDefault="00000000">
            <w:pPr>
              <w:spacing w:line="360" w:lineRule="exact"/>
              <w:ind w:right="1588"/>
              <w:jc w:val="right"/>
            </w:pPr>
            <w:r>
              <w:t>1993</w:t>
            </w:r>
          </w:p>
        </w:tc>
        <w:tc>
          <w:tcPr>
            <w:tcW w:w="3120" w:type="dxa"/>
          </w:tcPr>
          <w:p w:rsidR="00000000" w:rsidRDefault="00000000">
            <w:pPr>
              <w:spacing w:line="360" w:lineRule="exact"/>
              <w:jc w:val="center"/>
            </w:pPr>
            <w:r>
              <w:t>37.8%</w:t>
            </w:r>
          </w:p>
        </w:tc>
      </w:tr>
      <w:tr w:rsidR="00000000">
        <w:tblPrEx>
          <w:tblCellMar>
            <w:top w:w="0" w:type="dxa"/>
            <w:bottom w:w="0" w:type="dxa"/>
          </w:tblCellMar>
        </w:tblPrEx>
        <w:tc>
          <w:tcPr>
            <w:tcW w:w="3480" w:type="dxa"/>
          </w:tcPr>
          <w:p w:rsidR="00000000" w:rsidRDefault="00000000">
            <w:pPr>
              <w:spacing w:line="360" w:lineRule="exact"/>
              <w:ind w:right="1588"/>
              <w:jc w:val="right"/>
            </w:pPr>
            <w:r>
              <w:t>1994</w:t>
            </w:r>
          </w:p>
        </w:tc>
        <w:tc>
          <w:tcPr>
            <w:tcW w:w="3120" w:type="dxa"/>
          </w:tcPr>
          <w:p w:rsidR="00000000" w:rsidRDefault="00000000">
            <w:pPr>
              <w:spacing w:line="360" w:lineRule="exact"/>
              <w:jc w:val="center"/>
            </w:pPr>
            <w:r>
              <w:t>37.0%</w:t>
            </w:r>
          </w:p>
        </w:tc>
      </w:tr>
      <w:tr w:rsidR="00000000">
        <w:tblPrEx>
          <w:tblCellMar>
            <w:top w:w="0" w:type="dxa"/>
            <w:bottom w:w="0" w:type="dxa"/>
          </w:tblCellMar>
        </w:tblPrEx>
        <w:tc>
          <w:tcPr>
            <w:tcW w:w="3480" w:type="dxa"/>
          </w:tcPr>
          <w:p w:rsidR="00000000" w:rsidRDefault="00000000">
            <w:pPr>
              <w:spacing w:line="360" w:lineRule="exact"/>
              <w:ind w:right="1588"/>
              <w:jc w:val="right"/>
            </w:pPr>
            <w:r>
              <w:t>1995</w:t>
            </w:r>
          </w:p>
        </w:tc>
        <w:tc>
          <w:tcPr>
            <w:tcW w:w="3120" w:type="dxa"/>
          </w:tcPr>
          <w:p w:rsidR="00000000" w:rsidRDefault="00000000">
            <w:pPr>
              <w:spacing w:line="360" w:lineRule="exact"/>
              <w:jc w:val="center"/>
            </w:pPr>
            <w:r>
              <w:t>32.6%</w:t>
            </w:r>
          </w:p>
        </w:tc>
      </w:tr>
      <w:tr w:rsidR="00000000">
        <w:tblPrEx>
          <w:tblCellMar>
            <w:top w:w="0" w:type="dxa"/>
            <w:bottom w:w="0" w:type="dxa"/>
          </w:tblCellMar>
        </w:tblPrEx>
        <w:tc>
          <w:tcPr>
            <w:tcW w:w="3480" w:type="dxa"/>
          </w:tcPr>
          <w:p w:rsidR="00000000" w:rsidRDefault="00000000">
            <w:pPr>
              <w:spacing w:line="360" w:lineRule="exact"/>
              <w:ind w:right="1588"/>
              <w:jc w:val="right"/>
            </w:pPr>
            <w:r>
              <w:t>1996</w:t>
            </w:r>
          </w:p>
        </w:tc>
        <w:tc>
          <w:tcPr>
            <w:tcW w:w="3120" w:type="dxa"/>
          </w:tcPr>
          <w:p w:rsidR="00000000" w:rsidRDefault="00000000">
            <w:pPr>
              <w:spacing w:line="360" w:lineRule="exact"/>
              <w:jc w:val="center"/>
            </w:pPr>
            <w:r>
              <w:t>38.9%</w:t>
            </w:r>
          </w:p>
        </w:tc>
      </w:tr>
      <w:tr w:rsidR="00000000">
        <w:tblPrEx>
          <w:tblCellMar>
            <w:top w:w="0" w:type="dxa"/>
            <w:bottom w:w="0" w:type="dxa"/>
          </w:tblCellMar>
        </w:tblPrEx>
        <w:tc>
          <w:tcPr>
            <w:tcW w:w="3480" w:type="dxa"/>
          </w:tcPr>
          <w:p w:rsidR="00000000" w:rsidRDefault="00000000">
            <w:pPr>
              <w:spacing w:line="360" w:lineRule="exact"/>
              <w:ind w:right="1588"/>
              <w:jc w:val="right"/>
            </w:pPr>
            <w:r>
              <w:t>1997</w:t>
            </w:r>
          </w:p>
        </w:tc>
        <w:tc>
          <w:tcPr>
            <w:tcW w:w="3120" w:type="dxa"/>
          </w:tcPr>
          <w:p w:rsidR="00000000" w:rsidRDefault="00000000">
            <w:pPr>
              <w:spacing w:line="360" w:lineRule="exact"/>
              <w:jc w:val="center"/>
            </w:pPr>
            <w:r>
              <w:t>38.4%</w:t>
            </w:r>
          </w:p>
        </w:tc>
      </w:tr>
      <w:tr w:rsidR="00000000">
        <w:tblPrEx>
          <w:tblCellMar>
            <w:top w:w="0" w:type="dxa"/>
            <w:bottom w:w="0" w:type="dxa"/>
          </w:tblCellMar>
        </w:tblPrEx>
        <w:tc>
          <w:tcPr>
            <w:tcW w:w="3480" w:type="dxa"/>
          </w:tcPr>
          <w:p w:rsidR="00000000" w:rsidRDefault="00000000">
            <w:pPr>
              <w:spacing w:line="360" w:lineRule="exact"/>
              <w:ind w:right="1588"/>
              <w:jc w:val="right"/>
            </w:pPr>
            <w:r>
              <w:t>1998</w:t>
            </w:r>
          </w:p>
        </w:tc>
        <w:tc>
          <w:tcPr>
            <w:tcW w:w="3120" w:type="dxa"/>
          </w:tcPr>
          <w:p w:rsidR="00000000" w:rsidRDefault="00000000">
            <w:pPr>
              <w:spacing w:line="360" w:lineRule="exact"/>
              <w:jc w:val="center"/>
            </w:pPr>
            <w:r>
              <w:t>38.0%</w:t>
            </w:r>
          </w:p>
        </w:tc>
      </w:tr>
    </w:tbl>
    <w:p w:rsidR="00000000" w:rsidRDefault="00000000">
      <w:pPr>
        <w:spacing w:after="240" w:line="360" w:lineRule="exact"/>
        <w:ind w:firstLine="1560"/>
      </w:pPr>
      <w:r>
        <w:rPr>
          <w:rFonts w:hint="eastAsia"/>
        </w:rPr>
        <w:t>资料来源：首相府以及平等地位委员会，</w:t>
      </w:r>
      <w:r>
        <w:rPr>
          <w:rFonts w:hint="eastAsia"/>
        </w:rPr>
        <w:t>1999</w:t>
      </w:r>
      <w:r>
        <w:rPr>
          <w:rFonts w:hint="eastAsia"/>
        </w:rPr>
        <w:t>年。</w:t>
      </w:r>
    </w:p>
    <w:p w:rsidR="00000000" w:rsidRDefault="00000000">
      <w:pPr>
        <w:spacing w:after="240" w:line="360" w:lineRule="exact"/>
        <w:jc w:val="center"/>
        <w:rPr>
          <w:rFonts w:eastAsia="SimHei"/>
        </w:rPr>
      </w:pPr>
      <w:r>
        <w:rPr>
          <w:rFonts w:eastAsia="SimHei" w:hint="eastAsia"/>
        </w:rPr>
        <w:t>表</w:t>
      </w:r>
      <w:r>
        <w:rPr>
          <w:rFonts w:eastAsia="SimHei"/>
        </w:rPr>
        <w:t>3.  1997</w:t>
      </w:r>
      <w:r>
        <w:rPr>
          <w:rFonts w:eastAsia="SimHei" w:hint="eastAsia"/>
        </w:rPr>
        <w:t>年按完成最高教育程度开列的妇女和男子情况</w:t>
      </w:r>
    </w:p>
    <w:tbl>
      <w:tblPr>
        <w:tblW w:w="0" w:type="auto"/>
        <w:tblBorders>
          <w:top w:val="single" w:sz="6" w:space="0" w:color="auto"/>
          <w:bottom w:val="single" w:sz="6" w:space="0" w:color="auto"/>
        </w:tblBorders>
        <w:tblLayout w:type="fixed"/>
        <w:tblCellMar>
          <w:left w:w="28" w:type="dxa"/>
          <w:right w:w="28" w:type="dxa"/>
        </w:tblCellMar>
        <w:tblLook w:val="0000" w:firstRow="0" w:lastRow="0" w:firstColumn="0" w:lastColumn="0" w:noHBand="0" w:noVBand="0"/>
      </w:tblPr>
      <w:tblGrid>
        <w:gridCol w:w="2668"/>
        <w:gridCol w:w="1440"/>
        <w:gridCol w:w="1320"/>
        <w:gridCol w:w="1440"/>
        <w:gridCol w:w="1440"/>
        <w:gridCol w:w="1560"/>
      </w:tblGrid>
      <w:tr w:rsidR="00000000">
        <w:tblPrEx>
          <w:tblCellMar>
            <w:top w:w="0" w:type="dxa"/>
            <w:bottom w:w="0" w:type="dxa"/>
          </w:tblCellMar>
        </w:tblPrEx>
        <w:tc>
          <w:tcPr>
            <w:tcW w:w="2668" w:type="dxa"/>
            <w:tcBorders>
              <w:top w:val="single" w:sz="6" w:space="0" w:color="auto"/>
              <w:bottom w:val="single" w:sz="4" w:space="0" w:color="auto"/>
            </w:tcBorders>
          </w:tcPr>
          <w:p w:rsidR="00000000" w:rsidRDefault="00000000">
            <w:pPr>
              <w:spacing w:line="360" w:lineRule="exact"/>
            </w:pPr>
          </w:p>
        </w:tc>
        <w:tc>
          <w:tcPr>
            <w:tcW w:w="1440" w:type="dxa"/>
            <w:tcBorders>
              <w:top w:val="single" w:sz="6" w:space="0" w:color="auto"/>
              <w:bottom w:val="single" w:sz="4" w:space="0" w:color="auto"/>
            </w:tcBorders>
          </w:tcPr>
          <w:p w:rsidR="00000000" w:rsidRDefault="00000000">
            <w:pPr>
              <w:spacing w:line="360" w:lineRule="exact"/>
              <w:jc w:val="center"/>
            </w:pPr>
            <w:r>
              <w:rPr>
                <w:rFonts w:hint="eastAsia"/>
              </w:rPr>
              <w:t>妇女</w:t>
            </w:r>
          </w:p>
          <w:p w:rsidR="00000000" w:rsidRDefault="00000000">
            <w:pPr>
              <w:spacing w:line="360" w:lineRule="exact"/>
              <w:jc w:val="center"/>
            </w:pPr>
            <w:r>
              <w:rPr>
                <w:rFonts w:hint="eastAsia"/>
              </w:rPr>
              <w:t>数目</w:t>
            </w:r>
          </w:p>
        </w:tc>
        <w:tc>
          <w:tcPr>
            <w:tcW w:w="1320" w:type="dxa"/>
            <w:tcBorders>
              <w:top w:val="single" w:sz="6" w:space="0" w:color="auto"/>
              <w:bottom w:val="single" w:sz="4" w:space="0" w:color="auto"/>
            </w:tcBorders>
          </w:tcPr>
          <w:p w:rsidR="00000000" w:rsidRDefault="00000000">
            <w:pPr>
              <w:spacing w:line="360" w:lineRule="exact"/>
              <w:jc w:val="center"/>
            </w:pPr>
            <w:r>
              <w:rPr>
                <w:rFonts w:hint="eastAsia"/>
              </w:rPr>
              <w:t>男子</w:t>
            </w:r>
          </w:p>
          <w:p w:rsidR="00000000" w:rsidRDefault="00000000">
            <w:pPr>
              <w:spacing w:line="360" w:lineRule="exact"/>
              <w:jc w:val="center"/>
            </w:pPr>
            <w:r>
              <w:rPr>
                <w:rFonts w:hint="eastAsia"/>
              </w:rPr>
              <w:t>数目</w:t>
            </w:r>
          </w:p>
        </w:tc>
        <w:tc>
          <w:tcPr>
            <w:tcW w:w="1440" w:type="dxa"/>
            <w:tcBorders>
              <w:top w:val="single" w:sz="6" w:space="0" w:color="auto"/>
              <w:bottom w:val="single" w:sz="4" w:space="0" w:color="auto"/>
            </w:tcBorders>
          </w:tcPr>
          <w:p w:rsidR="00000000" w:rsidRDefault="00000000">
            <w:pPr>
              <w:spacing w:line="360" w:lineRule="exact"/>
              <w:jc w:val="center"/>
            </w:pPr>
            <w:r>
              <w:rPr>
                <w:rFonts w:hint="eastAsia"/>
              </w:rPr>
              <w:t>妇女</w:t>
            </w:r>
          </w:p>
          <w:p w:rsidR="00000000" w:rsidRDefault="00000000">
            <w:pPr>
              <w:spacing w:line="360" w:lineRule="exact"/>
              <w:jc w:val="center"/>
            </w:pPr>
            <w:r>
              <w:t>%</w:t>
            </w:r>
          </w:p>
        </w:tc>
        <w:tc>
          <w:tcPr>
            <w:tcW w:w="1440" w:type="dxa"/>
            <w:tcBorders>
              <w:top w:val="single" w:sz="6" w:space="0" w:color="auto"/>
              <w:bottom w:val="single" w:sz="4" w:space="0" w:color="auto"/>
            </w:tcBorders>
          </w:tcPr>
          <w:p w:rsidR="00000000" w:rsidRDefault="00000000">
            <w:pPr>
              <w:spacing w:line="360" w:lineRule="exact"/>
              <w:jc w:val="center"/>
            </w:pPr>
            <w:r>
              <w:rPr>
                <w:rFonts w:hint="eastAsia"/>
              </w:rPr>
              <w:t>男子</w:t>
            </w:r>
          </w:p>
          <w:p w:rsidR="00000000" w:rsidRDefault="00000000">
            <w:pPr>
              <w:spacing w:line="360" w:lineRule="exact"/>
              <w:jc w:val="center"/>
            </w:pPr>
            <w:r>
              <w:t>%</w:t>
            </w:r>
          </w:p>
        </w:tc>
        <w:tc>
          <w:tcPr>
            <w:tcW w:w="1560" w:type="dxa"/>
            <w:tcBorders>
              <w:top w:val="single" w:sz="6" w:space="0" w:color="auto"/>
              <w:bottom w:val="single" w:sz="4" w:space="0" w:color="auto"/>
            </w:tcBorders>
          </w:tcPr>
          <w:p w:rsidR="00000000" w:rsidRDefault="00000000">
            <w:pPr>
              <w:spacing w:line="360" w:lineRule="exact"/>
              <w:jc w:val="center"/>
            </w:pPr>
            <w:r>
              <w:rPr>
                <w:rFonts w:hint="eastAsia"/>
              </w:rPr>
              <w:t>总数</w:t>
            </w:r>
          </w:p>
          <w:p w:rsidR="00000000" w:rsidRDefault="00000000">
            <w:pPr>
              <w:spacing w:line="360" w:lineRule="exact"/>
              <w:jc w:val="center"/>
            </w:pPr>
            <w:r>
              <w:t>%</w:t>
            </w:r>
          </w:p>
        </w:tc>
      </w:tr>
      <w:tr w:rsidR="00000000">
        <w:tblPrEx>
          <w:tblCellMar>
            <w:top w:w="0" w:type="dxa"/>
            <w:bottom w:w="0" w:type="dxa"/>
          </w:tblCellMar>
        </w:tblPrEx>
        <w:tc>
          <w:tcPr>
            <w:tcW w:w="2668" w:type="dxa"/>
            <w:tcBorders>
              <w:top w:val="single" w:sz="4" w:space="0" w:color="auto"/>
            </w:tcBorders>
          </w:tcPr>
          <w:p w:rsidR="00000000" w:rsidRDefault="00000000">
            <w:pPr>
              <w:spacing w:line="360" w:lineRule="exact"/>
            </w:pPr>
            <w:r>
              <w:rPr>
                <w:rFonts w:hint="eastAsia"/>
              </w:rPr>
              <w:t>基础教育</w:t>
            </w:r>
          </w:p>
        </w:tc>
        <w:tc>
          <w:tcPr>
            <w:tcW w:w="1440" w:type="dxa"/>
            <w:tcBorders>
              <w:top w:val="single" w:sz="4" w:space="0" w:color="auto"/>
            </w:tcBorders>
          </w:tcPr>
          <w:p w:rsidR="00000000" w:rsidRDefault="00000000">
            <w:pPr>
              <w:spacing w:line="360" w:lineRule="exact"/>
              <w:ind w:right="227"/>
              <w:jc w:val="right"/>
            </w:pPr>
            <w:r>
              <w:t>616 354</w:t>
            </w:r>
          </w:p>
        </w:tc>
        <w:tc>
          <w:tcPr>
            <w:tcW w:w="1320" w:type="dxa"/>
            <w:tcBorders>
              <w:top w:val="single" w:sz="4" w:space="0" w:color="auto"/>
            </w:tcBorders>
          </w:tcPr>
          <w:p w:rsidR="00000000" w:rsidRDefault="00000000">
            <w:pPr>
              <w:spacing w:line="360" w:lineRule="exact"/>
              <w:ind w:right="227"/>
              <w:jc w:val="right"/>
            </w:pPr>
            <w:r>
              <w:t>519 350</w:t>
            </w:r>
          </w:p>
        </w:tc>
        <w:tc>
          <w:tcPr>
            <w:tcW w:w="1440" w:type="dxa"/>
            <w:tcBorders>
              <w:top w:val="single" w:sz="4" w:space="0" w:color="auto"/>
            </w:tcBorders>
          </w:tcPr>
          <w:p w:rsidR="00000000" w:rsidRDefault="00000000">
            <w:pPr>
              <w:spacing w:line="360" w:lineRule="exact"/>
              <w:ind w:right="227"/>
              <w:jc w:val="right"/>
            </w:pPr>
            <w:r>
              <w:t>38.2</w:t>
            </w:r>
          </w:p>
        </w:tc>
        <w:tc>
          <w:tcPr>
            <w:tcW w:w="1440" w:type="dxa"/>
            <w:tcBorders>
              <w:top w:val="single" w:sz="4" w:space="0" w:color="auto"/>
            </w:tcBorders>
          </w:tcPr>
          <w:p w:rsidR="00000000" w:rsidRDefault="00000000">
            <w:pPr>
              <w:spacing w:line="360" w:lineRule="exact"/>
              <w:ind w:right="227"/>
              <w:jc w:val="right"/>
            </w:pPr>
            <w:r>
              <w:t>31.2</w:t>
            </w:r>
          </w:p>
        </w:tc>
        <w:tc>
          <w:tcPr>
            <w:tcW w:w="1560" w:type="dxa"/>
            <w:tcBorders>
              <w:top w:val="single" w:sz="4" w:space="0" w:color="auto"/>
            </w:tcBorders>
          </w:tcPr>
          <w:p w:rsidR="00000000" w:rsidRDefault="00000000">
            <w:pPr>
              <w:spacing w:line="360" w:lineRule="exact"/>
              <w:ind w:right="227"/>
              <w:jc w:val="right"/>
            </w:pPr>
            <w:r>
              <w:t>34.7</w:t>
            </w:r>
          </w:p>
        </w:tc>
      </w:tr>
      <w:tr w:rsidR="00000000">
        <w:tblPrEx>
          <w:tblCellMar>
            <w:top w:w="0" w:type="dxa"/>
            <w:bottom w:w="0" w:type="dxa"/>
          </w:tblCellMar>
        </w:tblPrEx>
        <w:tc>
          <w:tcPr>
            <w:tcW w:w="2668" w:type="dxa"/>
          </w:tcPr>
          <w:p w:rsidR="00000000" w:rsidRDefault="00000000">
            <w:pPr>
              <w:spacing w:line="360" w:lineRule="exact"/>
            </w:pPr>
            <w:r>
              <w:rPr>
                <w:rFonts w:hint="eastAsia"/>
              </w:rPr>
              <w:t>普通中学</w:t>
            </w:r>
          </w:p>
        </w:tc>
        <w:tc>
          <w:tcPr>
            <w:tcW w:w="1440" w:type="dxa"/>
          </w:tcPr>
          <w:p w:rsidR="00000000" w:rsidRDefault="00000000">
            <w:pPr>
              <w:spacing w:line="360" w:lineRule="exact"/>
              <w:ind w:right="227"/>
              <w:jc w:val="right"/>
            </w:pPr>
            <w:r>
              <w:t>65 593</w:t>
            </w:r>
          </w:p>
        </w:tc>
        <w:tc>
          <w:tcPr>
            <w:tcW w:w="1320" w:type="dxa"/>
          </w:tcPr>
          <w:p w:rsidR="00000000" w:rsidRDefault="00000000">
            <w:pPr>
              <w:spacing w:line="360" w:lineRule="exact"/>
              <w:ind w:right="227"/>
              <w:jc w:val="right"/>
            </w:pPr>
            <w:r>
              <w:t>51 966</w:t>
            </w:r>
          </w:p>
        </w:tc>
        <w:tc>
          <w:tcPr>
            <w:tcW w:w="1440" w:type="dxa"/>
          </w:tcPr>
          <w:p w:rsidR="00000000" w:rsidRDefault="00000000">
            <w:pPr>
              <w:spacing w:line="360" w:lineRule="exact"/>
              <w:ind w:right="227"/>
              <w:jc w:val="right"/>
            </w:pPr>
            <w:r>
              <w:t>4.1</w:t>
            </w:r>
          </w:p>
        </w:tc>
        <w:tc>
          <w:tcPr>
            <w:tcW w:w="1440" w:type="dxa"/>
          </w:tcPr>
          <w:p w:rsidR="00000000" w:rsidRDefault="00000000">
            <w:pPr>
              <w:spacing w:line="360" w:lineRule="exact"/>
              <w:ind w:right="227"/>
              <w:jc w:val="right"/>
            </w:pPr>
            <w:r>
              <w:t>3.1</w:t>
            </w:r>
          </w:p>
        </w:tc>
        <w:tc>
          <w:tcPr>
            <w:tcW w:w="1560" w:type="dxa"/>
          </w:tcPr>
          <w:p w:rsidR="00000000" w:rsidRDefault="00000000">
            <w:pPr>
              <w:spacing w:line="360" w:lineRule="exact"/>
              <w:ind w:right="227"/>
              <w:jc w:val="right"/>
            </w:pPr>
            <w:r>
              <w:t>3.6</w:t>
            </w:r>
          </w:p>
        </w:tc>
      </w:tr>
      <w:tr w:rsidR="00000000">
        <w:tblPrEx>
          <w:tblCellMar>
            <w:top w:w="0" w:type="dxa"/>
            <w:bottom w:w="0" w:type="dxa"/>
          </w:tblCellMar>
        </w:tblPrEx>
        <w:tc>
          <w:tcPr>
            <w:tcW w:w="2668" w:type="dxa"/>
          </w:tcPr>
          <w:p w:rsidR="00000000" w:rsidRDefault="00000000">
            <w:pPr>
              <w:spacing w:line="360" w:lineRule="exact"/>
            </w:pPr>
            <w:r>
              <w:rPr>
                <w:rFonts w:hint="eastAsia"/>
              </w:rPr>
              <w:t>职业中学</w:t>
            </w:r>
          </w:p>
        </w:tc>
        <w:tc>
          <w:tcPr>
            <w:tcW w:w="1440" w:type="dxa"/>
          </w:tcPr>
          <w:p w:rsidR="00000000" w:rsidRDefault="00000000">
            <w:pPr>
              <w:spacing w:line="360" w:lineRule="exact"/>
              <w:ind w:right="227"/>
              <w:jc w:val="right"/>
            </w:pPr>
            <w:r>
              <w:t>29 436</w:t>
            </w:r>
          </w:p>
        </w:tc>
        <w:tc>
          <w:tcPr>
            <w:tcW w:w="1320" w:type="dxa"/>
          </w:tcPr>
          <w:p w:rsidR="00000000" w:rsidRDefault="00000000">
            <w:pPr>
              <w:spacing w:line="360" w:lineRule="exact"/>
              <w:ind w:right="227"/>
              <w:jc w:val="right"/>
            </w:pPr>
            <w:r>
              <w:t>27 061</w:t>
            </w:r>
          </w:p>
        </w:tc>
        <w:tc>
          <w:tcPr>
            <w:tcW w:w="1440" w:type="dxa"/>
          </w:tcPr>
          <w:p w:rsidR="00000000" w:rsidRDefault="00000000">
            <w:pPr>
              <w:spacing w:line="360" w:lineRule="exact"/>
              <w:ind w:right="227"/>
              <w:jc w:val="right"/>
            </w:pPr>
            <w:r>
              <w:t>1.8</w:t>
            </w:r>
          </w:p>
        </w:tc>
        <w:tc>
          <w:tcPr>
            <w:tcW w:w="1440" w:type="dxa"/>
          </w:tcPr>
          <w:p w:rsidR="00000000" w:rsidRDefault="00000000">
            <w:pPr>
              <w:spacing w:line="360" w:lineRule="exact"/>
              <w:ind w:right="227"/>
              <w:jc w:val="right"/>
            </w:pPr>
            <w:r>
              <w:t>1.6</w:t>
            </w:r>
          </w:p>
        </w:tc>
        <w:tc>
          <w:tcPr>
            <w:tcW w:w="1560" w:type="dxa"/>
          </w:tcPr>
          <w:p w:rsidR="00000000" w:rsidRDefault="00000000">
            <w:pPr>
              <w:spacing w:line="360" w:lineRule="exact"/>
              <w:ind w:right="227"/>
              <w:jc w:val="right"/>
            </w:pPr>
            <w:r>
              <w:t>1.7</w:t>
            </w:r>
          </w:p>
        </w:tc>
      </w:tr>
      <w:tr w:rsidR="00000000">
        <w:tblPrEx>
          <w:tblCellMar>
            <w:top w:w="0" w:type="dxa"/>
            <w:bottom w:w="0" w:type="dxa"/>
          </w:tblCellMar>
        </w:tblPrEx>
        <w:tc>
          <w:tcPr>
            <w:tcW w:w="2668" w:type="dxa"/>
          </w:tcPr>
          <w:p w:rsidR="00000000" w:rsidRDefault="00000000">
            <w:pPr>
              <w:spacing w:line="360" w:lineRule="exact"/>
            </w:pPr>
            <w:r>
              <w:rPr>
                <w:rFonts w:hint="eastAsia"/>
              </w:rPr>
              <w:t>职业教育</w:t>
            </w:r>
          </w:p>
        </w:tc>
        <w:tc>
          <w:tcPr>
            <w:tcW w:w="1440" w:type="dxa"/>
          </w:tcPr>
          <w:p w:rsidR="00000000" w:rsidRDefault="00000000">
            <w:pPr>
              <w:spacing w:line="360" w:lineRule="exact"/>
              <w:ind w:right="227"/>
              <w:jc w:val="right"/>
            </w:pPr>
            <w:r>
              <w:t>508 265</w:t>
            </w:r>
          </w:p>
        </w:tc>
        <w:tc>
          <w:tcPr>
            <w:tcW w:w="1320" w:type="dxa"/>
          </w:tcPr>
          <w:p w:rsidR="00000000" w:rsidRDefault="00000000">
            <w:pPr>
              <w:spacing w:line="360" w:lineRule="exact"/>
              <w:ind w:right="227"/>
              <w:jc w:val="right"/>
            </w:pPr>
            <w:r>
              <w:t>669 961</w:t>
            </w:r>
          </w:p>
        </w:tc>
        <w:tc>
          <w:tcPr>
            <w:tcW w:w="1440" w:type="dxa"/>
          </w:tcPr>
          <w:p w:rsidR="00000000" w:rsidRDefault="00000000">
            <w:pPr>
              <w:spacing w:line="360" w:lineRule="exact"/>
              <w:ind w:right="227"/>
              <w:jc w:val="right"/>
            </w:pPr>
            <w:r>
              <w:t>31.5</w:t>
            </w:r>
          </w:p>
        </w:tc>
        <w:tc>
          <w:tcPr>
            <w:tcW w:w="1440" w:type="dxa"/>
          </w:tcPr>
          <w:p w:rsidR="00000000" w:rsidRDefault="00000000">
            <w:pPr>
              <w:spacing w:line="360" w:lineRule="exact"/>
              <w:ind w:right="227"/>
              <w:jc w:val="right"/>
            </w:pPr>
            <w:r>
              <w:t>40.3</w:t>
            </w:r>
          </w:p>
        </w:tc>
        <w:tc>
          <w:tcPr>
            <w:tcW w:w="1560" w:type="dxa"/>
          </w:tcPr>
          <w:p w:rsidR="00000000" w:rsidRDefault="00000000">
            <w:pPr>
              <w:spacing w:line="360" w:lineRule="exact"/>
              <w:ind w:right="227"/>
              <w:jc w:val="right"/>
            </w:pPr>
            <w:r>
              <w:t>36.0</w:t>
            </w:r>
          </w:p>
        </w:tc>
      </w:tr>
      <w:tr w:rsidR="00000000">
        <w:tblPrEx>
          <w:tblCellMar>
            <w:top w:w="0" w:type="dxa"/>
            <w:bottom w:w="0" w:type="dxa"/>
          </w:tblCellMar>
        </w:tblPrEx>
        <w:tc>
          <w:tcPr>
            <w:tcW w:w="2668" w:type="dxa"/>
          </w:tcPr>
          <w:p w:rsidR="00000000" w:rsidRDefault="00000000">
            <w:pPr>
              <w:spacing w:line="360" w:lineRule="exact"/>
            </w:pPr>
            <w:r>
              <w:rPr>
                <w:rFonts w:hint="eastAsia"/>
              </w:rPr>
              <w:t>短期高等课程</w:t>
            </w:r>
          </w:p>
        </w:tc>
        <w:tc>
          <w:tcPr>
            <w:tcW w:w="1440" w:type="dxa"/>
          </w:tcPr>
          <w:p w:rsidR="00000000" w:rsidRDefault="00000000">
            <w:pPr>
              <w:spacing w:line="360" w:lineRule="exact"/>
              <w:ind w:right="227"/>
              <w:jc w:val="right"/>
            </w:pPr>
            <w:r>
              <w:t>108 219</w:t>
            </w:r>
          </w:p>
        </w:tc>
        <w:tc>
          <w:tcPr>
            <w:tcW w:w="1320" w:type="dxa"/>
          </w:tcPr>
          <w:p w:rsidR="00000000" w:rsidRDefault="00000000">
            <w:pPr>
              <w:spacing w:line="360" w:lineRule="exact"/>
              <w:ind w:right="227"/>
              <w:jc w:val="right"/>
            </w:pPr>
            <w:r>
              <w:t>82 426</w:t>
            </w:r>
          </w:p>
        </w:tc>
        <w:tc>
          <w:tcPr>
            <w:tcW w:w="1440" w:type="dxa"/>
          </w:tcPr>
          <w:p w:rsidR="00000000" w:rsidRDefault="00000000">
            <w:pPr>
              <w:spacing w:line="360" w:lineRule="exact"/>
              <w:ind w:right="227"/>
              <w:jc w:val="right"/>
            </w:pPr>
            <w:r>
              <w:t>6.7</w:t>
            </w:r>
          </w:p>
        </w:tc>
        <w:tc>
          <w:tcPr>
            <w:tcW w:w="1440" w:type="dxa"/>
          </w:tcPr>
          <w:p w:rsidR="00000000" w:rsidRDefault="00000000">
            <w:pPr>
              <w:spacing w:line="360" w:lineRule="exact"/>
              <w:ind w:right="227"/>
              <w:jc w:val="right"/>
            </w:pPr>
            <w:r>
              <w:t>5.0</w:t>
            </w:r>
          </w:p>
        </w:tc>
        <w:tc>
          <w:tcPr>
            <w:tcW w:w="1560" w:type="dxa"/>
          </w:tcPr>
          <w:p w:rsidR="00000000" w:rsidRDefault="00000000">
            <w:pPr>
              <w:spacing w:line="360" w:lineRule="exact"/>
              <w:ind w:right="227"/>
              <w:jc w:val="right"/>
            </w:pPr>
            <w:r>
              <w:t>5.8</w:t>
            </w:r>
          </w:p>
        </w:tc>
      </w:tr>
      <w:tr w:rsidR="00000000">
        <w:tblPrEx>
          <w:tblCellMar>
            <w:top w:w="0" w:type="dxa"/>
            <w:bottom w:w="0" w:type="dxa"/>
          </w:tblCellMar>
        </w:tblPrEx>
        <w:tc>
          <w:tcPr>
            <w:tcW w:w="2668" w:type="dxa"/>
          </w:tcPr>
          <w:p w:rsidR="00000000" w:rsidRDefault="00000000">
            <w:pPr>
              <w:spacing w:line="360" w:lineRule="exact"/>
            </w:pPr>
            <w:r>
              <w:rPr>
                <w:rFonts w:hint="eastAsia"/>
              </w:rPr>
              <w:t>中期高等课程</w:t>
            </w:r>
          </w:p>
        </w:tc>
        <w:tc>
          <w:tcPr>
            <w:tcW w:w="1440" w:type="dxa"/>
          </w:tcPr>
          <w:p w:rsidR="00000000" w:rsidRDefault="00000000">
            <w:pPr>
              <w:spacing w:line="360" w:lineRule="exact"/>
              <w:ind w:right="227"/>
              <w:jc w:val="right"/>
            </w:pPr>
            <w:r>
              <w:t>151 794</w:t>
            </w:r>
          </w:p>
        </w:tc>
        <w:tc>
          <w:tcPr>
            <w:tcW w:w="1320" w:type="dxa"/>
          </w:tcPr>
          <w:p w:rsidR="00000000" w:rsidRDefault="00000000">
            <w:pPr>
              <w:spacing w:line="360" w:lineRule="exact"/>
              <w:ind w:right="227"/>
              <w:jc w:val="right"/>
            </w:pPr>
            <w:r>
              <w:t>123 052</w:t>
            </w:r>
          </w:p>
        </w:tc>
        <w:tc>
          <w:tcPr>
            <w:tcW w:w="1440" w:type="dxa"/>
          </w:tcPr>
          <w:p w:rsidR="00000000" w:rsidRDefault="00000000">
            <w:pPr>
              <w:spacing w:line="360" w:lineRule="exact"/>
              <w:ind w:right="227"/>
              <w:jc w:val="right"/>
            </w:pPr>
            <w:r>
              <w:t>9.4</w:t>
            </w:r>
          </w:p>
        </w:tc>
        <w:tc>
          <w:tcPr>
            <w:tcW w:w="1440" w:type="dxa"/>
          </w:tcPr>
          <w:p w:rsidR="00000000" w:rsidRDefault="00000000">
            <w:pPr>
              <w:spacing w:line="360" w:lineRule="exact"/>
              <w:ind w:right="227"/>
              <w:jc w:val="right"/>
            </w:pPr>
            <w:r>
              <w:t>7.4</w:t>
            </w:r>
          </w:p>
        </w:tc>
        <w:tc>
          <w:tcPr>
            <w:tcW w:w="1560" w:type="dxa"/>
          </w:tcPr>
          <w:p w:rsidR="00000000" w:rsidRDefault="00000000">
            <w:pPr>
              <w:spacing w:line="360" w:lineRule="exact"/>
              <w:ind w:right="227"/>
              <w:jc w:val="right"/>
            </w:pPr>
            <w:r>
              <w:t>8.4</w:t>
            </w:r>
          </w:p>
        </w:tc>
      </w:tr>
      <w:tr w:rsidR="00000000">
        <w:tblPrEx>
          <w:tblCellMar>
            <w:top w:w="0" w:type="dxa"/>
            <w:bottom w:w="0" w:type="dxa"/>
          </w:tblCellMar>
        </w:tblPrEx>
        <w:tc>
          <w:tcPr>
            <w:tcW w:w="2668" w:type="dxa"/>
          </w:tcPr>
          <w:p w:rsidR="00000000" w:rsidRDefault="00000000">
            <w:pPr>
              <w:spacing w:line="360" w:lineRule="exact"/>
            </w:pPr>
            <w:r>
              <w:rPr>
                <w:rFonts w:hint="eastAsia"/>
              </w:rPr>
              <w:t>长期高等课程</w:t>
            </w:r>
          </w:p>
        </w:tc>
        <w:tc>
          <w:tcPr>
            <w:tcW w:w="1440" w:type="dxa"/>
          </w:tcPr>
          <w:p w:rsidR="00000000" w:rsidRDefault="00000000">
            <w:pPr>
              <w:spacing w:line="360" w:lineRule="exact"/>
              <w:ind w:right="227"/>
              <w:jc w:val="right"/>
            </w:pPr>
            <w:r>
              <w:t>49 413</w:t>
            </w:r>
          </w:p>
        </w:tc>
        <w:tc>
          <w:tcPr>
            <w:tcW w:w="1320" w:type="dxa"/>
          </w:tcPr>
          <w:p w:rsidR="00000000" w:rsidRDefault="00000000">
            <w:pPr>
              <w:spacing w:line="360" w:lineRule="exact"/>
              <w:ind w:right="227"/>
              <w:jc w:val="right"/>
            </w:pPr>
            <w:r>
              <w:t>96 045</w:t>
            </w:r>
          </w:p>
        </w:tc>
        <w:tc>
          <w:tcPr>
            <w:tcW w:w="1440" w:type="dxa"/>
          </w:tcPr>
          <w:p w:rsidR="00000000" w:rsidRDefault="00000000">
            <w:pPr>
              <w:spacing w:line="360" w:lineRule="exact"/>
              <w:ind w:right="227"/>
              <w:jc w:val="right"/>
            </w:pPr>
            <w:r>
              <w:t>3.1</w:t>
            </w:r>
          </w:p>
        </w:tc>
        <w:tc>
          <w:tcPr>
            <w:tcW w:w="1440" w:type="dxa"/>
          </w:tcPr>
          <w:p w:rsidR="00000000" w:rsidRDefault="00000000">
            <w:pPr>
              <w:spacing w:line="360" w:lineRule="exact"/>
              <w:ind w:right="227"/>
              <w:jc w:val="right"/>
            </w:pPr>
            <w:r>
              <w:t>5.8</w:t>
            </w:r>
          </w:p>
        </w:tc>
        <w:tc>
          <w:tcPr>
            <w:tcW w:w="1560" w:type="dxa"/>
          </w:tcPr>
          <w:p w:rsidR="00000000" w:rsidRDefault="00000000">
            <w:pPr>
              <w:spacing w:line="360" w:lineRule="exact"/>
              <w:ind w:right="227"/>
              <w:jc w:val="right"/>
            </w:pPr>
            <w:r>
              <w:rPr>
                <w:rFonts w:hint="eastAsia"/>
              </w:rPr>
              <w:t>4</w:t>
            </w:r>
            <w:r>
              <w:t>.4</w:t>
            </w:r>
          </w:p>
        </w:tc>
      </w:tr>
      <w:tr w:rsidR="00000000">
        <w:tblPrEx>
          <w:tblCellMar>
            <w:top w:w="0" w:type="dxa"/>
            <w:bottom w:w="0" w:type="dxa"/>
          </w:tblCellMar>
        </w:tblPrEx>
        <w:tc>
          <w:tcPr>
            <w:tcW w:w="2668" w:type="dxa"/>
            <w:tcBorders>
              <w:bottom w:val="single" w:sz="4" w:space="0" w:color="auto"/>
            </w:tcBorders>
          </w:tcPr>
          <w:p w:rsidR="00000000" w:rsidRDefault="00000000">
            <w:pPr>
              <w:spacing w:line="360" w:lineRule="exact"/>
            </w:pPr>
            <w:r>
              <w:rPr>
                <w:rFonts w:hint="eastAsia"/>
              </w:rPr>
              <w:t>未按等级划分的教育</w:t>
            </w:r>
          </w:p>
        </w:tc>
        <w:tc>
          <w:tcPr>
            <w:tcW w:w="1440" w:type="dxa"/>
            <w:tcBorders>
              <w:bottom w:val="single" w:sz="4" w:space="0" w:color="auto"/>
            </w:tcBorders>
          </w:tcPr>
          <w:p w:rsidR="00000000" w:rsidRDefault="00000000">
            <w:pPr>
              <w:spacing w:line="360" w:lineRule="exact"/>
              <w:ind w:right="227"/>
              <w:jc w:val="right"/>
            </w:pPr>
            <w:r>
              <w:t>84 317</w:t>
            </w:r>
          </w:p>
        </w:tc>
        <w:tc>
          <w:tcPr>
            <w:tcW w:w="1320" w:type="dxa"/>
            <w:tcBorders>
              <w:bottom w:val="single" w:sz="4" w:space="0" w:color="auto"/>
            </w:tcBorders>
          </w:tcPr>
          <w:p w:rsidR="00000000" w:rsidRDefault="00000000">
            <w:pPr>
              <w:spacing w:line="360" w:lineRule="exact"/>
              <w:ind w:right="227"/>
              <w:jc w:val="right"/>
            </w:pPr>
            <w:r>
              <w:t>93 490</w:t>
            </w:r>
          </w:p>
        </w:tc>
        <w:tc>
          <w:tcPr>
            <w:tcW w:w="1440" w:type="dxa"/>
            <w:tcBorders>
              <w:bottom w:val="single" w:sz="4" w:space="0" w:color="auto"/>
            </w:tcBorders>
          </w:tcPr>
          <w:p w:rsidR="00000000" w:rsidRDefault="00000000">
            <w:pPr>
              <w:spacing w:line="360" w:lineRule="exact"/>
              <w:ind w:right="227"/>
              <w:jc w:val="right"/>
            </w:pPr>
            <w:r>
              <w:t>5.2</w:t>
            </w:r>
          </w:p>
        </w:tc>
        <w:tc>
          <w:tcPr>
            <w:tcW w:w="1440" w:type="dxa"/>
            <w:tcBorders>
              <w:bottom w:val="single" w:sz="4" w:space="0" w:color="auto"/>
            </w:tcBorders>
          </w:tcPr>
          <w:p w:rsidR="00000000" w:rsidRDefault="00000000">
            <w:pPr>
              <w:spacing w:line="360" w:lineRule="exact"/>
              <w:ind w:right="227"/>
              <w:jc w:val="right"/>
            </w:pPr>
            <w:r>
              <w:t>5.6</w:t>
            </w:r>
          </w:p>
        </w:tc>
        <w:tc>
          <w:tcPr>
            <w:tcW w:w="1560" w:type="dxa"/>
            <w:tcBorders>
              <w:bottom w:val="single" w:sz="4" w:space="0" w:color="auto"/>
            </w:tcBorders>
          </w:tcPr>
          <w:p w:rsidR="00000000" w:rsidRDefault="00000000">
            <w:pPr>
              <w:spacing w:line="360" w:lineRule="exact"/>
              <w:ind w:right="227"/>
              <w:jc w:val="right"/>
            </w:pPr>
            <w:r>
              <w:t>5.4</w:t>
            </w:r>
          </w:p>
        </w:tc>
      </w:tr>
      <w:tr w:rsidR="00000000">
        <w:tblPrEx>
          <w:tblCellMar>
            <w:top w:w="0" w:type="dxa"/>
            <w:bottom w:w="0" w:type="dxa"/>
          </w:tblCellMar>
        </w:tblPrEx>
        <w:tc>
          <w:tcPr>
            <w:tcW w:w="2668" w:type="dxa"/>
            <w:tcBorders>
              <w:top w:val="single" w:sz="4" w:space="0" w:color="auto"/>
              <w:bottom w:val="single" w:sz="6" w:space="0" w:color="auto"/>
            </w:tcBorders>
          </w:tcPr>
          <w:p w:rsidR="00000000" w:rsidRDefault="00000000">
            <w:pPr>
              <w:spacing w:line="360" w:lineRule="exact"/>
              <w:rPr>
                <w:rFonts w:eastAsia="SimHei"/>
              </w:rPr>
            </w:pPr>
            <w:r>
              <w:rPr>
                <w:rFonts w:eastAsia="SimHei" w:hint="eastAsia"/>
              </w:rPr>
              <w:t>总计</w:t>
            </w:r>
          </w:p>
        </w:tc>
        <w:tc>
          <w:tcPr>
            <w:tcW w:w="1440" w:type="dxa"/>
            <w:tcBorders>
              <w:top w:val="single" w:sz="4" w:space="0" w:color="auto"/>
              <w:bottom w:val="single" w:sz="6" w:space="0" w:color="auto"/>
            </w:tcBorders>
          </w:tcPr>
          <w:p w:rsidR="00000000" w:rsidRDefault="00000000">
            <w:pPr>
              <w:spacing w:line="360" w:lineRule="exact"/>
              <w:ind w:right="227"/>
              <w:jc w:val="right"/>
              <w:rPr>
                <w:rFonts w:eastAsia="SimHei"/>
                <w:b/>
                <w:bCs/>
              </w:rPr>
            </w:pPr>
            <w:r>
              <w:rPr>
                <w:rFonts w:eastAsia="SimHei"/>
                <w:b/>
                <w:bCs/>
              </w:rPr>
              <w:t>1 613 391</w:t>
            </w:r>
          </w:p>
        </w:tc>
        <w:tc>
          <w:tcPr>
            <w:tcW w:w="1320" w:type="dxa"/>
            <w:tcBorders>
              <w:top w:val="single" w:sz="4" w:space="0" w:color="auto"/>
              <w:bottom w:val="single" w:sz="6" w:space="0" w:color="auto"/>
            </w:tcBorders>
          </w:tcPr>
          <w:p w:rsidR="00000000" w:rsidRDefault="00000000">
            <w:pPr>
              <w:spacing w:line="360" w:lineRule="exact"/>
              <w:ind w:right="227"/>
              <w:jc w:val="right"/>
              <w:rPr>
                <w:rFonts w:eastAsia="SimHei"/>
                <w:b/>
                <w:bCs/>
              </w:rPr>
            </w:pPr>
            <w:r>
              <w:rPr>
                <w:rFonts w:eastAsia="SimHei"/>
                <w:b/>
                <w:bCs/>
              </w:rPr>
              <w:t>1</w:t>
            </w:r>
            <w:r>
              <w:rPr>
                <w:rFonts w:eastAsia="SimHei" w:hint="eastAsia"/>
                <w:b/>
                <w:bCs/>
              </w:rPr>
              <w:t xml:space="preserve"> </w:t>
            </w:r>
            <w:r>
              <w:rPr>
                <w:rFonts w:eastAsia="SimHei"/>
                <w:b/>
                <w:bCs/>
              </w:rPr>
              <w:t>663 351</w:t>
            </w:r>
          </w:p>
        </w:tc>
        <w:tc>
          <w:tcPr>
            <w:tcW w:w="1440" w:type="dxa"/>
            <w:tcBorders>
              <w:top w:val="single" w:sz="4" w:space="0" w:color="auto"/>
              <w:bottom w:val="single" w:sz="6" w:space="0" w:color="auto"/>
            </w:tcBorders>
          </w:tcPr>
          <w:p w:rsidR="00000000" w:rsidRDefault="00000000">
            <w:pPr>
              <w:spacing w:line="360" w:lineRule="exact"/>
              <w:ind w:right="227"/>
              <w:jc w:val="right"/>
              <w:rPr>
                <w:rFonts w:eastAsia="SimHei"/>
                <w:b/>
                <w:bCs/>
              </w:rPr>
            </w:pPr>
            <w:r>
              <w:rPr>
                <w:rFonts w:eastAsia="SimHei"/>
                <w:b/>
                <w:bCs/>
              </w:rPr>
              <w:t>100.0</w:t>
            </w:r>
          </w:p>
        </w:tc>
        <w:tc>
          <w:tcPr>
            <w:tcW w:w="1440" w:type="dxa"/>
            <w:tcBorders>
              <w:top w:val="single" w:sz="4" w:space="0" w:color="auto"/>
              <w:bottom w:val="single" w:sz="6" w:space="0" w:color="auto"/>
            </w:tcBorders>
          </w:tcPr>
          <w:p w:rsidR="00000000" w:rsidRDefault="00000000">
            <w:pPr>
              <w:spacing w:line="360" w:lineRule="exact"/>
              <w:ind w:right="227"/>
              <w:jc w:val="right"/>
              <w:rPr>
                <w:rFonts w:eastAsia="SimHei"/>
                <w:b/>
                <w:bCs/>
              </w:rPr>
            </w:pPr>
            <w:r>
              <w:rPr>
                <w:rFonts w:eastAsia="SimHei"/>
                <w:b/>
                <w:bCs/>
              </w:rPr>
              <w:t>100.0</w:t>
            </w:r>
          </w:p>
        </w:tc>
        <w:tc>
          <w:tcPr>
            <w:tcW w:w="1560" w:type="dxa"/>
            <w:tcBorders>
              <w:top w:val="single" w:sz="4" w:space="0" w:color="auto"/>
              <w:bottom w:val="single" w:sz="6" w:space="0" w:color="auto"/>
            </w:tcBorders>
          </w:tcPr>
          <w:p w:rsidR="00000000" w:rsidRDefault="00000000">
            <w:pPr>
              <w:spacing w:line="360" w:lineRule="exact"/>
              <w:ind w:right="227"/>
              <w:jc w:val="right"/>
              <w:rPr>
                <w:rFonts w:eastAsia="SimHei"/>
                <w:b/>
                <w:bCs/>
              </w:rPr>
            </w:pPr>
            <w:r>
              <w:rPr>
                <w:rFonts w:eastAsia="SimHei"/>
                <w:b/>
                <w:bCs/>
              </w:rPr>
              <w:t>100.0</w:t>
            </w:r>
          </w:p>
        </w:tc>
      </w:tr>
    </w:tbl>
    <w:p w:rsidR="00000000" w:rsidRDefault="00000000">
      <w:pPr>
        <w:spacing w:before="240" w:after="240" w:line="360" w:lineRule="exact"/>
        <w:ind w:firstLine="425"/>
      </w:pPr>
      <w:r>
        <w:rPr>
          <w:rFonts w:hint="eastAsia"/>
        </w:rPr>
        <w:t>本表显示在完成其最高教育程度课程之后未参加课程的介于</w:t>
      </w:r>
      <w:r>
        <w:t>15</w:t>
      </w:r>
      <w:r>
        <w:rPr>
          <w:rFonts w:hint="eastAsia"/>
        </w:rPr>
        <w:t>至</w:t>
      </w:r>
      <w:r>
        <w:t>69</w:t>
      </w:r>
      <w:r>
        <w:rPr>
          <w:rFonts w:hint="eastAsia"/>
        </w:rPr>
        <w:t>岁的人口的数目。此外，本表显示分别与所有男子和所有女子相比较的相对分布情况。没有接受基础学校以上教育的妇女多于男子；而参加职业和高等教育长期课程的男子所占比例较大。参加高等教育短期课程的妇女多于男子。</w:t>
      </w:r>
    </w:p>
    <w:p w:rsidR="00000000" w:rsidRDefault="00000000">
      <w:pPr>
        <w:spacing w:after="240" w:line="360" w:lineRule="exact"/>
        <w:ind w:firstLine="425"/>
      </w:pPr>
      <w:r>
        <w:rPr>
          <w:rFonts w:hint="eastAsia"/>
        </w:rPr>
        <w:t>资料来源：统计数据：教育和文化，</w:t>
      </w:r>
      <w:r>
        <w:rPr>
          <w:rFonts w:hint="eastAsia"/>
        </w:rPr>
        <w:t>1998:12</w:t>
      </w:r>
      <w:r>
        <w:rPr>
          <w:rFonts w:hint="eastAsia"/>
        </w:rPr>
        <w:t>。</w:t>
      </w:r>
    </w:p>
    <w:p w:rsidR="00000000" w:rsidRDefault="00000000">
      <w:pPr>
        <w:spacing w:after="240" w:line="360" w:lineRule="exact"/>
        <w:jc w:val="center"/>
        <w:rPr>
          <w:rFonts w:eastAsia="SimHei"/>
        </w:rPr>
      </w:pPr>
      <w:r>
        <w:rPr>
          <w:rFonts w:eastAsia="SimHei" w:hint="eastAsia"/>
        </w:rPr>
        <w:t>表</w:t>
      </w:r>
      <w:r>
        <w:rPr>
          <w:rFonts w:eastAsia="SimHei"/>
        </w:rPr>
        <w:t xml:space="preserve">4.  </w:t>
      </w:r>
      <w:r>
        <w:rPr>
          <w:rFonts w:eastAsia="SimHei" w:hint="eastAsia"/>
        </w:rPr>
        <w:t>妇女和男子对高等教育的选择</w:t>
      </w:r>
    </w:p>
    <w:tbl>
      <w:tblPr>
        <w:tblW w:w="9988" w:type="dxa"/>
        <w:tblBorders>
          <w:top w:val="single" w:sz="6" w:space="0" w:color="auto"/>
          <w:bottom w:val="single" w:sz="6" w:space="0" w:color="auto"/>
        </w:tblBorders>
        <w:tblLayout w:type="fixed"/>
        <w:tblCellMar>
          <w:left w:w="28" w:type="dxa"/>
          <w:right w:w="28" w:type="dxa"/>
        </w:tblCellMar>
        <w:tblLook w:val="0000" w:firstRow="0" w:lastRow="0" w:firstColumn="0" w:lastColumn="0" w:noHBand="0" w:noVBand="0"/>
      </w:tblPr>
      <w:tblGrid>
        <w:gridCol w:w="929"/>
        <w:gridCol w:w="1379"/>
        <w:gridCol w:w="1080"/>
        <w:gridCol w:w="1080"/>
        <w:gridCol w:w="1080"/>
        <w:gridCol w:w="1080"/>
        <w:gridCol w:w="1450"/>
        <w:gridCol w:w="1021"/>
        <w:gridCol w:w="889"/>
      </w:tblGrid>
      <w:tr w:rsidR="00000000">
        <w:tblPrEx>
          <w:tblCellMar>
            <w:top w:w="0" w:type="dxa"/>
            <w:bottom w:w="0" w:type="dxa"/>
          </w:tblCellMar>
        </w:tblPrEx>
        <w:tc>
          <w:tcPr>
            <w:tcW w:w="929" w:type="dxa"/>
            <w:tcBorders>
              <w:bottom w:val="nil"/>
            </w:tcBorders>
          </w:tcPr>
          <w:p w:rsidR="00000000" w:rsidRDefault="00000000">
            <w:pPr>
              <w:spacing w:line="340" w:lineRule="exact"/>
            </w:pPr>
          </w:p>
        </w:tc>
        <w:tc>
          <w:tcPr>
            <w:tcW w:w="4619" w:type="dxa"/>
            <w:gridSpan w:val="4"/>
            <w:tcBorders>
              <w:bottom w:val="nil"/>
            </w:tcBorders>
          </w:tcPr>
          <w:p w:rsidR="00000000" w:rsidRDefault="00000000">
            <w:pPr>
              <w:spacing w:line="340" w:lineRule="exact"/>
              <w:jc w:val="center"/>
            </w:pPr>
            <w:r>
              <w:rPr>
                <w:rFonts w:hint="eastAsia"/>
              </w:rPr>
              <w:t>高等教育短期课程</w:t>
            </w:r>
          </w:p>
        </w:tc>
        <w:tc>
          <w:tcPr>
            <w:tcW w:w="4440" w:type="dxa"/>
            <w:gridSpan w:val="4"/>
            <w:tcBorders>
              <w:bottom w:val="nil"/>
            </w:tcBorders>
          </w:tcPr>
          <w:p w:rsidR="00000000" w:rsidRDefault="00000000">
            <w:pPr>
              <w:spacing w:line="340" w:lineRule="exact"/>
              <w:jc w:val="center"/>
            </w:pPr>
            <w:r>
              <w:rPr>
                <w:rFonts w:hint="eastAsia"/>
              </w:rPr>
              <w:t>高等教育中期课程</w:t>
            </w:r>
          </w:p>
        </w:tc>
      </w:tr>
      <w:tr w:rsidR="00000000">
        <w:tblPrEx>
          <w:tblCellMar>
            <w:top w:w="0" w:type="dxa"/>
            <w:bottom w:w="0" w:type="dxa"/>
          </w:tblCellMar>
        </w:tblPrEx>
        <w:tc>
          <w:tcPr>
            <w:tcW w:w="929" w:type="dxa"/>
            <w:tcBorders>
              <w:top w:val="nil"/>
              <w:bottom w:val="single" w:sz="4" w:space="0" w:color="auto"/>
            </w:tcBorders>
          </w:tcPr>
          <w:p w:rsidR="00000000" w:rsidRDefault="00000000">
            <w:pPr>
              <w:spacing w:line="340" w:lineRule="exact"/>
            </w:pPr>
          </w:p>
        </w:tc>
        <w:tc>
          <w:tcPr>
            <w:tcW w:w="1379" w:type="dxa"/>
            <w:tcBorders>
              <w:top w:val="nil"/>
              <w:bottom w:val="single" w:sz="4" w:space="0" w:color="auto"/>
            </w:tcBorders>
          </w:tcPr>
          <w:p w:rsidR="00000000" w:rsidRDefault="00000000">
            <w:pPr>
              <w:spacing w:line="340" w:lineRule="exact"/>
              <w:ind w:right="212"/>
              <w:jc w:val="right"/>
            </w:pPr>
            <w:r>
              <w:rPr>
                <w:rFonts w:hint="eastAsia"/>
              </w:rPr>
              <w:t>妇女</w:t>
            </w:r>
          </w:p>
          <w:p w:rsidR="00000000" w:rsidRDefault="00000000">
            <w:pPr>
              <w:spacing w:line="340" w:lineRule="exact"/>
              <w:ind w:right="212"/>
              <w:jc w:val="right"/>
            </w:pPr>
            <w:r>
              <w:rPr>
                <w:rFonts w:hint="eastAsia"/>
              </w:rPr>
              <w:t>人数</w:t>
            </w:r>
          </w:p>
        </w:tc>
        <w:tc>
          <w:tcPr>
            <w:tcW w:w="1080" w:type="dxa"/>
            <w:tcBorders>
              <w:top w:val="nil"/>
              <w:bottom w:val="single" w:sz="4" w:space="0" w:color="auto"/>
            </w:tcBorders>
          </w:tcPr>
          <w:p w:rsidR="00000000" w:rsidRDefault="00000000">
            <w:pPr>
              <w:spacing w:line="340" w:lineRule="exact"/>
              <w:ind w:right="212"/>
              <w:jc w:val="right"/>
            </w:pPr>
            <w:r>
              <w:rPr>
                <w:rFonts w:hint="eastAsia"/>
              </w:rPr>
              <w:t>男子</w:t>
            </w:r>
          </w:p>
          <w:p w:rsidR="00000000" w:rsidRDefault="00000000">
            <w:pPr>
              <w:spacing w:line="340" w:lineRule="exact"/>
              <w:ind w:right="212"/>
              <w:jc w:val="right"/>
            </w:pPr>
            <w:r>
              <w:rPr>
                <w:rFonts w:hint="eastAsia"/>
              </w:rPr>
              <w:t>人数</w:t>
            </w:r>
          </w:p>
        </w:tc>
        <w:tc>
          <w:tcPr>
            <w:tcW w:w="1080" w:type="dxa"/>
            <w:tcBorders>
              <w:top w:val="nil"/>
              <w:bottom w:val="single" w:sz="4" w:space="0" w:color="auto"/>
            </w:tcBorders>
          </w:tcPr>
          <w:p w:rsidR="00000000" w:rsidRDefault="00000000">
            <w:pPr>
              <w:spacing w:line="340" w:lineRule="exact"/>
              <w:ind w:right="212"/>
              <w:jc w:val="right"/>
            </w:pPr>
            <w:r>
              <w:rPr>
                <w:rFonts w:hint="eastAsia"/>
              </w:rPr>
              <w:t>妇女</w:t>
            </w:r>
          </w:p>
          <w:p w:rsidR="00000000" w:rsidRDefault="00000000">
            <w:pPr>
              <w:spacing w:line="340" w:lineRule="exact"/>
              <w:ind w:right="212"/>
              <w:jc w:val="right"/>
            </w:pPr>
            <w:r>
              <w:t>%</w:t>
            </w:r>
          </w:p>
        </w:tc>
        <w:tc>
          <w:tcPr>
            <w:tcW w:w="1080" w:type="dxa"/>
            <w:tcBorders>
              <w:top w:val="nil"/>
              <w:bottom w:val="single" w:sz="4" w:space="0" w:color="auto"/>
            </w:tcBorders>
          </w:tcPr>
          <w:p w:rsidR="00000000" w:rsidRDefault="00000000">
            <w:pPr>
              <w:spacing w:line="340" w:lineRule="exact"/>
              <w:ind w:right="212"/>
              <w:jc w:val="right"/>
            </w:pPr>
            <w:r>
              <w:rPr>
                <w:rFonts w:hint="eastAsia"/>
              </w:rPr>
              <w:t>男子</w:t>
            </w:r>
          </w:p>
          <w:p w:rsidR="00000000" w:rsidRDefault="00000000">
            <w:pPr>
              <w:spacing w:line="340" w:lineRule="exact"/>
              <w:ind w:right="212"/>
              <w:jc w:val="right"/>
            </w:pPr>
            <w:r>
              <w:t>%</w:t>
            </w:r>
          </w:p>
        </w:tc>
        <w:tc>
          <w:tcPr>
            <w:tcW w:w="1080" w:type="dxa"/>
            <w:tcBorders>
              <w:top w:val="nil"/>
              <w:bottom w:val="single" w:sz="4" w:space="0" w:color="auto"/>
            </w:tcBorders>
          </w:tcPr>
          <w:p w:rsidR="00000000" w:rsidRDefault="00000000">
            <w:pPr>
              <w:spacing w:line="340" w:lineRule="exact"/>
              <w:ind w:right="212"/>
              <w:jc w:val="right"/>
            </w:pPr>
            <w:r>
              <w:rPr>
                <w:rFonts w:hint="eastAsia"/>
              </w:rPr>
              <w:t>妇女</w:t>
            </w:r>
          </w:p>
          <w:p w:rsidR="00000000" w:rsidRDefault="00000000">
            <w:pPr>
              <w:spacing w:line="340" w:lineRule="exact"/>
              <w:ind w:right="212"/>
              <w:jc w:val="right"/>
            </w:pPr>
            <w:r>
              <w:rPr>
                <w:rFonts w:hint="eastAsia"/>
              </w:rPr>
              <w:t>人数</w:t>
            </w:r>
          </w:p>
        </w:tc>
        <w:tc>
          <w:tcPr>
            <w:tcW w:w="1450" w:type="dxa"/>
            <w:tcBorders>
              <w:top w:val="nil"/>
              <w:bottom w:val="single" w:sz="4" w:space="0" w:color="auto"/>
            </w:tcBorders>
          </w:tcPr>
          <w:p w:rsidR="00000000" w:rsidRDefault="00000000">
            <w:pPr>
              <w:spacing w:line="340" w:lineRule="exact"/>
              <w:jc w:val="center"/>
            </w:pPr>
            <w:r>
              <w:rPr>
                <w:rFonts w:hint="eastAsia"/>
              </w:rPr>
              <w:t>男子</w:t>
            </w:r>
          </w:p>
          <w:p w:rsidR="00000000" w:rsidRDefault="00000000">
            <w:pPr>
              <w:spacing w:line="340" w:lineRule="exact"/>
              <w:jc w:val="center"/>
            </w:pPr>
            <w:r>
              <w:rPr>
                <w:rFonts w:hint="eastAsia"/>
              </w:rPr>
              <w:t>人数</w:t>
            </w:r>
          </w:p>
        </w:tc>
        <w:tc>
          <w:tcPr>
            <w:tcW w:w="1021" w:type="dxa"/>
            <w:tcBorders>
              <w:top w:val="nil"/>
              <w:bottom w:val="single" w:sz="4" w:space="0" w:color="auto"/>
            </w:tcBorders>
          </w:tcPr>
          <w:p w:rsidR="00000000" w:rsidRDefault="00000000">
            <w:pPr>
              <w:spacing w:line="340" w:lineRule="exact"/>
              <w:jc w:val="center"/>
            </w:pPr>
            <w:r>
              <w:rPr>
                <w:rFonts w:hint="eastAsia"/>
              </w:rPr>
              <w:t>妇女</w:t>
            </w:r>
          </w:p>
          <w:p w:rsidR="00000000" w:rsidRDefault="00000000">
            <w:pPr>
              <w:spacing w:line="340" w:lineRule="exact"/>
              <w:jc w:val="center"/>
            </w:pPr>
            <w:r>
              <w:t>%</w:t>
            </w:r>
          </w:p>
        </w:tc>
        <w:tc>
          <w:tcPr>
            <w:tcW w:w="889" w:type="dxa"/>
            <w:tcBorders>
              <w:top w:val="nil"/>
              <w:bottom w:val="single" w:sz="4" w:space="0" w:color="auto"/>
            </w:tcBorders>
          </w:tcPr>
          <w:p w:rsidR="00000000" w:rsidRDefault="00000000">
            <w:pPr>
              <w:spacing w:line="340" w:lineRule="exact"/>
              <w:jc w:val="center"/>
            </w:pPr>
            <w:r>
              <w:rPr>
                <w:rFonts w:hint="eastAsia"/>
              </w:rPr>
              <w:t>男子</w:t>
            </w:r>
          </w:p>
          <w:p w:rsidR="00000000" w:rsidRDefault="00000000">
            <w:pPr>
              <w:spacing w:line="340" w:lineRule="exact"/>
              <w:jc w:val="center"/>
            </w:pPr>
            <w:r>
              <w:t>%</w:t>
            </w:r>
          </w:p>
        </w:tc>
      </w:tr>
      <w:tr w:rsidR="00000000">
        <w:tblPrEx>
          <w:tblCellMar>
            <w:top w:w="0" w:type="dxa"/>
            <w:bottom w:w="0" w:type="dxa"/>
          </w:tblCellMar>
        </w:tblPrEx>
        <w:tc>
          <w:tcPr>
            <w:tcW w:w="929" w:type="dxa"/>
            <w:tcBorders>
              <w:top w:val="single" w:sz="4" w:space="0" w:color="auto"/>
            </w:tcBorders>
          </w:tcPr>
          <w:p w:rsidR="00000000" w:rsidRDefault="00000000">
            <w:pPr>
              <w:spacing w:line="340" w:lineRule="exact"/>
            </w:pPr>
            <w:r>
              <w:rPr>
                <w:rFonts w:hint="eastAsia"/>
              </w:rPr>
              <w:t>公共福利</w:t>
            </w:r>
          </w:p>
        </w:tc>
        <w:tc>
          <w:tcPr>
            <w:tcW w:w="1379" w:type="dxa"/>
            <w:tcBorders>
              <w:top w:val="single" w:sz="4" w:space="0" w:color="auto"/>
            </w:tcBorders>
          </w:tcPr>
          <w:p w:rsidR="00000000" w:rsidRDefault="00000000">
            <w:pPr>
              <w:spacing w:line="340" w:lineRule="exact"/>
              <w:ind w:right="227"/>
              <w:jc w:val="right"/>
            </w:pPr>
            <w:r>
              <w:t>271</w:t>
            </w:r>
          </w:p>
        </w:tc>
        <w:tc>
          <w:tcPr>
            <w:tcW w:w="1080" w:type="dxa"/>
            <w:tcBorders>
              <w:top w:val="single" w:sz="4" w:space="0" w:color="auto"/>
            </w:tcBorders>
          </w:tcPr>
          <w:p w:rsidR="00000000" w:rsidRDefault="00000000">
            <w:pPr>
              <w:spacing w:line="340" w:lineRule="exact"/>
              <w:ind w:right="227"/>
              <w:jc w:val="right"/>
            </w:pPr>
            <w:r>
              <w:t>635</w:t>
            </w:r>
          </w:p>
        </w:tc>
        <w:tc>
          <w:tcPr>
            <w:tcW w:w="1080" w:type="dxa"/>
            <w:tcBorders>
              <w:top w:val="single" w:sz="4" w:space="0" w:color="auto"/>
            </w:tcBorders>
          </w:tcPr>
          <w:p w:rsidR="00000000" w:rsidRDefault="00000000">
            <w:pPr>
              <w:spacing w:line="340" w:lineRule="exact"/>
              <w:ind w:right="227"/>
              <w:jc w:val="right"/>
            </w:pPr>
            <w:r>
              <w:t>30</w:t>
            </w:r>
            <w:r>
              <w:rPr>
                <w:rFonts w:hint="eastAsia"/>
              </w:rPr>
              <w:t>.</w:t>
            </w:r>
            <w:r>
              <w:t>0</w:t>
            </w:r>
          </w:p>
        </w:tc>
        <w:tc>
          <w:tcPr>
            <w:tcW w:w="1080" w:type="dxa"/>
            <w:tcBorders>
              <w:top w:val="single" w:sz="4" w:space="0" w:color="auto"/>
            </w:tcBorders>
          </w:tcPr>
          <w:p w:rsidR="00000000" w:rsidRDefault="00000000">
            <w:pPr>
              <w:spacing w:line="340" w:lineRule="exact"/>
              <w:ind w:right="227"/>
              <w:jc w:val="right"/>
            </w:pPr>
            <w:r>
              <w:t>70</w:t>
            </w:r>
            <w:r>
              <w:rPr>
                <w:rFonts w:hint="eastAsia"/>
              </w:rPr>
              <w:t>.</w:t>
            </w:r>
            <w:r>
              <w:t>0</w:t>
            </w:r>
          </w:p>
        </w:tc>
        <w:tc>
          <w:tcPr>
            <w:tcW w:w="1080" w:type="dxa"/>
            <w:tcBorders>
              <w:top w:val="single" w:sz="4" w:space="0" w:color="auto"/>
            </w:tcBorders>
          </w:tcPr>
          <w:p w:rsidR="00000000" w:rsidRDefault="00000000">
            <w:pPr>
              <w:spacing w:line="340" w:lineRule="exact"/>
              <w:ind w:right="227"/>
              <w:jc w:val="right"/>
            </w:pPr>
            <w:r>
              <w:t>10</w:t>
            </w:r>
          </w:p>
        </w:tc>
        <w:tc>
          <w:tcPr>
            <w:tcW w:w="1450" w:type="dxa"/>
            <w:tcBorders>
              <w:top w:val="single" w:sz="4" w:space="0" w:color="auto"/>
            </w:tcBorders>
          </w:tcPr>
          <w:p w:rsidR="00000000" w:rsidRDefault="00000000">
            <w:pPr>
              <w:spacing w:line="340" w:lineRule="exact"/>
              <w:ind w:right="227"/>
              <w:jc w:val="right"/>
            </w:pPr>
            <w:r>
              <w:t>513</w:t>
            </w:r>
          </w:p>
        </w:tc>
        <w:tc>
          <w:tcPr>
            <w:tcW w:w="1021" w:type="dxa"/>
            <w:tcBorders>
              <w:top w:val="single" w:sz="4" w:space="0" w:color="auto"/>
            </w:tcBorders>
          </w:tcPr>
          <w:p w:rsidR="00000000" w:rsidRDefault="00000000">
            <w:pPr>
              <w:spacing w:line="340" w:lineRule="exact"/>
              <w:ind w:right="227"/>
              <w:jc w:val="right"/>
            </w:pPr>
            <w:r>
              <w:t>1.9</w:t>
            </w:r>
          </w:p>
        </w:tc>
        <w:tc>
          <w:tcPr>
            <w:tcW w:w="889" w:type="dxa"/>
            <w:tcBorders>
              <w:top w:val="single" w:sz="4" w:space="0" w:color="auto"/>
            </w:tcBorders>
          </w:tcPr>
          <w:p w:rsidR="00000000" w:rsidRDefault="00000000">
            <w:pPr>
              <w:spacing w:line="340" w:lineRule="exact"/>
              <w:jc w:val="right"/>
            </w:pPr>
            <w:r>
              <w:t>98.1</w:t>
            </w:r>
          </w:p>
        </w:tc>
      </w:tr>
      <w:tr w:rsidR="00000000">
        <w:tblPrEx>
          <w:tblCellMar>
            <w:top w:w="0" w:type="dxa"/>
            <w:bottom w:w="0" w:type="dxa"/>
          </w:tblCellMar>
        </w:tblPrEx>
        <w:tc>
          <w:tcPr>
            <w:tcW w:w="929" w:type="dxa"/>
          </w:tcPr>
          <w:p w:rsidR="00000000" w:rsidRDefault="00000000">
            <w:pPr>
              <w:spacing w:line="340" w:lineRule="exact"/>
            </w:pPr>
            <w:r>
              <w:rPr>
                <w:rFonts w:hint="eastAsia"/>
              </w:rPr>
              <w:t>技术</w:t>
            </w:r>
          </w:p>
        </w:tc>
        <w:tc>
          <w:tcPr>
            <w:tcW w:w="1379" w:type="dxa"/>
          </w:tcPr>
          <w:p w:rsidR="00000000" w:rsidRDefault="00000000">
            <w:pPr>
              <w:spacing w:line="340" w:lineRule="exact"/>
              <w:ind w:right="227"/>
              <w:jc w:val="right"/>
            </w:pPr>
            <w:r>
              <w:t>1 651</w:t>
            </w:r>
          </w:p>
        </w:tc>
        <w:tc>
          <w:tcPr>
            <w:tcW w:w="1080" w:type="dxa"/>
          </w:tcPr>
          <w:p w:rsidR="00000000" w:rsidRDefault="00000000">
            <w:pPr>
              <w:spacing w:line="340" w:lineRule="exact"/>
              <w:ind w:right="227"/>
              <w:jc w:val="right"/>
            </w:pPr>
            <w:r>
              <w:t>3</w:t>
            </w:r>
            <w:r>
              <w:rPr>
                <w:rFonts w:hint="eastAsia"/>
              </w:rPr>
              <w:t xml:space="preserve"> </w:t>
            </w:r>
            <w:r>
              <w:t>203</w:t>
            </w:r>
          </w:p>
        </w:tc>
        <w:tc>
          <w:tcPr>
            <w:tcW w:w="1080" w:type="dxa"/>
          </w:tcPr>
          <w:p w:rsidR="00000000" w:rsidRDefault="00000000">
            <w:pPr>
              <w:spacing w:line="340" w:lineRule="exact"/>
              <w:ind w:right="227"/>
              <w:jc w:val="right"/>
            </w:pPr>
            <w:r>
              <w:t>34.0</w:t>
            </w:r>
          </w:p>
        </w:tc>
        <w:tc>
          <w:tcPr>
            <w:tcW w:w="1080" w:type="dxa"/>
          </w:tcPr>
          <w:p w:rsidR="00000000" w:rsidRDefault="00000000">
            <w:pPr>
              <w:spacing w:line="340" w:lineRule="exact"/>
              <w:ind w:right="227"/>
              <w:jc w:val="right"/>
            </w:pPr>
            <w:r>
              <w:t>66.0</w:t>
            </w:r>
          </w:p>
        </w:tc>
        <w:tc>
          <w:tcPr>
            <w:tcW w:w="1080" w:type="dxa"/>
          </w:tcPr>
          <w:p w:rsidR="00000000" w:rsidRDefault="00000000">
            <w:pPr>
              <w:spacing w:line="340" w:lineRule="exact"/>
              <w:ind w:right="227"/>
              <w:jc w:val="right"/>
            </w:pPr>
            <w:r>
              <w:t>1 101</w:t>
            </w:r>
          </w:p>
        </w:tc>
        <w:tc>
          <w:tcPr>
            <w:tcW w:w="1450" w:type="dxa"/>
          </w:tcPr>
          <w:p w:rsidR="00000000" w:rsidRDefault="00000000">
            <w:pPr>
              <w:spacing w:line="340" w:lineRule="exact"/>
              <w:ind w:right="227"/>
              <w:jc w:val="right"/>
            </w:pPr>
            <w:r>
              <w:t>5 376</w:t>
            </w:r>
          </w:p>
        </w:tc>
        <w:tc>
          <w:tcPr>
            <w:tcW w:w="1021" w:type="dxa"/>
          </w:tcPr>
          <w:p w:rsidR="00000000" w:rsidRDefault="00000000">
            <w:pPr>
              <w:spacing w:line="340" w:lineRule="exact"/>
              <w:ind w:right="227"/>
              <w:jc w:val="right"/>
            </w:pPr>
            <w:r>
              <w:t>17.0</w:t>
            </w:r>
          </w:p>
        </w:tc>
        <w:tc>
          <w:tcPr>
            <w:tcW w:w="889" w:type="dxa"/>
          </w:tcPr>
          <w:p w:rsidR="00000000" w:rsidRDefault="00000000">
            <w:pPr>
              <w:spacing w:line="340" w:lineRule="exact"/>
              <w:jc w:val="right"/>
            </w:pPr>
            <w:r>
              <w:t>83.0</w:t>
            </w:r>
          </w:p>
        </w:tc>
      </w:tr>
      <w:tr w:rsidR="00000000">
        <w:tblPrEx>
          <w:tblCellMar>
            <w:top w:w="0" w:type="dxa"/>
            <w:bottom w:w="0" w:type="dxa"/>
          </w:tblCellMar>
        </w:tblPrEx>
        <w:tc>
          <w:tcPr>
            <w:tcW w:w="929" w:type="dxa"/>
          </w:tcPr>
          <w:p w:rsidR="00000000" w:rsidRDefault="00000000">
            <w:pPr>
              <w:spacing w:line="340" w:lineRule="exact"/>
            </w:pPr>
            <w:r>
              <w:rPr>
                <w:rFonts w:hint="eastAsia"/>
              </w:rPr>
              <w:t>运输</w:t>
            </w:r>
          </w:p>
        </w:tc>
        <w:tc>
          <w:tcPr>
            <w:tcW w:w="1379" w:type="dxa"/>
          </w:tcPr>
          <w:p w:rsidR="00000000" w:rsidRDefault="00000000">
            <w:pPr>
              <w:spacing w:line="340" w:lineRule="exact"/>
              <w:ind w:right="227"/>
              <w:jc w:val="right"/>
            </w:pPr>
            <w:r>
              <w:t>19</w:t>
            </w:r>
          </w:p>
        </w:tc>
        <w:tc>
          <w:tcPr>
            <w:tcW w:w="1080" w:type="dxa"/>
          </w:tcPr>
          <w:p w:rsidR="00000000" w:rsidRDefault="00000000">
            <w:pPr>
              <w:spacing w:line="340" w:lineRule="exact"/>
              <w:ind w:right="227"/>
              <w:jc w:val="right"/>
            </w:pPr>
            <w:r>
              <w:t>169</w:t>
            </w:r>
          </w:p>
        </w:tc>
        <w:tc>
          <w:tcPr>
            <w:tcW w:w="1080" w:type="dxa"/>
          </w:tcPr>
          <w:p w:rsidR="00000000" w:rsidRDefault="00000000">
            <w:pPr>
              <w:spacing w:line="340" w:lineRule="exact"/>
              <w:ind w:right="227"/>
              <w:jc w:val="right"/>
            </w:pPr>
            <w:r>
              <w:t>101</w:t>
            </w:r>
          </w:p>
        </w:tc>
        <w:tc>
          <w:tcPr>
            <w:tcW w:w="1080" w:type="dxa"/>
          </w:tcPr>
          <w:p w:rsidR="00000000" w:rsidRDefault="00000000">
            <w:pPr>
              <w:spacing w:line="340" w:lineRule="exact"/>
              <w:ind w:right="227"/>
              <w:jc w:val="right"/>
            </w:pPr>
            <w:r>
              <w:t>89.9</w:t>
            </w:r>
          </w:p>
        </w:tc>
        <w:tc>
          <w:tcPr>
            <w:tcW w:w="1080" w:type="dxa"/>
          </w:tcPr>
          <w:p w:rsidR="00000000" w:rsidRDefault="00000000">
            <w:pPr>
              <w:spacing w:line="340" w:lineRule="exact"/>
              <w:ind w:right="227"/>
              <w:jc w:val="right"/>
            </w:pPr>
            <w:r>
              <w:t>49</w:t>
            </w:r>
          </w:p>
        </w:tc>
        <w:tc>
          <w:tcPr>
            <w:tcW w:w="1450" w:type="dxa"/>
          </w:tcPr>
          <w:p w:rsidR="00000000" w:rsidRDefault="00000000">
            <w:pPr>
              <w:spacing w:line="340" w:lineRule="exact"/>
              <w:ind w:right="227"/>
              <w:jc w:val="right"/>
            </w:pPr>
            <w:r>
              <w:t>1 569</w:t>
            </w:r>
          </w:p>
        </w:tc>
        <w:tc>
          <w:tcPr>
            <w:tcW w:w="1021" w:type="dxa"/>
          </w:tcPr>
          <w:p w:rsidR="00000000" w:rsidRDefault="00000000">
            <w:pPr>
              <w:spacing w:line="340" w:lineRule="exact"/>
              <w:ind w:right="227"/>
              <w:jc w:val="right"/>
            </w:pPr>
            <w:r>
              <w:t>3.0</w:t>
            </w:r>
          </w:p>
        </w:tc>
        <w:tc>
          <w:tcPr>
            <w:tcW w:w="889" w:type="dxa"/>
          </w:tcPr>
          <w:p w:rsidR="00000000" w:rsidRDefault="00000000">
            <w:pPr>
              <w:spacing w:line="340" w:lineRule="exact"/>
              <w:jc w:val="right"/>
            </w:pPr>
            <w:r>
              <w:t>97.0</w:t>
            </w:r>
          </w:p>
        </w:tc>
      </w:tr>
      <w:tr w:rsidR="00000000">
        <w:tblPrEx>
          <w:tblCellMar>
            <w:top w:w="0" w:type="dxa"/>
            <w:bottom w:w="0" w:type="dxa"/>
          </w:tblCellMar>
        </w:tblPrEx>
        <w:tc>
          <w:tcPr>
            <w:tcW w:w="929" w:type="dxa"/>
          </w:tcPr>
          <w:p w:rsidR="00000000" w:rsidRDefault="00000000">
            <w:pPr>
              <w:spacing w:line="340" w:lineRule="exact"/>
            </w:pPr>
            <w:r>
              <w:rPr>
                <w:rFonts w:hint="eastAsia"/>
              </w:rPr>
              <w:t>食品</w:t>
            </w:r>
          </w:p>
        </w:tc>
        <w:tc>
          <w:tcPr>
            <w:tcW w:w="1379" w:type="dxa"/>
          </w:tcPr>
          <w:p w:rsidR="00000000" w:rsidRDefault="00000000">
            <w:pPr>
              <w:spacing w:line="340" w:lineRule="exact"/>
              <w:ind w:right="227"/>
              <w:jc w:val="right"/>
            </w:pPr>
            <w:r>
              <w:t>1 943</w:t>
            </w:r>
          </w:p>
        </w:tc>
        <w:tc>
          <w:tcPr>
            <w:tcW w:w="1080" w:type="dxa"/>
          </w:tcPr>
          <w:p w:rsidR="00000000" w:rsidRDefault="00000000">
            <w:pPr>
              <w:spacing w:line="340" w:lineRule="exact"/>
              <w:ind w:right="227"/>
              <w:jc w:val="right"/>
            </w:pPr>
            <w:r>
              <w:t>426</w:t>
            </w:r>
          </w:p>
        </w:tc>
        <w:tc>
          <w:tcPr>
            <w:tcW w:w="1080" w:type="dxa"/>
          </w:tcPr>
          <w:p w:rsidR="00000000" w:rsidRDefault="00000000">
            <w:pPr>
              <w:spacing w:line="340" w:lineRule="exact"/>
              <w:ind w:right="227"/>
              <w:jc w:val="right"/>
            </w:pPr>
            <w:r>
              <w:t>82.0</w:t>
            </w:r>
          </w:p>
        </w:tc>
        <w:tc>
          <w:tcPr>
            <w:tcW w:w="1080" w:type="dxa"/>
          </w:tcPr>
          <w:p w:rsidR="00000000" w:rsidRDefault="00000000">
            <w:pPr>
              <w:spacing w:line="340" w:lineRule="exact"/>
              <w:ind w:right="227"/>
              <w:jc w:val="right"/>
            </w:pPr>
            <w:r>
              <w:t>18.0</w:t>
            </w:r>
          </w:p>
        </w:tc>
        <w:tc>
          <w:tcPr>
            <w:tcW w:w="1080" w:type="dxa"/>
          </w:tcPr>
          <w:p w:rsidR="00000000" w:rsidRDefault="00000000">
            <w:pPr>
              <w:spacing w:line="340" w:lineRule="exact"/>
              <w:ind w:right="227"/>
              <w:jc w:val="right"/>
            </w:pPr>
            <w:r>
              <w:t>115</w:t>
            </w:r>
          </w:p>
        </w:tc>
        <w:tc>
          <w:tcPr>
            <w:tcW w:w="1450" w:type="dxa"/>
          </w:tcPr>
          <w:p w:rsidR="00000000" w:rsidRDefault="00000000">
            <w:pPr>
              <w:spacing w:line="340" w:lineRule="exact"/>
              <w:ind w:right="227"/>
              <w:jc w:val="right"/>
            </w:pPr>
            <w:r>
              <w:t>34</w:t>
            </w:r>
          </w:p>
        </w:tc>
        <w:tc>
          <w:tcPr>
            <w:tcW w:w="1021" w:type="dxa"/>
          </w:tcPr>
          <w:p w:rsidR="00000000" w:rsidRDefault="00000000">
            <w:pPr>
              <w:spacing w:line="340" w:lineRule="exact"/>
              <w:ind w:right="227"/>
              <w:jc w:val="right"/>
            </w:pPr>
            <w:r>
              <w:t>77.2</w:t>
            </w:r>
          </w:p>
        </w:tc>
        <w:tc>
          <w:tcPr>
            <w:tcW w:w="889" w:type="dxa"/>
          </w:tcPr>
          <w:p w:rsidR="00000000" w:rsidRDefault="00000000">
            <w:pPr>
              <w:spacing w:line="340" w:lineRule="exact"/>
              <w:jc w:val="right"/>
            </w:pPr>
            <w:r>
              <w:t>22.8</w:t>
            </w:r>
          </w:p>
        </w:tc>
      </w:tr>
      <w:tr w:rsidR="00000000">
        <w:tblPrEx>
          <w:tblCellMar>
            <w:top w:w="0" w:type="dxa"/>
            <w:bottom w:w="0" w:type="dxa"/>
          </w:tblCellMar>
        </w:tblPrEx>
        <w:tc>
          <w:tcPr>
            <w:tcW w:w="929" w:type="dxa"/>
          </w:tcPr>
          <w:p w:rsidR="00000000" w:rsidRDefault="00000000">
            <w:pPr>
              <w:spacing w:line="340" w:lineRule="exact"/>
            </w:pPr>
            <w:r>
              <w:rPr>
                <w:rFonts w:hint="eastAsia"/>
              </w:rPr>
              <w:t>社会</w:t>
            </w:r>
          </w:p>
        </w:tc>
        <w:tc>
          <w:tcPr>
            <w:tcW w:w="1379" w:type="dxa"/>
          </w:tcPr>
          <w:p w:rsidR="00000000" w:rsidRDefault="00000000">
            <w:pPr>
              <w:spacing w:line="340" w:lineRule="exact"/>
              <w:ind w:right="227"/>
              <w:jc w:val="right"/>
            </w:pPr>
            <w:r>
              <w:t>3 194</w:t>
            </w:r>
          </w:p>
        </w:tc>
        <w:tc>
          <w:tcPr>
            <w:tcW w:w="1080" w:type="dxa"/>
          </w:tcPr>
          <w:p w:rsidR="00000000" w:rsidRDefault="00000000">
            <w:pPr>
              <w:spacing w:line="340" w:lineRule="exact"/>
              <w:ind w:right="227"/>
              <w:jc w:val="right"/>
            </w:pPr>
            <w:r>
              <w:t>5 679</w:t>
            </w:r>
          </w:p>
        </w:tc>
        <w:tc>
          <w:tcPr>
            <w:tcW w:w="1080" w:type="dxa"/>
          </w:tcPr>
          <w:p w:rsidR="00000000" w:rsidRDefault="00000000">
            <w:pPr>
              <w:spacing w:line="340" w:lineRule="exact"/>
              <w:ind w:right="227"/>
              <w:jc w:val="right"/>
            </w:pPr>
            <w:r>
              <w:t>36.0</w:t>
            </w:r>
          </w:p>
        </w:tc>
        <w:tc>
          <w:tcPr>
            <w:tcW w:w="1080" w:type="dxa"/>
          </w:tcPr>
          <w:p w:rsidR="00000000" w:rsidRDefault="00000000">
            <w:pPr>
              <w:spacing w:line="340" w:lineRule="exact"/>
              <w:ind w:right="227"/>
              <w:jc w:val="right"/>
            </w:pPr>
            <w:r>
              <w:t>64.0</w:t>
            </w:r>
          </w:p>
        </w:tc>
        <w:tc>
          <w:tcPr>
            <w:tcW w:w="1080" w:type="dxa"/>
          </w:tcPr>
          <w:p w:rsidR="00000000" w:rsidRDefault="00000000">
            <w:pPr>
              <w:spacing w:line="340" w:lineRule="exact"/>
              <w:ind w:right="227"/>
              <w:jc w:val="right"/>
            </w:pPr>
            <w:r>
              <w:t>2 967</w:t>
            </w:r>
          </w:p>
        </w:tc>
        <w:tc>
          <w:tcPr>
            <w:tcW w:w="1450" w:type="dxa"/>
          </w:tcPr>
          <w:p w:rsidR="00000000" w:rsidRDefault="00000000">
            <w:pPr>
              <w:spacing w:line="340" w:lineRule="exact"/>
              <w:ind w:right="227"/>
              <w:jc w:val="right"/>
            </w:pPr>
            <w:r>
              <w:t>3 216</w:t>
            </w:r>
          </w:p>
        </w:tc>
        <w:tc>
          <w:tcPr>
            <w:tcW w:w="1021" w:type="dxa"/>
          </w:tcPr>
          <w:p w:rsidR="00000000" w:rsidRDefault="00000000">
            <w:pPr>
              <w:spacing w:line="340" w:lineRule="exact"/>
              <w:ind w:right="227"/>
              <w:jc w:val="right"/>
            </w:pPr>
            <w:r>
              <w:t>48.0</w:t>
            </w:r>
          </w:p>
        </w:tc>
        <w:tc>
          <w:tcPr>
            <w:tcW w:w="889" w:type="dxa"/>
          </w:tcPr>
          <w:p w:rsidR="00000000" w:rsidRDefault="00000000">
            <w:pPr>
              <w:spacing w:line="340" w:lineRule="exact"/>
              <w:jc w:val="right"/>
            </w:pPr>
            <w:r>
              <w:t>52.0</w:t>
            </w:r>
          </w:p>
        </w:tc>
      </w:tr>
      <w:tr w:rsidR="00000000">
        <w:tblPrEx>
          <w:tblCellMar>
            <w:top w:w="0" w:type="dxa"/>
            <w:bottom w:w="0" w:type="dxa"/>
          </w:tblCellMar>
        </w:tblPrEx>
        <w:tc>
          <w:tcPr>
            <w:tcW w:w="929" w:type="dxa"/>
          </w:tcPr>
          <w:p w:rsidR="00000000" w:rsidRDefault="00000000">
            <w:pPr>
              <w:spacing w:line="340" w:lineRule="exact"/>
            </w:pPr>
            <w:r>
              <w:rPr>
                <w:rFonts w:hint="eastAsia"/>
              </w:rPr>
              <w:t>农业</w:t>
            </w:r>
          </w:p>
        </w:tc>
        <w:tc>
          <w:tcPr>
            <w:tcW w:w="1379" w:type="dxa"/>
          </w:tcPr>
          <w:p w:rsidR="00000000" w:rsidRDefault="00000000">
            <w:pPr>
              <w:spacing w:line="340" w:lineRule="exact"/>
              <w:ind w:right="227"/>
              <w:jc w:val="right"/>
              <w:rPr>
                <w:rFonts w:hint="eastAsia"/>
              </w:rPr>
            </w:pPr>
            <w:r>
              <w:rPr>
                <w:rFonts w:hint="eastAsia"/>
              </w:rPr>
              <w:t>..</w:t>
            </w:r>
          </w:p>
        </w:tc>
        <w:tc>
          <w:tcPr>
            <w:tcW w:w="1080" w:type="dxa"/>
          </w:tcPr>
          <w:p w:rsidR="00000000" w:rsidRDefault="00000000">
            <w:pPr>
              <w:spacing w:line="340" w:lineRule="exact"/>
              <w:ind w:right="227"/>
              <w:jc w:val="right"/>
              <w:rPr>
                <w:rFonts w:hint="eastAsia"/>
              </w:rPr>
            </w:pPr>
            <w:r>
              <w:rPr>
                <w:rFonts w:hint="eastAsia"/>
              </w:rPr>
              <w:t>..</w:t>
            </w:r>
          </w:p>
        </w:tc>
        <w:tc>
          <w:tcPr>
            <w:tcW w:w="1080" w:type="dxa"/>
          </w:tcPr>
          <w:p w:rsidR="00000000" w:rsidRDefault="00000000">
            <w:pPr>
              <w:spacing w:line="340" w:lineRule="exact"/>
              <w:ind w:right="227"/>
              <w:jc w:val="right"/>
              <w:rPr>
                <w:rFonts w:hint="eastAsia"/>
              </w:rPr>
            </w:pPr>
            <w:r>
              <w:rPr>
                <w:rFonts w:hint="eastAsia"/>
              </w:rPr>
              <w:t>..</w:t>
            </w:r>
          </w:p>
        </w:tc>
        <w:tc>
          <w:tcPr>
            <w:tcW w:w="1080" w:type="dxa"/>
          </w:tcPr>
          <w:p w:rsidR="00000000" w:rsidRDefault="00000000">
            <w:pPr>
              <w:spacing w:line="340" w:lineRule="exact"/>
              <w:ind w:right="227"/>
              <w:jc w:val="right"/>
              <w:rPr>
                <w:rFonts w:hint="eastAsia"/>
              </w:rPr>
            </w:pPr>
            <w:r>
              <w:rPr>
                <w:rFonts w:hint="eastAsia"/>
              </w:rPr>
              <w:t>..</w:t>
            </w:r>
          </w:p>
        </w:tc>
        <w:tc>
          <w:tcPr>
            <w:tcW w:w="1080" w:type="dxa"/>
          </w:tcPr>
          <w:p w:rsidR="00000000" w:rsidRDefault="00000000">
            <w:pPr>
              <w:spacing w:line="340" w:lineRule="exact"/>
              <w:ind w:right="227"/>
              <w:jc w:val="right"/>
            </w:pPr>
            <w:r>
              <w:t>27</w:t>
            </w:r>
          </w:p>
        </w:tc>
        <w:tc>
          <w:tcPr>
            <w:tcW w:w="1450" w:type="dxa"/>
          </w:tcPr>
          <w:p w:rsidR="00000000" w:rsidRDefault="00000000">
            <w:pPr>
              <w:spacing w:line="340" w:lineRule="exact"/>
              <w:ind w:right="227"/>
              <w:jc w:val="right"/>
            </w:pPr>
            <w:r>
              <w:t>152</w:t>
            </w:r>
          </w:p>
        </w:tc>
        <w:tc>
          <w:tcPr>
            <w:tcW w:w="1021" w:type="dxa"/>
          </w:tcPr>
          <w:p w:rsidR="00000000" w:rsidRDefault="00000000">
            <w:pPr>
              <w:spacing w:line="340" w:lineRule="exact"/>
              <w:ind w:right="227"/>
              <w:jc w:val="right"/>
            </w:pPr>
            <w:r>
              <w:t>15.1</w:t>
            </w:r>
          </w:p>
        </w:tc>
        <w:tc>
          <w:tcPr>
            <w:tcW w:w="889" w:type="dxa"/>
          </w:tcPr>
          <w:p w:rsidR="00000000" w:rsidRDefault="00000000">
            <w:pPr>
              <w:spacing w:line="340" w:lineRule="exact"/>
              <w:jc w:val="right"/>
            </w:pPr>
            <w:r>
              <w:t>84.9</w:t>
            </w:r>
          </w:p>
        </w:tc>
      </w:tr>
      <w:tr w:rsidR="00000000">
        <w:tblPrEx>
          <w:tblCellMar>
            <w:top w:w="0" w:type="dxa"/>
            <w:bottom w:w="0" w:type="dxa"/>
          </w:tblCellMar>
        </w:tblPrEx>
        <w:tc>
          <w:tcPr>
            <w:tcW w:w="929" w:type="dxa"/>
          </w:tcPr>
          <w:p w:rsidR="00000000" w:rsidRDefault="00000000">
            <w:pPr>
              <w:spacing w:line="340" w:lineRule="exact"/>
            </w:pPr>
            <w:r>
              <w:rPr>
                <w:rFonts w:hint="eastAsia"/>
              </w:rPr>
              <w:t>音乐</w:t>
            </w:r>
          </w:p>
        </w:tc>
        <w:tc>
          <w:tcPr>
            <w:tcW w:w="1379" w:type="dxa"/>
          </w:tcPr>
          <w:p w:rsidR="00000000" w:rsidRDefault="00000000">
            <w:pPr>
              <w:spacing w:line="340" w:lineRule="exact"/>
              <w:ind w:right="227"/>
              <w:jc w:val="right"/>
            </w:pPr>
            <w:r>
              <w:t>515</w:t>
            </w:r>
          </w:p>
        </w:tc>
        <w:tc>
          <w:tcPr>
            <w:tcW w:w="1080" w:type="dxa"/>
          </w:tcPr>
          <w:p w:rsidR="00000000" w:rsidRDefault="00000000">
            <w:pPr>
              <w:spacing w:line="340" w:lineRule="exact"/>
              <w:ind w:right="227"/>
              <w:jc w:val="right"/>
            </w:pPr>
            <w:r>
              <w:t>242</w:t>
            </w:r>
          </w:p>
        </w:tc>
        <w:tc>
          <w:tcPr>
            <w:tcW w:w="1080" w:type="dxa"/>
          </w:tcPr>
          <w:p w:rsidR="00000000" w:rsidRDefault="00000000">
            <w:pPr>
              <w:spacing w:line="340" w:lineRule="exact"/>
              <w:ind w:right="227"/>
              <w:jc w:val="right"/>
            </w:pPr>
            <w:r>
              <w:t>68.0</w:t>
            </w:r>
          </w:p>
        </w:tc>
        <w:tc>
          <w:tcPr>
            <w:tcW w:w="1080" w:type="dxa"/>
          </w:tcPr>
          <w:p w:rsidR="00000000" w:rsidRDefault="00000000">
            <w:pPr>
              <w:spacing w:line="340" w:lineRule="exact"/>
              <w:ind w:right="227"/>
              <w:jc w:val="right"/>
            </w:pPr>
            <w:r>
              <w:t>32.0</w:t>
            </w:r>
          </w:p>
        </w:tc>
        <w:tc>
          <w:tcPr>
            <w:tcW w:w="1080" w:type="dxa"/>
          </w:tcPr>
          <w:p w:rsidR="00000000" w:rsidRDefault="00000000">
            <w:pPr>
              <w:spacing w:line="340" w:lineRule="exact"/>
              <w:ind w:right="227"/>
              <w:jc w:val="right"/>
            </w:pPr>
            <w:r>
              <w:t>349</w:t>
            </w:r>
          </w:p>
        </w:tc>
        <w:tc>
          <w:tcPr>
            <w:tcW w:w="1450" w:type="dxa"/>
          </w:tcPr>
          <w:p w:rsidR="00000000" w:rsidRDefault="00000000">
            <w:pPr>
              <w:spacing w:line="340" w:lineRule="exact"/>
              <w:ind w:right="227"/>
              <w:jc w:val="right"/>
            </w:pPr>
            <w:r>
              <w:t>196</w:t>
            </w:r>
          </w:p>
        </w:tc>
        <w:tc>
          <w:tcPr>
            <w:tcW w:w="1021" w:type="dxa"/>
          </w:tcPr>
          <w:p w:rsidR="00000000" w:rsidRDefault="00000000">
            <w:pPr>
              <w:spacing w:line="340" w:lineRule="exact"/>
              <w:ind w:right="227"/>
              <w:jc w:val="right"/>
            </w:pPr>
            <w:r>
              <w:t>64.0</w:t>
            </w:r>
          </w:p>
        </w:tc>
        <w:tc>
          <w:tcPr>
            <w:tcW w:w="889" w:type="dxa"/>
          </w:tcPr>
          <w:p w:rsidR="00000000" w:rsidRDefault="00000000">
            <w:pPr>
              <w:spacing w:line="340" w:lineRule="exact"/>
              <w:jc w:val="right"/>
            </w:pPr>
            <w:r>
              <w:t>36.0</w:t>
            </w:r>
          </w:p>
        </w:tc>
      </w:tr>
      <w:tr w:rsidR="00000000">
        <w:tblPrEx>
          <w:tblCellMar>
            <w:top w:w="0" w:type="dxa"/>
            <w:bottom w:w="0" w:type="dxa"/>
          </w:tblCellMar>
        </w:tblPrEx>
        <w:tc>
          <w:tcPr>
            <w:tcW w:w="929" w:type="dxa"/>
          </w:tcPr>
          <w:p w:rsidR="00000000" w:rsidRDefault="00000000">
            <w:pPr>
              <w:spacing w:line="340" w:lineRule="exact"/>
            </w:pPr>
            <w:r>
              <w:rPr>
                <w:rFonts w:hint="eastAsia"/>
              </w:rPr>
              <w:t>艺术</w:t>
            </w:r>
          </w:p>
        </w:tc>
        <w:tc>
          <w:tcPr>
            <w:tcW w:w="1379" w:type="dxa"/>
          </w:tcPr>
          <w:p w:rsidR="00000000" w:rsidRDefault="00000000">
            <w:pPr>
              <w:spacing w:line="340" w:lineRule="exact"/>
              <w:ind w:right="227"/>
              <w:jc w:val="right"/>
            </w:pPr>
            <w:r>
              <w:t>1 113</w:t>
            </w:r>
          </w:p>
        </w:tc>
        <w:tc>
          <w:tcPr>
            <w:tcW w:w="1080" w:type="dxa"/>
          </w:tcPr>
          <w:p w:rsidR="00000000" w:rsidRDefault="00000000">
            <w:pPr>
              <w:spacing w:line="340" w:lineRule="exact"/>
              <w:ind w:right="227"/>
              <w:jc w:val="right"/>
            </w:pPr>
            <w:r>
              <w:t>123</w:t>
            </w:r>
          </w:p>
        </w:tc>
        <w:tc>
          <w:tcPr>
            <w:tcW w:w="1080" w:type="dxa"/>
          </w:tcPr>
          <w:p w:rsidR="00000000" w:rsidRDefault="00000000">
            <w:pPr>
              <w:spacing w:line="340" w:lineRule="exact"/>
              <w:ind w:right="227"/>
              <w:jc w:val="right"/>
            </w:pPr>
            <w:r>
              <w:t>90.0</w:t>
            </w:r>
          </w:p>
        </w:tc>
        <w:tc>
          <w:tcPr>
            <w:tcW w:w="1080" w:type="dxa"/>
          </w:tcPr>
          <w:p w:rsidR="00000000" w:rsidRDefault="00000000">
            <w:pPr>
              <w:spacing w:line="340" w:lineRule="exact"/>
              <w:ind w:right="227"/>
              <w:jc w:val="right"/>
            </w:pPr>
            <w:r>
              <w:t>10.0</w:t>
            </w:r>
          </w:p>
        </w:tc>
        <w:tc>
          <w:tcPr>
            <w:tcW w:w="1080" w:type="dxa"/>
          </w:tcPr>
          <w:p w:rsidR="00000000" w:rsidRDefault="00000000">
            <w:pPr>
              <w:spacing w:line="340" w:lineRule="exact"/>
              <w:ind w:right="227"/>
              <w:jc w:val="right"/>
            </w:pPr>
            <w:r>
              <w:t>3 725</w:t>
            </w:r>
          </w:p>
        </w:tc>
        <w:tc>
          <w:tcPr>
            <w:tcW w:w="1450" w:type="dxa"/>
          </w:tcPr>
          <w:p w:rsidR="00000000" w:rsidRDefault="00000000">
            <w:pPr>
              <w:spacing w:line="340" w:lineRule="exact"/>
              <w:ind w:right="227"/>
              <w:jc w:val="right"/>
            </w:pPr>
            <w:r>
              <w:t>1 590</w:t>
            </w:r>
          </w:p>
        </w:tc>
        <w:tc>
          <w:tcPr>
            <w:tcW w:w="1021" w:type="dxa"/>
          </w:tcPr>
          <w:p w:rsidR="00000000" w:rsidRDefault="00000000">
            <w:pPr>
              <w:spacing w:line="340" w:lineRule="exact"/>
              <w:ind w:right="227"/>
              <w:jc w:val="right"/>
            </w:pPr>
            <w:r>
              <w:t>70.1</w:t>
            </w:r>
          </w:p>
        </w:tc>
        <w:tc>
          <w:tcPr>
            <w:tcW w:w="889" w:type="dxa"/>
          </w:tcPr>
          <w:p w:rsidR="00000000" w:rsidRDefault="00000000">
            <w:pPr>
              <w:spacing w:line="340" w:lineRule="exact"/>
              <w:jc w:val="right"/>
            </w:pPr>
            <w:r>
              <w:t>29.9</w:t>
            </w:r>
          </w:p>
        </w:tc>
      </w:tr>
      <w:tr w:rsidR="00000000">
        <w:tblPrEx>
          <w:tblCellMar>
            <w:top w:w="0" w:type="dxa"/>
            <w:bottom w:w="0" w:type="dxa"/>
          </w:tblCellMar>
        </w:tblPrEx>
        <w:tc>
          <w:tcPr>
            <w:tcW w:w="929" w:type="dxa"/>
          </w:tcPr>
          <w:p w:rsidR="00000000" w:rsidRDefault="00000000">
            <w:pPr>
              <w:spacing w:line="340" w:lineRule="exact"/>
            </w:pPr>
            <w:r>
              <w:rPr>
                <w:rFonts w:hint="eastAsia"/>
              </w:rPr>
              <w:t>教育</w:t>
            </w:r>
          </w:p>
        </w:tc>
        <w:tc>
          <w:tcPr>
            <w:tcW w:w="1379" w:type="dxa"/>
          </w:tcPr>
          <w:p w:rsidR="00000000" w:rsidRDefault="00000000">
            <w:pPr>
              <w:spacing w:line="340" w:lineRule="exact"/>
              <w:ind w:right="227"/>
              <w:jc w:val="right"/>
            </w:pPr>
            <w:r>
              <w:t>133</w:t>
            </w:r>
          </w:p>
        </w:tc>
        <w:tc>
          <w:tcPr>
            <w:tcW w:w="1080" w:type="dxa"/>
          </w:tcPr>
          <w:p w:rsidR="00000000" w:rsidRDefault="00000000">
            <w:pPr>
              <w:spacing w:line="340" w:lineRule="exact"/>
              <w:ind w:right="227"/>
              <w:jc w:val="right"/>
            </w:pPr>
            <w:r>
              <w:t>0</w:t>
            </w:r>
          </w:p>
        </w:tc>
        <w:tc>
          <w:tcPr>
            <w:tcW w:w="1080" w:type="dxa"/>
          </w:tcPr>
          <w:p w:rsidR="00000000" w:rsidRDefault="00000000">
            <w:pPr>
              <w:spacing w:line="340" w:lineRule="exact"/>
              <w:ind w:right="227"/>
              <w:jc w:val="right"/>
            </w:pPr>
            <w:r>
              <w:t>100.0</w:t>
            </w:r>
          </w:p>
        </w:tc>
        <w:tc>
          <w:tcPr>
            <w:tcW w:w="1080" w:type="dxa"/>
          </w:tcPr>
          <w:p w:rsidR="00000000" w:rsidRDefault="00000000">
            <w:pPr>
              <w:spacing w:line="340" w:lineRule="exact"/>
              <w:ind w:right="227"/>
              <w:jc w:val="right"/>
            </w:pPr>
            <w:r>
              <w:t>0.0</w:t>
            </w:r>
          </w:p>
        </w:tc>
        <w:tc>
          <w:tcPr>
            <w:tcW w:w="1080" w:type="dxa"/>
          </w:tcPr>
          <w:p w:rsidR="00000000" w:rsidRDefault="00000000">
            <w:pPr>
              <w:spacing w:line="340" w:lineRule="exact"/>
              <w:ind w:right="227"/>
              <w:jc w:val="right"/>
            </w:pPr>
            <w:r>
              <w:t>23 340</w:t>
            </w:r>
          </w:p>
        </w:tc>
        <w:tc>
          <w:tcPr>
            <w:tcW w:w="1450" w:type="dxa"/>
          </w:tcPr>
          <w:p w:rsidR="00000000" w:rsidRDefault="00000000">
            <w:pPr>
              <w:spacing w:line="340" w:lineRule="exact"/>
              <w:ind w:right="227"/>
              <w:jc w:val="right"/>
            </w:pPr>
            <w:r>
              <w:t>8 632</w:t>
            </w:r>
          </w:p>
        </w:tc>
        <w:tc>
          <w:tcPr>
            <w:tcW w:w="1021" w:type="dxa"/>
          </w:tcPr>
          <w:p w:rsidR="00000000" w:rsidRDefault="00000000">
            <w:pPr>
              <w:spacing w:line="340" w:lineRule="exact"/>
              <w:ind w:right="227"/>
              <w:jc w:val="right"/>
            </w:pPr>
            <w:r>
              <w:t>73.0</w:t>
            </w:r>
          </w:p>
        </w:tc>
        <w:tc>
          <w:tcPr>
            <w:tcW w:w="889" w:type="dxa"/>
          </w:tcPr>
          <w:p w:rsidR="00000000" w:rsidRDefault="00000000">
            <w:pPr>
              <w:spacing w:line="340" w:lineRule="exact"/>
              <w:jc w:val="right"/>
            </w:pPr>
            <w:r>
              <w:t>27.0</w:t>
            </w:r>
          </w:p>
        </w:tc>
      </w:tr>
      <w:tr w:rsidR="00000000">
        <w:tblPrEx>
          <w:tblCellMar>
            <w:top w:w="0" w:type="dxa"/>
            <w:bottom w:w="0" w:type="dxa"/>
          </w:tblCellMar>
        </w:tblPrEx>
        <w:tc>
          <w:tcPr>
            <w:tcW w:w="929" w:type="dxa"/>
            <w:tcBorders>
              <w:bottom w:val="single" w:sz="4" w:space="0" w:color="auto"/>
            </w:tcBorders>
          </w:tcPr>
          <w:p w:rsidR="00000000" w:rsidRDefault="00000000">
            <w:pPr>
              <w:spacing w:line="340" w:lineRule="exact"/>
            </w:pPr>
            <w:r>
              <w:rPr>
                <w:rFonts w:hint="eastAsia"/>
              </w:rPr>
              <w:t>保健</w:t>
            </w:r>
          </w:p>
        </w:tc>
        <w:tc>
          <w:tcPr>
            <w:tcW w:w="1379" w:type="dxa"/>
            <w:tcBorders>
              <w:bottom w:val="single" w:sz="4" w:space="0" w:color="auto"/>
            </w:tcBorders>
          </w:tcPr>
          <w:p w:rsidR="00000000" w:rsidRDefault="00000000">
            <w:pPr>
              <w:spacing w:line="340" w:lineRule="exact"/>
              <w:ind w:right="227"/>
              <w:jc w:val="right"/>
            </w:pPr>
            <w:r>
              <w:t>950</w:t>
            </w:r>
          </w:p>
        </w:tc>
        <w:tc>
          <w:tcPr>
            <w:tcW w:w="1080" w:type="dxa"/>
            <w:tcBorders>
              <w:bottom w:val="single" w:sz="4" w:space="0" w:color="auto"/>
            </w:tcBorders>
          </w:tcPr>
          <w:p w:rsidR="00000000" w:rsidRDefault="00000000">
            <w:pPr>
              <w:spacing w:line="340" w:lineRule="exact"/>
              <w:ind w:right="227"/>
              <w:jc w:val="right"/>
            </w:pPr>
            <w:r>
              <w:t>83</w:t>
            </w:r>
          </w:p>
        </w:tc>
        <w:tc>
          <w:tcPr>
            <w:tcW w:w="1080" w:type="dxa"/>
            <w:tcBorders>
              <w:bottom w:val="single" w:sz="4" w:space="0" w:color="auto"/>
            </w:tcBorders>
          </w:tcPr>
          <w:p w:rsidR="00000000" w:rsidRDefault="00000000">
            <w:pPr>
              <w:spacing w:line="340" w:lineRule="exact"/>
              <w:ind w:right="227"/>
              <w:jc w:val="right"/>
            </w:pPr>
            <w:r>
              <w:t>92.0</w:t>
            </w:r>
          </w:p>
        </w:tc>
        <w:tc>
          <w:tcPr>
            <w:tcW w:w="1080" w:type="dxa"/>
            <w:tcBorders>
              <w:bottom w:val="single" w:sz="4" w:space="0" w:color="auto"/>
            </w:tcBorders>
          </w:tcPr>
          <w:p w:rsidR="00000000" w:rsidRDefault="00000000">
            <w:pPr>
              <w:spacing w:line="340" w:lineRule="exact"/>
              <w:ind w:right="227"/>
              <w:jc w:val="right"/>
            </w:pPr>
            <w:r>
              <w:t>8.0</w:t>
            </w:r>
          </w:p>
        </w:tc>
        <w:tc>
          <w:tcPr>
            <w:tcW w:w="1080" w:type="dxa"/>
            <w:tcBorders>
              <w:bottom w:val="single" w:sz="4" w:space="0" w:color="auto"/>
            </w:tcBorders>
          </w:tcPr>
          <w:p w:rsidR="00000000" w:rsidRDefault="00000000">
            <w:pPr>
              <w:spacing w:line="340" w:lineRule="exact"/>
              <w:ind w:right="227"/>
              <w:jc w:val="right"/>
            </w:pPr>
            <w:r>
              <w:t>11 633</w:t>
            </w:r>
          </w:p>
        </w:tc>
        <w:tc>
          <w:tcPr>
            <w:tcW w:w="1450" w:type="dxa"/>
            <w:tcBorders>
              <w:bottom w:val="single" w:sz="4" w:space="0" w:color="auto"/>
            </w:tcBorders>
          </w:tcPr>
          <w:p w:rsidR="00000000" w:rsidRDefault="00000000">
            <w:pPr>
              <w:spacing w:line="340" w:lineRule="exact"/>
              <w:ind w:right="227"/>
              <w:jc w:val="right"/>
            </w:pPr>
            <w:r>
              <w:t>1 151</w:t>
            </w:r>
          </w:p>
        </w:tc>
        <w:tc>
          <w:tcPr>
            <w:tcW w:w="1021" w:type="dxa"/>
            <w:tcBorders>
              <w:bottom w:val="single" w:sz="4" w:space="0" w:color="auto"/>
            </w:tcBorders>
          </w:tcPr>
          <w:p w:rsidR="00000000" w:rsidRDefault="00000000">
            <w:pPr>
              <w:spacing w:line="340" w:lineRule="exact"/>
              <w:ind w:right="227"/>
              <w:jc w:val="right"/>
            </w:pPr>
            <w:r>
              <w:t>91.0</w:t>
            </w:r>
          </w:p>
        </w:tc>
        <w:tc>
          <w:tcPr>
            <w:tcW w:w="889" w:type="dxa"/>
            <w:tcBorders>
              <w:bottom w:val="single" w:sz="4" w:space="0" w:color="auto"/>
            </w:tcBorders>
          </w:tcPr>
          <w:p w:rsidR="00000000" w:rsidRDefault="00000000">
            <w:pPr>
              <w:spacing w:line="340" w:lineRule="exact"/>
              <w:jc w:val="right"/>
            </w:pPr>
            <w:r>
              <w:t>9.0</w:t>
            </w:r>
          </w:p>
        </w:tc>
      </w:tr>
      <w:tr w:rsidR="00000000">
        <w:tblPrEx>
          <w:tblCellMar>
            <w:top w:w="0" w:type="dxa"/>
            <w:bottom w:w="0" w:type="dxa"/>
          </w:tblCellMar>
        </w:tblPrEx>
        <w:tc>
          <w:tcPr>
            <w:tcW w:w="929" w:type="dxa"/>
            <w:tcBorders>
              <w:top w:val="single" w:sz="4" w:space="0" w:color="auto"/>
              <w:bottom w:val="single" w:sz="6" w:space="0" w:color="auto"/>
            </w:tcBorders>
          </w:tcPr>
          <w:p w:rsidR="00000000" w:rsidRDefault="00000000">
            <w:pPr>
              <w:spacing w:line="340" w:lineRule="exact"/>
              <w:rPr>
                <w:rFonts w:eastAsia="SimHei"/>
              </w:rPr>
            </w:pPr>
            <w:r>
              <w:rPr>
                <w:rFonts w:eastAsia="SimHei" w:hint="eastAsia"/>
              </w:rPr>
              <w:t>总计</w:t>
            </w:r>
          </w:p>
        </w:tc>
        <w:tc>
          <w:tcPr>
            <w:tcW w:w="1379" w:type="dxa"/>
            <w:tcBorders>
              <w:top w:val="single" w:sz="4" w:space="0" w:color="auto"/>
              <w:bottom w:val="single" w:sz="6" w:space="0" w:color="auto"/>
            </w:tcBorders>
          </w:tcPr>
          <w:p w:rsidR="00000000" w:rsidRDefault="00000000">
            <w:pPr>
              <w:spacing w:line="340" w:lineRule="exact"/>
              <w:ind w:right="227"/>
              <w:jc w:val="right"/>
              <w:rPr>
                <w:rFonts w:eastAsia="SimHei"/>
                <w:b/>
                <w:bCs/>
              </w:rPr>
            </w:pPr>
            <w:r>
              <w:rPr>
                <w:rFonts w:eastAsia="SimHei"/>
                <w:b/>
                <w:bCs/>
              </w:rPr>
              <w:t>9 789</w:t>
            </w:r>
          </w:p>
        </w:tc>
        <w:tc>
          <w:tcPr>
            <w:tcW w:w="1080" w:type="dxa"/>
            <w:tcBorders>
              <w:top w:val="single" w:sz="4" w:space="0" w:color="auto"/>
              <w:bottom w:val="single" w:sz="6" w:space="0" w:color="auto"/>
            </w:tcBorders>
          </w:tcPr>
          <w:p w:rsidR="00000000" w:rsidRDefault="00000000">
            <w:pPr>
              <w:spacing w:line="340" w:lineRule="exact"/>
              <w:ind w:right="227"/>
              <w:jc w:val="right"/>
              <w:rPr>
                <w:rFonts w:eastAsia="SimHei"/>
                <w:b/>
                <w:bCs/>
              </w:rPr>
            </w:pPr>
            <w:r>
              <w:rPr>
                <w:rFonts w:eastAsia="SimHei"/>
                <w:b/>
                <w:bCs/>
              </w:rPr>
              <w:t>10 558</w:t>
            </w:r>
          </w:p>
        </w:tc>
        <w:tc>
          <w:tcPr>
            <w:tcW w:w="1080" w:type="dxa"/>
            <w:tcBorders>
              <w:top w:val="single" w:sz="4" w:space="0" w:color="auto"/>
              <w:bottom w:val="single" w:sz="6" w:space="0" w:color="auto"/>
            </w:tcBorders>
          </w:tcPr>
          <w:p w:rsidR="00000000" w:rsidRDefault="00000000">
            <w:pPr>
              <w:spacing w:line="340" w:lineRule="exact"/>
              <w:ind w:right="227"/>
              <w:jc w:val="right"/>
              <w:rPr>
                <w:rFonts w:eastAsia="SimHei"/>
                <w:b/>
                <w:bCs/>
              </w:rPr>
            </w:pPr>
            <w:r>
              <w:rPr>
                <w:rFonts w:eastAsia="SimHei"/>
                <w:b/>
                <w:bCs/>
              </w:rPr>
              <w:t>48.1</w:t>
            </w:r>
          </w:p>
        </w:tc>
        <w:tc>
          <w:tcPr>
            <w:tcW w:w="1080" w:type="dxa"/>
            <w:tcBorders>
              <w:top w:val="single" w:sz="4" w:space="0" w:color="auto"/>
              <w:bottom w:val="single" w:sz="6" w:space="0" w:color="auto"/>
            </w:tcBorders>
          </w:tcPr>
          <w:p w:rsidR="00000000" w:rsidRDefault="00000000">
            <w:pPr>
              <w:spacing w:line="340" w:lineRule="exact"/>
              <w:ind w:right="227"/>
              <w:jc w:val="right"/>
              <w:rPr>
                <w:rFonts w:eastAsia="SimHei"/>
                <w:b/>
                <w:bCs/>
              </w:rPr>
            </w:pPr>
            <w:r>
              <w:rPr>
                <w:rFonts w:eastAsia="SimHei"/>
                <w:b/>
                <w:bCs/>
              </w:rPr>
              <w:t>51.9</w:t>
            </w:r>
          </w:p>
        </w:tc>
        <w:tc>
          <w:tcPr>
            <w:tcW w:w="1080" w:type="dxa"/>
            <w:tcBorders>
              <w:top w:val="single" w:sz="4" w:space="0" w:color="auto"/>
              <w:bottom w:val="single" w:sz="6" w:space="0" w:color="auto"/>
            </w:tcBorders>
          </w:tcPr>
          <w:p w:rsidR="00000000" w:rsidRDefault="00000000">
            <w:pPr>
              <w:spacing w:line="340" w:lineRule="exact"/>
              <w:ind w:right="227"/>
              <w:jc w:val="right"/>
              <w:rPr>
                <w:rFonts w:eastAsia="SimHei"/>
                <w:b/>
                <w:bCs/>
              </w:rPr>
            </w:pPr>
            <w:r>
              <w:rPr>
                <w:rFonts w:eastAsia="SimHei"/>
                <w:b/>
                <w:bCs/>
              </w:rPr>
              <w:t>43 316</w:t>
            </w:r>
          </w:p>
        </w:tc>
        <w:tc>
          <w:tcPr>
            <w:tcW w:w="1450" w:type="dxa"/>
            <w:tcBorders>
              <w:top w:val="single" w:sz="4" w:space="0" w:color="auto"/>
              <w:bottom w:val="single" w:sz="6" w:space="0" w:color="auto"/>
            </w:tcBorders>
          </w:tcPr>
          <w:p w:rsidR="00000000" w:rsidRDefault="00000000">
            <w:pPr>
              <w:spacing w:line="340" w:lineRule="exact"/>
              <w:ind w:right="227"/>
              <w:jc w:val="right"/>
              <w:rPr>
                <w:rFonts w:eastAsia="SimHei"/>
                <w:b/>
                <w:bCs/>
              </w:rPr>
            </w:pPr>
            <w:r>
              <w:rPr>
                <w:rFonts w:eastAsia="SimHei"/>
                <w:b/>
                <w:bCs/>
              </w:rPr>
              <w:t>22 429</w:t>
            </w:r>
          </w:p>
        </w:tc>
        <w:tc>
          <w:tcPr>
            <w:tcW w:w="1021" w:type="dxa"/>
            <w:tcBorders>
              <w:top w:val="single" w:sz="4" w:space="0" w:color="auto"/>
              <w:bottom w:val="single" w:sz="6" w:space="0" w:color="auto"/>
            </w:tcBorders>
          </w:tcPr>
          <w:p w:rsidR="00000000" w:rsidRDefault="00000000">
            <w:pPr>
              <w:spacing w:line="340" w:lineRule="exact"/>
              <w:ind w:right="227"/>
              <w:jc w:val="right"/>
              <w:rPr>
                <w:rFonts w:eastAsia="SimHei"/>
                <w:b/>
                <w:bCs/>
              </w:rPr>
            </w:pPr>
            <w:r>
              <w:rPr>
                <w:rFonts w:eastAsia="SimHei"/>
                <w:b/>
                <w:bCs/>
              </w:rPr>
              <w:t>65.9</w:t>
            </w:r>
          </w:p>
        </w:tc>
        <w:tc>
          <w:tcPr>
            <w:tcW w:w="889" w:type="dxa"/>
            <w:tcBorders>
              <w:top w:val="single" w:sz="4" w:space="0" w:color="auto"/>
              <w:bottom w:val="single" w:sz="6" w:space="0" w:color="auto"/>
            </w:tcBorders>
          </w:tcPr>
          <w:p w:rsidR="00000000" w:rsidRDefault="00000000">
            <w:pPr>
              <w:spacing w:line="340" w:lineRule="exact"/>
              <w:jc w:val="right"/>
              <w:rPr>
                <w:rFonts w:eastAsia="SimHei"/>
                <w:b/>
                <w:bCs/>
              </w:rPr>
            </w:pPr>
            <w:r>
              <w:rPr>
                <w:rFonts w:eastAsia="SimHei"/>
                <w:b/>
                <w:bCs/>
              </w:rPr>
              <w:t>34.1</w:t>
            </w:r>
          </w:p>
        </w:tc>
      </w:tr>
    </w:tbl>
    <w:p w:rsidR="00000000" w:rsidRDefault="00000000">
      <w:pPr>
        <w:pStyle w:val="EndnoteText"/>
        <w:snapToGrid/>
        <w:spacing w:line="360" w:lineRule="exact"/>
      </w:pPr>
    </w:p>
    <w:tbl>
      <w:tblPr>
        <w:tblW w:w="9988" w:type="dxa"/>
        <w:tblBorders>
          <w:top w:val="single" w:sz="6" w:space="0" w:color="auto"/>
          <w:bottom w:val="single" w:sz="6" w:space="0" w:color="auto"/>
        </w:tblBorders>
        <w:tblLayout w:type="fixed"/>
        <w:tblCellMar>
          <w:left w:w="28" w:type="dxa"/>
          <w:right w:w="28" w:type="dxa"/>
        </w:tblCellMar>
        <w:tblLook w:val="0000" w:firstRow="0" w:lastRow="0" w:firstColumn="0" w:lastColumn="0" w:noHBand="0" w:noVBand="0"/>
      </w:tblPr>
      <w:tblGrid>
        <w:gridCol w:w="929"/>
        <w:gridCol w:w="1379"/>
        <w:gridCol w:w="1080"/>
        <w:gridCol w:w="1080"/>
        <w:gridCol w:w="1080"/>
        <w:gridCol w:w="1080"/>
        <w:gridCol w:w="1440"/>
        <w:gridCol w:w="1080"/>
        <w:gridCol w:w="840"/>
      </w:tblGrid>
      <w:tr w:rsidR="00000000">
        <w:tblPrEx>
          <w:tblCellMar>
            <w:top w:w="0" w:type="dxa"/>
            <w:bottom w:w="0" w:type="dxa"/>
          </w:tblCellMar>
        </w:tblPrEx>
        <w:tc>
          <w:tcPr>
            <w:tcW w:w="929" w:type="dxa"/>
            <w:tcBorders>
              <w:bottom w:val="nil"/>
            </w:tcBorders>
          </w:tcPr>
          <w:p w:rsidR="00000000" w:rsidRDefault="00000000">
            <w:pPr>
              <w:spacing w:line="340" w:lineRule="exact"/>
            </w:pPr>
          </w:p>
        </w:tc>
        <w:tc>
          <w:tcPr>
            <w:tcW w:w="4619" w:type="dxa"/>
            <w:gridSpan w:val="4"/>
            <w:tcBorders>
              <w:bottom w:val="nil"/>
            </w:tcBorders>
          </w:tcPr>
          <w:p w:rsidR="00000000" w:rsidRDefault="00000000">
            <w:pPr>
              <w:spacing w:line="340" w:lineRule="exact"/>
              <w:jc w:val="center"/>
            </w:pPr>
            <w:r>
              <w:rPr>
                <w:rFonts w:hint="eastAsia"/>
              </w:rPr>
              <w:t>高等教育长期课程</w:t>
            </w:r>
          </w:p>
        </w:tc>
        <w:tc>
          <w:tcPr>
            <w:tcW w:w="4440" w:type="dxa"/>
            <w:gridSpan w:val="4"/>
            <w:tcBorders>
              <w:bottom w:val="nil"/>
            </w:tcBorders>
          </w:tcPr>
          <w:p w:rsidR="00000000" w:rsidRDefault="00000000">
            <w:pPr>
              <w:spacing w:line="340" w:lineRule="exact"/>
              <w:jc w:val="center"/>
            </w:pPr>
            <w:r>
              <w:rPr>
                <w:rFonts w:hint="eastAsia"/>
              </w:rPr>
              <w:t>高等教育课程总计</w:t>
            </w:r>
          </w:p>
        </w:tc>
      </w:tr>
      <w:tr w:rsidR="00000000">
        <w:tblPrEx>
          <w:tblCellMar>
            <w:top w:w="0" w:type="dxa"/>
            <w:bottom w:w="0" w:type="dxa"/>
          </w:tblCellMar>
        </w:tblPrEx>
        <w:tc>
          <w:tcPr>
            <w:tcW w:w="929" w:type="dxa"/>
            <w:tcBorders>
              <w:top w:val="nil"/>
              <w:bottom w:val="single" w:sz="4" w:space="0" w:color="auto"/>
            </w:tcBorders>
          </w:tcPr>
          <w:p w:rsidR="00000000" w:rsidRDefault="00000000">
            <w:pPr>
              <w:spacing w:line="340" w:lineRule="exact"/>
            </w:pPr>
          </w:p>
        </w:tc>
        <w:tc>
          <w:tcPr>
            <w:tcW w:w="1379" w:type="dxa"/>
            <w:tcBorders>
              <w:top w:val="nil"/>
              <w:bottom w:val="single" w:sz="4" w:space="0" w:color="auto"/>
            </w:tcBorders>
          </w:tcPr>
          <w:p w:rsidR="00000000" w:rsidRDefault="00000000">
            <w:pPr>
              <w:spacing w:line="340" w:lineRule="exact"/>
              <w:jc w:val="center"/>
            </w:pPr>
            <w:r>
              <w:rPr>
                <w:rFonts w:hint="eastAsia"/>
              </w:rPr>
              <w:t>妇女</w:t>
            </w:r>
          </w:p>
          <w:p w:rsidR="00000000" w:rsidRDefault="00000000">
            <w:pPr>
              <w:spacing w:line="340" w:lineRule="exact"/>
              <w:jc w:val="center"/>
            </w:pPr>
            <w:r>
              <w:rPr>
                <w:rFonts w:hint="eastAsia"/>
              </w:rPr>
              <w:t>人数</w:t>
            </w:r>
          </w:p>
        </w:tc>
        <w:tc>
          <w:tcPr>
            <w:tcW w:w="1080" w:type="dxa"/>
            <w:tcBorders>
              <w:top w:val="nil"/>
              <w:bottom w:val="single" w:sz="4" w:space="0" w:color="auto"/>
            </w:tcBorders>
          </w:tcPr>
          <w:p w:rsidR="00000000" w:rsidRDefault="00000000">
            <w:pPr>
              <w:spacing w:line="340" w:lineRule="exact"/>
              <w:jc w:val="center"/>
            </w:pPr>
            <w:r>
              <w:rPr>
                <w:rFonts w:hint="eastAsia"/>
              </w:rPr>
              <w:t>男子</w:t>
            </w:r>
          </w:p>
          <w:p w:rsidR="00000000" w:rsidRDefault="00000000">
            <w:pPr>
              <w:spacing w:line="340" w:lineRule="exact"/>
              <w:jc w:val="center"/>
            </w:pPr>
            <w:r>
              <w:rPr>
                <w:rFonts w:hint="eastAsia"/>
              </w:rPr>
              <w:t>人数</w:t>
            </w:r>
          </w:p>
        </w:tc>
        <w:tc>
          <w:tcPr>
            <w:tcW w:w="1080" w:type="dxa"/>
            <w:tcBorders>
              <w:top w:val="nil"/>
              <w:bottom w:val="single" w:sz="4" w:space="0" w:color="auto"/>
            </w:tcBorders>
          </w:tcPr>
          <w:p w:rsidR="00000000" w:rsidRDefault="00000000">
            <w:pPr>
              <w:spacing w:line="340" w:lineRule="exact"/>
              <w:jc w:val="center"/>
            </w:pPr>
            <w:r>
              <w:rPr>
                <w:rFonts w:hint="eastAsia"/>
              </w:rPr>
              <w:t>妇女</w:t>
            </w:r>
          </w:p>
          <w:p w:rsidR="00000000" w:rsidRDefault="00000000">
            <w:pPr>
              <w:spacing w:line="340" w:lineRule="exact"/>
              <w:jc w:val="center"/>
            </w:pPr>
            <w:r>
              <w:t>%</w:t>
            </w:r>
          </w:p>
        </w:tc>
        <w:tc>
          <w:tcPr>
            <w:tcW w:w="1080" w:type="dxa"/>
            <w:tcBorders>
              <w:top w:val="nil"/>
              <w:bottom w:val="single" w:sz="4" w:space="0" w:color="auto"/>
            </w:tcBorders>
          </w:tcPr>
          <w:p w:rsidR="00000000" w:rsidRDefault="00000000">
            <w:pPr>
              <w:spacing w:line="340" w:lineRule="exact"/>
              <w:jc w:val="center"/>
            </w:pPr>
            <w:r>
              <w:rPr>
                <w:rFonts w:hint="eastAsia"/>
              </w:rPr>
              <w:t>男子</w:t>
            </w:r>
          </w:p>
          <w:p w:rsidR="00000000" w:rsidRDefault="00000000">
            <w:pPr>
              <w:spacing w:line="340" w:lineRule="exact"/>
              <w:jc w:val="center"/>
            </w:pPr>
            <w:r>
              <w:t>%</w:t>
            </w:r>
          </w:p>
        </w:tc>
        <w:tc>
          <w:tcPr>
            <w:tcW w:w="1080" w:type="dxa"/>
            <w:tcBorders>
              <w:top w:val="nil"/>
              <w:bottom w:val="single" w:sz="4" w:space="0" w:color="auto"/>
            </w:tcBorders>
          </w:tcPr>
          <w:p w:rsidR="00000000" w:rsidRDefault="00000000">
            <w:pPr>
              <w:spacing w:line="340" w:lineRule="exact"/>
              <w:jc w:val="center"/>
            </w:pPr>
            <w:r>
              <w:rPr>
                <w:rFonts w:hint="eastAsia"/>
              </w:rPr>
              <w:t>妇女</w:t>
            </w:r>
          </w:p>
          <w:p w:rsidR="00000000" w:rsidRDefault="00000000">
            <w:pPr>
              <w:spacing w:line="340" w:lineRule="exact"/>
              <w:jc w:val="center"/>
            </w:pPr>
            <w:r>
              <w:rPr>
                <w:rFonts w:hint="eastAsia"/>
              </w:rPr>
              <w:t>人数</w:t>
            </w:r>
          </w:p>
        </w:tc>
        <w:tc>
          <w:tcPr>
            <w:tcW w:w="1440" w:type="dxa"/>
            <w:tcBorders>
              <w:top w:val="nil"/>
              <w:bottom w:val="single" w:sz="4" w:space="0" w:color="auto"/>
            </w:tcBorders>
          </w:tcPr>
          <w:p w:rsidR="00000000" w:rsidRDefault="00000000">
            <w:pPr>
              <w:spacing w:line="340" w:lineRule="exact"/>
              <w:jc w:val="center"/>
            </w:pPr>
            <w:r>
              <w:rPr>
                <w:rFonts w:hint="eastAsia"/>
              </w:rPr>
              <w:t>男子</w:t>
            </w:r>
          </w:p>
          <w:p w:rsidR="00000000" w:rsidRDefault="00000000">
            <w:pPr>
              <w:spacing w:line="340" w:lineRule="exact"/>
              <w:jc w:val="center"/>
            </w:pPr>
            <w:r>
              <w:rPr>
                <w:rFonts w:hint="eastAsia"/>
              </w:rPr>
              <w:t>人数</w:t>
            </w:r>
          </w:p>
        </w:tc>
        <w:tc>
          <w:tcPr>
            <w:tcW w:w="1080" w:type="dxa"/>
            <w:tcBorders>
              <w:top w:val="nil"/>
              <w:bottom w:val="single" w:sz="4" w:space="0" w:color="auto"/>
            </w:tcBorders>
          </w:tcPr>
          <w:p w:rsidR="00000000" w:rsidRDefault="00000000">
            <w:pPr>
              <w:spacing w:line="340" w:lineRule="exact"/>
              <w:jc w:val="center"/>
            </w:pPr>
            <w:r>
              <w:rPr>
                <w:rFonts w:hint="eastAsia"/>
              </w:rPr>
              <w:t>妇女</w:t>
            </w:r>
          </w:p>
          <w:p w:rsidR="00000000" w:rsidRDefault="00000000">
            <w:pPr>
              <w:spacing w:line="340" w:lineRule="exact"/>
              <w:jc w:val="center"/>
            </w:pPr>
            <w:r>
              <w:t>%</w:t>
            </w:r>
          </w:p>
        </w:tc>
        <w:tc>
          <w:tcPr>
            <w:tcW w:w="840" w:type="dxa"/>
            <w:tcBorders>
              <w:top w:val="nil"/>
              <w:bottom w:val="single" w:sz="4" w:space="0" w:color="auto"/>
            </w:tcBorders>
          </w:tcPr>
          <w:p w:rsidR="00000000" w:rsidRDefault="00000000">
            <w:pPr>
              <w:spacing w:line="340" w:lineRule="exact"/>
              <w:jc w:val="center"/>
            </w:pPr>
            <w:r>
              <w:rPr>
                <w:rFonts w:hint="eastAsia"/>
              </w:rPr>
              <w:t>男子</w:t>
            </w:r>
          </w:p>
          <w:p w:rsidR="00000000" w:rsidRDefault="00000000">
            <w:pPr>
              <w:spacing w:line="340" w:lineRule="exact"/>
              <w:jc w:val="center"/>
            </w:pPr>
            <w:r>
              <w:t>%</w:t>
            </w:r>
          </w:p>
        </w:tc>
      </w:tr>
      <w:tr w:rsidR="00000000">
        <w:tblPrEx>
          <w:tblCellMar>
            <w:top w:w="0" w:type="dxa"/>
            <w:bottom w:w="0" w:type="dxa"/>
          </w:tblCellMar>
        </w:tblPrEx>
        <w:tc>
          <w:tcPr>
            <w:tcW w:w="929" w:type="dxa"/>
            <w:tcBorders>
              <w:top w:val="single" w:sz="4" w:space="0" w:color="auto"/>
            </w:tcBorders>
          </w:tcPr>
          <w:p w:rsidR="00000000" w:rsidRDefault="00000000">
            <w:pPr>
              <w:spacing w:line="340" w:lineRule="exact"/>
            </w:pPr>
            <w:r>
              <w:rPr>
                <w:rFonts w:hint="eastAsia"/>
              </w:rPr>
              <w:t>公共福利</w:t>
            </w:r>
          </w:p>
        </w:tc>
        <w:tc>
          <w:tcPr>
            <w:tcW w:w="1379" w:type="dxa"/>
            <w:tcBorders>
              <w:top w:val="single" w:sz="4" w:space="0" w:color="auto"/>
            </w:tcBorders>
          </w:tcPr>
          <w:p w:rsidR="00000000" w:rsidRDefault="00000000">
            <w:pPr>
              <w:spacing w:line="340" w:lineRule="exact"/>
              <w:ind w:right="340"/>
              <w:jc w:val="right"/>
            </w:pPr>
            <w:r>
              <w:t>1</w:t>
            </w:r>
          </w:p>
        </w:tc>
        <w:tc>
          <w:tcPr>
            <w:tcW w:w="1080" w:type="dxa"/>
            <w:tcBorders>
              <w:top w:val="single" w:sz="4" w:space="0" w:color="auto"/>
            </w:tcBorders>
          </w:tcPr>
          <w:p w:rsidR="00000000" w:rsidRDefault="00000000">
            <w:pPr>
              <w:spacing w:line="340" w:lineRule="exact"/>
              <w:ind w:right="340"/>
              <w:jc w:val="right"/>
            </w:pPr>
            <w:r>
              <w:t>78</w:t>
            </w:r>
          </w:p>
        </w:tc>
        <w:tc>
          <w:tcPr>
            <w:tcW w:w="1080" w:type="dxa"/>
            <w:tcBorders>
              <w:top w:val="single" w:sz="4" w:space="0" w:color="auto"/>
            </w:tcBorders>
          </w:tcPr>
          <w:p w:rsidR="00000000" w:rsidRDefault="00000000">
            <w:pPr>
              <w:spacing w:line="340" w:lineRule="exact"/>
              <w:ind w:right="340"/>
              <w:jc w:val="right"/>
            </w:pPr>
            <w:r>
              <w:t>1.3</w:t>
            </w:r>
          </w:p>
        </w:tc>
        <w:tc>
          <w:tcPr>
            <w:tcW w:w="1080" w:type="dxa"/>
            <w:tcBorders>
              <w:top w:val="single" w:sz="4" w:space="0" w:color="auto"/>
            </w:tcBorders>
          </w:tcPr>
          <w:p w:rsidR="00000000" w:rsidRDefault="00000000">
            <w:pPr>
              <w:spacing w:line="340" w:lineRule="exact"/>
              <w:ind w:right="340"/>
              <w:jc w:val="right"/>
            </w:pPr>
            <w:r>
              <w:t>98.7</w:t>
            </w:r>
          </w:p>
        </w:tc>
        <w:tc>
          <w:tcPr>
            <w:tcW w:w="1080" w:type="dxa"/>
            <w:tcBorders>
              <w:top w:val="single" w:sz="4" w:space="0" w:color="auto"/>
            </w:tcBorders>
          </w:tcPr>
          <w:p w:rsidR="00000000" w:rsidRDefault="00000000">
            <w:pPr>
              <w:spacing w:line="340" w:lineRule="exact"/>
              <w:ind w:right="340"/>
              <w:jc w:val="right"/>
            </w:pPr>
            <w:r>
              <w:t>282</w:t>
            </w:r>
          </w:p>
        </w:tc>
        <w:tc>
          <w:tcPr>
            <w:tcW w:w="1440" w:type="dxa"/>
            <w:tcBorders>
              <w:top w:val="single" w:sz="4" w:space="0" w:color="auto"/>
            </w:tcBorders>
          </w:tcPr>
          <w:p w:rsidR="00000000" w:rsidRDefault="00000000">
            <w:pPr>
              <w:spacing w:line="340" w:lineRule="exact"/>
              <w:ind w:right="340"/>
              <w:jc w:val="right"/>
            </w:pPr>
            <w:r>
              <w:t>1 224</w:t>
            </w:r>
          </w:p>
        </w:tc>
        <w:tc>
          <w:tcPr>
            <w:tcW w:w="1080" w:type="dxa"/>
            <w:tcBorders>
              <w:top w:val="single" w:sz="4" w:space="0" w:color="auto"/>
            </w:tcBorders>
          </w:tcPr>
          <w:p w:rsidR="00000000" w:rsidRDefault="00000000">
            <w:pPr>
              <w:spacing w:line="340" w:lineRule="exact"/>
              <w:jc w:val="center"/>
            </w:pPr>
            <w:r>
              <w:t>18.7</w:t>
            </w:r>
          </w:p>
        </w:tc>
        <w:tc>
          <w:tcPr>
            <w:tcW w:w="840" w:type="dxa"/>
            <w:tcBorders>
              <w:top w:val="single" w:sz="4" w:space="0" w:color="auto"/>
            </w:tcBorders>
          </w:tcPr>
          <w:p w:rsidR="00000000" w:rsidRDefault="00000000">
            <w:pPr>
              <w:spacing w:line="340" w:lineRule="exact"/>
              <w:jc w:val="center"/>
            </w:pPr>
            <w:r>
              <w:t>81.3</w:t>
            </w:r>
          </w:p>
        </w:tc>
      </w:tr>
      <w:tr w:rsidR="00000000">
        <w:tblPrEx>
          <w:tblCellMar>
            <w:top w:w="0" w:type="dxa"/>
            <w:bottom w:w="0" w:type="dxa"/>
          </w:tblCellMar>
        </w:tblPrEx>
        <w:tc>
          <w:tcPr>
            <w:tcW w:w="929" w:type="dxa"/>
          </w:tcPr>
          <w:p w:rsidR="00000000" w:rsidRDefault="00000000">
            <w:pPr>
              <w:spacing w:line="340" w:lineRule="exact"/>
            </w:pPr>
            <w:r>
              <w:rPr>
                <w:rFonts w:hint="eastAsia"/>
              </w:rPr>
              <w:t>技术</w:t>
            </w:r>
          </w:p>
        </w:tc>
        <w:tc>
          <w:tcPr>
            <w:tcW w:w="1379" w:type="dxa"/>
          </w:tcPr>
          <w:p w:rsidR="00000000" w:rsidRDefault="00000000">
            <w:pPr>
              <w:spacing w:line="340" w:lineRule="exact"/>
              <w:ind w:right="340"/>
              <w:jc w:val="right"/>
            </w:pPr>
            <w:r>
              <w:t>4 829</w:t>
            </w:r>
          </w:p>
        </w:tc>
        <w:tc>
          <w:tcPr>
            <w:tcW w:w="1080" w:type="dxa"/>
          </w:tcPr>
          <w:p w:rsidR="00000000" w:rsidRDefault="00000000">
            <w:pPr>
              <w:spacing w:line="340" w:lineRule="exact"/>
              <w:ind w:right="340"/>
              <w:jc w:val="right"/>
            </w:pPr>
            <w:r>
              <w:t>8 526</w:t>
            </w:r>
          </w:p>
        </w:tc>
        <w:tc>
          <w:tcPr>
            <w:tcW w:w="1080" w:type="dxa"/>
          </w:tcPr>
          <w:p w:rsidR="00000000" w:rsidRDefault="00000000">
            <w:pPr>
              <w:spacing w:line="340" w:lineRule="exact"/>
              <w:ind w:right="340"/>
              <w:jc w:val="right"/>
            </w:pPr>
            <w:r>
              <w:t>36.0</w:t>
            </w:r>
          </w:p>
        </w:tc>
        <w:tc>
          <w:tcPr>
            <w:tcW w:w="1080" w:type="dxa"/>
          </w:tcPr>
          <w:p w:rsidR="00000000" w:rsidRDefault="00000000">
            <w:pPr>
              <w:spacing w:line="340" w:lineRule="exact"/>
              <w:ind w:right="340"/>
              <w:jc w:val="right"/>
            </w:pPr>
            <w:r>
              <w:t>64.0</w:t>
            </w:r>
          </w:p>
        </w:tc>
        <w:tc>
          <w:tcPr>
            <w:tcW w:w="1080" w:type="dxa"/>
          </w:tcPr>
          <w:p w:rsidR="00000000" w:rsidRDefault="00000000">
            <w:pPr>
              <w:spacing w:line="340" w:lineRule="exact"/>
              <w:ind w:right="340"/>
              <w:jc w:val="right"/>
            </w:pPr>
            <w:r>
              <w:t>7 581</w:t>
            </w:r>
          </w:p>
        </w:tc>
        <w:tc>
          <w:tcPr>
            <w:tcW w:w="1440" w:type="dxa"/>
          </w:tcPr>
          <w:p w:rsidR="00000000" w:rsidRDefault="00000000">
            <w:pPr>
              <w:spacing w:line="340" w:lineRule="exact"/>
              <w:ind w:right="340"/>
              <w:jc w:val="right"/>
            </w:pPr>
            <w:r>
              <w:t>17 165</w:t>
            </w:r>
          </w:p>
        </w:tc>
        <w:tc>
          <w:tcPr>
            <w:tcW w:w="1080" w:type="dxa"/>
          </w:tcPr>
          <w:p w:rsidR="00000000" w:rsidRDefault="00000000">
            <w:pPr>
              <w:spacing w:line="340" w:lineRule="exact"/>
              <w:jc w:val="center"/>
            </w:pPr>
            <w:r>
              <w:rPr>
                <w:rFonts w:hint="eastAsia"/>
              </w:rPr>
              <w:t>3</w:t>
            </w:r>
            <w:r>
              <w:t>0</w:t>
            </w:r>
            <w:r>
              <w:rPr>
                <w:rFonts w:hint="eastAsia"/>
              </w:rPr>
              <w:t>.</w:t>
            </w:r>
            <w:r>
              <w:t>6</w:t>
            </w:r>
          </w:p>
        </w:tc>
        <w:tc>
          <w:tcPr>
            <w:tcW w:w="840" w:type="dxa"/>
          </w:tcPr>
          <w:p w:rsidR="00000000" w:rsidRDefault="00000000">
            <w:pPr>
              <w:spacing w:line="340" w:lineRule="exact"/>
              <w:jc w:val="center"/>
            </w:pPr>
            <w:r>
              <w:t>69.4</w:t>
            </w:r>
          </w:p>
        </w:tc>
      </w:tr>
      <w:tr w:rsidR="00000000">
        <w:tblPrEx>
          <w:tblCellMar>
            <w:top w:w="0" w:type="dxa"/>
            <w:bottom w:w="0" w:type="dxa"/>
          </w:tblCellMar>
        </w:tblPrEx>
        <w:tc>
          <w:tcPr>
            <w:tcW w:w="929" w:type="dxa"/>
          </w:tcPr>
          <w:p w:rsidR="00000000" w:rsidRDefault="00000000">
            <w:pPr>
              <w:spacing w:line="340" w:lineRule="exact"/>
            </w:pPr>
            <w:r>
              <w:rPr>
                <w:rFonts w:hint="eastAsia"/>
              </w:rPr>
              <w:t>运输</w:t>
            </w:r>
          </w:p>
        </w:tc>
        <w:tc>
          <w:tcPr>
            <w:tcW w:w="1379" w:type="dxa"/>
          </w:tcPr>
          <w:p w:rsidR="00000000" w:rsidRDefault="00000000">
            <w:pPr>
              <w:spacing w:line="340" w:lineRule="exact"/>
              <w:ind w:right="340"/>
              <w:jc w:val="right"/>
            </w:pPr>
            <w:r>
              <w:t>1 411</w:t>
            </w:r>
          </w:p>
        </w:tc>
        <w:tc>
          <w:tcPr>
            <w:tcW w:w="1080" w:type="dxa"/>
          </w:tcPr>
          <w:p w:rsidR="00000000" w:rsidRDefault="00000000">
            <w:pPr>
              <w:spacing w:line="340" w:lineRule="exact"/>
              <w:ind w:right="340"/>
              <w:jc w:val="right"/>
            </w:pPr>
            <w:r>
              <w:t>1 202</w:t>
            </w:r>
          </w:p>
        </w:tc>
        <w:tc>
          <w:tcPr>
            <w:tcW w:w="1080" w:type="dxa"/>
          </w:tcPr>
          <w:p w:rsidR="00000000" w:rsidRDefault="00000000">
            <w:pPr>
              <w:spacing w:line="340" w:lineRule="exact"/>
              <w:ind w:right="340"/>
              <w:jc w:val="right"/>
            </w:pPr>
            <w:r>
              <w:t>54.0</w:t>
            </w:r>
          </w:p>
        </w:tc>
        <w:tc>
          <w:tcPr>
            <w:tcW w:w="1080" w:type="dxa"/>
          </w:tcPr>
          <w:p w:rsidR="00000000" w:rsidRDefault="00000000">
            <w:pPr>
              <w:spacing w:line="340" w:lineRule="exact"/>
              <w:ind w:right="340"/>
              <w:jc w:val="right"/>
            </w:pPr>
            <w:r>
              <w:t>46.0</w:t>
            </w:r>
          </w:p>
        </w:tc>
        <w:tc>
          <w:tcPr>
            <w:tcW w:w="1080" w:type="dxa"/>
          </w:tcPr>
          <w:p w:rsidR="00000000" w:rsidRDefault="00000000">
            <w:pPr>
              <w:spacing w:line="340" w:lineRule="exact"/>
              <w:ind w:right="340"/>
              <w:jc w:val="right"/>
            </w:pPr>
            <w:r>
              <w:t>1 479</w:t>
            </w:r>
          </w:p>
        </w:tc>
        <w:tc>
          <w:tcPr>
            <w:tcW w:w="1440" w:type="dxa"/>
          </w:tcPr>
          <w:p w:rsidR="00000000" w:rsidRDefault="00000000">
            <w:pPr>
              <w:spacing w:line="340" w:lineRule="exact"/>
              <w:ind w:right="340"/>
              <w:jc w:val="right"/>
            </w:pPr>
            <w:r>
              <w:t>2 940</w:t>
            </w:r>
          </w:p>
        </w:tc>
        <w:tc>
          <w:tcPr>
            <w:tcW w:w="1080" w:type="dxa"/>
          </w:tcPr>
          <w:p w:rsidR="00000000" w:rsidRDefault="00000000">
            <w:pPr>
              <w:spacing w:line="340" w:lineRule="exact"/>
              <w:jc w:val="center"/>
            </w:pPr>
            <w:r>
              <w:t>33.5</w:t>
            </w:r>
          </w:p>
        </w:tc>
        <w:tc>
          <w:tcPr>
            <w:tcW w:w="840" w:type="dxa"/>
          </w:tcPr>
          <w:p w:rsidR="00000000" w:rsidRDefault="00000000">
            <w:pPr>
              <w:spacing w:line="340" w:lineRule="exact"/>
              <w:jc w:val="center"/>
            </w:pPr>
            <w:r>
              <w:t>66.5</w:t>
            </w:r>
          </w:p>
        </w:tc>
      </w:tr>
      <w:tr w:rsidR="00000000">
        <w:tblPrEx>
          <w:tblCellMar>
            <w:top w:w="0" w:type="dxa"/>
            <w:bottom w:w="0" w:type="dxa"/>
          </w:tblCellMar>
        </w:tblPrEx>
        <w:tc>
          <w:tcPr>
            <w:tcW w:w="929" w:type="dxa"/>
          </w:tcPr>
          <w:p w:rsidR="00000000" w:rsidRDefault="00000000">
            <w:pPr>
              <w:spacing w:line="340" w:lineRule="exact"/>
            </w:pPr>
            <w:r>
              <w:rPr>
                <w:rFonts w:hint="eastAsia"/>
              </w:rPr>
              <w:t>食品</w:t>
            </w:r>
          </w:p>
        </w:tc>
        <w:tc>
          <w:tcPr>
            <w:tcW w:w="1379" w:type="dxa"/>
          </w:tcPr>
          <w:p w:rsidR="00000000" w:rsidRDefault="00000000">
            <w:pPr>
              <w:spacing w:line="340" w:lineRule="exact"/>
              <w:ind w:right="340"/>
              <w:jc w:val="right"/>
            </w:pPr>
            <w:r>
              <w:t>2 086</w:t>
            </w:r>
          </w:p>
        </w:tc>
        <w:tc>
          <w:tcPr>
            <w:tcW w:w="1080" w:type="dxa"/>
          </w:tcPr>
          <w:p w:rsidR="00000000" w:rsidRDefault="00000000">
            <w:pPr>
              <w:spacing w:line="340" w:lineRule="exact"/>
              <w:ind w:right="340"/>
              <w:jc w:val="right"/>
            </w:pPr>
            <w:r>
              <w:t>6 256</w:t>
            </w:r>
          </w:p>
        </w:tc>
        <w:tc>
          <w:tcPr>
            <w:tcW w:w="1080" w:type="dxa"/>
          </w:tcPr>
          <w:p w:rsidR="00000000" w:rsidRDefault="00000000">
            <w:pPr>
              <w:spacing w:line="340" w:lineRule="exact"/>
              <w:ind w:right="340"/>
              <w:jc w:val="right"/>
            </w:pPr>
            <w:r>
              <w:t>25.0</w:t>
            </w:r>
          </w:p>
        </w:tc>
        <w:tc>
          <w:tcPr>
            <w:tcW w:w="1080" w:type="dxa"/>
          </w:tcPr>
          <w:p w:rsidR="00000000" w:rsidRDefault="00000000">
            <w:pPr>
              <w:spacing w:line="340" w:lineRule="exact"/>
              <w:ind w:right="340"/>
              <w:jc w:val="right"/>
            </w:pPr>
            <w:r>
              <w:t>75.0</w:t>
            </w:r>
          </w:p>
        </w:tc>
        <w:tc>
          <w:tcPr>
            <w:tcW w:w="1080" w:type="dxa"/>
          </w:tcPr>
          <w:p w:rsidR="00000000" w:rsidRDefault="00000000">
            <w:pPr>
              <w:spacing w:line="340" w:lineRule="exact"/>
              <w:ind w:right="340"/>
              <w:jc w:val="right"/>
            </w:pPr>
            <w:r>
              <w:t>4 144</w:t>
            </w:r>
          </w:p>
        </w:tc>
        <w:tc>
          <w:tcPr>
            <w:tcW w:w="1440" w:type="dxa"/>
          </w:tcPr>
          <w:p w:rsidR="00000000" w:rsidRDefault="00000000">
            <w:pPr>
              <w:spacing w:line="340" w:lineRule="exact"/>
              <w:ind w:right="340"/>
              <w:jc w:val="right"/>
            </w:pPr>
            <w:r>
              <w:t>6 716</w:t>
            </w:r>
          </w:p>
        </w:tc>
        <w:tc>
          <w:tcPr>
            <w:tcW w:w="1080" w:type="dxa"/>
          </w:tcPr>
          <w:p w:rsidR="00000000" w:rsidRDefault="00000000">
            <w:pPr>
              <w:spacing w:line="340" w:lineRule="exact"/>
              <w:jc w:val="center"/>
            </w:pPr>
            <w:r>
              <w:t>38.2</w:t>
            </w:r>
          </w:p>
        </w:tc>
        <w:tc>
          <w:tcPr>
            <w:tcW w:w="840" w:type="dxa"/>
          </w:tcPr>
          <w:p w:rsidR="00000000" w:rsidRDefault="00000000">
            <w:pPr>
              <w:spacing w:line="340" w:lineRule="exact"/>
              <w:jc w:val="center"/>
            </w:pPr>
            <w:r>
              <w:t>61.8</w:t>
            </w:r>
          </w:p>
        </w:tc>
      </w:tr>
      <w:tr w:rsidR="00000000">
        <w:tblPrEx>
          <w:tblCellMar>
            <w:top w:w="0" w:type="dxa"/>
            <w:bottom w:w="0" w:type="dxa"/>
          </w:tblCellMar>
        </w:tblPrEx>
        <w:tc>
          <w:tcPr>
            <w:tcW w:w="929" w:type="dxa"/>
          </w:tcPr>
          <w:p w:rsidR="00000000" w:rsidRDefault="00000000">
            <w:pPr>
              <w:spacing w:line="340" w:lineRule="exact"/>
            </w:pPr>
            <w:r>
              <w:rPr>
                <w:rFonts w:hint="eastAsia"/>
              </w:rPr>
              <w:t>社会</w:t>
            </w:r>
          </w:p>
        </w:tc>
        <w:tc>
          <w:tcPr>
            <w:tcW w:w="1379" w:type="dxa"/>
          </w:tcPr>
          <w:p w:rsidR="00000000" w:rsidRDefault="00000000">
            <w:pPr>
              <w:spacing w:line="340" w:lineRule="exact"/>
              <w:ind w:right="340"/>
              <w:jc w:val="right"/>
            </w:pPr>
            <w:r>
              <w:t>12</w:t>
            </w:r>
            <w:r>
              <w:rPr>
                <w:rFonts w:hint="eastAsia"/>
              </w:rPr>
              <w:t xml:space="preserve"> </w:t>
            </w:r>
            <w:r>
              <w:t>547</w:t>
            </w:r>
          </w:p>
        </w:tc>
        <w:tc>
          <w:tcPr>
            <w:tcW w:w="1080" w:type="dxa"/>
          </w:tcPr>
          <w:p w:rsidR="00000000" w:rsidRDefault="00000000">
            <w:pPr>
              <w:spacing w:line="340" w:lineRule="exact"/>
              <w:ind w:right="340"/>
              <w:jc w:val="right"/>
            </w:pPr>
            <w:r>
              <w:t>14</w:t>
            </w:r>
            <w:r>
              <w:rPr>
                <w:rFonts w:hint="eastAsia"/>
              </w:rPr>
              <w:t xml:space="preserve"> </w:t>
            </w:r>
            <w:r>
              <w:t>730</w:t>
            </w:r>
          </w:p>
        </w:tc>
        <w:tc>
          <w:tcPr>
            <w:tcW w:w="1080" w:type="dxa"/>
          </w:tcPr>
          <w:p w:rsidR="00000000" w:rsidRDefault="00000000">
            <w:pPr>
              <w:spacing w:line="340" w:lineRule="exact"/>
              <w:ind w:right="340"/>
              <w:jc w:val="right"/>
            </w:pPr>
            <w:r>
              <w:t>46</w:t>
            </w:r>
            <w:r>
              <w:rPr>
                <w:rFonts w:hint="eastAsia"/>
              </w:rPr>
              <w:t>.</w:t>
            </w:r>
            <w:r>
              <w:t>0</w:t>
            </w:r>
          </w:p>
        </w:tc>
        <w:tc>
          <w:tcPr>
            <w:tcW w:w="1080" w:type="dxa"/>
          </w:tcPr>
          <w:p w:rsidR="00000000" w:rsidRDefault="00000000">
            <w:pPr>
              <w:spacing w:line="340" w:lineRule="exact"/>
              <w:ind w:right="340"/>
              <w:jc w:val="right"/>
            </w:pPr>
            <w:r>
              <w:t>54</w:t>
            </w:r>
            <w:r>
              <w:rPr>
                <w:rFonts w:hint="eastAsia"/>
              </w:rPr>
              <w:t>.</w:t>
            </w:r>
            <w:r>
              <w:t>0</w:t>
            </w:r>
          </w:p>
        </w:tc>
        <w:tc>
          <w:tcPr>
            <w:tcW w:w="1080" w:type="dxa"/>
          </w:tcPr>
          <w:p w:rsidR="00000000" w:rsidRDefault="00000000">
            <w:pPr>
              <w:spacing w:line="340" w:lineRule="exact"/>
              <w:ind w:right="340"/>
              <w:jc w:val="right"/>
            </w:pPr>
            <w:r>
              <w:t>18</w:t>
            </w:r>
            <w:r>
              <w:rPr>
                <w:rFonts w:hint="eastAsia"/>
              </w:rPr>
              <w:t xml:space="preserve"> </w:t>
            </w:r>
            <w:r>
              <w:t>708</w:t>
            </w:r>
          </w:p>
        </w:tc>
        <w:tc>
          <w:tcPr>
            <w:tcW w:w="1440" w:type="dxa"/>
          </w:tcPr>
          <w:p w:rsidR="00000000" w:rsidRDefault="00000000">
            <w:pPr>
              <w:spacing w:line="340" w:lineRule="exact"/>
              <w:ind w:right="340"/>
              <w:jc w:val="right"/>
            </w:pPr>
            <w:r>
              <w:t>23</w:t>
            </w:r>
            <w:r>
              <w:rPr>
                <w:rFonts w:hint="eastAsia"/>
              </w:rPr>
              <w:t xml:space="preserve"> </w:t>
            </w:r>
            <w:r>
              <w:t>625</w:t>
            </w:r>
          </w:p>
        </w:tc>
        <w:tc>
          <w:tcPr>
            <w:tcW w:w="1080" w:type="dxa"/>
          </w:tcPr>
          <w:p w:rsidR="00000000" w:rsidRDefault="00000000">
            <w:pPr>
              <w:spacing w:line="340" w:lineRule="exact"/>
              <w:jc w:val="center"/>
            </w:pPr>
            <w:r>
              <w:t>44</w:t>
            </w:r>
            <w:r>
              <w:rPr>
                <w:rFonts w:hint="eastAsia"/>
              </w:rPr>
              <w:t>.</w:t>
            </w:r>
            <w:r>
              <w:t>2</w:t>
            </w:r>
          </w:p>
        </w:tc>
        <w:tc>
          <w:tcPr>
            <w:tcW w:w="840" w:type="dxa"/>
          </w:tcPr>
          <w:p w:rsidR="00000000" w:rsidRDefault="00000000">
            <w:pPr>
              <w:spacing w:line="340" w:lineRule="exact"/>
              <w:jc w:val="center"/>
            </w:pPr>
            <w:r>
              <w:t>55</w:t>
            </w:r>
            <w:r>
              <w:rPr>
                <w:rFonts w:hint="eastAsia"/>
              </w:rPr>
              <w:t>.</w:t>
            </w:r>
            <w:r>
              <w:t>8</w:t>
            </w:r>
          </w:p>
        </w:tc>
      </w:tr>
      <w:tr w:rsidR="00000000">
        <w:tblPrEx>
          <w:tblCellMar>
            <w:top w:w="0" w:type="dxa"/>
            <w:bottom w:w="0" w:type="dxa"/>
          </w:tblCellMar>
        </w:tblPrEx>
        <w:tc>
          <w:tcPr>
            <w:tcW w:w="929" w:type="dxa"/>
          </w:tcPr>
          <w:p w:rsidR="00000000" w:rsidRDefault="00000000">
            <w:pPr>
              <w:spacing w:line="340" w:lineRule="exact"/>
            </w:pPr>
            <w:r>
              <w:rPr>
                <w:rFonts w:hint="eastAsia"/>
              </w:rPr>
              <w:t>农业</w:t>
            </w:r>
          </w:p>
        </w:tc>
        <w:tc>
          <w:tcPr>
            <w:tcW w:w="1379" w:type="dxa"/>
          </w:tcPr>
          <w:p w:rsidR="00000000" w:rsidRDefault="00000000">
            <w:pPr>
              <w:spacing w:line="340" w:lineRule="exact"/>
              <w:ind w:right="340"/>
              <w:jc w:val="right"/>
            </w:pPr>
            <w:r>
              <w:t>252</w:t>
            </w:r>
          </w:p>
        </w:tc>
        <w:tc>
          <w:tcPr>
            <w:tcW w:w="1080" w:type="dxa"/>
          </w:tcPr>
          <w:p w:rsidR="00000000" w:rsidRDefault="00000000">
            <w:pPr>
              <w:spacing w:line="340" w:lineRule="exact"/>
              <w:ind w:right="340"/>
              <w:jc w:val="right"/>
            </w:pPr>
            <w:r>
              <w:t>84</w:t>
            </w:r>
          </w:p>
        </w:tc>
        <w:tc>
          <w:tcPr>
            <w:tcW w:w="1080" w:type="dxa"/>
          </w:tcPr>
          <w:p w:rsidR="00000000" w:rsidRDefault="00000000">
            <w:pPr>
              <w:spacing w:line="340" w:lineRule="exact"/>
              <w:ind w:right="340"/>
              <w:jc w:val="right"/>
            </w:pPr>
            <w:r>
              <w:t>75.0</w:t>
            </w:r>
          </w:p>
        </w:tc>
        <w:tc>
          <w:tcPr>
            <w:tcW w:w="1080" w:type="dxa"/>
          </w:tcPr>
          <w:p w:rsidR="00000000" w:rsidRDefault="00000000">
            <w:pPr>
              <w:spacing w:line="340" w:lineRule="exact"/>
              <w:ind w:right="340"/>
              <w:jc w:val="right"/>
            </w:pPr>
            <w:r>
              <w:t>25.0</w:t>
            </w:r>
          </w:p>
        </w:tc>
        <w:tc>
          <w:tcPr>
            <w:tcW w:w="1080" w:type="dxa"/>
          </w:tcPr>
          <w:p w:rsidR="00000000" w:rsidRDefault="00000000">
            <w:pPr>
              <w:spacing w:line="340" w:lineRule="exact"/>
              <w:ind w:right="340"/>
              <w:jc w:val="right"/>
            </w:pPr>
            <w:r>
              <w:t>279</w:t>
            </w:r>
          </w:p>
        </w:tc>
        <w:tc>
          <w:tcPr>
            <w:tcW w:w="1440" w:type="dxa"/>
          </w:tcPr>
          <w:p w:rsidR="00000000" w:rsidRDefault="00000000">
            <w:pPr>
              <w:spacing w:line="340" w:lineRule="exact"/>
              <w:ind w:right="340"/>
              <w:jc w:val="right"/>
            </w:pPr>
            <w:r>
              <w:t>236</w:t>
            </w:r>
          </w:p>
        </w:tc>
        <w:tc>
          <w:tcPr>
            <w:tcW w:w="1080" w:type="dxa"/>
          </w:tcPr>
          <w:p w:rsidR="00000000" w:rsidRDefault="00000000">
            <w:pPr>
              <w:spacing w:line="340" w:lineRule="exact"/>
              <w:jc w:val="center"/>
            </w:pPr>
            <w:r>
              <w:t>54.2</w:t>
            </w:r>
          </w:p>
        </w:tc>
        <w:tc>
          <w:tcPr>
            <w:tcW w:w="840" w:type="dxa"/>
          </w:tcPr>
          <w:p w:rsidR="00000000" w:rsidRDefault="00000000">
            <w:pPr>
              <w:spacing w:line="340" w:lineRule="exact"/>
              <w:jc w:val="center"/>
            </w:pPr>
            <w:r>
              <w:t>45.8</w:t>
            </w:r>
          </w:p>
        </w:tc>
      </w:tr>
      <w:tr w:rsidR="00000000">
        <w:tblPrEx>
          <w:tblCellMar>
            <w:top w:w="0" w:type="dxa"/>
            <w:bottom w:w="0" w:type="dxa"/>
          </w:tblCellMar>
        </w:tblPrEx>
        <w:tc>
          <w:tcPr>
            <w:tcW w:w="929" w:type="dxa"/>
          </w:tcPr>
          <w:p w:rsidR="00000000" w:rsidRDefault="00000000">
            <w:pPr>
              <w:spacing w:line="340" w:lineRule="exact"/>
            </w:pPr>
            <w:r>
              <w:rPr>
                <w:rFonts w:hint="eastAsia"/>
              </w:rPr>
              <w:t>音乐</w:t>
            </w:r>
          </w:p>
        </w:tc>
        <w:tc>
          <w:tcPr>
            <w:tcW w:w="1379" w:type="dxa"/>
          </w:tcPr>
          <w:p w:rsidR="00000000" w:rsidRDefault="00000000">
            <w:pPr>
              <w:spacing w:line="340" w:lineRule="exact"/>
              <w:ind w:right="340"/>
              <w:jc w:val="right"/>
            </w:pPr>
            <w:r>
              <w:t>2 102</w:t>
            </w:r>
          </w:p>
        </w:tc>
        <w:tc>
          <w:tcPr>
            <w:tcW w:w="1080" w:type="dxa"/>
          </w:tcPr>
          <w:p w:rsidR="00000000" w:rsidRDefault="00000000">
            <w:pPr>
              <w:spacing w:line="340" w:lineRule="exact"/>
              <w:ind w:right="340"/>
              <w:jc w:val="right"/>
            </w:pPr>
            <w:r>
              <w:t>1 402</w:t>
            </w:r>
          </w:p>
        </w:tc>
        <w:tc>
          <w:tcPr>
            <w:tcW w:w="1080" w:type="dxa"/>
          </w:tcPr>
          <w:p w:rsidR="00000000" w:rsidRDefault="00000000">
            <w:pPr>
              <w:spacing w:line="340" w:lineRule="exact"/>
              <w:ind w:right="340"/>
              <w:jc w:val="right"/>
            </w:pPr>
            <w:r>
              <w:t>60.0</w:t>
            </w:r>
          </w:p>
        </w:tc>
        <w:tc>
          <w:tcPr>
            <w:tcW w:w="1080" w:type="dxa"/>
          </w:tcPr>
          <w:p w:rsidR="00000000" w:rsidRDefault="00000000">
            <w:pPr>
              <w:spacing w:line="340" w:lineRule="exact"/>
              <w:ind w:right="340"/>
              <w:jc w:val="right"/>
            </w:pPr>
            <w:r>
              <w:t>40.0</w:t>
            </w:r>
          </w:p>
        </w:tc>
        <w:tc>
          <w:tcPr>
            <w:tcW w:w="1080" w:type="dxa"/>
          </w:tcPr>
          <w:p w:rsidR="00000000" w:rsidRDefault="00000000">
            <w:pPr>
              <w:spacing w:line="340" w:lineRule="exact"/>
              <w:ind w:right="340"/>
              <w:jc w:val="right"/>
            </w:pPr>
            <w:r>
              <w:t>2 966</w:t>
            </w:r>
          </w:p>
        </w:tc>
        <w:tc>
          <w:tcPr>
            <w:tcW w:w="1440" w:type="dxa"/>
          </w:tcPr>
          <w:p w:rsidR="00000000" w:rsidRDefault="00000000">
            <w:pPr>
              <w:spacing w:line="340" w:lineRule="exact"/>
              <w:ind w:right="340"/>
              <w:jc w:val="right"/>
            </w:pPr>
            <w:r>
              <w:t>1 840</w:t>
            </w:r>
          </w:p>
        </w:tc>
        <w:tc>
          <w:tcPr>
            <w:tcW w:w="1080" w:type="dxa"/>
          </w:tcPr>
          <w:p w:rsidR="00000000" w:rsidRDefault="00000000">
            <w:pPr>
              <w:spacing w:line="340" w:lineRule="exact"/>
              <w:jc w:val="center"/>
            </w:pPr>
            <w:r>
              <w:t>61.7</w:t>
            </w:r>
          </w:p>
        </w:tc>
        <w:tc>
          <w:tcPr>
            <w:tcW w:w="840" w:type="dxa"/>
          </w:tcPr>
          <w:p w:rsidR="00000000" w:rsidRDefault="00000000">
            <w:pPr>
              <w:spacing w:line="340" w:lineRule="exact"/>
              <w:jc w:val="center"/>
            </w:pPr>
            <w:r>
              <w:t>38.3</w:t>
            </w:r>
          </w:p>
        </w:tc>
      </w:tr>
      <w:tr w:rsidR="00000000">
        <w:tblPrEx>
          <w:tblCellMar>
            <w:top w:w="0" w:type="dxa"/>
            <w:bottom w:w="0" w:type="dxa"/>
          </w:tblCellMar>
        </w:tblPrEx>
        <w:tc>
          <w:tcPr>
            <w:tcW w:w="929" w:type="dxa"/>
          </w:tcPr>
          <w:p w:rsidR="00000000" w:rsidRDefault="00000000">
            <w:pPr>
              <w:spacing w:line="340" w:lineRule="exact"/>
            </w:pPr>
            <w:r>
              <w:rPr>
                <w:rFonts w:hint="eastAsia"/>
              </w:rPr>
              <w:t>艺术</w:t>
            </w:r>
          </w:p>
        </w:tc>
        <w:tc>
          <w:tcPr>
            <w:tcW w:w="1379" w:type="dxa"/>
          </w:tcPr>
          <w:p w:rsidR="00000000" w:rsidRDefault="00000000">
            <w:pPr>
              <w:spacing w:line="340" w:lineRule="exact"/>
              <w:ind w:right="340"/>
              <w:jc w:val="right"/>
            </w:pPr>
            <w:r>
              <w:t>13 663</w:t>
            </w:r>
          </w:p>
        </w:tc>
        <w:tc>
          <w:tcPr>
            <w:tcW w:w="1080" w:type="dxa"/>
          </w:tcPr>
          <w:p w:rsidR="00000000" w:rsidRDefault="00000000">
            <w:pPr>
              <w:spacing w:line="340" w:lineRule="exact"/>
              <w:ind w:right="340"/>
              <w:jc w:val="right"/>
            </w:pPr>
            <w:r>
              <w:t>7 685</w:t>
            </w:r>
          </w:p>
        </w:tc>
        <w:tc>
          <w:tcPr>
            <w:tcW w:w="1080" w:type="dxa"/>
          </w:tcPr>
          <w:p w:rsidR="00000000" w:rsidRDefault="00000000">
            <w:pPr>
              <w:spacing w:line="340" w:lineRule="exact"/>
              <w:ind w:right="340"/>
              <w:jc w:val="right"/>
            </w:pPr>
            <w:r>
              <w:t>64.0</w:t>
            </w:r>
          </w:p>
        </w:tc>
        <w:tc>
          <w:tcPr>
            <w:tcW w:w="1080" w:type="dxa"/>
          </w:tcPr>
          <w:p w:rsidR="00000000" w:rsidRDefault="00000000">
            <w:pPr>
              <w:spacing w:line="340" w:lineRule="exact"/>
              <w:ind w:right="340"/>
              <w:jc w:val="right"/>
            </w:pPr>
            <w:r>
              <w:t>36.0</w:t>
            </w:r>
          </w:p>
        </w:tc>
        <w:tc>
          <w:tcPr>
            <w:tcW w:w="1080" w:type="dxa"/>
          </w:tcPr>
          <w:p w:rsidR="00000000" w:rsidRDefault="00000000">
            <w:pPr>
              <w:spacing w:line="340" w:lineRule="exact"/>
              <w:ind w:right="340"/>
              <w:jc w:val="right"/>
            </w:pPr>
            <w:r>
              <w:t>18 501</w:t>
            </w:r>
          </w:p>
        </w:tc>
        <w:tc>
          <w:tcPr>
            <w:tcW w:w="1440" w:type="dxa"/>
          </w:tcPr>
          <w:p w:rsidR="00000000" w:rsidRDefault="00000000">
            <w:pPr>
              <w:spacing w:line="340" w:lineRule="exact"/>
              <w:ind w:right="340"/>
              <w:jc w:val="right"/>
            </w:pPr>
            <w:r>
              <w:t>9 398</w:t>
            </w:r>
          </w:p>
        </w:tc>
        <w:tc>
          <w:tcPr>
            <w:tcW w:w="1080" w:type="dxa"/>
          </w:tcPr>
          <w:p w:rsidR="00000000" w:rsidRDefault="00000000">
            <w:pPr>
              <w:spacing w:line="340" w:lineRule="exact"/>
              <w:jc w:val="center"/>
            </w:pPr>
            <w:r>
              <w:t>66.3</w:t>
            </w:r>
          </w:p>
        </w:tc>
        <w:tc>
          <w:tcPr>
            <w:tcW w:w="840" w:type="dxa"/>
          </w:tcPr>
          <w:p w:rsidR="00000000" w:rsidRDefault="00000000">
            <w:pPr>
              <w:spacing w:line="340" w:lineRule="exact"/>
              <w:jc w:val="center"/>
            </w:pPr>
            <w:r>
              <w:t>33.7</w:t>
            </w:r>
          </w:p>
        </w:tc>
      </w:tr>
      <w:tr w:rsidR="00000000">
        <w:tblPrEx>
          <w:tblCellMar>
            <w:top w:w="0" w:type="dxa"/>
            <w:bottom w:w="0" w:type="dxa"/>
          </w:tblCellMar>
        </w:tblPrEx>
        <w:tc>
          <w:tcPr>
            <w:tcW w:w="929" w:type="dxa"/>
          </w:tcPr>
          <w:p w:rsidR="00000000" w:rsidRDefault="00000000">
            <w:pPr>
              <w:spacing w:line="340" w:lineRule="exact"/>
            </w:pPr>
            <w:r>
              <w:rPr>
                <w:rFonts w:hint="eastAsia"/>
              </w:rPr>
              <w:t>教育</w:t>
            </w:r>
          </w:p>
        </w:tc>
        <w:tc>
          <w:tcPr>
            <w:tcW w:w="1379" w:type="dxa"/>
          </w:tcPr>
          <w:p w:rsidR="00000000" w:rsidRDefault="00000000">
            <w:pPr>
              <w:spacing w:line="340" w:lineRule="exact"/>
              <w:ind w:right="332"/>
              <w:jc w:val="right"/>
            </w:pPr>
            <w:r>
              <w:t>960</w:t>
            </w:r>
          </w:p>
        </w:tc>
        <w:tc>
          <w:tcPr>
            <w:tcW w:w="1080" w:type="dxa"/>
          </w:tcPr>
          <w:p w:rsidR="00000000" w:rsidRDefault="00000000">
            <w:pPr>
              <w:spacing w:line="340" w:lineRule="exact"/>
              <w:ind w:right="332"/>
              <w:jc w:val="right"/>
            </w:pPr>
            <w:r>
              <w:t>412</w:t>
            </w:r>
          </w:p>
        </w:tc>
        <w:tc>
          <w:tcPr>
            <w:tcW w:w="1080" w:type="dxa"/>
          </w:tcPr>
          <w:p w:rsidR="00000000" w:rsidRDefault="00000000">
            <w:pPr>
              <w:spacing w:line="340" w:lineRule="exact"/>
              <w:ind w:right="332"/>
              <w:jc w:val="right"/>
            </w:pPr>
            <w:r>
              <w:t>70.0</w:t>
            </w:r>
          </w:p>
        </w:tc>
        <w:tc>
          <w:tcPr>
            <w:tcW w:w="1080" w:type="dxa"/>
          </w:tcPr>
          <w:p w:rsidR="00000000" w:rsidRDefault="00000000">
            <w:pPr>
              <w:spacing w:line="340" w:lineRule="exact"/>
              <w:ind w:right="332"/>
              <w:jc w:val="right"/>
            </w:pPr>
            <w:r>
              <w:t>30.0</w:t>
            </w:r>
          </w:p>
        </w:tc>
        <w:tc>
          <w:tcPr>
            <w:tcW w:w="1080" w:type="dxa"/>
          </w:tcPr>
          <w:p w:rsidR="00000000" w:rsidRDefault="00000000">
            <w:pPr>
              <w:spacing w:line="340" w:lineRule="exact"/>
              <w:ind w:right="332"/>
              <w:jc w:val="right"/>
            </w:pPr>
            <w:r>
              <w:t>24 433</w:t>
            </w:r>
          </w:p>
        </w:tc>
        <w:tc>
          <w:tcPr>
            <w:tcW w:w="1440" w:type="dxa"/>
          </w:tcPr>
          <w:p w:rsidR="00000000" w:rsidRDefault="00000000">
            <w:pPr>
              <w:spacing w:line="340" w:lineRule="exact"/>
              <w:ind w:right="332"/>
              <w:jc w:val="right"/>
            </w:pPr>
            <w:r>
              <w:t>9 044</w:t>
            </w:r>
          </w:p>
        </w:tc>
        <w:tc>
          <w:tcPr>
            <w:tcW w:w="1080" w:type="dxa"/>
          </w:tcPr>
          <w:p w:rsidR="00000000" w:rsidRDefault="00000000">
            <w:pPr>
              <w:spacing w:line="340" w:lineRule="exact"/>
              <w:ind w:right="332"/>
              <w:jc w:val="right"/>
            </w:pPr>
            <w:r>
              <w:t>73.0</w:t>
            </w:r>
          </w:p>
        </w:tc>
        <w:tc>
          <w:tcPr>
            <w:tcW w:w="840" w:type="dxa"/>
          </w:tcPr>
          <w:p w:rsidR="00000000" w:rsidRDefault="00000000">
            <w:pPr>
              <w:spacing w:line="340" w:lineRule="exact"/>
              <w:ind w:right="332"/>
              <w:jc w:val="right"/>
            </w:pPr>
            <w:r>
              <w:t>27.0</w:t>
            </w:r>
          </w:p>
        </w:tc>
      </w:tr>
      <w:tr w:rsidR="00000000">
        <w:tblPrEx>
          <w:tblCellMar>
            <w:top w:w="0" w:type="dxa"/>
            <w:bottom w:w="0" w:type="dxa"/>
          </w:tblCellMar>
        </w:tblPrEx>
        <w:tc>
          <w:tcPr>
            <w:tcW w:w="929" w:type="dxa"/>
            <w:tcBorders>
              <w:bottom w:val="single" w:sz="4" w:space="0" w:color="auto"/>
            </w:tcBorders>
          </w:tcPr>
          <w:p w:rsidR="00000000" w:rsidRDefault="00000000">
            <w:pPr>
              <w:spacing w:line="340" w:lineRule="exact"/>
            </w:pPr>
            <w:r>
              <w:rPr>
                <w:rFonts w:hint="eastAsia"/>
              </w:rPr>
              <w:t>保健</w:t>
            </w:r>
          </w:p>
        </w:tc>
        <w:tc>
          <w:tcPr>
            <w:tcW w:w="1379" w:type="dxa"/>
            <w:tcBorders>
              <w:bottom w:val="single" w:sz="4" w:space="0" w:color="auto"/>
            </w:tcBorders>
          </w:tcPr>
          <w:p w:rsidR="00000000" w:rsidRDefault="00000000">
            <w:pPr>
              <w:spacing w:line="340" w:lineRule="exact"/>
              <w:ind w:right="332"/>
              <w:jc w:val="right"/>
            </w:pPr>
            <w:r>
              <w:t>4 638</w:t>
            </w:r>
          </w:p>
        </w:tc>
        <w:tc>
          <w:tcPr>
            <w:tcW w:w="1080" w:type="dxa"/>
            <w:tcBorders>
              <w:bottom w:val="single" w:sz="4" w:space="0" w:color="auto"/>
            </w:tcBorders>
          </w:tcPr>
          <w:p w:rsidR="00000000" w:rsidRDefault="00000000">
            <w:pPr>
              <w:spacing w:line="340" w:lineRule="exact"/>
              <w:ind w:right="332"/>
              <w:jc w:val="right"/>
            </w:pPr>
            <w:r>
              <w:t>3 223</w:t>
            </w:r>
          </w:p>
        </w:tc>
        <w:tc>
          <w:tcPr>
            <w:tcW w:w="1080" w:type="dxa"/>
            <w:tcBorders>
              <w:bottom w:val="single" w:sz="4" w:space="0" w:color="auto"/>
            </w:tcBorders>
          </w:tcPr>
          <w:p w:rsidR="00000000" w:rsidRDefault="00000000">
            <w:pPr>
              <w:spacing w:line="340" w:lineRule="exact"/>
              <w:ind w:right="332"/>
              <w:jc w:val="right"/>
            </w:pPr>
            <w:r>
              <w:t>59.0</w:t>
            </w:r>
          </w:p>
        </w:tc>
        <w:tc>
          <w:tcPr>
            <w:tcW w:w="1080" w:type="dxa"/>
            <w:tcBorders>
              <w:bottom w:val="single" w:sz="4" w:space="0" w:color="auto"/>
            </w:tcBorders>
          </w:tcPr>
          <w:p w:rsidR="00000000" w:rsidRDefault="00000000">
            <w:pPr>
              <w:spacing w:line="340" w:lineRule="exact"/>
              <w:ind w:right="332"/>
              <w:jc w:val="right"/>
            </w:pPr>
            <w:r>
              <w:t>41.0</w:t>
            </w:r>
          </w:p>
        </w:tc>
        <w:tc>
          <w:tcPr>
            <w:tcW w:w="1080" w:type="dxa"/>
            <w:tcBorders>
              <w:bottom w:val="single" w:sz="4" w:space="0" w:color="auto"/>
            </w:tcBorders>
          </w:tcPr>
          <w:p w:rsidR="00000000" w:rsidRDefault="00000000">
            <w:pPr>
              <w:spacing w:line="340" w:lineRule="exact"/>
              <w:ind w:right="332"/>
              <w:jc w:val="right"/>
            </w:pPr>
            <w:r>
              <w:t>17 2</w:t>
            </w:r>
            <w:r>
              <w:rPr>
                <w:rFonts w:hint="eastAsia"/>
              </w:rPr>
              <w:t>2</w:t>
            </w:r>
            <w:r>
              <w:t>1</w:t>
            </w:r>
          </w:p>
        </w:tc>
        <w:tc>
          <w:tcPr>
            <w:tcW w:w="1440" w:type="dxa"/>
            <w:tcBorders>
              <w:bottom w:val="single" w:sz="4" w:space="0" w:color="auto"/>
            </w:tcBorders>
          </w:tcPr>
          <w:p w:rsidR="00000000" w:rsidRDefault="00000000">
            <w:pPr>
              <w:spacing w:line="340" w:lineRule="exact"/>
              <w:ind w:right="332"/>
              <w:jc w:val="right"/>
            </w:pPr>
            <w:r>
              <w:t>4 457</w:t>
            </w:r>
          </w:p>
        </w:tc>
        <w:tc>
          <w:tcPr>
            <w:tcW w:w="1080" w:type="dxa"/>
            <w:tcBorders>
              <w:bottom w:val="single" w:sz="4" w:space="0" w:color="auto"/>
            </w:tcBorders>
          </w:tcPr>
          <w:p w:rsidR="00000000" w:rsidRDefault="00000000">
            <w:pPr>
              <w:spacing w:line="340" w:lineRule="exact"/>
              <w:ind w:right="332"/>
              <w:jc w:val="right"/>
            </w:pPr>
            <w:r>
              <w:t>79.4</w:t>
            </w:r>
          </w:p>
        </w:tc>
        <w:tc>
          <w:tcPr>
            <w:tcW w:w="840" w:type="dxa"/>
            <w:tcBorders>
              <w:bottom w:val="single" w:sz="4" w:space="0" w:color="auto"/>
            </w:tcBorders>
          </w:tcPr>
          <w:p w:rsidR="00000000" w:rsidRDefault="00000000">
            <w:pPr>
              <w:spacing w:line="340" w:lineRule="exact"/>
              <w:ind w:right="332"/>
              <w:jc w:val="right"/>
            </w:pPr>
            <w:r>
              <w:t>20.6</w:t>
            </w:r>
          </w:p>
        </w:tc>
      </w:tr>
      <w:tr w:rsidR="00000000">
        <w:tblPrEx>
          <w:tblCellMar>
            <w:top w:w="0" w:type="dxa"/>
            <w:bottom w:w="0" w:type="dxa"/>
          </w:tblCellMar>
        </w:tblPrEx>
        <w:tc>
          <w:tcPr>
            <w:tcW w:w="929" w:type="dxa"/>
            <w:tcBorders>
              <w:top w:val="single" w:sz="4" w:space="0" w:color="auto"/>
              <w:bottom w:val="single" w:sz="6" w:space="0" w:color="auto"/>
            </w:tcBorders>
          </w:tcPr>
          <w:p w:rsidR="00000000" w:rsidRDefault="00000000">
            <w:pPr>
              <w:spacing w:line="340" w:lineRule="exact"/>
              <w:rPr>
                <w:rFonts w:eastAsia="SimHei"/>
              </w:rPr>
            </w:pPr>
            <w:r>
              <w:rPr>
                <w:rFonts w:eastAsia="SimHei" w:hint="eastAsia"/>
              </w:rPr>
              <w:t>总计</w:t>
            </w:r>
          </w:p>
        </w:tc>
        <w:tc>
          <w:tcPr>
            <w:tcW w:w="1379" w:type="dxa"/>
            <w:tcBorders>
              <w:top w:val="single" w:sz="4" w:space="0" w:color="auto"/>
              <w:bottom w:val="single" w:sz="6" w:space="0" w:color="auto"/>
            </w:tcBorders>
          </w:tcPr>
          <w:p w:rsidR="00000000" w:rsidRDefault="00000000">
            <w:pPr>
              <w:spacing w:line="340" w:lineRule="exact"/>
              <w:ind w:right="332"/>
              <w:jc w:val="right"/>
              <w:rPr>
                <w:rFonts w:eastAsia="SimHei"/>
                <w:b/>
                <w:bCs/>
              </w:rPr>
            </w:pPr>
            <w:r>
              <w:rPr>
                <w:rFonts w:eastAsia="SimHei"/>
                <w:b/>
                <w:bCs/>
              </w:rPr>
              <w:t>42 489</w:t>
            </w:r>
          </w:p>
        </w:tc>
        <w:tc>
          <w:tcPr>
            <w:tcW w:w="1080" w:type="dxa"/>
            <w:tcBorders>
              <w:top w:val="single" w:sz="4" w:space="0" w:color="auto"/>
              <w:bottom w:val="single" w:sz="6" w:space="0" w:color="auto"/>
            </w:tcBorders>
          </w:tcPr>
          <w:p w:rsidR="00000000" w:rsidRDefault="00000000">
            <w:pPr>
              <w:spacing w:line="340" w:lineRule="exact"/>
              <w:ind w:right="332"/>
              <w:jc w:val="right"/>
              <w:rPr>
                <w:rFonts w:eastAsia="SimHei"/>
                <w:b/>
                <w:bCs/>
              </w:rPr>
            </w:pPr>
            <w:r>
              <w:rPr>
                <w:rFonts w:eastAsia="SimHei"/>
                <w:b/>
                <w:bCs/>
              </w:rPr>
              <w:t>43 658</w:t>
            </w:r>
          </w:p>
        </w:tc>
        <w:tc>
          <w:tcPr>
            <w:tcW w:w="1080" w:type="dxa"/>
            <w:tcBorders>
              <w:top w:val="single" w:sz="4" w:space="0" w:color="auto"/>
              <w:bottom w:val="single" w:sz="6" w:space="0" w:color="auto"/>
            </w:tcBorders>
          </w:tcPr>
          <w:p w:rsidR="00000000" w:rsidRDefault="00000000">
            <w:pPr>
              <w:spacing w:line="340" w:lineRule="exact"/>
              <w:ind w:right="332"/>
              <w:jc w:val="right"/>
              <w:rPr>
                <w:rFonts w:eastAsia="SimHei"/>
                <w:b/>
                <w:bCs/>
              </w:rPr>
            </w:pPr>
            <w:r>
              <w:rPr>
                <w:rFonts w:eastAsia="SimHei"/>
                <w:b/>
                <w:bCs/>
              </w:rPr>
              <w:t>49.3</w:t>
            </w:r>
          </w:p>
        </w:tc>
        <w:tc>
          <w:tcPr>
            <w:tcW w:w="1080" w:type="dxa"/>
            <w:tcBorders>
              <w:top w:val="single" w:sz="4" w:space="0" w:color="auto"/>
              <w:bottom w:val="single" w:sz="6" w:space="0" w:color="auto"/>
            </w:tcBorders>
          </w:tcPr>
          <w:p w:rsidR="00000000" w:rsidRDefault="00000000">
            <w:pPr>
              <w:spacing w:line="340" w:lineRule="exact"/>
              <w:ind w:right="332"/>
              <w:jc w:val="right"/>
              <w:rPr>
                <w:rFonts w:eastAsia="SimHei"/>
                <w:b/>
                <w:bCs/>
              </w:rPr>
            </w:pPr>
            <w:r>
              <w:rPr>
                <w:rFonts w:eastAsia="SimHei"/>
                <w:b/>
                <w:bCs/>
              </w:rPr>
              <w:t>50.7</w:t>
            </w:r>
          </w:p>
        </w:tc>
        <w:tc>
          <w:tcPr>
            <w:tcW w:w="1080" w:type="dxa"/>
            <w:tcBorders>
              <w:top w:val="single" w:sz="4" w:space="0" w:color="auto"/>
              <w:bottom w:val="single" w:sz="6" w:space="0" w:color="auto"/>
            </w:tcBorders>
          </w:tcPr>
          <w:p w:rsidR="00000000" w:rsidRDefault="00000000">
            <w:pPr>
              <w:spacing w:line="340" w:lineRule="exact"/>
              <w:ind w:right="332"/>
              <w:jc w:val="right"/>
              <w:rPr>
                <w:rFonts w:eastAsia="SimHei"/>
                <w:b/>
                <w:bCs/>
              </w:rPr>
            </w:pPr>
            <w:r>
              <w:rPr>
                <w:rFonts w:eastAsia="SimHei"/>
                <w:b/>
                <w:bCs/>
              </w:rPr>
              <w:t>95 594</w:t>
            </w:r>
          </w:p>
        </w:tc>
        <w:tc>
          <w:tcPr>
            <w:tcW w:w="1440" w:type="dxa"/>
            <w:tcBorders>
              <w:top w:val="single" w:sz="4" w:space="0" w:color="auto"/>
              <w:bottom w:val="single" w:sz="6" w:space="0" w:color="auto"/>
            </w:tcBorders>
          </w:tcPr>
          <w:p w:rsidR="00000000" w:rsidRDefault="00000000">
            <w:pPr>
              <w:spacing w:line="340" w:lineRule="exact"/>
              <w:ind w:right="332"/>
              <w:jc w:val="right"/>
              <w:rPr>
                <w:rFonts w:eastAsia="SimHei"/>
                <w:b/>
                <w:bCs/>
              </w:rPr>
            </w:pPr>
            <w:r>
              <w:rPr>
                <w:rFonts w:eastAsia="SimHei"/>
                <w:b/>
                <w:bCs/>
              </w:rPr>
              <w:t>76 645</w:t>
            </w:r>
          </w:p>
        </w:tc>
        <w:tc>
          <w:tcPr>
            <w:tcW w:w="1080" w:type="dxa"/>
            <w:tcBorders>
              <w:top w:val="single" w:sz="4" w:space="0" w:color="auto"/>
              <w:bottom w:val="single" w:sz="6" w:space="0" w:color="auto"/>
            </w:tcBorders>
          </w:tcPr>
          <w:p w:rsidR="00000000" w:rsidRDefault="00000000">
            <w:pPr>
              <w:spacing w:line="340" w:lineRule="exact"/>
              <w:ind w:right="332"/>
              <w:jc w:val="right"/>
              <w:rPr>
                <w:rFonts w:eastAsia="SimHei"/>
                <w:b/>
                <w:bCs/>
              </w:rPr>
            </w:pPr>
            <w:r>
              <w:rPr>
                <w:rFonts w:eastAsia="SimHei"/>
                <w:b/>
                <w:bCs/>
              </w:rPr>
              <w:t>55.5</w:t>
            </w:r>
          </w:p>
        </w:tc>
        <w:tc>
          <w:tcPr>
            <w:tcW w:w="840" w:type="dxa"/>
            <w:tcBorders>
              <w:top w:val="single" w:sz="4" w:space="0" w:color="auto"/>
              <w:bottom w:val="single" w:sz="6" w:space="0" w:color="auto"/>
            </w:tcBorders>
          </w:tcPr>
          <w:p w:rsidR="00000000" w:rsidRDefault="00000000">
            <w:pPr>
              <w:spacing w:line="340" w:lineRule="exact"/>
              <w:ind w:right="332"/>
              <w:jc w:val="right"/>
              <w:rPr>
                <w:rFonts w:eastAsia="SimHei"/>
                <w:b/>
                <w:bCs/>
              </w:rPr>
            </w:pPr>
            <w:r>
              <w:rPr>
                <w:rFonts w:eastAsia="SimHei"/>
                <w:b/>
                <w:bCs/>
              </w:rPr>
              <w:t>44.5</w:t>
            </w:r>
          </w:p>
        </w:tc>
      </w:tr>
    </w:tbl>
    <w:p w:rsidR="00000000" w:rsidRDefault="00000000">
      <w:pPr>
        <w:spacing w:before="240" w:after="240" w:line="360" w:lineRule="exact"/>
        <w:ind w:firstLine="425"/>
        <w:rPr>
          <w:rFonts w:hint="eastAsia"/>
        </w:rPr>
      </w:pPr>
      <w:r>
        <w:rPr>
          <w:rFonts w:hint="eastAsia"/>
        </w:rPr>
        <w:t>本表显示</w:t>
      </w:r>
      <w:r>
        <w:t>1997</w:t>
      </w:r>
      <w:r>
        <w:rPr>
          <w:rFonts w:hint="eastAsia"/>
        </w:rPr>
        <w:t>年</w:t>
      </w:r>
      <w:r>
        <w:t>10</w:t>
      </w:r>
      <w:r>
        <w:rPr>
          <w:rFonts w:hint="eastAsia"/>
        </w:rPr>
        <w:t>月高等院校在校生的人数。高等教育短期课程为第</w:t>
      </w:r>
      <w:r>
        <w:t>13</w:t>
      </w:r>
      <w:r>
        <w:rPr>
          <w:rFonts w:hint="eastAsia"/>
        </w:rPr>
        <w:t>年和</w:t>
      </w:r>
      <w:r>
        <w:t>14</w:t>
      </w:r>
      <w:r>
        <w:rPr>
          <w:rFonts w:hint="eastAsia"/>
        </w:rPr>
        <w:t>年教育。中期课程为第</w:t>
      </w:r>
      <w:r>
        <w:t>15</w:t>
      </w:r>
      <w:r>
        <w:rPr>
          <w:rFonts w:hint="eastAsia"/>
        </w:rPr>
        <w:t>年和</w:t>
      </w:r>
      <w:r>
        <w:t>16</w:t>
      </w:r>
      <w:r>
        <w:rPr>
          <w:rFonts w:hint="eastAsia"/>
        </w:rPr>
        <w:t>年教育。长期课程为第</w:t>
      </w:r>
      <w:r>
        <w:t>17</w:t>
      </w:r>
      <w:r>
        <w:rPr>
          <w:rFonts w:hint="eastAsia"/>
        </w:rPr>
        <w:t>年和</w:t>
      </w:r>
      <w:r>
        <w:t>18</w:t>
      </w:r>
      <w:r>
        <w:rPr>
          <w:rFonts w:hint="eastAsia"/>
        </w:rPr>
        <w:t>年教育。妇女所占百分比最低的专业位于本表最高一栏。</w:t>
      </w:r>
    </w:p>
    <w:p w:rsidR="00000000" w:rsidRDefault="00000000">
      <w:pPr>
        <w:spacing w:after="240" w:line="360" w:lineRule="exact"/>
        <w:ind w:firstLine="425"/>
        <w:rPr>
          <w:rFonts w:hint="eastAsia"/>
        </w:rPr>
      </w:pPr>
      <w:r>
        <w:rPr>
          <w:rFonts w:hint="eastAsia"/>
        </w:rPr>
        <w:t>资料来源：统计数据：教育与文化，</w:t>
      </w:r>
      <w:r>
        <w:rPr>
          <w:rFonts w:hint="eastAsia"/>
        </w:rPr>
        <w:t>1998:7</w:t>
      </w:r>
      <w:r>
        <w:rPr>
          <w:rFonts w:hint="eastAsia"/>
        </w:rPr>
        <w:t>，</w:t>
      </w:r>
      <w:r>
        <w:rPr>
          <w:rFonts w:hint="eastAsia"/>
        </w:rPr>
        <w:t>1998:11</w:t>
      </w:r>
      <w:r>
        <w:rPr>
          <w:rFonts w:hint="eastAsia"/>
        </w:rPr>
        <w:t>，</w:t>
      </w:r>
      <w:r>
        <w:rPr>
          <w:rFonts w:hint="eastAsia"/>
        </w:rPr>
        <w:t>1998:13</w:t>
      </w:r>
      <w:r>
        <w:rPr>
          <w:rFonts w:hint="eastAsia"/>
        </w:rPr>
        <w:t>。</w:t>
      </w:r>
    </w:p>
    <w:p w:rsidR="00000000" w:rsidRDefault="00000000">
      <w:pPr>
        <w:spacing w:after="240" w:line="360" w:lineRule="exact"/>
        <w:jc w:val="center"/>
        <w:rPr>
          <w:rFonts w:eastAsia="SimHei"/>
        </w:rPr>
      </w:pPr>
      <w:r>
        <w:rPr>
          <w:rFonts w:eastAsia="SimHei" w:hint="eastAsia"/>
        </w:rPr>
        <w:t>表</w:t>
      </w:r>
      <w:r>
        <w:rPr>
          <w:rFonts w:eastAsia="SimHei"/>
        </w:rPr>
        <w:t>5.  1976–1997</w:t>
      </w:r>
      <w:r>
        <w:rPr>
          <w:rFonts w:eastAsia="SimHei" w:hint="eastAsia"/>
        </w:rPr>
        <w:t>年劳动力和参加比率</w:t>
      </w:r>
    </w:p>
    <w:tbl>
      <w:tblPr>
        <w:tblW w:w="0" w:type="auto"/>
        <w:tblBorders>
          <w:top w:val="single" w:sz="6" w:space="0" w:color="auto"/>
          <w:bottom w:val="single" w:sz="6" w:space="0" w:color="auto"/>
        </w:tblBorders>
        <w:tblLayout w:type="fixed"/>
        <w:tblCellMar>
          <w:left w:w="28" w:type="dxa"/>
          <w:right w:w="28" w:type="dxa"/>
        </w:tblCellMar>
        <w:tblLook w:val="0000" w:firstRow="0" w:lastRow="0" w:firstColumn="0" w:lastColumn="0" w:noHBand="0" w:noVBand="0"/>
      </w:tblPr>
      <w:tblGrid>
        <w:gridCol w:w="1540"/>
        <w:gridCol w:w="1076"/>
        <w:gridCol w:w="1564"/>
        <w:gridCol w:w="1200"/>
        <w:gridCol w:w="1200"/>
        <w:gridCol w:w="1080"/>
        <w:gridCol w:w="1076"/>
        <w:gridCol w:w="1180"/>
      </w:tblGrid>
      <w:tr w:rsidR="00000000">
        <w:tblPrEx>
          <w:tblCellMar>
            <w:top w:w="0" w:type="dxa"/>
            <w:bottom w:w="0" w:type="dxa"/>
          </w:tblCellMar>
        </w:tblPrEx>
        <w:tc>
          <w:tcPr>
            <w:tcW w:w="1540" w:type="dxa"/>
            <w:tcBorders>
              <w:bottom w:val="single" w:sz="4" w:space="0" w:color="auto"/>
            </w:tcBorders>
          </w:tcPr>
          <w:p w:rsidR="00000000" w:rsidRDefault="00000000">
            <w:pPr>
              <w:spacing w:line="360" w:lineRule="exact"/>
              <w:rPr>
                <w:sz w:val="18"/>
              </w:rPr>
            </w:pPr>
          </w:p>
        </w:tc>
        <w:tc>
          <w:tcPr>
            <w:tcW w:w="1076" w:type="dxa"/>
            <w:tcBorders>
              <w:bottom w:val="single" w:sz="4" w:space="0" w:color="auto"/>
            </w:tcBorders>
          </w:tcPr>
          <w:p w:rsidR="00000000" w:rsidRDefault="00000000">
            <w:pPr>
              <w:spacing w:line="360" w:lineRule="exact"/>
              <w:jc w:val="center"/>
              <w:rPr>
                <w:sz w:val="18"/>
              </w:rPr>
            </w:pPr>
            <w:r>
              <w:rPr>
                <w:sz w:val="18"/>
              </w:rPr>
              <w:t>1976</w:t>
            </w:r>
          </w:p>
        </w:tc>
        <w:tc>
          <w:tcPr>
            <w:tcW w:w="1564" w:type="dxa"/>
            <w:tcBorders>
              <w:bottom w:val="single" w:sz="4" w:space="0" w:color="auto"/>
            </w:tcBorders>
          </w:tcPr>
          <w:p w:rsidR="00000000" w:rsidRDefault="00000000">
            <w:pPr>
              <w:spacing w:line="360" w:lineRule="exact"/>
              <w:jc w:val="center"/>
              <w:rPr>
                <w:sz w:val="18"/>
              </w:rPr>
            </w:pPr>
            <w:r>
              <w:rPr>
                <w:sz w:val="18"/>
              </w:rPr>
              <w:t>1981</w:t>
            </w:r>
          </w:p>
        </w:tc>
        <w:tc>
          <w:tcPr>
            <w:tcW w:w="1200" w:type="dxa"/>
            <w:tcBorders>
              <w:bottom w:val="single" w:sz="4" w:space="0" w:color="auto"/>
            </w:tcBorders>
          </w:tcPr>
          <w:p w:rsidR="00000000" w:rsidRDefault="00000000">
            <w:pPr>
              <w:spacing w:line="360" w:lineRule="exact"/>
              <w:jc w:val="center"/>
              <w:rPr>
                <w:sz w:val="18"/>
              </w:rPr>
            </w:pPr>
            <w:r>
              <w:rPr>
                <w:sz w:val="18"/>
              </w:rPr>
              <w:t>1986</w:t>
            </w:r>
          </w:p>
        </w:tc>
        <w:tc>
          <w:tcPr>
            <w:tcW w:w="1200" w:type="dxa"/>
            <w:tcBorders>
              <w:bottom w:val="single" w:sz="4" w:space="0" w:color="auto"/>
            </w:tcBorders>
          </w:tcPr>
          <w:p w:rsidR="00000000" w:rsidRDefault="00000000">
            <w:pPr>
              <w:spacing w:line="360" w:lineRule="exact"/>
              <w:jc w:val="center"/>
              <w:rPr>
                <w:sz w:val="18"/>
              </w:rPr>
            </w:pPr>
            <w:r>
              <w:rPr>
                <w:sz w:val="18"/>
              </w:rPr>
              <w:t>1991</w:t>
            </w:r>
          </w:p>
        </w:tc>
        <w:tc>
          <w:tcPr>
            <w:tcW w:w="1080" w:type="dxa"/>
            <w:tcBorders>
              <w:bottom w:val="single" w:sz="4" w:space="0" w:color="auto"/>
            </w:tcBorders>
          </w:tcPr>
          <w:p w:rsidR="00000000" w:rsidRDefault="00000000">
            <w:pPr>
              <w:spacing w:line="360" w:lineRule="exact"/>
              <w:jc w:val="center"/>
              <w:rPr>
                <w:sz w:val="18"/>
              </w:rPr>
            </w:pPr>
            <w:r>
              <w:rPr>
                <w:sz w:val="18"/>
              </w:rPr>
              <w:t>1996</w:t>
            </w:r>
          </w:p>
        </w:tc>
        <w:tc>
          <w:tcPr>
            <w:tcW w:w="1076" w:type="dxa"/>
            <w:tcBorders>
              <w:bottom w:val="single" w:sz="4" w:space="0" w:color="auto"/>
            </w:tcBorders>
          </w:tcPr>
          <w:p w:rsidR="00000000" w:rsidRDefault="00000000">
            <w:pPr>
              <w:spacing w:line="360" w:lineRule="exact"/>
              <w:jc w:val="center"/>
              <w:rPr>
                <w:sz w:val="18"/>
              </w:rPr>
            </w:pPr>
            <w:r>
              <w:rPr>
                <w:sz w:val="18"/>
              </w:rPr>
              <w:t>1997</w:t>
            </w:r>
          </w:p>
        </w:tc>
        <w:tc>
          <w:tcPr>
            <w:tcW w:w="1180" w:type="dxa"/>
            <w:tcBorders>
              <w:bottom w:val="single" w:sz="4" w:space="0" w:color="auto"/>
            </w:tcBorders>
          </w:tcPr>
          <w:p w:rsidR="00000000" w:rsidRDefault="00000000">
            <w:pPr>
              <w:spacing w:line="360" w:lineRule="exact"/>
              <w:jc w:val="center"/>
              <w:rPr>
                <w:sz w:val="18"/>
              </w:rPr>
            </w:pPr>
            <w:r>
              <w:rPr>
                <w:sz w:val="18"/>
              </w:rPr>
              <w:t>1998</w:t>
            </w:r>
          </w:p>
        </w:tc>
      </w:tr>
      <w:tr w:rsidR="00000000">
        <w:tblPrEx>
          <w:tblCellMar>
            <w:top w:w="0" w:type="dxa"/>
            <w:bottom w:w="0" w:type="dxa"/>
          </w:tblCellMar>
        </w:tblPrEx>
        <w:tc>
          <w:tcPr>
            <w:tcW w:w="1540" w:type="dxa"/>
            <w:tcBorders>
              <w:top w:val="single" w:sz="4" w:space="0" w:color="auto"/>
              <w:bottom w:val="nil"/>
            </w:tcBorders>
          </w:tcPr>
          <w:p w:rsidR="00000000" w:rsidRDefault="00000000">
            <w:pPr>
              <w:spacing w:line="360" w:lineRule="exact"/>
              <w:rPr>
                <w:sz w:val="18"/>
              </w:rPr>
            </w:pPr>
            <w:r>
              <w:rPr>
                <w:rFonts w:hint="eastAsia"/>
                <w:sz w:val="18"/>
              </w:rPr>
              <w:t>总人口</w:t>
            </w:r>
          </w:p>
        </w:tc>
        <w:tc>
          <w:tcPr>
            <w:tcW w:w="1076" w:type="dxa"/>
            <w:tcBorders>
              <w:top w:val="single" w:sz="4" w:space="0" w:color="auto"/>
              <w:bottom w:val="nil"/>
            </w:tcBorders>
          </w:tcPr>
          <w:p w:rsidR="00000000" w:rsidRDefault="00000000">
            <w:pPr>
              <w:spacing w:line="360" w:lineRule="exact"/>
              <w:jc w:val="center"/>
              <w:rPr>
                <w:sz w:val="18"/>
              </w:rPr>
            </w:pPr>
            <w:r>
              <w:rPr>
                <w:sz w:val="18"/>
              </w:rPr>
              <w:t>5 064 000</w:t>
            </w:r>
          </w:p>
        </w:tc>
        <w:tc>
          <w:tcPr>
            <w:tcW w:w="1564" w:type="dxa"/>
            <w:tcBorders>
              <w:top w:val="single" w:sz="4" w:space="0" w:color="auto"/>
              <w:bottom w:val="nil"/>
            </w:tcBorders>
          </w:tcPr>
          <w:p w:rsidR="00000000" w:rsidRDefault="00000000">
            <w:pPr>
              <w:spacing w:line="360" w:lineRule="exact"/>
              <w:jc w:val="center"/>
              <w:rPr>
                <w:sz w:val="18"/>
              </w:rPr>
            </w:pPr>
            <w:r>
              <w:rPr>
                <w:sz w:val="18"/>
              </w:rPr>
              <w:t>5 123 000</w:t>
            </w:r>
          </w:p>
        </w:tc>
        <w:tc>
          <w:tcPr>
            <w:tcW w:w="1200" w:type="dxa"/>
            <w:tcBorders>
              <w:top w:val="single" w:sz="4" w:space="0" w:color="auto"/>
              <w:bottom w:val="nil"/>
            </w:tcBorders>
          </w:tcPr>
          <w:p w:rsidR="00000000" w:rsidRDefault="00000000">
            <w:pPr>
              <w:spacing w:line="360" w:lineRule="exact"/>
              <w:jc w:val="center"/>
              <w:rPr>
                <w:sz w:val="18"/>
              </w:rPr>
            </w:pPr>
            <w:r>
              <w:rPr>
                <w:sz w:val="18"/>
              </w:rPr>
              <w:t>5 115 000</w:t>
            </w:r>
          </w:p>
        </w:tc>
        <w:tc>
          <w:tcPr>
            <w:tcW w:w="1200" w:type="dxa"/>
            <w:tcBorders>
              <w:top w:val="single" w:sz="4" w:space="0" w:color="auto"/>
              <w:bottom w:val="nil"/>
            </w:tcBorders>
          </w:tcPr>
          <w:p w:rsidR="00000000" w:rsidRDefault="00000000">
            <w:pPr>
              <w:spacing w:line="360" w:lineRule="exact"/>
              <w:jc w:val="center"/>
              <w:rPr>
                <w:sz w:val="18"/>
              </w:rPr>
            </w:pPr>
            <w:r>
              <w:rPr>
                <w:sz w:val="18"/>
              </w:rPr>
              <w:t>5 146 000</w:t>
            </w:r>
          </w:p>
        </w:tc>
        <w:tc>
          <w:tcPr>
            <w:tcW w:w="1080" w:type="dxa"/>
            <w:tcBorders>
              <w:top w:val="single" w:sz="4" w:space="0" w:color="auto"/>
              <w:bottom w:val="nil"/>
            </w:tcBorders>
          </w:tcPr>
          <w:p w:rsidR="00000000" w:rsidRDefault="00000000">
            <w:pPr>
              <w:spacing w:line="360" w:lineRule="exact"/>
              <w:jc w:val="center"/>
              <w:rPr>
                <w:sz w:val="18"/>
              </w:rPr>
            </w:pPr>
            <w:r>
              <w:rPr>
                <w:sz w:val="18"/>
              </w:rPr>
              <w:t>5 250 000</w:t>
            </w:r>
          </w:p>
        </w:tc>
        <w:tc>
          <w:tcPr>
            <w:tcW w:w="1076" w:type="dxa"/>
            <w:tcBorders>
              <w:top w:val="single" w:sz="4" w:space="0" w:color="auto"/>
              <w:bottom w:val="nil"/>
            </w:tcBorders>
          </w:tcPr>
          <w:p w:rsidR="00000000" w:rsidRDefault="00000000">
            <w:pPr>
              <w:spacing w:line="360" w:lineRule="exact"/>
              <w:jc w:val="center"/>
              <w:rPr>
                <w:sz w:val="18"/>
              </w:rPr>
            </w:pPr>
            <w:r>
              <w:rPr>
                <w:sz w:val="18"/>
              </w:rPr>
              <w:t>5 251 121</w:t>
            </w:r>
          </w:p>
        </w:tc>
        <w:tc>
          <w:tcPr>
            <w:tcW w:w="1180" w:type="dxa"/>
            <w:tcBorders>
              <w:top w:val="single" w:sz="4" w:space="0" w:color="auto"/>
              <w:bottom w:val="nil"/>
            </w:tcBorders>
          </w:tcPr>
          <w:p w:rsidR="00000000" w:rsidRDefault="00000000">
            <w:pPr>
              <w:spacing w:line="360" w:lineRule="exact"/>
              <w:jc w:val="center"/>
              <w:rPr>
                <w:sz w:val="18"/>
              </w:rPr>
            </w:pPr>
            <w:r>
              <w:rPr>
                <w:sz w:val="18"/>
              </w:rPr>
              <w:t>5 294 860</w:t>
            </w:r>
          </w:p>
        </w:tc>
      </w:tr>
      <w:tr w:rsidR="00000000">
        <w:tblPrEx>
          <w:tblCellMar>
            <w:top w:w="0" w:type="dxa"/>
            <w:bottom w:w="0" w:type="dxa"/>
          </w:tblCellMar>
        </w:tblPrEx>
        <w:tc>
          <w:tcPr>
            <w:tcW w:w="1540" w:type="dxa"/>
            <w:tcBorders>
              <w:top w:val="nil"/>
            </w:tcBorders>
          </w:tcPr>
          <w:p w:rsidR="00000000" w:rsidRDefault="00000000">
            <w:pPr>
              <w:spacing w:line="360" w:lineRule="exact"/>
              <w:rPr>
                <w:sz w:val="18"/>
              </w:rPr>
            </w:pPr>
            <w:r>
              <w:rPr>
                <w:rFonts w:hint="eastAsia"/>
                <w:sz w:val="18"/>
              </w:rPr>
              <w:t>劳动力</w:t>
            </w:r>
          </w:p>
        </w:tc>
        <w:tc>
          <w:tcPr>
            <w:tcW w:w="1076" w:type="dxa"/>
            <w:tcBorders>
              <w:top w:val="nil"/>
            </w:tcBorders>
          </w:tcPr>
          <w:p w:rsidR="00000000" w:rsidRDefault="00000000">
            <w:pPr>
              <w:spacing w:line="360" w:lineRule="exact"/>
              <w:jc w:val="center"/>
              <w:rPr>
                <w:sz w:val="18"/>
              </w:rPr>
            </w:pPr>
            <w:r>
              <w:rPr>
                <w:sz w:val="18"/>
              </w:rPr>
              <w:t>2 494 000</w:t>
            </w:r>
          </w:p>
        </w:tc>
        <w:tc>
          <w:tcPr>
            <w:tcW w:w="1564" w:type="dxa"/>
            <w:tcBorders>
              <w:top w:val="nil"/>
            </w:tcBorders>
          </w:tcPr>
          <w:p w:rsidR="00000000" w:rsidRDefault="00000000">
            <w:pPr>
              <w:spacing w:line="360" w:lineRule="exact"/>
              <w:jc w:val="center"/>
              <w:rPr>
                <w:sz w:val="18"/>
              </w:rPr>
            </w:pPr>
            <w:r>
              <w:rPr>
                <w:sz w:val="18"/>
              </w:rPr>
              <w:t>2 673 000</w:t>
            </w:r>
          </w:p>
        </w:tc>
        <w:tc>
          <w:tcPr>
            <w:tcW w:w="1200" w:type="dxa"/>
            <w:tcBorders>
              <w:top w:val="nil"/>
            </w:tcBorders>
          </w:tcPr>
          <w:p w:rsidR="00000000" w:rsidRDefault="00000000">
            <w:pPr>
              <w:spacing w:line="360" w:lineRule="exact"/>
              <w:jc w:val="center"/>
              <w:rPr>
                <w:sz w:val="18"/>
              </w:rPr>
            </w:pPr>
            <w:r>
              <w:rPr>
                <w:sz w:val="18"/>
              </w:rPr>
              <w:t>2 872 000</w:t>
            </w:r>
          </w:p>
        </w:tc>
        <w:tc>
          <w:tcPr>
            <w:tcW w:w="1200" w:type="dxa"/>
            <w:tcBorders>
              <w:top w:val="nil"/>
            </w:tcBorders>
          </w:tcPr>
          <w:p w:rsidR="00000000" w:rsidRDefault="00000000">
            <w:pPr>
              <w:spacing w:line="360" w:lineRule="exact"/>
              <w:jc w:val="center"/>
              <w:rPr>
                <w:sz w:val="18"/>
              </w:rPr>
            </w:pPr>
            <w:r>
              <w:rPr>
                <w:sz w:val="18"/>
              </w:rPr>
              <w:t>2 903 000</w:t>
            </w:r>
          </w:p>
        </w:tc>
        <w:tc>
          <w:tcPr>
            <w:tcW w:w="1080" w:type="dxa"/>
            <w:tcBorders>
              <w:top w:val="nil"/>
            </w:tcBorders>
          </w:tcPr>
          <w:p w:rsidR="00000000" w:rsidRDefault="00000000">
            <w:pPr>
              <w:spacing w:line="360" w:lineRule="exact"/>
              <w:jc w:val="center"/>
              <w:rPr>
                <w:sz w:val="18"/>
              </w:rPr>
            </w:pPr>
            <w:r>
              <w:rPr>
                <w:sz w:val="18"/>
              </w:rPr>
              <w:t>2 871 000</w:t>
            </w:r>
          </w:p>
        </w:tc>
        <w:tc>
          <w:tcPr>
            <w:tcW w:w="1076" w:type="dxa"/>
            <w:tcBorders>
              <w:top w:val="nil"/>
            </w:tcBorders>
          </w:tcPr>
          <w:p w:rsidR="00000000" w:rsidRDefault="00000000">
            <w:pPr>
              <w:spacing w:line="360" w:lineRule="exact"/>
              <w:jc w:val="center"/>
              <w:rPr>
                <w:sz w:val="18"/>
              </w:rPr>
            </w:pPr>
            <w:r>
              <w:rPr>
                <w:sz w:val="18"/>
              </w:rPr>
              <w:t>2 863 330</w:t>
            </w:r>
          </w:p>
        </w:tc>
        <w:tc>
          <w:tcPr>
            <w:tcW w:w="1180" w:type="dxa"/>
            <w:tcBorders>
              <w:top w:val="nil"/>
            </w:tcBorders>
          </w:tcPr>
          <w:p w:rsidR="00000000" w:rsidRDefault="00000000">
            <w:pPr>
              <w:spacing w:line="360" w:lineRule="exact"/>
              <w:jc w:val="center"/>
              <w:rPr>
                <w:sz w:val="18"/>
              </w:rPr>
            </w:pPr>
            <w:r>
              <w:rPr>
                <w:sz w:val="18"/>
              </w:rPr>
              <w:t>2 868 307</w:t>
            </w:r>
          </w:p>
        </w:tc>
      </w:tr>
      <w:tr w:rsidR="00000000">
        <w:tblPrEx>
          <w:tblCellMar>
            <w:top w:w="0" w:type="dxa"/>
            <w:bottom w:w="0" w:type="dxa"/>
          </w:tblCellMar>
        </w:tblPrEx>
        <w:tc>
          <w:tcPr>
            <w:tcW w:w="1540" w:type="dxa"/>
          </w:tcPr>
          <w:p w:rsidR="00000000" w:rsidRDefault="00000000">
            <w:pPr>
              <w:spacing w:line="360" w:lineRule="exact"/>
              <w:ind w:left="240" w:hanging="240"/>
              <w:rPr>
                <w:sz w:val="18"/>
              </w:rPr>
            </w:pPr>
            <w:r>
              <w:rPr>
                <w:rFonts w:hint="eastAsia"/>
                <w:sz w:val="18"/>
              </w:rPr>
              <w:t>总人数中劳动力所占百分比</w:t>
            </w:r>
          </w:p>
        </w:tc>
        <w:tc>
          <w:tcPr>
            <w:tcW w:w="1076" w:type="dxa"/>
          </w:tcPr>
          <w:p w:rsidR="00000000" w:rsidRDefault="00000000">
            <w:pPr>
              <w:spacing w:line="360" w:lineRule="exact"/>
              <w:jc w:val="center"/>
              <w:rPr>
                <w:sz w:val="18"/>
              </w:rPr>
            </w:pPr>
            <w:r>
              <w:rPr>
                <w:sz w:val="18"/>
              </w:rPr>
              <w:t>49.2</w:t>
            </w:r>
          </w:p>
        </w:tc>
        <w:tc>
          <w:tcPr>
            <w:tcW w:w="1564" w:type="dxa"/>
          </w:tcPr>
          <w:p w:rsidR="00000000" w:rsidRDefault="00000000">
            <w:pPr>
              <w:spacing w:line="360" w:lineRule="exact"/>
              <w:jc w:val="center"/>
              <w:rPr>
                <w:sz w:val="18"/>
              </w:rPr>
            </w:pPr>
            <w:r>
              <w:rPr>
                <w:sz w:val="18"/>
              </w:rPr>
              <w:t>52.2</w:t>
            </w:r>
          </w:p>
        </w:tc>
        <w:tc>
          <w:tcPr>
            <w:tcW w:w="1200" w:type="dxa"/>
          </w:tcPr>
          <w:p w:rsidR="00000000" w:rsidRDefault="00000000">
            <w:pPr>
              <w:spacing w:line="360" w:lineRule="exact"/>
              <w:jc w:val="center"/>
              <w:rPr>
                <w:sz w:val="18"/>
              </w:rPr>
            </w:pPr>
            <w:r>
              <w:rPr>
                <w:sz w:val="18"/>
              </w:rPr>
              <w:t>56.1</w:t>
            </w:r>
          </w:p>
        </w:tc>
        <w:tc>
          <w:tcPr>
            <w:tcW w:w="1200" w:type="dxa"/>
          </w:tcPr>
          <w:p w:rsidR="00000000" w:rsidRDefault="00000000">
            <w:pPr>
              <w:spacing w:line="360" w:lineRule="exact"/>
              <w:jc w:val="center"/>
              <w:rPr>
                <w:sz w:val="18"/>
              </w:rPr>
            </w:pPr>
            <w:r>
              <w:rPr>
                <w:sz w:val="18"/>
              </w:rPr>
              <w:t>56.4</w:t>
            </w:r>
          </w:p>
        </w:tc>
        <w:tc>
          <w:tcPr>
            <w:tcW w:w="1080" w:type="dxa"/>
          </w:tcPr>
          <w:p w:rsidR="00000000" w:rsidRDefault="00000000">
            <w:pPr>
              <w:spacing w:line="360" w:lineRule="exact"/>
              <w:jc w:val="center"/>
              <w:rPr>
                <w:sz w:val="18"/>
              </w:rPr>
            </w:pPr>
            <w:r>
              <w:rPr>
                <w:sz w:val="18"/>
              </w:rPr>
              <w:t>54.7</w:t>
            </w:r>
          </w:p>
        </w:tc>
        <w:tc>
          <w:tcPr>
            <w:tcW w:w="1076" w:type="dxa"/>
          </w:tcPr>
          <w:p w:rsidR="00000000" w:rsidRDefault="00000000">
            <w:pPr>
              <w:spacing w:line="360" w:lineRule="exact"/>
              <w:jc w:val="center"/>
              <w:rPr>
                <w:sz w:val="18"/>
              </w:rPr>
            </w:pPr>
            <w:r>
              <w:rPr>
                <w:sz w:val="18"/>
              </w:rPr>
              <w:t>54.5</w:t>
            </w:r>
          </w:p>
        </w:tc>
        <w:tc>
          <w:tcPr>
            <w:tcW w:w="1180" w:type="dxa"/>
          </w:tcPr>
          <w:p w:rsidR="00000000" w:rsidRDefault="00000000">
            <w:pPr>
              <w:spacing w:line="360" w:lineRule="exact"/>
              <w:jc w:val="center"/>
              <w:rPr>
                <w:sz w:val="18"/>
              </w:rPr>
            </w:pPr>
            <w:r>
              <w:rPr>
                <w:sz w:val="18"/>
              </w:rPr>
              <w:t>54.2</w:t>
            </w:r>
          </w:p>
        </w:tc>
      </w:tr>
      <w:tr w:rsidR="00000000">
        <w:tblPrEx>
          <w:tblCellMar>
            <w:top w:w="0" w:type="dxa"/>
            <w:bottom w:w="0" w:type="dxa"/>
          </w:tblCellMar>
        </w:tblPrEx>
        <w:tc>
          <w:tcPr>
            <w:tcW w:w="1540" w:type="dxa"/>
          </w:tcPr>
          <w:p w:rsidR="00000000" w:rsidRDefault="00000000">
            <w:pPr>
              <w:spacing w:line="360" w:lineRule="exact"/>
              <w:ind w:left="240" w:hanging="240"/>
              <w:rPr>
                <w:sz w:val="18"/>
              </w:rPr>
            </w:pPr>
            <w:r>
              <w:rPr>
                <w:rFonts w:hint="eastAsia"/>
                <w:sz w:val="18"/>
              </w:rPr>
              <w:t>妇女劳动力占妇女总数的百分比</w:t>
            </w:r>
          </w:p>
        </w:tc>
        <w:tc>
          <w:tcPr>
            <w:tcW w:w="1076" w:type="dxa"/>
          </w:tcPr>
          <w:p w:rsidR="00000000" w:rsidRDefault="00000000">
            <w:pPr>
              <w:spacing w:line="360" w:lineRule="exact"/>
              <w:jc w:val="center"/>
              <w:rPr>
                <w:sz w:val="18"/>
              </w:rPr>
            </w:pPr>
            <w:r>
              <w:rPr>
                <w:sz w:val="18"/>
              </w:rPr>
              <w:t>39.6</w:t>
            </w:r>
          </w:p>
        </w:tc>
        <w:tc>
          <w:tcPr>
            <w:tcW w:w="1564" w:type="dxa"/>
          </w:tcPr>
          <w:p w:rsidR="00000000" w:rsidRDefault="00000000">
            <w:pPr>
              <w:spacing w:line="360" w:lineRule="exact"/>
              <w:jc w:val="center"/>
              <w:rPr>
                <w:sz w:val="18"/>
              </w:rPr>
            </w:pPr>
            <w:r>
              <w:rPr>
                <w:sz w:val="18"/>
              </w:rPr>
              <w:t>45.8</w:t>
            </w:r>
          </w:p>
        </w:tc>
        <w:tc>
          <w:tcPr>
            <w:tcW w:w="1200" w:type="dxa"/>
          </w:tcPr>
          <w:p w:rsidR="00000000" w:rsidRDefault="00000000">
            <w:pPr>
              <w:spacing w:line="360" w:lineRule="exact"/>
              <w:jc w:val="center"/>
              <w:rPr>
                <w:sz w:val="18"/>
              </w:rPr>
            </w:pPr>
            <w:r>
              <w:rPr>
                <w:sz w:val="18"/>
              </w:rPr>
              <w:t>50.4</w:t>
            </w:r>
          </w:p>
        </w:tc>
        <w:tc>
          <w:tcPr>
            <w:tcW w:w="1200" w:type="dxa"/>
          </w:tcPr>
          <w:p w:rsidR="00000000" w:rsidRDefault="00000000">
            <w:pPr>
              <w:spacing w:line="360" w:lineRule="exact"/>
              <w:jc w:val="center"/>
              <w:rPr>
                <w:sz w:val="18"/>
              </w:rPr>
            </w:pPr>
            <w:r>
              <w:rPr>
                <w:sz w:val="18"/>
              </w:rPr>
              <w:t>51.6</w:t>
            </w:r>
          </w:p>
        </w:tc>
        <w:tc>
          <w:tcPr>
            <w:tcW w:w="1080" w:type="dxa"/>
          </w:tcPr>
          <w:p w:rsidR="00000000" w:rsidRDefault="00000000">
            <w:pPr>
              <w:spacing w:line="360" w:lineRule="exact"/>
              <w:jc w:val="center"/>
              <w:rPr>
                <w:sz w:val="18"/>
              </w:rPr>
            </w:pPr>
            <w:r>
              <w:rPr>
                <w:sz w:val="18"/>
              </w:rPr>
              <w:t>49.7</w:t>
            </w:r>
          </w:p>
        </w:tc>
        <w:tc>
          <w:tcPr>
            <w:tcW w:w="1076" w:type="dxa"/>
          </w:tcPr>
          <w:p w:rsidR="00000000" w:rsidRDefault="00000000">
            <w:pPr>
              <w:spacing w:line="360" w:lineRule="exact"/>
              <w:jc w:val="center"/>
              <w:rPr>
                <w:sz w:val="18"/>
              </w:rPr>
            </w:pPr>
            <w:r>
              <w:rPr>
                <w:sz w:val="18"/>
              </w:rPr>
              <w:t>49.4</w:t>
            </w:r>
          </w:p>
        </w:tc>
        <w:tc>
          <w:tcPr>
            <w:tcW w:w="1180" w:type="dxa"/>
          </w:tcPr>
          <w:p w:rsidR="00000000" w:rsidRDefault="00000000">
            <w:pPr>
              <w:spacing w:line="360" w:lineRule="exact"/>
              <w:jc w:val="center"/>
              <w:rPr>
                <w:sz w:val="18"/>
              </w:rPr>
            </w:pPr>
            <w:r>
              <w:rPr>
                <w:sz w:val="18"/>
              </w:rPr>
              <w:t>49.5</w:t>
            </w:r>
          </w:p>
        </w:tc>
      </w:tr>
      <w:tr w:rsidR="00000000">
        <w:tblPrEx>
          <w:tblCellMar>
            <w:top w:w="0" w:type="dxa"/>
            <w:bottom w:w="0" w:type="dxa"/>
          </w:tblCellMar>
        </w:tblPrEx>
        <w:tc>
          <w:tcPr>
            <w:tcW w:w="1540" w:type="dxa"/>
          </w:tcPr>
          <w:p w:rsidR="00000000" w:rsidRDefault="00000000">
            <w:pPr>
              <w:spacing w:line="360" w:lineRule="exact"/>
              <w:ind w:left="240" w:hanging="240"/>
              <w:rPr>
                <w:sz w:val="18"/>
              </w:rPr>
            </w:pPr>
            <w:r>
              <w:rPr>
                <w:rFonts w:hint="eastAsia"/>
                <w:sz w:val="18"/>
              </w:rPr>
              <w:t>男子劳动力占男子总数的百分比</w:t>
            </w:r>
          </w:p>
        </w:tc>
        <w:tc>
          <w:tcPr>
            <w:tcW w:w="1076" w:type="dxa"/>
          </w:tcPr>
          <w:p w:rsidR="00000000" w:rsidRDefault="00000000">
            <w:pPr>
              <w:spacing w:line="360" w:lineRule="exact"/>
              <w:jc w:val="center"/>
              <w:rPr>
                <w:sz w:val="18"/>
              </w:rPr>
            </w:pPr>
            <w:r>
              <w:rPr>
                <w:sz w:val="18"/>
              </w:rPr>
              <w:t>59.1</w:t>
            </w:r>
          </w:p>
        </w:tc>
        <w:tc>
          <w:tcPr>
            <w:tcW w:w="1564" w:type="dxa"/>
          </w:tcPr>
          <w:p w:rsidR="00000000" w:rsidRDefault="00000000">
            <w:pPr>
              <w:spacing w:line="360" w:lineRule="exact"/>
              <w:jc w:val="center"/>
              <w:rPr>
                <w:sz w:val="18"/>
              </w:rPr>
            </w:pPr>
            <w:r>
              <w:rPr>
                <w:sz w:val="18"/>
              </w:rPr>
              <w:t>58.7</w:t>
            </w:r>
          </w:p>
        </w:tc>
        <w:tc>
          <w:tcPr>
            <w:tcW w:w="1200" w:type="dxa"/>
          </w:tcPr>
          <w:p w:rsidR="00000000" w:rsidRDefault="00000000">
            <w:pPr>
              <w:spacing w:line="360" w:lineRule="exact"/>
              <w:jc w:val="center"/>
              <w:rPr>
                <w:sz w:val="18"/>
              </w:rPr>
            </w:pPr>
            <w:r>
              <w:rPr>
                <w:sz w:val="18"/>
              </w:rPr>
              <w:t>62.0</w:t>
            </w:r>
          </w:p>
        </w:tc>
        <w:tc>
          <w:tcPr>
            <w:tcW w:w="1200" w:type="dxa"/>
          </w:tcPr>
          <w:p w:rsidR="00000000" w:rsidRDefault="00000000">
            <w:pPr>
              <w:spacing w:line="360" w:lineRule="exact"/>
              <w:jc w:val="center"/>
              <w:rPr>
                <w:sz w:val="18"/>
              </w:rPr>
            </w:pPr>
            <w:r>
              <w:rPr>
                <w:sz w:val="18"/>
              </w:rPr>
              <w:t>61.4</w:t>
            </w:r>
          </w:p>
        </w:tc>
        <w:tc>
          <w:tcPr>
            <w:tcW w:w="1080" w:type="dxa"/>
          </w:tcPr>
          <w:p w:rsidR="00000000" w:rsidRDefault="00000000">
            <w:pPr>
              <w:spacing w:line="360" w:lineRule="exact"/>
              <w:jc w:val="center"/>
              <w:rPr>
                <w:sz w:val="18"/>
              </w:rPr>
            </w:pPr>
            <w:r>
              <w:rPr>
                <w:sz w:val="18"/>
              </w:rPr>
              <w:t>59.8</w:t>
            </w:r>
          </w:p>
        </w:tc>
        <w:tc>
          <w:tcPr>
            <w:tcW w:w="1076" w:type="dxa"/>
          </w:tcPr>
          <w:p w:rsidR="00000000" w:rsidRDefault="00000000">
            <w:pPr>
              <w:spacing w:line="360" w:lineRule="exact"/>
              <w:jc w:val="center"/>
              <w:rPr>
                <w:sz w:val="18"/>
              </w:rPr>
            </w:pPr>
            <w:r>
              <w:rPr>
                <w:sz w:val="18"/>
              </w:rPr>
              <w:t>59.3</w:t>
            </w:r>
          </w:p>
        </w:tc>
        <w:tc>
          <w:tcPr>
            <w:tcW w:w="1180" w:type="dxa"/>
          </w:tcPr>
          <w:p w:rsidR="00000000" w:rsidRDefault="00000000">
            <w:pPr>
              <w:spacing w:line="360" w:lineRule="exact"/>
              <w:jc w:val="center"/>
              <w:rPr>
                <w:sz w:val="18"/>
              </w:rPr>
            </w:pPr>
            <w:r>
              <w:rPr>
                <w:sz w:val="18"/>
              </w:rPr>
              <w:t>58.9</w:t>
            </w:r>
          </w:p>
        </w:tc>
      </w:tr>
      <w:tr w:rsidR="00000000">
        <w:tblPrEx>
          <w:tblCellMar>
            <w:top w:w="0" w:type="dxa"/>
            <w:bottom w:w="0" w:type="dxa"/>
          </w:tblCellMar>
        </w:tblPrEx>
        <w:tc>
          <w:tcPr>
            <w:tcW w:w="1540" w:type="dxa"/>
          </w:tcPr>
          <w:p w:rsidR="00000000" w:rsidRDefault="00000000">
            <w:pPr>
              <w:spacing w:line="360" w:lineRule="exact"/>
              <w:ind w:left="240" w:hanging="240"/>
              <w:rPr>
                <w:sz w:val="18"/>
              </w:rPr>
            </w:pPr>
            <w:r>
              <w:rPr>
                <w:rFonts w:hint="eastAsia"/>
                <w:sz w:val="18"/>
              </w:rPr>
              <w:t>妇女在劳动力中所占百分比</w:t>
            </w:r>
          </w:p>
        </w:tc>
        <w:tc>
          <w:tcPr>
            <w:tcW w:w="1076" w:type="dxa"/>
          </w:tcPr>
          <w:p w:rsidR="00000000" w:rsidRDefault="00000000">
            <w:pPr>
              <w:spacing w:line="360" w:lineRule="exact"/>
              <w:jc w:val="center"/>
              <w:rPr>
                <w:sz w:val="18"/>
              </w:rPr>
            </w:pPr>
            <w:r>
              <w:rPr>
                <w:sz w:val="18"/>
              </w:rPr>
              <w:t>40.6</w:t>
            </w:r>
          </w:p>
        </w:tc>
        <w:tc>
          <w:tcPr>
            <w:tcW w:w="1564" w:type="dxa"/>
          </w:tcPr>
          <w:p w:rsidR="00000000" w:rsidRDefault="00000000">
            <w:pPr>
              <w:spacing w:line="360" w:lineRule="exact"/>
              <w:jc w:val="center"/>
              <w:rPr>
                <w:sz w:val="18"/>
              </w:rPr>
            </w:pPr>
            <w:r>
              <w:rPr>
                <w:sz w:val="18"/>
              </w:rPr>
              <w:t>44.4</w:t>
            </w:r>
          </w:p>
        </w:tc>
        <w:tc>
          <w:tcPr>
            <w:tcW w:w="1200" w:type="dxa"/>
          </w:tcPr>
          <w:p w:rsidR="00000000" w:rsidRDefault="00000000">
            <w:pPr>
              <w:spacing w:line="360" w:lineRule="exact"/>
              <w:jc w:val="center"/>
              <w:rPr>
                <w:sz w:val="18"/>
              </w:rPr>
            </w:pPr>
            <w:r>
              <w:rPr>
                <w:sz w:val="18"/>
              </w:rPr>
              <w:t>45.6</w:t>
            </w:r>
          </w:p>
        </w:tc>
        <w:tc>
          <w:tcPr>
            <w:tcW w:w="1200" w:type="dxa"/>
          </w:tcPr>
          <w:p w:rsidR="00000000" w:rsidRDefault="00000000">
            <w:pPr>
              <w:spacing w:line="360" w:lineRule="exact"/>
              <w:jc w:val="center"/>
              <w:rPr>
                <w:sz w:val="18"/>
              </w:rPr>
            </w:pPr>
            <w:r>
              <w:rPr>
                <w:sz w:val="18"/>
              </w:rPr>
              <w:t>46.3</w:t>
            </w:r>
          </w:p>
        </w:tc>
        <w:tc>
          <w:tcPr>
            <w:tcW w:w="1080" w:type="dxa"/>
          </w:tcPr>
          <w:p w:rsidR="00000000" w:rsidRDefault="00000000">
            <w:pPr>
              <w:spacing w:line="360" w:lineRule="exact"/>
              <w:jc w:val="center"/>
              <w:rPr>
                <w:sz w:val="18"/>
              </w:rPr>
            </w:pPr>
            <w:r>
              <w:rPr>
                <w:sz w:val="18"/>
              </w:rPr>
              <w:t>46.0</w:t>
            </w:r>
          </w:p>
        </w:tc>
        <w:tc>
          <w:tcPr>
            <w:tcW w:w="1076" w:type="dxa"/>
          </w:tcPr>
          <w:p w:rsidR="00000000" w:rsidRDefault="00000000">
            <w:pPr>
              <w:spacing w:line="360" w:lineRule="exact"/>
              <w:jc w:val="center"/>
              <w:rPr>
                <w:sz w:val="18"/>
              </w:rPr>
            </w:pPr>
            <w:r>
              <w:rPr>
                <w:sz w:val="18"/>
              </w:rPr>
              <w:t>46.1</w:t>
            </w:r>
          </w:p>
        </w:tc>
        <w:tc>
          <w:tcPr>
            <w:tcW w:w="1180" w:type="dxa"/>
          </w:tcPr>
          <w:p w:rsidR="00000000" w:rsidRDefault="00000000">
            <w:pPr>
              <w:spacing w:line="360" w:lineRule="exact"/>
              <w:jc w:val="center"/>
              <w:rPr>
                <w:sz w:val="18"/>
              </w:rPr>
            </w:pPr>
            <w:r>
              <w:rPr>
                <w:sz w:val="18"/>
              </w:rPr>
              <w:t>46.2</w:t>
            </w:r>
          </w:p>
        </w:tc>
      </w:tr>
      <w:tr w:rsidR="00000000">
        <w:tblPrEx>
          <w:tblCellMar>
            <w:top w:w="0" w:type="dxa"/>
            <w:bottom w:w="0" w:type="dxa"/>
          </w:tblCellMar>
        </w:tblPrEx>
        <w:tc>
          <w:tcPr>
            <w:tcW w:w="1540" w:type="dxa"/>
          </w:tcPr>
          <w:p w:rsidR="00000000" w:rsidRDefault="00000000">
            <w:pPr>
              <w:spacing w:line="360" w:lineRule="exact"/>
              <w:ind w:left="240" w:hanging="240"/>
              <w:rPr>
                <w:sz w:val="18"/>
              </w:rPr>
            </w:pPr>
            <w:r>
              <w:rPr>
                <w:rFonts w:hint="eastAsia"/>
                <w:sz w:val="18"/>
              </w:rPr>
              <w:t>男子在劳动力中所占百分比</w:t>
            </w:r>
          </w:p>
        </w:tc>
        <w:tc>
          <w:tcPr>
            <w:tcW w:w="1076" w:type="dxa"/>
          </w:tcPr>
          <w:p w:rsidR="00000000" w:rsidRDefault="00000000">
            <w:pPr>
              <w:spacing w:line="360" w:lineRule="exact"/>
              <w:jc w:val="center"/>
              <w:rPr>
                <w:sz w:val="18"/>
              </w:rPr>
            </w:pPr>
            <w:r>
              <w:rPr>
                <w:sz w:val="18"/>
              </w:rPr>
              <w:t>59.4</w:t>
            </w:r>
          </w:p>
        </w:tc>
        <w:tc>
          <w:tcPr>
            <w:tcW w:w="1564" w:type="dxa"/>
          </w:tcPr>
          <w:p w:rsidR="00000000" w:rsidRDefault="00000000">
            <w:pPr>
              <w:spacing w:line="360" w:lineRule="exact"/>
              <w:jc w:val="center"/>
              <w:rPr>
                <w:sz w:val="18"/>
              </w:rPr>
            </w:pPr>
            <w:r>
              <w:rPr>
                <w:sz w:val="18"/>
              </w:rPr>
              <w:t>55.6</w:t>
            </w:r>
          </w:p>
        </w:tc>
        <w:tc>
          <w:tcPr>
            <w:tcW w:w="1200" w:type="dxa"/>
          </w:tcPr>
          <w:p w:rsidR="00000000" w:rsidRDefault="00000000">
            <w:pPr>
              <w:spacing w:line="360" w:lineRule="exact"/>
              <w:jc w:val="center"/>
              <w:rPr>
                <w:sz w:val="18"/>
              </w:rPr>
            </w:pPr>
            <w:r>
              <w:rPr>
                <w:sz w:val="18"/>
              </w:rPr>
              <w:t>54.4</w:t>
            </w:r>
          </w:p>
          <w:p w:rsidR="00000000" w:rsidRDefault="00000000">
            <w:pPr>
              <w:spacing w:line="360" w:lineRule="exact"/>
              <w:jc w:val="center"/>
              <w:rPr>
                <w:sz w:val="18"/>
              </w:rPr>
            </w:pPr>
            <w:r>
              <w:rPr>
                <w:sz w:val="18"/>
              </w:rPr>
              <w:t>62.5</w:t>
            </w:r>
          </w:p>
        </w:tc>
        <w:tc>
          <w:tcPr>
            <w:tcW w:w="1200" w:type="dxa"/>
          </w:tcPr>
          <w:p w:rsidR="00000000" w:rsidRDefault="00000000">
            <w:pPr>
              <w:spacing w:line="360" w:lineRule="exact"/>
              <w:jc w:val="center"/>
              <w:rPr>
                <w:sz w:val="18"/>
              </w:rPr>
            </w:pPr>
            <w:r>
              <w:rPr>
                <w:sz w:val="18"/>
              </w:rPr>
              <w:t>53.7</w:t>
            </w:r>
          </w:p>
        </w:tc>
        <w:tc>
          <w:tcPr>
            <w:tcW w:w="1080" w:type="dxa"/>
          </w:tcPr>
          <w:p w:rsidR="00000000" w:rsidRDefault="00000000">
            <w:pPr>
              <w:spacing w:line="360" w:lineRule="exact"/>
              <w:jc w:val="center"/>
              <w:rPr>
                <w:sz w:val="18"/>
              </w:rPr>
            </w:pPr>
            <w:r>
              <w:rPr>
                <w:sz w:val="18"/>
              </w:rPr>
              <w:t>54.0</w:t>
            </w:r>
          </w:p>
        </w:tc>
        <w:tc>
          <w:tcPr>
            <w:tcW w:w="1076" w:type="dxa"/>
          </w:tcPr>
          <w:p w:rsidR="00000000" w:rsidRDefault="00000000">
            <w:pPr>
              <w:spacing w:line="360" w:lineRule="exact"/>
              <w:jc w:val="center"/>
              <w:rPr>
                <w:sz w:val="18"/>
              </w:rPr>
            </w:pPr>
            <w:r>
              <w:rPr>
                <w:sz w:val="18"/>
              </w:rPr>
              <w:t>53.9</w:t>
            </w:r>
          </w:p>
        </w:tc>
        <w:tc>
          <w:tcPr>
            <w:tcW w:w="1180" w:type="dxa"/>
          </w:tcPr>
          <w:p w:rsidR="00000000" w:rsidRDefault="00000000">
            <w:pPr>
              <w:spacing w:line="360" w:lineRule="exact"/>
              <w:jc w:val="center"/>
              <w:rPr>
                <w:sz w:val="18"/>
              </w:rPr>
            </w:pPr>
            <w:r>
              <w:rPr>
                <w:sz w:val="18"/>
              </w:rPr>
              <w:t>53.8</w:t>
            </w:r>
          </w:p>
        </w:tc>
      </w:tr>
      <w:tr w:rsidR="00000000">
        <w:tblPrEx>
          <w:tblCellMar>
            <w:top w:w="0" w:type="dxa"/>
            <w:bottom w:w="0" w:type="dxa"/>
          </w:tblCellMar>
        </w:tblPrEx>
        <w:tc>
          <w:tcPr>
            <w:tcW w:w="1540" w:type="dxa"/>
          </w:tcPr>
          <w:p w:rsidR="00000000" w:rsidRDefault="00000000">
            <w:pPr>
              <w:spacing w:line="360" w:lineRule="exact"/>
              <w:rPr>
                <w:sz w:val="18"/>
              </w:rPr>
            </w:pPr>
            <w:r>
              <w:rPr>
                <w:rFonts w:hint="eastAsia"/>
                <w:sz w:val="18"/>
              </w:rPr>
              <w:t>妇女参加比率</w:t>
            </w:r>
          </w:p>
        </w:tc>
        <w:tc>
          <w:tcPr>
            <w:tcW w:w="1076" w:type="dxa"/>
          </w:tcPr>
          <w:p w:rsidR="00000000" w:rsidRDefault="00000000">
            <w:pPr>
              <w:spacing w:line="360" w:lineRule="exact"/>
              <w:jc w:val="center"/>
              <w:rPr>
                <w:sz w:val="18"/>
              </w:rPr>
            </w:pPr>
            <w:r>
              <w:rPr>
                <w:sz w:val="18"/>
              </w:rPr>
              <w:t>54.9</w:t>
            </w:r>
          </w:p>
        </w:tc>
        <w:tc>
          <w:tcPr>
            <w:tcW w:w="1564" w:type="dxa"/>
          </w:tcPr>
          <w:p w:rsidR="00000000" w:rsidRDefault="00000000">
            <w:pPr>
              <w:spacing w:line="360" w:lineRule="exact"/>
              <w:jc w:val="center"/>
              <w:rPr>
                <w:sz w:val="18"/>
              </w:rPr>
            </w:pPr>
            <w:r>
              <w:rPr>
                <w:sz w:val="18"/>
              </w:rPr>
              <w:t>62.5</w:t>
            </w:r>
          </w:p>
        </w:tc>
        <w:tc>
          <w:tcPr>
            <w:tcW w:w="1200" w:type="dxa"/>
          </w:tcPr>
          <w:p w:rsidR="00000000" w:rsidRDefault="00000000">
            <w:pPr>
              <w:spacing w:line="360" w:lineRule="exact"/>
              <w:jc w:val="center"/>
              <w:rPr>
                <w:sz w:val="18"/>
              </w:rPr>
            </w:pPr>
            <w:r>
              <w:rPr>
                <w:sz w:val="18"/>
              </w:rPr>
              <w:t>74.9</w:t>
            </w:r>
          </w:p>
        </w:tc>
        <w:tc>
          <w:tcPr>
            <w:tcW w:w="1200" w:type="dxa"/>
          </w:tcPr>
          <w:p w:rsidR="00000000" w:rsidRDefault="00000000">
            <w:pPr>
              <w:spacing w:line="360" w:lineRule="exact"/>
              <w:jc w:val="center"/>
              <w:rPr>
                <w:sz w:val="18"/>
              </w:rPr>
            </w:pPr>
            <w:r>
              <w:rPr>
                <w:sz w:val="18"/>
              </w:rPr>
              <w:t>75.7</w:t>
            </w:r>
          </w:p>
        </w:tc>
        <w:tc>
          <w:tcPr>
            <w:tcW w:w="1080" w:type="dxa"/>
          </w:tcPr>
          <w:p w:rsidR="00000000" w:rsidRDefault="00000000">
            <w:pPr>
              <w:spacing w:line="360" w:lineRule="exact"/>
              <w:jc w:val="center"/>
              <w:rPr>
                <w:sz w:val="18"/>
              </w:rPr>
            </w:pPr>
            <w:r>
              <w:rPr>
                <w:sz w:val="18"/>
              </w:rPr>
              <w:t>73.2</w:t>
            </w:r>
          </w:p>
        </w:tc>
        <w:tc>
          <w:tcPr>
            <w:tcW w:w="1076" w:type="dxa"/>
          </w:tcPr>
          <w:p w:rsidR="00000000" w:rsidRDefault="00000000">
            <w:pPr>
              <w:spacing w:line="360" w:lineRule="exact"/>
              <w:jc w:val="center"/>
              <w:rPr>
                <w:sz w:val="18"/>
              </w:rPr>
            </w:pPr>
            <w:r>
              <w:rPr>
                <w:sz w:val="18"/>
              </w:rPr>
              <w:t>72.9</w:t>
            </w:r>
          </w:p>
        </w:tc>
        <w:tc>
          <w:tcPr>
            <w:tcW w:w="1180" w:type="dxa"/>
          </w:tcPr>
          <w:p w:rsidR="00000000" w:rsidRDefault="00000000">
            <w:pPr>
              <w:spacing w:line="360" w:lineRule="exact"/>
              <w:jc w:val="center"/>
              <w:rPr>
                <w:sz w:val="18"/>
              </w:rPr>
            </w:pPr>
            <w:r>
              <w:rPr>
                <w:sz w:val="18"/>
              </w:rPr>
              <w:t>73.3</w:t>
            </w:r>
          </w:p>
        </w:tc>
      </w:tr>
      <w:tr w:rsidR="00000000">
        <w:tblPrEx>
          <w:tblCellMar>
            <w:top w:w="0" w:type="dxa"/>
            <w:bottom w:w="0" w:type="dxa"/>
          </w:tblCellMar>
        </w:tblPrEx>
        <w:tc>
          <w:tcPr>
            <w:tcW w:w="1540" w:type="dxa"/>
          </w:tcPr>
          <w:p w:rsidR="00000000" w:rsidRDefault="00000000">
            <w:pPr>
              <w:spacing w:line="360" w:lineRule="exact"/>
              <w:rPr>
                <w:sz w:val="18"/>
              </w:rPr>
            </w:pPr>
            <w:r>
              <w:rPr>
                <w:rFonts w:hint="eastAsia"/>
                <w:sz w:val="18"/>
              </w:rPr>
              <w:t>男子参加比率</w:t>
            </w:r>
          </w:p>
        </w:tc>
        <w:tc>
          <w:tcPr>
            <w:tcW w:w="1076" w:type="dxa"/>
          </w:tcPr>
          <w:p w:rsidR="00000000" w:rsidRDefault="00000000">
            <w:pPr>
              <w:spacing w:line="360" w:lineRule="exact"/>
              <w:jc w:val="center"/>
              <w:rPr>
                <w:sz w:val="18"/>
              </w:rPr>
            </w:pPr>
            <w:r>
              <w:rPr>
                <w:sz w:val="18"/>
              </w:rPr>
              <w:t>81.2</w:t>
            </w:r>
          </w:p>
        </w:tc>
        <w:tc>
          <w:tcPr>
            <w:tcW w:w="1564" w:type="dxa"/>
          </w:tcPr>
          <w:p w:rsidR="00000000" w:rsidRDefault="00000000">
            <w:pPr>
              <w:spacing w:line="360" w:lineRule="exact"/>
              <w:jc w:val="center"/>
              <w:rPr>
                <w:sz w:val="18"/>
              </w:rPr>
            </w:pPr>
            <w:r>
              <w:rPr>
                <w:sz w:val="18"/>
              </w:rPr>
              <w:t>78.9</w:t>
            </w:r>
          </w:p>
        </w:tc>
        <w:tc>
          <w:tcPr>
            <w:tcW w:w="1200" w:type="dxa"/>
          </w:tcPr>
          <w:p w:rsidR="00000000" w:rsidRDefault="00000000">
            <w:pPr>
              <w:spacing w:line="360" w:lineRule="exact"/>
              <w:jc w:val="center"/>
              <w:rPr>
                <w:sz w:val="18"/>
              </w:rPr>
            </w:pPr>
            <w:r>
              <w:rPr>
                <w:sz w:val="18"/>
              </w:rPr>
              <w:t>85.9</w:t>
            </w:r>
          </w:p>
        </w:tc>
        <w:tc>
          <w:tcPr>
            <w:tcW w:w="1200" w:type="dxa"/>
          </w:tcPr>
          <w:p w:rsidR="00000000" w:rsidRDefault="00000000">
            <w:pPr>
              <w:spacing w:line="360" w:lineRule="exact"/>
              <w:jc w:val="center"/>
              <w:rPr>
                <w:sz w:val="18"/>
              </w:rPr>
            </w:pPr>
            <w:r>
              <w:rPr>
                <w:sz w:val="18"/>
              </w:rPr>
              <w:t>84.0</w:t>
            </w:r>
          </w:p>
        </w:tc>
        <w:tc>
          <w:tcPr>
            <w:tcW w:w="1080" w:type="dxa"/>
          </w:tcPr>
          <w:p w:rsidR="00000000" w:rsidRDefault="00000000">
            <w:pPr>
              <w:spacing w:line="360" w:lineRule="exact"/>
              <w:jc w:val="center"/>
              <w:rPr>
                <w:sz w:val="18"/>
              </w:rPr>
            </w:pPr>
            <w:r>
              <w:rPr>
                <w:sz w:val="18"/>
              </w:rPr>
              <w:t>82.2</w:t>
            </w:r>
          </w:p>
        </w:tc>
        <w:tc>
          <w:tcPr>
            <w:tcW w:w="1076" w:type="dxa"/>
          </w:tcPr>
          <w:p w:rsidR="00000000" w:rsidRDefault="00000000">
            <w:pPr>
              <w:spacing w:line="360" w:lineRule="exact"/>
              <w:jc w:val="center"/>
              <w:rPr>
                <w:sz w:val="18"/>
              </w:rPr>
            </w:pPr>
            <w:r>
              <w:rPr>
                <w:sz w:val="18"/>
              </w:rPr>
              <w:t>81.7</w:t>
            </w:r>
          </w:p>
        </w:tc>
        <w:tc>
          <w:tcPr>
            <w:tcW w:w="1180" w:type="dxa"/>
          </w:tcPr>
          <w:p w:rsidR="00000000" w:rsidRDefault="00000000">
            <w:pPr>
              <w:spacing w:line="360" w:lineRule="exact"/>
              <w:jc w:val="center"/>
              <w:rPr>
                <w:sz w:val="18"/>
              </w:rPr>
            </w:pPr>
            <w:r>
              <w:rPr>
                <w:sz w:val="18"/>
              </w:rPr>
              <w:t>81.6</w:t>
            </w:r>
          </w:p>
        </w:tc>
      </w:tr>
      <w:tr w:rsidR="00000000">
        <w:tblPrEx>
          <w:tblCellMar>
            <w:top w:w="0" w:type="dxa"/>
            <w:bottom w:w="0" w:type="dxa"/>
          </w:tblCellMar>
        </w:tblPrEx>
        <w:tc>
          <w:tcPr>
            <w:tcW w:w="1540" w:type="dxa"/>
          </w:tcPr>
          <w:p w:rsidR="00000000" w:rsidRDefault="00000000">
            <w:pPr>
              <w:spacing w:line="360" w:lineRule="exact"/>
              <w:rPr>
                <w:sz w:val="18"/>
              </w:rPr>
            </w:pPr>
            <w:r>
              <w:rPr>
                <w:rFonts w:hint="eastAsia"/>
                <w:sz w:val="18"/>
              </w:rPr>
              <w:t>总体参加比率</w:t>
            </w:r>
          </w:p>
        </w:tc>
        <w:tc>
          <w:tcPr>
            <w:tcW w:w="1076" w:type="dxa"/>
          </w:tcPr>
          <w:p w:rsidR="00000000" w:rsidRDefault="00000000">
            <w:pPr>
              <w:spacing w:line="360" w:lineRule="exact"/>
              <w:jc w:val="center"/>
              <w:rPr>
                <w:sz w:val="18"/>
              </w:rPr>
            </w:pPr>
            <w:r>
              <w:rPr>
                <w:sz w:val="18"/>
              </w:rPr>
              <w:t>67.9</w:t>
            </w:r>
          </w:p>
        </w:tc>
        <w:tc>
          <w:tcPr>
            <w:tcW w:w="1564" w:type="dxa"/>
          </w:tcPr>
          <w:p w:rsidR="00000000" w:rsidRDefault="00000000">
            <w:pPr>
              <w:spacing w:line="360" w:lineRule="exact"/>
              <w:jc w:val="center"/>
              <w:rPr>
                <w:sz w:val="18"/>
              </w:rPr>
            </w:pPr>
            <w:r>
              <w:rPr>
                <w:sz w:val="18"/>
              </w:rPr>
              <w:t>70.7</w:t>
            </w:r>
          </w:p>
        </w:tc>
        <w:tc>
          <w:tcPr>
            <w:tcW w:w="1200" w:type="dxa"/>
          </w:tcPr>
          <w:p w:rsidR="00000000" w:rsidRDefault="00000000">
            <w:pPr>
              <w:spacing w:line="360" w:lineRule="exact"/>
              <w:jc w:val="center"/>
              <w:rPr>
                <w:sz w:val="18"/>
              </w:rPr>
            </w:pPr>
            <w:r>
              <w:rPr>
                <w:sz w:val="18"/>
              </w:rPr>
              <w:t>80.5</w:t>
            </w:r>
          </w:p>
        </w:tc>
        <w:tc>
          <w:tcPr>
            <w:tcW w:w="1200" w:type="dxa"/>
          </w:tcPr>
          <w:p w:rsidR="00000000" w:rsidRDefault="00000000">
            <w:pPr>
              <w:spacing w:line="360" w:lineRule="exact"/>
              <w:jc w:val="center"/>
              <w:rPr>
                <w:sz w:val="18"/>
              </w:rPr>
            </w:pPr>
            <w:r>
              <w:rPr>
                <w:sz w:val="18"/>
              </w:rPr>
              <w:t>79.9</w:t>
            </w:r>
          </w:p>
        </w:tc>
        <w:tc>
          <w:tcPr>
            <w:tcW w:w="1080" w:type="dxa"/>
          </w:tcPr>
          <w:p w:rsidR="00000000" w:rsidRDefault="00000000">
            <w:pPr>
              <w:spacing w:line="360" w:lineRule="exact"/>
              <w:jc w:val="center"/>
              <w:rPr>
                <w:sz w:val="18"/>
              </w:rPr>
            </w:pPr>
            <w:r>
              <w:rPr>
                <w:sz w:val="18"/>
              </w:rPr>
              <w:t>77.8</w:t>
            </w:r>
          </w:p>
        </w:tc>
        <w:tc>
          <w:tcPr>
            <w:tcW w:w="1076" w:type="dxa"/>
          </w:tcPr>
          <w:p w:rsidR="00000000" w:rsidRDefault="00000000">
            <w:pPr>
              <w:spacing w:line="360" w:lineRule="exact"/>
              <w:jc w:val="center"/>
              <w:rPr>
                <w:sz w:val="18"/>
              </w:rPr>
            </w:pPr>
            <w:r>
              <w:rPr>
                <w:sz w:val="18"/>
              </w:rPr>
              <w:t>77.4</w:t>
            </w:r>
          </w:p>
        </w:tc>
        <w:tc>
          <w:tcPr>
            <w:tcW w:w="1180" w:type="dxa"/>
          </w:tcPr>
          <w:p w:rsidR="00000000" w:rsidRDefault="00000000">
            <w:pPr>
              <w:spacing w:line="360" w:lineRule="exact"/>
              <w:jc w:val="center"/>
              <w:rPr>
                <w:sz w:val="18"/>
              </w:rPr>
            </w:pPr>
            <w:r>
              <w:rPr>
                <w:sz w:val="18"/>
              </w:rPr>
              <w:t>77.5</w:t>
            </w:r>
          </w:p>
        </w:tc>
      </w:tr>
    </w:tbl>
    <w:p w:rsidR="00000000" w:rsidRDefault="00000000">
      <w:pPr>
        <w:spacing w:before="240" w:after="240" w:line="360" w:lineRule="exact"/>
        <w:ind w:firstLine="425"/>
      </w:pPr>
      <w:r>
        <w:rPr>
          <w:rFonts w:hint="eastAsia"/>
        </w:rPr>
        <w:t>由于</w:t>
      </w:r>
      <w:r>
        <w:t>1984</w:t>
      </w:r>
      <w:r>
        <w:rPr>
          <w:rFonts w:hint="eastAsia"/>
        </w:rPr>
        <w:t>年劳动力统计数据的变化，在此前后的数字不可直接比较。“劳动力”包括：自谋职业者、雇员和失业人员。劳动力之外的人员有：儿童、学生、提前退休者和领取退休金人员。参加率显示年龄介于</w:t>
      </w:r>
      <w:r>
        <w:t>16</w:t>
      </w:r>
      <w:r>
        <w:rPr>
          <w:rFonts w:hint="eastAsia"/>
        </w:rPr>
        <w:t>至</w:t>
      </w:r>
      <w:r>
        <w:t>66</w:t>
      </w:r>
      <w:r>
        <w:rPr>
          <w:rFonts w:hint="eastAsia"/>
        </w:rPr>
        <w:t>岁之间的劳动力人数占年龄介于</w:t>
      </w:r>
      <w:r>
        <w:t>16</w:t>
      </w:r>
      <w:r>
        <w:rPr>
          <w:rFonts w:hint="eastAsia"/>
        </w:rPr>
        <w:t>至</w:t>
      </w:r>
      <w:r>
        <w:t>66</w:t>
      </w:r>
      <w:r>
        <w:rPr>
          <w:rFonts w:hint="eastAsia"/>
        </w:rPr>
        <w:t>岁的全体人口的百分比。</w:t>
      </w:r>
    </w:p>
    <w:p w:rsidR="00000000" w:rsidRDefault="00000000">
      <w:pPr>
        <w:spacing w:after="240" w:line="360" w:lineRule="exact"/>
        <w:ind w:firstLine="425"/>
      </w:pPr>
      <w:r>
        <w:rPr>
          <w:rFonts w:hint="eastAsia"/>
        </w:rPr>
        <w:t>资料来源：十年统计审查，</w:t>
      </w:r>
      <w:r>
        <w:rPr>
          <w:rFonts w:hint="eastAsia"/>
        </w:rPr>
        <w:t>1986</w:t>
      </w:r>
      <w:r>
        <w:rPr>
          <w:rFonts w:hint="eastAsia"/>
        </w:rPr>
        <w:t>年，</w:t>
      </w:r>
      <w:r>
        <w:rPr>
          <w:rFonts w:hint="eastAsia"/>
        </w:rPr>
        <w:t>1996</w:t>
      </w:r>
      <w:r>
        <w:rPr>
          <w:rFonts w:hint="eastAsia"/>
        </w:rPr>
        <w:t>年和</w:t>
      </w:r>
      <w:r>
        <w:rPr>
          <w:rFonts w:hint="eastAsia"/>
        </w:rPr>
        <w:t>1998</w:t>
      </w:r>
      <w:r>
        <w:rPr>
          <w:rFonts w:hint="eastAsia"/>
        </w:rPr>
        <w:t>年。</w:t>
      </w:r>
    </w:p>
    <w:p w:rsidR="00000000" w:rsidRDefault="00000000">
      <w:pPr>
        <w:spacing w:after="240" w:line="360" w:lineRule="exact"/>
        <w:jc w:val="center"/>
        <w:rPr>
          <w:rFonts w:eastAsia="SimHei"/>
        </w:rPr>
      </w:pPr>
      <w:r>
        <w:rPr>
          <w:u w:val="single"/>
        </w:rPr>
        <w:br w:type="page"/>
      </w:r>
      <w:r>
        <w:rPr>
          <w:rFonts w:eastAsia="SimHei" w:hint="eastAsia"/>
        </w:rPr>
        <w:t>表</w:t>
      </w:r>
      <w:r>
        <w:rPr>
          <w:rFonts w:eastAsia="SimHei"/>
        </w:rPr>
        <w:t xml:space="preserve">6.  </w:t>
      </w:r>
      <w:r>
        <w:rPr>
          <w:rFonts w:eastAsia="SimHei" w:hint="eastAsia"/>
        </w:rPr>
        <w:t>1997</w:t>
      </w:r>
      <w:r>
        <w:rPr>
          <w:rFonts w:eastAsia="SimHei" w:hint="eastAsia"/>
        </w:rPr>
        <w:t>年按性别分隔的劳动力市场</w:t>
      </w:r>
    </w:p>
    <w:tbl>
      <w:tblPr>
        <w:tblW w:w="0" w:type="auto"/>
        <w:tblBorders>
          <w:top w:val="single" w:sz="6" w:space="0" w:color="auto"/>
          <w:bottom w:val="single" w:sz="6" w:space="0" w:color="auto"/>
        </w:tblBorders>
        <w:tblLayout w:type="fixed"/>
        <w:tblCellMar>
          <w:left w:w="28" w:type="dxa"/>
          <w:right w:w="28" w:type="dxa"/>
        </w:tblCellMar>
        <w:tblLook w:val="0000" w:firstRow="0" w:lastRow="0" w:firstColumn="0" w:lastColumn="0" w:noHBand="0" w:noVBand="0"/>
      </w:tblPr>
      <w:tblGrid>
        <w:gridCol w:w="2068"/>
        <w:gridCol w:w="1680"/>
        <w:gridCol w:w="1800"/>
        <w:gridCol w:w="1560"/>
        <w:gridCol w:w="1320"/>
        <w:gridCol w:w="1488"/>
      </w:tblGrid>
      <w:tr w:rsidR="00000000">
        <w:tblPrEx>
          <w:tblCellMar>
            <w:top w:w="0" w:type="dxa"/>
            <w:bottom w:w="0" w:type="dxa"/>
          </w:tblCellMar>
        </w:tblPrEx>
        <w:tc>
          <w:tcPr>
            <w:tcW w:w="2068" w:type="dxa"/>
            <w:tcBorders>
              <w:top w:val="single" w:sz="6" w:space="0" w:color="auto"/>
              <w:bottom w:val="single" w:sz="4" w:space="0" w:color="auto"/>
            </w:tcBorders>
          </w:tcPr>
          <w:p w:rsidR="00000000" w:rsidRDefault="00000000">
            <w:pPr>
              <w:spacing w:line="360" w:lineRule="exact"/>
              <w:rPr>
                <w:u w:val="single"/>
              </w:rPr>
            </w:pPr>
          </w:p>
        </w:tc>
        <w:tc>
          <w:tcPr>
            <w:tcW w:w="1680" w:type="dxa"/>
            <w:tcBorders>
              <w:top w:val="single" w:sz="6" w:space="0" w:color="auto"/>
              <w:bottom w:val="single" w:sz="4" w:space="0" w:color="auto"/>
            </w:tcBorders>
          </w:tcPr>
          <w:p w:rsidR="00000000" w:rsidRDefault="00000000">
            <w:pPr>
              <w:spacing w:line="360" w:lineRule="exact"/>
              <w:jc w:val="center"/>
            </w:pPr>
            <w:r>
              <w:rPr>
                <w:rFonts w:hint="eastAsia"/>
              </w:rPr>
              <w:t>在工业部门就业</w:t>
            </w:r>
          </w:p>
          <w:p w:rsidR="00000000" w:rsidRDefault="00000000">
            <w:pPr>
              <w:spacing w:line="360" w:lineRule="exact"/>
              <w:jc w:val="center"/>
            </w:pPr>
            <w:r>
              <w:rPr>
                <w:rFonts w:hint="eastAsia"/>
              </w:rPr>
              <w:t>人数</w:t>
            </w:r>
          </w:p>
        </w:tc>
        <w:tc>
          <w:tcPr>
            <w:tcW w:w="1800" w:type="dxa"/>
            <w:tcBorders>
              <w:top w:val="single" w:sz="6" w:space="0" w:color="auto"/>
              <w:bottom w:val="single" w:sz="4" w:space="0" w:color="auto"/>
            </w:tcBorders>
          </w:tcPr>
          <w:p w:rsidR="00000000" w:rsidRDefault="00000000">
            <w:pPr>
              <w:spacing w:line="360" w:lineRule="exact"/>
              <w:jc w:val="center"/>
              <w:rPr>
                <w:u w:val="single"/>
              </w:rPr>
            </w:pPr>
            <w:r>
              <w:rPr>
                <w:rFonts w:hint="eastAsia"/>
              </w:rPr>
              <w:t>妇女在工业部门所占百分比</w:t>
            </w:r>
          </w:p>
        </w:tc>
        <w:tc>
          <w:tcPr>
            <w:tcW w:w="1560" w:type="dxa"/>
            <w:tcBorders>
              <w:top w:val="single" w:sz="6" w:space="0" w:color="auto"/>
              <w:bottom w:val="single" w:sz="4" w:space="0" w:color="auto"/>
            </w:tcBorders>
          </w:tcPr>
          <w:p w:rsidR="00000000" w:rsidRDefault="00000000">
            <w:pPr>
              <w:spacing w:line="360" w:lineRule="exact"/>
              <w:jc w:val="center"/>
              <w:rPr>
                <w:u w:val="single"/>
              </w:rPr>
            </w:pPr>
            <w:r>
              <w:rPr>
                <w:rFonts w:hint="eastAsia"/>
              </w:rPr>
              <w:t>男子在工业部门所占百分比</w:t>
            </w:r>
          </w:p>
        </w:tc>
        <w:tc>
          <w:tcPr>
            <w:tcW w:w="1320" w:type="dxa"/>
            <w:tcBorders>
              <w:top w:val="single" w:sz="6" w:space="0" w:color="auto"/>
              <w:bottom w:val="single" w:sz="4" w:space="0" w:color="auto"/>
            </w:tcBorders>
          </w:tcPr>
          <w:p w:rsidR="00000000" w:rsidRDefault="00000000">
            <w:pPr>
              <w:spacing w:line="360" w:lineRule="exact"/>
              <w:jc w:val="center"/>
              <w:rPr>
                <w:u w:val="single"/>
              </w:rPr>
            </w:pPr>
            <w:r>
              <w:rPr>
                <w:rFonts w:hint="eastAsia"/>
              </w:rPr>
              <w:t>妇女在总数中所占百分比</w:t>
            </w:r>
          </w:p>
        </w:tc>
        <w:tc>
          <w:tcPr>
            <w:tcW w:w="1488" w:type="dxa"/>
            <w:tcBorders>
              <w:top w:val="single" w:sz="6" w:space="0" w:color="auto"/>
              <w:bottom w:val="single" w:sz="4" w:space="0" w:color="auto"/>
            </w:tcBorders>
          </w:tcPr>
          <w:p w:rsidR="00000000" w:rsidRDefault="00000000">
            <w:pPr>
              <w:spacing w:line="360" w:lineRule="exact"/>
              <w:jc w:val="center"/>
            </w:pPr>
            <w:r>
              <w:rPr>
                <w:rFonts w:hint="eastAsia"/>
              </w:rPr>
              <w:t>男子在总数中所占百分比</w:t>
            </w:r>
          </w:p>
        </w:tc>
      </w:tr>
      <w:tr w:rsidR="00000000">
        <w:tblPrEx>
          <w:tblCellMar>
            <w:top w:w="0" w:type="dxa"/>
            <w:bottom w:w="0" w:type="dxa"/>
          </w:tblCellMar>
        </w:tblPrEx>
        <w:tc>
          <w:tcPr>
            <w:tcW w:w="2068" w:type="dxa"/>
            <w:tcBorders>
              <w:top w:val="single" w:sz="4" w:space="0" w:color="auto"/>
            </w:tcBorders>
          </w:tcPr>
          <w:p w:rsidR="00000000" w:rsidRDefault="00000000">
            <w:pPr>
              <w:spacing w:line="360" w:lineRule="exact"/>
            </w:pPr>
            <w:r>
              <w:rPr>
                <w:rFonts w:hint="eastAsia"/>
              </w:rPr>
              <w:t>建筑</w:t>
            </w:r>
          </w:p>
        </w:tc>
        <w:tc>
          <w:tcPr>
            <w:tcW w:w="1680" w:type="dxa"/>
            <w:tcBorders>
              <w:top w:val="single" w:sz="4" w:space="0" w:color="auto"/>
            </w:tcBorders>
          </w:tcPr>
          <w:p w:rsidR="00000000" w:rsidRDefault="00000000">
            <w:pPr>
              <w:spacing w:line="360" w:lineRule="exact"/>
              <w:ind w:right="340"/>
              <w:jc w:val="right"/>
            </w:pPr>
            <w:r>
              <w:t>156 595</w:t>
            </w:r>
          </w:p>
        </w:tc>
        <w:tc>
          <w:tcPr>
            <w:tcW w:w="1800" w:type="dxa"/>
            <w:tcBorders>
              <w:top w:val="single" w:sz="4" w:space="0" w:color="auto"/>
            </w:tcBorders>
          </w:tcPr>
          <w:p w:rsidR="00000000" w:rsidRDefault="00000000">
            <w:pPr>
              <w:spacing w:line="360" w:lineRule="exact"/>
              <w:ind w:right="572"/>
              <w:jc w:val="right"/>
            </w:pPr>
            <w:r>
              <w:t>9.8</w:t>
            </w:r>
          </w:p>
        </w:tc>
        <w:tc>
          <w:tcPr>
            <w:tcW w:w="1560" w:type="dxa"/>
            <w:tcBorders>
              <w:top w:val="single" w:sz="4" w:space="0" w:color="auto"/>
            </w:tcBorders>
          </w:tcPr>
          <w:p w:rsidR="00000000" w:rsidRDefault="00000000">
            <w:pPr>
              <w:spacing w:line="360" w:lineRule="exact"/>
              <w:ind w:right="572"/>
              <w:jc w:val="right"/>
            </w:pPr>
            <w:r>
              <w:t>90.2</w:t>
            </w:r>
          </w:p>
        </w:tc>
        <w:tc>
          <w:tcPr>
            <w:tcW w:w="1320" w:type="dxa"/>
            <w:tcBorders>
              <w:top w:val="single" w:sz="4" w:space="0" w:color="auto"/>
            </w:tcBorders>
          </w:tcPr>
          <w:p w:rsidR="00000000" w:rsidRDefault="00000000">
            <w:pPr>
              <w:spacing w:line="360" w:lineRule="exact"/>
              <w:ind w:right="572"/>
              <w:jc w:val="right"/>
            </w:pPr>
            <w:r>
              <w:t>0.6</w:t>
            </w:r>
          </w:p>
        </w:tc>
        <w:tc>
          <w:tcPr>
            <w:tcW w:w="1488" w:type="dxa"/>
            <w:tcBorders>
              <w:top w:val="single" w:sz="4" w:space="0" w:color="auto"/>
            </w:tcBorders>
          </w:tcPr>
          <w:p w:rsidR="00000000" w:rsidRDefault="00000000">
            <w:pPr>
              <w:spacing w:line="360" w:lineRule="exact"/>
              <w:ind w:right="572"/>
              <w:jc w:val="right"/>
            </w:pPr>
            <w:r>
              <w:t>5.3</w:t>
            </w:r>
          </w:p>
        </w:tc>
      </w:tr>
      <w:tr w:rsidR="00000000">
        <w:tblPrEx>
          <w:tblCellMar>
            <w:top w:w="0" w:type="dxa"/>
            <w:bottom w:w="0" w:type="dxa"/>
          </w:tblCellMar>
        </w:tblPrEx>
        <w:tc>
          <w:tcPr>
            <w:tcW w:w="2068" w:type="dxa"/>
          </w:tcPr>
          <w:p w:rsidR="00000000" w:rsidRDefault="00000000">
            <w:pPr>
              <w:spacing w:line="360" w:lineRule="exact"/>
            </w:pPr>
            <w:r>
              <w:rPr>
                <w:rFonts w:hint="eastAsia"/>
              </w:rPr>
              <w:t>能源和水利</w:t>
            </w:r>
          </w:p>
        </w:tc>
        <w:tc>
          <w:tcPr>
            <w:tcW w:w="1680" w:type="dxa"/>
          </w:tcPr>
          <w:p w:rsidR="00000000" w:rsidRDefault="00000000">
            <w:pPr>
              <w:spacing w:line="360" w:lineRule="exact"/>
              <w:ind w:right="340"/>
              <w:jc w:val="right"/>
            </w:pPr>
            <w:r>
              <w:t>17 810</w:t>
            </w:r>
          </w:p>
        </w:tc>
        <w:tc>
          <w:tcPr>
            <w:tcW w:w="1800" w:type="dxa"/>
          </w:tcPr>
          <w:p w:rsidR="00000000" w:rsidRDefault="00000000">
            <w:pPr>
              <w:spacing w:line="360" w:lineRule="exact"/>
              <w:ind w:right="572"/>
              <w:jc w:val="right"/>
            </w:pPr>
            <w:r>
              <w:t>21.0</w:t>
            </w:r>
          </w:p>
        </w:tc>
        <w:tc>
          <w:tcPr>
            <w:tcW w:w="1560" w:type="dxa"/>
          </w:tcPr>
          <w:p w:rsidR="00000000" w:rsidRDefault="00000000">
            <w:pPr>
              <w:spacing w:line="360" w:lineRule="exact"/>
              <w:ind w:right="572"/>
              <w:jc w:val="right"/>
            </w:pPr>
            <w:r>
              <w:t>79.0</w:t>
            </w:r>
          </w:p>
        </w:tc>
        <w:tc>
          <w:tcPr>
            <w:tcW w:w="1320" w:type="dxa"/>
          </w:tcPr>
          <w:p w:rsidR="00000000" w:rsidRDefault="00000000">
            <w:pPr>
              <w:spacing w:line="360" w:lineRule="exact"/>
              <w:ind w:right="572"/>
              <w:jc w:val="right"/>
            </w:pPr>
            <w:r>
              <w:rPr>
                <w:rFonts w:hint="eastAsia"/>
              </w:rPr>
              <w:t>0.1</w:t>
            </w:r>
          </w:p>
        </w:tc>
        <w:tc>
          <w:tcPr>
            <w:tcW w:w="1488" w:type="dxa"/>
          </w:tcPr>
          <w:p w:rsidR="00000000" w:rsidRDefault="00000000">
            <w:pPr>
              <w:spacing w:line="360" w:lineRule="exact"/>
              <w:ind w:right="572"/>
              <w:jc w:val="right"/>
            </w:pPr>
            <w:r>
              <w:t>0.5</w:t>
            </w:r>
          </w:p>
        </w:tc>
      </w:tr>
      <w:tr w:rsidR="00000000">
        <w:tblPrEx>
          <w:tblCellMar>
            <w:top w:w="0" w:type="dxa"/>
            <w:bottom w:w="0" w:type="dxa"/>
          </w:tblCellMar>
        </w:tblPrEx>
        <w:tc>
          <w:tcPr>
            <w:tcW w:w="2068" w:type="dxa"/>
          </w:tcPr>
          <w:p w:rsidR="00000000" w:rsidRDefault="00000000">
            <w:pPr>
              <w:spacing w:line="360" w:lineRule="exact"/>
            </w:pPr>
            <w:r>
              <w:rPr>
                <w:rFonts w:hint="eastAsia"/>
              </w:rPr>
              <w:t>农业、渔业和采石</w:t>
            </w:r>
          </w:p>
        </w:tc>
        <w:tc>
          <w:tcPr>
            <w:tcW w:w="1680" w:type="dxa"/>
          </w:tcPr>
          <w:p w:rsidR="00000000" w:rsidRDefault="00000000">
            <w:pPr>
              <w:spacing w:line="360" w:lineRule="exact"/>
              <w:ind w:right="340"/>
              <w:jc w:val="right"/>
            </w:pPr>
            <w:r>
              <w:t>120 590</w:t>
            </w:r>
          </w:p>
        </w:tc>
        <w:tc>
          <w:tcPr>
            <w:tcW w:w="1800" w:type="dxa"/>
          </w:tcPr>
          <w:p w:rsidR="00000000" w:rsidRDefault="00000000">
            <w:pPr>
              <w:spacing w:line="360" w:lineRule="exact"/>
              <w:ind w:right="572"/>
              <w:jc w:val="right"/>
            </w:pPr>
            <w:r>
              <w:t>22.1</w:t>
            </w:r>
          </w:p>
        </w:tc>
        <w:tc>
          <w:tcPr>
            <w:tcW w:w="1560" w:type="dxa"/>
          </w:tcPr>
          <w:p w:rsidR="00000000" w:rsidRDefault="00000000">
            <w:pPr>
              <w:spacing w:line="360" w:lineRule="exact"/>
              <w:ind w:right="572"/>
              <w:jc w:val="right"/>
            </w:pPr>
            <w:r>
              <w:t>77.9</w:t>
            </w:r>
          </w:p>
        </w:tc>
        <w:tc>
          <w:tcPr>
            <w:tcW w:w="1320" w:type="dxa"/>
          </w:tcPr>
          <w:p w:rsidR="00000000" w:rsidRDefault="00000000">
            <w:pPr>
              <w:spacing w:line="360" w:lineRule="exact"/>
              <w:ind w:right="572"/>
              <w:jc w:val="right"/>
            </w:pPr>
            <w:r>
              <w:t>1.0</w:t>
            </w:r>
          </w:p>
        </w:tc>
        <w:tc>
          <w:tcPr>
            <w:tcW w:w="1488" w:type="dxa"/>
          </w:tcPr>
          <w:p w:rsidR="00000000" w:rsidRDefault="00000000">
            <w:pPr>
              <w:spacing w:line="360" w:lineRule="exact"/>
              <w:ind w:right="572"/>
              <w:jc w:val="right"/>
            </w:pPr>
            <w:r>
              <w:t>3.5</w:t>
            </w:r>
          </w:p>
        </w:tc>
      </w:tr>
      <w:tr w:rsidR="00000000">
        <w:tblPrEx>
          <w:tblCellMar>
            <w:top w:w="0" w:type="dxa"/>
            <w:bottom w:w="0" w:type="dxa"/>
          </w:tblCellMar>
        </w:tblPrEx>
        <w:tc>
          <w:tcPr>
            <w:tcW w:w="2068" w:type="dxa"/>
          </w:tcPr>
          <w:p w:rsidR="00000000" w:rsidRDefault="00000000">
            <w:pPr>
              <w:spacing w:line="360" w:lineRule="exact"/>
            </w:pPr>
            <w:r>
              <w:rPr>
                <w:rFonts w:hint="eastAsia"/>
              </w:rPr>
              <w:t>运输、邮政和电信</w:t>
            </w:r>
          </w:p>
        </w:tc>
        <w:tc>
          <w:tcPr>
            <w:tcW w:w="1680" w:type="dxa"/>
          </w:tcPr>
          <w:p w:rsidR="00000000" w:rsidRDefault="00000000">
            <w:pPr>
              <w:spacing w:line="360" w:lineRule="exact"/>
              <w:ind w:right="340"/>
              <w:jc w:val="right"/>
            </w:pPr>
            <w:r>
              <w:t>178 098</w:t>
            </w:r>
          </w:p>
        </w:tc>
        <w:tc>
          <w:tcPr>
            <w:tcW w:w="1800" w:type="dxa"/>
          </w:tcPr>
          <w:p w:rsidR="00000000" w:rsidRDefault="00000000">
            <w:pPr>
              <w:spacing w:line="360" w:lineRule="exact"/>
              <w:ind w:right="572"/>
              <w:jc w:val="right"/>
            </w:pPr>
            <w:r>
              <w:t>26.7</w:t>
            </w:r>
          </w:p>
        </w:tc>
        <w:tc>
          <w:tcPr>
            <w:tcW w:w="1560" w:type="dxa"/>
          </w:tcPr>
          <w:p w:rsidR="00000000" w:rsidRDefault="00000000">
            <w:pPr>
              <w:spacing w:line="360" w:lineRule="exact"/>
              <w:ind w:right="572"/>
              <w:jc w:val="right"/>
            </w:pPr>
            <w:r>
              <w:t>73.3</w:t>
            </w:r>
          </w:p>
        </w:tc>
        <w:tc>
          <w:tcPr>
            <w:tcW w:w="1320" w:type="dxa"/>
          </w:tcPr>
          <w:p w:rsidR="00000000" w:rsidRDefault="00000000">
            <w:pPr>
              <w:spacing w:line="360" w:lineRule="exact"/>
              <w:ind w:right="572"/>
              <w:jc w:val="right"/>
            </w:pPr>
            <w:r>
              <w:t>1.8</w:t>
            </w:r>
          </w:p>
        </w:tc>
        <w:tc>
          <w:tcPr>
            <w:tcW w:w="1488" w:type="dxa"/>
          </w:tcPr>
          <w:p w:rsidR="00000000" w:rsidRDefault="00000000">
            <w:pPr>
              <w:spacing w:line="360" w:lineRule="exact"/>
              <w:ind w:right="572"/>
              <w:jc w:val="right"/>
            </w:pPr>
            <w:r>
              <w:t>4.9</w:t>
            </w:r>
          </w:p>
        </w:tc>
      </w:tr>
      <w:tr w:rsidR="00000000">
        <w:tblPrEx>
          <w:tblCellMar>
            <w:top w:w="0" w:type="dxa"/>
            <w:bottom w:w="0" w:type="dxa"/>
          </w:tblCellMar>
        </w:tblPrEx>
        <w:tc>
          <w:tcPr>
            <w:tcW w:w="2068" w:type="dxa"/>
          </w:tcPr>
          <w:p w:rsidR="00000000" w:rsidRDefault="00000000">
            <w:pPr>
              <w:spacing w:line="360" w:lineRule="exact"/>
            </w:pPr>
            <w:r>
              <w:rPr>
                <w:rFonts w:hint="eastAsia"/>
              </w:rPr>
              <w:t>工业</w:t>
            </w:r>
          </w:p>
        </w:tc>
        <w:tc>
          <w:tcPr>
            <w:tcW w:w="1680" w:type="dxa"/>
          </w:tcPr>
          <w:p w:rsidR="00000000" w:rsidRDefault="00000000">
            <w:pPr>
              <w:spacing w:line="360" w:lineRule="exact"/>
              <w:ind w:right="340"/>
              <w:jc w:val="right"/>
            </w:pPr>
            <w:r>
              <w:t>476 052</w:t>
            </w:r>
          </w:p>
        </w:tc>
        <w:tc>
          <w:tcPr>
            <w:tcW w:w="1800" w:type="dxa"/>
          </w:tcPr>
          <w:p w:rsidR="00000000" w:rsidRDefault="00000000">
            <w:pPr>
              <w:spacing w:line="360" w:lineRule="exact"/>
              <w:ind w:right="572"/>
              <w:jc w:val="right"/>
            </w:pPr>
            <w:r>
              <w:t>31.6</w:t>
            </w:r>
          </w:p>
        </w:tc>
        <w:tc>
          <w:tcPr>
            <w:tcW w:w="1560" w:type="dxa"/>
          </w:tcPr>
          <w:p w:rsidR="00000000" w:rsidRDefault="00000000">
            <w:pPr>
              <w:spacing w:line="360" w:lineRule="exact"/>
              <w:ind w:right="572"/>
              <w:jc w:val="right"/>
            </w:pPr>
            <w:r>
              <w:t>68.4</w:t>
            </w:r>
          </w:p>
        </w:tc>
        <w:tc>
          <w:tcPr>
            <w:tcW w:w="1320" w:type="dxa"/>
          </w:tcPr>
          <w:p w:rsidR="00000000" w:rsidRDefault="00000000">
            <w:pPr>
              <w:spacing w:line="360" w:lineRule="exact"/>
              <w:ind w:right="572"/>
              <w:jc w:val="right"/>
            </w:pPr>
            <w:r>
              <w:t>5.6</w:t>
            </w:r>
          </w:p>
        </w:tc>
        <w:tc>
          <w:tcPr>
            <w:tcW w:w="1488" w:type="dxa"/>
          </w:tcPr>
          <w:p w:rsidR="00000000" w:rsidRDefault="00000000">
            <w:pPr>
              <w:spacing w:line="360" w:lineRule="exact"/>
              <w:ind w:right="572"/>
              <w:jc w:val="right"/>
            </w:pPr>
            <w:r>
              <w:t>12.2</w:t>
            </w:r>
          </w:p>
        </w:tc>
      </w:tr>
      <w:tr w:rsidR="00000000">
        <w:tblPrEx>
          <w:tblCellMar>
            <w:top w:w="0" w:type="dxa"/>
            <w:bottom w:w="0" w:type="dxa"/>
          </w:tblCellMar>
        </w:tblPrEx>
        <w:tc>
          <w:tcPr>
            <w:tcW w:w="2068" w:type="dxa"/>
          </w:tcPr>
          <w:p w:rsidR="00000000" w:rsidRDefault="00000000">
            <w:pPr>
              <w:spacing w:line="360" w:lineRule="exact"/>
            </w:pPr>
            <w:r>
              <w:rPr>
                <w:rFonts w:hint="eastAsia"/>
              </w:rPr>
              <w:t>零售业、旅馆和饭店</w:t>
            </w:r>
          </w:p>
        </w:tc>
        <w:tc>
          <w:tcPr>
            <w:tcW w:w="1680" w:type="dxa"/>
          </w:tcPr>
          <w:p w:rsidR="00000000" w:rsidRDefault="00000000">
            <w:pPr>
              <w:spacing w:line="360" w:lineRule="exact"/>
              <w:ind w:right="340"/>
              <w:jc w:val="right"/>
            </w:pPr>
            <w:r>
              <w:t>478 487</w:t>
            </w:r>
          </w:p>
        </w:tc>
        <w:tc>
          <w:tcPr>
            <w:tcW w:w="1800" w:type="dxa"/>
          </w:tcPr>
          <w:p w:rsidR="00000000" w:rsidRDefault="00000000">
            <w:pPr>
              <w:spacing w:line="360" w:lineRule="exact"/>
              <w:ind w:right="572"/>
              <w:jc w:val="right"/>
            </w:pPr>
            <w:r>
              <w:t>42.8</w:t>
            </w:r>
          </w:p>
        </w:tc>
        <w:tc>
          <w:tcPr>
            <w:tcW w:w="1560" w:type="dxa"/>
          </w:tcPr>
          <w:p w:rsidR="00000000" w:rsidRDefault="00000000">
            <w:pPr>
              <w:spacing w:line="360" w:lineRule="exact"/>
              <w:ind w:right="572"/>
              <w:jc w:val="right"/>
            </w:pPr>
            <w:r>
              <w:t>57.2</w:t>
            </w:r>
          </w:p>
        </w:tc>
        <w:tc>
          <w:tcPr>
            <w:tcW w:w="1320" w:type="dxa"/>
          </w:tcPr>
          <w:p w:rsidR="00000000" w:rsidRDefault="00000000">
            <w:pPr>
              <w:spacing w:line="360" w:lineRule="exact"/>
              <w:ind w:right="572"/>
              <w:jc w:val="right"/>
            </w:pPr>
            <w:r>
              <w:t>7.7</w:t>
            </w:r>
          </w:p>
        </w:tc>
        <w:tc>
          <w:tcPr>
            <w:tcW w:w="1488" w:type="dxa"/>
          </w:tcPr>
          <w:p w:rsidR="00000000" w:rsidRDefault="00000000">
            <w:pPr>
              <w:spacing w:line="360" w:lineRule="exact"/>
              <w:ind w:right="572"/>
              <w:jc w:val="right"/>
            </w:pPr>
            <w:r>
              <w:t>10.3</w:t>
            </w:r>
          </w:p>
        </w:tc>
      </w:tr>
      <w:tr w:rsidR="00000000">
        <w:tblPrEx>
          <w:tblCellMar>
            <w:top w:w="0" w:type="dxa"/>
            <w:bottom w:w="0" w:type="dxa"/>
          </w:tblCellMar>
        </w:tblPrEx>
        <w:tc>
          <w:tcPr>
            <w:tcW w:w="2068" w:type="dxa"/>
          </w:tcPr>
          <w:p w:rsidR="00000000" w:rsidRDefault="00000000">
            <w:pPr>
              <w:spacing w:line="360" w:lineRule="exact"/>
            </w:pPr>
            <w:r>
              <w:rPr>
                <w:rFonts w:hint="eastAsia"/>
              </w:rPr>
              <w:t>金融服务</w:t>
            </w:r>
          </w:p>
        </w:tc>
        <w:tc>
          <w:tcPr>
            <w:tcW w:w="1680" w:type="dxa"/>
          </w:tcPr>
          <w:p w:rsidR="00000000" w:rsidRDefault="00000000">
            <w:pPr>
              <w:spacing w:line="360" w:lineRule="exact"/>
              <w:ind w:right="340"/>
              <w:jc w:val="right"/>
            </w:pPr>
            <w:r>
              <w:t>296 343</w:t>
            </w:r>
          </w:p>
        </w:tc>
        <w:tc>
          <w:tcPr>
            <w:tcW w:w="1800" w:type="dxa"/>
          </w:tcPr>
          <w:p w:rsidR="00000000" w:rsidRDefault="00000000">
            <w:pPr>
              <w:spacing w:line="360" w:lineRule="exact"/>
              <w:ind w:right="572"/>
              <w:jc w:val="right"/>
            </w:pPr>
            <w:r>
              <w:t>46.0</w:t>
            </w:r>
          </w:p>
        </w:tc>
        <w:tc>
          <w:tcPr>
            <w:tcW w:w="1560" w:type="dxa"/>
          </w:tcPr>
          <w:p w:rsidR="00000000" w:rsidRDefault="00000000">
            <w:pPr>
              <w:spacing w:line="360" w:lineRule="exact"/>
              <w:ind w:right="572"/>
              <w:jc w:val="right"/>
            </w:pPr>
            <w:r>
              <w:t>54.0</w:t>
            </w:r>
          </w:p>
        </w:tc>
        <w:tc>
          <w:tcPr>
            <w:tcW w:w="1320" w:type="dxa"/>
          </w:tcPr>
          <w:p w:rsidR="00000000" w:rsidRDefault="00000000">
            <w:pPr>
              <w:spacing w:line="360" w:lineRule="exact"/>
              <w:ind w:right="572"/>
              <w:jc w:val="right"/>
            </w:pPr>
            <w:r>
              <w:t>5.1</w:t>
            </w:r>
          </w:p>
        </w:tc>
        <w:tc>
          <w:tcPr>
            <w:tcW w:w="1488" w:type="dxa"/>
          </w:tcPr>
          <w:p w:rsidR="00000000" w:rsidRDefault="00000000">
            <w:pPr>
              <w:spacing w:line="360" w:lineRule="exact"/>
              <w:ind w:right="572"/>
              <w:jc w:val="right"/>
            </w:pPr>
            <w:r>
              <w:t>6.0</w:t>
            </w:r>
          </w:p>
        </w:tc>
      </w:tr>
      <w:tr w:rsidR="00000000">
        <w:tblPrEx>
          <w:tblCellMar>
            <w:top w:w="0" w:type="dxa"/>
            <w:bottom w:w="0" w:type="dxa"/>
          </w:tblCellMar>
        </w:tblPrEx>
        <w:tc>
          <w:tcPr>
            <w:tcW w:w="2068" w:type="dxa"/>
          </w:tcPr>
          <w:p w:rsidR="00000000" w:rsidRDefault="00000000">
            <w:pPr>
              <w:spacing w:line="360" w:lineRule="exact"/>
            </w:pPr>
            <w:r>
              <w:rPr>
                <w:rFonts w:hint="eastAsia"/>
              </w:rPr>
              <w:t>未声明的活动</w:t>
            </w:r>
          </w:p>
        </w:tc>
        <w:tc>
          <w:tcPr>
            <w:tcW w:w="1680" w:type="dxa"/>
          </w:tcPr>
          <w:p w:rsidR="00000000" w:rsidRDefault="00000000">
            <w:pPr>
              <w:spacing w:line="360" w:lineRule="exact"/>
              <w:ind w:right="340"/>
              <w:jc w:val="right"/>
            </w:pPr>
            <w:r>
              <w:t>13 882</w:t>
            </w:r>
          </w:p>
        </w:tc>
        <w:tc>
          <w:tcPr>
            <w:tcW w:w="1800" w:type="dxa"/>
          </w:tcPr>
          <w:p w:rsidR="00000000" w:rsidRDefault="00000000">
            <w:pPr>
              <w:spacing w:line="360" w:lineRule="exact"/>
              <w:ind w:right="572"/>
              <w:jc w:val="right"/>
            </w:pPr>
            <w:r>
              <w:t>55.0</w:t>
            </w:r>
          </w:p>
        </w:tc>
        <w:tc>
          <w:tcPr>
            <w:tcW w:w="1560" w:type="dxa"/>
          </w:tcPr>
          <w:p w:rsidR="00000000" w:rsidRDefault="00000000">
            <w:pPr>
              <w:spacing w:line="360" w:lineRule="exact"/>
              <w:ind w:right="572"/>
              <w:jc w:val="right"/>
            </w:pPr>
            <w:r>
              <w:t>45.0</w:t>
            </w:r>
          </w:p>
        </w:tc>
        <w:tc>
          <w:tcPr>
            <w:tcW w:w="1320" w:type="dxa"/>
          </w:tcPr>
          <w:p w:rsidR="00000000" w:rsidRDefault="00000000">
            <w:pPr>
              <w:spacing w:line="360" w:lineRule="exact"/>
              <w:ind w:right="572"/>
              <w:jc w:val="right"/>
            </w:pPr>
            <w:r>
              <w:t>0.3</w:t>
            </w:r>
          </w:p>
        </w:tc>
        <w:tc>
          <w:tcPr>
            <w:tcW w:w="1488" w:type="dxa"/>
          </w:tcPr>
          <w:p w:rsidR="00000000" w:rsidRDefault="00000000">
            <w:pPr>
              <w:spacing w:line="360" w:lineRule="exact"/>
              <w:ind w:right="572"/>
              <w:jc w:val="right"/>
            </w:pPr>
            <w:r>
              <w:t>0.2</w:t>
            </w:r>
          </w:p>
        </w:tc>
      </w:tr>
      <w:tr w:rsidR="00000000">
        <w:tblPrEx>
          <w:tblCellMar>
            <w:top w:w="0" w:type="dxa"/>
            <w:bottom w:w="0" w:type="dxa"/>
          </w:tblCellMar>
        </w:tblPrEx>
        <w:tc>
          <w:tcPr>
            <w:tcW w:w="2068" w:type="dxa"/>
            <w:tcBorders>
              <w:bottom w:val="single" w:sz="4" w:space="0" w:color="auto"/>
            </w:tcBorders>
          </w:tcPr>
          <w:p w:rsidR="00000000" w:rsidRDefault="00000000">
            <w:pPr>
              <w:spacing w:line="360" w:lineRule="exact"/>
            </w:pPr>
            <w:r>
              <w:rPr>
                <w:rFonts w:hint="eastAsia"/>
              </w:rPr>
              <w:t>公共和个人服务</w:t>
            </w:r>
          </w:p>
        </w:tc>
        <w:tc>
          <w:tcPr>
            <w:tcW w:w="1680" w:type="dxa"/>
            <w:tcBorders>
              <w:bottom w:val="single" w:sz="4" w:space="0" w:color="auto"/>
            </w:tcBorders>
          </w:tcPr>
          <w:p w:rsidR="00000000" w:rsidRDefault="00000000">
            <w:pPr>
              <w:spacing w:line="360" w:lineRule="exact"/>
              <w:ind w:right="340"/>
              <w:jc w:val="right"/>
            </w:pPr>
          </w:p>
        </w:tc>
        <w:tc>
          <w:tcPr>
            <w:tcW w:w="1800" w:type="dxa"/>
            <w:tcBorders>
              <w:bottom w:val="single" w:sz="4" w:space="0" w:color="auto"/>
            </w:tcBorders>
          </w:tcPr>
          <w:p w:rsidR="00000000" w:rsidRDefault="00000000">
            <w:pPr>
              <w:spacing w:line="360" w:lineRule="exact"/>
              <w:ind w:right="572"/>
              <w:jc w:val="right"/>
            </w:pPr>
            <w:r>
              <w:t>67.0</w:t>
            </w:r>
          </w:p>
        </w:tc>
        <w:tc>
          <w:tcPr>
            <w:tcW w:w="1560" w:type="dxa"/>
            <w:tcBorders>
              <w:bottom w:val="single" w:sz="4" w:space="0" w:color="auto"/>
            </w:tcBorders>
          </w:tcPr>
          <w:p w:rsidR="00000000" w:rsidRDefault="00000000">
            <w:pPr>
              <w:spacing w:line="360" w:lineRule="exact"/>
              <w:ind w:right="572"/>
              <w:jc w:val="right"/>
            </w:pPr>
            <w:r>
              <w:t>33.0</w:t>
            </w:r>
          </w:p>
        </w:tc>
        <w:tc>
          <w:tcPr>
            <w:tcW w:w="1320" w:type="dxa"/>
            <w:tcBorders>
              <w:bottom w:val="single" w:sz="4" w:space="0" w:color="auto"/>
            </w:tcBorders>
          </w:tcPr>
          <w:p w:rsidR="00000000" w:rsidRDefault="00000000">
            <w:pPr>
              <w:spacing w:line="360" w:lineRule="exact"/>
              <w:ind w:right="572"/>
              <w:jc w:val="right"/>
            </w:pPr>
            <w:r>
              <w:t>23.4</w:t>
            </w:r>
          </w:p>
        </w:tc>
        <w:tc>
          <w:tcPr>
            <w:tcW w:w="1488" w:type="dxa"/>
            <w:tcBorders>
              <w:bottom w:val="single" w:sz="4" w:space="0" w:color="auto"/>
            </w:tcBorders>
          </w:tcPr>
          <w:p w:rsidR="00000000" w:rsidRDefault="00000000">
            <w:pPr>
              <w:spacing w:line="360" w:lineRule="exact"/>
              <w:ind w:right="572"/>
              <w:jc w:val="right"/>
            </w:pPr>
            <w:r>
              <w:t>11.5</w:t>
            </w:r>
          </w:p>
        </w:tc>
      </w:tr>
      <w:tr w:rsidR="00000000">
        <w:tblPrEx>
          <w:tblCellMar>
            <w:top w:w="0" w:type="dxa"/>
            <w:bottom w:w="0" w:type="dxa"/>
          </w:tblCellMar>
        </w:tblPrEx>
        <w:tc>
          <w:tcPr>
            <w:tcW w:w="2068" w:type="dxa"/>
            <w:tcBorders>
              <w:top w:val="single" w:sz="4" w:space="0" w:color="auto"/>
              <w:bottom w:val="single" w:sz="6" w:space="0" w:color="auto"/>
            </w:tcBorders>
          </w:tcPr>
          <w:p w:rsidR="00000000" w:rsidRDefault="00000000">
            <w:pPr>
              <w:spacing w:line="360" w:lineRule="exact"/>
            </w:pPr>
            <w:r>
              <w:rPr>
                <w:rFonts w:hint="eastAsia"/>
              </w:rPr>
              <w:t>就业总人数</w:t>
            </w:r>
          </w:p>
        </w:tc>
        <w:tc>
          <w:tcPr>
            <w:tcW w:w="1680" w:type="dxa"/>
            <w:tcBorders>
              <w:top w:val="single" w:sz="4" w:space="0" w:color="auto"/>
              <w:bottom w:val="single" w:sz="6" w:space="0" w:color="auto"/>
            </w:tcBorders>
          </w:tcPr>
          <w:p w:rsidR="00000000" w:rsidRDefault="00000000">
            <w:pPr>
              <w:spacing w:line="360" w:lineRule="exact"/>
              <w:ind w:right="340"/>
              <w:jc w:val="right"/>
            </w:pPr>
            <w:r>
              <w:t>2 669 658</w:t>
            </w:r>
          </w:p>
        </w:tc>
        <w:tc>
          <w:tcPr>
            <w:tcW w:w="1800" w:type="dxa"/>
            <w:tcBorders>
              <w:top w:val="single" w:sz="4" w:space="0" w:color="auto"/>
              <w:bottom w:val="single" w:sz="6" w:space="0" w:color="auto"/>
            </w:tcBorders>
          </w:tcPr>
          <w:p w:rsidR="00000000" w:rsidRDefault="00000000">
            <w:pPr>
              <w:spacing w:line="360" w:lineRule="exact"/>
              <w:ind w:right="572"/>
              <w:jc w:val="right"/>
            </w:pPr>
            <w:r>
              <w:t>45.6</w:t>
            </w:r>
          </w:p>
        </w:tc>
        <w:tc>
          <w:tcPr>
            <w:tcW w:w="1560" w:type="dxa"/>
            <w:tcBorders>
              <w:top w:val="single" w:sz="4" w:space="0" w:color="auto"/>
              <w:bottom w:val="single" w:sz="6" w:space="0" w:color="auto"/>
            </w:tcBorders>
          </w:tcPr>
          <w:p w:rsidR="00000000" w:rsidRDefault="00000000">
            <w:pPr>
              <w:spacing w:line="360" w:lineRule="exact"/>
              <w:ind w:right="572"/>
              <w:jc w:val="right"/>
            </w:pPr>
            <w:r>
              <w:t>54.4</w:t>
            </w:r>
          </w:p>
        </w:tc>
        <w:tc>
          <w:tcPr>
            <w:tcW w:w="1320" w:type="dxa"/>
            <w:tcBorders>
              <w:top w:val="single" w:sz="4" w:space="0" w:color="auto"/>
              <w:bottom w:val="single" w:sz="6" w:space="0" w:color="auto"/>
            </w:tcBorders>
          </w:tcPr>
          <w:p w:rsidR="00000000" w:rsidRDefault="00000000">
            <w:pPr>
              <w:spacing w:line="360" w:lineRule="exact"/>
              <w:ind w:right="572"/>
              <w:jc w:val="right"/>
            </w:pPr>
            <w:r>
              <w:t>45.6</w:t>
            </w:r>
          </w:p>
        </w:tc>
        <w:tc>
          <w:tcPr>
            <w:tcW w:w="1488" w:type="dxa"/>
            <w:tcBorders>
              <w:top w:val="single" w:sz="4" w:space="0" w:color="auto"/>
              <w:bottom w:val="single" w:sz="6" w:space="0" w:color="auto"/>
            </w:tcBorders>
          </w:tcPr>
          <w:p w:rsidR="00000000" w:rsidRDefault="00000000">
            <w:pPr>
              <w:spacing w:line="360" w:lineRule="exact"/>
              <w:ind w:right="572"/>
              <w:jc w:val="right"/>
            </w:pPr>
            <w:r>
              <w:t>54.4</w:t>
            </w:r>
          </w:p>
        </w:tc>
      </w:tr>
    </w:tbl>
    <w:p w:rsidR="00000000" w:rsidRDefault="00000000">
      <w:pPr>
        <w:spacing w:before="240" w:after="240" w:line="360" w:lineRule="exact"/>
        <w:ind w:firstLine="425"/>
      </w:pPr>
      <w:r>
        <w:rPr>
          <w:rFonts w:hint="eastAsia"/>
        </w:rPr>
        <w:t>本表显示男女在特定行业从业人数中所占百分比以及在所有从业人数中所占百分比。妇女从业人数最少的行业被列于本表最高一栏。本表显示</w:t>
      </w:r>
      <w:r>
        <w:t>70.4%</w:t>
      </w:r>
      <w:r>
        <w:rPr>
          <w:rFonts w:hint="eastAsia"/>
        </w:rPr>
        <w:t>的劳动力在分别以妇女和男子为主的行业工作。</w:t>
      </w:r>
      <w:r>
        <w:t>9.1%</w:t>
      </w:r>
      <w:r>
        <w:rPr>
          <w:rFonts w:hint="eastAsia"/>
        </w:rPr>
        <w:t>的妇女和</w:t>
      </w:r>
      <w:r>
        <w:t>26.4%</w:t>
      </w:r>
      <w:r>
        <w:rPr>
          <w:rFonts w:hint="eastAsia"/>
        </w:rPr>
        <w:t>的男子在典型的男子专业领域从业；而</w:t>
      </w:r>
      <w:r>
        <w:t>23.4%</w:t>
      </w:r>
      <w:r>
        <w:rPr>
          <w:rFonts w:hint="eastAsia"/>
        </w:rPr>
        <w:t>的妇女和</w:t>
      </w:r>
      <w:r>
        <w:t>11.5%</w:t>
      </w:r>
      <w:r>
        <w:rPr>
          <w:rFonts w:hint="eastAsia"/>
        </w:rPr>
        <w:t>的男子在妇女占劳动力</w:t>
      </w:r>
      <w:r>
        <w:t>60%</w:t>
      </w:r>
      <w:r>
        <w:rPr>
          <w:rFonts w:hint="eastAsia"/>
        </w:rPr>
        <w:t>以上的行业工作。</w:t>
      </w:r>
    </w:p>
    <w:p w:rsidR="00000000" w:rsidRDefault="00000000">
      <w:pPr>
        <w:spacing w:after="240" w:line="360" w:lineRule="exact"/>
        <w:ind w:firstLine="425"/>
      </w:pPr>
      <w:r>
        <w:rPr>
          <w:rFonts w:hint="eastAsia"/>
        </w:rPr>
        <w:t>资料来源：十年统计审查，</w:t>
      </w:r>
      <w:r>
        <w:rPr>
          <w:rFonts w:hint="eastAsia"/>
        </w:rPr>
        <w:t>1998</w:t>
      </w:r>
      <w:r>
        <w:rPr>
          <w:rFonts w:hint="eastAsia"/>
        </w:rPr>
        <w:t>年。</w:t>
      </w:r>
    </w:p>
    <w:p w:rsidR="00000000" w:rsidRDefault="00000000">
      <w:pPr>
        <w:spacing w:after="240" w:line="360" w:lineRule="exact"/>
        <w:jc w:val="center"/>
        <w:rPr>
          <w:rFonts w:eastAsia="SimHei"/>
        </w:rPr>
      </w:pPr>
      <w:r>
        <w:rPr>
          <w:rFonts w:eastAsia="SimHei" w:hint="eastAsia"/>
        </w:rPr>
        <w:t>表</w:t>
      </w:r>
      <w:r>
        <w:rPr>
          <w:rFonts w:eastAsia="SimHei"/>
        </w:rPr>
        <w:t>7.  1993</w:t>
      </w:r>
      <w:r>
        <w:rPr>
          <w:rFonts w:eastAsia="SimHei" w:hint="eastAsia"/>
        </w:rPr>
        <w:t>-</w:t>
      </w:r>
      <w:r>
        <w:rPr>
          <w:rFonts w:eastAsia="SimHei"/>
        </w:rPr>
        <w:t>1997</w:t>
      </w:r>
      <w:r>
        <w:rPr>
          <w:rFonts w:eastAsia="SimHei" w:hint="eastAsia"/>
        </w:rPr>
        <w:t>年男女个人收入情况</w:t>
      </w:r>
    </w:p>
    <w:tbl>
      <w:tblPr>
        <w:tblW w:w="0" w:type="auto"/>
        <w:tblBorders>
          <w:top w:val="single" w:sz="6" w:space="0" w:color="auto"/>
          <w:bottom w:val="single" w:sz="6" w:space="0" w:color="auto"/>
        </w:tblBorders>
        <w:tblLayout w:type="fixed"/>
        <w:tblCellMar>
          <w:left w:w="28" w:type="dxa"/>
          <w:right w:w="28" w:type="dxa"/>
        </w:tblCellMar>
        <w:tblLook w:val="0000" w:firstRow="0" w:lastRow="0" w:firstColumn="0" w:lastColumn="0" w:noHBand="0" w:noVBand="0"/>
      </w:tblPr>
      <w:tblGrid>
        <w:gridCol w:w="1468"/>
        <w:gridCol w:w="1320"/>
        <w:gridCol w:w="1320"/>
        <w:gridCol w:w="1080"/>
        <w:gridCol w:w="1320"/>
        <w:gridCol w:w="1080"/>
        <w:gridCol w:w="1800"/>
      </w:tblGrid>
      <w:tr w:rsidR="00000000">
        <w:tblPrEx>
          <w:tblCellMar>
            <w:top w:w="0" w:type="dxa"/>
            <w:bottom w:w="0" w:type="dxa"/>
          </w:tblCellMar>
        </w:tblPrEx>
        <w:tc>
          <w:tcPr>
            <w:tcW w:w="1468" w:type="dxa"/>
            <w:tcBorders>
              <w:top w:val="single" w:sz="6" w:space="0" w:color="auto"/>
              <w:bottom w:val="single" w:sz="4" w:space="0" w:color="auto"/>
            </w:tcBorders>
          </w:tcPr>
          <w:p w:rsidR="00000000" w:rsidRDefault="00000000">
            <w:pPr>
              <w:spacing w:line="360" w:lineRule="exact"/>
              <w:jc w:val="center"/>
            </w:pPr>
          </w:p>
          <w:p w:rsidR="00000000" w:rsidRDefault="00000000">
            <w:pPr>
              <w:spacing w:line="360" w:lineRule="exact"/>
              <w:jc w:val="center"/>
            </w:pPr>
            <w:r>
              <w:rPr>
                <w:rFonts w:hint="eastAsia"/>
              </w:rPr>
              <w:t>年</w:t>
            </w:r>
          </w:p>
        </w:tc>
        <w:tc>
          <w:tcPr>
            <w:tcW w:w="1320" w:type="dxa"/>
            <w:tcBorders>
              <w:top w:val="single" w:sz="6" w:space="0" w:color="auto"/>
              <w:bottom w:val="single" w:sz="4" w:space="0" w:color="auto"/>
            </w:tcBorders>
          </w:tcPr>
          <w:p w:rsidR="00000000" w:rsidRDefault="00000000">
            <w:pPr>
              <w:spacing w:line="360" w:lineRule="exact"/>
              <w:jc w:val="center"/>
            </w:pPr>
            <w:r>
              <w:rPr>
                <w:rFonts w:hint="eastAsia"/>
              </w:rPr>
              <w:t>城市</w:t>
            </w:r>
          </w:p>
          <w:p w:rsidR="00000000" w:rsidRDefault="00000000">
            <w:pPr>
              <w:spacing w:line="360" w:lineRule="exact"/>
              <w:jc w:val="center"/>
            </w:pPr>
            <w:r>
              <w:rPr>
                <w:rFonts w:hint="eastAsia"/>
              </w:rPr>
              <w:t>女</w:t>
            </w:r>
          </w:p>
          <w:p w:rsidR="00000000" w:rsidRDefault="00000000">
            <w:pPr>
              <w:spacing w:line="360" w:lineRule="exact"/>
              <w:jc w:val="center"/>
            </w:pPr>
            <w:r>
              <w:t>%</w:t>
            </w:r>
          </w:p>
        </w:tc>
        <w:tc>
          <w:tcPr>
            <w:tcW w:w="1320" w:type="dxa"/>
            <w:tcBorders>
              <w:top w:val="single" w:sz="6" w:space="0" w:color="auto"/>
              <w:bottom w:val="single" w:sz="4" w:space="0" w:color="auto"/>
            </w:tcBorders>
          </w:tcPr>
          <w:p w:rsidR="00000000" w:rsidRDefault="00000000">
            <w:pPr>
              <w:spacing w:line="360" w:lineRule="exact"/>
              <w:jc w:val="center"/>
            </w:pPr>
            <w:r>
              <w:rPr>
                <w:rFonts w:hint="eastAsia"/>
              </w:rPr>
              <w:t>城市</w:t>
            </w:r>
          </w:p>
          <w:p w:rsidR="00000000" w:rsidRDefault="00000000">
            <w:pPr>
              <w:spacing w:line="360" w:lineRule="exact"/>
              <w:jc w:val="center"/>
            </w:pPr>
            <w:r>
              <w:rPr>
                <w:rFonts w:hint="eastAsia"/>
              </w:rPr>
              <w:t>男</w:t>
            </w:r>
          </w:p>
          <w:p w:rsidR="00000000" w:rsidRDefault="00000000">
            <w:pPr>
              <w:spacing w:line="360" w:lineRule="exact"/>
              <w:jc w:val="center"/>
            </w:pPr>
            <w:r>
              <w:t>%</w:t>
            </w:r>
          </w:p>
        </w:tc>
        <w:tc>
          <w:tcPr>
            <w:tcW w:w="1080" w:type="dxa"/>
            <w:tcBorders>
              <w:top w:val="single" w:sz="6" w:space="0" w:color="auto"/>
              <w:bottom w:val="single" w:sz="4" w:space="0" w:color="auto"/>
            </w:tcBorders>
          </w:tcPr>
          <w:p w:rsidR="00000000" w:rsidRDefault="00000000">
            <w:pPr>
              <w:spacing w:line="360" w:lineRule="exact"/>
              <w:jc w:val="center"/>
            </w:pPr>
            <w:r>
              <w:rPr>
                <w:rFonts w:hint="eastAsia"/>
              </w:rPr>
              <w:t>州</w:t>
            </w:r>
          </w:p>
          <w:p w:rsidR="00000000" w:rsidRDefault="00000000">
            <w:pPr>
              <w:spacing w:line="360" w:lineRule="exact"/>
              <w:jc w:val="center"/>
            </w:pPr>
            <w:r>
              <w:rPr>
                <w:rFonts w:hint="eastAsia"/>
              </w:rPr>
              <w:t>女</w:t>
            </w:r>
          </w:p>
          <w:p w:rsidR="00000000" w:rsidRDefault="00000000">
            <w:pPr>
              <w:spacing w:line="360" w:lineRule="exact"/>
              <w:jc w:val="center"/>
            </w:pPr>
            <w:r>
              <w:t>%</w:t>
            </w:r>
          </w:p>
        </w:tc>
        <w:tc>
          <w:tcPr>
            <w:tcW w:w="1320" w:type="dxa"/>
            <w:tcBorders>
              <w:top w:val="single" w:sz="6" w:space="0" w:color="auto"/>
              <w:bottom w:val="single" w:sz="4" w:space="0" w:color="auto"/>
            </w:tcBorders>
          </w:tcPr>
          <w:p w:rsidR="00000000" w:rsidRDefault="00000000">
            <w:pPr>
              <w:spacing w:line="360" w:lineRule="exact"/>
              <w:jc w:val="center"/>
            </w:pPr>
            <w:r>
              <w:rPr>
                <w:rFonts w:hint="eastAsia"/>
              </w:rPr>
              <w:t>州</w:t>
            </w:r>
          </w:p>
          <w:p w:rsidR="00000000" w:rsidRDefault="00000000">
            <w:pPr>
              <w:spacing w:line="360" w:lineRule="exact"/>
              <w:jc w:val="center"/>
            </w:pPr>
            <w:r>
              <w:rPr>
                <w:rFonts w:hint="eastAsia"/>
              </w:rPr>
              <w:t>男</w:t>
            </w:r>
          </w:p>
          <w:p w:rsidR="00000000" w:rsidRDefault="00000000">
            <w:pPr>
              <w:spacing w:line="360" w:lineRule="exact"/>
              <w:jc w:val="center"/>
            </w:pPr>
            <w:r>
              <w:t>%</w:t>
            </w:r>
          </w:p>
        </w:tc>
        <w:tc>
          <w:tcPr>
            <w:tcW w:w="1080" w:type="dxa"/>
            <w:tcBorders>
              <w:top w:val="single" w:sz="6" w:space="0" w:color="auto"/>
              <w:bottom w:val="single" w:sz="4" w:space="0" w:color="auto"/>
            </w:tcBorders>
          </w:tcPr>
          <w:p w:rsidR="00000000" w:rsidRDefault="00000000">
            <w:pPr>
              <w:spacing w:line="360" w:lineRule="exact"/>
              <w:jc w:val="center"/>
            </w:pPr>
            <w:r>
              <w:rPr>
                <w:rFonts w:hint="eastAsia"/>
              </w:rPr>
              <w:t>私营</w:t>
            </w:r>
          </w:p>
          <w:p w:rsidR="00000000" w:rsidRDefault="00000000">
            <w:pPr>
              <w:spacing w:line="360" w:lineRule="exact"/>
              <w:jc w:val="center"/>
            </w:pPr>
            <w:r>
              <w:rPr>
                <w:rFonts w:hint="eastAsia"/>
              </w:rPr>
              <w:t>女</w:t>
            </w:r>
          </w:p>
          <w:p w:rsidR="00000000" w:rsidRDefault="00000000">
            <w:pPr>
              <w:spacing w:line="360" w:lineRule="exact"/>
              <w:jc w:val="center"/>
            </w:pPr>
            <w:r>
              <w:t>%</w:t>
            </w:r>
          </w:p>
        </w:tc>
        <w:tc>
          <w:tcPr>
            <w:tcW w:w="1800" w:type="dxa"/>
            <w:tcBorders>
              <w:top w:val="single" w:sz="6" w:space="0" w:color="auto"/>
              <w:bottom w:val="single" w:sz="4" w:space="0" w:color="auto"/>
            </w:tcBorders>
          </w:tcPr>
          <w:p w:rsidR="00000000" w:rsidRDefault="00000000">
            <w:pPr>
              <w:spacing w:line="360" w:lineRule="exact"/>
              <w:jc w:val="center"/>
            </w:pPr>
            <w:r>
              <w:rPr>
                <w:rFonts w:hint="eastAsia"/>
              </w:rPr>
              <w:t>私营</w:t>
            </w:r>
          </w:p>
          <w:p w:rsidR="00000000" w:rsidRDefault="00000000">
            <w:pPr>
              <w:spacing w:line="360" w:lineRule="exact"/>
              <w:jc w:val="center"/>
            </w:pPr>
            <w:r>
              <w:rPr>
                <w:rFonts w:hint="eastAsia"/>
              </w:rPr>
              <w:t>男</w:t>
            </w:r>
          </w:p>
          <w:p w:rsidR="00000000" w:rsidRDefault="00000000">
            <w:pPr>
              <w:spacing w:line="360" w:lineRule="exact"/>
              <w:jc w:val="center"/>
            </w:pPr>
            <w:r>
              <w:t>%</w:t>
            </w:r>
          </w:p>
        </w:tc>
      </w:tr>
      <w:tr w:rsidR="00000000">
        <w:tblPrEx>
          <w:tblCellMar>
            <w:top w:w="0" w:type="dxa"/>
            <w:bottom w:w="0" w:type="dxa"/>
          </w:tblCellMar>
        </w:tblPrEx>
        <w:tc>
          <w:tcPr>
            <w:tcW w:w="1468" w:type="dxa"/>
            <w:tcBorders>
              <w:top w:val="single" w:sz="4" w:space="0" w:color="auto"/>
            </w:tcBorders>
          </w:tcPr>
          <w:p w:rsidR="00000000" w:rsidRDefault="00000000">
            <w:pPr>
              <w:spacing w:line="360" w:lineRule="exact"/>
              <w:jc w:val="center"/>
            </w:pPr>
            <w:r>
              <w:t>1993</w:t>
            </w:r>
          </w:p>
        </w:tc>
        <w:tc>
          <w:tcPr>
            <w:tcW w:w="1320" w:type="dxa"/>
            <w:tcBorders>
              <w:top w:val="single" w:sz="4" w:space="0" w:color="auto"/>
            </w:tcBorders>
          </w:tcPr>
          <w:p w:rsidR="00000000" w:rsidRDefault="00000000">
            <w:pPr>
              <w:spacing w:line="360" w:lineRule="exact"/>
              <w:ind w:firstLine="444"/>
            </w:pPr>
            <w:r>
              <w:t>85.4</w:t>
            </w:r>
          </w:p>
        </w:tc>
        <w:tc>
          <w:tcPr>
            <w:tcW w:w="1320" w:type="dxa"/>
            <w:tcBorders>
              <w:top w:val="single" w:sz="4" w:space="0" w:color="auto"/>
            </w:tcBorders>
          </w:tcPr>
          <w:p w:rsidR="00000000" w:rsidRDefault="00000000">
            <w:pPr>
              <w:spacing w:line="360" w:lineRule="exact"/>
              <w:jc w:val="center"/>
            </w:pPr>
            <w:r>
              <w:t>100</w:t>
            </w:r>
          </w:p>
        </w:tc>
        <w:tc>
          <w:tcPr>
            <w:tcW w:w="1080" w:type="dxa"/>
            <w:tcBorders>
              <w:top w:val="single" w:sz="4" w:space="0" w:color="auto"/>
            </w:tcBorders>
          </w:tcPr>
          <w:p w:rsidR="00000000" w:rsidRDefault="00000000">
            <w:pPr>
              <w:spacing w:line="360" w:lineRule="exact"/>
              <w:jc w:val="center"/>
            </w:pPr>
            <w:r>
              <w:t>87.8</w:t>
            </w:r>
          </w:p>
        </w:tc>
        <w:tc>
          <w:tcPr>
            <w:tcW w:w="1320" w:type="dxa"/>
            <w:tcBorders>
              <w:top w:val="single" w:sz="4" w:space="0" w:color="auto"/>
            </w:tcBorders>
          </w:tcPr>
          <w:p w:rsidR="00000000" w:rsidRDefault="00000000">
            <w:pPr>
              <w:spacing w:line="360" w:lineRule="exact"/>
              <w:jc w:val="center"/>
            </w:pPr>
            <w:r>
              <w:t>100</w:t>
            </w:r>
          </w:p>
        </w:tc>
        <w:tc>
          <w:tcPr>
            <w:tcW w:w="1080" w:type="dxa"/>
            <w:tcBorders>
              <w:top w:val="single" w:sz="4" w:space="0" w:color="auto"/>
            </w:tcBorders>
          </w:tcPr>
          <w:p w:rsidR="00000000" w:rsidRDefault="00000000">
            <w:pPr>
              <w:spacing w:line="360" w:lineRule="exact"/>
              <w:jc w:val="center"/>
              <w:rPr>
                <w:rFonts w:hint="eastAsia"/>
              </w:rPr>
            </w:pPr>
            <w:r>
              <w:rPr>
                <w:rFonts w:hint="eastAsia"/>
              </w:rPr>
              <w:t>..</w:t>
            </w:r>
          </w:p>
        </w:tc>
        <w:tc>
          <w:tcPr>
            <w:tcW w:w="1800" w:type="dxa"/>
            <w:tcBorders>
              <w:top w:val="single" w:sz="4" w:space="0" w:color="auto"/>
            </w:tcBorders>
          </w:tcPr>
          <w:p w:rsidR="00000000" w:rsidRDefault="00000000">
            <w:pPr>
              <w:spacing w:line="360" w:lineRule="exact"/>
              <w:jc w:val="center"/>
            </w:pPr>
          </w:p>
        </w:tc>
      </w:tr>
      <w:tr w:rsidR="00000000">
        <w:tblPrEx>
          <w:tblCellMar>
            <w:top w:w="0" w:type="dxa"/>
            <w:bottom w:w="0" w:type="dxa"/>
          </w:tblCellMar>
        </w:tblPrEx>
        <w:tc>
          <w:tcPr>
            <w:tcW w:w="1468" w:type="dxa"/>
          </w:tcPr>
          <w:p w:rsidR="00000000" w:rsidRDefault="00000000">
            <w:pPr>
              <w:spacing w:line="360" w:lineRule="exact"/>
              <w:jc w:val="center"/>
            </w:pPr>
            <w:r>
              <w:t>1994</w:t>
            </w:r>
          </w:p>
        </w:tc>
        <w:tc>
          <w:tcPr>
            <w:tcW w:w="1320" w:type="dxa"/>
          </w:tcPr>
          <w:p w:rsidR="00000000" w:rsidRDefault="00000000">
            <w:pPr>
              <w:spacing w:line="360" w:lineRule="exact"/>
              <w:ind w:firstLine="444"/>
            </w:pPr>
            <w:r>
              <w:t>86.6</w:t>
            </w:r>
          </w:p>
        </w:tc>
        <w:tc>
          <w:tcPr>
            <w:tcW w:w="1320" w:type="dxa"/>
          </w:tcPr>
          <w:p w:rsidR="00000000" w:rsidRDefault="00000000">
            <w:pPr>
              <w:spacing w:line="360" w:lineRule="exact"/>
              <w:jc w:val="center"/>
            </w:pPr>
            <w:r>
              <w:t>100</w:t>
            </w:r>
          </w:p>
        </w:tc>
        <w:tc>
          <w:tcPr>
            <w:tcW w:w="1080" w:type="dxa"/>
          </w:tcPr>
          <w:p w:rsidR="00000000" w:rsidRDefault="00000000">
            <w:pPr>
              <w:spacing w:line="360" w:lineRule="exact"/>
              <w:jc w:val="center"/>
            </w:pPr>
            <w:r>
              <w:t>88.3</w:t>
            </w:r>
          </w:p>
        </w:tc>
        <w:tc>
          <w:tcPr>
            <w:tcW w:w="1320" w:type="dxa"/>
          </w:tcPr>
          <w:p w:rsidR="00000000" w:rsidRDefault="00000000">
            <w:pPr>
              <w:spacing w:line="360" w:lineRule="exact"/>
              <w:jc w:val="center"/>
            </w:pPr>
            <w:r>
              <w:t>100</w:t>
            </w:r>
          </w:p>
        </w:tc>
        <w:tc>
          <w:tcPr>
            <w:tcW w:w="1080" w:type="dxa"/>
          </w:tcPr>
          <w:p w:rsidR="00000000" w:rsidRDefault="00000000">
            <w:pPr>
              <w:spacing w:line="360" w:lineRule="exact"/>
              <w:jc w:val="center"/>
            </w:pPr>
            <w:r>
              <w:t>73.6</w:t>
            </w:r>
          </w:p>
        </w:tc>
        <w:tc>
          <w:tcPr>
            <w:tcW w:w="1800" w:type="dxa"/>
          </w:tcPr>
          <w:p w:rsidR="00000000" w:rsidRDefault="00000000">
            <w:pPr>
              <w:spacing w:line="360" w:lineRule="exact"/>
              <w:jc w:val="center"/>
            </w:pPr>
            <w:r>
              <w:t>100</w:t>
            </w:r>
          </w:p>
        </w:tc>
      </w:tr>
      <w:tr w:rsidR="00000000">
        <w:tblPrEx>
          <w:tblCellMar>
            <w:top w:w="0" w:type="dxa"/>
            <w:bottom w:w="0" w:type="dxa"/>
          </w:tblCellMar>
        </w:tblPrEx>
        <w:tc>
          <w:tcPr>
            <w:tcW w:w="1468" w:type="dxa"/>
          </w:tcPr>
          <w:p w:rsidR="00000000" w:rsidRDefault="00000000">
            <w:pPr>
              <w:spacing w:line="360" w:lineRule="exact"/>
              <w:jc w:val="center"/>
            </w:pPr>
            <w:r>
              <w:t>1995</w:t>
            </w:r>
          </w:p>
        </w:tc>
        <w:tc>
          <w:tcPr>
            <w:tcW w:w="1320" w:type="dxa"/>
          </w:tcPr>
          <w:p w:rsidR="00000000" w:rsidRDefault="00000000">
            <w:pPr>
              <w:spacing w:line="360" w:lineRule="exact"/>
              <w:ind w:firstLine="444"/>
            </w:pPr>
            <w:r>
              <w:t>85.9</w:t>
            </w:r>
          </w:p>
        </w:tc>
        <w:tc>
          <w:tcPr>
            <w:tcW w:w="1320" w:type="dxa"/>
          </w:tcPr>
          <w:p w:rsidR="00000000" w:rsidRDefault="00000000">
            <w:pPr>
              <w:spacing w:line="360" w:lineRule="exact"/>
              <w:jc w:val="center"/>
            </w:pPr>
            <w:r>
              <w:t>100</w:t>
            </w:r>
          </w:p>
        </w:tc>
        <w:tc>
          <w:tcPr>
            <w:tcW w:w="1080" w:type="dxa"/>
          </w:tcPr>
          <w:p w:rsidR="00000000" w:rsidRDefault="00000000">
            <w:pPr>
              <w:spacing w:line="360" w:lineRule="exact"/>
              <w:jc w:val="center"/>
            </w:pPr>
            <w:r>
              <w:t>88.1</w:t>
            </w:r>
          </w:p>
        </w:tc>
        <w:tc>
          <w:tcPr>
            <w:tcW w:w="1320" w:type="dxa"/>
          </w:tcPr>
          <w:p w:rsidR="00000000" w:rsidRDefault="00000000">
            <w:pPr>
              <w:spacing w:line="360" w:lineRule="exact"/>
              <w:jc w:val="center"/>
            </w:pPr>
            <w:r>
              <w:t>100</w:t>
            </w:r>
          </w:p>
        </w:tc>
        <w:tc>
          <w:tcPr>
            <w:tcW w:w="1080" w:type="dxa"/>
          </w:tcPr>
          <w:p w:rsidR="00000000" w:rsidRDefault="00000000">
            <w:pPr>
              <w:spacing w:line="360" w:lineRule="exact"/>
              <w:jc w:val="center"/>
            </w:pPr>
            <w:r>
              <w:t>75.7</w:t>
            </w:r>
          </w:p>
        </w:tc>
        <w:tc>
          <w:tcPr>
            <w:tcW w:w="1800" w:type="dxa"/>
          </w:tcPr>
          <w:p w:rsidR="00000000" w:rsidRDefault="00000000">
            <w:pPr>
              <w:spacing w:line="360" w:lineRule="exact"/>
              <w:jc w:val="center"/>
            </w:pPr>
            <w:r>
              <w:t>100</w:t>
            </w:r>
          </w:p>
        </w:tc>
      </w:tr>
      <w:tr w:rsidR="00000000">
        <w:tblPrEx>
          <w:tblCellMar>
            <w:top w:w="0" w:type="dxa"/>
            <w:bottom w:w="0" w:type="dxa"/>
          </w:tblCellMar>
        </w:tblPrEx>
        <w:tc>
          <w:tcPr>
            <w:tcW w:w="1468" w:type="dxa"/>
          </w:tcPr>
          <w:p w:rsidR="00000000" w:rsidRDefault="00000000">
            <w:pPr>
              <w:spacing w:line="360" w:lineRule="exact"/>
              <w:jc w:val="center"/>
            </w:pPr>
            <w:r>
              <w:t>1996</w:t>
            </w:r>
          </w:p>
        </w:tc>
        <w:tc>
          <w:tcPr>
            <w:tcW w:w="1320" w:type="dxa"/>
          </w:tcPr>
          <w:p w:rsidR="00000000" w:rsidRDefault="00000000">
            <w:pPr>
              <w:spacing w:line="360" w:lineRule="exact"/>
              <w:ind w:firstLine="444"/>
            </w:pPr>
            <w:r>
              <w:t>86.3</w:t>
            </w:r>
          </w:p>
        </w:tc>
        <w:tc>
          <w:tcPr>
            <w:tcW w:w="1320" w:type="dxa"/>
          </w:tcPr>
          <w:p w:rsidR="00000000" w:rsidRDefault="00000000">
            <w:pPr>
              <w:spacing w:line="360" w:lineRule="exact"/>
              <w:jc w:val="center"/>
            </w:pPr>
            <w:r>
              <w:t>100</w:t>
            </w:r>
          </w:p>
        </w:tc>
        <w:tc>
          <w:tcPr>
            <w:tcW w:w="1080" w:type="dxa"/>
          </w:tcPr>
          <w:p w:rsidR="00000000" w:rsidRDefault="00000000">
            <w:pPr>
              <w:spacing w:line="360" w:lineRule="exact"/>
              <w:jc w:val="center"/>
            </w:pPr>
            <w:r>
              <w:t>89.7</w:t>
            </w:r>
          </w:p>
        </w:tc>
        <w:tc>
          <w:tcPr>
            <w:tcW w:w="1320" w:type="dxa"/>
          </w:tcPr>
          <w:p w:rsidR="00000000" w:rsidRDefault="00000000">
            <w:pPr>
              <w:spacing w:line="360" w:lineRule="exact"/>
              <w:jc w:val="center"/>
            </w:pPr>
            <w:r>
              <w:t>100</w:t>
            </w:r>
          </w:p>
        </w:tc>
        <w:tc>
          <w:tcPr>
            <w:tcW w:w="1080" w:type="dxa"/>
          </w:tcPr>
          <w:p w:rsidR="00000000" w:rsidRDefault="00000000">
            <w:pPr>
              <w:spacing w:line="360" w:lineRule="exact"/>
              <w:jc w:val="center"/>
            </w:pPr>
            <w:r>
              <w:t>76.4</w:t>
            </w:r>
          </w:p>
        </w:tc>
        <w:tc>
          <w:tcPr>
            <w:tcW w:w="1800" w:type="dxa"/>
          </w:tcPr>
          <w:p w:rsidR="00000000" w:rsidRDefault="00000000">
            <w:pPr>
              <w:spacing w:line="360" w:lineRule="exact"/>
              <w:jc w:val="center"/>
            </w:pPr>
            <w:r>
              <w:t>100</w:t>
            </w:r>
          </w:p>
        </w:tc>
      </w:tr>
      <w:tr w:rsidR="00000000">
        <w:tblPrEx>
          <w:tblCellMar>
            <w:top w:w="0" w:type="dxa"/>
            <w:bottom w:w="0" w:type="dxa"/>
          </w:tblCellMar>
        </w:tblPrEx>
        <w:tc>
          <w:tcPr>
            <w:tcW w:w="1468" w:type="dxa"/>
          </w:tcPr>
          <w:p w:rsidR="00000000" w:rsidRDefault="00000000">
            <w:pPr>
              <w:spacing w:line="360" w:lineRule="exact"/>
              <w:jc w:val="center"/>
            </w:pPr>
            <w:r>
              <w:t>1997</w:t>
            </w:r>
          </w:p>
        </w:tc>
        <w:tc>
          <w:tcPr>
            <w:tcW w:w="1320" w:type="dxa"/>
          </w:tcPr>
          <w:p w:rsidR="00000000" w:rsidRDefault="00000000">
            <w:pPr>
              <w:spacing w:line="360" w:lineRule="exact"/>
              <w:ind w:firstLine="444"/>
            </w:pPr>
            <w:r>
              <w:t>85</w:t>
            </w:r>
          </w:p>
        </w:tc>
        <w:tc>
          <w:tcPr>
            <w:tcW w:w="1320" w:type="dxa"/>
          </w:tcPr>
          <w:p w:rsidR="00000000" w:rsidRDefault="00000000">
            <w:pPr>
              <w:spacing w:line="360" w:lineRule="exact"/>
              <w:jc w:val="center"/>
            </w:pPr>
            <w:r>
              <w:t>100</w:t>
            </w:r>
          </w:p>
        </w:tc>
        <w:tc>
          <w:tcPr>
            <w:tcW w:w="1080" w:type="dxa"/>
          </w:tcPr>
          <w:p w:rsidR="00000000" w:rsidRDefault="00000000">
            <w:pPr>
              <w:spacing w:line="360" w:lineRule="exact"/>
              <w:jc w:val="center"/>
            </w:pPr>
            <w:r>
              <w:t>88.7</w:t>
            </w:r>
          </w:p>
        </w:tc>
        <w:tc>
          <w:tcPr>
            <w:tcW w:w="1320" w:type="dxa"/>
          </w:tcPr>
          <w:p w:rsidR="00000000" w:rsidRDefault="00000000">
            <w:pPr>
              <w:spacing w:line="360" w:lineRule="exact"/>
              <w:jc w:val="center"/>
            </w:pPr>
            <w:r>
              <w:t>100</w:t>
            </w:r>
          </w:p>
        </w:tc>
        <w:tc>
          <w:tcPr>
            <w:tcW w:w="1080" w:type="dxa"/>
          </w:tcPr>
          <w:p w:rsidR="00000000" w:rsidRDefault="00000000">
            <w:pPr>
              <w:spacing w:line="360" w:lineRule="exact"/>
              <w:jc w:val="center"/>
              <w:rPr>
                <w:rFonts w:hint="eastAsia"/>
              </w:rPr>
            </w:pPr>
            <w:r>
              <w:rPr>
                <w:rFonts w:hint="eastAsia"/>
              </w:rPr>
              <w:t>..</w:t>
            </w:r>
          </w:p>
        </w:tc>
        <w:tc>
          <w:tcPr>
            <w:tcW w:w="1800" w:type="dxa"/>
          </w:tcPr>
          <w:p w:rsidR="00000000" w:rsidRDefault="00000000">
            <w:pPr>
              <w:spacing w:line="360" w:lineRule="exact"/>
              <w:jc w:val="center"/>
              <w:rPr>
                <w:rFonts w:hint="eastAsia"/>
              </w:rPr>
            </w:pPr>
            <w:r>
              <w:rPr>
                <w:rFonts w:hint="eastAsia"/>
              </w:rPr>
              <w:t>..</w:t>
            </w:r>
          </w:p>
        </w:tc>
      </w:tr>
    </w:tbl>
    <w:p w:rsidR="00000000" w:rsidRDefault="00000000">
      <w:pPr>
        <w:spacing w:after="240" w:line="360" w:lineRule="exact"/>
        <w:ind w:firstLine="425"/>
      </w:pPr>
      <w:r>
        <w:rPr>
          <w:rFonts w:hint="eastAsia"/>
        </w:rPr>
        <w:t>妇女收入占男子收主的百分比，不包括微额奖金的月收入。</w:t>
      </w:r>
    </w:p>
    <w:p w:rsidR="00000000" w:rsidRDefault="00000000">
      <w:pPr>
        <w:spacing w:after="240" w:line="360" w:lineRule="exact"/>
        <w:ind w:firstLine="425"/>
      </w:pPr>
      <w:r>
        <w:rPr>
          <w:rFonts w:hint="eastAsia"/>
        </w:rPr>
        <w:t>资料来源：</w:t>
      </w:r>
      <w:r>
        <w:t>1993</w:t>
      </w:r>
      <w:r>
        <w:rPr>
          <w:rFonts w:hint="eastAsia"/>
        </w:rPr>
        <w:t>年数字来自丹麦统计数据：统计服务：收入、消费和物价，</w:t>
      </w:r>
      <w:r>
        <w:rPr>
          <w:rFonts w:hint="eastAsia"/>
        </w:rPr>
        <w:t>1994:18+20</w:t>
      </w:r>
      <w:r>
        <w:rPr>
          <w:rFonts w:hint="eastAsia"/>
        </w:rPr>
        <w:t>。其他数据来自工资和收入，</w:t>
      </w:r>
      <w:r>
        <w:rPr>
          <w:rFonts w:hint="eastAsia"/>
        </w:rPr>
        <w:t>1996:3</w:t>
      </w:r>
      <w:r>
        <w:rPr>
          <w:rFonts w:hint="eastAsia"/>
        </w:rPr>
        <w:t>，</w:t>
      </w:r>
      <w:r>
        <w:rPr>
          <w:rFonts w:hint="eastAsia"/>
        </w:rPr>
        <w:t>1996:5</w:t>
      </w:r>
      <w:r>
        <w:rPr>
          <w:rFonts w:hint="eastAsia"/>
        </w:rPr>
        <w:t>，</w:t>
      </w:r>
      <w:r>
        <w:rPr>
          <w:rFonts w:hint="eastAsia"/>
        </w:rPr>
        <w:t>1997:3A</w:t>
      </w:r>
      <w:r>
        <w:rPr>
          <w:rFonts w:hint="eastAsia"/>
        </w:rPr>
        <w:t>，</w:t>
      </w:r>
      <w:r>
        <w:rPr>
          <w:rFonts w:hint="eastAsia"/>
        </w:rPr>
        <w:t>1998:1</w:t>
      </w:r>
      <w:r>
        <w:rPr>
          <w:rFonts w:hint="eastAsia"/>
        </w:rPr>
        <w:t>，</w:t>
      </w:r>
      <w:r>
        <w:rPr>
          <w:rFonts w:hint="eastAsia"/>
        </w:rPr>
        <w:t>1998:2</w:t>
      </w:r>
      <w:r>
        <w:rPr>
          <w:rFonts w:hint="eastAsia"/>
        </w:rPr>
        <w:t>和</w:t>
      </w:r>
      <w:r>
        <w:rPr>
          <w:rFonts w:hint="eastAsia"/>
        </w:rPr>
        <w:t>1999:2</w:t>
      </w:r>
      <w:r>
        <w:rPr>
          <w:rFonts w:hint="eastAsia"/>
        </w:rPr>
        <w:t>。来自丹麦统计数据的新闻，</w:t>
      </w:r>
      <w:r>
        <w:rPr>
          <w:rFonts w:hint="eastAsia"/>
        </w:rPr>
        <w:t>1998</w:t>
      </w:r>
      <w:r>
        <w:rPr>
          <w:rFonts w:hint="eastAsia"/>
        </w:rPr>
        <w:t>年，第</w:t>
      </w:r>
      <w:r>
        <w:rPr>
          <w:rFonts w:hint="eastAsia"/>
        </w:rPr>
        <w:t>295</w:t>
      </w:r>
      <w:r>
        <w:rPr>
          <w:rFonts w:hint="eastAsia"/>
        </w:rPr>
        <w:t>期，第</w:t>
      </w:r>
      <w:r>
        <w:rPr>
          <w:rFonts w:hint="eastAsia"/>
        </w:rPr>
        <w:t>424</w:t>
      </w:r>
      <w:r>
        <w:rPr>
          <w:rFonts w:hint="eastAsia"/>
        </w:rPr>
        <w:t>期，第</w:t>
      </w:r>
      <w:r>
        <w:rPr>
          <w:rFonts w:hint="eastAsia"/>
        </w:rPr>
        <w:t>470</w:t>
      </w:r>
      <w:r>
        <w:rPr>
          <w:rFonts w:hint="eastAsia"/>
        </w:rPr>
        <w:t>期。</w:t>
      </w:r>
    </w:p>
    <w:p w:rsidR="00000000" w:rsidRDefault="00000000">
      <w:pPr>
        <w:spacing w:after="240" w:line="360" w:lineRule="exact"/>
        <w:jc w:val="center"/>
        <w:rPr>
          <w:rFonts w:eastAsia="SimHei"/>
        </w:rPr>
      </w:pPr>
      <w:r>
        <w:rPr>
          <w:rFonts w:eastAsia="SimHei" w:hint="eastAsia"/>
        </w:rPr>
        <w:t>表</w:t>
      </w:r>
      <w:r>
        <w:rPr>
          <w:rFonts w:eastAsia="SimHei"/>
        </w:rPr>
        <w:t>8.  1994-1997</w:t>
      </w:r>
      <w:r>
        <w:rPr>
          <w:rFonts w:eastAsia="SimHei" w:hint="eastAsia"/>
        </w:rPr>
        <w:t>年休假妇女和男子平均人数</w:t>
      </w:r>
    </w:p>
    <w:tbl>
      <w:tblPr>
        <w:tblW w:w="0" w:type="auto"/>
        <w:tblBorders>
          <w:top w:val="single" w:sz="6" w:space="0" w:color="auto"/>
          <w:bottom w:val="single" w:sz="6" w:space="0" w:color="auto"/>
        </w:tblBorders>
        <w:tblLayout w:type="fixed"/>
        <w:tblCellMar>
          <w:left w:w="28" w:type="dxa"/>
          <w:right w:w="28" w:type="dxa"/>
        </w:tblCellMar>
        <w:tblLook w:val="0000" w:firstRow="0" w:lastRow="0" w:firstColumn="0" w:lastColumn="0" w:noHBand="0" w:noVBand="0"/>
      </w:tblPr>
      <w:tblGrid>
        <w:gridCol w:w="1588"/>
        <w:gridCol w:w="1560"/>
        <w:gridCol w:w="1200"/>
        <w:gridCol w:w="1200"/>
        <w:gridCol w:w="1320"/>
        <w:gridCol w:w="1080"/>
        <w:gridCol w:w="1440"/>
      </w:tblGrid>
      <w:tr w:rsidR="00000000">
        <w:tblPrEx>
          <w:tblCellMar>
            <w:top w:w="0" w:type="dxa"/>
            <w:bottom w:w="0" w:type="dxa"/>
          </w:tblCellMar>
        </w:tblPrEx>
        <w:tc>
          <w:tcPr>
            <w:tcW w:w="1588" w:type="dxa"/>
            <w:tcBorders>
              <w:bottom w:val="single" w:sz="4" w:space="0" w:color="auto"/>
            </w:tcBorders>
          </w:tcPr>
          <w:p w:rsidR="00000000" w:rsidRDefault="00000000">
            <w:pPr>
              <w:spacing w:line="360" w:lineRule="exact"/>
              <w:jc w:val="center"/>
              <w:rPr>
                <w:sz w:val="18"/>
              </w:rPr>
            </w:pPr>
            <w:r>
              <w:rPr>
                <w:rFonts w:hint="eastAsia"/>
                <w:sz w:val="18"/>
              </w:rPr>
              <w:t>年</w:t>
            </w:r>
          </w:p>
        </w:tc>
        <w:tc>
          <w:tcPr>
            <w:tcW w:w="1560" w:type="dxa"/>
            <w:tcBorders>
              <w:bottom w:val="single" w:sz="4" w:space="0" w:color="auto"/>
            </w:tcBorders>
          </w:tcPr>
          <w:p w:rsidR="00000000" w:rsidRDefault="00000000">
            <w:pPr>
              <w:spacing w:line="360" w:lineRule="exact"/>
              <w:jc w:val="center"/>
              <w:rPr>
                <w:sz w:val="18"/>
              </w:rPr>
            </w:pPr>
            <w:r>
              <w:rPr>
                <w:sz w:val="18"/>
              </w:rPr>
              <w:t>1994</w:t>
            </w:r>
          </w:p>
          <w:p w:rsidR="00000000" w:rsidRDefault="00000000">
            <w:pPr>
              <w:spacing w:line="360" w:lineRule="exact"/>
              <w:jc w:val="center"/>
              <w:rPr>
                <w:sz w:val="18"/>
              </w:rPr>
            </w:pPr>
            <w:r>
              <w:rPr>
                <w:rFonts w:hint="eastAsia"/>
                <w:sz w:val="18"/>
              </w:rPr>
              <w:t>妇女</w:t>
            </w:r>
          </w:p>
        </w:tc>
        <w:tc>
          <w:tcPr>
            <w:tcW w:w="1200" w:type="dxa"/>
            <w:tcBorders>
              <w:bottom w:val="single" w:sz="4" w:space="0" w:color="auto"/>
            </w:tcBorders>
          </w:tcPr>
          <w:p w:rsidR="00000000" w:rsidRDefault="00000000">
            <w:pPr>
              <w:spacing w:line="360" w:lineRule="exact"/>
              <w:jc w:val="center"/>
              <w:rPr>
                <w:sz w:val="18"/>
              </w:rPr>
            </w:pPr>
            <w:r>
              <w:rPr>
                <w:sz w:val="18"/>
              </w:rPr>
              <w:t>1994</w:t>
            </w:r>
          </w:p>
          <w:p w:rsidR="00000000" w:rsidRDefault="00000000">
            <w:pPr>
              <w:spacing w:line="360" w:lineRule="exact"/>
              <w:jc w:val="center"/>
              <w:rPr>
                <w:sz w:val="18"/>
              </w:rPr>
            </w:pPr>
            <w:r>
              <w:rPr>
                <w:rFonts w:hint="eastAsia"/>
                <w:sz w:val="18"/>
              </w:rPr>
              <w:t>男子</w:t>
            </w:r>
          </w:p>
        </w:tc>
        <w:tc>
          <w:tcPr>
            <w:tcW w:w="1200" w:type="dxa"/>
            <w:tcBorders>
              <w:bottom w:val="single" w:sz="4" w:space="0" w:color="auto"/>
            </w:tcBorders>
          </w:tcPr>
          <w:p w:rsidR="00000000" w:rsidRDefault="00000000">
            <w:pPr>
              <w:spacing w:line="360" w:lineRule="exact"/>
              <w:jc w:val="center"/>
              <w:rPr>
                <w:sz w:val="18"/>
              </w:rPr>
            </w:pPr>
            <w:r>
              <w:rPr>
                <w:sz w:val="18"/>
              </w:rPr>
              <w:t>1994</w:t>
            </w:r>
          </w:p>
          <w:p w:rsidR="00000000" w:rsidRDefault="00000000">
            <w:pPr>
              <w:spacing w:line="360" w:lineRule="exact"/>
              <w:jc w:val="center"/>
              <w:rPr>
                <w:sz w:val="18"/>
              </w:rPr>
            </w:pPr>
            <w:r>
              <w:rPr>
                <w:rFonts w:hint="eastAsia"/>
                <w:sz w:val="18"/>
              </w:rPr>
              <w:t>妇女</w:t>
            </w:r>
          </w:p>
          <w:p w:rsidR="00000000" w:rsidRDefault="00000000">
            <w:pPr>
              <w:spacing w:line="360" w:lineRule="exact"/>
              <w:jc w:val="center"/>
              <w:rPr>
                <w:sz w:val="18"/>
              </w:rPr>
            </w:pPr>
            <w:r>
              <w:rPr>
                <w:sz w:val="18"/>
              </w:rPr>
              <w:t>%</w:t>
            </w:r>
          </w:p>
        </w:tc>
        <w:tc>
          <w:tcPr>
            <w:tcW w:w="1320" w:type="dxa"/>
            <w:tcBorders>
              <w:bottom w:val="single" w:sz="4" w:space="0" w:color="auto"/>
            </w:tcBorders>
          </w:tcPr>
          <w:p w:rsidR="00000000" w:rsidRDefault="00000000">
            <w:pPr>
              <w:spacing w:line="360" w:lineRule="exact"/>
              <w:jc w:val="center"/>
              <w:rPr>
                <w:sz w:val="18"/>
              </w:rPr>
            </w:pPr>
            <w:r>
              <w:rPr>
                <w:sz w:val="18"/>
              </w:rPr>
              <w:t>1995</w:t>
            </w:r>
          </w:p>
          <w:p w:rsidR="00000000" w:rsidRDefault="00000000">
            <w:pPr>
              <w:spacing w:line="360" w:lineRule="exact"/>
              <w:jc w:val="center"/>
              <w:rPr>
                <w:sz w:val="18"/>
              </w:rPr>
            </w:pPr>
            <w:r>
              <w:rPr>
                <w:rFonts w:hint="eastAsia"/>
                <w:sz w:val="18"/>
              </w:rPr>
              <w:t>妇女</w:t>
            </w:r>
          </w:p>
          <w:p w:rsidR="00000000" w:rsidRDefault="00000000">
            <w:pPr>
              <w:spacing w:line="360" w:lineRule="exact"/>
              <w:jc w:val="center"/>
              <w:rPr>
                <w:sz w:val="18"/>
              </w:rPr>
            </w:pPr>
          </w:p>
        </w:tc>
        <w:tc>
          <w:tcPr>
            <w:tcW w:w="1080" w:type="dxa"/>
            <w:tcBorders>
              <w:bottom w:val="single" w:sz="4" w:space="0" w:color="auto"/>
            </w:tcBorders>
          </w:tcPr>
          <w:p w:rsidR="00000000" w:rsidRDefault="00000000">
            <w:pPr>
              <w:spacing w:line="360" w:lineRule="exact"/>
              <w:jc w:val="center"/>
              <w:rPr>
                <w:sz w:val="18"/>
              </w:rPr>
            </w:pPr>
            <w:r>
              <w:rPr>
                <w:sz w:val="18"/>
              </w:rPr>
              <w:t>1995</w:t>
            </w:r>
          </w:p>
          <w:p w:rsidR="00000000" w:rsidRDefault="00000000">
            <w:pPr>
              <w:spacing w:line="360" w:lineRule="exact"/>
              <w:jc w:val="center"/>
              <w:rPr>
                <w:sz w:val="18"/>
              </w:rPr>
            </w:pPr>
            <w:r>
              <w:rPr>
                <w:rFonts w:hint="eastAsia"/>
                <w:sz w:val="18"/>
              </w:rPr>
              <w:t>男子</w:t>
            </w:r>
          </w:p>
        </w:tc>
        <w:tc>
          <w:tcPr>
            <w:tcW w:w="1440" w:type="dxa"/>
            <w:tcBorders>
              <w:bottom w:val="single" w:sz="4" w:space="0" w:color="auto"/>
            </w:tcBorders>
          </w:tcPr>
          <w:p w:rsidR="00000000" w:rsidRDefault="00000000">
            <w:pPr>
              <w:spacing w:line="360" w:lineRule="exact"/>
              <w:jc w:val="center"/>
              <w:rPr>
                <w:sz w:val="18"/>
              </w:rPr>
            </w:pPr>
            <w:r>
              <w:rPr>
                <w:sz w:val="18"/>
              </w:rPr>
              <w:t>1995</w:t>
            </w:r>
          </w:p>
          <w:p w:rsidR="00000000" w:rsidRDefault="00000000">
            <w:pPr>
              <w:spacing w:line="360" w:lineRule="exact"/>
              <w:jc w:val="center"/>
              <w:rPr>
                <w:sz w:val="18"/>
              </w:rPr>
            </w:pPr>
            <w:r>
              <w:rPr>
                <w:rFonts w:hint="eastAsia"/>
                <w:sz w:val="18"/>
              </w:rPr>
              <w:t>妇女</w:t>
            </w:r>
          </w:p>
          <w:p w:rsidR="00000000" w:rsidRDefault="00000000">
            <w:pPr>
              <w:spacing w:line="360" w:lineRule="exact"/>
              <w:jc w:val="center"/>
              <w:rPr>
                <w:sz w:val="18"/>
              </w:rPr>
            </w:pPr>
            <w:r>
              <w:rPr>
                <w:sz w:val="18"/>
              </w:rPr>
              <w:t>%</w:t>
            </w:r>
          </w:p>
        </w:tc>
      </w:tr>
      <w:tr w:rsidR="00000000">
        <w:tblPrEx>
          <w:tblCellMar>
            <w:top w:w="0" w:type="dxa"/>
            <w:bottom w:w="0" w:type="dxa"/>
          </w:tblCellMar>
        </w:tblPrEx>
        <w:tc>
          <w:tcPr>
            <w:tcW w:w="1588" w:type="dxa"/>
            <w:tcBorders>
              <w:top w:val="single" w:sz="4" w:space="0" w:color="auto"/>
              <w:bottom w:val="nil"/>
            </w:tcBorders>
          </w:tcPr>
          <w:p w:rsidR="00000000" w:rsidRDefault="00000000">
            <w:pPr>
              <w:spacing w:line="360" w:lineRule="exact"/>
              <w:rPr>
                <w:sz w:val="18"/>
              </w:rPr>
            </w:pPr>
            <w:r>
              <w:rPr>
                <w:rFonts w:hint="eastAsia"/>
                <w:sz w:val="18"/>
              </w:rPr>
              <w:t>育儿假</w:t>
            </w:r>
          </w:p>
        </w:tc>
        <w:tc>
          <w:tcPr>
            <w:tcW w:w="1560" w:type="dxa"/>
            <w:tcBorders>
              <w:top w:val="single" w:sz="4" w:space="0" w:color="auto"/>
              <w:bottom w:val="nil"/>
            </w:tcBorders>
          </w:tcPr>
          <w:p w:rsidR="00000000" w:rsidRDefault="00000000">
            <w:pPr>
              <w:spacing w:line="360" w:lineRule="exact"/>
              <w:ind w:right="452"/>
              <w:jc w:val="right"/>
              <w:rPr>
                <w:sz w:val="18"/>
              </w:rPr>
            </w:pPr>
            <w:r>
              <w:rPr>
                <w:sz w:val="18"/>
              </w:rPr>
              <w:t>30 938</w:t>
            </w:r>
          </w:p>
        </w:tc>
        <w:tc>
          <w:tcPr>
            <w:tcW w:w="1200" w:type="dxa"/>
            <w:tcBorders>
              <w:top w:val="single" w:sz="4" w:space="0" w:color="auto"/>
              <w:bottom w:val="nil"/>
            </w:tcBorders>
          </w:tcPr>
          <w:p w:rsidR="00000000" w:rsidRDefault="00000000">
            <w:pPr>
              <w:spacing w:line="360" w:lineRule="exact"/>
              <w:ind w:right="452"/>
              <w:jc w:val="right"/>
              <w:rPr>
                <w:sz w:val="18"/>
              </w:rPr>
            </w:pPr>
            <w:r>
              <w:rPr>
                <w:sz w:val="18"/>
              </w:rPr>
              <w:t>2 668</w:t>
            </w:r>
          </w:p>
        </w:tc>
        <w:tc>
          <w:tcPr>
            <w:tcW w:w="1200" w:type="dxa"/>
            <w:tcBorders>
              <w:top w:val="single" w:sz="4" w:space="0" w:color="auto"/>
              <w:bottom w:val="nil"/>
            </w:tcBorders>
          </w:tcPr>
          <w:p w:rsidR="00000000" w:rsidRDefault="00000000">
            <w:pPr>
              <w:spacing w:line="360" w:lineRule="exact"/>
              <w:ind w:right="452"/>
              <w:jc w:val="right"/>
              <w:rPr>
                <w:sz w:val="18"/>
              </w:rPr>
            </w:pPr>
            <w:r>
              <w:rPr>
                <w:sz w:val="18"/>
              </w:rPr>
              <w:t>92.1</w:t>
            </w:r>
          </w:p>
        </w:tc>
        <w:tc>
          <w:tcPr>
            <w:tcW w:w="1320" w:type="dxa"/>
            <w:tcBorders>
              <w:top w:val="single" w:sz="4" w:space="0" w:color="auto"/>
              <w:bottom w:val="nil"/>
            </w:tcBorders>
          </w:tcPr>
          <w:p w:rsidR="00000000" w:rsidRDefault="00000000">
            <w:pPr>
              <w:spacing w:line="360" w:lineRule="exact"/>
              <w:ind w:right="452"/>
              <w:jc w:val="right"/>
              <w:rPr>
                <w:sz w:val="18"/>
              </w:rPr>
            </w:pPr>
            <w:r>
              <w:rPr>
                <w:sz w:val="18"/>
              </w:rPr>
              <w:t>38 520</w:t>
            </w:r>
          </w:p>
        </w:tc>
        <w:tc>
          <w:tcPr>
            <w:tcW w:w="1080" w:type="dxa"/>
            <w:tcBorders>
              <w:top w:val="single" w:sz="4" w:space="0" w:color="auto"/>
              <w:bottom w:val="nil"/>
            </w:tcBorders>
          </w:tcPr>
          <w:p w:rsidR="00000000" w:rsidRDefault="00000000">
            <w:pPr>
              <w:spacing w:line="360" w:lineRule="exact"/>
              <w:ind w:right="452"/>
              <w:jc w:val="right"/>
              <w:rPr>
                <w:sz w:val="18"/>
              </w:rPr>
            </w:pPr>
            <w:r>
              <w:rPr>
                <w:sz w:val="18"/>
              </w:rPr>
              <w:t>3 615</w:t>
            </w:r>
          </w:p>
        </w:tc>
        <w:tc>
          <w:tcPr>
            <w:tcW w:w="1440" w:type="dxa"/>
            <w:tcBorders>
              <w:top w:val="single" w:sz="4" w:space="0" w:color="auto"/>
              <w:bottom w:val="nil"/>
            </w:tcBorders>
          </w:tcPr>
          <w:p w:rsidR="00000000" w:rsidRDefault="00000000">
            <w:pPr>
              <w:spacing w:line="360" w:lineRule="exact"/>
              <w:ind w:right="452"/>
              <w:jc w:val="right"/>
              <w:rPr>
                <w:sz w:val="18"/>
              </w:rPr>
            </w:pPr>
            <w:r>
              <w:rPr>
                <w:sz w:val="18"/>
              </w:rPr>
              <w:t>91.4</w:t>
            </w:r>
          </w:p>
        </w:tc>
      </w:tr>
      <w:tr w:rsidR="00000000">
        <w:tblPrEx>
          <w:tblCellMar>
            <w:top w:w="0" w:type="dxa"/>
            <w:bottom w:w="0" w:type="dxa"/>
          </w:tblCellMar>
        </w:tblPrEx>
        <w:tc>
          <w:tcPr>
            <w:tcW w:w="1588" w:type="dxa"/>
            <w:tcBorders>
              <w:top w:val="nil"/>
            </w:tcBorders>
          </w:tcPr>
          <w:p w:rsidR="00000000" w:rsidRDefault="00000000">
            <w:pPr>
              <w:spacing w:line="360" w:lineRule="exact"/>
              <w:rPr>
                <w:sz w:val="18"/>
              </w:rPr>
            </w:pPr>
            <w:r>
              <w:rPr>
                <w:rFonts w:hint="eastAsia"/>
                <w:sz w:val="18"/>
              </w:rPr>
              <w:t>教育假</w:t>
            </w:r>
          </w:p>
        </w:tc>
        <w:tc>
          <w:tcPr>
            <w:tcW w:w="1560" w:type="dxa"/>
            <w:tcBorders>
              <w:top w:val="nil"/>
            </w:tcBorders>
          </w:tcPr>
          <w:p w:rsidR="00000000" w:rsidRDefault="00000000">
            <w:pPr>
              <w:spacing w:line="360" w:lineRule="exact"/>
              <w:ind w:right="452"/>
              <w:jc w:val="right"/>
              <w:rPr>
                <w:sz w:val="18"/>
              </w:rPr>
            </w:pPr>
            <w:r>
              <w:rPr>
                <w:sz w:val="18"/>
              </w:rPr>
              <w:t>8 482</w:t>
            </w:r>
          </w:p>
        </w:tc>
        <w:tc>
          <w:tcPr>
            <w:tcW w:w="1200" w:type="dxa"/>
            <w:tcBorders>
              <w:top w:val="nil"/>
            </w:tcBorders>
          </w:tcPr>
          <w:p w:rsidR="00000000" w:rsidRDefault="00000000">
            <w:pPr>
              <w:spacing w:line="360" w:lineRule="exact"/>
              <w:ind w:right="452"/>
              <w:jc w:val="right"/>
              <w:rPr>
                <w:sz w:val="18"/>
              </w:rPr>
            </w:pPr>
            <w:r>
              <w:rPr>
                <w:sz w:val="18"/>
              </w:rPr>
              <w:t>3 789</w:t>
            </w:r>
          </w:p>
        </w:tc>
        <w:tc>
          <w:tcPr>
            <w:tcW w:w="1200" w:type="dxa"/>
            <w:tcBorders>
              <w:top w:val="nil"/>
            </w:tcBorders>
          </w:tcPr>
          <w:p w:rsidR="00000000" w:rsidRDefault="00000000">
            <w:pPr>
              <w:spacing w:line="360" w:lineRule="exact"/>
              <w:ind w:right="452"/>
              <w:jc w:val="right"/>
              <w:rPr>
                <w:sz w:val="18"/>
              </w:rPr>
            </w:pPr>
            <w:r>
              <w:rPr>
                <w:sz w:val="18"/>
              </w:rPr>
              <w:t>69.1</w:t>
            </w:r>
          </w:p>
        </w:tc>
        <w:tc>
          <w:tcPr>
            <w:tcW w:w="1320" w:type="dxa"/>
            <w:tcBorders>
              <w:top w:val="nil"/>
            </w:tcBorders>
          </w:tcPr>
          <w:p w:rsidR="00000000" w:rsidRDefault="00000000">
            <w:pPr>
              <w:spacing w:line="360" w:lineRule="exact"/>
              <w:ind w:right="452"/>
              <w:jc w:val="right"/>
              <w:rPr>
                <w:sz w:val="18"/>
              </w:rPr>
            </w:pPr>
            <w:r>
              <w:rPr>
                <w:sz w:val="18"/>
              </w:rPr>
              <w:t>22 986</w:t>
            </w:r>
          </w:p>
        </w:tc>
        <w:tc>
          <w:tcPr>
            <w:tcW w:w="1080" w:type="dxa"/>
            <w:tcBorders>
              <w:top w:val="nil"/>
            </w:tcBorders>
          </w:tcPr>
          <w:p w:rsidR="00000000" w:rsidRDefault="00000000">
            <w:pPr>
              <w:spacing w:line="360" w:lineRule="exact"/>
              <w:ind w:right="452"/>
              <w:jc w:val="right"/>
              <w:rPr>
                <w:sz w:val="18"/>
              </w:rPr>
            </w:pPr>
            <w:r>
              <w:rPr>
                <w:sz w:val="18"/>
              </w:rPr>
              <w:t>9 516</w:t>
            </w:r>
          </w:p>
        </w:tc>
        <w:tc>
          <w:tcPr>
            <w:tcW w:w="1440" w:type="dxa"/>
            <w:tcBorders>
              <w:top w:val="nil"/>
            </w:tcBorders>
          </w:tcPr>
          <w:p w:rsidR="00000000" w:rsidRDefault="00000000">
            <w:pPr>
              <w:spacing w:line="360" w:lineRule="exact"/>
              <w:ind w:right="452"/>
              <w:jc w:val="right"/>
              <w:rPr>
                <w:sz w:val="18"/>
              </w:rPr>
            </w:pPr>
            <w:r>
              <w:rPr>
                <w:sz w:val="18"/>
              </w:rPr>
              <w:t>70.7</w:t>
            </w:r>
          </w:p>
        </w:tc>
      </w:tr>
      <w:tr w:rsidR="00000000">
        <w:tblPrEx>
          <w:tblCellMar>
            <w:top w:w="0" w:type="dxa"/>
            <w:bottom w:w="0" w:type="dxa"/>
          </w:tblCellMar>
        </w:tblPrEx>
        <w:tc>
          <w:tcPr>
            <w:tcW w:w="1588" w:type="dxa"/>
            <w:tcBorders>
              <w:bottom w:val="single" w:sz="4" w:space="0" w:color="auto"/>
            </w:tcBorders>
          </w:tcPr>
          <w:p w:rsidR="00000000" w:rsidRDefault="00000000">
            <w:pPr>
              <w:spacing w:line="360" w:lineRule="exact"/>
              <w:rPr>
                <w:sz w:val="18"/>
              </w:rPr>
            </w:pPr>
            <w:r>
              <w:rPr>
                <w:rFonts w:hint="eastAsia"/>
                <w:sz w:val="18"/>
              </w:rPr>
              <w:t>公休假</w:t>
            </w:r>
          </w:p>
        </w:tc>
        <w:tc>
          <w:tcPr>
            <w:tcW w:w="1560" w:type="dxa"/>
            <w:tcBorders>
              <w:bottom w:val="single" w:sz="4" w:space="0" w:color="auto"/>
            </w:tcBorders>
          </w:tcPr>
          <w:p w:rsidR="00000000" w:rsidRDefault="00000000">
            <w:pPr>
              <w:spacing w:line="360" w:lineRule="exact"/>
              <w:ind w:right="452"/>
              <w:jc w:val="right"/>
              <w:rPr>
                <w:sz w:val="18"/>
              </w:rPr>
            </w:pPr>
            <w:r>
              <w:rPr>
                <w:sz w:val="18"/>
              </w:rPr>
              <w:t>1 976</w:t>
            </w:r>
          </w:p>
        </w:tc>
        <w:tc>
          <w:tcPr>
            <w:tcW w:w="1200" w:type="dxa"/>
            <w:tcBorders>
              <w:bottom w:val="single" w:sz="4" w:space="0" w:color="auto"/>
            </w:tcBorders>
          </w:tcPr>
          <w:p w:rsidR="00000000" w:rsidRDefault="00000000">
            <w:pPr>
              <w:spacing w:line="360" w:lineRule="exact"/>
              <w:ind w:right="452"/>
              <w:jc w:val="right"/>
              <w:rPr>
                <w:sz w:val="18"/>
              </w:rPr>
            </w:pPr>
            <w:r>
              <w:rPr>
                <w:sz w:val="18"/>
              </w:rPr>
              <w:t>807</w:t>
            </w:r>
          </w:p>
        </w:tc>
        <w:tc>
          <w:tcPr>
            <w:tcW w:w="1200" w:type="dxa"/>
            <w:tcBorders>
              <w:bottom w:val="single" w:sz="4" w:space="0" w:color="auto"/>
            </w:tcBorders>
          </w:tcPr>
          <w:p w:rsidR="00000000" w:rsidRDefault="00000000">
            <w:pPr>
              <w:spacing w:line="360" w:lineRule="exact"/>
              <w:ind w:right="452"/>
              <w:jc w:val="right"/>
              <w:rPr>
                <w:sz w:val="18"/>
              </w:rPr>
            </w:pPr>
            <w:r>
              <w:rPr>
                <w:sz w:val="18"/>
              </w:rPr>
              <w:t>71.0</w:t>
            </w:r>
          </w:p>
        </w:tc>
        <w:tc>
          <w:tcPr>
            <w:tcW w:w="1320" w:type="dxa"/>
            <w:tcBorders>
              <w:bottom w:val="single" w:sz="4" w:space="0" w:color="auto"/>
            </w:tcBorders>
          </w:tcPr>
          <w:p w:rsidR="00000000" w:rsidRDefault="00000000">
            <w:pPr>
              <w:spacing w:line="360" w:lineRule="exact"/>
              <w:ind w:right="452"/>
              <w:jc w:val="right"/>
              <w:rPr>
                <w:sz w:val="18"/>
              </w:rPr>
            </w:pPr>
            <w:r>
              <w:rPr>
                <w:sz w:val="18"/>
              </w:rPr>
              <w:t>4 680</w:t>
            </w:r>
          </w:p>
        </w:tc>
        <w:tc>
          <w:tcPr>
            <w:tcW w:w="1080" w:type="dxa"/>
            <w:tcBorders>
              <w:bottom w:val="single" w:sz="4" w:space="0" w:color="auto"/>
            </w:tcBorders>
          </w:tcPr>
          <w:p w:rsidR="00000000" w:rsidRDefault="00000000">
            <w:pPr>
              <w:spacing w:line="360" w:lineRule="exact"/>
              <w:ind w:right="452"/>
              <w:jc w:val="right"/>
              <w:rPr>
                <w:sz w:val="18"/>
              </w:rPr>
            </w:pPr>
            <w:r>
              <w:rPr>
                <w:sz w:val="18"/>
              </w:rPr>
              <w:t>2 799</w:t>
            </w:r>
          </w:p>
        </w:tc>
        <w:tc>
          <w:tcPr>
            <w:tcW w:w="1440" w:type="dxa"/>
            <w:tcBorders>
              <w:bottom w:val="single" w:sz="4" w:space="0" w:color="auto"/>
            </w:tcBorders>
          </w:tcPr>
          <w:p w:rsidR="00000000" w:rsidRDefault="00000000">
            <w:pPr>
              <w:spacing w:line="360" w:lineRule="exact"/>
              <w:ind w:right="452"/>
              <w:jc w:val="right"/>
              <w:rPr>
                <w:sz w:val="18"/>
              </w:rPr>
            </w:pPr>
            <w:r>
              <w:rPr>
                <w:sz w:val="18"/>
              </w:rPr>
              <w:t>62.6</w:t>
            </w:r>
          </w:p>
        </w:tc>
      </w:tr>
      <w:tr w:rsidR="00000000">
        <w:tblPrEx>
          <w:tblCellMar>
            <w:top w:w="0" w:type="dxa"/>
            <w:bottom w:w="0" w:type="dxa"/>
          </w:tblCellMar>
        </w:tblPrEx>
        <w:tc>
          <w:tcPr>
            <w:tcW w:w="1588" w:type="dxa"/>
            <w:tcBorders>
              <w:top w:val="single" w:sz="4" w:space="0" w:color="auto"/>
              <w:bottom w:val="single" w:sz="4" w:space="0" w:color="auto"/>
            </w:tcBorders>
          </w:tcPr>
          <w:p w:rsidR="00000000" w:rsidRDefault="00000000">
            <w:pPr>
              <w:spacing w:line="360" w:lineRule="exact"/>
              <w:rPr>
                <w:sz w:val="18"/>
              </w:rPr>
            </w:pPr>
            <w:r>
              <w:rPr>
                <w:rFonts w:hint="eastAsia"/>
                <w:sz w:val="18"/>
              </w:rPr>
              <w:t>休假总计</w:t>
            </w:r>
          </w:p>
        </w:tc>
        <w:tc>
          <w:tcPr>
            <w:tcW w:w="1560" w:type="dxa"/>
            <w:tcBorders>
              <w:top w:val="single" w:sz="4" w:space="0" w:color="auto"/>
              <w:bottom w:val="single" w:sz="4" w:space="0" w:color="auto"/>
            </w:tcBorders>
          </w:tcPr>
          <w:p w:rsidR="00000000" w:rsidRDefault="00000000">
            <w:pPr>
              <w:spacing w:line="360" w:lineRule="exact"/>
              <w:ind w:right="452"/>
              <w:jc w:val="right"/>
              <w:rPr>
                <w:sz w:val="18"/>
              </w:rPr>
            </w:pPr>
            <w:r>
              <w:rPr>
                <w:sz w:val="18"/>
              </w:rPr>
              <w:t>41 396</w:t>
            </w:r>
          </w:p>
        </w:tc>
        <w:tc>
          <w:tcPr>
            <w:tcW w:w="1200" w:type="dxa"/>
            <w:tcBorders>
              <w:top w:val="single" w:sz="4" w:space="0" w:color="auto"/>
              <w:bottom w:val="single" w:sz="4" w:space="0" w:color="auto"/>
            </w:tcBorders>
          </w:tcPr>
          <w:p w:rsidR="00000000" w:rsidRDefault="00000000">
            <w:pPr>
              <w:spacing w:line="360" w:lineRule="exact"/>
              <w:ind w:right="452"/>
              <w:jc w:val="right"/>
              <w:rPr>
                <w:sz w:val="18"/>
              </w:rPr>
            </w:pPr>
            <w:r>
              <w:rPr>
                <w:sz w:val="18"/>
              </w:rPr>
              <w:t>7 264</w:t>
            </w:r>
          </w:p>
        </w:tc>
        <w:tc>
          <w:tcPr>
            <w:tcW w:w="1200" w:type="dxa"/>
            <w:tcBorders>
              <w:top w:val="single" w:sz="4" w:space="0" w:color="auto"/>
              <w:bottom w:val="single" w:sz="4" w:space="0" w:color="auto"/>
            </w:tcBorders>
          </w:tcPr>
          <w:p w:rsidR="00000000" w:rsidRDefault="00000000">
            <w:pPr>
              <w:spacing w:line="360" w:lineRule="exact"/>
              <w:ind w:right="452"/>
              <w:jc w:val="right"/>
              <w:rPr>
                <w:sz w:val="18"/>
              </w:rPr>
            </w:pPr>
            <w:r>
              <w:rPr>
                <w:sz w:val="18"/>
              </w:rPr>
              <w:t>85.1</w:t>
            </w:r>
          </w:p>
        </w:tc>
        <w:tc>
          <w:tcPr>
            <w:tcW w:w="1320" w:type="dxa"/>
            <w:tcBorders>
              <w:top w:val="single" w:sz="4" w:space="0" w:color="auto"/>
              <w:bottom w:val="single" w:sz="4" w:space="0" w:color="auto"/>
            </w:tcBorders>
          </w:tcPr>
          <w:p w:rsidR="00000000" w:rsidRDefault="00000000">
            <w:pPr>
              <w:spacing w:line="360" w:lineRule="exact"/>
              <w:ind w:right="452"/>
              <w:jc w:val="right"/>
              <w:rPr>
                <w:sz w:val="18"/>
              </w:rPr>
            </w:pPr>
            <w:r>
              <w:rPr>
                <w:sz w:val="18"/>
              </w:rPr>
              <w:t>66 187</w:t>
            </w:r>
          </w:p>
        </w:tc>
        <w:tc>
          <w:tcPr>
            <w:tcW w:w="1080" w:type="dxa"/>
            <w:tcBorders>
              <w:top w:val="single" w:sz="4" w:space="0" w:color="auto"/>
              <w:bottom w:val="single" w:sz="4" w:space="0" w:color="auto"/>
            </w:tcBorders>
          </w:tcPr>
          <w:p w:rsidR="00000000" w:rsidRDefault="00000000">
            <w:pPr>
              <w:spacing w:line="360" w:lineRule="exact"/>
              <w:ind w:right="452"/>
              <w:jc w:val="right"/>
              <w:rPr>
                <w:sz w:val="18"/>
              </w:rPr>
            </w:pPr>
            <w:r>
              <w:rPr>
                <w:sz w:val="18"/>
              </w:rPr>
              <w:t>15 930</w:t>
            </w:r>
          </w:p>
        </w:tc>
        <w:tc>
          <w:tcPr>
            <w:tcW w:w="1440" w:type="dxa"/>
            <w:tcBorders>
              <w:top w:val="single" w:sz="4" w:space="0" w:color="auto"/>
              <w:bottom w:val="single" w:sz="4" w:space="0" w:color="auto"/>
            </w:tcBorders>
          </w:tcPr>
          <w:p w:rsidR="00000000" w:rsidRDefault="00000000">
            <w:pPr>
              <w:spacing w:line="360" w:lineRule="exact"/>
              <w:ind w:right="452"/>
              <w:jc w:val="right"/>
              <w:rPr>
                <w:sz w:val="18"/>
              </w:rPr>
            </w:pPr>
            <w:r>
              <w:rPr>
                <w:sz w:val="18"/>
              </w:rPr>
              <w:t>80.6</w:t>
            </w:r>
          </w:p>
        </w:tc>
      </w:tr>
      <w:tr w:rsidR="00000000">
        <w:tblPrEx>
          <w:tblCellMar>
            <w:top w:w="0" w:type="dxa"/>
            <w:bottom w:w="0" w:type="dxa"/>
          </w:tblCellMar>
        </w:tblPrEx>
        <w:tc>
          <w:tcPr>
            <w:tcW w:w="1588" w:type="dxa"/>
            <w:tcBorders>
              <w:top w:val="single" w:sz="4" w:space="0" w:color="auto"/>
              <w:bottom w:val="single" w:sz="4" w:space="0" w:color="auto"/>
            </w:tcBorders>
          </w:tcPr>
          <w:p w:rsidR="00000000" w:rsidRDefault="00000000">
            <w:pPr>
              <w:spacing w:line="360" w:lineRule="exact"/>
              <w:jc w:val="center"/>
              <w:rPr>
                <w:sz w:val="18"/>
              </w:rPr>
            </w:pPr>
            <w:r>
              <w:rPr>
                <w:rFonts w:hint="eastAsia"/>
                <w:sz w:val="18"/>
              </w:rPr>
              <w:t>年</w:t>
            </w:r>
          </w:p>
        </w:tc>
        <w:tc>
          <w:tcPr>
            <w:tcW w:w="1560" w:type="dxa"/>
            <w:tcBorders>
              <w:top w:val="single" w:sz="4" w:space="0" w:color="auto"/>
              <w:bottom w:val="single" w:sz="4" w:space="0" w:color="auto"/>
            </w:tcBorders>
          </w:tcPr>
          <w:p w:rsidR="00000000" w:rsidRDefault="00000000">
            <w:pPr>
              <w:spacing w:line="360" w:lineRule="exact"/>
              <w:jc w:val="center"/>
              <w:rPr>
                <w:sz w:val="18"/>
              </w:rPr>
            </w:pPr>
            <w:r>
              <w:rPr>
                <w:sz w:val="18"/>
              </w:rPr>
              <w:t>1996</w:t>
            </w:r>
          </w:p>
          <w:p w:rsidR="00000000" w:rsidRDefault="00000000">
            <w:pPr>
              <w:spacing w:line="360" w:lineRule="exact"/>
              <w:jc w:val="center"/>
              <w:rPr>
                <w:sz w:val="18"/>
              </w:rPr>
            </w:pPr>
            <w:r>
              <w:rPr>
                <w:rFonts w:hint="eastAsia"/>
                <w:sz w:val="18"/>
              </w:rPr>
              <w:t>妇女</w:t>
            </w:r>
          </w:p>
        </w:tc>
        <w:tc>
          <w:tcPr>
            <w:tcW w:w="1200" w:type="dxa"/>
            <w:tcBorders>
              <w:top w:val="single" w:sz="4" w:space="0" w:color="auto"/>
              <w:bottom w:val="single" w:sz="4" w:space="0" w:color="auto"/>
            </w:tcBorders>
          </w:tcPr>
          <w:p w:rsidR="00000000" w:rsidRDefault="00000000">
            <w:pPr>
              <w:spacing w:line="360" w:lineRule="exact"/>
              <w:jc w:val="center"/>
              <w:rPr>
                <w:sz w:val="18"/>
              </w:rPr>
            </w:pPr>
            <w:r>
              <w:rPr>
                <w:sz w:val="18"/>
              </w:rPr>
              <w:t>1996</w:t>
            </w:r>
          </w:p>
          <w:p w:rsidR="00000000" w:rsidRDefault="00000000">
            <w:pPr>
              <w:spacing w:line="360" w:lineRule="exact"/>
              <w:jc w:val="center"/>
              <w:rPr>
                <w:sz w:val="18"/>
              </w:rPr>
            </w:pPr>
            <w:r>
              <w:rPr>
                <w:rFonts w:hint="eastAsia"/>
                <w:sz w:val="18"/>
              </w:rPr>
              <w:t>男子</w:t>
            </w:r>
          </w:p>
        </w:tc>
        <w:tc>
          <w:tcPr>
            <w:tcW w:w="1200" w:type="dxa"/>
            <w:tcBorders>
              <w:top w:val="single" w:sz="4" w:space="0" w:color="auto"/>
              <w:bottom w:val="single" w:sz="4" w:space="0" w:color="auto"/>
            </w:tcBorders>
          </w:tcPr>
          <w:p w:rsidR="00000000" w:rsidRDefault="00000000">
            <w:pPr>
              <w:spacing w:line="360" w:lineRule="exact"/>
              <w:jc w:val="center"/>
              <w:rPr>
                <w:sz w:val="18"/>
              </w:rPr>
            </w:pPr>
            <w:r>
              <w:rPr>
                <w:sz w:val="18"/>
              </w:rPr>
              <w:t>1996</w:t>
            </w:r>
          </w:p>
          <w:p w:rsidR="00000000" w:rsidRDefault="00000000">
            <w:pPr>
              <w:spacing w:line="360" w:lineRule="exact"/>
              <w:jc w:val="center"/>
              <w:rPr>
                <w:sz w:val="18"/>
              </w:rPr>
            </w:pPr>
            <w:r>
              <w:rPr>
                <w:rFonts w:hint="eastAsia"/>
                <w:sz w:val="18"/>
              </w:rPr>
              <w:t>妇女</w:t>
            </w:r>
          </w:p>
          <w:p w:rsidR="00000000" w:rsidRDefault="00000000">
            <w:pPr>
              <w:spacing w:line="360" w:lineRule="exact"/>
              <w:jc w:val="center"/>
              <w:rPr>
                <w:sz w:val="18"/>
              </w:rPr>
            </w:pPr>
            <w:r>
              <w:rPr>
                <w:sz w:val="18"/>
              </w:rPr>
              <w:t>%</w:t>
            </w:r>
          </w:p>
        </w:tc>
        <w:tc>
          <w:tcPr>
            <w:tcW w:w="1320" w:type="dxa"/>
            <w:tcBorders>
              <w:top w:val="single" w:sz="4" w:space="0" w:color="auto"/>
              <w:bottom w:val="single" w:sz="4" w:space="0" w:color="auto"/>
            </w:tcBorders>
          </w:tcPr>
          <w:p w:rsidR="00000000" w:rsidRDefault="00000000">
            <w:pPr>
              <w:spacing w:line="360" w:lineRule="exact"/>
              <w:jc w:val="center"/>
              <w:rPr>
                <w:sz w:val="18"/>
              </w:rPr>
            </w:pPr>
            <w:r>
              <w:rPr>
                <w:sz w:val="18"/>
              </w:rPr>
              <w:t>1997</w:t>
            </w:r>
          </w:p>
          <w:p w:rsidR="00000000" w:rsidRDefault="00000000">
            <w:pPr>
              <w:spacing w:line="360" w:lineRule="exact"/>
              <w:jc w:val="center"/>
              <w:rPr>
                <w:sz w:val="18"/>
              </w:rPr>
            </w:pPr>
            <w:r>
              <w:rPr>
                <w:rFonts w:hint="eastAsia"/>
                <w:sz w:val="18"/>
              </w:rPr>
              <w:t>妇女</w:t>
            </w:r>
          </w:p>
        </w:tc>
        <w:tc>
          <w:tcPr>
            <w:tcW w:w="1080" w:type="dxa"/>
            <w:tcBorders>
              <w:top w:val="single" w:sz="4" w:space="0" w:color="auto"/>
              <w:bottom w:val="single" w:sz="4" w:space="0" w:color="auto"/>
            </w:tcBorders>
          </w:tcPr>
          <w:p w:rsidR="00000000" w:rsidRDefault="00000000">
            <w:pPr>
              <w:spacing w:line="360" w:lineRule="exact"/>
              <w:jc w:val="center"/>
              <w:rPr>
                <w:sz w:val="18"/>
              </w:rPr>
            </w:pPr>
            <w:r>
              <w:rPr>
                <w:sz w:val="18"/>
              </w:rPr>
              <w:t>1997</w:t>
            </w:r>
          </w:p>
          <w:p w:rsidR="00000000" w:rsidRDefault="00000000">
            <w:pPr>
              <w:spacing w:line="360" w:lineRule="exact"/>
              <w:jc w:val="center"/>
              <w:rPr>
                <w:sz w:val="18"/>
              </w:rPr>
            </w:pPr>
            <w:r>
              <w:rPr>
                <w:rFonts w:hint="eastAsia"/>
                <w:sz w:val="18"/>
              </w:rPr>
              <w:t>男子</w:t>
            </w:r>
          </w:p>
        </w:tc>
        <w:tc>
          <w:tcPr>
            <w:tcW w:w="1440" w:type="dxa"/>
            <w:tcBorders>
              <w:top w:val="single" w:sz="4" w:space="0" w:color="auto"/>
              <w:bottom w:val="single" w:sz="4" w:space="0" w:color="auto"/>
            </w:tcBorders>
          </w:tcPr>
          <w:p w:rsidR="00000000" w:rsidRDefault="00000000">
            <w:pPr>
              <w:spacing w:line="360" w:lineRule="exact"/>
              <w:jc w:val="center"/>
              <w:rPr>
                <w:sz w:val="18"/>
              </w:rPr>
            </w:pPr>
            <w:r>
              <w:rPr>
                <w:sz w:val="18"/>
              </w:rPr>
              <w:t>1997</w:t>
            </w:r>
          </w:p>
          <w:p w:rsidR="00000000" w:rsidRDefault="00000000">
            <w:pPr>
              <w:spacing w:line="360" w:lineRule="exact"/>
              <w:jc w:val="center"/>
              <w:rPr>
                <w:sz w:val="18"/>
              </w:rPr>
            </w:pPr>
            <w:r>
              <w:rPr>
                <w:rFonts w:hint="eastAsia"/>
                <w:sz w:val="18"/>
              </w:rPr>
              <w:t>妇女</w:t>
            </w:r>
          </w:p>
          <w:p w:rsidR="00000000" w:rsidRDefault="00000000">
            <w:pPr>
              <w:spacing w:line="360" w:lineRule="exact"/>
              <w:jc w:val="center"/>
              <w:rPr>
                <w:sz w:val="18"/>
              </w:rPr>
            </w:pPr>
            <w:r>
              <w:rPr>
                <w:sz w:val="18"/>
              </w:rPr>
              <w:t>%</w:t>
            </w:r>
          </w:p>
        </w:tc>
      </w:tr>
      <w:tr w:rsidR="00000000">
        <w:tblPrEx>
          <w:tblCellMar>
            <w:top w:w="0" w:type="dxa"/>
            <w:bottom w:w="0" w:type="dxa"/>
          </w:tblCellMar>
        </w:tblPrEx>
        <w:tc>
          <w:tcPr>
            <w:tcW w:w="1588" w:type="dxa"/>
            <w:tcBorders>
              <w:top w:val="single" w:sz="4" w:space="0" w:color="auto"/>
            </w:tcBorders>
          </w:tcPr>
          <w:p w:rsidR="00000000" w:rsidRDefault="00000000">
            <w:pPr>
              <w:spacing w:line="360" w:lineRule="exact"/>
              <w:rPr>
                <w:sz w:val="18"/>
              </w:rPr>
            </w:pPr>
            <w:r>
              <w:rPr>
                <w:rFonts w:hint="eastAsia"/>
                <w:sz w:val="18"/>
              </w:rPr>
              <w:t>育儿假</w:t>
            </w:r>
          </w:p>
        </w:tc>
        <w:tc>
          <w:tcPr>
            <w:tcW w:w="1560" w:type="dxa"/>
            <w:tcBorders>
              <w:top w:val="single" w:sz="4" w:space="0" w:color="auto"/>
            </w:tcBorders>
          </w:tcPr>
          <w:p w:rsidR="00000000" w:rsidRDefault="00000000">
            <w:pPr>
              <w:spacing w:line="360" w:lineRule="exact"/>
              <w:ind w:right="452"/>
              <w:jc w:val="right"/>
              <w:rPr>
                <w:sz w:val="18"/>
              </w:rPr>
            </w:pPr>
            <w:r>
              <w:rPr>
                <w:sz w:val="18"/>
              </w:rPr>
              <w:t>28 326</w:t>
            </w:r>
          </w:p>
        </w:tc>
        <w:tc>
          <w:tcPr>
            <w:tcW w:w="1200" w:type="dxa"/>
            <w:tcBorders>
              <w:top w:val="single" w:sz="4" w:space="0" w:color="auto"/>
            </w:tcBorders>
          </w:tcPr>
          <w:p w:rsidR="00000000" w:rsidRDefault="00000000">
            <w:pPr>
              <w:spacing w:line="360" w:lineRule="exact"/>
              <w:ind w:right="452"/>
              <w:jc w:val="right"/>
              <w:rPr>
                <w:sz w:val="18"/>
              </w:rPr>
            </w:pPr>
            <w:r>
              <w:rPr>
                <w:sz w:val="18"/>
              </w:rPr>
              <w:t>2 253</w:t>
            </w:r>
          </w:p>
        </w:tc>
        <w:tc>
          <w:tcPr>
            <w:tcW w:w="1200" w:type="dxa"/>
            <w:tcBorders>
              <w:top w:val="single" w:sz="4" w:space="0" w:color="auto"/>
            </w:tcBorders>
          </w:tcPr>
          <w:p w:rsidR="00000000" w:rsidRDefault="00000000">
            <w:pPr>
              <w:spacing w:line="360" w:lineRule="exact"/>
              <w:ind w:right="452"/>
              <w:jc w:val="right"/>
              <w:rPr>
                <w:sz w:val="18"/>
              </w:rPr>
            </w:pPr>
            <w:r>
              <w:rPr>
                <w:sz w:val="18"/>
              </w:rPr>
              <w:t>92.6</w:t>
            </w:r>
          </w:p>
        </w:tc>
        <w:tc>
          <w:tcPr>
            <w:tcW w:w="1320" w:type="dxa"/>
            <w:tcBorders>
              <w:top w:val="single" w:sz="4" w:space="0" w:color="auto"/>
            </w:tcBorders>
          </w:tcPr>
          <w:p w:rsidR="00000000" w:rsidRDefault="00000000">
            <w:pPr>
              <w:spacing w:line="360" w:lineRule="exact"/>
              <w:ind w:right="452"/>
              <w:jc w:val="right"/>
              <w:rPr>
                <w:sz w:val="18"/>
              </w:rPr>
            </w:pPr>
            <w:r>
              <w:rPr>
                <w:sz w:val="18"/>
              </w:rPr>
              <w:t>20 635</w:t>
            </w:r>
          </w:p>
        </w:tc>
        <w:tc>
          <w:tcPr>
            <w:tcW w:w="1080" w:type="dxa"/>
            <w:tcBorders>
              <w:top w:val="single" w:sz="4" w:space="0" w:color="auto"/>
            </w:tcBorders>
          </w:tcPr>
          <w:p w:rsidR="00000000" w:rsidRDefault="00000000">
            <w:pPr>
              <w:spacing w:line="360" w:lineRule="exact"/>
              <w:ind w:right="452"/>
              <w:jc w:val="right"/>
              <w:rPr>
                <w:sz w:val="18"/>
              </w:rPr>
            </w:pPr>
            <w:r>
              <w:rPr>
                <w:sz w:val="18"/>
              </w:rPr>
              <w:t>1 593</w:t>
            </w:r>
          </w:p>
        </w:tc>
        <w:tc>
          <w:tcPr>
            <w:tcW w:w="1440" w:type="dxa"/>
            <w:tcBorders>
              <w:top w:val="single" w:sz="4" w:space="0" w:color="auto"/>
            </w:tcBorders>
          </w:tcPr>
          <w:p w:rsidR="00000000" w:rsidRDefault="00000000">
            <w:pPr>
              <w:spacing w:line="360" w:lineRule="exact"/>
              <w:ind w:right="452"/>
              <w:jc w:val="right"/>
              <w:rPr>
                <w:sz w:val="18"/>
              </w:rPr>
            </w:pPr>
            <w:r>
              <w:rPr>
                <w:sz w:val="18"/>
              </w:rPr>
              <w:t>92.8</w:t>
            </w:r>
          </w:p>
        </w:tc>
      </w:tr>
      <w:tr w:rsidR="00000000">
        <w:tblPrEx>
          <w:tblCellMar>
            <w:top w:w="0" w:type="dxa"/>
            <w:bottom w:w="0" w:type="dxa"/>
          </w:tblCellMar>
        </w:tblPrEx>
        <w:tc>
          <w:tcPr>
            <w:tcW w:w="1588" w:type="dxa"/>
          </w:tcPr>
          <w:p w:rsidR="00000000" w:rsidRDefault="00000000">
            <w:pPr>
              <w:spacing w:line="360" w:lineRule="exact"/>
              <w:rPr>
                <w:sz w:val="18"/>
              </w:rPr>
            </w:pPr>
            <w:r>
              <w:rPr>
                <w:rFonts w:hint="eastAsia"/>
                <w:sz w:val="18"/>
              </w:rPr>
              <w:t>教育假</w:t>
            </w:r>
          </w:p>
        </w:tc>
        <w:tc>
          <w:tcPr>
            <w:tcW w:w="1560" w:type="dxa"/>
          </w:tcPr>
          <w:p w:rsidR="00000000" w:rsidRDefault="00000000">
            <w:pPr>
              <w:spacing w:line="360" w:lineRule="exact"/>
              <w:ind w:right="452"/>
              <w:jc w:val="right"/>
              <w:rPr>
                <w:sz w:val="18"/>
              </w:rPr>
            </w:pPr>
            <w:r>
              <w:rPr>
                <w:sz w:val="18"/>
              </w:rPr>
              <w:t>22 672</w:t>
            </w:r>
          </w:p>
        </w:tc>
        <w:tc>
          <w:tcPr>
            <w:tcW w:w="1200" w:type="dxa"/>
          </w:tcPr>
          <w:p w:rsidR="00000000" w:rsidRDefault="00000000">
            <w:pPr>
              <w:spacing w:line="360" w:lineRule="exact"/>
              <w:ind w:right="452"/>
              <w:jc w:val="right"/>
              <w:rPr>
                <w:sz w:val="18"/>
              </w:rPr>
            </w:pPr>
            <w:r>
              <w:rPr>
                <w:sz w:val="18"/>
              </w:rPr>
              <w:t>8 740</w:t>
            </w:r>
          </w:p>
        </w:tc>
        <w:tc>
          <w:tcPr>
            <w:tcW w:w="1200" w:type="dxa"/>
          </w:tcPr>
          <w:p w:rsidR="00000000" w:rsidRDefault="00000000">
            <w:pPr>
              <w:spacing w:line="360" w:lineRule="exact"/>
              <w:ind w:right="452"/>
              <w:jc w:val="right"/>
              <w:rPr>
                <w:sz w:val="18"/>
              </w:rPr>
            </w:pPr>
            <w:r>
              <w:rPr>
                <w:sz w:val="18"/>
              </w:rPr>
              <w:t>72.2</w:t>
            </w:r>
          </w:p>
        </w:tc>
        <w:tc>
          <w:tcPr>
            <w:tcW w:w="1320" w:type="dxa"/>
          </w:tcPr>
          <w:p w:rsidR="00000000" w:rsidRDefault="00000000">
            <w:pPr>
              <w:spacing w:line="360" w:lineRule="exact"/>
              <w:ind w:right="452"/>
              <w:jc w:val="right"/>
              <w:rPr>
                <w:sz w:val="18"/>
              </w:rPr>
            </w:pPr>
            <w:r>
              <w:rPr>
                <w:sz w:val="18"/>
              </w:rPr>
              <w:t>17 872</w:t>
            </w:r>
          </w:p>
        </w:tc>
        <w:tc>
          <w:tcPr>
            <w:tcW w:w="1080" w:type="dxa"/>
          </w:tcPr>
          <w:p w:rsidR="00000000" w:rsidRDefault="00000000">
            <w:pPr>
              <w:spacing w:line="360" w:lineRule="exact"/>
              <w:ind w:right="452"/>
              <w:jc w:val="right"/>
              <w:rPr>
                <w:sz w:val="18"/>
              </w:rPr>
            </w:pPr>
            <w:r>
              <w:rPr>
                <w:sz w:val="18"/>
              </w:rPr>
              <w:t>6 010</w:t>
            </w:r>
          </w:p>
        </w:tc>
        <w:tc>
          <w:tcPr>
            <w:tcW w:w="1440" w:type="dxa"/>
          </w:tcPr>
          <w:p w:rsidR="00000000" w:rsidRDefault="00000000">
            <w:pPr>
              <w:spacing w:line="360" w:lineRule="exact"/>
              <w:ind w:right="452"/>
              <w:jc w:val="right"/>
              <w:rPr>
                <w:sz w:val="18"/>
              </w:rPr>
            </w:pPr>
            <w:r>
              <w:rPr>
                <w:sz w:val="18"/>
              </w:rPr>
              <w:t>74.8</w:t>
            </w:r>
          </w:p>
        </w:tc>
      </w:tr>
      <w:tr w:rsidR="00000000">
        <w:tblPrEx>
          <w:tblCellMar>
            <w:top w:w="0" w:type="dxa"/>
            <w:bottom w:w="0" w:type="dxa"/>
          </w:tblCellMar>
        </w:tblPrEx>
        <w:tc>
          <w:tcPr>
            <w:tcW w:w="1588" w:type="dxa"/>
            <w:tcBorders>
              <w:bottom w:val="single" w:sz="4" w:space="0" w:color="auto"/>
            </w:tcBorders>
          </w:tcPr>
          <w:p w:rsidR="00000000" w:rsidRDefault="00000000">
            <w:pPr>
              <w:spacing w:line="360" w:lineRule="exact"/>
              <w:rPr>
                <w:sz w:val="18"/>
              </w:rPr>
            </w:pPr>
            <w:r>
              <w:rPr>
                <w:rFonts w:hint="eastAsia"/>
                <w:sz w:val="18"/>
              </w:rPr>
              <w:t>公休假</w:t>
            </w:r>
          </w:p>
        </w:tc>
        <w:tc>
          <w:tcPr>
            <w:tcW w:w="1560" w:type="dxa"/>
            <w:tcBorders>
              <w:bottom w:val="single" w:sz="4" w:space="0" w:color="auto"/>
            </w:tcBorders>
          </w:tcPr>
          <w:p w:rsidR="00000000" w:rsidRDefault="00000000">
            <w:pPr>
              <w:spacing w:line="360" w:lineRule="exact"/>
              <w:ind w:right="452"/>
              <w:jc w:val="right"/>
              <w:rPr>
                <w:sz w:val="18"/>
              </w:rPr>
            </w:pPr>
            <w:r>
              <w:rPr>
                <w:sz w:val="18"/>
              </w:rPr>
              <w:t>684</w:t>
            </w:r>
          </w:p>
        </w:tc>
        <w:tc>
          <w:tcPr>
            <w:tcW w:w="1200" w:type="dxa"/>
            <w:tcBorders>
              <w:bottom w:val="single" w:sz="4" w:space="0" w:color="auto"/>
            </w:tcBorders>
          </w:tcPr>
          <w:p w:rsidR="00000000" w:rsidRDefault="00000000">
            <w:pPr>
              <w:spacing w:line="360" w:lineRule="exact"/>
              <w:ind w:right="452"/>
              <w:jc w:val="right"/>
              <w:rPr>
                <w:sz w:val="18"/>
              </w:rPr>
            </w:pPr>
            <w:r>
              <w:rPr>
                <w:sz w:val="18"/>
              </w:rPr>
              <w:t>314</w:t>
            </w:r>
          </w:p>
        </w:tc>
        <w:tc>
          <w:tcPr>
            <w:tcW w:w="1200" w:type="dxa"/>
            <w:tcBorders>
              <w:bottom w:val="single" w:sz="4" w:space="0" w:color="auto"/>
            </w:tcBorders>
          </w:tcPr>
          <w:p w:rsidR="00000000" w:rsidRDefault="00000000">
            <w:pPr>
              <w:spacing w:line="360" w:lineRule="exact"/>
              <w:ind w:right="452"/>
              <w:jc w:val="right"/>
              <w:rPr>
                <w:sz w:val="18"/>
              </w:rPr>
            </w:pPr>
            <w:r>
              <w:rPr>
                <w:sz w:val="18"/>
              </w:rPr>
              <w:t>68.5</w:t>
            </w:r>
          </w:p>
        </w:tc>
        <w:tc>
          <w:tcPr>
            <w:tcW w:w="1320" w:type="dxa"/>
            <w:tcBorders>
              <w:bottom w:val="single" w:sz="4" w:space="0" w:color="auto"/>
            </w:tcBorders>
          </w:tcPr>
          <w:p w:rsidR="00000000" w:rsidRDefault="00000000">
            <w:pPr>
              <w:spacing w:line="360" w:lineRule="exact"/>
              <w:ind w:right="452"/>
              <w:jc w:val="right"/>
              <w:rPr>
                <w:sz w:val="18"/>
              </w:rPr>
            </w:pPr>
            <w:r>
              <w:rPr>
                <w:sz w:val="18"/>
              </w:rPr>
              <w:t>395</w:t>
            </w:r>
          </w:p>
        </w:tc>
        <w:tc>
          <w:tcPr>
            <w:tcW w:w="1080" w:type="dxa"/>
            <w:tcBorders>
              <w:bottom w:val="single" w:sz="4" w:space="0" w:color="auto"/>
            </w:tcBorders>
          </w:tcPr>
          <w:p w:rsidR="00000000" w:rsidRDefault="00000000">
            <w:pPr>
              <w:spacing w:line="360" w:lineRule="exact"/>
              <w:ind w:right="452"/>
              <w:jc w:val="right"/>
              <w:rPr>
                <w:sz w:val="18"/>
              </w:rPr>
            </w:pPr>
            <w:r>
              <w:rPr>
                <w:sz w:val="18"/>
              </w:rPr>
              <w:t>204</w:t>
            </w:r>
          </w:p>
        </w:tc>
        <w:tc>
          <w:tcPr>
            <w:tcW w:w="1440" w:type="dxa"/>
            <w:tcBorders>
              <w:bottom w:val="single" w:sz="4" w:space="0" w:color="auto"/>
            </w:tcBorders>
          </w:tcPr>
          <w:p w:rsidR="00000000" w:rsidRDefault="00000000">
            <w:pPr>
              <w:spacing w:line="360" w:lineRule="exact"/>
              <w:ind w:right="452"/>
              <w:jc w:val="right"/>
              <w:rPr>
                <w:sz w:val="18"/>
              </w:rPr>
            </w:pPr>
            <w:r>
              <w:rPr>
                <w:sz w:val="18"/>
              </w:rPr>
              <w:t>65.9</w:t>
            </w:r>
          </w:p>
        </w:tc>
      </w:tr>
      <w:tr w:rsidR="00000000">
        <w:tblPrEx>
          <w:tblCellMar>
            <w:top w:w="0" w:type="dxa"/>
            <w:bottom w:w="0" w:type="dxa"/>
          </w:tblCellMar>
        </w:tblPrEx>
        <w:tc>
          <w:tcPr>
            <w:tcW w:w="1588" w:type="dxa"/>
            <w:tcBorders>
              <w:top w:val="single" w:sz="4" w:space="0" w:color="auto"/>
              <w:bottom w:val="single" w:sz="6" w:space="0" w:color="auto"/>
            </w:tcBorders>
          </w:tcPr>
          <w:p w:rsidR="00000000" w:rsidRDefault="00000000">
            <w:pPr>
              <w:spacing w:line="360" w:lineRule="exact"/>
              <w:rPr>
                <w:sz w:val="18"/>
              </w:rPr>
            </w:pPr>
            <w:r>
              <w:rPr>
                <w:rFonts w:hint="eastAsia"/>
                <w:sz w:val="18"/>
              </w:rPr>
              <w:t>休假总计</w:t>
            </w:r>
          </w:p>
        </w:tc>
        <w:tc>
          <w:tcPr>
            <w:tcW w:w="1560" w:type="dxa"/>
            <w:tcBorders>
              <w:top w:val="single" w:sz="4" w:space="0" w:color="auto"/>
              <w:bottom w:val="single" w:sz="6" w:space="0" w:color="auto"/>
            </w:tcBorders>
          </w:tcPr>
          <w:p w:rsidR="00000000" w:rsidRDefault="00000000">
            <w:pPr>
              <w:spacing w:line="360" w:lineRule="exact"/>
              <w:ind w:right="452"/>
              <w:jc w:val="right"/>
              <w:rPr>
                <w:sz w:val="18"/>
              </w:rPr>
            </w:pPr>
            <w:r>
              <w:rPr>
                <w:sz w:val="18"/>
              </w:rPr>
              <w:t>51 682</w:t>
            </w:r>
          </w:p>
        </w:tc>
        <w:tc>
          <w:tcPr>
            <w:tcW w:w="1200" w:type="dxa"/>
            <w:tcBorders>
              <w:top w:val="single" w:sz="4" w:space="0" w:color="auto"/>
              <w:bottom w:val="single" w:sz="6" w:space="0" w:color="auto"/>
            </w:tcBorders>
          </w:tcPr>
          <w:p w:rsidR="00000000" w:rsidRDefault="00000000">
            <w:pPr>
              <w:spacing w:line="360" w:lineRule="exact"/>
              <w:ind w:right="452"/>
              <w:jc w:val="right"/>
              <w:rPr>
                <w:sz w:val="18"/>
              </w:rPr>
            </w:pPr>
            <w:r>
              <w:rPr>
                <w:sz w:val="18"/>
              </w:rPr>
              <w:t>11 308</w:t>
            </w:r>
          </w:p>
        </w:tc>
        <w:tc>
          <w:tcPr>
            <w:tcW w:w="1200" w:type="dxa"/>
            <w:tcBorders>
              <w:top w:val="single" w:sz="4" w:space="0" w:color="auto"/>
              <w:bottom w:val="single" w:sz="6" w:space="0" w:color="auto"/>
            </w:tcBorders>
          </w:tcPr>
          <w:p w:rsidR="00000000" w:rsidRDefault="00000000">
            <w:pPr>
              <w:spacing w:line="360" w:lineRule="exact"/>
              <w:ind w:right="452"/>
              <w:jc w:val="right"/>
              <w:rPr>
                <w:sz w:val="18"/>
              </w:rPr>
            </w:pPr>
            <w:r>
              <w:rPr>
                <w:sz w:val="18"/>
              </w:rPr>
              <w:t>82.1</w:t>
            </w:r>
          </w:p>
        </w:tc>
        <w:tc>
          <w:tcPr>
            <w:tcW w:w="1320" w:type="dxa"/>
            <w:tcBorders>
              <w:top w:val="single" w:sz="4" w:space="0" w:color="auto"/>
              <w:bottom w:val="single" w:sz="6" w:space="0" w:color="auto"/>
            </w:tcBorders>
          </w:tcPr>
          <w:p w:rsidR="00000000" w:rsidRDefault="00000000">
            <w:pPr>
              <w:spacing w:line="360" w:lineRule="exact"/>
              <w:ind w:right="452"/>
              <w:jc w:val="right"/>
              <w:rPr>
                <w:sz w:val="18"/>
              </w:rPr>
            </w:pPr>
            <w:r>
              <w:rPr>
                <w:sz w:val="18"/>
              </w:rPr>
              <w:t>38 902</w:t>
            </w:r>
          </w:p>
        </w:tc>
        <w:tc>
          <w:tcPr>
            <w:tcW w:w="1080" w:type="dxa"/>
            <w:tcBorders>
              <w:top w:val="single" w:sz="4" w:space="0" w:color="auto"/>
              <w:bottom w:val="single" w:sz="6" w:space="0" w:color="auto"/>
            </w:tcBorders>
          </w:tcPr>
          <w:p w:rsidR="00000000" w:rsidRDefault="00000000">
            <w:pPr>
              <w:spacing w:line="360" w:lineRule="exact"/>
              <w:ind w:right="452"/>
              <w:jc w:val="right"/>
              <w:rPr>
                <w:sz w:val="18"/>
              </w:rPr>
            </w:pPr>
            <w:r>
              <w:rPr>
                <w:sz w:val="18"/>
              </w:rPr>
              <w:t>7 806</w:t>
            </w:r>
          </w:p>
        </w:tc>
        <w:tc>
          <w:tcPr>
            <w:tcW w:w="1440" w:type="dxa"/>
            <w:tcBorders>
              <w:top w:val="single" w:sz="4" w:space="0" w:color="auto"/>
              <w:bottom w:val="single" w:sz="6" w:space="0" w:color="auto"/>
            </w:tcBorders>
          </w:tcPr>
          <w:p w:rsidR="00000000" w:rsidRDefault="00000000">
            <w:pPr>
              <w:spacing w:line="360" w:lineRule="exact"/>
              <w:ind w:right="452"/>
              <w:jc w:val="right"/>
              <w:rPr>
                <w:sz w:val="18"/>
              </w:rPr>
            </w:pPr>
            <w:r>
              <w:rPr>
                <w:sz w:val="18"/>
              </w:rPr>
              <w:t>83.3</w:t>
            </w:r>
          </w:p>
        </w:tc>
      </w:tr>
    </w:tbl>
    <w:p w:rsidR="00000000" w:rsidRDefault="00000000">
      <w:pPr>
        <w:spacing w:after="240" w:line="360" w:lineRule="exact"/>
        <w:ind w:firstLine="425"/>
        <w:rPr>
          <w:sz w:val="18"/>
        </w:rPr>
      </w:pPr>
      <w:r>
        <w:rPr>
          <w:rFonts w:hint="eastAsia"/>
          <w:sz w:val="18"/>
        </w:rPr>
        <w:t>资料来源：统计数据：劳动力市场，</w:t>
      </w:r>
      <w:r>
        <w:rPr>
          <w:rFonts w:hint="eastAsia"/>
          <w:sz w:val="18"/>
        </w:rPr>
        <w:t>1997:14</w:t>
      </w:r>
      <w:r>
        <w:rPr>
          <w:rFonts w:hint="eastAsia"/>
          <w:sz w:val="18"/>
        </w:rPr>
        <w:t>，</w:t>
      </w:r>
      <w:r>
        <w:rPr>
          <w:rFonts w:hint="eastAsia"/>
          <w:sz w:val="18"/>
        </w:rPr>
        <w:t>1996:33</w:t>
      </w:r>
      <w:r>
        <w:rPr>
          <w:rFonts w:hint="eastAsia"/>
          <w:sz w:val="18"/>
        </w:rPr>
        <w:t>和</w:t>
      </w:r>
      <w:r>
        <w:rPr>
          <w:rFonts w:hint="eastAsia"/>
          <w:sz w:val="18"/>
        </w:rPr>
        <w:t>1998:14</w:t>
      </w:r>
      <w:r>
        <w:rPr>
          <w:rFonts w:hint="eastAsia"/>
          <w:sz w:val="18"/>
        </w:rPr>
        <w:t>。</w:t>
      </w:r>
    </w:p>
    <w:p w:rsidR="00000000" w:rsidRDefault="00000000">
      <w:pPr>
        <w:spacing w:after="240" w:line="360" w:lineRule="exact"/>
        <w:jc w:val="center"/>
        <w:rPr>
          <w:rFonts w:eastAsia="SimHei"/>
        </w:rPr>
      </w:pPr>
      <w:r>
        <w:rPr>
          <w:rFonts w:eastAsia="SimHei" w:hint="eastAsia"/>
        </w:rPr>
        <w:t>表</w:t>
      </w:r>
      <w:r>
        <w:rPr>
          <w:rFonts w:eastAsia="SimHei"/>
        </w:rPr>
        <w:t>9.  1980-1998</w:t>
      </w:r>
      <w:r>
        <w:rPr>
          <w:rFonts w:eastAsia="SimHei" w:hint="eastAsia"/>
        </w:rPr>
        <w:t>年妇女和男子失业情况</w:t>
      </w:r>
    </w:p>
    <w:tbl>
      <w:tblPr>
        <w:tblW w:w="0" w:type="auto"/>
        <w:tblInd w:w="868" w:type="dxa"/>
        <w:tblBorders>
          <w:top w:val="single" w:sz="6" w:space="0" w:color="auto"/>
          <w:bottom w:val="single" w:sz="6" w:space="0" w:color="auto"/>
        </w:tblBorders>
        <w:tblLayout w:type="fixed"/>
        <w:tblCellMar>
          <w:left w:w="28" w:type="dxa"/>
          <w:right w:w="28" w:type="dxa"/>
        </w:tblCellMar>
        <w:tblLook w:val="0000" w:firstRow="0" w:lastRow="0" w:firstColumn="0" w:lastColumn="0" w:noHBand="0" w:noVBand="0"/>
      </w:tblPr>
      <w:tblGrid>
        <w:gridCol w:w="2640"/>
        <w:gridCol w:w="2520"/>
        <w:gridCol w:w="2339"/>
      </w:tblGrid>
      <w:tr w:rsidR="00000000">
        <w:tblPrEx>
          <w:tblCellMar>
            <w:top w:w="0" w:type="dxa"/>
            <w:bottom w:w="0" w:type="dxa"/>
          </w:tblCellMar>
        </w:tblPrEx>
        <w:tc>
          <w:tcPr>
            <w:tcW w:w="2640" w:type="dxa"/>
            <w:tcBorders>
              <w:top w:val="single" w:sz="6" w:space="0" w:color="auto"/>
              <w:bottom w:val="single" w:sz="4" w:space="0" w:color="auto"/>
            </w:tcBorders>
          </w:tcPr>
          <w:p w:rsidR="00000000" w:rsidRDefault="00000000">
            <w:pPr>
              <w:spacing w:line="360" w:lineRule="exact"/>
              <w:jc w:val="center"/>
              <w:rPr>
                <w:sz w:val="18"/>
              </w:rPr>
            </w:pPr>
            <w:r>
              <w:rPr>
                <w:rFonts w:hint="eastAsia"/>
                <w:sz w:val="18"/>
              </w:rPr>
              <w:t>年</w:t>
            </w:r>
          </w:p>
        </w:tc>
        <w:tc>
          <w:tcPr>
            <w:tcW w:w="2520" w:type="dxa"/>
            <w:tcBorders>
              <w:top w:val="single" w:sz="6" w:space="0" w:color="auto"/>
              <w:bottom w:val="single" w:sz="4" w:space="0" w:color="auto"/>
            </w:tcBorders>
          </w:tcPr>
          <w:p w:rsidR="00000000" w:rsidRDefault="00000000">
            <w:pPr>
              <w:spacing w:line="360" w:lineRule="exact"/>
              <w:jc w:val="center"/>
              <w:rPr>
                <w:sz w:val="18"/>
              </w:rPr>
            </w:pPr>
            <w:r>
              <w:rPr>
                <w:rFonts w:hint="eastAsia"/>
                <w:sz w:val="18"/>
              </w:rPr>
              <w:t>妇女</w:t>
            </w:r>
          </w:p>
          <w:p w:rsidR="00000000" w:rsidRDefault="00000000">
            <w:pPr>
              <w:spacing w:line="360" w:lineRule="exact"/>
              <w:jc w:val="center"/>
              <w:rPr>
                <w:sz w:val="18"/>
              </w:rPr>
            </w:pPr>
            <w:r>
              <w:rPr>
                <w:sz w:val="18"/>
              </w:rPr>
              <w:t>%</w:t>
            </w:r>
          </w:p>
        </w:tc>
        <w:tc>
          <w:tcPr>
            <w:tcW w:w="2339" w:type="dxa"/>
            <w:tcBorders>
              <w:top w:val="single" w:sz="6" w:space="0" w:color="auto"/>
              <w:bottom w:val="single" w:sz="4" w:space="0" w:color="auto"/>
            </w:tcBorders>
          </w:tcPr>
          <w:p w:rsidR="00000000" w:rsidRDefault="00000000">
            <w:pPr>
              <w:spacing w:line="360" w:lineRule="exact"/>
              <w:jc w:val="center"/>
              <w:rPr>
                <w:sz w:val="18"/>
              </w:rPr>
            </w:pPr>
            <w:r>
              <w:rPr>
                <w:rFonts w:hint="eastAsia"/>
                <w:sz w:val="18"/>
              </w:rPr>
              <w:t>男子</w:t>
            </w:r>
          </w:p>
          <w:p w:rsidR="00000000" w:rsidRDefault="00000000">
            <w:pPr>
              <w:spacing w:line="360" w:lineRule="exact"/>
              <w:jc w:val="center"/>
              <w:rPr>
                <w:sz w:val="18"/>
              </w:rPr>
            </w:pPr>
            <w:r>
              <w:rPr>
                <w:sz w:val="18"/>
              </w:rPr>
              <w:t>%</w:t>
            </w:r>
          </w:p>
        </w:tc>
      </w:tr>
      <w:tr w:rsidR="00000000">
        <w:tblPrEx>
          <w:tblCellMar>
            <w:top w:w="0" w:type="dxa"/>
            <w:bottom w:w="0" w:type="dxa"/>
          </w:tblCellMar>
        </w:tblPrEx>
        <w:tc>
          <w:tcPr>
            <w:tcW w:w="2640" w:type="dxa"/>
          </w:tcPr>
          <w:p w:rsidR="00000000" w:rsidRDefault="00000000">
            <w:pPr>
              <w:spacing w:line="360" w:lineRule="exact"/>
              <w:rPr>
                <w:sz w:val="18"/>
              </w:rPr>
            </w:pPr>
            <w:r>
              <w:rPr>
                <w:sz w:val="18"/>
              </w:rPr>
              <w:t>1980</w:t>
            </w:r>
          </w:p>
        </w:tc>
        <w:tc>
          <w:tcPr>
            <w:tcW w:w="2520" w:type="dxa"/>
          </w:tcPr>
          <w:p w:rsidR="00000000" w:rsidRDefault="00000000">
            <w:pPr>
              <w:spacing w:line="360" w:lineRule="exact"/>
              <w:jc w:val="center"/>
              <w:rPr>
                <w:sz w:val="18"/>
              </w:rPr>
            </w:pPr>
            <w:r>
              <w:rPr>
                <w:sz w:val="18"/>
              </w:rPr>
              <w:t>7.6</w:t>
            </w:r>
          </w:p>
        </w:tc>
        <w:tc>
          <w:tcPr>
            <w:tcW w:w="2339" w:type="dxa"/>
          </w:tcPr>
          <w:p w:rsidR="00000000" w:rsidRDefault="00000000">
            <w:pPr>
              <w:spacing w:line="360" w:lineRule="exact"/>
              <w:jc w:val="center"/>
              <w:rPr>
                <w:sz w:val="18"/>
              </w:rPr>
            </w:pPr>
            <w:r>
              <w:rPr>
                <w:sz w:val="18"/>
              </w:rPr>
              <w:t>6.5</w:t>
            </w:r>
          </w:p>
        </w:tc>
      </w:tr>
      <w:tr w:rsidR="00000000">
        <w:tblPrEx>
          <w:tblCellMar>
            <w:top w:w="0" w:type="dxa"/>
            <w:bottom w:w="0" w:type="dxa"/>
          </w:tblCellMar>
        </w:tblPrEx>
        <w:tc>
          <w:tcPr>
            <w:tcW w:w="2640" w:type="dxa"/>
          </w:tcPr>
          <w:p w:rsidR="00000000" w:rsidRDefault="00000000">
            <w:pPr>
              <w:spacing w:line="360" w:lineRule="exact"/>
              <w:rPr>
                <w:sz w:val="18"/>
              </w:rPr>
            </w:pPr>
            <w:r>
              <w:rPr>
                <w:sz w:val="18"/>
              </w:rPr>
              <w:t>1982</w:t>
            </w:r>
          </w:p>
        </w:tc>
        <w:tc>
          <w:tcPr>
            <w:tcW w:w="2520" w:type="dxa"/>
          </w:tcPr>
          <w:p w:rsidR="00000000" w:rsidRDefault="00000000">
            <w:pPr>
              <w:spacing w:line="360" w:lineRule="exact"/>
              <w:jc w:val="center"/>
              <w:rPr>
                <w:sz w:val="18"/>
              </w:rPr>
            </w:pPr>
            <w:r>
              <w:rPr>
                <w:sz w:val="18"/>
              </w:rPr>
              <w:t>10.0</w:t>
            </w:r>
          </w:p>
        </w:tc>
        <w:tc>
          <w:tcPr>
            <w:tcW w:w="2339" w:type="dxa"/>
          </w:tcPr>
          <w:p w:rsidR="00000000" w:rsidRDefault="00000000">
            <w:pPr>
              <w:spacing w:line="360" w:lineRule="exact"/>
              <w:jc w:val="center"/>
              <w:rPr>
                <w:sz w:val="18"/>
              </w:rPr>
            </w:pPr>
            <w:r>
              <w:rPr>
                <w:sz w:val="18"/>
              </w:rPr>
              <w:t>9.7</w:t>
            </w:r>
          </w:p>
        </w:tc>
      </w:tr>
      <w:tr w:rsidR="00000000">
        <w:tblPrEx>
          <w:tblCellMar>
            <w:top w:w="0" w:type="dxa"/>
            <w:bottom w:w="0" w:type="dxa"/>
          </w:tblCellMar>
        </w:tblPrEx>
        <w:tc>
          <w:tcPr>
            <w:tcW w:w="2640" w:type="dxa"/>
          </w:tcPr>
          <w:p w:rsidR="00000000" w:rsidRDefault="00000000">
            <w:pPr>
              <w:spacing w:line="360" w:lineRule="exact"/>
              <w:rPr>
                <w:sz w:val="18"/>
              </w:rPr>
            </w:pPr>
            <w:r>
              <w:rPr>
                <w:sz w:val="18"/>
              </w:rPr>
              <w:t>1984</w:t>
            </w:r>
          </w:p>
        </w:tc>
        <w:tc>
          <w:tcPr>
            <w:tcW w:w="2520" w:type="dxa"/>
          </w:tcPr>
          <w:p w:rsidR="00000000" w:rsidRDefault="00000000">
            <w:pPr>
              <w:spacing w:line="360" w:lineRule="exact"/>
              <w:jc w:val="center"/>
              <w:rPr>
                <w:sz w:val="18"/>
              </w:rPr>
            </w:pPr>
            <w:r>
              <w:rPr>
                <w:sz w:val="18"/>
              </w:rPr>
              <w:t>11.7</w:t>
            </w:r>
          </w:p>
        </w:tc>
        <w:tc>
          <w:tcPr>
            <w:tcW w:w="2339" w:type="dxa"/>
          </w:tcPr>
          <w:p w:rsidR="00000000" w:rsidRDefault="00000000">
            <w:pPr>
              <w:spacing w:line="360" w:lineRule="exact"/>
              <w:jc w:val="center"/>
              <w:rPr>
                <w:sz w:val="18"/>
              </w:rPr>
            </w:pPr>
            <w:r>
              <w:rPr>
                <w:sz w:val="18"/>
              </w:rPr>
              <w:t>8.8</w:t>
            </w:r>
          </w:p>
        </w:tc>
      </w:tr>
      <w:tr w:rsidR="00000000">
        <w:tblPrEx>
          <w:tblCellMar>
            <w:top w:w="0" w:type="dxa"/>
            <w:bottom w:w="0" w:type="dxa"/>
          </w:tblCellMar>
        </w:tblPrEx>
        <w:tc>
          <w:tcPr>
            <w:tcW w:w="2640" w:type="dxa"/>
          </w:tcPr>
          <w:p w:rsidR="00000000" w:rsidRDefault="00000000">
            <w:pPr>
              <w:spacing w:line="360" w:lineRule="exact"/>
              <w:rPr>
                <w:sz w:val="18"/>
              </w:rPr>
            </w:pPr>
            <w:r>
              <w:rPr>
                <w:sz w:val="18"/>
              </w:rPr>
              <w:t>1986</w:t>
            </w:r>
          </w:p>
        </w:tc>
        <w:tc>
          <w:tcPr>
            <w:tcW w:w="2520" w:type="dxa"/>
          </w:tcPr>
          <w:p w:rsidR="00000000" w:rsidRDefault="00000000">
            <w:pPr>
              <w:spacing w:line="360" w:lineRule="exact"/>
              <w:jc w:val="center"/>
              <w:rPr>
                <w:sz w:val="18"/>
              </w:rPr>
            </w:pPr>
            <w:r>
              <w:rPr>
                <w:sz w:val="18"/>
              </w:rPr>
              <w:t>10.0</w:t>
            </w:r>
          </w:p>
        </w:tc>
        <w:tc>
          <w:tcPr>
            <w:tcW w:w="2339" w:type="dxa"/>
          </w:tcPr>
          <w:p w:rsidR="00000000" w:rsidRDefault="00000000">
            <w:pPr>
              <w:spacing w:line="360" w:lineRule="exact"/>
              <w:jc w:val="center"/>
              <w:rPr>
                <w:sz w:val="18"/>
              </w:rPr>
            </w:pPr>
            <w:r>
              <w:rPr>
                <w:sz w:val="18"/>
              </w:rPr>
              <w:t>6.1</w:t>
            </w:r>
          </w:p>
        </w:tc>
      </w:tr>
      <w:tr w:rsidR="00000000">
        <w:tblPrEx>
          <w:tblCellMar>
            <w:top w:w="0" w:type="dxa"/>
            <w:bottom w:w="0" w:type="dxa"/>
          </w:tblCellMar>
        </w:tblPrEx>
        <w:tc>
          <w:tcPr>
            <w:tcW w:w="2640" w:type="dxa"/>
          </w:tcPr>
          <w:p w:rsidR="00000000" w:rsidRDefault="00000000">
            <w:pPr>
              <w:spacing w:line="360" w:lineRule="exact"/>
              <w:rPr>
                <w:sz w:val="18"/>
              </w:rPr>
            </w:pPr>
            <w:r>
              <w:rPr>
                <w:sz w:val="18"/>
              </w:rPr>
              <w:t>1988</w:t>
            </w:r>
          </w:p>
        </w:tc>
        <w:tc>
          <w:tcPr>
            <w:tcW w:w="2520" w:type="dxa"/>
          </w:tcPr>
          <w:p w:rsidR="00000000" w:rsidRDefault="00000000">
            <w:pPr>
              <w:spacing w:line="360" w:lineRule="exact"/>
              <w:jc w:val="center"/>
              <w:rPr>
                <w:sz w:val="18"/>
              </w:rPr>
            </w:pPr>
            <w:r>
              <w:rPr>
                <w:sz w:val="18"/>
              </w:rPr>
              <w:t>10.3</w:t>
            </w:r>
          </w:p>
        </w:tc>
        <w:tc>
          <w:tcPr>
            <w:tcW w:w="2339" w:type="dxa"/>
          </w:tcPr>
          <w:p w:rsidR="00000000" w:rsidRDefault="00000000">
            <w:pPr>
              <w:spacing w:line="360" w:lineRule="exact"/>
              <w:jc w:val="center"/>
              <w:rPr>
                <w:sz w:val="18"/>
              </w:rPr>
            </w:pPr>
            <w:r>
              <w:rPr>
                <w:sz w:val="18"/>
              </w:rPr>
              <w:t>7.3</w:t>
            </w:r>
          </w:p>
        </w:tc>
      </w:tr>
      <w:tr w:rsidR="00000000">
        <w:tblPrEx>
          <w:tblCellMar>
            <w:top w:w="0" w:type="dxa"/>
            <w:bottom w:w="0" w:type="dxa"/>
          </w:tblCellMar>
        </w:tblPrEx>
        <w:tc>
          <w:tcPr>
            <w:tcW w:w="2640" w:type="dxa"/>
          </w:tcPr>
          <w:p w:rsidR="00000000" w:rsidRDefault="00000000">
            <w:pPr>
              <w:spacing w:line="360" w:lineRule="exact"/>
              <w:rPr>
                <w:sz w:val="18"/>
              </w:rPr>
            </w:pPr>
            <w:r>
              <w:rPr>
                <w:sz w:val="18"/>
              </w:rPr>
              <w:t>1990</w:t>
            </w:r>
          </w:p>
        </w:tc>
        <w:tc>
          <w:tcPr>
            <w:tcW w:w="2520" w:type="dxa"/>
          </w:tcPr>
          <w:p w:rsidR="00000000" w:rsidRDefault="00000000">
            <w:pPr>
              <w:spacing w:line="360" w:lineRule="exact"/>
              <w:jc w:val="center"/>
              <w:rPr>
                <w:sz w:val="18"/>
              </w:rPr>
            </w:pPr>
            <w:r>
              <w:rPr>
                <w:sz w:val="18"/>
              </w:rPr>
              <w:t>11.3</w:t>
            </w:r>
          </w:p>
        </w:tc>
        <w:tc>
          <w:tcPr>
            <w:tcW w:w="2339" w:type="dxa"/>
          </w:tcPr>
          <w:p w:rsidR="00000000" w:rsidRDefault="00000000">
            <w:pPr>
              <w:spacing w:line="360" w:lineRule="exact"/>
              <w:jc w:val="center"/>
              <w:rPr>
                <w:sz w:val="18"/>
              </w:rPr>
            </w:pPr>
            <w:r>
              <w:rPr>
                <w:sz w:val="18"/>
              </w:rPr>
              <w:t>8.4</w:t>
            </w:r>
          </w:p>
        </w:tc>
      </w:tr>
      <w:tr w:rsidR="00000000">
        <w:tblPrEx>
          <w:tblCellMar>
            <w:top w:w="0" w:type="dxa"/>
            <w:bottom w:w="0" w:type="dxa"/>
          </w:tblCellMar>
        </w:tblPrEx>
        <w:tc>
          <w:tcPr>
            <w:tcW w:w="2640" w:type="dxa"/>
          </w:tcPr>
          <w:p w:rsidR="00000000" w:rsidRDefault="00000000">
            <w:pPr>
              <w:spacing w:line="360" w:lineRule="exact"/>
              <w:rPr>
                <w:sz w:val="18"/>
              </w:rPr>
            </w:pPr>
            <w:r>
              <w:rPr>
                <w:sz w:val="18"/>
              </w:rPr>
              <w:t>1992</w:t>
            </w:r>
          </w:p>
        </w:tc>
        <w:tc>
          <w:tcPr>
            <w:tcW w:w="2520" w:type="dxa"/>
          </w:tcPr>
          <w:p w:rsidR="00000000" w:rsidRDefault="00000000">
            <w:pPr>
              <w:spacing w:line="360" w:lineRule="exact"/>
              <w:jc w:val="center"/>
              <w:rPr>
                <w:sz w:val="18"/>
              </w:rPr>
            </w:pPr>
            <w:r>
              <w:rPr>
                <w:sz w:val="18"/>
              </w:rPr>
              <w:t>12.9</w:t>
            </w:r>
          </w:p>
        </w:tc>
        <w:tc>
          <w:tcPr>
            <w:tcW w:w="2339" w:type="dxa"/>
          </w:tcPr>
          <w:p w:rsidR="00000000" w:rsidRDefault="00000000">
            <w:pPr>
              <w:spacing w:line="360" w:lineRule="exact"/>
              <w:jc w:val="center"/>
              <w:rPr>
                <w:sz w:val="18"/>
              </w:rPr>
            </w:pPr>
            <w:r>
              <w:rPr>
                <w:sz w:val="18"/>
              </w:rPr>
              <w:t>10.0</w:t>
            </w:r>
          </w:p>
        </w:tc>
      </w:tr>
      <w:tr w:rsidR="00000000">
        <w:tblPrEx>
          <w:tblCellMar>
            <w:top w:w="0" w:type="dxa"/>
            <w:bottom w:w="0" w:type="dxa"/>
          </w:tblCellMar>
        </w:tblPrEx>
        <w:tc>
          <w:tcPr>
            <w:tcW w:w="2640" w:type="dxa"/>
          </w:tcPr>
          <w:p w:rsidR="00000000" w:rsidRDefault="00000000">
            <w:pPr>
              <w:spacing w:line="360" w:lineRule="exact"/>
              <w:rPr>
                <w:sz w:val="18"/>
              </w:rPr>
            </w:pPr>
            <w:r>
              <w:rPr>
                <w:sz w:val="18"/>
              </w:rPr>
              <w:t>1994</w:t>
            </w:r>
          </w:p>
        </w:tc>
        <w:tc>
          <w:tcPr>
            <w:tcW w:w="2520" w:type="dxa"/>
          </w:tcPr>
          <w:p w:rsidR="00000000" w:rsidRDefault="00000000">
            <w:pPr>
              <w:spacing w:line="360" w:lineRule="exact"/>
              <w:jc w:val="center"/>
              <w:rPr>
                <w:sz w:val="18"/>
              </w:rPr>
            </w:pPr>
            <w:r>
              <w:rPr>
                <w:sz w:val="18"/>
              </w:rPr>
              <w:t>13.6</w:t>
            </w:r>
          </w:p>
        </w:tc>
        <w:tc>
          <w:tcPr>
            <w:tcW w:w="2339" w:type="dxa"/>
          </w:tcPr>
          <w:p w:rsidR="00000000" w:rsidRDefault="00000000">
            <w:pPr>
              <w:spacing w:line="360" w:lineRule="exact"/>
              <w:jc w:val="center"/>
              <w:rPr>
                <w:sz w:val="18"/>
              </w:rPr>
            </w:pPr>
            <w:r>
              <w:rPr>
                <w:sz w:val="18"/>
              </w:rPr>
              <w:t>11.0</w:t>
            </w:r>
          </w:p>
        </w:tc>
      </w:tr>
      <w:tr w:rsidR="00000000">
        <w:tblPrEx>
          <w:tblCellMar>
            <w:top w:w="0" w:type="dxa"/>
            <w:bottom w:w="0" w:type="dxa"/>
          </w:tblCellMar>
        </w:tblPrEx>
        <w:tc>
          <w:tcPr>
            <w:tcW w:w="2640" w:type="dxa"/>
          </w:tcPr>
          <w:p w:rsidR="00000000" w:rsidRDefault="00000000">
            <w:pPr>
              <w:spacing w:line="360" w:lineRule="exact"/>
              <w:rPr>
                <w:sz w:val="18"/>
              </w:rPr>
            </w:pPr>
            <w:r>
              <w:rPr>
                <w:sz w:val="18"/>
              </w:rPr>
              <w:t>1996</w:t>
            </w:r>
          </w:p>
        </w:tc>
        <w:tc>
          <w:tcPr>
            <w:tcW w:w="2520" w:type="dxa"/>
          </w:tcPr>
          <w:p w:rsidR="00000000" w:rsidRDefault="00000000">
            <w:pPr>
              <w:spacing w:line="360" w:lineRule="exact"/>
              <w:jc w:val="center"/>
              <w:rPr>
                <w:sz w:val="18"/>
              </w:rPr>
            </w:pPr>
            <w:r>
              <w:rPr>
                <w:sz w:val="18"/>
              </w:rPr>
              <w:t>9.9</w:t>
            </w:r>
          </w:p>
        </w:tc>
        <w:tc>
          <w:tcPr>
            <w:tcW w:w="2339" w:type="dxa"/>
          </w:tcPr>
          <w:p w:rsidR="00000000" w:rsidRDefault="00000000">
            <w:pPr>
              <w:spacing w:line="360" w:lineRule="exact"/>
              <w:jc w:val="center"/>
              <w:rPr>
                <w:sz w:val="18"/>
              </w:rPr>
            </w:pPr>
            <w:r>
              <w:rPr>
                <w:sz w:val="18"/>
              </w:rPr>
              <w:t>7.8</w:t>
            </w:r>
          </w:p>
        </w:tc>
      </w:tr>
      <w:tr w:rsidR="00000000">
        <w:tblPrEx>
          <w:tblCellMar>
            <w:top w:w="0" w:type="dxa"/>
            <w:bottom w:w="0" w:type="dxa"/>
          </w:tblCellMar>
        </w:tblPrEx>
        <w:tc>
          <w:tcPr>
            <w:tcW w:w="2640" w:type="dxa"/>
          </w:tcPr>
          <w:p w:rsidR="00000000" w:rsidRDefault="00000000">
            <w:pPr>
              <w:spacing w:line="360" w:lineRule="exact"/>
              <w:rPr>
                <w:sz w:val="18"/>
              </w:rPr>
            </w:pPr>
            <w:r>
              <w:rPr>
                <w:sz w:val="18"/>
              </w:rPr>
              <w:t>1997</w:t>
            </w:r>
          </w:p>
        </w:tc>
        <w:tc>
          <w:tcPr>
            <w:tcW w:w="2520" w:type="dxa"/>
          </w:tcPr>
          <w:p w:rsidR="00000000" w:rsidRDefault="00000000">
            <w:pPr>
              <w:spacing w:line="360" w:lineRule="exact"/>
              <w:jc w:val="center"/>
              <w:rPr>
                <w:sz w:val="18"/>
              </w:rPr>
            </w:pPr>
            <w:r>
              <w:rPr>
                <w:sz w:val="18"/>
              </w:rPr>
              <w:t>8.3</w:t>
            </w:r>
          </w:p>
        </w:tc>
        <w:tc>
          <w:tcPr>
            <w:tcW w:w="2339" w:type="dxa"/>
          </w:tcPr>
          <w:p w:rsidR="00000000" w:rsidRDefault="00000000">
            <w:pPr>
              <w:spacing w:line="360" w:lineRule="exact"/>
              <w:jc w:val="center"/>
              <w:rPr>
                <w:sz w:val="18"/>
              </w:rPr>
            </w:pPr>
            <w:r>
              <w:rPr>
                <w:sz w:val="18"/>
              </w:rPr>
              <w:t>5.8</w:t>
            </w:r>
          </w:p>
        </w:tc>
      </w:tr>
      <w:tr w:rsidR="00000000">
        <w:tblPrEx>
          <w:tblCellMar>
            <w:top w:w="0" w:type="dxa"/>
            <w:bottom w:w="0" w:type="dxa"/>
          </w:tblCellMar>
        </w:tblPrEx>
        <w:tc>
          <w:tcPr>
            <w:tcW w:w="2640" w:type="dxa"/>
          </w:tcPr>
          <w:p w:rsidR="00000000" w:rsidRDefault="00000000">
            <w:pPr>
              <w:spacing w:line="360" w:lineRule="exact"/>
              <w:rPr>
                <w:sz w:val="18"/>
              </w:rPr>
            </w:pPr>
            <w:r>
              <w:rPr>
                <w:sz w:val="18"/>
              </w:rPr>
              <w:t>1998</w:t>
            </w:r>
          </w:p>
        </w:tc>
        <w:tc>
          <w:tcPr>
            <w:tcW w:w="2520" w:type="dxa"/>
          </w:tcPr>
          <w:p w:rsidR="00000000" w:rsidRDefault="00000000">
            <w:pPr>
              <w:spacing w:line="360" w:lineRule="exact"/>
              <w:jc w:val="center"/>
              <w:rPr>
                <w:sz w:val="18"/>
              </w:rPr>
            </w:pPr>
            <w:r>
              <w:rPr>
                <w:sz w:val="18"/>
              </w:rPr>
              <w:t>7.9</w:t>
            </w:r>
          </w:p>
        </w:tc>
        <w:tc>
          <w:tcPr>
            <w:tcW w:w="2339" w:type="dxa"/>
          </w:tcPr>
          <w:p w:rsidR="00000000" w:rsidRDefault="00000000">
            <w:pPr>
              <w:spacing w:line="360" w:lineRule="exact"/>
              <w:jc w:val="center"/>
              <w:rPr>
                <w:sz w:val="18"/>
              </w:rPr>
            </w:pPr>
            <w:r>
              <w:rPr>
                <w:sz w:val="18"/>
              </w:rPr>
              <w:t>5.5</w:t>
            </w:r>
          </w:p>
        </w:tc>
      </w:tr>
    </w:tbl>
    <w:p w:rsidR="00000000" w:rsidRDefault="00000000">
      <w:pPr>
        <w:spacing w:after="240" w:line="360" w:lineRule="exact"/>
        <w:ind w:firstLine="425"/>
      </w:pPr>
      <w:r>
        <w:rPr>
          <w:rFonts w:hint="eastAsia"/>
        </w:rPr>
        <w:t>登记在册的失业妇女和男子占劳动力的百分比</w:t>
      </w:r>
    </w:p>
    <w:p w:rsidR="00000000" w:rsidRDefault="00000000">
      <w:pPr>
        <w:spacing w:after="240" w:line="360" w:lineRule="exact"/>
        <w:ind w:firstLine="425"/>
      </w:pPr>
      <w:r>
        <w:rPr>
          <w:rFonts w:hint="eastAsia"/>
        </w:rPr>
        <w:t>资料来源：十年统计审查，</w:t>
      </w:r>
      <w:r>
        <w:rPr>
          <w:rFonts w:hint="eastAsia"/>
        </w:rPr>
        <w:t>1989</w:t>
      </w:r>
      <w:r>
        <w:rPr>
          <w:rFonts w:hint="eastAsia"/>
        </w:rPr>
        <w:t>，</w:t>
      </w:r>
      <w:r>
        <w:rPr>
          <w:rFonts w:hint="eastAsia"/>
        </w:rPr>
        <w:t>1996</w:t>
      </w:r>
      <w:r>
        <w:rPr>
          <w:rFonts w:hint="eastAsia"/>
        </w:rPr>
        <w:t>，统计数据：劳动力市场，</w:t>
      </w:r>
      <w:r>
        <w:rPr>
          <w:rFonts w:hint="eastAsia"/>
        </w:rPr>
        <w:t>1997:4</w:t>
      </w:r>
      <w:r>
        <w:rPr>
          <w:rFonts w:hint="eastAsia"/>
        </w:rPr>
        <w:t>，</w:t>
      </w:r>
      <w:r>
        <w:rPr>
          <w:rFonts w:hint="eastAsia"/>
        </w:rPr>
        <w:t>1998:2</w:t>
      </w:r>
      <w:r>
        <w:rPr>
          <w:rFonts w:hint="eastAsia"/>
        </w:rPr>
        <w:t>和</w:t>
      </w:r>
      <w:r>
        <w:rPr>
          <w:rFonts w:hint="eastAsia"/>
        </w:rPr>
        <w:t>1999:4</w:t>
      </w:r>
      <w:r>
        <w:rPr>
          <w:rFonts w:hint="eastAsia"/>
        </w:rPr>
        <w:t>。</w:t>
      </w:r>
    </w:p>
    <w:p w:rsidR="00000000" w:rsidRDefault="00000000">
      <w:pPr>
        <w:spacing w:after="240" w:line="360" w:lineRule="exact"/>
        <w:jc w:val="center"/>
        <w:rPr>
          <w:rFonts w:eastAsia="SimHei"/>
        </w:rPr>
      </w:pPr>
      <w:r>
        <w:rPr>
          <w:rFonts w:eastAsia="SimHei" w:hint="eastAsia"/>
        </w:rPr>
        <w:t>表</w:t>
      </w:r>
      <w:r>
        <w:rPr>
          <w:rFonts w:eastAsia="SimHei"/>
        </w:rPr>
        <w:t>10.  1983-1996</w:t>
      </w:r>
      <w:r>
        <w:rPr>
          <w:rFonts w:eastAsia="SimHei" w:hint="eastAsia"/>
        </w:rPr>
        <w:t>年的女性管理人员</w:t>
      </w:r>
    </w:p>
    <w:tbl>
      <w:tblPr>
        <w:tblW w:w="10068"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1195"/>
        <w:gridCol w:w="1195"/>
        <w:gridCol w:w="1496"/>
        <w:gridCol w:w="1422"/>
        <w:gridCol w:w="1440"/>
        <w:gridCol w:w="1440"/>
        <w:gridCol w:w="1880"/>
      </w:tblGrid>
      <w:tr w:rsidR="00000000">
        <w:tblPrEx>
          <w:tblCellMar>
            <w:top w:w="0" w:type="dxa"/>
            <w:bottom w:w="0" w:type="dxa"/>
          </w:tblCellMar>
        </w:tblPrEx>
        <w:tc>
          <w:tcPr>
            <w:tcW w:w="1195" w:type="dxa"/>
          </w:tcPr>
          <w:p w:rsidR="00000000" w:rsidRDefault="00000000">
            <w:pPr>
              <w:spacing w:line="360" w:lineRule="exact"/>
            </w:pPr>
          </w:p>
        </w:tc>
        <w:tc>
          <w:tcPr>
            <w:tcW w:w="2691" w:type="dxa"/>
            <w:gridSpan w:val="2"/>
            <w:tcBorders>
              <w:top w:val="single" w:sz="6" w:space="0" w:color="auto"/>
              <w:bottom w:val="single" w:sz="4" w:space="0" w:color="auto"/>
            </w:tcBorders>
          </w:tcPr>
          <w:p w:rsidR="00000000" w:rsidRDefault="00000000">
            <w:pPr>
              <w:spacing w:line="360" w:lineRule="exact"/>
              <w:jc w:val="center"/>
            </w:pPr>
            <w:r>
              <w:rPr>
                <w:rFonts w:hint="eastAsia"/>
              </w:rPr>
              <w:t>政府</w:t>
            </w:r>
          </w:p>
        </w:tc>
        <w:tc>
          <w:tcPr>
            <w:tcW w:w="2862" w:type="dxa"/>
            <w:gridSpan w:val="2"/>
            <w:tcBorders>
              <w:top w:val="single" w:sz="6" w:space="0" w:color="auto"/>
              <w:bottom w:val="single" w:sz="4" w:space="0" w:color="auto"/>
            </w:tcBorders>
          </w:tcPr>
          <w:p w:rsidR="00000000" w:rsidRDefault="00000000">
            <w:pPr>
              <w:spacing w:line="360" w:lineRule="exact"/>
              <w:jc w:val="center"/>
            </w:pPr>
            <w:r>
              <w:rPr>
                <w:rFonts w:hint="eastAsia"/>
              </w:rPr>
              <w:t>市</w:t>
            </w:r>
          </w:p>
        </w:tc>
        <w:tc>
          <w:tcPr>
            <w:tcW w:w="3320" w:type="dxa"/>
            <w:gridSpan w:val="2"/>
            <w:tcBorders>
              <w:top w:val="single" w:sz="6" w:space="0" w:color="auto"/>
              <w:bottom w:val="single" w:sz="4" w:space="0" w:color="auto"/>
            </w:tcBorders>
          </w:tcPr>
          <w:p w:rsidR="00000000" w:rsidRDefault="00000000">
            <w:pPr>
              <w:spacing w:line="360" w:lineRule="exact"/>
              <w:jc w:val="center"/>
            </w:pPr>
            <w:r>
              <w:rPr>
                <w:rFonts w:hint="eastAsia"/>
              </w:rPr>
              <w:t>私营部门</w:t>
            </w:r>
          </w:p>
        </w:tc>
      </w:tr>
      <w:tr w:rsidR="00000000">
        <w:tblPrEx>
          <w:tblCellMar>
            <w:top w:w="0" w:type="dxa"/>
            <w:bottom w:w="0" w:type="dxa"/>
          </w:tblCellMar>
        </w:tblPrEx>
        <w:tc>
          <w:tcPr>
            <w:tcW w:w="1195" w:type="dxa"/>
            <w:tcBorders>
              <w:bottom w:val="single" w:sz="4" w:space="0" w:color="auto"/>
            </w:tcBorders>
          </w:tcPr>
          <w:p w:rsidR="00000000" w:rsidRDefault="00000000">
            <w:pPr>
              <w:spacing w:line="360" w:lineRule="exact"/>
            </w:pPr>
          </w:p>
        </w:tc>
        <w:tc>
          <w:tcPr>
            <w:tcW w:w="1195" w:type="dxa"/>
            <w:tcBorders>
              <w:top w:val="single" w:sz="4" w:space="0" w:color="auto"/>
              <w:bottom w:val="single" w:sz="4" w:space="0" w:color="auto"/>
            </w:tcBorders>
          </w:tcPr>
          <w:p w:rsidR="00000000" w:rsidRDefault="00000000">
            <w:pPr>
              <w:spacing w:line="360" w:lineRule="exact"/>
              <w:jc w:val="center"/>
              <w:rPr>
                <w:rFonts w:hint="eastAsia"/>
              </w:rPr>
            </w:pPr>
            <w:r>
              <w:rPr>
                <w:rFonts w:hint="eastAsia"/>
              </w:rPr>
              <w:t>管理人员</w:t>
            </w:r>
          </w:p>
        </w:tc>
        <w:tc>
          <w:tcPr>
            <w:tcW w:w="1496" w:type="dxa"/>
            <w:tcBorders>
              <w:top w:val="single" w:sz="4" w:space="0" w:color="auto"/>
              <w:bottom w:val="single" w:sz="4" w:space="0" w:color="auto"/>
            </w:tcBorders>
          </w:tcPr>
          <w:p w:rsidR="00000000" w:rsidRDefault="00000000">
            <w:pPr>
              <w:spacing w:line="360" w:lineRule="exact"/>
              <w:jc w:val="center"/>
              <w:rPr>
                <w:rFonts w:hint="eastAsia"/>
              </w:rPr>
            </w:pPr>
            <w:r>
              <w:rPr>
                <w:rFonts w:hint="eastAsia"/>
              </w:rPr>
              <w:t>最高管理人员</w:t>
            </w:r>
          </w:p>
        </w:tc>
        <w:tc>
          <w:tcPr>
            <w:tcW w:w="1422" w:type="dxa"/>
            <w:tcBorders>
              <w:top w:val="single" w:sz="4" w:space="0" w:color="auto"/>
              <w:bottom w:val="single" w:sz="4" w:space="0" w:color="auto"/>
            </w:tcBorders>
          </w:tcPr>
          <w:p w:rsidR="00000000" w:rsidRDefault="00000000">
            <w:pPr>
              <w:spacing w:line="360" w:lineRule="exact"/>
              <w:jc w:val="center"/>
              <w:rPr>
                <w:rFonts w:hint="eastAsia"/>
              </w:rPr>
            </w:pPr>
            <w:r>
              <w:rPr>
                <w:rFonts w:hint="eastAsia"/>
              </w:rPr>
              <w:t>管理人员</w:t>
            </w:r>
          </w:p>
        </w:tc>
        <w:tc>
          <w:tcPr>
            <w:tcW w:w="1440" w:type="dxa"/>
            <w:tcBorders>
              <w:top w:val="single" w:sz="4" w:space="0" w:color="auto"/>
              <w:bottom w:val="single" w:sz="4" w:space="0" w:color="auto"/>
            </w:tcBorders>
          </w:tcPr>
          <w:p w:rsidR="00000000" w:rsidRDefault="00000000">
            <w:pPr>
              <w:spacing w:line="360" w:lineRule="exact"/>
              <w:jc w:val="center"/>
              <w:rPr>
                <w:rFonts w:hint="eastAsia"/>
              </w:rPr>
            </w:pPr>
            <w:r>
              <w:rPr>
                <w:rFonts w:hint="eastAsia"/>
              </w:rPr>
              <w:t>最高管理人员</w:t>
            </w:r>
          </w:p>
        </w:tc>
        <w:tc>
          <w:tcPr>
            <w:tcW w:w="1440" w:type="dxa"/>
            <w:tcBorders>
              <w:top w:val="single" w:sz="4" w:space="0" w:color="auto"/>
              <w:bottom w:val="single" w:sz="4" w:space="0" w:color="auto"/>
            </w:tcBorders>
          </w:tcPr>
          <w:p w:rsidR="00000000" w:rsidRDefault="00000000">
            <w:pPr>
              <w:spacing w:line="360" w:lineRule="exact"/>
              <w:jc w:val="center"/>
              <w:rPr>
                <w:rFonts w:hint="eastAsia"/>
              </w:rPr>
            </w:pPr>
            <w:r>
              <w:rPr>
                <w:rFonts w:hint="eastAsia"/>
              </w:rPr>
              <w:t>管理人员</w:t>
            </w:r>
          </w:p>
        </w:tc>
        <w:tc>
          <w:tcPr>
            <w:tcW w:w="1880" w:type="dxa"/>
            <w:tcBorders>
              <w:top w:val="single" w:sz="4" w:space="0" w:color="auto"/>
              <w:bottom w:val="single" w:sz="4" w:space="0" w:color="auto"/>
            </w:tcBorders>
          </w:tcPr>
          <w:p w:rsidR="00000000" w:rsidRDefault="00000000">
            <w:pPr>
              <w:spacing w:line="360" w:lineRule="exact"/>
              <w:jc w:val="center"/>
              <w:rPr>
                <w:rFonts w:hint="eastAsia"/>
              </w:rPr>
            </w:pPr>
            <w:r>
              <w:rPr>
                <w:rFonts w:hint="eastAsia"/>
              </w:rPr>
              <w:t>最高管理人员</w:t>
            </w:r>
          </w:p>
        </w:tc>
      </w:tr>
      <w:tr w:rsidR="00000000">
        <w:tblPrEx>
          <w:tblCellMar>
            <w:top w:w="0" w:type="dxa"/>
            <w:bottom w:w="0" w:type="dxa"/>
          </w:tblCellMar>
        </w:tblPrEx>
        <w:tc>
          <w:tcPr>
            <w:tcW w:w="1195" w:type="dxa"/>
            <w:tcBorders>
              <w:top w:val="single" w:sz="4" w:space="0" w:color="auto"/>
            </w:tcBorders>
          </w:tcPr>
          <w:p w:rsidR="00000000" w:rsidRDefault="00000000">
            <w:pPr>
              <w:spacing w:line="360" w:lineRule="exact"/>
            </w:pPr>
            <w:r>
              <w:t>1983</w:t>
            </w:r>
          </w:p>
        </w:tc>
        <w:tc>
          <w:tcPr>
            <w:tcW w:w="1195" w:type="dxa"/>
            <w:tcBorders>
              <w:top w:val="single" w:sz="4" w:space="0" w:color="auto"/>
            </w:tcBorders>
          </w:tcPr>
          <w:p w:rsidR="00000000" w:rsidRDefault="00000000">
            <w:pPr>
              <w:spacing w:line="360" w:lineRule="exact"/>
              <w:ind w:right="397"/>
              <w:jc w:val="right"/>
            </w:pPr>
            <w:r>
              <w:t>9</w:t>
            </w:r>
          </w:p>
        </w:tc>
        <w:tc>
          <w:tcPr>
            <w:tcW w:w="1496" w:type="dxa"/>
            <w:tcBorders>
              <w:top w:val="single" w:sz="4" w:space="0" w:color="auto"/>
            </w:tcBorders>
          </w:tcPr>
          <w:p w:rsidR="00000000" w:rsidRDefault="00000000">
            <w:pPr>
              <w:spacing w:line="360" w:lineRule="exact"/>
              <w:ind w:right="624"/>
              <w:jc w:val="right"/>
            </w:pPr>
            <w:r>
              <w:t>3</w:t>
            </w:r>
          </w:p>
        </w:tc>
        <w:tc>
          <w:tcPr>
            <w:tcW w:w="1422" w:type="dxa"/>
            <w:tcBorders>
              <w:top w:val="single" w:sz="4" w:space="0" w:color="auto"/>
            </w:tcBorders>
          </w:tcPr>
          <w:p w:rsidR="00000000" w:rsidRDefault="00000000">
            <w:pPr>
              <w:spacing w:line="360" w:lineRule="exact"/>
              <w:ind w:right="624"/>
              <w:jc w:val="right"/>
            </w:pPr>
            <w:r>
              <w:t>12</w:t>
            </w:r>
          </w:p>
        </w:tc>
        <w:tc>
          <w:tcPr>
            <w:tcW w:w="1440" w:type="dxa"/>
            <w:tcBorders>
              <w:top w:val="single" w:sz="4" w:space="0" w:color="auto"/>
            </w:tcBorders>
          </w:tcPr>
          <w:p w:rsidR="00000000" w:rsidRDefault="00000000">
            <w:pPr>
              <w:spacing w:line="360" w:lineRule="exact"/>
              <w:ind w:right="624"/>
              <w:jc w:val="right"/>
            </w:pPr>
            <w:r>
              <w:t>1</w:t>
            </w:r>
          </w:p>
        </w:tc>
        <w:tc>
          <w:tcPr>
            <w:tcW w:w="1440" w:type="dxa"/>
            <w:tcBorders>
              <w:top w:val="single" w:sz="4" w:space="0" w:color="auto"/>
            </w:tcBorders>
          </w:tcPr>
          <w:p w:rsidR="00000000" w:rsidRDefault="00000000">
            <w:pPr>
              <w:spacing w:line="360" w:lineRule="exact"/>
              <w:ind w:right="624"/>
              <w:jc w:val="right"/>
            </w:pPr>
            <w:r>
              <w:t>6</w:t>
            </w:r>
          </w:p>
        </w:tc>
        <w:tc>
          <w:tcPr>
            <w:tcW w:w="1880" w:type="dxa"/>
            <w:tcBorders>
              <w:top w:val="single" w:sz="4" w:space="0" w:color="auto"/>
            </w:tcBorders>
          </w:tcPr>
          <w:p w:rsidR="00000000" w:rsidRDefault="00000000">
            <w:pPr>
              <w:spacing w:line="360" w:lineRule="exact"/>
              <w:ind w:right="624"/>
              <w:jc w:val="right"/>
            </w:pPr>
            <w:r>
              <w:t>3</w:t>
            </w:r>
          </w:p>
        </w:tc>
      </w:tr>
      <w:tr w:rsidR="00000000">
        <w:tblPrEx>
          <w:tblCellMar>
            <w:top w:w="0" w:type="dxa"/>
            <w:bottom w:w="0" w:type="dxa"/>
          </w:tblCellMar>
        </w:tblPrEx>
        <w:tc>
          <w:tcPr>
            <w:tcW w:w="1195" w:type="dxa"/>
          </w:tcPr>
          <w:p w:rsidR="00000000" w:rsidRDefault="00000000">
            <w:pPr>
              <w:spacing w:line="360" w:lineRule="exact"/>
            </w:pPr>
            <w:r>
              <w:t>1984</w:t>
            </w:r>
          </w:p>
        </w:tc>
        <w:tc>
          <w:tcPr>
            <w:tcW w:w="1195" w:type="dxa"/>
          </w:tcPr>
          <w:p w:rsidR="00000000" w:rsidRDefault="00000000">
            <w:pPr>
              <w:spacing w:line="360" w:lineRule="exact"/>
              <w:ind w:right="397"/>
              <w:jc w:val="right"/>
            </w:pPr>
            <w:r>
              <w:t>10</w:t>
            </w:r>
          </w:p>
        </w:tc>
        <w:tc>
          <w:tcPr>
            <w:tcW w:w="1496" w:type="dxa"/>
          </w:tcPr>
          <w:p w:rsidR="00000000" w:rsidRDefault="00000000">
            <w:pPr>
              <w:spacing w:line="360" w:lineRule="exact"/>
              <w:ind w:right="624"/>
              <w:jc w:val="right"/>
            </w:pPr>
            <w:r>
              <w:t>3</w:t>
            </w:r>
          </w:p>
        </w:tc>
        <w:tc>
          <w:tcPr>
            <w:tcW w:w="1422" w:type="dxa"/>
          </w:tcPr>
          <w:p w:rsidR="00000000" w:rsidRDefault="00000000">
            <w:pPr>
              <w:spacing w:line="360" w:lineRule="exact"/>
              <w:ind w:right="624"/>
              <w:jc w:val="right"/>
            </w:pPr>
            <w:r>
              <w:t>13</w:t>
            </w:r>
          </w:p>
        </w:tc>
        <w:tc>
          <w:tcPr>
            <w:tcW w:w="1440" w:type="dxa"/>
          </w:tcPr>
          <w:p w:rsidR="00000000" w:rsidRDefault="00000000">
            <w:pPr>
              <w:spacing w:line="360" w:lineRule="exact"/>
              <w:ind w:right="624"/>
              <w:jc w:val="right"/>
            </w:pPr>
            <w:r>
              <w:t>2</w:t>
            </w:r>
          </w:p>
        </w:tc>
        <w:tc>
          <w:tcPr>
            <w:tcW w:w="1440" w:type="dxa"/>
          </w:tcPr>
          <w:p w:rsidR="00000000" w:rsidRDefault="00000000">
            <w:pPr>
              <w:spacing w:line="360" w:lineRule="exact"/>
              <w:ind w:right="624"/>
              <w:jc w:val="right"/>
            </w:pPr>
            <w:r>
              <w:t>6</w:t>
            </w:r>
          </w:p>
        </w:tc>
        <w:tc>
          <w:tcPr>
            <w:tcW w:w="1880" w:type="dxa"/>
          </w:tcPr>
          <w:p w:rsidR="00000000" w:rsidRDefault="00000000">
            <w:pPr>
              <w:spacing w:line="360" w:lineRule="exact"/>
              <w:ind w:right="624"/>
              <w:jc w:val="right"/>
            </w:pPr>
            <w:r>
              <w:t>3</w:t>
            </w:r>
          </w:p>
        </w:tc>
      </w:tr>
      <w:tr w:rsidR="00000000">
        <w:tblPrEx>
          <w:tblCellMar>
            <w:top w:w="0" w:type="dxa"/>
            <w:bottom w:w="0" w:type="dxa"/>
          </w:tblCellMar>
        </w:tblPrEx>
        <w:tc>
          <w:tcPr>
            <w:tcW w:w="1195" w:type="dxa"/>
          </w:tcPr>
          <w:p w:rsidR="00000000" w:rsidRDefault="00000000">
            <w:pPr>
              <w:spacing w:line="360" w:lineRule="exact"/>
            </w:pPr>
            <w:r>
              <w:t>1985</w:t>
            </w:r>
          </w:p>
        </w:tc>
        <w:tc>
          <w:tcPr>
            <w:tcW w:w="1195" w:type="dxa"/>
          </w:tcPr>
          <w:p w:rsidR="00000000" w:rsidRDefault="00000000">
            <w:pPr>
              <w:spacing w:line="360" w:lineRule="exact"/>
              <w:ind w:right="397"/>
              <w:jc w:val="right"/>
            </w:pPr>
            <w:r>
              <w:t>11</w:t>
            </w:r>
          </w:p>
        </w:tc>
        <w:tc>
          <w:tcPr>
            <w:tcW w:w="1496" w:type="dxa"/>
          </w:tcPr>
          <w:p w:rsidR="00000000" w:rsidRDefault="00000000">
            <w:pPr>
              <w:spacing w:line="360" w:lineRule="exact"/>
              <w:ind w:right="624"/>
              <w:jc w:val="right"/>
            </w:pPr>
            <w:r>
              <w:t>3</w:t>
            </w:r>
          </w:p>
        </w:tc>
        <w:tc>
          <w:tcPr>
            <w:tcW w:w="1422" w:type="dxa"/>
          </w:tcPr>
          <w:p w:rsidR="00000000" w:rsidRDefault="00000000">
            <w:pPr>
              <w:spacing w:line="360" w:lineRule="exact"/>
              <w:ind w:right="624"/>
              <w:jc w:val="right"/>
            </w:pPr>
            <w:r>
              <w:t>13</w:t>
            </w:r>
          </w:p>
        </w:tc>
        <w:tc>
          <w:tcPr>
            <w:tcW w:w="1440" w:type="dxa"/>
          </w:tcPr>
          <w:p w:rsidR="00000000" w:rsidRDefault="00000000">
            <w:pPr>
              <w:spacing w:line="360" w:lineRule="exact"/>
              <w:ind w:right="624"/>
              <w:jc w:val="right"/>
            </w:pPr>
            <w:r>
              <w:t>2</w:t>
            </w:r>
          </w:p>
        </w:tc>
        <w:tc>
          <w:tcPr>
            <w:tcW w:w="1440" w:type="dxa"/>
          </w:tcPr>
          <w:p w:rsidR="00000000" w:rsidRDefault="00000000">
            <w:pPr>
              <w:spacing w:line="360" w:lineRule="exact"/>
              <w:ind w:right="624"/>
              <w:jc w:val="right"/>
            </w:pPr>
            <w:r>
              <w:t>8</w:t>
            </w:r>
          </w:p>
        </w:tc>
        <w:tc>
          <w:tcPr>
            <w:tcW w:w="1880" w:type="dxa"/>
          </w:tcPr>
          <w:p w:rsidR="00000000" w:rsidRDefault="00000000">
            <w:pPr>
              <w:spacing w:line="360" w:lineRule="exact"/>
              <w:ind w:right="624"/>
              <w:jc w:val="right"/>
            </w:pPr>
            <w:r>
              <w:t>3</w:t>
            </w:r>
          </w:p>
        </w:tc>
      </w:tr>
      <w:tr w:rsidR="00000000">
        <w:tblPrEx>
          <w:tblCellMar>
            <w:top w:w="0" w:type="dxa"/>
            <w:bottom w:w="0" w:type="dxa"/>
          </w:tblCellMar>
        </w:tblPrEx>
        <w:tc>
          <w:tcPr>
            <w:tcW w:w="1195" w:type="dxa"/>
          </w:tcPr>
          <w:p w:rsidR="00000000" w:rsidRDefault="00000000">
            <w:pPr>
              <w:spacing w:line="360" w:lineRule="exact"/>
            </w:pPr>
            <w:r>
              <w:t>1986</w:t>
            </w:r>
          </w:p>
        </w:tc>
        <w:tc>
          <w:tcPr>
            <w:tcW w:w="1195" w:type="dxa"/>
          </w:tcPr>
          <w:p w:rsidR="00000000" w:rsidRDefault="00000000">
            <w:pPr>
              <w:spacing w:line="360" w:lineRule="exact"/>
              <w:ind w:right="397"/>
              <w:jc w:val="right"/>
            </w:pPr>
            <w:r>
              <w:t>11</w:t>
            </w:r>
          </w:p>
        </w:tc>
        <w:tc>
          <w:tcPr>
            <w:tcW w:w="1496" w:type="dxa"/>
          </w:tcPr>
          <w:p w:rsidR="00000000" w:rsidRDefault="00000000">
            <w:pPr>
              <w:spacing w:line="360" w:lineRule="exact"/>
              <w:ind w:right="624"/>
              <w:jc w:val="right"/>
            </w:pPr>
            <w:r>
              <w:t>4</w:t>
            </w:r>
          </w:p>
        </w:tc>
        <w:tc>
          <w:tcPr>
            <w:tcW w:w="1422" w:type="dxa"/>
          </w:tcPr>
          <w:p w:rsidR="00000000" w:rsidRDefault="00000000">
            <w:pPr>
              <w:spacing w:line="360" w:lineRule="exact"/>
              <w:ind w:right="624"/>
              <w:jc w:val="right"/>
            </w:pPr>
            <w:r>
              <w:t>13</w:t>
            </w:r>
          </w:p>
        </w:tc>
        <w:tc>
          <w:tcPr>
            <w:tcW w:w="1440" w:type="dxa"/>
          </w:tcPr>
          <w:p w:rsidR="00000000" w:rsidRDefault="00000000">
            <w:pPr>
              <w:spacing w:line="360" w:lineRule="exact"/>
              <w:ind w:right="624"/>
              <w:jc w:val="right"/>
            </w:pPr>
            <w:r>
              <w:t>2</w:t>
            </w:r>
          </w:p>
        </w:tc>
        <w:tc>
          <w:tcPr>
            <w:tcW w:w="1440" w:type="dxa"/>
          </w:tcPr>
          <w:p w:rsidR="00000000" w:rsidRDefault="00000000">
            <w:pPr>
              <w:spacing w:line="360" w:lineRule="exact"/>
              <w:ind w:right="624"/>
              <w:jc w:val="right"/>
            </w:pPr>
            <w:r>
              <w:t>8</w:t>
            </w:r>
          </w:p>
        </w:tc>
        <w:tc>
          <w:tcPr>
            <w:tcW w:w="1880" w:type="dxa"/>
          </w:tcPr>
          <w:p w:rsidR="00000000" w:rsidRDefault="00000000">
            <w:pPr>
              <w:spacing w:line="360" w:lineRule="exact"/>
              <w:ind w:right="624"/>
              <w:jc w:val="right"/>
            </w:pPr>
            <w:r>
              <w:t>4</w:t>
            </w:r>
          </w:p>
        </w:tc>
      </w:tr>
      <w:tr w:rsidR="00000000">
        <w:tblPrEx>
          <w:tblCellMar>
            <w:top w:w="0" w:type="dxa"/>
            <w:bottom w:w="0" w:type="dxa"/>
          </w:tblCellMar>
        </w:tblPrEx>
        <w:tc>
          <w:tcPr>
            <w:tcW w:w="1195" w:type="dxa"/>
          </w:tcPr>
          <w:p w:rsidR="00000000" w:rsidRDefault="00000000">
            <w:pPr>
              <w:spacing w:line="360" w:lineRule="exact"/>
            </w:pPr>
            <w:r>
              <w:t>1987</w:t>
            </w:r>
          </w:p>
        </w:tc>
        <w:tc>
          <w:tcPr>
            <w:tcW w:w="1195" w:type="dxa"/>
          </w:tcPr>
          <w:p w:rsidR="00000000" w:rsidRDefault="00000000">
            <w:pPr>
              <w:spacing w:line="360" w:lineRule="exact"/>
              <w:ind w:right="397"/>
              <w:jc w:val="right"/>
            </w:pPr>
            <w:r>
              <w:t>10</w:t>
            </w:r>
          </w:p>
        </w:tc>
        <w:tc>
          <w:tcPr>
            <w:tcW w:w="1496" w:type="dxa"/>
          </w:tcPr>
          <w:p w:rsidR="00000000" w:rsidRDefault="00000000">
            <w:pPr>
              <w:spacing w:line="360" w:lineRule="exact"/>
              <w:ind w:right="624"/>
              <w:jc w:val="right"/>
            </w:pPr>
            <w:r>
              <w:t>3</w:t>
            </w:r>
          </w:p>
        </w:tc>
        <w:tc>
          <w:tcPr>
            <w:tcW w:w="1422" w:type="dxa"/>
          </w:tcPr>
          <w:p w:rsidR="00000000" w:rsidRDefault="00000000">
            <w:pPr>
              <w:spacing w:line="360" w:lineRule="exact"/>
              <w:ind w:right="624"/>
              <w:jc w:val="right"/>
            </w:pPr>
            <w:r>
              <w:t>13</w:t>
            </w:r>
          </w:p>
        </w:tc>
        <w:tc>
          <w:tcPr>
            <w:tcW w:w="1440" w:type="dxa"/>
          </w:tcPr>
          <w:p w:rsidR="00000000" w:rsidRDefault="00000000">
            <w:pPr>
              <w:spacing w:line="360" w:lineRule="exact"/>
              <w:ind w:right="624"/>
              <w:jc w:val="right"/>
            </w:pPr>
            <w:r>
              <w:t>3</w:t>
            </w:r>
          </w:p>
        </w:tc>
        <w:tc>
          <w:tcPr>
            <w:tcW w:w="1440" w:type="dxa"/>
          </w:tcPr>
          <w:p w:rsidR="00000000" w:rsidRDefault="00000000">
            <w:pPr>
              <w:spacing w:line="360" w:lineRule="exact"/>
              <w:ind w:right="624"/>
              <w:jc w:val="right"/>
            </w:pPr>
            <w:r>
              <w:t>9</w:t>
            </w:r>
          </w:p>
        </w:tc>
        <w:tc>
          <w:tcPr>
            <w:tcW w:w="1880" w:type="dxa"/>
          </w:tcPr>
          <w:p w:rsidR="00000000" w:rsidRDefault="00000000">
            <w:pPr>
              <w:spacing w:line="360" w:lineRule="exact"/>
              <w:ind w:right="624"/>
              <w:jc w:val="right"/>
            </w:pPr>
            <w:r>
              <w:t>4</w:t>
            </w:r>
          </w:p>
        </w:tc>
      </w:tr>
      <w:tr w:rsidR="00000000">
        <w:tblPrEx>
          <w:tblCellMar>
            <w:top w:w="0" w:type="dxa"/>
            <w:bottom w:w="0" w:type="dxa"/>
          </w:tblCellMar>
        </w:tblPrEx>
        <w:tc>
          <w:tcPr>
            <w:tcW w:w="1195" w:type="dxa"/>
          </w:tcPr>
          <w:p w:rsidR="00000000" w:rsidRDefault="00000000">
            <w:pPr>
              <w:spacing w:line="360" w:lineRule="exact"/>
            </w:pPr>
            <w:r>
              <w:t>1988</w:t>
            </w:r>
          </w:p>
        </w:tc>
        <w:tc>
          <w:tcPr>
            <w:tcW w:w="1195" w:type="dxa"/>
          </w:tcPr>
          <w:p w:rsidR="00000000" w:rsidRDefault="00000000">
            <w:pPr>
              <w:spacing w:line="360" w:lineRule="exact"/>
              <w:ind w:right="397"/>
              <w:jc w:val="right"/>
            </w:pPr>
            <w:r>
              <w:t>13</w:t>
            </w:r>
          </w:p>
        </w:tc>
        <w:tc>
          <w:tcPr>
            <w:tcW w:w="1496" w:type="dxa"/>
          </w:tcPr>
          <w:p w:rsidR="00000000" w:rsidRDefault="00000000">
            <w:pPr>
              <w:spacing w:line="360" w:lineRule="exact"/>
              <w:ind w:right="624"/>
              <w:jc w:val="right"/>
            </w:pPr>
            <w:r>
              <w:t>5</w:t>
            </w:r>
          </w:p>
        </w:tc>
        <w:tc>
          <w:tcPr>
            <w:tcW w:w="1422" w:type="dxa"/>
          </w:tcPr>
          <w:p w:rsidR="00000000" w:rsidRDefault="00000000">
            <w:pPr>
              <w:spacing w:line="360" w:lineRule="exact"/>
              <w:ind w:right="624"/>
              <w:jc w:val="right"/>
            </w:pPr>
            <w:r>
              <w:t>14</w:t>
            </w:r>
          </w:p>
        </w:tc>
        <w:tc>
          <w:tcPr>
            <w:tcW w:w="1440" w:type="dxa"/>
          </w:tcPr>
          <w:p w:rsidR="00000000" w:rsidRDefault="00000000">
            <w:pPr>
              <w:spacing w:line="360" w:lineRule="exact"/>
              <w:ind w:right="624"/>
              <w:jc w:val="right"/>
            </w:pPr>
            <w:r>
              <w:t>4</w:t>
            </w:r>
          </w:p>
        </w:tc>
        <w:tc>
          <w:tcPr>
            <w:tcW w:w="1440" w:type="dxa"/>
          </w:tcPr>
          <w:p w:rsidR="00000000" w:rsidRDefault="00000000">
            <w:pPr>
              <w:spacing w:line="360" w:lineRule="exact"/>
              <w:ind w:right="624"/>
              <w:jc w:val="right"/>
            </w:pPr>
            <w:r>
              <w:t>9</w:t>
            </w:r>
          </w:p>
        </w:tc>
        <w:tc>
          <w:tcPr>
            <w:tcW w:w="1880" w:type="dxa"/>
          </w:tcPr>
          <w:p w:rsidR="00000000" w:rsidRDefault="00000000">
            <w:pPr>
              <w:spacing w:line="360" w:lineRule="exact"/>
              <w:ind w:right="624"/>
              <w:jc w:val="right"/>
            </w:pPr>
            <w:r>
              <w:t>4</w:t>
            </w:r>
          </w:p>
        </w:tc>
      </w:tr>
      <w:tr w:rsidR="00000000">
        <w:tblPrEx>
          <w:tblCellMar>
            <w:top w:w="0" w:type="dxa"/>
            <w:bottom w:w="0" w:type="dxa"/>
          </w:tblCellMar>
        </w:tblPrEx>
        <w:tc>
          <w:tcPr>
            <w:tcW w:w="1195" w:type="dxa"/>
          </w:tcPr>
          <w:p w:rsidR="00000000" w:rsidRDefault="00000000">
            <w:pPr>
              <w:spacing w:line="360" w:lineRule="exact"/>
            </w:pPr>
            <w:r>
              <w:t>1989</w:t>
            </w:r>
          </w:p>
        </w:tc>
        <w:tc>
          <w:tcPr>
            <w:tcW w:w="1195" w:type="dxa"/>
          </w:tcPr>
          <w:p w:rsidR="00000000" w:rsidRDefault="00000000">
            <w:pPr>
              <w:spacing w:line="360" w:lineRule="exact"/>
              <w:ind w:right="397"/>
              <w:jc w:val="right"/>
            </w:pPr>
            <w:r>
              <w:t>17</w:t>
            </w:r>
          </w:p>
        </w:tc>
        <w:tc>
          <w:tcPr>
            <w:tcW w:w="1496" w:type="dxa"/>
          </w:tcPr>
          <w:p w:rsidR="00000000" w:rsidRDefault="00000000">
            <w:pPr>
              <w:spacing w:line="360" w:lineRule="exact"/>
              <w:ind w:right="624"/>
              <w:jc w:val="right"/>
            </w:pPr>
            <w:r>
              <w:t>5</w:t>
            </w:r>
          </w:p>
        </w:tc>
        <w:tc>
          <w:tcPr>
            <w:tcW w:w="1422" w:type="dxa"/>
          </w:tcPr>
          <w:p w:rsidR="00000000" w:rsidRDefault="00000000">
            <w:pPr>
              <w:spacing w:line="360" w:lineRule="exact"/>
              <w:ind w:right="624"/>
              <w:jc w:val="right"/>
            </w:pPr>
            <w:r>
              <w:t>15</w:t>
            </w:r>
          </w:p>
        </w:tc>
        <w:tc>
          <w:tcPr>
            <w:tcW w:w="1440" w:type="dxa"/>
          </w:tcPr>
          <w:p w:rsidR="00000000" w:rsidRDefault="00000000">
            <w:pPr>
              <w:spacing w:line="360" w:lineRule="exact"/>
              <w:ind w:right="624"/>
              <w:jc w:val="right"/>
            </w:pPr>
            <w:r>
              <w:t>5</w:t>
            </w:r>
          </w:p>
        </w:tc>
        <w:tc>
          <w:tcPr>
            <w:tcW w:w="1440" w:type="dxa"/>
          </w:tcPr>
          <w:p w:rsidR="00000000" w:rsidRDefault="00000000">
            <w:pPr>
              <w:spacing w:line="360" w:lineRule="exact"/>
              <w:ind w:right="624"/>
              <w:jc w:val="right"/>
            </w:pPr>
            <w:r>
              <w:t>11</w:t>
            </w:r>
          </w:p>
        </w:tc>
        <w:tc>
          <w:tcPr>
            <w:tcW w:w="1880" w:type="dxa"/>
          </w:tcPr>
          <w:p w:rsidR="00000000" w:rsidRDefault="00000000">
            <w:pPr>
              <w:spacing w:line="360" w:lineRule="exact"/>
              <w:ind w:right="624"/>
              <w:jc w:val="right"/>
            </w:pPr>
            <w:r>
              <w:t>5</w:t>
            </w:r>
          </w:p>
        </w:tc>
      </w:tr>
      <w:tr w:rsidR="00000000">
        <w:tblPrEx>
          <w:tblCellMar>
            <w:top w:w="0" w:type="dxa"/>
            <w:bottom w:w="0" w:type="dxa"/>
          </w:tblCellMar>
        </w:tblPrEx>
        <w:tc>
          <w:tcPr>
            <w:tcW w:w="1195" w:type="dxa"/>
          </w:tcPr>
          <w:p w:rsidR="00000000" w:rsidRDefault="00000000">
            <w:pPr>
              <w:spacing w:line="360" w:lineRule="exact"/>
            </w:pPr>
            <w:r>
              <w:t>1990</w:t>
            </w:r>
          </w:p>
        </w:tc>
        <w:tc>
          <w:tcPr>
            <w:tcW w:w="1195" w:type="dxa"/>
          </w:tcPr>
          <w:p w:rsidR="00000000" w:rsidRDefault="00000000">
            <w:pPr>
              <w:spacing w:line="360" w:lineRule="exact"/>
              <w:ind w:right="397"/>
              <w:jc w:val="right"/>
            </w:pPr>
            <w:r>
              <w:t>19</w:t>
            </w:r>
          </w:p>
        </w:tc>
        <w:tc>
          <w:tcPr>
            <w:tcW w:w="1496" w:type="dxa"/>
          </w:tcPr>
          <w:p w:rsidR="00000000" w:rsidRDefault="00000000">
            <w:pPr>
              <w:spacing w:line="360" w:lineRule="exact"/>
              <w:ind w:right="624"/>
              <w:jc w:val="right"/>
            </w:pPr>
            <w:r>
              <w:t>7</w:t>
            </w:r>
          </w:p>
        </w:tc>
        <w:tc>
          <w:tcPr>
            <w:tcW w:w="1422" w:type="dxa"/>
          </w:tcPr>
          <w:p w:rsidR="00000000" w:rsidRDefault="00000000">
            <w:pPr>
              <w:spacing w:line="360" w:lineRule="exact"/>
              <w:ind w:right="624"/>
              <w:jc w:val="right"/>
            </w:pPr>
            <w:r>
              <w:t>16</w:t>
            </w:r>
          </w:p>
        </w:tc>
        <w:tc>
          <w:tcPr>
            <w:tcW w:w="1440" w:type="dxa"/>
          </w:tcPr>
          <w:p w:rsidR="00000000" w:rsidRDefault="00000000">
            <w:pPr>
              <w:spacing w:line="360" w:lineRule="exact"/>
              <w:ind w:right="624"/>
              <w:jc w:val="right"/>
            </w:pPr>
            <w:r>
              <w:t>6</w:t>
            </w:r>
          </w:p>
        </w:tc>
        <w:tc>
          <w:tcPr>
            <w:tcW w:w="1440" w:type="dxa"/>
          </w:tcPr>
          <w:p w:rsidR="00000000" w:rsidRDefault="00000000">
            <w:pPr>
              <w:spacing w:line="360" w:lineRule="exact"/>
              <w:ind w:right="624"/>
              <w:jc w:val="right"/>
            </w:pPr>
            <w:r>
              <w:t>12</w:t>
            </w:r>
          </w:p>
        </w:tc>
        <w:tc>
          <w:tcPr>
            <w:tcW w:w="1880" w:type="dxa"/>
          </w:tcPr>
          <w:p w:rsidR="00000000" w:rsidRDefault="00000000">
            <w:pPr>
              <w:spacing w:line="360" w:lineRule="exact"/>
              <w:ind w:right="624"/>
              <w:jc w:val="right"/>
            </w:pPr>
            <w:r>
              <w:t>5</w:t>
            </w:r>
          </w:p>
        </w:tc>
      </w:tr>
      <w:tr w:rsidR="00000000">
        <w:tblPrEx>
          <w:tblCellMar>
            <w:top w:w="0" w:type="dxa"/>
            <w:bottom w:w="0" w:type="dxa"/>
          </w:tblCellMar>
        </w:tblPrEx>
        <w:tc>
          <w:tcPr>
            <w:tcW w:w="1195" w:type="dxa"/>
          </w:tcPr>
          <w:p w:rsidR="00000000" w:rsidRDefault="00000000">
            <w:pPr>
              <w:spacing w:line="360" w:lineRule="exact"/>
            </w:pPr>
            <w:r>
              <w:t>1991</w:t>
            </w:r>
          </w:p>
        </w:tc>
        <w:tc>
          <w:tcPr>
            <w:tcW w:w="1195" w:type="dxa"/>
          </w:tcPr>
          <w:p w:rsidR="00000000" w:rsidRDefault="00000000">
            <w:pPr>
              <w:spacing w:line="360" w:lineRule="exact"/>
              <w:ind w:right="397"/>
              <w:jc w:val="right"/>
            </w:pPr>
            <w:r>
              <w:t>19</w:t>
            </w:r>
          </w:p>
        </w:tc>
        <w:tc>
          <w:tcPr>
            <w:tcW w:w="1496" w:type="dxa"/>
          </w:tcPr>
          <w:p w:rsidR="00000000" w:rsidRDefault="00000000">
            <w:pPr>
              <w:spacing w:line="360" w:lineRule="exact"/>
              <w:ind w:right="624"/>
              <w:jc w:val="right"/>
            </w:pPr>
            <w:r>
              <w:t>7</w:t>
            </w:r>
          </w:p>
        </w:tc>
        <w:tc>
          <w:tcPr>
            <w:tcW w:w="1422" w:type="dxa"/>
          </w:tcPr>
          <w:p w:rsidR="00000000" w:rsidRDefault="00000000">
            <w:pPr>
              <w:spacing w:line="360" w:lineRule="exact"/>
              <w:ind w:right="624"/>
              <w:jc w:val="right"/>
            </w:pPr>
            <w:r>
              <w:t>16</w:t>
            </w:r>
          </w:p>
        </w:tc>
        <w:tc>
          <w:tcPr>
            <w:tcW w:w="1440" w:type="dxa"/>
          </w:tcPr>
          <w:p w:rsidR="00000000" w:rsidRDefault="00000000">
            <w:pPr>
              <w:spacing w:line="360" w:lineRule="exact"/>
              <w:ind w:right="624"/>
              <w:jc w:val="right"/>
            </w:pPr>
            <w:r>
              <w:t>5</w:t>
            </w:r>
          </w:p>
        </w:tc>
        <w:tc>
          <w:tcPr>
            <w:tcW w:w="1440" w:type="dxa"/>
          </w:tcPr>
          <w:p w:rsidR="00000000" w:rsidRDefault="00000000">
            <w:pPr>
              <w:spacing w:line="360" w:lineRule="exact"/>
              <w:ind w:right="624"/>
              <w:jc w:val="right"/>
            </w:pPr>
            <w:r>
              <w:t>13</w:t>
            </w:r>
          </w:p>
        </w:tc>
        <w:tc>
          <w:tcPr>
            <w:tcW w:w="1880" w:type="dxa"/>
          </w:tcPr>
          <w:p w:rsidR="00000000" w:rsidRDefault="00000000">
            <w:pPr>
              <w:spacing w:line="360" w:lineRule="exact"/>
              <w:ind w:right="624"/>
              <w:jc w:val="right"/>
            </w:pPr>
            <w:r>
              <w:t>4</w:t>
            </w:r>
          </w:p>
        </w:tc>
      </w:tr>
      <w:tr w:rsidR="00000000">
        <w:tblPrEx>
          <w:tblCellMar>
            <w:top w:w="0" w:type="dxa"/>
            <w:bottom w:w="0" w:type="dxa"/>
          </w:tblCellMar>
        </w:tblPrEx>
        <w:tc>
          <w:tcPr>
            <w:tcW w:w="1195" w:type="dxa"/>
          </w:tcPr>
          <w:p w:rsidR="00000000" w:rsidRDefault="00000000">
            <w:pPr>
              <w:spacing w:line="360" w:lineRule="exact"/>
            </w:pPr>
            <w:r>
              <w:t>1992</w:t>
            </w:r>
          </w:p>
        </w:tc>
        <w:tc>
          <w:tcPr>
            <w:tcW w:w="1195" w:type="dxa"/>
          </w:tcPr>
          <w:p w:rsidR="00000000" w:rsidRDefault="00000000">
            <w:pPr>
              <w:spacing w:line="360" w:lineRule="exact"/>
              <w:ind w:right="397"/>
              <w:jc w:val="right"/>
            </w:pPr>
            <w:r>
              <w:t>21</w:t>
            </w:r>
          </w:p>
        </w:tc>
        <w:tc>
          <w:tcPr>
            <w:tcW w:w="1496" w:type="dxa"/>
          </w:tcPr>
          <w:p w:rsidR="00000000" w:rsidRDefault="00000000">
            <w:pPr>
              <w:spacing w:line="360" w:lineRule="exact"/>
              <w:ind w:right="624"/>
              <w:jc w:val="right"/>
            </w:pPr>
            <w:r>
              <w:t>7</w:t>
            </w:r>
          </w:p>
        </w:tc>
        <w:tc>
          <w:tcPr>
            <w:tcW w:w="1422" w:type="dxa"/>
          </w:tcPr>
          <w:p w:rsidR="00000000" w:rsidRDefault="00000000">
            <w:pPr>
              <w:spacing w:line="360" w:lineRule="exact"/>
              <w:ind w:right="624"/>
              <w:jc w:val="right"/>
            </w:pPr>
            <w:r>
              <w:t>17</w:t>
            </w:r>
          </w:p>
        </w:tc>
        <w:tc>
          <w:tcPr>
            <w:tcW w:w="1440" w:type="dxa"/>
          </w:tcPr>
          <w:p w:rsidR="00000000" w:rsidRDefault="00000000">
            <w:pPr>
              <w:spacing w:line="360" w:lineRule="exact"/>
              <w:ind w:right="624"/>
              <w:jc w:val="right"/>
            </w:pPr>
            <w:r>
              <w:t>6</w:t>
            </w:r>
          </w:p>
        </w:tc>
        <w:tc>
          <w:tcPr>
            <w:tcW w:w="1440" w:type="dxa"/>
          </w:tcPr>
          <w:p w:rsidR="00000000" w:rsidRDefault="00000000">
            <w:pPr>
              <w:spacing w:line="360" w:lineRule="exact"/>
              <w:ind w:right="624"/>
              <w:jc w:val="right"/>
            </w:pPr>
            <w:r>
              <w:t>14</w:t>
            </w:r>
          </w:p>
        </w:tc>
        <w:tc>
          <w:tcPr>
            <w:tcW w:w="1880" w:type="dxa"/>
          </w:tcPr>
          <w:p w:rsidR="00000000" w:rsidRDefault="00000000">
            <w:pPr>
              <w:spacing w:line="360" w:lineRule="exact"/>
              <w:ind w:right="624"/>
              <w:jc w:val="right"/>
            </w:pPr>
            <w:r>
              <w:t>5</w:t>
            </w:r>
          </w:p>
        </w:tc>
      </w:tr>
      <w:tr w:rsidR="00000000">
        <w:tblPrEx>
          <w:tblCellMar>
            <w:top w:w="0" w:type="dxa"/>
            <w:bottom w:w="0" w:type="dxa"/>
          </w:tblCellMar>
        </w:tblPrEx>
        <w:tc>
          <w:tcPr>
            <w:tcW w:w="1195" w:type="dxa"/>
          </w:tcPr>
          <w:p w:rsidR="00000000" w:rsidRDefault="00000000">
            <w:pPr>
              <w:spacing w:line="360" w:lineRule="exact"/>
            </w:pPr>
            <w:r>
              <w:t>1996</w:t>
            </w:r>
          </w:p>
        </w:tc>
        <w:tc>
          <w:tcPr>
            <w:tcW w:w="1195" w:type="dxa"/>
          </w:tcPr>
          <w:p w:rsidR="00000000" w:rsidRDefault="00000000">
            <w:pPr>
              <w:spacing w:line="360" w:lineRule="exact"/>
              <w:ind w:right="397"/>
              <w:jc w:val="right"/>
            </w:pPr>
            <w:r>
              <w:t>20</w:t>
            </w:r>
          </w:p>
        </w:tc>
        <w:tc>
          <w:tcPr>
            <w:tcW w:w="1496" w:type="dxa"/>
          </w:tcPr>
          <w:p w:rsidR="00000000" w:rsidRDefault="00000000">
            <w:pPr>
              <w:spacing w:line="360" w:lineRule="exact"/>
              <w:ind w:right="624"/>
              <w:jc w:val="right"/>
            </w:pPr>
            <w:r>
              <w:t>10</w:t>
            </w:r>
          </w:p>
        </w:tc>
        <w:tc>
          <w:tcPr>
            <w:tcW w:w="1422" w:type="dxa"/>
          </w:tcPr>
          <w:p w:rsidR="00000000" w:rsidRDefault="00000000">
            <w:pPr>
              <w:spacing w:line="360" w:lineRule="exact"/>
              <w:ind w:right="624"/>
              <w:jc w:val="right"/>
            </w:pPr>
            <w:r>
              <w:t>20</w:t>
            </w:r>
          </w:p>
        </w:tc>
        <w:tc>
          <w:tcPr>
            <w:tcW w:w="1440" w:type="dxa"/>
          </w:tcPr>
          <w:p w:rsidR="00000000" w:rsidRDefault="00000000">
            <w:pPr>
              <w:spacing w:line="360" w:lineRule="exact"/>
              <w:ind w:right="624"/>
              <w:jc w:val="right"/>
            </w:pPr>
            <w:r>
              <w:t>8</w:t>
            </w:r>
          </w:p>
        </w:tc>
        <w:tc>
          <w:tcPr>
            <w:tcW w:w="1440" w:type="dxa"/>
          </w:tcPr>
          <w:p w:rsidR="00000000" w:rsidRDefault="00000000">
            <w:pPr>
              <w:spacing w:line="360" w:lineRule="exact"/>
              <w:ind w:right="624"/>
              <w:jc w:val="right"/>
            </w:pPr>
            <w:r>
              <w:t>-</w:t>
            </w:r>
          </w:p>
        </w:tc>
        <w:tc>
          <w:tcPr>
            <w:tcW w:w="1880" w:type="dxa"/>
          </w:tcPr>
          <w:p w:rsidR="00000000" w:rsidRDefault="00000000">
            <w:pPr>
              <w:spacing w:line="360" w:lineRule="exact"/>
              <w:ind w:right="624"/>
              <w:jc w:val="right"/>
            </w:pPr>
            <w:r>
              <w:t>-</w:t>
            </w:r>
          </w:p>
        </w:tc>
      </w:tr>
    </w:tbl>
    <w:p w:rsidR="00000000" w:rsidRDefault="00000000">
      <w:pPr>
        <w:spacing w:line="360" w:lineRule="exact"/>
        <w:ind w:firstLine="425"/>
      </w:pPr>
    </w:p>
    <w:p w:rsidR="00000000" w:rsidRDefault="00000000">
      <w:pPr>
        <w:spacing w:after="240" w:line="360" w:lineRule="exact"/>
        <w:ind w:firstLine="425"/>
        <w:rPr>
          <w:rFonts w:hint="eastAsia"/>
        </w:rPr>
      </w:pPr>
      <w:r>
        <w:rPr>
          <w:rFonts w:hint="eastAsia"/>
        </w:rPr>
        <w:t>管理人员包括按工资等级表分列的</w:t>
      </w:r>
      <w:r>
        <w:t>38</w:t>
      </w:r>
      <w:r>
        <w:rPr>
          <w:rFonts w:hint="eastAsia"/>
        </w:rPr>
        <w:t>级：部长、大使、大学校长（和副校长）、助理主任、工程管理人、小学校长、森林总管、海关验关员（和副验关员）。最高管理人员：常务秘书和副秘书。</w:t>
      </w:r>
    </w:p>
    <w:p w:rsidR="00000000" w:rsidRDefault="00000000">
      <w:pPr>
        <w:spacing w:after="240" w:line="360" w:lineRule="exact"/>
        <w:ind w:firstLine="425"/>
      </w:pPr>
      <w:r>
        <w:rPr>
          <w:rFonts w:hint="eastAsia"/>
        </w:rPr>
        <w:t>资料来源：《</w:t>
      </w:r>
      <w:r>
        <w:t>1998</w:t>
      </w:r>
      <w:r>
        <w:rPr>
          <w:rFonts w:hint="eastAsia"/>
        </w:rPr>
        <w:t>年丹麦统计数据》。</w:t>
      </w:r>
    </w:p>
    <w:p w:rsidR="00000000" w:rsidRDefault="00000000">
      <w:pPr>
        <w:spacing w:after="240" w:line="360" w:lineRule="exact"/>
        <w:jc w:val="center"/>
        <w:rPr>
          <w:rFonts w:eastAsia="SimHei"/>
        </w:rPr>
      </w:pPr>
      <w:r>
        <w:rPr>
          <w:rFonts w:eastAsia="SimHei"/>
        </w:rPr>
        <w:br w:type="page"/>
      </w:r>
      <w:r>
        <w:rPr>
          <w:rFonts w:eastAsia="SimHei" w:hint="eastAsia"/>
        </w:rPr>
        <w:t>丹麦非政府组织的评论</w:t>
      </w:r>
    </w:p>
    <w:p w:rsidR="00000000" w:rsidRDefault="00000000">
      <w:pPr>
        <w:spacing w:after="240" w:line="360" w:lineRule="exact"/>
        <w:jc w:val="center"/>
        <w:rPr>
          <w:rFonts w:eastAsia="SimHei"/>
        </w:rPr>
      </w:pPr>
      <w:r>
        <w:rPr>
          <w:rFonts w:eastAsia="SimHei" w:hint="eastAsia"/>
        </w:rPr>
        <w:t>丹麦妇女委员会</w:t>
      </w:r>
    </w:p>
    <w:p w:rsidR="00000000" w:rsidRDefault="00000000">
      <w:pPr>
        <w:spacing w:after="240" w:line="360" w:lineRule="exact"/>
        <w:ind w:firstLine="425"/>
      </w:pPr>
      <w:r>
        <w:rPr>
          <w:rFonts w:hint="eastAsia"/>
        </w:rPr>
        <w:t>丹麦妇女委员会很高兴有机会对丹麦政府的第五次报告提出意见。该报告全面、如实介绍了丹麦男女之间的平等机会及尚末解决的问题等情况。然而，丹麦妇女委员会认为，在一些领域仍缺少将政策转化为行动的决心，对妇女的暴力行为和贩卖妇女便是这些领域的例子。</w:t>
      </w:r>
    </w:p>
    <w:p w:rsidR="00000000" w:rsidRDefault="00000000">
      <w:pPr>
        <w:spacing w:after="240" w:line="360" w:lineRule="exact"/>
        <w:ind w:firstLine="425"/>
      </w:pPr>
      <w:r>
        <w:rPr>
          <w:rFonts w:hint="eastAsia"/>
        </w:rPr>
        <w:t>就一般意见而言，我们提及本委员会对第四次报告的意见。但是，有理由强调，失业率数字的下降并未造成就业率同等的增加。这表明很多人未作为失业人员登记，而是靠其他形式的转移收入生活。</w:t>
      </w:r>
    </w:p>
    <w:p w:rsidR="00000000" w:rsidRDefault="00000000">
      <w:pPr>
        <w:spacing w:after="240" w:line="360" w:lineRule="exact"/>
        <w:rPr>
          <w:rFonts w:eastAsia="SimHei"/>
        </w:rPr>
      </w:pPr>
      <w:r>
        <w:rPr>
          <w:rFonts w:eastAsia="SimHei" w:hint="eastAsia"/>
        </w:rPr>
        <w:t>第</w:t>
      </w:r>
      <w:r>
        <w:rPr>
          <w:rFonts w:eastAsia="SimHei"/>
        </w:rPr>
        <w:t>2</w:t>
      </w:r>
      <w:r>
        <w:rPr>
          <w:rFonts w:eastAsia="SimHei" w:hint="eastAsia"/>
        </w:rPr>
        <w:t>条</w:t>
      </w:r>
    </w:p>
    <w:p w:rsidR="00000000" w:rsidRDefault="00000000">
      <w:pPr>
        <w:spacing w:after="240" w:line="360" w:lineRule="exact"/>
        <w:ind w:firstLine="425"/>
      </w:pPr>
      <w:r>
        <w:rPr>
          <w:rFonts w:hint="eastAsia"/>
        </w:rPr>
        <w:t>男女之间机会平等不是通过《丹麦宪法》来保障，而是通过其他立法来保障。关于丹麦正在进行的修改《宪法》的辩论，丹麦妇女委员会建议将男女平等机会问题列入《宪法》，以便体现男女平等机会是丹麦社会的基本原则之一。</w:t>
      </w:r>
    </w:p>
    <w:p w:rsidR="00000000" w:rsidRDefault="00000000">
      <w:pPr>
        <w:spacing w:after="240" w:line="360" w:lineRule="exact"/>
        <w:rPr>
          <w:rFonts w:eastAsia="SimHei"/>
        </w:rPr>
      </w:pPr>
      <w:r>
        <w:rPr>
          <w:rFonts w:eastAsia="SimHei" w:hint="eastAsia"/>
        </w:rPr>
        <w:t>第</w:t>
      </w:r>
      <w:r>
        <w:rPr>
          <w:rFonts w:eastAsia="SimHei"/>
        </w:rPr>
        <w:t>3</w:t>
      </w:r>
      <w:r>
        <w:rPr>
          <w:rFonts w:eastAsia="SimHei" w:hint="eastAsia"/>
        </w:rPr>
        <w:t>条</w:t>
      </w:r>
    </w:p>
    <w:p w:rsidR="00000000" w:rsidRDefault="00000000">
      <w:pPr>
        <w:spacing w:after="240" w:line="360" w:lineRule="exact"/>
        <w:ind w:firstLine="425"/>
      </w:pPr>
      <w:r>
        <w:rPr>
          <w:rFonts w:hint="eastAsia"/>
        </w:rPr>
        <w:t>各部在处理议会议案过程中并未将性别问题纳入主流。现在，它仍然是一个受到广泛讨论的战略。我们尚未看到此项战略在评价议会议案方面取得任何具体的成果。</w:t>
      </w:r>
    </w:p>
    <w:p w:rsidR="00000000" w:rsidRDefault="00000000">
      <w:pPr>
        <w:spacing w:after="240" w:line="360" w:lineRule="exact"/>
        <w:rPr>
          <w:rFonts w:eastAsia="SimHei"/>
        </w:rPr>
      </w:pPr>
      <w:r>
        <w:rPr>
          <w:rFonts w:eastAsia="SimHei" w:hint="eastAsia"/>
        </w:rPr>
        <w:t>第</w:t>
      </w:r>
      <w:r>
        <w:rPr>
          <w:rFonts w:eastAsia="SimHei"/>
        </w:rPr>
        <w:t>5</w:t>
      </w:r>
      <w:r>
        <w:rPr>
          <w:rFonts w:eastAsia="SimHei" w:hint="eastAsia"/>
        </w:rPr>
        <w:t>条</w:t>
      </w:r>
    </w:p>
    <w:p w:rsidR="00000000" w:rsidRDefault="00000000">
      <w:pPr>
        <w:spacing w:after="240" w:line="360" w:lineRule="exact"/>
        <w:ind w:firstLine="425"/>
      </w:pPr>
      <w:r>
        <w:rPr>
          <w:rFonts w:hint="eastAsia"/>
        </w:rPr>
        <w:t>青年妇女抱怨妇女受到压迫。近些年来，在丹麦，青年妇女在出版的书籍和公众会议上抨击目前我们社会中理想妇女的形象。妇女撰写个人文章抱怨她们感到自己未受到尊重和男女的平等和尊严来达到同等水平。她们强调妇女经济独立、政治、教育和家庭权利方面的重大进步，但批评我们社会中通过强化性别特征所建立的女性形象。电视频道的娱乐节目显现女性性特征，电台节目宣传硅胶乳房，色情文化日益充斥大众空间。电视色情节目表现妇女是男子暴行的心甘情愿的性玩物，而男子的形象同样具有攻击性。对妇女施加武力和暴力变成娱乐活动。传统的女性形象再度受到大力宣扬。青年妇女感到她们自我看法和男子对妇女的看法受到负面影响。由一项指标我们可以看出这一问题的严重性：饮食紊乱者增多即患厌食症或贪食症者增多。研究显示，年龄在</w:t>
      </w:r>
      <w:r>
        <w:t>14</w:t>
      </w:r>
      <w:r>
        <w:rPr>
          <w:rFonts w:hint="eastAsia"/>
        </w:rPr>
        <w:t>-</w:t>
      </w:r>
      <w:r>
        <w:t>24</w:t>
      </w:r>
      <w:r>
        <w:rPr>
          <w:rFonts w:hint="eastAsia"/>
        </w:rPr>
        <w:t>岁之间的少女存在与饮食紊乱相关的问题。</w:t>
      </w:r>
    </w:p>
    <w:p w:rsidR="00000000" w:rsidRDefault="00000000">
      <w:pPr>
        <w:spacing w:after="240" w:line="360" w:lineRule="exact"/>
        <w:rPr>
          <w:rFonts w:eastAsia="SimHei"/>
        </w:rPr>
      </w:pPr>
      <w:r>
        <w:rPr>
          <w:rFonts w:eastAsia="SimHei" w:hint="eastAsia"/>
        </w:rPr>
        <w:t>第</w:t>
      </w:r>
      <w:r>
        <w:rPr>
          <w:rFonts w:eastAsia="SimHei"/>
        </w:rPr>
        <w:t>6</w:t>
      </w:r>
      <w:r>
        <w:rPr>
          <w:rFonts w:eastAsia="SimHei" w:hint="eastAsia"/>
        </w:rPr>
        <w:t>条</w:t>
      </w:r>
    </w:p>
    <w:p w:rsidR="00000000" w:rsidRDefault="00000000">
      <w:pPr>
        <w:spacing w:after="240" w:line="360" w:lineRule="exact"/>
        <w:ind w:firstLine="425"/>
      </w:pPr>
      <w:r>
        <w:rPr>
          <w:rFonts w:hint="eastAsia"/>
        </w:rPr>
        <w:t>一般而言，在丹麦确实存在贩卖外国妇女从事卖淫和性行业的现象。而且，外国妓女的人数不断增加。丹麦仍然没有禁止从其他国家进口妇女在丹麦从事卖淫活动的法律。警方很少调查贩卖妇女卖淫的案例，而诉诸法院的案例极少。</w:t>
      </w:r>
    </w:p>
    <w:p w:rsidR="00000000" w:rsidRDefault="00000000">
      <w:pPr>
        <w:spacing w:after="240" w:line="360" w:lineRule="exact"/>
        <w:ind w:firstLine="425"/>
      </w:pPr>
      <w:r>
        <w:rPr>
          <w:rFonts w:hint="eastAsia"/>
        </w:rPr>
        <w:t>我们认为，贩卖妇女卖淫是侵犯人权行为。这表明我们认为所涉妇女是受害人而非罪犯。不论妇女是否了解她们准备从事色情行业的工作，均适合这一点。被贩卖妇女是处于受到隐藏在她们后面的男子剥削的境况，因此，这种情况下区别自愿卖淫和强迫卖淫是无意义的。</w:t>
      </w:r>
    </w:p>
    <w:p w:rsidR="00000000" w:rsidRDefault="00000000">
      <w:pPr>
        <w:spacing w:after="240" w:line="360" w:lineRule="exact"/>
        <w:ind w:firstLine="425"/>
      </w:pPr>
      <w:r>
        <w:rPr>
          <w:rFonts w:hint="eastAsia"/>
        </w:rPr>
        <w:t>这些妇女作为侵犯人权的受害者需要获得特别支助，如获得食物、住宿、心理咨询和心理保护方面的支助。而且，必须给予妇女保护以便在对其犯有剥削罪的男子的法律诉讼中使她们能作为证人提供证词。应向准备作证的妇女提供临时居住许可而不是将其驱逐出境。</w:t>
      </w:r>
    </w:p>
    <w:p w:rsidR="00000000" w:rsidRDefault="00000000">
      <w:pPr>
        <w:spacing w:after="240" w:line="360" w:lineRule="exact"/>
        <w:ind w:firstLine="425"/>
      </w:pPr>
      <w:r>
        <w:rPr>
          <w:rFonts w:hint="eastAsia"/>
        </w:rPr>
        <w:t>关于卖淫，我们认为应制定一个贩卖人口的精确的定义。该定义应把贩卖人口定为一种罪行，即使受害人同意。确定卖淫案件需要进行有效调查，我们认为应设立一个由男女工作人员组成的特别警察股，以便提高调查的水平并确保罪犯受到指控。</w:t>
      </w:r>
    </w:p>
    <w:p w:rsidR="00000000" w:rsidRDefault="00000000">
      <w:pPr>
        <w:spacing w:after="240" w:line="360" w:lineRule="exact"/>
        <w:ind w:firstLine="425"/>
      </w:pPr>
      <w:r>
        <w:rPr>
          <w:rFonts w:hint="eastAsia"/>
        </w:rPr>
        <w:t>从长远的观点来看，主要的任务是根除贩卖妇女行为日益增加的原因：贫穷和在其本国缺少机会。从短期观点来看，我们认为，通过与欧盟、欧洲理事会和联合国合作，丹麦应参与支助在妇女来源国开展的宣传运动，此种运动被证明为行之有效，并支助使遭受贩卖的妇女复原的方案。这些妇女本国的非政府组织在这方面可发挥重要的作用。</w:t>
      </w:r>
    </w:p>
    <w:p w:rsidR="00000000" w:rsidRDefault="00000000">
      <w:pPr>
        <w:spacing w:after="240" w:line="360" w:lineRule="exact"/>
        <w:rPr>
          <w:rFonts w:eastAsia="SimHei"/>
        </w:rPr>
      </w:pPr>
      <w:r>
        <w:rPr>
          <w:rFonts w:eastAsia="SimHei" w:hint="eastAsia"/>
        </w:rPr>
        <w:t>第</w:t>
      </w:r>
      <w:r>
        <w:rPr>
          <w:rFonts w:eastAsia="SimHei"/>
        </w:rPr>
        <w:t>7</w:t>
      </w:r>
      <w:r>
        <w:rPr>
          <w:rFonts w:eastAsia="SimHei" w:hint="eastAsia"/>
        </w:rPr>
        <w:t>条</w:t>
      </w:r>
    </w:p>
    <w:p w:rsidR="00000000" w:rsidRDefault="00000000">
      <w:pPr>
        <w:spacing w:after="240" w:line="360" w:lineRule="exact"/>
        <w:ind w:firstLine="425"/>
      </w:pPr>
      <w:r>
        <w:rPr>
          <w:rFonts w:hint="eastAsia"/>
        </w:rPr>
        <w:t>公营部门的高级职务任职者以男性为主。在市和郡只有</w:t>
      </w:r>
      <w:r>
        <w:rPr>
          <w:rFonts w:hint="eastAsia"/>
        </w:rPr>
        <w:t>13</w:t>
      </w:r>
      <w:r>
        <w:t>.3%</w:t>
      </w:r>
      <w:r>
        <w:rPr>
          <w:rFonts w:hint="eastAsia"/>
        </w:rPr>
        <w:t>的妇女担任高级行政官职务，尽管</w:t>
      </w:r>
      <w:r>
        <w:t>77%</w:t>
      </w:r>
      <w:r>
        <w:rPr>
          <w:rFonts w:hint="eastAsia"/>
        </w:rPr>
        <w:t>的工作人员是妇女。在中央政府中担任高级管理职务的女性比例也极低，管理人员中只有</w:t>
      </w:r>
      <w:r>
        <w:t>10%</w:t>
      </w:r>
      <w:r>
        <w:rPr>
          <w:rFonts w:hint="eastAsia"/>
        </w:rPr>
        <w:t>是妇女，而且在部属部门没有女首长。在大学只有</w:t>
      </w:r>
      <w:r>
        <w:t>7%</w:t>
      </w:r>
      <w:r>
        <w:rPr>
          <w:rFonts w:hint="eastAsia"/>
        </w:rPr>
        <w:t>的教授是妇女。</w:t>
      </w:r>
    </w:p>
    <w:p w:rsidR="00000000" w:rsidRDefault="00000000">
      <w:pPr>
        <w:spacing w:after="240" w:line="360" w:lineRule="exact"/>
        <w:rPr>
          <w:rFonts w:eastAsia="SimHei"/>
        </w:rPr>
      </w:pPr>
      <w:r>
        <w:rPr>
          <w:rFonts w:eastAsia="SimHei" w:hint="eastAsia"/>
        </w:rPr>
        <w:t>第</w:t>
      </w:r>
      <w:r>
        <w:rPr>
          <w:rFonts w:eastAsia="SimHei"/>
        </w:rPr>
        <w:t>9</w:t>
      </w:r>
      <w:r>
        <w:rPr>
          <w:rFonts w:eastAsia="SimHei" w:hint="eastAsia"/>
        </w:rPr>
        <w:t>条</w:t>
      </w:r>
    </w:p>
    <w:p w:rsidR="00000000" w:rsidRDefault="00000000">
      <w:pPr>
        <w:spacing w:after="240" w:line="360" w:lineRule="exact"/>
        <w:ind w:firstLine="425"/>
      </w:pPr>
      <w:r>
        <w:rPr>
          <w:rFonts w:hint="eastAsia"/>
        </w:rPr>
        <w:t>应确保由于基于性别的暴力或卖淫而逃离自己祖国的妇女在丹麦的庇护权。丹麦处理庇护案例的做法不能确保充分审查特定性别的逃跑动机和应采取的关于处理庇护案例的针对特定性别的指导原则。</w:t>
      </w:r>
    </w:p>
    <w:p w:rsidR="00000000" w:rsidRDefault="00000000">
      <w:pPr>
        <w:spacing w:after="240" w:line="360" w:lineRule="exact"/>
        <w:rPr>
          <w:rFonts w:eastAsia="SimHei"/>
        </w:rPr>
      </w:pPr>
      <w:r>
        <w:rPr>
          <w:rFonts w:eastAsia="SimHei" w:hint="eastAsia"/>
        </w:rPr>
        <w:t>第</w:t>
      </w:r>
      <w:r>
        <w:rPr>
          <w:rFonts w:eastAsia="SimHei"/>
        </w:rPr>
        <w:t>11</w:t>
      </w:r>
      <w:r>
        <w:rPr>
          <w:rFonts w:eastAsia="SimHei" w:hint="eastAsia"/>
        </w:rPr>
        <w:t>条</w:t>
      </w:r>
    </w:p>
    <w:p w:rsidR="00000000" w:rsidRDefault="00000000">
      <w:pPr>
        <w:spacing w:after="240" w:line="360" w:lineRule="exact"/>
        <w:ind w:firstLine="425"/>
      </w:pPr>
      <w:r>
        <w:rPr>
          <w:rFonts w:hint="eastAsia"/>
        </w:rPr>
        <w:t>缺少平等报酬仍然是个严重的问题。尽管存在关于平等报酬的立法，但在男女之间仍有很大差异。需要制定一些方法以准确表示平等价值工作的含义，以便重新评价妇女的资格。劳动力市场负责制定集体协议的各方没有弥合工资差距的足够能力。集体协议须从性别角度证明合适。新的工资系统包括附加资格证明，确定的权力下放以及个人工资谈判。我们担心这一系统会进一步导致工资差异。在私人劳动力市场中，工资状况不够明朗。关于政府新的性别平等政策的问题，设立了主管性别歧视投诉的委员会，但尚未给予该委员会从雇主处获得必要的工资资料的权利。</w:t>
      </w:r>
    </w:p>
    <w:p w:rsidR="00000000" w:rsidRDefault="00000000">
      <w:pPr>
        <w:spacing w:after="240" w:line="360" w:lineRule="exact"/>
        <w:ind w:firstLine="425"/>
      </w:pPr>
      <w:r>
        <w:rPr>
          <w:rFonts w:hint="eastAsia"/>
        </w:rPr>
        <w:t>关于妇女的工作环境问题，妇女参加劳动力市场的高比率对妇女的健康是个积极的因素。研究表明，参加全日制工作和非全日制工作的妇女的死亡率低于在家工作的妇女的死亡率。妇女参加工作的高比率是导致妇女健康问题的说法是荒诞的。相反，问题在于在劳动力市场中缺少平等的机会和在工作环境中不能从性别观点解决问题。妇女劳动力市场的特点是：工作缺少安全感、工作压力大、体力和心理压力过强，如养育和护理部门。</w:t>
      </w:r>
    </w:p>
    <w:p w:rsidR="00000000" w:rsidRDefault="00000000">
      <w:pPr>
        <w:spacing w:after="240" w:line="360" w:lineRule="exact"/>
        <w:rPr>
          <w:rFonts w:eastAsia="SimHei"/>
        </w:rPr>
      </w:pPr>
      <w:r>
        <w:rPr>
          <w:rFonts w:eastAsia="SimHei" w:hint="eastAsia"/>
        </w:rPr>
        <w:t>第</w:t>
      </w:r>
      <w:r>
        <w:rPr>
          <w:rFonts w:eastAsia="SimHei"/>
        </w:rPr>
        <w:t>12</w:t>
      </w:r>
      <w:r>
        <w:rPr>
          <w:rFonts w:eastAsia="SimHei" w:hint="eastAsia"/>
        </w:rPr>
        <w:t>条</w:t>
      </w:r>
    </w:p>
    <w:p w:rsidR="00000000" w:rsidRDefault="00000000">
      <w:pPr>
        <w:spacing w:after="240" w:line="360" w:lineRule="exact"/>
        <w:ind w:firstLine="425"/>
      </w:pPr>
      <w:r>
        <w:rPr>
          <w:rFonts w:hint="eastAsia"/>
        </w:rPr>
        <w:t>我们认为，丹麦保健政策所忽视的一个领域是外部环境中有害物质的影响。一些以化学方法生产的激素类物质被生产和排放，这可能对妇女的健康以及男女的生育率产生有害影响。但尚未对其长期影响作研究。在另一些案例中，其影响已有案可稽。这也适用于强致癌物质二氧（杂）芑。食物中含有这种物质并且当其在脂肪组织积累时被人体所吸收。可在母乳中找到二氧（杂）芑，并通过喂乳传给下一代。农业杀虫剂、塑化剂和去活剂等均含有这些有害物质。人们担心这些物质对各种癌产生影响，如乳腺癌。乳腺癌是丹麦最常见的癌；而且死亡率极高。</w:t>
      </w:r>
      <w:r>
        <w:t>1987-1991</w:t>
      </w:r>
      <w:r>
        <w:rPr>
          <w:rFonts w:hint="eastAsia"/>
        </w:rPr>
        <w:t>年间被诊断患乳腺癌的妇女中，只有</w:t>
      </w:r>
      <w:r>
        <w:t>53%</w:t>
      </w:r>
      <w:r>
        <w:rPr>
          <w:rFonts w:hint="eastAsia"/>
        </w:rPr>
        <w:t>至</w:t>
      </w:r>
      <w:r>
        <w:t>1996</w:t>
      </w:r>
      <w:r>
        <w:rPr>
          <w:rFonts w:hint="eastAsia"/>
        </w:rPr>
        <w:t>年底仍然活着。此种疾病日益增多：</w:t>
      </w:r>
      <w:r>
        <w:t>1996</w:t>
      </w:r>
      <w:r>
        <w:rPr>
          <w:rFonts w:hint="eastAsia"/>
        </w:rPr>
        <w:t>年被诊断患乳腺癌的妇女有</w:t>
      </w:r>
      <w:r>
        <w:t>3480</w:t>
      </w:r>
      <w:r>
        <w:rPr>
          <w:rFonts w:hint="eastAsia"/>
        </w:rPr>
        <w:t>人，而</w:t>
      </w:r>
      <w:r>
        <w:t>15</w:t>
      </w:r>
      <w:r>
        <w:rPr>
          <w:rFonts w:hint="eastAsia"/>
        </w:rPr>
        <w:t>年前要少</w:t>
      </w:r>
      <w:r>
        <w:t>1000</w:t>
      </w:r>
      <w:r>
        <w:rPr>
          <w:rFonts w:hint="eastAsia"/>
        </w:rPr>
        <w:t>人。自然而然，确保患乳腺癌的妇女获得及时有效的治疗很重要。但同时也很重要的是深入研究乳腺癌的病因和发展情况。因此，丹麦妇女委员会要求在环境医学领域提供更多的研究资金。在丹麦，在出生率停滞的同时流产数目也减少了。这些情况表明生育率下降了，而这可能是由于环境中的激素类物质的有害影响所致。</w:t>
      </w:r>
    </w:p>
    <w:p w:rsidR="00000000" w:rsidRDefault="00000000">
      <w:pPr>
        <w:spacing w:after="240" w:line="360" w:lineRule="exact"/>
        <w:ind w:firstLine="425"/>
      </w:pPr>
      <w:r>
        <w:rPr>
          <w:rFonts w:hint="eastAsia"/>
        </w:rPr>
        <w:t>由于尚不明确这些物质对我们产生的全部影响，我们要求标明含激素类物质的产品，至少消费者有避免此种产品的可能性。同时，我们要求政府高度重视消除有毒生产的工作。</w:t>
      </w:r>
    </w:p>
    <w:p w:rsidR="00000000" w:rsidRDefault="00000000">
      <w:pPr>
        <w:spacing w:after="240" w:line="360" w:lineRule="exact"/>
        <w:ind w:firstLine="425"/>
      </w:pPr>
      <w:r>
        <w:t>2000</w:t>
      </w:r>
      <w:r>
        <w:rPr>
          <w:rFonts w:hint="eastAsia"/>
        </w:rPr>
        <w:t>年</w:t>
      </w:r>
      <w:r>
        <w:t>5</w:t>
      </w:r>
      <w:r>
        <w:rPr>
          <w:rFonts w:hint="eastAsia"/>
        </w:rPr>
        <w:t>月</w:t>
      </w:r>
      <w:r>
        <w:t>15</w:t>
      </w:r>
      <w:r>
        <w:rPr>
          <w:rFonts w:hint="eastAsia"/>
        </w:rPr>
        <w:t>日，哥本哈根。</w:t>
      </w:r>
    </w:p>
    <w:p w:rsidR="00000000" w:rsidRDefault="00000000">
      <w:pPr>
        <w:spacing w:after="240" w:line="360" w:lineRule="exact"/>
        <w:ind w:firstLine="425"/>
        <w:rPr>
          <w:u w:val="single"/>
        </w:rPr>
      </w:pPr>
      <w:r>
        <w:rPr>
          <w:rFonts w:hint="eastAsia"/>
        </w:rPr>
        <w:t>办公室主任：</w:t>
      </w:r>
      <w:r>
        <w:rPr>
          <w:rFonts w:hint="eastAsia"/>
          <w:u w:val="single"/>
        </w:rPr>
        <w:t>签名</w:t>
      </w:r>
      <w:r>
        <w:t xml:space="preserve">       </w:t>
      </w:r>
      <w:r>
        <w:rPr>
          <w:rFonts w:hint="eastAsia"/>
        </w:rPr>
        <w:t>新闻干事：</w:t>
      </w:r>
      <w:r>
        <w:rPr>
          <w:rFonts w:hint="eastAsia"/>
          <w:u w:val="single"/>
        </w:rPr>
        <w:t>签名</w:t>
      </w:r>
    </w:p>
    <w:p w:rsidR="00000000" w:rsidRDefault="00000000">
      <w:pPr>
        <w:spacing w:after="240" w:line="360" w:lineRule="exact"/>
        <w:ind w:firstLine="425"/>
      </w:pPr>
      <w:r>
        <w:t>Aase Rieck Sorensen      Randi Theil Nielsen</w:t>
      </w:r>
    </w:p>
    <w:p w:rsidR="00000000" w:rsidRDefault="00000000">
      <w:pPr>
        <w:spacing w:after="240" w:line="360" w:lineRule="exact"/>
        <w:ind w:firstLine="425"/>
      </w:pPr>
      <w:r>
        <w:rPr>
          <w:rFonts w:hint="eastAsia"/>
        </w:rPr>
        <w:t>丹麦妇女委员会（前丹麦全国妇女委员会）是丹麦致力于争取妇女权利和影响的妇女非政府组织的一个主要伞式组织。妇女委员会有</w:t>
      </w:r>
      <w:r>
        <w:t>49</w:t>
      </w:r>
      <w:r>
        <w:rPr>
          <w:rFonts w:hint="eastAsia"/>
        </w:rPr>
        <w:t>个附属组织，成员总数超过</w:t>
      </w:r>
      <w:r>
        <w:t>100</w:t>
      </w:r>
      <w:r>
        <w:rPr>
          <w:rFonts w:hint="eastAsia"/>
        </w:rPr>
        <w:t>万人。自</w:t>
      </w:r>
      <w:r>
        <w:t>1899</w:t>
      </w:r>
      <w:r>
        <w:rPr>
          <w:rFonts w:hint="eastAsia"/>
        </w:rPr>
        <w:t>年妇女委员会成立以来，妇女组织和其他致力于男女平等的组织通力合，作以便在国际和国内争取人权的共同斗争中力量更强大。如今该组织的成员包括工会、政党、性别问题研究人员、宗教和人道主义协会、难民妇女组织等等。</w:t>
      </w:r>
    </w:p>
    <w:p w:rsidR="00000000" w:rsidRDefault="00000000">
      <w:pPr>
        <w:spacing w:after="240" w:line="360" w:lineRule="exact"/>
        <w:jc w:val="center"/>
        <w:rPr>
          <w:rFonts w:eastAsia="SimHei"/>
        </w:rPr>
      </w:pPr>
      <w:r>
        <w:rPr>
          <w:rFonts w:eastAsia="SimHei"/>
        </w:rPr>
        <w:br w:type="page"/>
      </w:r>
      <w:r>
        <w:rPr>
          <w:rFonts w:eastAsia="SimHei" w:hint="eastAsia"/>
        </w:rPr>
        <w:t>丹麦妇女协会</w:t>
      </w:r>
    </w:p>
    <w:p w:rsidR="00000000" w:rsidRDefault="00000000">
      <w:pPr>
        <w:spacing w:after="240" w:line="360" w:lineRule="exact"/>
        <w:ind w:firstLine="425"/>
      </w:pPr>
      <w:r>
        <w:rPr>
          <w:rFonts w:hint="eastAsia"/>
        </w:rPr>
        <w:t>丹麦妇女协会很高兴有机会对丹麦政府关于执行《消除对妇女一切形式歧视公约》的报告发表评论。我们认为，总的说来，国家报告全面、公平地介绍了丹麦妇女的地位以及为进一步提高妇女地位而执行的政策和措施。</w:t>
      </w:r>
    </w:p>
    <w:p w:rsidR="00000000" w:rsidRDefault="00000000">
      <w:pPr>
        <w:spacing w:after="240" w:line="360" w:lineRule="exact"/>
        <w:ind w:firstLine="425"/>
      </w:pPr>
      <w:r>
        <w:rPr>
          <w:rFonts w:hint="eastAsia"/>
        </w:rPr>
        <w:t>因此，我们限于对我们认为有助于进一步提高丹麦妇女地位的下述问题提出意见。</w:t>
      </w:r>
    </w:p>
    <w:p w:rsidR="00000000" w:rsidRDefault="00000000">
      <w:pPr>
        <w:spacing w:after="240" w:line="360" w:lineRule="exact"/>
        <w:ind w:firstLine="425"/>
      </w:pPr>
      <w:r>
        <w:rPr>
          <w:rFonts w:hint="eastAsia"/>
        </w:rPr>
        <w:t>现在，丹麦尚存的立法上的不平等问题极少，但丹麦妇女协会高兴地注意到，政府已作出承诺：通过通讯与宣传，强调观念转变以便实现男女事实上的平等。应赞扬从把妇女视为歧视的受害者到视其为社会和经济发展中不可缺少的合作伙伴过程中的重点改变。因为这突出了妇女作为自己的代理人的作用。同样，加强男子在平等工作中的作用是另一种进步。在性别平等被视为妇女与男子双赢的状况之前，永远不会实现最终的目标。</w:t>
      </w:r>
    </w:p>
    <w:p w:rsidR="00000000" w:rsidRDefault="00000000">
      <w:pPr>
        <w:spacing w:after="240" w:line="360" w:lineRule="exact"/>
        <w:rPr>
          <w:rFonts w:eastAsia="SimHei"/>
        </w:rPr>
      </w:pPr>
      <w:r>
        <w:rPr>
          <w:rFonts w:eastAsia="SimHei" w:hint="eastAsia"/>
        </w:rPr>
        <w:t>第</w:t>
      </w:r>
      <w:r>
        <w:rPr>
          <w:rFonts w:eastAsia="SimHei"/>
        </w:rPr>
        <w:t>3</w:t>
      </w:r>
      <w:r>
        <w:rPr>
          <w:rFonts w:eastAsia="SimHei" w:hint="eastAsia"/>
        </w:rPr>
        <w:t>条</w:t>
      </w:r>
      <w:r>
        <w:rPr>
          <w:rFonts w:eastAsia="SimHei"/>
        </w:rPr>
        <w:t xml:space="preserve">  </w:t>
      </w:r>
      <w:r>
        <w:rPr>
          <w:rFonts w:eastAsia="SimHei" w:hint="eastAsia"/>
        </w:rPr>
        <w:t>国家政策</w:t>
      </w:r>
    </w:p>
    <w:p w:rsidR="00000000" w:rsidRDefault="00000000">
      <w:pPr>
        <w:spacing w:after="240" w:line="360" w:lineRule="exact"/>
        <w:ind w:firstLine="425"/>
      </w:pPr>
      <w:r>
        <w:rPr>
          <w:rFonts w:hint="eastAsia"/>
        </w:rPr>
        <w:t>关于将政府将性别平等纳入所有政治倡议的战略，丹麦妇女协会同意政府报告关于为实现将性别问题纳入主流需要进一步实施和其他方法的说明。</w:t>
      </w:r>
    </w:p>
    <w:p w:rsidR="00000000" w:rsidRDefault="00000000">
      <w:pPr>
        <w:spacing w:after="240" w:line="360" w:lineRule="exact"/>
        <w:ind w:firstLine="425"/>
      </w:pPr>
      <w:r>
        <w:rPr>
          <w:rFonts w:hint="eastAsia"/>
        </w:rPr>
        <w:t>然而，未提及在将性别平等纳入主流过程中，继续重视妇女关注的核心问题的重要性。如果纳入主流的努力变为非特定“性别问题的纳入”，特别是在没有妇女担任促进妇女关心的特定问题的有影响力的决策性职务的情况下这样做，丹麦妇女协会担心会忽视妇女所关注的问题。无论纳入主流如何值得称道，但不得成为停止解决妇女特别关切的问题的一种借口。今后一段时间内，应特别重视妇女关注的问题，可以采取研究、试点项目与妇女代表磋商和监测纳入主流努力的成果等形式。</w:t>
      </w:r>
    </w:p>
    <w:p w:rsidR="00000000" w:rsidRDefault="00000000">
      <w:pPr>
        <w:spacing w:after="240" w:line="360" w:lineRule="exact"/>
        <w:rPr>
          <w:rFonts w:eastAsia="SimHei"/>
        </w:rPr>
      </w:pPr>
      <w:r>
        <w:rPr>
          <w:rFonts w:eastAsia="SimHei" w:hint="eastAsia"/>
        </w:rPr>
        <w:t>第</w:t>
      </w:r>
      <w:r>
        <w:rPr>
          <w:rFonts w:eastAsia="SimHei"/>
        </w:rPr>
        <w:t>4</w:t>
      </w:r>
      <w:r>
        <w:rPr>
          <w:rFonts w:eastAsia="SimHei" w:hint="eastAsia"/>
        </w:rPr>
        <w:t>条</w:t>
      </w:r>
      <w:r>
        <w:rPr>
          <w:rFonts w:eastAsia="SimHei"/>
        </w:rPr>
        <w:t xml:space="preserve">  </w:t>
      </w:r>
      <w:r>
        <w:rPr>
          <w:rFonts w:eastAsia="SimHei" w:hint="eastAsia"/>
        </w:rPr>
        <w:t>平等机构和临时办法</w:t>
      </w:r>
    </w:p>
    <w:p w:rsidR="00000000" w:rsidRDefault="00000000">
      <w:pPr>
        <w:spacing w:after="240" w:line="360" w:lineRule="exact"/>
        <w:ind w:firstLine="425"/>
      </w:pPr>
      <w:r>
        <w:rPr>
          <w:rFonts w:hint="eastAsia"/>
        </w:rPr>
        <w:t>丹麦妇女协会特别高兴地注意到议会关于支持改善工作生活与家庭生活之间的协调的建议。丹麦妇女协会对丹麦向消除对妇女歧视委员会提交的第四期报告中提出的一个问题是：只在收入、法律和在劳动力市场的地位方面看到为实现男女平等机会所作的努力。如果我们的担心没有根据，我们只能感到高兴。</w:t>
      </w:r>
    </w:p>
    <w:p w:rsidR="00000000" w:rsidRDefault="00000000">
      <w:pPr>
        <w:spacing w:after="240" w:line="360" w:lineRule="exact"/>
        <w:ind w:firstLine="425"/>
      </w:pPr>
      <w:r>
        <w:rPr>
          <w:rFonts w:hint="eastAsia"/>
        </w:rPr>
        <w:t>关于设立一个关心男女平等的新的机制问题，使丹麦妇女协会同样高兴的是，性别平等事务部长可以期待一个司级单位的支助和援助和为平等工作增加预算。在调整国家机构的过程中丹麦妇女协会早就对情况未必如此表示关切。</w:t>
      </w:r>
    </w:p>
    <w:p w:rsidR="00000000" w:rsidRDefault="00000000">
      <w:pPr>
        <w:spacing w:after="240" w:line="360" w:lineRule="exact"/>
        <w:rPr>
          <w:rFonts w:eastAsia="SimHei"/>
        </w:rPr>
      </w:pPr>
      <w:r>
        <w:rPr>
          <w:rFonts w:eastAsia="SimHei"/>
        </w:rPr>
        <w:br w:type="page"/>
      </w:r>
      <w:r>
        <w:rPr>
          <w:rFonts w:eastAsia="SimHei" w:hint="eastAsia"/>
        </w:rPr>
        <w:t>非政府组织</w:t>
      </w:r>
    </w:p>
    <w:p w:rsidR="00000000" w:rsidRDefault="00000000">
      <w:pPr>
        <w:spacing w:after="240" w:line="360" w:lineRule="exact"/>
        <w:ind w:firstLine="425"/>
      </w:pPr>
      <w:r>
        <w:rPr>
          <w:rFonts w:hint="eastAsia"/>
        </w:rPr>
        <w:t>丹麦妇女协会很高兴丹麦政府把与非政府组织合作作为一个优点事项。本期报告认可妇女非政府组织的作用及其对妇女的平等权利领域的贡献。丹麦政府将由于使非政府组织参加提高妇女地位的工作而受到赞扬。</w:t>
      </w:r>
    </w:p>
    <w:p w:rsidR="00000000" w:rsidRDefault="00000000">
      <w:pPr>
        <w:spacing w:after="240" w:line="360" w:lineRule="exact"/>
        <w:ind w:firstLine="425"/>
      </w:pPr>
      <w:r>
        <w:rPr>
          <w:rFonts w:hint="eastAsia"/>
        </w:rPr>
        <w:t>然而，丹麦妇女协会想提请注意以下事实：非政府组织自愿承担专业性尽可能强以便产生影响的工作对当今的丹麦妇女来说正变得越来越困难。</w:t>
      </w:r>
    </w:p>
    <w:p w:rsidR="00000000" w:rsidRDefault="00000000">
      <w:pPr>
        <w:pStyle w:val="BodyTextIndent"/>
        <w:spacing w:line="360" w:lineRule="exact"/>
      </w:pPr>
      <w:r>
        <w:rPr>
          <w:rFonts w:hint="eastAsia"/>
        </w:rPr>
        <w:t>大多数丹麦妇女参加全日制工作，更多妇女将劳动力市场的工作与家庭责任结合起来，妇女承担的家庭责任的份额仍然是最多的。她们几乎没有时间从事志愿者工作。必须承认这种状况，并向妇女组织提供适当的财政援助。此种援助不仅用于专门的活动，而且也用于日常的行政费用。如今，对于许多妇女组织来说，结成国际网络的费用是非常昂贵的。</w:t>
      </w:r>
    </w:p>
    <w:p w:rsidR="00000000" w:rsidRDefault="00000000">
      <w:pPr>
        <w:spacing w:after="240" w:line="360" w:lineRule="exact"/>
        <w:ind w:firstLine="425"/>
      </w:pPr>
      <w:r>
        <w:rPr>
          <w:rFonts w:hint="eastAsia"/>
        </w:rPr>
        <w:t>这些问题特别重要，因为今天需要在丹麦公民中普及对于下述问题的共同认识继续需要监测已赢得权利和（经常理所应当地）需要作出努力以确保进一步提高丹麦妇女及国际妇女的地位。</w:t>
      </w:r>
    </w:p>
    <w:p w:rsidR="00000000" w:rsidRDefault="00000000">
      <w:pPr>
        <w:spacing w:after="240" w:line="360" w:lineRule="exact"/>
        <w:rPr>
          <w:rFonts w:eastAsia="SimHei"/>
        </w:rPr>
      </w:pPr>
      <w:r>
        <w:rPr>
          <w:rFonts w:eastAsia="SimHei" w:hint="eastAsia"/>
        </w:rPr>
        <w:t>第</w:t>
      </w:r>
      <w:r>
        <w:rPr>
          <w:rFonts w:eastAsia="SimHei"/>
        </w:rPr>
        <w:t>6</w:t>
      </w:r>
      <w:r>
        <w:rPr>
          <w:rFonts w:eastAsia="SimHei" w:hint="eastAsia"/>
        </w:rPr>
        <w:t>条</w:t>
      </w:r>
      <w:r>
        <w:rPr>
          <w:rFonts w:eastAsia="SimHei"/>
        </w:rPr>
        <w:t xml:space="preserve">  </w:t>
      </w:r>
      <w:r>
        <w:rPr>
          <w:rFonts w:eastAsia="SimHei" w:hint="eastAsia"/>
        </w:rPr>
        <w:t>特别问题</w:t>
      </w:r>
    </w:p>
    <w:p w:rsidR="00000000" w:rsidRDefault="00000000">
      <w:pPr>
        <w:spacing w:after="240" w:line="360" w:lineRule="exact"/>
        <w:ind w:firstLine="425"/>
      </w:pPr>
      <w:r>
        <w:rPr>
          <w:rFonts w:hint="eastAsia"/>
        </w:rPr>
        <w:t>丹麦妇女协会同意丹麦政府为满足丹麦少数民族妇女的需要和解决对妇女暴力行为和贩卖妇女问题所选择的特别主动行动。丹麦妇女协会认为在丹麦需要特别关注这些问题并需要做更多的工作以解决这些问题。</w:t>
      </w:r>
    </w:p>
    <w:p w:rsidR="00000000" w:rsidRDefault="00000000">
      <w:pPr>
        <w:spacing w:after="240" w:line="360" w:lineRule="exact"/>
        <w:rPr>
          <w:rFonts w:eastAsia="SimHei"/>
        </w:rPr>
      </w:pPr>
      <w:r>
        <w:rPr>
          <w:rFonts w:eastAsia="SimHei" w:hint="eastAsia"/>
        </w:rPr>
        <w:t>暴力和强奸</w:t>
      </w:r>
    </w:p>
    <w:p w:rsidR="00000000" w:rsidRDefault="00000000">
      <w:pPr>
        <w:spacing w:after="240" w:line="360" w:lineRule="exact"/>
        <w:ind w:firstLine="425"/>
      </w:pPr>
      <w:r>
        <w:rPr>
          <w:rFonts w:hint="eastAsia"/>
        </w:rPr>
        <w:t>根据丹麦全国危机中心的年度报告，因受殴打而试图进入避难所的妇女不断增加。结果，由于避难所缺少房间而使三分之一的求救妇女被拒之门外。</w:t>
      </w:r>
    </w:p>
    <w:p w:rsidR="00000000" w:rsidRDefault="00000000">
      <w:pPr>
        <w:spacing w:after="240" w:line="360" w:lineRule="exact"/>
        <w:ind w:firstLine="425"/>
      </w:pPr>
      <w:r>
        <w:rPr>
          <w:rFonts w:hint="eastAsia"/>
        </w:rPr>
        <w:t>地方警察局设立暴力受害人地方咨询中心，咨询对象大多数为受到街头暴力、武装抢劫和威胁等男女两种性别的人们。这些中心关于暴力的统计数字未具体说明暴力的类别。不过，依照我们的经验来看，向这些咨询中心申请救助的受妻子殴打的受害人为数极少。</w:t>
      </w:r>
    </w:p>
    <w:p w:rsidR="00000000" w:rsidRDefault="00000000">
      <w:pPr>
        <w:spacing w:after="240" w:line="360" w:lineRule="exact"/>
        <w:ind w:firstLine="425"/>
      </w:pPr>
      <w:r>
        <w:rPr>
          <w:rFonts w:hint="eastAsia"/>
        </w:rPr>
        <w:t>丹麦妇女协会很高兴政府为一个为期</w:t>
      </w:r>
      <w:r>
        <w:t>4</w:t>
      </w:r>
      <w:r>
        <w:rPr>
          <w:rFonts w:hint="eastAsia"/>
        </w:rPr>
        <w:t>年的试点项目拨款</w:t>
      </w:r>
      <w:r>
        <w:t>2000</w:t>
      </w:r>
      <w:r>
        <w:rPr>
          <w:rFonts w:hint="eastAsia"/>
        </w:rPr>
        <w:t>万丹麦克朗，以设立强奸罪受害人接待中心。我们想说明，丹麦妇女协会打算密切关注该项目的进展。我们认为，有必要向各郡施加压力，以完成政府下达的任务。我们的一个分部已着手进行这项工作。</w:t>
      </w:r>
    </w:p>
    <w:p w:rsidR="00000000" w:rsidRDefault="00000000">
      <w:pPr>
        <w:spacing w:after="240" w:line="360" w:lineRule="exact"/>
        <w:rPr>
          <w:rFonts w:eastAsia="SimHei"/>
        </w:rPr>
      </w:pPr>
      <w:r>
        <w:rPr>
          <w:rFonts w:eastAsia="SimHei"/>
        </w:rPr>
        <w:br w:type="page"/>
      </w:r>
      <w:r>
        <w:rPr>
          <w:rFonts w:eastAsia="SimHei" w:hint="eastAsia"/>
        </w:rPr>
        <w:t>贩卖妇女</w:t>
      </w:r>
    </w:p>
    <w:p w:rsidR="00000000" w:rsidRDefault="00000000">
      <w:pPr>
        <w:spacing w:after="240" w:line="360" w:lineRule="exact"/>
        <w:ind w:firstLine="425"/>
      </w:pPr>
      <w:r>
        <w:rPr>
          <w:rFonts w:hint="eastAsia"/>
        </w:rPr>
        <w:t>丹麦妇女协会极其关注丹麦的贩卖妇女问题。</w:t>
      </w:r>
    </w:p>
    <w:p w:rsidR="00000000" w:rsidRDefault="00000000">
      <w:pPr>
        <w:spacing w:after="240" w:line="360" w:lineRule="exact"/>
        <w:ind w:firstLine="425"/>
      </w:pPr>
      <w:r>
        <w:rPr>
          <w:rFonts w:hint="eastAsia"/>
        </w:rPr>
        <w:t>报告在其第一段述明：“根据《刑典》贩卖妇女要受到惩罚，并禁止以性剥削为目的将人口贩运出境，以及根据《移民法》禁止进口和偷运人口”。根据报告的案文，只有出口妇女和非法进口或偷运人口受到法律管辖。但看来法律并不包括贩运所涉人权各方面的问题：在境内外以威胁、暴力或欺骗方式招募和贩运的妇女、或工作和</w:t>
      </w:r>
      <w:r>
        <w:t>/</w:t>
      </w:r>
      <w:r>
        <w:rPr>
          <w:rFonts w:hint="eastAsia"/>
        </w:rPr>
        <w:t>或生活在奴隶般条件下的妇女。而且，在</w:t>
      </w:r>
      <w:r>
        <w:t>1995</w:t>
      </w:r>
      <w:r>
        <w:rPr>
          <w:rFonts w:hint="eastAsia"/>
        </w:rPr>
        <w:t>年关于贩卖妇女问题的一份备忘录（</w:t>
      </w:r>
      <w:r>
        <w:t>J.nr.1995-945-330</w:t>
      </w:r>
      <w:r>
        <w:rPr>
          <w:rFonts w:hint="eastAsia"/>
        </w:rPr>
        <w:t>）中，司法部特别声明丹麦没有足够的立法覆盖该国的贩卖妇女问题。</w:t>
      </w:r>
    </w:p>
    <w:p w:rsidR="00000000" w:rsidRDefault="00000000">
      <w:pPr>
        <w:spacing w:after="240" w:line="360" w:lineRule="exact"/>
        <w:ind w:firstLine="425"/>
      </w:pPr>
      <w:r>
        <w:rPr>
          <w:rFonts w:hint="eastAsia"/>
        </w:rPr>
        <w:t>回顾</w:t>
      </w:r>
      <w:r>
        <w:t>1995</w:t>
      </w:r>
      <w:r>
        <w:rPr>
          <w:rFonts w:hint="eastAsia"/>
        </w:rPr>
        <w:t>年以及</w:t>
      </w:r>
      <w:r>
        <w:t>1998</w:t>
      </w:r>
      <w:r>
        <w:rPr>
          <w:rFonts w:hint="eastAsia"/>
        </w:rPr>
        <w:t>年，非政府组织已着手解决这个问题。</w:t>
      </w:r>
      <w:r>
        <w:t>1995</w:t>
      </w:r>
      <w:r>
        <w:rPr>
          <w:rFonts w:hint="eastAsia"/>
        </w:rPr>
        <w:t>年，在一个公众听证会上，包括议员在内的一个小组讨论了这个问题。这次听证会由非政府组织参与发展的妇女（</w:t>
      </w:r>
      <w:r>
        <w:t>KUL</w:t>
      </w:r>
      <w:r>
        <w:rPr>
          <w:rFonts w:hint="eastAsia"/>
        </w:rPr>
        <w:t>U</w:t>
      </w:r>
      <w:r>
        <w:rPr>
          <w:rFonts w:hint="eastAsia"/>
        </w:rPr>
        <w:t>）主办。该组织还发表了一份关于这个问题的报告。贩运问题网络于</w:t>
      </w:r>
      <w:r>
        <w:t>1997</w:t>
      </w:r>
      <w:r>
        <w:rPr>
          <w:rFonts w:hint="eastAsia"/>
        </w:rPr>
        <w:t>年成立，并于</w:t>
      </w:r>
      <w:r>
        <w:t>1998</w:t>
      </w:r>
      <w:r>
        <w:rPr>
          <w:rFonts w:hint="eastAsia"/>
        </w:rPr>
        <w:t>年</w:t>
      </w:r>
      <w:r>
        <w:t>11</w:t>
      </w:r>
      <w:r>
        <w:rPr>
          <w:rFonts w:hint="eastAsia"/>
        </w:rPr>
        <w:t>月主办了一个公众听证会（跨越国界的人），重点讨论关于在丹麦的泰国妇女问题。</w:t>
      </w:r>
    </w:p>
    <w:p w:rsidR="00000000" w:rsidRDefault="00000000">
      <w:pPr>
        <w:spacing w:after="240" w:line="360" w:lineRule="exact"/>
        <w:ind w:firstLine="425"/>
      </w:pPr>
      <w:r>
        <w:rPr>
          <w:rFonts w:hint="eastAsia"/>
        </w:rPr>
        <w:t>丹麦政府在联合国大会特别会议的问题调查表的答复（</w:t>
      </w:r>
      <w:r>
        <w:rPr>
          <w:rFonts w:hint="eastAsia"/>
        </w:rPr>
        <w:t>1999</w:t>
      </w:r>
      <w:r>
        <w:rPr>
          <w:rFonts w:hint="eastAsia"/>
        </w:rPr>
        <w:t>年</w:t>
      </w:r>
      <w:r>
        <w:rPr>
          <w:rFonts w:hint="eastAsia"/>
        </w:rPr>
        <w:t>8</w:t>
      </w:r>
      <w:r>
        <w:rPr>
          <w:rFonts w:hint="eastAsia"/>
        </w:rPr>
        <w:t>月）中，提及在其给消除对妇女歧视委员会的报告中介绍的倡议，即“司法部……关于贩卖妇女的问题”。迄今，我们不了解任何结果或任何进一步的立法。</w:t>
      </w:r>
    </w:p>
    <w:p w:rsidR="00000000" w:rsidRDefault="00000000">
      <w:pPr>
        <w:spacing w:after="240" w:line="360" w:lineRule="exact"/>
        <w:ind w:firstLine="425"/>
      </w:pPr>
      <w:r>
        <w:rPr>
          <w:rFonts w:hint="eastAsia"/>
        </w:rPr>
        <w:t>我们想提及平等地位委员会采取的第一个倡议。我们认为讨论主要集中在东欧国家。可以说会议本身就是一个促进因素，因为传媒曾对此会议进行大力宣传，而且，几个与会方承诺在议会中提出这个事项。这些参与方正在大力推动这一问题的解决，但似乎经过很长时期才能出现结果。令人关注的一个问题是，某个警察单位对本题目的数据收集工作已经中断。该警察部门的发言人甚至说，他认为丹麦不存在什么贩卖问题。</w:t>
      </w:r>
    </w:p>
    <w:p w:rsidR="00000000" w:rsidRDefault="00000000">
      <w:pPr>
        <w:spacing w:after="240" w:line="360" w:lineRule="exact"/>
        <w:ind w:firstLine="425"/>
      </w:pPr>
      <w:r>
        <w:rPr>
          <w:rFonts w:hint="eastAsia"/>
        </w:rPr>
        <w:t>据说该问题在丹麦议程上受到高度重视。我们认为这是不够的。鉴于现在自丹麦批准包括关于贩卖妇女的第</w:t>
      </w:r>
      <w:r>
        <w:t>6</w:t>
      </w:r>
      <w:r>
        <w:rPr>
          <w:rFonts w:hint="eastAsia"/>
        </w:rPr>
        <w:t>条在内的《消除对妇女一切形式歧视公约》已有</w:t>
      </w:r>
      <w:r>
        <w:t>17</w:t>
      </w:r>
      <w:r>
        <w:rPr>
          <w:rFonts w:hint="eastAsia"/>
        </w:rPr>
        <w:t>年，人们原本指望该问题会受到更多的优先重视。该报告提及丹麦在国际领域正在发挥积极作用。当然，这是非常可嘉的。但这似乎对国内状况未产生足够的影响。</w:t>
      </w:r>
    </w:p>
    <w:p w:rsidR="00000000" w:rsidRDefault="00000000">
      <w:pPr>
        <w:spacing w:after="240" w:line="360" w:lineRule="exact"/>
        <w:rPr>
          <w:rFonts w:eastAsia="SimHei"/>
        </w:rPr>
      </w:pPr>
      <w:r>
        <w:rPr>
          <w:rFonts w:eastAsia="SimHei" w:hint="eastAsia"/>
        </w:rPr>
        <w:t>第</w:t>
      </w:r>
      <w:r>
        <w:rPr>
          <w:rFonts w:eastAsia="SimHei"/>
        </w:rPr>
        <w:t>7</w:t>
      </w:r>
      <w:r>
        <w:rPr>
          <w:rFonts w:eastAsia="SimHei" w:hint="eastAsia"/>
        </w:rPr>
        <w:t>条</w:t>
      </w:r>
      <w:r>
        <w:rPr>
          <w:rFonts w:eastAsia="SimHei"/>
        </w:rPr>
        <w:t xml:space="preserve">  </w:t>
      </w:r>
      <w:r>
        <w:rPr>
          <w:rFonts w:eastAsia="SimHei" w:hint="eastAsia"/>
        </w:rPr>
        <w:t>政治权利与参与</w:t>
      </w:r>
    </w:p>
    <w:p w:rsidR="00000000" w:rsidRDefault="00000000">
      <w:pPr>
        <w:spacing w:after="240" w:line="360" w:lineRule="exact"/>
      </w:pPr>
      <w:r>
        <w:rPr>
          <w:rFonts w:hint="eastAsia"/>
        </w:rPr>
        <w:t>第</w:t>
      </w:r>
      <w:r>
        <w:t>2</w:t>
      </w:r>
      <w:r>
        <w:rPr>
          <w:rFonts w:hint="eastAsia"/>
        </w:rPr>
        <w:t>段第</w:t>
      </w:r>
      <w:r>
        <w:rPr>
          <w:rFonts w:hint="eastAsia"/>
        </w:rPr>
        <w:t>1</w:t>
      </w:r>
      <w:r>
        <w:rPr>
          <w:rFonts w:hint="eastAsia"/>
        </w:rPr>
        <w:t>和</w:t>
      </w:r>
      <w:r>
        <w:t>2</w:t>
      </w:r>
      <w:r>
        <w:rPr>
          <w:rFonts w:hint="eastAsia"/>
        </w:rPr>
        <w:t>行：</w:t>
      </w:r>
    </w:p>
    <w:p w:rsidR="00000000" w:rsidRDefault="00000000">
      <w:pPr>
        <w:spacing w:after="240" w:line="360" w:lineRule="exact"/>
        <w:ind w:firstLine="425"/>
      </w:pPr>
      <w:r>
        <w:rPr>
          <w:rFonts w:hint="eastAsia"/>
        </w:rPr>
        <w:t>“尽管性别失衡现象非常严重……但他们在议会中几乎是均衡的。”</w:t>
      </w:r>
    </w:p>
    <w:p w:rsidR="00000000" w:rsidRDefault="00000000">
      <w:pPr>
        <w:spacing w:after="240" w:line="360" w:lineRule="exact"/>
        <w:ind w:firstLine="425"/>
      </w:pPr>
      <w:r>
        <w:rPr>
          <w:rFonts w:hint="eastAsia"/>
        </w:rPr>
        <w:t>丹麦妇女协会注意到，报告中的统计数据表明，议会中的妇女代表从</w:t>
      </w:r>
      <w:r>
        <w:t>1994</w:t>
      </w:r>
      <w:r>
        <w:rPr>
          <w:rFonts w:hint="eastAsia"/>
        </w:rPr>
        <w:t>年的</w:t>
      </w:r>
      <w:r>
        <w:t>33.3%</w:t>
      </w:r>
      <w:r>
        <w:rPr>
          <w:rFonts w:hint="eastAsia"/>
        </w:rPr>
        <w:t>增至</w:t>
      </w:r>
      <w:r>
        <w:t>37%</w:t>
      </w:r>
      <w:r>
        <w:rPr>
          <w:rFonts w:hint="eastAsia"/>
        </w:rPr>
        <w:t>。这是非常可观的。然而，我们认为这个差异为</w:t>
      </w:r>
      <w:r>
        <w:t>13%</w:t>
      </w:r>
      <w:r>
        <w:rPr>
          <w:rFonts w:hint="eastAsia"/>
        </w:rPr>
        <w:t>，在我们达到接近</w:t>
      </w:r>
      <w:r>
        <w:t>50/50</w:t>
      </w:r>
      <w:r>
        <w:rPr>
          <w:rFonts w:hint="eastAsia"/>
        </w:rPr>
        <w:t>的百分比之前，不能称为男女代表“几乎是均衡的”。我们还有一些差距，必须为实现自己的目标而加强努力，还应继续确保我们不落后。</w:t>
      </w:r>
    </w:p>
    <w:p w:rsidR="00000000" w:rsidRDefault="00000000">
      <w:pPr>
        <w:spacing w:after="240" w:line="360" w:lineRule="exact"/>
        <w:rPr>
          <w:rFonts w:eastAsia="SimHei"/>
        </w:rPr>
      </w:pPr>
      <w:r>
        <w:rPr>
          <w:rFonts w:eastAsia="SimHei" w:hint="eastAsia"/>
        </w:rPr>
        <w:t>第</w:t>
      </w:r>
      <w:r>
        <w:rPr>
          <w:rFonts w:eastAsia="SimHei"/>
        </w:rPr>
        <w:t>9</w:t>
      </w:r>
      <w:r>
        <w:rPr>
          <w:rFonts w:eastAsia="SimHei" w:hint="eastAsia"/>
        </w:rPr>
        <w:t>条</w:t>
      </w:r>
      <w:r>
        <w:rPr>
          <w:rFonts w:eastAsia="SimHei"/>
        </w:rPr>
        <w:t xml:space="preserve">  </w:t>
      </w:r>
      <w:r>
        <w:rPr>
          <w:rFonts w:eastAsia="SimHei" w:hint="eastAsia"/>
        </w:rPr>
        <w:t>国籍</w:t>
      </w:r>
    </w:p>
    <w:p w:rsidR="00000000" w:rsidRDefault="00000000">
      <w:pPr>
        <w:spacing w:after="240" w:line="360" w:lineRule="exact"/>
        <w:ind w:firstLine="425"/>
      </w:pPr>
      <w:r>
        <w:rPr>
          <w:rFonts w:hint="eastAsia"/>
        </w:rPr>
        <w:t>自从通过了《外国人法》的修正案，每年以暴力为由申请居住许可证的被殴打妇女减少了。造成这种情况的原因是获得居住许可证的妇女极少。因为大多数妇女无法满足除证明遭受暴力以外的一些规定。如果她们无法从律师处获得可以获得居住许可证的保证，则不敢提出申请。因此，申请居住许可证的妇女人数极少并不反映未获得居住许可证的真实身份的被殴打妇女的真实数目。</w:t>
      </w:r>
    </w:p>
    <w:p w:rsidR="00000000" w:rsidRDefault="00000000">
      <w:pPr>
        <w:spacing w:after="240" w:line="360" w:lineRule="exact"/>
        <w:rPr>
          <w:rFonts w:eastAsia="SimHei"/>
        </w:rPr>
      </w:pPr>
      <w:r>
        <w:rPr>
          <w:rFonts w:eastAsia="SimHei" w:hint="eastAsia"/>
        </w:rPr>
        <w:t>第</w:t>
      </w:r>
      <w:r>
        <w:rPr>
          <w:rFonts w:eastAsia="SimHei"/>
        </w:rPr>
        <w:t>10</w:t>
      </w:r>
      <w:r>
        <w:rPr>
          <w:rFonts w:eastAsia="SimHei" w:hint="eastAsia"/>
        </w:rPr>
        <w:t>条</w:t>
      </w:r>
      <w:r>
        <w:rPr>
          <w:rFonts w:eastAsia="SimHei"/>
        </w:rPr>
        <w:t xml:space="preserve">  </w:t>
      </w:r>
      <w:r>
        <w:rPr>
          <w:rFonts w:eastAsia="SimHei" w:hint="eastAsia"/>
        </w:rPr>
        <w:t>教育</w:t>
      </w:r>
    </w:p>
    <w:p w:rsidR="00000000" w:rsidRDefault="00000000">
      <w:pPr>
        <w:spacing w:after="240" w:line="360" w:lineRule="exact"/>
        <w:ind w:firstLine="425"/>
      </w:pPr>
      <w:r>
        <w:rPr>
          <w:rFonts w:hint="eastAsia"/>
        </w:rPr>
        <w:t>总体上来说，从性别观点对教育系统的说明是如实和公正的。它指出一些尚未实现性别平等的领域。在男孩与女孩、妇女与男子选择科目和课程方面，教育系统仍然是男女分离的。这适用于所有等级的教育。担任领导职务的男子人数仍然多于妇女。即使在一些机构中女生和女博士的数字不断增加，但在大学教学和研究人员的招聘方面也体现不出来。在培养研究人员的过程中，大学不容许下述情况：正值结婚或已成家的年轻妇女想作为研究人员开始大学生涯是不准许的。</w:t>
      </w:r>
    </w:p>
    <w:p w:rsidR="00000000" w:rsidRDefault="00000000">
      <w:pPr>
        <w:spacing w:after="240" w:line="360" w:lineRule="exact"/>
        <w:ind w:firstLine="425"/>
      </w:pPr>
      <w:r>
        <w:rPr>
          <w:rFonts w:hint="eastAsia"/>
        </w:rPr>
        <w:t>教育体制中性别平等工作的一个重大障碍是缺乏解决这一问题的政治意向。这在关于教育的政治辩论中已不再是个问题，因此，在教育机构中也不是个问题。相反，在女童或妇女占大多数或接近学生</w:t>
      </w:r>
      <w:r>
        <w:t>/</w:t>
      </w:r>
      <w:r>
        <w:rPr>
          <w:rFonts w:hint="eastAsia"/>
        </w:rPr>
        <w:t>小学生</w:t>
      </w:r>
      <w:r>
        <w:t>/</w:t>
      </w:r>
      <w:r>
        <w:rPr>
          <w:rFonts w:hint="eastAsia"/>
        </w:rPr>
        <w:t>工作人员（大学、高中、小学）的</w:t>
      </w:r>
      <w:r>
        <w:t>50%</w:t>
      </w:r>
      <w:r>
        <w:rPr>
          <w:rFonts w:hint="eastAsia"/>
        </w:rPr>
        <w:t>的机构中，人们把这个问题作为重大问题来考虑已是可以接受的。这是为防止学术标准下降而必须改变的事情。如果此种趋势继续下去或变得更加流行，则事情的发展很有可能与性别平等的所有良好的愿望相反。</w:t>
      </w:r>
    </w:p>
    <w:p w:rsidR="00000000" w:rsidRDefault="00000000">
      <w:pPr>
        <w:spacing w:after="240" w:line="360" w:lineRule="exact"/>
        <w:rPr>
          <w:rFonts w:eastAsia="SimHei"/>
        </w:rPr>
      </w:pPr>
      <w:r>
        <w:rPr>
          <w:rFonts w:eastAsia="SimHei" w:hint="eastAsia"/>
        </w:rPr>
        <w:t>第</w:t>
      </w:r>
      <w:r>
        <w:rPr>
          <w:rFonts w:eastAsia="SimHei"/>
        </w:rPr>
        <w:t>11</w:t>
      </w:r>
      <w:r>
        <w:rPr>
          <w:rFonts w:eastAsia="SimHei" w:hint="eastAsia"/>
        </w:rPr>
        <w:t>条</w:t>
      </w:r>
      <w:r>
        <w:rPr>
          <w:rFonts w:eastAsia="SimHei"/>
        </w:rPr>
        <w:t xml:space="preserve">  </w:t>
      </w:r>
      <w:r>
        <w:rPr>
          <w:rFonts w:eastAsia="SimHei" w:hint="eastAsia"/>
        </w:rPr>
        <w:t>劳动力市场的状况</w:t>
      </w:r>
    </w:p>
    <w:p w:rsidR="00000000" w:rsidRDefault="00000000">
      <w:pPr>
        <w:spacing w:after="240" w:line="360" w:lineRule="exact"/>
        <w:ind w:firstLine="425"/>
      </w:pPr>
      <w:r>
        <w:rPr>
          <w:rFonts w:hint="eastAsia"/>
        </w:rPr>
        <w:t>总体而言，关于本条的报告是不错的。然而，在“协调家庭生活和工作生活”题目下关于儿童保育设施问题，丹麦妇女协会希望指出的是，这些设施仍很缺乏，特别是对于</w:t>
      </w:r>
      <w:r>
        <w:t>6</w:t>
      </w:r>
      <w:r>
        <w:rPr>
          <w:rFonts w:hint="eastAsia"/>
        </w:rPr>
        <w:t>个月至</w:t>
      </w:r>
      <w:r>
        <w:t>1</w:t>
      </w:r>
      <w:r>
        <w:rPr>
          <w:rFonts w:hint="eastAsia"/>
        </w:rPr>
        <w:t>岁的儿童来说尤其如此。这迫使一些妇女将产假延长，并且在有时违反其意愿的情况下，最少再休</w:t>
      </w:r>
      <w:r>
        <w:rPr>
          <w:rFonts w:hint="eastAsia"/>
        </w:rPr>
        <w:t>6</w:t>
      </w:r>
      <w:r>
        <w:rPr>
          <w:rFonts w:hint="eastAsia"/>
        </w:rPr>
        <w:t>个月的展期育儿假。</w:t>
      </w:r>
    </w:p>
    <w:p w:rsidR="00000000" w:rsidRDefault="00000000">
      <w:pPr>
        <w:spacing w:after="240" w:line="360" w:lineRule="exact"/>
        <w:ind w:firstLine="425"/>
      </w:pPr>
      <w:r>
        <w:rPr>
          <w:rFonts w:hint="eastAsia"/>
        </w:rPr>
        <w:t>而且，儿童保育设施的不足导致儿童过分拥挤和生活条件令人不满。</w:t>
      </w:r>
    </w:p>
    <w:p w:rsidR="00000000" w:rsidRDefault="00000000">
      <w:pPr>
        <w:spacing w:after="240" w:line="360" w:lineRule="exact"/>
        <w:rPr>
          <w:rFonts w:eastAsia="SimHei"/>
        </w:rPr>
      </w:pPr>
      <w:r>
        <w:rPr>
          <w:rFonts w:eastAsia="SimHei" w:hint="eastAsia"/>
        </w:rPr>
        <w:t>第</w:t>
      </w:r>
      <w:r>
        <w:rPr>
          <w:rFonts w:eastAsia="SimHei"/>
        </w:rPr>
        <w:t>12</w:t>
      </w:r>
      <w:r>
        <w:rPr>
          <w:rFonts w:eastAsia="SimHei" w:hint="eastAsia"/>
        </w:rPr>
        <w:t>条</w:t>
      </w:r>
      <w:r>
        <w:rPr>
          <w:rFonts w:eastAsia="SimHei"/>
        </w:rPr>
        <w:t xml:space="preserve">  </w:t>
      </w:r>
      <w:r>
        <w:rPr>
          <w:rFonts w:eastAsia="SimHei" w:hint="eastAsia"/>
        </w:rPr>
        <w:t>保健问题及规定</w:t>
      </w:r>
    </w:p>
    <w:p w:rsidR="00000000" w:rsidRDefault="00000000">
      <w:pPr>
        <w:spacing w:after="240" w:line="360" w:lineRule="exact"/>
        <w:ind w:firstLine="425"/>
      </w:pPr>
      <w:r>
        <w:rPr>
          <w:rFonts w:hint="eastAsia"/>
        </w:rPr>
        <w:t>丹麦妇女协会想强调的是，把为母之道视作一种社会功能不得导致缩小妇女的个人自由。虽然关于流产的行动计划和保健促进方案均是针对妇女的，但它们往往涉及一些自愿性的强迫因素。因为受到照顾的是胎儿</w:t>
      </w:r>
      <w:r>
        <w:t>/</w:t>
      </w:r>
      <w:r>
        <w:rPr>
          <w:rFonts w:hint="eastAsia"/>
        </w:rPr>
        <w:t>儿童的利益而非妇女的利益。</w:t>
      </w:r>
    </w:p>
    <w:p w:rsidR="00000000" w:rsidRDefault="00000000">
      <w:pPr>
        <w:spacing w:after="240" w:line="360" w:lineRule="exact"/>
        <w:ind w:firstLine="425"/>
      </w:pPr>
      <w:r>
        <w:rPr>
          <w:rFonts w:hint="eastAsia"/>
        </w:rPr>
        <w:t>近些年来，许多小型省级医院的产妇病房已关闭。产妇中心和专业人才在地方社区不断流失，这对经常在开始生产时须经历长途运输的妇女极为不利。在丹麦，人们有选择在家生产的法定权利，但并没有由全科医生提供有关此种可能性的信息，而且经常很难找到到家接生的助产士。如果要实现真正的选择，那么，伴随此种权利提供必要信息。</w:t>
      </w:r>
    </w:p>
    <w:p w:rsidR="00000000" w:rsidRDefault="00000000">
      <w:pPr>
        <w:spacing w:after="240" w:line="360" w:lineRule="exact"/>
        <w:ind w:firstLine="425"/>
      </w:pPr>
      <w:r>
        <w:rPr>
          <w:rFonts w:hint="eastAsia"/>
        </w:rPr>
        <w:t>关于生育待遇问题，如同在</w:t>
      </w:r>
      <w:r>
        <w:t>1996</w:t>
      </w:r>
      <w:r>
        <w:rPr>
          <w:rFonts w:hint="eastAsia"/>
        </w:rPr>
        <w:t>年提交给消除对妇女歧视委员会的报告中提及的那样，丹麦妇女协会反对将母亲职能分开的做法。这种情况由于新技术而成为可能（即由基因母亲捐献卵子，生物母亲怀孕，社会母亲抚养胎儿）。由于人工受精的后果根本不清楚，丹麦妇女协会希望禁止下述做法：</w:t>
      </w:r>
    </w:p>
    <w:p w:rsidR="00000000" w:rsidRDefault="00000000">
      <w:pPr>
        <w:spacing w:after="240" w:line="360" w:lineRule="exact"/>
        <w:ind w:firstLine="425"/>
      </w:pPr>
      <w:r>
        <w:t xml:space="preserve">—  </w:t>
      </w:r>
      <w:r>
        <w:rPr>
          <w:rFonts w:hint="eastAsia"/>
        </w:rPr>
        <w:t>在实验室进行人卵授精以用于基本研究；</w:t>
      </w:r>
    </w:p>
    <w:p w:rsidR="00000000" w:rsidRDefault="00000000">
      <w:pPr>
        <w:spacing w:after="240" w:line="360" w:lineRule="exact"/>
        <w:ind w:firstLine="425"/>
      </w:pPr>
      <w:r>
        <w:t xml:space="preserve">—  </w:t>
      </w:r>
      <w:r>
        <w:rPr>
          <w:rFonts w:hint="eastAsia"/>
        </w:rPr>
        <w:t>冰冻未受精的人卵；</w:t>
      </w:r>
    </w:p>
    <w:p w:rsidR="00000000" w:rsidRDefault="00000000">
      <w:pPr>
        <w:spacing w:after="240" w:line="360" w:lineRule="exact"/>
        <w:ind w:firstLine="425"/>
      </w:pPr>
      <w:r>
        <w:t xml:space="preserve">—  </w:t>
      </w:r>
      <w:r>
        <w:rPr>
          <w:rFonts w:hint="eastAsia"/>
        </w:rPr>
        <w:t>对捐献未受精的卵不加限制。</w:t>
      </w:r>
    </w:p>
    <w:p w:rsidR="00000000" w:rsidRDefault="00000000">
      <w:pPr>
        <w:spacing w:after="240" w:line="360" w:lineRule="exact"/>
        <w:ind w:firstLine="425"/>
      </w:pPr>
      <w:r>
        <w:rPr>
          <w:rFonts w:hint="eastAsia"/>
        </w:rPr>
        <w:t>如果允许采取这些措施，将无助于保护妇女对自己身体的自决权。</w:t>
      </w:r>
    </w:p>
    <w:p w:rsidR="00000000" w:rsidRDefault="00000000">
      <w:pPr>
        <w:spacing w:after="240" w:line="360" w:lineRule="exact"/>
        <w:ind w:firstLine="425"/>
      </w:pPr>
      <w:r>
        <w:rPr>
          <w:rFonts w:hint="eastAsia"/>
        </w:rPr>
        <w:t>丹麦签署了《欧洲理事会生物伦理公约》。该公约规定医生如何处理捐献的卵子、胎儿以及如何进一步制定处理方法的一般准则。这意味着人们把生育作为一种抽象的现象但未涉及任何妇女自身的事情。因此，我们需要精心关注各种发展。</w:t>
      </w:r>
    </w:p>
    <w:p w:rsidR="00000000" w:rsidRDefault="00000000">
      <w:pPr>
        <w:spacing w:after="240" w:line="360" w:lineRule="exact"/>
        <w:ind w:firstLine="425"/>
      </w:pPr>
      <w:r>
        <w:rPr>
          <w:rFonts w:hint="eastAsia"/>
        </w:rPr>
        <w:t>关于妇女的流产权利问题，丹麦妇女协会认为，采用所谓的“一般流产份额”较为妥当。</w:t>
      </w:r>
      <w:r>
        <w:t>1996</w:t>
      </w:r>
      <w:r>
        <w:rPr>
          <w:rFonts w:hint="eastAsia"/>
        </w:rPr>
        <w:t>年该数字为</w:t>
      </w:r>
      <w:r>
        <w:t>14.4%</w:t>
      </w:r>
      <w:r>
        <w:rPr>
          <w:rFonts w:hint="eastAsia"/>
        </w:rPr>
        <w:t>。</w:t>
      </w:r>
      <w:r>
        <w:t>1975</w:t>
      </w:r>
      <w:r>
        <w:rPr>
          <w:rFonts w:hint="eastAsia"/>
        </w:rPr>
        <w:t>年的一般流产最多，份额为</w:t>
      </w:r>
      <w:r>
        <w:t>23.7%</w:t>
      </w:r>
      <w:r>
        <w:rPr>
          <w:rFonts w:hint="eastAsia"/>
        </w:rPr>
        <w:t>。这清楚地表明在丹麦这一比率在不断下降。</w:t>
      </w:r>
    </w:p>
    <w:p w:rsidR="00000000" w:rsidRDefault="00000000">
      <w:pPr>
        <w:spacing w:after="240" w:line="360" w:lineRule="exact"/>
        <w:ind w:firstLine="425"/>
        <w:rPr>
          <w:rFonts w:hint="eastAsia"/>
        </w:rPr>
      </w:pPr>
      <w:r>
        <w:rPr>
          <w:rFonts w:hint="eastAsia"/>
        </w:rPr>
        <w:t>丹麦妇女协会认为，按定义来说，必须把流产作为最后一种手段来接受。对流产别无选择，并且没有研究文件表明丹麦妇女在使用流产权利方面不能表现极大的责任感。因此，丹麦妇女协会希望对于现行有关流产的立法不作任何限制。然而，我们很遗憾责成各郡开办节育诊所的法律被废除了。</w:t>
      </w:r>
    </w:p>
    <w:p w:rsidR="00000000" w:rsidRDefault="00000000">
      <w:pPr>
        <w:spacing w:line="360" w:lineRule="exact"/>
        <w:ind w:firstLine="425"/>
      </w:pPr>
    </w:p>
    <w:p w:rsidR="00000000" w:rsidRDefault="00000000">
      <w:pPr>
        <w:spacing w:after="240" w:line="360" w:lineRule="exact"/>
      </w:pPr>
      <w:r>
        <w:rPr>
          <w:rFonts w:hint="eastAsia"/>
        </w:rPr>
        <w:t>丹麦妇女协会</w:t>
      </w:r>
      <w:r>
        <w:t xml:space="preserve">       </w:t>
      </w:r>
      <w:r>
        <w:tab/>
      </w:r>
      <w:r>
        <w:tab/>
      </w:r>
      <w:r>
        <w:tab/>
      </w:r>
      <w: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t>2000</w:t>
      </w:r>
      <w:r>
        <w:rPr>
          <w:rFonts w:hint="eastAsia"/>
        </w:rPr>
        <w:t>年</w:t>
      </w:r>
      <w:r>
        <w:t>5</w:t>
      </w:r>
      <w:r>
        <w:rPr>
          <w:rFonts w:hint="eastAsia"/>
        </w:rPr>
        <w:t>月</w:t>
      </w:r>
    </w:p>
    <w:p w:rsidR="00000000" w:rsidRDefault="00000000">
      <w:pPr>
        <w:spacing w:line="360" w:lineRule="exact"/>
      </w:pPr>
      <w:r>
        <w:t xml:space="preserve">Karen Hallberg      </w:t>
      </w:r>
      <w:r>
        <w:tab/>
      </w:r>
      <w:r>
        <w:tab/>
      </w:r>
      <w:r>
        <w:tab/>
      </w:r>
      <w:r>
        <w:tab/>
      </w:r>
      <w:r>
        <w:rPr>
          <w:rFonts w:hint="eastAsia"/>
        </w:rPr>
        <w:tab/>
      </w:r>
      <w:r>
        <w:rPr>
          <w:rFonts w:hint="eastAsia"/>
        </w:rPr>
        <w:tab/>
      </w:r>
      <w:r>
        <w:rPr>
          <w:rFonts w:hint="eastAsia"/>
        </w:rPr>
        <w:tab/>
      </w:r>
      <w:r>
        <w:rPr>
          <w:rFonts w:hint="eastAsia"/>
        </w:rPr>
        <w:tab/>
      </w:r>
      <w:r>
        <w:rPr>
          <w:rFonts w:hint="eastAsia"/>
        </w:rPr>
        <w:tab/>
        <w:t xml:space="preserve">    </w:t>
      </w:r>
      <w:r>
        <w:rPr>
          <w:rFonts w:hint="eastAsia"/>
        </w:rPr>
        <w:tab/>
      </w:r>
      <w:r>
        <w:rPr>
          <w:rFonts w:hint="eastAsia"/>
        </w:rPr>
        <w:tab/>
      </w:r>
      <w:r>
        <w:t>Padmini Christiansen</w:t>
      </w:r>
      <w:r>
        <w:rPr>
          <w:rFonts w:hint="eastAsia"/>
        </w:rPr>
        <w:t>（签字）</w:t>
      </w:r>
    </w:p>
    <w:p w:rsidR="00000000" w:rsidRDefault="00000000">
      <w:pPr>
        <w:spacing w:after="240" w:line="360" w:lineRule="exact"/>
        <w:ind w:right="23"/>
      </w:pPr>
      <w:r>
        <w:rPr>
          <w:rFonts w:hint="eastAsia"/>
        </w:rPr>
        <w:t>主席</w:t>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国际委员会</w:t>
      </w:r>
    </w:p>
    <w:p w:rsidR="00000000" w:rsidRDefault="00000000">
      <w:pPr>
        <w:spacing w:after="240" w:line="360" w:lineRule="exact"/>
        <w:ind w:left="1560" w:hanging="1135"/>
        <w:rPr>
          <w:rFonts w:hint="eastAsia"/>
        </w:rPr>
      </w:pPr>
      <w:r>
        <w:rPr>
          <w:rFonts w:hint="eastAsia"/>
        </w:rPr>
        <w:t>撰稿人有：</w:t>
      </w:r>
      <w:r>
        <w:t>Nina Ellinger</w:t>
      </w:r>
      <w:r>
        <w:rPr>
          <w:rFonts w:hint="eastAsia"/>
        </w:rPr>
        <w:t>，</w:t>
      </w:r>
      <w:r>
        <w:t>Leslie Larsen</w:t>
      </w:r>
      <w:r>
        <w:rPr>
          <w:rFonts w:hint="eastAsia"/>
        </w:rPr>
        <w:t>，</w:t>
      </w:r>
      <w:r>
        <w:t>Britta Mogensen</w:t>
      </w:r>
      <w:r>
        <w:rPr>
          <w:rFonts w:hint="eastAsia"/>
        </w:rPr>
        <w:t>，</w:t>
      </w:r>
      <w:r>
        <w:t xml:space="preserve">Bente Holm Nielsen </w:t>
      </w:r>
      <w:r>
        <w:rPr>
          <w:rFonts w:hint="eastAsia"/>
        </w:rPr>
        <w:t>和</w:t>
      </w:r>
      <w:r>
        <w:t>Lene Pind.</w:t>
      </w:r>
    </w:p>
    <w:p w:rsidR="00000000" w:rsidRDefault="00000000">
      <w:pPr>
        <w:spacing w:after="240" w:line="360" w:lineRule="exact"/>
        <w:ind w:left="1560" w:hanging="1135"/>
        <w:rPr>
          <w:rFonts w:hint="eastAsia"/>
        </w:rPr>
      </w:pPr>
    </w:p>
    <w:p w:rsidR="00000000" w:rsidRDefault="00000000">
      <w:pPr>
        <w:spacing w:after="240" w:line="360" w:lineRule="exact"/>
        <w:ind w:left="1560" w:hanging="1560"/>
        <w:rPr>
          <w:rFonts w:eastAsia="SimHei"/>
          <w:sz w:val="24"/>
        </w:rPr>
      </w:pPr>
      <w:r>
        <w:br w:type="page"/>
      </w:r>
      <w:r>
        <w:rPr>
          <w:rFonts w:eastAsia="SimHei" w:hint="eastAsia"/>
          <w:sz w:val="24"/>
        </w:rPr>
        <w:t>丹麦男性论坛</w:t>
      </w:r>
    </w:p>
    <w:p w:rsidR="00000000" w:rsidRDefault="00000000">
      <w:pPr>
        <w:spacing w:after="240" w:line="360" w:lineRule="exact"/>
        <w:rPr>
          <w:rFonts w:eastAsia="KaiTi_GB2312"/>
          <w:b/>
          <w:bCs/>
        </w:rPr>
      </w:pPr>
      <w:r>
        <w:rPr>
          <w:rFonts w:eastAsia="KaiTi_GB2312" w:hint="eastAsia"/>
          <w:b/>
          <w:bCs/>
        </w:rPr>
        <w:t>丹麦男性组织的伞式组织</w:t>
      </w:r>
    </w:p>
    <w:p w:rsidR="00000000" w:rsidRDefault="00000000">
      <w:pPr>
        <w:pStyle w:val="BodyText2"/>
      </w:pPr>
      <w:r>
        <w:rPr>
          <w:rFonts w:hint="eastAsia"/>
        </w:rPr>
        <w:t>对于《消除对妇女一切形式歧视公约》的意见及对于丹麦执行该公约情况的第五次定期报告的意见</w:t>
      </w:r>
    </w:p>
    <w:p w:rsidR="00000000" w:rsidRDefault="00000000">
      <w:pPr>
        <w:spacing w:after="240" w:line="360" w:lineRule="exact"/>
        <w:ind w:firstLine="425"/>
      </w:pPr>
      <w:r>
        <w:rPr>
          <w:rFonts w:hint="eastAsia"/>
        </w:rPr>
        <w:t>丹麦男性论坛很高兴有机会就丹麦向消除对妇女歧视委员会提交的第五次报告提出意见。这是众多尝试之一，以使男性成为就性别平等和反歧视问题进行的丹麦和国际辩论及决策过程的积极参与者和主体。</w:t>
      </w:r>
    </w:p>
    <w:p w:rsidR="00000000" w:rsidRDefault="00000000">
      <w:pPr>
        <w:spacing w:after="240" w:line="360" w:lineRule="exact"/>
        <w:rPr>
          <w:rFonts w:eastAsia="KaiTi_GB2312"/>
          <w:b/>
          <w:bCs/>
        </w:rPr>
      </w:pPr>
      <w:r>
        <w:rPr>
          <w:rFonts w:eastAsia="KaiTi_GB2312" w:hint="eastAsia"/>
          <w:b/>
          <w:bCs/>
        </w:rPr>
        <w:t>对《消除对妇女一切形式歧视公约》的意见</w:t>
      </w:r>
    </w:p>
    <w:p w:rsidR="00000000" w:rsidRDefault="00000000">
      <w:pPr>
        <w:spacing w:after="240" w:line="360" w:lineRule="exact"/>
        <w:rPr>
          <w:rFonts w:eastAsia="SimHei"/>
        </w:rPr>
      </w:pPr>
      <w:r>
        <w:rPr>
          <w:rFonts w:eastAsia="SimHei" w:hint="eastAsia"/>
        </w:rPr>
        <w:t>公约的目标</w:t>
      </w:r>
    </w:p>
    <w:p w:rsidR="00000000" w:rsidRDefault="00000000">
      <w:pPr>
        <w:spacing w:after="240" w:line="360" w:lineRule="exact"/>
        <w:ind w:firstLine="425"/>
        <w:rPr>
          <w:rFonts w:hint="eastAsia"/>
        </w:rPr>
      </w:pPr>
      <w:r>
        <w:rPr>
          <w:rFonts w:hint="eastAsia"/>
        </w:rPr>
        <w:t>丹麦男性论坛对《关于消除对妇女一切形式歧视公约》诸多方面提出了质疑。首先，我们发现《关于消除对妇女一切形式歧视公约》仅旨在消除妇女的歧视。该公约对任何可能出现的对男性歧视问题视而不见，即使这是有助于实现本公约的宗旨（第</w:t>
      </w:r>
      <w:r>
        <w:t>4</w:t>
      </w:r>
      <w:r>
        <w:rPr>
          <w:rFonts w:hint="eastAsia"/>
        </w:rPr>
        <w:t>条）的反歧视计划的间接结果出现的。</w:t>
      </w:r>
    </w:p>
    <w:p w:rsidR="00000000" w:rsidRDefault="00000000">
      <w:pPr>
        <w:spacing w:after="240" w:line="360" w:lineRule="exact"/>
        <w:ind w:firstLine="425"/>
      </w:pPr>
      <w:r>
        <w:rPr>
          <w:rFonts w:hint="eastAsia"/>
        </w:rPr>
        <w:t>其次，公约为歧视下了十分广泛和独立于背景的定义。如果世界某地区某一性别在特定时间感到受歧视，不应使世界另一地区另一性别在另一个历史时期受到歧视自动合法化。</w:t>
      </w:r>
    </w:p>
    <w:p w:rsidR="00000000" w:rsidRDefault="00000000">
      <w:pPr>
        <w:spacing w:after="240" w:line="360" w:lineRule="exact"/>
        <w:rPr>
          <w:rFonts w:eastAsia="SimHei"/>
        </w:rPr>
      </w:pPr>
      <w:r>
        <w:rPr>
          <w:rFonts w:eastAsia="SimHei" w:hint="eastAsia"/>
        </w:rPr>
        <w:t>性别平等的定义</w:t>
      </w:r>
    </w:p>
    <w:p w:rsidR="00000000" w:rsidRDefault="00000000">
      <w:pPr>
        <w:spacing w:after="240" w:line="360" w:lineRule="exact"/>
        <w:ind w:firstLine="425"/>
      </w:pPr>
      <w:r>
        <w:rPr>
          <w:rFonts w:hint="eastAsia"/>
        </w:rPr>
        <w:t>虽然丹麦的男性和女性之间及其内部就许多性别问题都未达成一致，但双方一致认为无法界定性别平等。看起来，很难确定特定论坛中性别不均衡是否由歧视引起还是由现实生活中男女不同的优先事项这一事实引起的。</w:t>
      </w:r>
    </w:p>
    <w:p w:rsidR="00000000" w:rsidRDefault="00000000">
      <w:pPr>
        <w:spacing w:after="240" w:line="360" w:lineRule="exact"/>
        <w:ind w:firstLine="425"/>
      </w:pPr>
      <w:r>
        <w:rPr>
          <w:rFonts w:hint="eastAsia"/>
        </w:rPr>
        <w:t>从来没能确定上述对女性的歧视问题是由于某些女性脆弱论还是“仅仅”由遗留的对男性有利的结构机制造成的。因此，很难说清，像《关于消除对妇女一切形式歧视公约》这样的反歧视努力的真正目的是保护女性不受男性侵害及补偿女性相对的弱势，还是确保男性和女性得到平等对待和机会。</w:t>
      </w:r>
    </w:p>
    <w:p w:rsidR="00000000" w:rsidRDefault="00000000">
      <w:pPr>
        <w:spacing w:after="240" w:line="360" w:lineRule="exact"/>
        <w:ind w:firstLine="425"/>
      </w:pPr>
      <w:r>
        <w:rPr>
          <w:rFonts w:hint="eastAsia"/>
        </w:rPr>
        <w:t>丹麦男性论坛不认为女性比男性更弱。而且，取消导致对女性歧视的结构机制将不仅能使女性彻底解放，也应让男性从其特定的性别角色中解放出来。</w:t>
      </w:r>
    </w:p>
    <w:p w:rsidR="00000000" w:rsidRDefault="00000000">
      <w:pPr>
        <w:spacing w:after="240" w:line="360" w:lineRule="exact"/>
        <w:ind w:firstLine="425"/>
      </w:pPr>
      <w:r>
        <w:rPr>
          <w:rFonts w:hint="eastAsia"/>
        </w:rPr>
        <w:t>实际上，平等是可用数字衡量的。男性和女性在生活中不同领域的比例被作为反映平等程度的一种指标。但是如果发现存在某种不均衡现象，没必要将它说成是歧视的迹象。因为起因可能只是男女自由选择的普遍差异。</w:t>
      </w:r>
    </w:p>
    <w:p w:rsidR="00000000" w:rsidRDefault="00000000">
      <w:pPr>
        <w:spacing w:after="240" w:line="360" w:lineRule="exact"/>
        <w:ind w:firstLine="425"/>
      </w:pPr>
      <w:r>
        <w:rPr>
          <w:rFonts w:hint="eastAsia"/>
        </w:rPr>
        <w:t>因此，在实行性别平等</w:t>
      </w:r>
      <w:r>
        <w:rPr>
          <w:rFonts w:eastAsia="SimHei"/>
        </w:rPr>
        <w:t>–</w:t>
      </w:r>
      <w:r>
        <w:rPr>
          <w:rFonts w:hint="eastAsia"/>
        </w:rPr>
        <w:t>纠正歧视措施</w:t>
      </w:r>
      <w:r>
        <w:rPr>
          <w:rFonts w:eastAsia="SimHei"/>
        </w:rPr>
        <w:t>–</w:t>
      </w:r>
      <w:r>
        <w:rPr>
          <w:rFonts w:hint="eastAsia"/>
        </w:rPr>
        <w:t>的过程中，有必要采取例如分析男性和女性在特定领域代表性的统计学差异是由歧视引起还是是个人自由选择的结果。</w:t>
      </w:r>
    </w:p>
    <w:p w:rsidR="00000000" w:rsidRDefault="00000000">
      <w:pPr>
        <w:spacing w:after="240" w:line="360" w:lineRule="exact"/>
        <w:rPr>
          <w:rFonts w:eastAsia="SimHei"/>
        </w:rPr>
      </w:pPr>
      <w:r>
        <w:rPr>
          <w:rFonts w:eastAsia="SimHei" w:hint="eastAsia"/>
        </w:rPr>
        <w:t>临时特别措施</w:t>
      </w:r>
    </w:p>
    <w:p w:rsidR="00000000" w:rsidRDefault="00000000">
      <w:pPr>
        <w:spacing w:after="240" w:line="360" w:lineRule="exact"/>
        <w:ind w:firstLine="425"/>
      </w:pPr>
      <w:r>
        <w:rPr>
          <w:rFonts w:hint="eastAsia"/>
        </w:rPr>
        <w:t>《消除对妇女一切形式歧视公约》（第</w:t>
      </w:r>
      <w:r>
        <w:t>4</w:t>
      </w:r>
      <w:r>
        <w:rPr>
          <w:rFonts w:hint="eastAsia"/>
        </w:rPr>
        <w:t>条）中提到的临时特别措施之所以是暂时的，是因为在平等目标实现后这些措施应予取消。但是由于无法界定性别平等，也不可能对其加以衡量，从而界定其存在的环境。即使可视为目标已经实现，取消那些措施将可能被认为是再歧视的导火索。因此取消措施的可能性很小。</w:t>
      </w:r>
    </w:p>
    <w:p w:rsidR="00000000" w:rsidRDefault="00000000">
      <w:pPr>
        <w:spacing w:after="240" w:line="360" w:lineRule="exact"/>
        <w:rPr>
          <w:rFonts w:eastAsia="KaiTi_GB2312"/>
          <w:b/>
          <w:bCs/>
        </w:rPr>
      </w:pPr>
      <w:r>
        <w:rPr>
          <w:rFonts w:eastAsia="KaiTi_GB2312" w:hint="eastAsia"/>
          <w:b/>
          <w:bCs/>
        </w:rPr>
        <w:t>对于丹麦执行《消除对妇女一切形式歧视公约》情况的第五次定期报告的意见</w:t>
      </w:r>
    </w:p>
    <w:p w:rsidR="00000000" w:rsidRDefault="00000000">
      <w:pPr>
        <w:spacing w:after="240" w:line="360" w:lineRule="exact"/>
        <w:rPr>
          <w:rFonts w:eastAsia="SimHei"/>
        </w:rPr>
      </w:pPr>
      <w:r>
        <w:rPr>
          <w:rFonts w:eastAsia="SimHei" w:hint="eastAsia"/>
        </w:rPr>
        <w:t>宪法和立法</w:t>
      </w:r>
    </w:p>
    <w:p w:rsidR="00000000" w:rsidRDefault="00000000">
      <w:pPr>
        <w:spacing w:after="240" w:line="360" w:lineRule="exact"/>
        <w:ind w:firstLine="425"/>
      </w:pPr>
      <w:r>
        <w:rPr>
          <w:rFonts w:hint="eastAsia"/>
        </w:rPr>
        <w:t>如丹麦第五次报告所述，丹麦宪法载有关于男女平等待遇（关于第</w:t>
      </w:r>
      <w:r>
        <w:t>2</w:t>
      </w:r>
      <w:r>
        <w:rPr>
          <w:rFonts w:hint="eastAsia"/>
        </w:rPr>
        <w:t>条的意见）的原则，而《消除对妇女一切形式歧视公约》仅着眼于消除对妇女一切形式的歧视。《消除对妇女一切形式歧视公约》给人留下的印象是，联合国要么否认存在着对男性的歧视，要么对它不关心。</w:t>
      </w:r>
    </w:p>
    <w:p w:rsidR="00000000" w:rsidRDefault="00000000">
      <w:pPr>
        <w:spacing w:after="240" w:line="360" w:lineRule="exact"/>
        <w:ind w:firstLine="425"/>
      </w:pPr>
      <w:r>
        <w:rPr>
          <w:rFonts w:hint="eastAsia"/>
        </w:rPr>
        <w:t>丹麦男性论坛更赞成丹麦无性别区分的阐述。在追求两性平等的过程中，只关注一个性别是不妥当的。这样做甚至会扩大差距。</w:t>
      </w:r>
    </w:p>
    <w:p w:rsidR="00000000" w:rsidRDefault="00000000">
      <w:pPr>
        <w:spacing w:after="240" w:line="360" w:lineRule="exact"/>
        <w:rPr>
          <w:rFonts w:eastAsia="SimHei"/>
        </w:rPr>
      </w:pPr>
      <w:r>
        <w:rPr>
          <w:rFonts w:eastAsia="SimHei" w:hint="eastAsia"/>
        </w:rPr>
        <w:t>平等和民主</w:t>
      </w:r>
    </w:p>
    <w:p w:rsidR="00000000" w:rsidRDefault="00000000">
      <w:pPr>
        <w:spacing w:after="240" w:line="360" w:lineRule="exact"/>
        <w:ind w:firstLine="425"/>
      </w:pPr>
      <w:r>
        <w:rPr>
          <w:rFonts w:hint="eastAsia"/>
        </w:rPr>
        <w:t>丹麦男性论坛认为在下述两个方面之间存在着矛盾：一方面是两性平等参与社会决策过程的目标；另一方面是民主，在民主体制中，议会的组成是自由选举的结果。我们建议议会的组成反映选民的意志。</w:t>
      </w:r>
    </w:p>
    <w:p w:rsidR="00000000" w:rsidRDefault="00000000">
      <w:pPr>
        <w:spacing w:after="240" w:line="360" w:lineRule="exact"/>
        <w:rPr>
          <w:rFonts w:eastAsia="SimHei"/>
        </w:rPr>
      </w:pPr>
      <w:r>
        <w:rPr>
          <w:rFonts w:eastAsia="SimHei" w:hint="eastAsia"/>
        </w:rPr>
        <w:t>家庭生活中的机会</w:t>
      </w:r>
    </w:p>
    <w:p w:rsidR="00000000" w:rsidRDefault="00000000">
      <w:pPr>
        <w:spacing w:after="240" w:line="360" w:lineRule="exact"/>
        <w:ind w:firstLine="425"/>
      </w:pPr>
      <w:r>
        <w:rPr>
          <w:rFonts w:hint="eastAsia"/>
        </w:rPr>
        <w:t>丹麦男性论坛对丹麦第五次报告把家庭生活作为劳动力市场的附属题目而未列为单独章节表示遗憾。在实现性别平等进程中所需的男女观念、规范和价值标准的大多数变化都发生在家庭。</w:t>
      </w:r>
    </w:p>
    <w:p w:rsidR="00000000" w:rsidRDefault="00000000">
      <w:pPr>
        <w:spacing w:after="240" w:line="360" w:lineRule="exact"/>
        <w:ind w:firstLine="425"/>
      </w:pPr>
      <w:r>
        <w:rPr>
          <w:rFonts w:hint="eastAsia"/>
        </w:rPr>
        <w:t>丹麦第五次报告指出：“（在丹麦）男女在社会所有领域有着同样的权利、义务和机会。”（见第五次报告，关于第</w:t>
      </w:r>
      <w:r>
        <w:t>1</w:t>
      </w:r>
      <w:r>
        <w:rPr>
          <w:rFonts w:hint="eastAsia"/>
        </w:rPr>
        <w:t>条的评论）。</w:t>
      </w:r>
    </w:p>
    <w:p w:rsidR="00000000" w:rsidRDefault="00000000">
      <w:pPr>
        <w:spacing w:after="240" w:line="360" w:lineRule="exact"/>
        <w:ind w:firstLine="425"/>
      </w:pPr>
      <w:r>
        <w:rPr>
          <w:rFonts w:hint="eastAsia"/>
        </w:rPr>
        <w:t>但这并不完全正确。丹麦男子和妇女在涉及其子女时并不享有平等的权利。大约</w:t>
      </w:r>
      <w:r>
        <w:t>46%</w:t>
      </w:r>
      <w:r>
        <w:rPr>
          <w:rFonts w:hint="eastAsia"/>
        </w:rPr>
        <w:t>的丹麦儿童是非婚生子。未婚父亲无法得到孩子的监护权，除非母亲签署允许其享有共同监护权的文件（《丹麦监护权法》，第</w:t>
      </w:r>
      <w:r>
        <w:t>5</w:t>
      </w:r>
      <w:r>
        <w:rPr>
          <w:rFonts w:hint="eastAsia"/>
        </w:rPr>
        <w:t>款）。</w:t>
      </w:r>
    </w:p>
    <w:p w:rsidR="00000000" w:rsidRDefault="00000000">
      <w:pPr>
        <w:spacing w:after="240" w:line="360" w:lineRule="exact"/>
        <w:ind w:firstLine="425"/>
      </w:pPr>
      <w:r>
        <w:rPr>
          <w:rFonts w:hint="eastAsia"/>
        </w:rPr>
        <w:t>《丹麦监护权法》于</w:t>
      </w:r>
      <w:r>
        <w:t>1995</w:t>
      </w:r>
      <w:r>
        <w:rPr>
          <w:rFonts w:hint="eastAsia"/>
        </w:rPr>
        <w:t>年修改。为了响应政府提议修改的报告，丹麦平等地位委员会建议，如果孩子的父母居住在一起，父母双方应自动分享非婚生子女的监护权。但是法律却并没有执行这项建议。</w:t>
      </w:r>
    </w:p>
    <w:p w:rsidR="00000000" w:rsidRDefault="00000000">
      <w:pPr>
        <w:spacing w:after="240" w:line="360" w:lineRule="exact"/>
        <w:ind w:firstLine="425"/>
      </w:pPr>
      <w:r>
        <w:rPr>
          <w:rFonts w:hint="eastAsia"/>
        </w:rPr>
        <w:t>近来，在</w:t>
      </w:r>
      <w:r>
        <w:t>2000</w:t>
      </w:r>
      <w:r>
        <w:rPr>
          <w:rFonts w:hint="eastAsia"/>
        </w:rPr>
        <w:t>年春季，丹麦议会再次提出关于未婚父亲自动享有监护权的问题。现在，委员会在一份官方声明中改变了其</w:t>
      </w:r>
      <w:r>
        <w:t>1995</w:t>
      </w:r>
      <w:r>
        <w:rPr>
          <w:rFonts w:hint="eastAsia"/>
        </w:rPr>
        <w:t>年的观点，建议不对当前有关监护权的立法进行修改。换句话说，委员会认为，未婚妈妈的唯一监护权符合其子女的最大利益。如果丹麦议会原封不动地通过该法案，未婚妈妈将可以不容质疑地选择唯一监护权。</w:t>
      </w:r>
    </w:p>
    <w:p w:rsidR="00000000" w:rsidRDefault="00000000">
      <w:pPr>
        <w:spacing w:after="240" w:line="360" w:lineRule="exact"/>
        <w:ind w:firstLine="425"/>
      </w:pPr>
      <w:r>
        <w:rPr>
          <w:rFonts w:hint="eastAsia"/>
        </w:rPr>
        <w:t>丹麦男性论坛同意孩子的利益应该是所有情况中最重要的利益。但我们并未发现孩子的利益和共享监护权之间存在矛盾。实际上，我们的确发现孩子的利益和其母亲目前享有的唯一监护权是相互冲突的。非婚生子女应该和婚姻生子女享有同样的权利：与父母双方都有监护关系。一旦共同监护不再符合孩子的最大利益，该共同监护权状况将考虑使其父母在审判中得到平等对待。因此，将根据对父母能力的评估决定子女的未来。</w:t>
      </w:r>
    </w:p>
    <w:p w:rsidR="00000000" w:rsidRDefault="00000000">
      <w:pPr>
        <w:spacing w:after="240" w:line="360" w:lineRule="exact"/>
        <w:ind w:firstLine="425"/>
      </w:pPr>
      <w:r>
        <w:rPr>
          <w:rFonts w:hint="eastAsia"/>
        </w:rPr>
        <w:t>丹麦男性论坛对平等地位委员会改变其观点表示遗憾。我们发现维持这种不平等标准违背了《消除对妇女一切形式歧视公约》的第</w:t>
      </w:r>
      <w:r>
        <w:t>5b</w:t>
      </w:r>
      <w:r>
        <w:rPr>
          <w:rFonts w:hint="eastAsia"/>
        </w:rPr>
        <w:t>条。</w:t>
      </w:r>
    </w:p>
    <w:p w:rsidR="00000000" w:rsidRDefault="00000000">
      <w:pPr>
        <w:spacing w:after="240" w:line="360" w:lineRule="exact"/>
        <w:ind w:firstLine="425"/>
      </w:pPr>
      <w:r>
        <w:rPr>
          <w:rFonts w:hint="eastAsia"/>
        </w:rPr>
        <w:t>监护权问题不仅仅是在享有监护关系方面对儿童和男子歧视的问题。法庭关于监护权的判决对母亲的有利程度到了无法反映子女利益的地步。</w:t>
      </w:r>
      <w:r>
        <w:t>37%</w:t>
      </w:r>
      <w:r>
        <w:rPr>
          <w:rFonts w:hint="eastAsia"/>
        </w:rPr>
        <w:t>的丹麦儿童在</w:t>
      </w:r>
      <w:r>
        <w:t>18</w:t>
      </w:r>
      <w:r>
        <w:rPr>
          <w:rFonts w:hint="eastAsia"/>
        </w:rPr>
        <w:t>岁以前只与单亲</w:t>
      </w:r>
      <w:r>
        <w:t>——</w:t>
      </w:r>
      <w:r>
        <w:rPr>
          <w:rFonts w:hint="eastAsia"/>
        </w:rPr>
        <w:t>多数是和母亲——一起生活。丹麦社会研究所发现，相对少数由父亲带大的孩子比由母亲带大的孩子的经济状况要好得多（社会研究所，</w:t>
      </w:r>
      <w:r>
        <w:t>1996</w:t>
      </w:r>
      <w:r>
        <w:rPr>
          <w:rFonts w:hint="eastAsia"/>
        </w:rPr>
        <w:t>年）。</w:t>
      </w:r>
    </w:p>
    <w:p w:rsidR="00000000" w:rsidRDefault="00000000">
      <w:pPr>
        <w:spacing w:after="240" w:line="360" w:lineRule="exact"/>
        <w:ind w:firstLine="425"/>
      </w:pPr>
      <w:r>
        <w:rPr>
          <w:rFonts w:hint="eastAsia"/>
        </w:rPr>
        <w:t>在涉及其子女时男子和妇女的机会上的差异对于男女民事生活的大多数领域都有影响。照顾孩子的确影响生活质量、工作机会以及个人经济状况（见下文）。</w:t>
      </w:r>
    </w:p>
    <w:p w:rsidR="00000000" w:rsidRDefault="00000000">
      <w:pPr>
        <w:spacing w:after="240" w:line="360" w:lineRule="exact"/>
        <w:rPr>
          <w:rFonts w:eastAsia="SimHei"/>
        </w:rPr>
      </w:pPr>
      <w:r>
        <w:rPr>
          <w:rFonts w:eastAsia="SimHei" w:hint="eastAsia"/>
        </w:rPr>
        <w:t>劳动力市场</w:t>
      </w:r>
    </w:p>
    <w:p w:rsidR="00000000" w:rsidRDefault="00000000">
      <w:pPr>
        <w:spacing w:after="240" w:line="360" w:lineRule="exact"/>
        <w:ind w:firstLine="425"/>
      </w:pPr>
      <w:r>
        <w:rPr>
          <w:rFonts w:hint="eastAsia"/>
        </w:rPr>
        <w:t>确实，所有人都应该同工同酬。但对许多丹麦人，特别是女性，正常工资只是其收入的一部分。丹麦国民生产总值的相当一部分包括其他收入，例如失业救济、社会援助、租金补助以及儿童补贴。这些收入中的一些和由男子转移给妇女的赡养费以及子女补助均不在收入统计之列。增加以上几项收入使丹麦男性和女性收入分配情况更加一目了然。</w:t>
      </w:r>
    </w:p>
    <w:p w:rsidR="00000000" w:rsidRDefault="00000000">
      <w:pPr>
        <w:pStyle w:val="BodyTextIndent"/>
        <w:spacing w:line="360" w:lineRule="exact"/>
      </w:pPr>
      <w:r>
        <w:rPr>
          <w:rFonts w:hint="eastAsia"/>
        </w:rPr>
        <w:t>丹麦所有的母亲都能得到子女补贴。而父亲只有在享有唯一监护权时才能得到子女补贴。在母亲自动放弃监护权或死亡时父亲获得监护权，但这种情况极少。</w:t>
      </w:r>
    </w:p>
    <w:p w:rsidR="00000000" w:rsidRDefault="00000000">
      <w:pPr>
        <w:spacing w:after="240" w:line="360" w:lineRule="exact"/>
        <w:ind w:firstLine="425"/>
        <w:rPr>
          <w:rFonts w:hint="eastAsia"/>
        </w:rPr>
      </w:pPr>
      <w:r>
        <w:br w:type="page"/>
      </w:r>
      <w:r>
        <w:rPr>
          <w:rFonts w:hint="eastAsia"/>
        </w:rPr>
        <w:t>图</w:t>
      </w:r>
      <w:r>
        <w:t>1</w:t>
      </w:r>
      <w:r>
        <w:rPr>
          <w:rFonts w:hint="eastAsia"/>
        </w:rPr>
        <w:t>：有两个孩子的单亲的净收入</w:t>
      </w:r>
    </w:p>
    <w:p w:rsidR="00000000" w:rsidRDefault="00000000">
      <w:pPr>
        <w:spacing w:after="240" w:line="360" w:lineRule="exact"/>
        <w:rPr>
          <w:rFonts w:hint="eastAsia"/>
        </w:rPr>
      </w:pPr>
      <w:r>
        <w:rPr>
          <w:noProof/>
          <w:sz w:val="20"/>
        </w:rPr>
        <w:pict>
          <v:shape id="_x0000_s1041" type="#_x0000_t202" style="position:absolute;left:0;text-align:left;margin-left:42pt;margin-top:19.2pt;width:30pt;height:161.2pt;z-index:13" strokecolor="white">
            <v:textbox inset=",,0">
              <w:txbxContent>
                <w:p w:rsidR="00000000" w:rsidRDefault="00000000">
                  <w:pPr>
                    <w:spacing w:after="230" w:line="240" w:lineRule="exact"/>
                    <w:jc w:val="right"/>
                    <w:rPr>
                      <w:rFonts w:hint="eastAsia"/>
                      <w:sz w:val="15"/>
                    </w:rPr>
                  </w:pPr>
                  <w:r>
                    <w:rPr>
                      <w:rFonts w:hint="eastAsia"/>
                      <w:sz w:val="15"/>
                    </w:rPr>
                    <w:t>30 000</w:t>
                  </w:r>
                </w:p>
                <w:p w:rsidR="00000000" w:rsidRDefault="00000000">
                  <w:pPr>
                    <w:spacing w:after="230" w:line="240" w:lineRule="exact"/>
                    <w:jc w:val="right"/>
                    <w:rPr>
                      <w:rFonts w:hint="eastAsia"/>
                      <w:sz w:val="15"/>
                    </w:rPr>
                  </w:pPr>
                  <w:r>
                    <w:rPr>
                      <w:rFonts w:hint="eastAsia"/>
                      <w:sz w:val="15"/>
                    </w:rPr>
                    <w:t>25 000</w:t>
                  </w:r>
                </w:p>
                <w:p w:rsidR="00000000" w:rsidRDefault="00000000">
                  <w:pPr>
                    <w:spacing w:after="230" w:line="240" w:lineRule="exact"/>
                    <w:jc w:val="right"/>
                    <w:rPr>
                      <w:rFonts w:hint="eastAsia"/>
                      <w:sz w:val="15"/>
                    </w:rPr>
                  </w:pPr>
                  <w:r>
                    <w:rPr>
                      <w:rFonts w:hint="eastAsia"/>
                      <w:sz w:val="15"/>
                    </w:rPr>
                    <w:t>20 000</w:t>
                  </w:r>
                </w:p>
                <w:p w:rsidR="00000000" w:rsidRDefault="00000000">
                  <w:pPr>
                    <w:spacing w:after="230" w:line="240" w:lineRule="exact"/>
                    <w:jc w:val="right"/>
                    <w:rPr>
                      <w:rFonts w:hint="eastAsia"/>
                      <w:sz w:val="15"/>
                    </w:rPr>
                  </w:pPr>
                  <w:r>
                    <w:rPr>
                      <w:rFonts w:hint="eastAsia"/>
                      <w:sz w:val="15"/>
                    </w:rPr>
                    <w:t>15 000</w:t>
                  </w:r>
                </w:p>
                <w:p w:rsidR="00000000" w:rsidRDefault="00000000">
                  <w:pPr>
                    <w:spacing w:after="230" w:line="240" w:lineRule="exact"/>
                    <w:jc w:val="right"/>
                    <w:rPr>
                      <w:rFonts w:hint="eastAsia"/>
                      <w:sz w:val="15"/>
                    </w:rPr>
                  </w:pPr>
                  <w:r>
                    <w:rPr>
                      <w:rFonts w:hint="eastAsia"/>
                      <w:sz w:val="15"/>
                    </w:rPr>
                    <w:t>10 000</w:t>
                  </w:r>
                </w:p>
                <w:p w:rsidR="00000000" w:rsidRDefault="00000000">
                  <w:pPr>
                    <w:spacing w:after="230" w:line="240" w:lineRule="exact"/>
                    <w:jc w:val="right"/>
                    <w:rPr>
                      <w:rFonts w:hint="eastAsia"/>
                      <w:sz w:val="15"/>
                    </w:rPr>
                  </w:pPr>
                  <w:r>
                    <w:rPr>
                      <w:rFonts w:hint="eastAsia"/>
                      <w:sz w:val="15"/>
                    </w:rPr>
                    <w:t>$5 000</w:t>
                  </w:r>
                </w:p>
                <w:p w:rsidR="00000000" w:rsidRDefault="00000000">
                  <w:pPr>
                    <w:spacing w:after="230" w:line="240" w:lineRule="exact"/>
                    <w:jc w:val="right"/>
                    <w:rPr>
                      <w:rFonts w:hint="eastAsia"/>
                      <w:sz w:val="15"/>
                    </w:rPr>
                  </w:pPr>
                  <w:r>
                    <w:rPr>
                      <w:rFonts w:hint="eastAsia"/>
                      <w:sz w:val="15"/>
                    </w:rPr>
                    <w:t>$0</w:t>
                  </w:r>
                </w:p>
              </w:txbxContent>
            </v:textbox>
          </v:shape>
        </w:pict>
      </w:r>
      <w:r>
        <w:rPr>
          <w:noProof/>
          <w:sz w:val="20"/>
        </w:rPr>
        <w:pict>
          <v:shape id="_x0000_s1030" type="#_x0000_t202" style="position:absolute;left:0;text-align:left;margin-left:36pt;margin-top:19.2pt;width:413.75pt;height:177.1pt;z-index:3" filled="f" stroked="f">
            <v:textbox>
              <w:txbxContent>
                <w:p w:rsidR="00000000" w:rsidRDefault="00000000">
                  <w:r>
                    <w:pict>
                      <v:shape id="_x0000_i1027" type="#_x0000_t75" style="width:399pt;height:170.25pt">
                        <v:imagedata r:id="rId10" o:title="1"/>
                      </v:shape>
                    </w:pict>
                  </w:r>
                </w:p>
              </w:txbxContent>
            </v:textbox>
          </v:shape>
        </w:pict>
      </w:r>
    </w:p>
    <w:p w:rsidR="00000000" w:rsidRDefault="00000000">
      <w:pPr>
        <w:spacing w:after="240" w:line="360" w:lineRule="exact"/>
        <w:rPr>
          <w:rFonts w:hint="eastAsia"/>
        </w:rPr>
      </w:pPr>
      <w:r>
        <w:rPr>
          <w:noProof/>
          <w:sz w:val="20"/>
        </w:rPr>
        <w:pict>
          <v:shape id="_x0000_s1034" type="#_x0000_t202" style="position:absolute;left:0;text-align:left;margin-left:252pt;margin-top:25.6pt;width:42pt;height:41.6pt;z-index:7" filled="f" stroked="f">
            <v:textbox>
              <w:txbxContent>
                <w:p w:rsidR="00000000" w:rsidRDefault="00000000">
                  <w:pPr>
                    <w:spacing w:line="200" w:lineRule="exact"/>
                    <w:jc w:val="left"/>
                    <w:rPr>
                      <w:color w:val="FFFFFF"/>
                      <w:sz w:val="18"/>
                    </w:rPr>
                  </w:pPr>
                  <w:r>
                    <w:rPr>
                      <w:rFonts w:hint="eastAsia"/>
                      <w:sz w:val="18"/>
                    </w:rPr>
                    <w:t>工资净额</w:t>
                  </w:r>
                </w:p>
              </w:txbxContent>
            </v:textbox>
          </v:shape>
        </w:pict>
      </w:r>
      <w:r>
        <w:rPr>
          <w:noProof/>
          <w:sz w:val="20"/>
        </w:rPr>
        <w:pict>
          <v:shape id="_x0000_s1031" type="#_x0000_t202" style="position:absolute;left:0;text-align:left;margin-left:12pt;margin-top:4.8pt;width:42pt;height:98.8pt;z-index:4" filled="f" stroked="f">
            <v:textbox style="layout-flow:vertical;mso-layout-flow-alt:bottom-to-top">
              <w:txbxContent>
                <w:p w:rsidR="00000000" w:rsidRDefault="00000000">
                  <w:pPr>
                    <w:rPr>
                      <w:rFonts w:eastAsia="SimHei"/>
                      <w:sz w:val="18"/>
                    </w:rPr>
                  </w:pPr>
                  <w:r>
                    <w:rPr>
                      <w:rFonts w:eastAsia="SimHei" w:hint="eastAsia"/>
                      <w:sz w:val="18"/>
                    </w:rPr>
                    <w:t>税后净收入</w:t>
                  </w:r>
                </w:p>
              </w:txbxContent>
            </v:textbox>
          </v:shape>
        </w:pict>
      </w:r>
    </w:p>
    <w:p w:rsidR="00000000" w:rsidRDefault="00000000">
      <w:pPr>
        <w:spacing w:after="240" w:line="360" w:lineRule="exact"/>
        <w:rPr>
          <w:rFonts w:hint="eastAsia"/>
        </w:rPr>
      </w:pPr>
      <w:r>
        <w:rPr>
          <w:noProof/>
          <w:sz w:val="20"/>
        </w:rPr>
        <w:pict>
          <v:shape id="_x0000_s1033" type="#_x0000_t202" style="position:absolute;left:0;text-align:left;margin-left:138pt;margin-top:.8pt;width:42pt;height:41.6pt;z-index:6" filled="f" stroked="f">
            <v:textbox>
              <w:txbxContent>
                <w:p w:rsidR="00000000" w:rsidRDefault="00000000">
                  <w:pPr>
                    <w:spacing w:line="200" w:lineRule="exact"/>
                    <w:rPr>
                      <w:color w:val="FFFFFF"/>
                      <w:sz w:val="18"/>
                    </w:rPr>
                  </w:pPr>
                  <w:r>
                    <w:rPr>
                      <w:rFonts w:hint="eastAsia"/>
                      <w:color w:val="FFFFFF"/>
                      <w:sz w:val="18"/>
                    </w:rPr>
                    <w:t>失业救济金</w:t>
                  </w:r>
                </w:p>
              </w:txbxContent>
            </v:textbox>
          </v:shape>
        </w:pict>
      </w:r>
      <w:r>
        <w:rPr>
          <w:noProof/>
          <w:sz w:val="20"/>
        </w:rPr>
        <w:pict>
          <v:shape id="_x0000_s1032" type="#_x0000_t202" style="position:absolute;left:0;text-align:left;margin-left:84pt;margin-top:.8pt;width:42pt;height:41.6pt;z-index:5" filled="f" stroked="f">
            <v:textbox>
              <w:txbxContent>
                <w:p w:rsidR="00000000" w:rsidRDefault="00000000">
                  <w:pPr>
                    <w:spacing w:line="240" w:lineRule="exact"/>
                    <w:rPr>
                      <w:color w:val="FFFFFF"/>
                      <w:sz w:val="18"/>
                    </w:rPr>
                  </w:pPr>
                  <w:r>
                    <w:rPr>
                      <w:rFonts w:hint="eastAsia"/>
                      <w:color w:val="FFFFFF"/>
                      <w:sz w:val="18"/>
                    </w:rPr>
                    <w:t>社会补助金</w:t>
                  </w:r>
                </w:p>
              </w:txbxContent>
            </v:textbox>
          </v:shape>
        </w:pict>
      </w:r>
    </w:p>
    <w:p w:rsidR="00000000" w:rsidRDefault="00000000">
      <w:pPr>
        <w:spacing w:after="240" w:line="360" w:lineRule="exact"/>
        <w:rPr>
          <w:rFonts w:hint="eastAsia"/>
        </w:rPr>
      </w:pPr>
      <w:r>
        <w:rPr>
          <w:noProof/>
          <w:sz w:val="20"/>
        </w:rPr>
        <w:pict>
          <v:shape id="_x0000_s1035" type="#_x0000_t202" style="position:absolute;left:0;text-align:left;margin-left:132pt;margin-top:17.6pt;width:78pt;height:20.8pt;z-index:8" filled="f" stroked="f">
            <v:textbox>
              <w:txbxContent>
                <w:p w:rsidR="00000000" w:rsidRDefault="00000000">
                  <w:pPr>
                    <w:spacing w:line="240" w:lineRule="exact"/>
                    <w:rPr>
                      <w:sz w:val="18"/>
                    </w:rPr>
                  </w:pPr>
                  <w:r>
                    <w:rPr>
                      <w:rFonts w:hint="eastAsia"/>
                      <w:sz w:val="18"/>
                    </w:rPr>
                    <w:t>日托补贴</w:t>
                  </w:r>
                </w:p>
              </w:txbxContent>
            </v:textbox>
          </v:shape>
        </w:pict>
      </w:r>
    </w:p>
    <w:p w:rsidR="00000000" w:rsidRDefault="00000000">
      <w:pPr>
        <w:spacing w:after="240" w:line="360" w:lineRule="exact"/>
        <w:rPr>
          <w:rFonts w:hint="eastAsia"/>
        </w:rPr>
      </w:pPr>
      <w:r>
        <w:rPr>
          <w:noProof/>
          <w:sz w:val="20"/>
        </w:rPr>
        <w:pict>
          <v:shape id="_x0000_s1038" type="#_x0000_t202" style="position:absolute;left:0;text-align:left;margin-left:126pt;margin-top:29.2pt;width:90pt;height:15.6pt;z-index:11" filled="f" stroked="f">
            <v:textbox>
              <w:txbxContent>
                <w:p w:rsidR="00000000" w:rsidRDefault="00000000">
                  <w:pPr>
                    <w:spacing w:line="160" w:lineRule="exact"/>
                    <w:rPr>
                      <w:color w:val="FFFFFF"/>
                      <w:sz w:val="15"/>
                    </w:rPr>
                  </w:pPr>
                  <w:r>
                    <w:rPr>
                      <w:rFonts w:hint="eastAsia"/>
                      <w:color w:val="FFFFFF"/>
                      <w:sz w:val="15"/>
                    </w:rPr>
                    <w:t>单身补贴</w:t>
                  </w:r>
                </w:p>
              </w:txbxContent>
            </v:textbox>
          </v:shape>
        </w:pict>
      </w:r>
      <w:r>
        <w:rPr>
          <w:noProof/>
          <w:sz w:val="20"/>
        </w:rPr>
        <w:pict>
          <v:shape id="_x0000_s1037" type="#_x0000_t202" style="position:absolute;left:0;text-align:left;margin-left:150pt;margin-top:18.8pt;width:138pt;height:15.6pt;z-index:10" filled="f" stroked="f">
            <v:textbox>
              <w:txbxContent>
                <w:p w:rsidR="00000000" w:rsidRDefault="00000000">
                  <w:pPr>
                    <w:spacing w:line="200" w:lineRule="exact"/>
                    <w:rPr>
                      <w:sz w:val="18"/>
                    </w:rPr>
                  </w:pPr>
                  <w:r>
                    <w:rPr>
                      <w:rFonts w:hint="eastAsia"/>
                      <w:sz w:val="18"/>
                    </w:rPr>
                    <w:t>由另一方提供的儿童生活费</w:t>
                  </w:r>
                </w:p>
              </w:txbxContent>
            </v:textbox>
          </v:shape>
        </w:pict>
      </w:r>
      <w:r>
        <w:rPr>
          <w:noProof/>
          <w:sz w:val="20"/>
        </w:rPr>
        <w:pict>
          <v:shape id="_x0000_s1036" type="#_x0000_t202" style="position:absolute;left:0;text-align:left;margin-left:132pt;margin-top:3.2pt;width:66pt;height:20.8pt;z-index:9" filled="f" stroked="f">
            <v:textbox>
              <w:txbxContent>
                <w:p w:rsidR="00000000" w:rsidRDefault="00000000">
                  <w:pPr>
                    <w:spacing w:line="240" w:lineRule="exact"/>
                    <w:rPr>
                      <w:color w:val="FFFFFF"/>
                      <w:sz w:val="18"/>
                    </w:rPr>
                  </w:pPr>
                  <w:r>
                    <w:rPr>
                      <w:rFonts w:hint="eastAsia"/>
                      <w:color w:val="FFFFFF"/>
                      <w:sz w:val="18"/>
                    </w:rPr>
                    <w:t>租金补助</w:t>
                  </w:r>
                </w:p>
              </w:txbxContent>
            </v:textbox>
          </v:shape>
        </w:pict>
      </w:r>
    </w:p>
    <w:p w:rsidR="00000000" w:rsidRDefault="00000000">
      <w:pPr>
        <w:spacing w:after="240" w:line="360" w:lineRule="exact"/>
        <w:rPr>
          <w:rFonts w:hint="eastAsia"/>
        </w:rPr>
      </w:pPr>
      <w:r>
        <w:rPr>
          <w:noProof/>
          <w:sz w:val="20"/>
        </w:rPr>
        <w:pict>
          <v:shape id="_x0000_s1040" type="#_x0000_t202" style="position:absolute;left:0;text-align:left;margin-left:186pt;margin-top:9.6pt;width:78pt;height:15.6pt;z-index:12" filled="f" stroked="f">
            <v:textbox>
              <w:txbxContent>
                <w:p w:rsidR="00000000" w:rsidRDefault="00000000">
                  <w:pPr>
                    <w:spacing w:line="200" w:lineRule="exact"/>
                    <w:rPr>
                      <w:color w:val="FFFFFF"/>
                      <w:sz w:val="18"/>
                    </w:rPr>
                  </w:pPr>
                  <w:r>
                    <w:rPr>
                      <w:rFonts w:hint="eastAsia"/>
                      <w:color w:val="FFFFFF"/>
                      <w:sz w:val="18"/>
                    </w:rPr>
                    <w:t>儿童补贴</w:t>
                  </w:r>
                </w:p>
              </w:txbxContent>
            </v:textbox>
          </v:shape>
        </w:pict>
      </w:r>
    </w:p>
    <w:p w:rsidR="00000000" w:rsidRDefault="00000000">
      <w:pPr>
        <w:spacing w:after="240" w:line="360" w:lineRule="exact"/>
        <w:rPr>
          <w:rFonts w:hint="eastAsia"/>
        </w:rPr>
      </w:pPr>
      <w:r>
        <w:rPr>
          <w:noProof/>
          <w:sz w:val="20"/>
        </w:rPr>
        <w:pict>
          <v:shape id="_x0000_s1042" type="#_x0000_t202" style="position:absolute;left:0;text-align:left;margin-left:2in;margin-top:.4pt;width:294pt;height:15.6pt;z-index:14" stroked="f">
            <v:textbox inset=",0">
              <w:txbxContent>
                <w:p w:rsidR="00000000" w:rsidRDefault="00000000">
                  <w:pPr>
                    <w:spacing w:line="220" w:lineRule="exact"/>
                    <w:rPr>
                      <w:rFonts w:hint="eastAsia"/>
                      <w:sz w:val="15"/>
                    </w:rPr>
                  </w:pPr>
                  <w:r>
                    <w:rPr>
                      <w:rFonts w:hint="eastAsia"/>
                      <w:sz w:val="15"/>
                    </w:rPr>
                    <w:t>$17 000    $20 000     $23 000     $26 000     $29 000     $32 000    $35 000</w:t>
                  </w:r>
                </w:p>
              </w:txbxContent>
            </v:textbox>
          </v:shape>
        </w:pict>
      </w:r>
    </w:p>
    <w:p w:rsidR="00000000" w:rsidRDefault="00000000">
      <w:pPr>
        <w:spacing w:after="240" w:line="360" w:lineRule="exact"/>
        <w:jc w:val="center"/>
        <w:rPr>
          <w:rFonts w:eastAsia="SimHei"/>
        </w:rPr>
      </w:pPr>
      <w:r>
        <w:rPr>
          <w:rFonts w:eastAsia="SimHei" w:hint="eastAsia"/>
        </w:rPr>
        <w:t>税前就业收入或失业救济金</w:t>
      </w:r>
    </w:p>
    <w:p w:rsidR="00000000" w:rsidRDefault="00000000">
      <w:pPr>
        <w:spacing w:line="360" w:lineRule="exact"/>
      </w:pPr>
    </w:p>
    <w:p w:rsidR="00000000" w:rsidRDefault="00000000">
      <w:pPr>
        <w:pBdr>
          <w:bottom w:val="single" w:sz="4" w:space="1" w:color="auto"/>
        </w:pBdr>
        <w:spacing w:after="240" w:line="360" w:lineRule="exact"/>
        <w:ind w:firstLine="425"/>
      </w:pPr>
      <w:r>
        <w:rPr>
          <w:rFonts w:hint="eastAsia"/>
        </w:rPr>
        <w:t>图</w:t>
      </w:r>
      <w:r>
        <w:t>1</w:t>
      </w:r>
      <w:r>
        <w:rPr>
          <w:rFonts w:hint="eastAsia"/>
        </w:rPr>
        <w:t>：除了儿童补贴和由双亲的另一方提供的儿童生活费以及可能的赡养费以外，丹麦的单亲从一些不同的社会方案领取补助金。收入总额取决于下述诸因素：个人收入、子女数目、子女年龄、租金多少，房间大小、日托方式以及双亲中另一方的收入。该图显示有两个年龄有</w:t>
      </w:r>
      <w:r>
        <w:t>2</w:t>
      </w:r>
      <w:r>
        <w:rPr>
          <w:rFonts w:hint="eastAsia"/>
        </w:rPr>
        <w:t>岁至</w:t>
      </w:r>
      <w:r>
        <w:t>5</w:t>
      </w:r>
      <w:r>
        <w:rPr>
          <w:rFonts w:hint="eastAsia"/>
        </w:rPr>
        <w:t>岁的单亲的累积净收入。租金定为每月</w:t>
      </w:r>
      <w:r>
        <w:t>500</w:t>
      </w:r>
      <w:r>
        <w:rPr>
          <w:rFonts w:hint="eastAsia"/>
        </w:rPr>
        <w:t>美元，该数额为平常数。儿童补贴为最低水平</w:t>
      </w:r>
      <w:r>
        <w:t>—</w:t>
      </w:r>
      <w:r>
        <w:rPr>
          <w:rFonts w:hint="eastAsia"/>
        </w:rPr>
        <w:t>如果其父收入增加，则儿童补贴也将增加。所有比率均按</w:t>
      </w:r>
      <w:r>
        <w:t>2000</w:t>
      </w:r>
      <w:r>
        <w:rPr>
          <w:rFonts w:hint="eastAsia"/>
        </w:rPr>
        <w:t>年比率计算。美元与丹麦克朗的汇率定为</w:t>
      </w:r>
      <w:r>
        <w:t>1</w:t>
      </w:r>
      <w:r>
        <w:rPr>
          <w:rFonts w:hint="eastAsia"/>
        </w:rPr>
        <w:t>:</w:t>
      </w:r>
      <w:r>
        <w:t>800</w:t>
      </w:r>
      <w:r>
        <w:rPr>
          <w:rFonts w:hint="eastAsia"/>
        </w:rPr>
        <w:t>。</w:t>
      </w:r>
    </w:p>
    <w:p w:rsidR="00000000" w:rsidRDefault="00000000">
      <w:pPr>
        <w:spacing w:after="240" w:line="360" w:lineRule="exact"/>
        <w:ind w:firstLine="425"/>
      </w:pPr>
      <w:r>
        <w:rPr>
          <w:rFonts w:hint="eastAsia"/>
        </w:rPr>
        <w:t>仅同子女居住在一起的单身母亲从一些不同的方案领取社会补助金。除了儿童补贴以及父亲提供的儿童生活费以外，她可以领取单亲补助金、租金补贴和日托补贴。有两个子女的单亲的补助金和各类补贴每年累积总额可达</w:t>
      </w:r>
      <w:r>
        <w:t>15</w:t>
      </w:r>
      <w:r>
        <w:rPr>
          <w:rFonts w:hint="eastAsia"/>
        </w:rPr>
        <w:t xml:space="preserve"> </w:t>
      </w:r>
      <w:r>
        <w:t>000</w:t>
      </w:r>
      <w:r>
        <w:rPr>
          <w:rFonts w:hint="eastAsia"/>
        </w:rPr>
        <w:t>美元以上（见图</w:t>
      </w:r>
      <w:r>
        <w:t>1</w:t>
      </w:r>
      <w:r>
        <w:rPr>
          <w:rFonts w:hint="eastAsia"/>
        </w:rPr>
        <w:t>）。</w:t>
      </w:r>
    </w:p>
    <w:p w:rsidR="00000000" w:rsidRDefault="00000000">
      <w:pPr>
        <w:spacing w:after="240" w:line="360" w:lineRule="exact"/>
        <w:ind w:firstLine="425"/>
      </w:pPr>
      <w:r>
        <w:rPr>
          <w:rFonts w:hint="eastAsia"/>
        </w:rPr>
        <w:t>与平均工资相比，单身母亲的净收入水平也比较高。有两个子女的单身母亲每年的税后收入约为</w:t>
      </w:r>
      <w:r>
        <w:t>27</w:t>
      </w:r>
      <w:r>
        <w:rPr>
          <w:rFonts w:hint="eastAsia"/>
        </w:rPr>
        <w:t xml:space="preserve"> </w:t>
      </w:r>
      <w:r>
        <w:t>000</w:t>
      </w:r>
      <w:r>
        <w:rPr>
          <w:rFonts w:hint="eastAsia"/>
        </w:rPr>
        <w:t>美元，相当于该数额大约两倍的毛收入。这意味着分居以后母亲和子女在经济上较以前整个家庭经济状况更好，除非父亲的工资接近平均工资的两倍。</w:t>
      </w:r>
    </w:p>
    <w:p w:rsidR="00000000" w:rsidRDefault="00000000">
      <w:pPr>
        <w:spacing w:after="240" w:line="360" w:lineRule="exact"/>
        <w:ind w:firstLine="425"/>
      </w:pPr>
      <w:r>
        <w:rPr>
          <w:rFonts w:hint="eastAsia"/>
        </w:rPr>
        <w:t>丹麦许多人在形式上离婚，以便获得专门用于单亲的社会补助金。市和议会试图阻止这种做法，但均未成功。</w:t>
      </w:r>
    </w:p>
    <w:p w:rsidR="00000000" w:rsidRDefault="00000000">
      <w:pPr>
        <w:spacing w:after="240" w:line="360" w:lineRule="exact"/>
        <w:ind w:firstLine="425"/>
      </w:pPr>
      <w:r>
        <w:rPr>
          <w:rFonts w:hint="eastAsia"/>
        </w:rPr>
        <w:t>其中一些向单亲提供的社会补助金、租金补贴和日托补贴是在某种程度上取决于，社会补助金的数额按工资净额增长的同一比率下降。如果单身母亲从事非全日性工作，其所得净收入与失业津贴水平相比甚至会减少（见图</w:t>
      </w:r>
      <w:r>
        <w:t>1</w:t>
      </w:r>
      <w:r>
        <w:rPr>
          <w:rFonts w:hint="eastAsia"/>
        </w:rPr>
        <w:t>）。</w:t>
      </w:r>
    </w:p>
    <w:p w:rsidR="00000000" w:rsidRDefault="00000000">
      <w:pPr>
        <w:spacing w:after="240" w:line="360" w:lineRule="exact"/>
        <w:ind w:firstLine="425"/>
      </w:pPr>
      <w:r>
        <w:rPr>
          <w:rFonts w:hint="eastAsia"/>
        </w:rPr>
        <w:t>这意味着单身母亲不能提高其净收入。她们没有参加工作的经济动力。无疑，这是造成单身失业率极高的主要原因，其失业率达</w:t>
      </w:r>
      <w:r>
        <w:t>35%</w:t>
      </w:r>
      <w:r>
        <w:rPr>
          <w:rFonts w:hint="eastAsia"/>
        </w:rPr>
        <w:t>（社会研究所，</w:t>
      </w:r>
      <w:r>
        <w:t>1996</w:t>
      </w:r>
      <w:r>
        <w:rPr>
          <w:rFonts w:hint="eastAsia"/>
        </w:rPr>
        <w:t>年）。</w:t>
      </w:r>
    </w:p>
    <w:p w:rsidR="00000000" w:rsidRDefault="00000000">
      <w:pPr>
        <w:spacing w:after="240" w:line="360" w:lineRule="exact"/>
        <w:ind w:firstLine="425"/>
      </w:pPr>
      <w:r>
        <w:rPr>
          <w:rFonts w:hint="eastAsia"/>
        </w:rPr>
        <w:t>丹麦男性论坛希望看到补助政策的改革，以使单身母亲可以通过参加全日或非全日性工作增加收入。这不仅对不再作被动贡献的母亲有好处。对儿童来说，工作的父母亲所起的示范作用要优于失业的父母亲。而且，如果单身母亲的失业率下降，妇女的工资总额将会提高并且使男女之间的工资分配趋于均衡。</w:t>
      </w:r>
    </w:p>
    <w:p w:rsidR="00000000" w:rsidRDefault="00000000">
      <w:pPr>
        <w:spacing w:after="240" w:line="360" w:lineRule="exact"/>
        <w:rPr>
          <w:rFonts w:eastAsia="SimHei"/>
        </w:rPr>
      </w:pPr>
      <w:r>
        <w:rPr>
          <w:rFonts w:eastAsia="SimHei" w:hint="eastAsia"/>
        </w:rPr>
        <w:t>最后的意见</w:t>
      </w:r>
    </w:p>
    <w:p w:rsidR="00000000" w:rsidRDefault="00000000">
      <w:pPr>
        <w:spacing w:after="240" w:line="360" w:lineRule="exact"/>
        <w:ind w:firstLine="425"/>
      </w:pPr>
      <w:r>
        <w:rPr>
          <w:rFonts w:hint="eastAsia"/>
        </w:rPr>
        <w:t>丹麦男性论坛认为，严格的性别特定角色和社会的结构力量不仅歧视妇女，而且也歧视男子。我们认为，许多法律、社会和保健统计文件证明了这种观点。</w:t>
      </w:r>
    </w:p>
    <w:p w:rsidR="00000000" w:rsidRDefault="00000000">
      <w:pPr>
        <w:spacing w:after="240" w:line="360" w:lineRule="exact"/>
        <w:ind w:firstLine="425"/>
      </w:pPr>
      <w:r>
        <w:rPr>
          <w:rFonts w:hint="eastAsia"/>
        </w:rPr>
        <w:t>在以性别特定办法解决社会问题的过程中，歧视机制显得很明显。我们建议在丹麦和国际一级，以女性观点开展的反歧视工作应加入男性观点。</w:t>
      </w:r>
    </w:p>
    <w:p w:rsidR="00000000" w:rsidRDefault="00000000">
      <w:pPr>
        <w:spacing w:after="240" w:line="360" w:lineRule="exact"/>
        <w:ind w:firstLine="425"/>
      </w:pPr>
      <w:r>
        <w:rPr>
          <w:rFonts w:hint="eastAsia"/>
        </w:rPr>
        <w:t>我们认为，必须在所有政治机构中将这种双重观点纳入主流化，以便履行联合国宣布的各项人权公约。</w:t>
      </w:r>
    </w:p>
    <w:p w:rsidR="00000000" w:rsidRDefault="00000000">
      <w:pPr>
        <w:spacing w:after="240" w:line="360" w:lineRule="exact"/>
        <w:ind w:firstLine="425"/>
      </w:pPr>
    </w:p>
    <w:p w:rsidR="00000000" w:rsidRDefault="00000000">
      <w:pPr>
        <w:spacing w:line="240" w:lineRule="auto"/>
        <w:ind w:firstLine="425"/>
        <w:rPr>
          <w:rFonts w:hint="eastAsia"/>
          <w:sz w:val="20"/>
        </w:rPr>
      </w:pPr>
      <w:r>
        <w:rPr>
          <w:noProof/>
          <w:sz w:val="20"/>
        </w:rPr>
        <w:pict>
          <v:line id="_x0000_s1046" style="position:absolute;left:0;text-align:left;z-index:18;mso-position-horizontal:center" from="0,30pt" to="1in,30pt" stroked="f" strokeweight=".25pt"/>
        </w:pict>
      </w:r>
      <w:r>
        <w:rPr>
          <w:noProof/>
          <w:sz w:val="20"/>
        </w:rPr>
        <w:pict>
          <v:line id="_x0000_s1045" style="position:absolute;left:0;text-align:left;z-index:17;mso-position-horizontal:center" from="0,30pt" to="1in,30pt" stroked="f" strokeweight=".25pt"/>
        </w:pict>
      </w:r>
      <w:r>
        <w:rPr>
          <w:noProof/>
          <w:sz w:val="20"/>
        </w:rPr>
        <w:pict>
          <v:line id="_x0000_s1044" style="position:absolute;left:0;text-align:left;z-index:16;mso-position-horizontal:center" from="0,30pt" to="1in,30pt" stroked="f" strokeweight=".25pt"/>
        </w:pict>
      </w:r>
      <w:r>
        <w:rPr>
          <w:noProof/>
          <w:sz w:val="20"/>
        </w:rPr>
        <w:pict>
          <v:line id="_x0000_s1043" style="position:absolute;left:0;text-align:left;z-index:15;mso-position-horizontal:center" from="0,30pt" to="1in,30pt" stroked="f" strokeweight=".25pt"/>
        </w:pict>
      </w:r>
    </w:p>
    <w:sectPr w:rsidR="00000000">
      <w:headerReference w:type="even" r:id="rId11"/>
      <w:headerReference w:type="default" r:id="rId12"/>
      <w:footerReference w:type="even" r:id="rId13"/>
      <w:footerReference w:type="default" r:id="rId14"/>
      <w:headerReference w:type="first" r:id="rId15"/>
      <w:footerReference w:type="first" r:id="rId16"/>
      <w:pgSz w:w="12242" w:h="15842" w:code="1"/>
      <w:pgMar w:top="1729" w:right="1191" w:bottom="1814" w:left="1191" w:header="1134" w:footer="1021" w:gutter="0"/>
      <w:cols w:space="289"/>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NO&gt;&gt;N0052384C&lt;&lt;ODS JOB NO&gt;&gt;</w:t>
      </w:r>
    </w:p>
    <w:p w:rsidR="00000000" w:rsidRDefault="00000000">
      <w:pPr>
        <w:pStyle w:val="CommentText"/>
      </w:pPr>
      <w:r>
        <w:t>&lt;&lt;ODS DOC SYMBOL1&gt;&gt;CEDAW/C/DEN/5&lt;&lt;ODS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仿宋体">
    <w:altName w:val="宋体"/>
    <w:panose1 w:val="00000000000000000000"/>
    <w:charset w:val="86"/>
    <w:family w:val="roman"/>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uto"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62</w:t>
    </w:r>
    <w:r>
      <w:rPr>
        <w:rStyle w:val="PageNumber"/>
      </w:rPr>
      <w:fldChar w:fldCharType="end"/>
    </w:r>
  </w:p>
  <w:p w:rsidR="00000000" w:rsidRDefault="00000000">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uto"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61</w:t>
    </w:r>
    <w:r>
      <w:rPr>
        <w:rStyle w:val="PageNumber"/>
      </w:rPr>
      <w:fldChar w:fldCharType="end"/>
    </w:r>
  </w:p>
  <w:p w:rsidR="00000000" w:rsidRDefault="00000000">
    <w:pPr>
      <w:pStyle w:val="Footer"/>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rPr>
        <w:sz w:val="21"/>
      </w:rPr>
      <w:t>00-52384 (C)   060901   060901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jc w:val="both"/>
        <w:rPr>
          <w:rFonts w:eastAsia="SimSun" w:hint="eastAsia"/>
        </w:rPr>
      </w:pPr>
      <w:r>
        <w:rPr>
          <w:rStyle w:val="FootnoteReference"/>
          <w:rFonts w:eastAsia="SimSun"/>
        </w:rPr>
        <w:t>*</w:t>
      </w:r>
      <w:r>
        <w:rPr>
          <w:rFonts w:eastAsia="SimSun"/>
        </w:rPr>
        <w:t xml:space="preserve"> </w:t>
      </w:r>
      <w:r>
        <w:rPr>
          <w:rFonts w:eastAsia="SimSun" w:hint="eastAsia"/>
        </w:rPr>
        <w:t>本报告印发之前未经正式编辑。丹麦政府提交的初次报告见</w:t>
      </w:r>
      <w:r>
        <w:rPr>
          <w:rFonts w:eastAsia="SimSun" w:hint="eastAsia"/>
        </w:rPr>
        <w:t>CEDAW/C/5/Add.2</w:t>
      </w:r>
      <w:r>
        <w:rPr>
          <w:rFonts w:eastAsia="SimSun" w:hint="eastAsia"/>
        </w:rPr>
        <w:t>，委员会第五届会议审议了该报告。丹麦政府提交的第二次定期报告见</w:t>
      </w:r>
      <w:r>
        <w:rPr>
          <w:rFonts w:eastAsia="SimSun" w:hint="eastAsia"/>
        </w:rPr>
        <w:t>CEDAW/C/13/Add.4</w:t>
      </w:r>
      <w:r>
        <w:rPr>
          <w:rFonts w:eastAsia="SimSun" w:hint="eastAsia"/>
        </w:rPr>
        <w:t>，委员会第十届会议审议了该报告。丹麦政府提交的第三次定期报告见</w:t>
      </w:r>
      <w:r>
        <w:rPr>
          <w:rFonts w:eastAsia="SimSun" w:hint="eastAsia"/>
        </w:rPr>
        <w:t>CEDAW/C/DEN/3</w:t>
      </w:r>
      <w:r>
        <w:rPr>
          <w:rFonts w:eastAsia="SimSun" w:hint="eastAsia"/>
        </w:rPr>
        <w:t>，委员会第十六届会议审议了该报告。丹麦政府提交的第四次定期报告见</w:t>
      </w:r>
      <w:r>
        <w:rPr>
          <w:rFonts w:eastAsia="SimSun" w:hint="eastAsia"/>
        </w:rPr>
        <w:t>CEDAW/C/DEN/4</w:t>
      </w:r>
      <w:r>
        <w:rPr>
          <w:rFonts w:eastAsia="SimSun" w:hint="eastAsia"/>
        </w:rPr>
        <w:t>。</w:t>
      </w:r>
    </w:p>
  </w:footnote>
  <w:footnote w:id="2">
    <w:p w:rsidR="00000000" w:rsidRDefault="00000000">
      <w:pPr>
        <w:pStyle w:val="FootnoteText"/>
        <w:rPr>
          <w:rFonts w:eastAsia="SimSun"/>
        </w:rPr>
      </w:pPr>
      <w:r>
        <w:rPr>
          <w:rStyle w:val="FootnoteReference"/>
          <w:rFonts w:eastAsia="SimSun"/>
        </w:rPr>
        <w:footnoteRef/>
      </w:r>
      <w:r>
        <w:rPr>
          <w:rFonts w:eastAsia="SimSun" w:hint="eastAsia"/>
        </w:rPr>
        <w:t xml:space="preserve">  </w:t>
      </w:r>
      <w:r>
        <w:rPr>
          <w:rFonts w:eastAsia="SimSun" w:hint="eastAsia"/>
        </w:rPr>
        <w:t>议会于</w:t>
      </w:r>
      <w:r>
        <w:rPr>
          <w:rFonts w:eastAsia="SimSun"/>
        </w:rPr>
        <w:t>2000</w:t>
      </w:r>
      <w:r>
        <w:rPr>
          <w:rFonts w:eastAsia="SimSun" w:hint="eastAsia"/>
        </w:rPr>
        <w:t>年</w:t>
      </w:r>
      <w:r>
        <w:rPr>
          <w:rFonts w:eastAsia="SimSun"/>
        </w:rPr>
        <w:t>5</w:t>
      </w:r>
      <w:r>
        <w:rPr>
          <w:rFonts w:eastAsia="SimSun" w:hint="eastAsia"/>
        </w:rPr>
        <w:t>月</w:t>
      </w:r>
      <w:r>
        <w:rPr>
          <w:rFonts w:eastAsia="SimSun"/>
        </w:rPr>
        <w:t>25</w:t>
      </w:r>
      <w:r>
        <w:rPr>
          <w:rFonts w:eastAsia="SimSun" w:hint="eastAsia"/>
        </w:rPr>
        <w:t>日通过了该项新法律。该法律的英文本经翻译之后将尽快向消除对妇女歧视委员会提交。</w:t>
      </w:r>
    </w:p>
  </w:footnote>
  <w:footnote w:id="3">
    <w:p w:rsidR="00000000" w:rsidRDefault="00000000">
      <w:pPr>
        <w:pStyle w:val="FootnoteText"/>
        <w:rPr>
          <w:rFonts w:eastAsia="SimSun"/>
        </w:rPr>
      </w:pPr>
      <w:r>
        <w:rPr>
          <w:rStyle w:val="FootnoteReference"/>
          <w:rFonts w:eastAsia="SimSun"/>
        </w:rPr>
        <w:footnoteRef/>
      </w:r>
      <w:r>
        <w:rPr>
          <w:rFonts w:eastAsia="SimSun" w:hint="eastAsia"/>
        </w:rPr>
        <w:t xml:space="preserve">  </w:t>
      </w:r>
      <w:r>
        <w:rPr>
          <w:rFonts w:eastAsia="SimSun" w:hint="eastAsia"/>
        </w:rPr>
        <w:t>平等地位委员会为所有委员会即未被本法覆盖的委员会补充的</w:t>
      </w:r>
      <w:r>
        <w:rPr>
          <w:rFonts w:eastAsia="SimSun"/>
        </w:rPr>
        <w:t>1996</w:t>
      </w:r>
      <w:r>
        <w:rPr>
          <w:rFonts w:eastAsia="SimSun" w:hint="eastAsia"/>
        </w:rPr>
        <w:t>年统计数字为</w:t>
      </w:r>
      <w:r>
        <w:rPr>
          <w:rFonts w:eastAsia="SimSun"/>
        </w:rPr>
        <w:t>27.2%</w:t>
      </w:r>
      <w:r>
        <w:rPr>
          <w:rFonts w:eastAsia="SimSun" w:hint="eastAsia"/>
        </w:rPr>
        <w:t>。</w:t>
      </w:r>
    </w:p>
  </w:footnote>
  <w:footnote w:id="4">
    <w:p w:rsidR="00000000" w:rsidRDefault="00000000">
      <w:pPr>
        <w:pStyle w:val="FootnoteText"/>
        <w:rPr>
          <w:rFonts w:hint="eastAsia"/>
        </w:rPr>
      </w:pPr>
      <w:r>
        <w:rPr>
          <w:rStyle w:val="FootnoteReference"/>
        </w:rPr>
        <w:t>3</w:t>
      </w:r>
      <w:r>
        <w:t xml:space="preserve"> </w:t>
      </w:r>
      <w:r>
        <w:rPr>
          <w:rFonts w:hint="eastAsia"/>
        </w:rPr>
        <w:t xml:space="preserve">  </w:t>
      </w:r>
      <w:r>
        <w:rPr>
          <w:rFonts w:hint="eastAsia"/>
        </w:rPr>
        <w:t>参见关于</w:t>
      </w:r>
      <w:r>
        <w:t>1997</w:t>
      </w:r>
      <w:r>
        <w:rPr>
          <w:rFonts w:hint="eastAsia"/>
        </w:rPr>
        <w:t>年</w:t>
      </w:r>
      <w:r>
        <w:t>1</w:t>
      </w:r>
      <w:r>
        <w:rPr>
          <w:rFonts w:hint="eastAsia"/>
        </w:rPr>
        <w:t>月审查《消除对妇女歧视公约》第三次定期报告后作的书面答复。</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none" w:sz="0" w:space="0" w:color="auto"/>
      </w:pBdr>
      <w:jc w:val="left"/>
      <w:rPr>
        <w:sz w:val="21"/>
      </w:rPr>
    </w:pPr>
    <w:r>
      <w:rPr>
        <w:b/>
      </w:rPr>
      <w:t>CEDAW/C/DEN/5</w:t>
    </w:r>
  </w:p>
  <w:p w:rsidR="00000000" w:rsidRDefault="00000000">
    <w:pPr>
      <w:pStyle w:val="Header"/>
      <w:spacing w:line="160" w:lineRule="exact"/>
      <w:jc w:val="left"/>
      <w:rPr>
        <w:sz w:val="21"/>
      </w:rPr>
    </w:pPr>
  </w:p>
  <w:p w:rsidR="00000000" w:rsidRDefault="00000000">
    <w:pPr>
      <w:pStyle w:val="Header"/>
      <w:pBdr>
        <w:bottom w:val="none" w:sz="0" w:space="0" w:color="auto"/>
      </w:pBdr>
      <w:spacing w:line="160" w:lineRule="exact"/>
      <w:jc w:val="left"/>
      <w:rPr>
        <w:sz w:val="21"/>
      </w:rPr>
    </w:pPr>
  </w:p>
  <w:p w:rsidR="00000000" w:rsidRDefault="00000000">
    <w:pPr>
      <w:pStyle w:val="Header"/>
      <w:pBdr>
        <w:bottom w:val="none" w:sz="0" w:space="0" w:color="auto"/>
      </w:pBdr>
      <w:spacing w:line="160" w:lineRule="exact"/>
      <w:jc w:val="left"/>
      <w:rPr>
        <w:sz w:val="21"/>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none" w:sz="0" w:space="0" w:color="auto"/>
      </w:pBdr>
      <w:ind w:left="7560" w:hanging="360"/>
      <w:jc w:val="right"/>
      <w:rPr>
        <w:sz w:val="21"/>
      </w:rPr>
    </w:pPr>
    <w:r>
      <w:rPr>
        <w:b/>
      </w:rPr>
      <w:t>CEDAW/C/DEN/5</w:t>
    </w:r>
  </w:p>
  <w:p w:rsidR="00000000" w:rsidRDefault="00000000">
    <w:pPr>
      <w:pStyle w:val="Header"/>
      <w:spacing w:line="160" w:lineRule="exact"/>
      <w:jc w:val="right"/>
      <w:rPr>
        <w:sz w:val="21"/>
      </w:rPr>
    </w:pPr>
  </w:p>
  <w:p w:rsidR="00000000" w:rsidRDefault="00000000">
    <w:pPr>
      <w:pStyle w:val="Header"/>
      <w:pBdr>
        <w:bottom w:val="none" w:sz="0" w:space="0" w:color="auto"/>
      </w:pBdr>
      <w:spacing w:line="160" w:lineRule="exact"/>
      <w:jc w:val="right"/>
      <w:rPr>
        <w:sz w:val="21"/>
      </w:rPr>
    </w:pPr>
  </w:p>
  <w:p w:rsidR="00000000" w:rsidRDefault="00000000">
    <w:pPr>
      <w:pStyle w:val="Header"/>
      <w:pBdr>
        <w:bottom w:val="none" w:sz="0" w:space="0" w:color="auto"/>
      </w:pBdr>
      <w:spacing w:line="160" w:lineRule="exact"/>
      <w:jc w:val="right"/>
      <w:rPr>
        <w:sz w:val="21"/>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9B88281E"/>
    <w:lvl w:ilvl="0">
      <w:numFmt w:val="decimal"/>
      <w:lvlText w:val="*"/>
      <w:lvlJc w:val="left"/>
    </w:lvl>
  </w:abstractNum>
  <w:abstractNum w:abstractNumId="1">
    <w:nsid w:val="19074C28"/>
    <w:multiLevelType w:val="singleLevel"/>
    <w:tmpl w:val="E27C66AA"/>
    <w:lvl w:ilvl="0">
      <w:start w:val="1"/>
      <w:numFmt w:val="decimal"/>
      <w:lvlText w:val="%1."/>
      <w:legacy w:legacy="1" w:legacySpace="0" w:legacyIndent="360"/>
      <w:lvlJc w:val="left"/>
      <w:pPr>
        <w:ind w:left="785" w:hanging="360"/>
      </w:pPr>
    </w:lvl>
  </w:abstractNum>
  <w:abstractNum w:abstractNumId="2">
    <w:nsid w:val="2EDA2102"/>
    <w:multiLevelType w:val="hybridMultilevel"/>
    <w:tmpl w:val="5FF2488A"/>
    <w:lvl w:ilvl="0" w:tplc="D1D68CDE">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3606320F"/>
    <w:multiLevelType w:val="hybridMultilevel"/>
    <w:tmpl w:val="5FF2488A"/>
    <w:lvl w:ilvl="0" w:tplc="D1D68CDE">
      <w:start w:val="8"/>
      <w:numFmt w:val="bullet"/>
      <w:lvlText w:val=""/>
      <w:lvlJc w:val="left"/>
      <w:pPr>
        <w:tabs>
          <w:tab w:val="num" w:pos="360"/>
        </w:tabs>
        <w:ind w:left="36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426E453C"/>
    <w:multiLevelType w:val="hybridMultilevel"/>
    <w:tmpl w:val="81CE47CC"/>
    <w:lvl w:ilvl="0" w:tplc="D1D68CDE">
      <w:start w:val="8"/>
      <w:numFmt w:val="bullet"/>
      <w:lvlText w:val=""/>
      <w:lvlJc w:val="left"/>
      <w:pPr>
        <w:tabs>
          <w:tab w:val="num" w:pos="360"/>
        </w:tabs>
        <w:ind w:left="36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48BB030E"/>
    <w:multiLevelType w:val="hybridMultilevel"/>
    <w:tmpl w:val="AD424F16"/>
    <w:lvl w:ilvl="0" w:tplc="D1D68CDE">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6">
    <w:nsid w:val="4A7F1E83"/>
    <w:multiLevelType w:val="hybridMultilevel"/>
    <w:tmpl w:val="96C23228"/>
    <w:lvl w:ilvl="0" w:tplc="D1D68CDE">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7">
    <w:nsid w:val="574C50A3"/>
    <w:multiLevelType w:val="hybridMultilevel"/>
    <w:tmpl w:val="81CE47CC"/>
    <w:lvl w:ilvl="0" w:tplc="D1D68CDE">
      <w:start w:val="8"/>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nsid w:val="76C37999"/>
    <w:multiLevelType w:val="hybridMultilevel"/>
    <w:tmpl w:val="5E962F64"/>
    <w:lvl w:ilvl="0" w:tplc="D1D68CDE">
      <w:start w:val="8"/>
      <w:numFmt w:val="bullet"/>
      <w:lvlText w:val=""/>
      <w:lvlJc w:val="left"/>
      <w:pPr>
        <w:tabs>
          <w:tab w:val="num" w:pos="1210"/>
        </w:tabs>
        <w:ind w:left="1210" w:hanging="360"/>
      </w:pPr>
      <w:rPr>
        <w:rFonts w:ascii="Symbol" w:eastAsia="SimSun" w:hAnsi="Symbol" w:cs="Times New Roman" w:hint="default"/>
      </w:rPr>
    </w:lvl>
    <w:lvl w:ilvl="1" w:tplc="04090003" w:tentative="1">
      <w:start w:val="1"/>
      <w:numFmt w:val="bullet"/>
      <w:lvlText w:val=""/>
      <w:lvlJc w:val="left"/>
      <w:pPr>
        <w:tabs>
          <w:tab w:val="num" w:pos="1690"/>
        </w:tabs>
        <w:ind w:left="1690" w:hanging="420"/>
      </w:pPr>
      <w:rPr>
        <w:rFonts w:ascii="Wingdings" w:hAnsi="Wingdings" w:hint="default"/>
      </w:rPr>
    </w:lvl>
    <w:lvl w:ilvl="2" w:tplc="04090005" w:tentative="1">
      <w:start w:val="1"/>
      <w:numFmt w:val="bullet"/>
      <w:lvlText w:val=""/>
      <w:lvlJc w:val="left"/>
      <w:pPr>
        <w:tabs>
          <w:tab w:val="num" w:pos="2110"/>
        </w:tabs>
        <w:ind w:left="2110" w:hanging="420"/>
      </w:pPr>
      <w:rPr>
        <w:rFonts w:ascii="Wingdings" w:hAnsi="Wingdings" w:hint="default"/>
      </w:rPr>
    </w:lvl>
    <w:lvl w:ilvl="3" w:tplc="04090001" w:tentative="1">
      <w:start w:val="1"/>
      <w:numFmt w:val="bullet"/>
      <w:lvlText w:val=""/>
      <w:lvlJc w:val="left"/>
      <w:pPr>
        <w:tabs>
          <w:tab w:val="num" w:pos="2530"/>
        </w:tabs>
        <w:ind w:left="2530" w:hanging="420"/>
      </w:pPr>
      <w:rPr>
        <w:rFonts w:ascii="Wingdings" w:hAnsi="Wingdings" w:hint="default"/>
      </w:rPr>
    </w:lvl>
    <w:lvl w:ilvl="4" w:tplc="04090003" w:tentative="1">
      <w:start w:val="1"/>
      <w:numFmt w:val="bullet"/>
      <w:lvlText w:val=""/>
      <w:lvlJc w:val="left"/>
      <w:pPr>
        <w:tabs>
          <w:tab w:val="num" w:pos="2950"/>
        </w:tabs>
        <w:ind w:left="2950" w:hanging="420"/>
      </w:pPr>
      <w:rPr>
        <w:rFonts w:ascii="Wingdings" w:hAnsi="Wingdings" w:hint="default"/>
      </w:rPr>
    </w:lvl>
    <w:lvl w:ilvl="5" w:tplc="04090005" w:tentative="1">
      <w:start w:val="1"/>
      <w:numFmt w:val="bullet"/>
      <w:lvlText w:val=""/>
      <w:lvlJc w:val="left"/>
      <w:pPr>
        <w:tabs>
          <w:tab w:val="num" w:pos="3370"/>
        </w:tabs>
        <w:ind w:left="3370" w:hanging="420"/>
      </w:pPr>
      <w:rPr>
        <w:rFonts w:ascii="Wingdings" w:hAnsi="Wingdings" w:hint="default"/>
      </w:rPr>
    </w:lvl>
    <w:lvl w:ilvl="6" w:tplc="04090001" w:tentative="1">
      <w:start w:val="1"/>
      <w:numFmt w:val="bullet"/>
      <w:lvlText w:val=""/>
      <w:lvlJc w:val="left"/>
      <w:pPr>
        <w:tabs>
          <w:tab w:val="num" w:pos="3790"/>
        </w:tabs>
        <w:ind w:left="3790" w:hanging="420"/>
      </w:pPr>
      <w:rPr>
        <w:rFonts w:ascii="Wingdings" w:hAnsi="Wingdings" w:hint="default"/>
      </w:rPr>
    </w:lvl>
    <w:lvl w:ilvl="7" w:tplc="04090003" w:tentative="1">
      <w:start w:val="1"/>
      <w:numFmt w:val="bullet"/>
      <w:lvlText w:val=""/>
      <w:lvlJc w:val="left"/>
      <w:pPr>
        <w:tabs>
          <w:tab w:val="num" w:pos="4210"/>
        </w:tabs>
        <w:ind w:left="4210" w:hanging="420"/>
      </w:pPr>
      <w:rPr>
        <w:rFonts w:ascii="Wingdings" w:hAnsi="Wingdings" w:hint="default"/>
      </w:rPr>
    </w:lvl>
    <w:lvl w:ilvl="8" w:tplc="04090005" w:tentative="1">
      <w:start w:val="1"/>
      <w:numFmt w:val="bullet"/>
      <w:lvlText w:val=""/>
      <w:lvlJc w:val="left"/>
      <w:pPr>
        <w:tabs>
          <w:tab w:val="num" w:pos="4630"/>
        </w:tabs>
        <w:ind w:left="4630" w:hanging="420"/>
      </w:pPr>
      <w:rPr>
        <w:rFonts w:ascii="Wingdings" w:hAnsi="Wingdings" w:hint="default"/>
      </w:rPr>
    </w:lvl>
  </w:abstractNum>
  <w:abstractNum w:abstractNumId="9">
    <w:nsid w:val="7E7D56AC"/>
    <w:multiLevelType w:val="singleLevel"/>
    <w:tmpl w:val="730E78E6"/>
    <w:lvl w:ilvl="0">
      <w:start w:val="1"/>
      <w:numFmt w:val="chineseLegalSimplified"/>
      <w:lvlText w:val="第%1章"/>
      <w:legacy w:legacy="1" w:legacySpace="0" w:legacyIndent="735"/>
      <w:lvlJc w:val="left"/>
      <w:pPr>
        <w:ind w:left="735" w:hanging="735"/>
      </w:pPr>
    </w:lvl>
  </w:abstractNum>
  <w:num w:numId="1">
    <w:abstractNumId w:val="1"/>
  </w:num>
  <w:num w:numId="2">
    <w:abstractNumId w:val="9"/>
  </w:num>
  <w:num w:numId="3">
    <w:abstractNumId w:val="0"/>
    <w:lvlOverride w:ilvl="0">
      <w:lvl w:ilvl="0">
        <w:start w:val="1"/>
        <w:numFmt w:val="bullet"/>
        <w:lvlText w:val=""/>
        <w:legacy w:legacy="1" w:legacySpace="0" w:legacyIndent="425"/>
        <w:lvlJc w:val="left"/>
        <w:pPr>
          <w:ind w:left="1275" w:hanging="425"/>
        </w:pPr>
        <w:rPr>
          <w:rFonts w:ascii="Wingdings" w:hAnsi="Wingdings" w:hint="default"/>
        </w:rPr>
      </w:lvl>
    </w:lvlOverride>
  </w:num>
  <w:num w:numId="4">
    <w:abstractNumId w:val="0"/>
    <w:lvlOverride w:ilvl="0">
      <w:lvl w:ilvl="0">
        <w:start w:val="1"/>
        <w:numFmt w:val="bullet"/>
        <w:lvlText w:val=""/>
        <w:legacy w:legacy="1" w:legacySpace="0" w:legacyIndent="425"/>
        <w:lvlJc w:val="left"/>
        <w:pPr>
          <w:ind w:left="1275" w:hanging="425"/>
        </w:pPr>
        <w:rPr>
          <w:rFonts w:ascii="Wingdings" w:hAnsi="Wingdings" w:hint="default"/>
        </w:rPr>
      </w:lvl>
    </w:lvlOverride>
  </w:num>
  <w:num w:numId="5">
    <w:abstractNumId w:val="0"/>
    <w:lvlOverride w:ilvl="0">
      <w:lvl w:ilvl="0">
        <w:start w:val="1"/>
        <w:numFmt w:val="bullet"/>
        <w:lvlText w:val=""/>
        <w:legacy w:legacy="1" w:legacySpace="0" w:legacyIndent="425"/>
        <w:lvlJc w:val="left"/>
        <w:pPr>
          <w:ind w:left="1275" w:hanging="425"/>
        </w:pPr>
        <w:rPr>
          <w:rFonts w:ascii="Wingdings" w:hAnsi="Wingdings" w:hint="default"/>
        </w:rPr>
      </w:lvl>
    </w:lvlOverride>
  </w:num>
  <w:num w:numId="6">
    <w:abstractNumId w:val="0"/>
    <w:lvlOverride w:ilvl="0">
      <w:lvl w:ilvl="0">
        <w:start w:val="1"/>
        <w:numFmt w:val="bullet"/>
        <w:lvlText w:val=""/>
        <w:legacy w:legacy="1" w:legacySpace="0" w:legacyIndent="425"/>
        <w:lvlJc w:val="left"/>
        <w:pPr>
          <w:ind w:left="1275" w:hanging="425"/>
        </w:pPr>
        <w:rPr>
          <w:rFonts w:ascii="Wingdings" w:hAnsi="Wingdings" w:hint="default"/>
        </w:rPr>
      </w:lvl>
    </w:lvlOverride>
  </w:num>
  <w:num w:numId="7">
    <w:abstractNumId w:val="8"/>
  </w:num>
  <w:num w:numId="8">
    <w:abstractNumId w:val="6"/>
  </w:num>
  <w:num w:numId="9">
    <w:abstractNumId w:val="5"/>
  </w:num>
  <w:num w:numId="10">
    <w:abstractNumId w:val="4"/>
  </w:num>
  <w:num w:numId="11">
    <w:abstractNumId w:val="7"/>
  </w:num>
  <w:num w:numId="12">
    <w:abstractNumId w:val="3"/>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425"/>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fill="f" fillcolor="white" stroke="f">
      <v:fill color="white" on="f"/>
      <v:stroke on="f"/>
    </o:shapedefaults>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fill="f" fillcolor="white" stroke="f">
      <v:fill color="white" on="f"/>
      <v:stroke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semiHidden/>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NormalIndent">
    <w:name w:val="Normal Indent"/>
    <w:basedOn w:val="Normal"/>
    <w:semiHidden/>
    <w:pPr>
      <w:spacing w:line="240" w:lineRule="auto"/>
      <w:ind w:firstLine="420"/>
    </w:pPr>
    <w:rPr>
      <w:kern w:val="2"/>
    </w:rPr>
  </w:style>
  <w:style w:type="paragraph" w:styleId="Date">
    <w:name w:val="Date"/>
    <w:basedOn w:val="Normal"/>
    <w:next w:val="Normal"/>
    <w:semiHidden/>
    <w:pPr>
      <w:spacing w:line="240" w:lineRule="auto"/>
    </w:pPr>
    <w:rPr>
      <w:rFonts w:ascii="SimSun"/>
      <w:sz w:val="24"/>
    </w:rPr>
  </w:style>
  <w:style w:type="paragraph" w:styleId="BodyTextIndent">
    <w:name w:val="Body Text Indent"/>
    <w:basedOn w:val="Normal"/>
    <w:semiHidden/>
    <w:pPr>
      <w:spacing w:after="240" w:line="440" w:lineRule="exact"/>
      <w:ind w:firstLine="425"/>
    </w:pPr>
  </w:style>
  <w:style w:type="paragraph" w:styleId="PlainText">
    <w:name w:val="Plain Text"/>
    <w:basedOn w:val="Normal"/>
    <w:semiHidden/>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semiHidden/>
    <w:pPr>
      <w:spacing w:line="240" w:lineRule="auto"/>
    </w:pPr>
    <w:rPr>
      <w:rFonts w:ascii="SimSun"/>
      <w:kern w:val="2"/>
      <w:sz w:val="28"/>
    </w:rPr>
  </w:style>
  <w:style w:type="paragraph" w:styleId="EndnoteText">
    <w:name w:val="endnote text"/>
    <w:basedOn w:val="Normal"/>
    <w:semiHidden/>
    <w:pPr>
      <w:snapToGrid w:val="0"/>
      <w:jc w:val="left"/>
    </w:pPr>
  </w:style>
  <w:style w:type="character" w:styleId="EndnoteReference">
    <w:name w:val="endnote reference"/>
    <w:semiHidden/>
    <w:rPr>
      <w:vertAlign w:val="superscript"/>
    </w:rPr>
  </w:style>
  <w:style w:type="paragraph" w:styleId="BodyText2">
    <w:name w:val="Body Text 2"/>
    <w:basedOn w:val="Normal"/>
    <w:semiHidden/>
    <w:pPr>
      <w:spacing w:after="240" w:line="360" w:lineRule="exact"/>
    </w:pPr>
    <w:rPr>
      <w:rFonts w:eastAsia="SimHei"/>
      <w:sz w:val="2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41</TotalTime>
  <Pages>1</Pages>
  <Words>7046</Words>
  <Characters>40167</Characters>
  <Application>Microsoft Office Word</Application>
  <DocSecurity>4</DocSecurity>
  <Lines>334</Lines>
  <Paragraphs>80</Paragraphs>
  <ScaleCrop>false</ScaleCrop>
  <HeadingPairs>
    <vt:vector size="2" baseType="variant">
      <vt:variant>
        <vt:lpstr>题目</vt:lpstr>
      </vt:variant>
      <vt:variant>
        <vt:i4>1</vt:i4>
      </vt:variant>
    </vt:vector>
  </HeadingPairs>
  <TitlesOfParts>
    <vt:vector size="1" baseType="lpstr">
      <vt:lpstr>联合国</vt:lpstr>
    </vt:vector>
  </TitlesOfParts>
  <Company>DF</Company>
  <LinksUpToDate>false</LinksUpToDate>
  <CharactersWithSpaces>49327</CharactersWithSpaces>
  <SharedDoc>false</SharedDoc>
  <HLinks>
    <vt:vector size="12" baseType="variant">
      <vt:variant>
        <vt:i4>4653126</vt:i4>
      </vt:variant>
      <vt:variant>
        <vt:i4>99624</vt:i4>
      </vt:variant>
      <vt:variant>
        <vt:i4>1025</vt:i4>
      </vt:variant>
      <vt:variant>
        <vt:i4>1</vt:i4>
      </vt:variant>
      <vt:variant>
        <vt:lpwstr>2.tif</vt:lpwstr>
      </vt:variant>
      <vt:variant>
        <vt:lpwstr/>
      </vt:variant>
      <vt:variant>
        <vt:i4>4653125</vt:i4>
      </vt:variant>
      <vt:variant>
        <vt:i4>99656</vt:i4>
      </vt:variant>
      <vt:variant>
        <vt:i4>1026</vt:i4>
      </vt:variant>
      <vt:variant>
        <vt:i4>1</vt:i4>
      </vt:variant>
      <vt:variant>
        <vt:lpwstr>1.tif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m</dc:creator>
  <cp:keywords/>
  <cp:lastModifiedBy>DGAACS</cp:lastModifiedBy>
  <cp:revision>4</cp:revision>
  <cp:lastPrinted>2001-09-06T09:14:00Z</cp:lastPrinted>
  <dcterms:created xsi:type="dcterms:W3CDTF">2001-09-06T08:38:00Z</dcterms:created>
  <dcterms:modified xsi:type="dcterms:W3CDTF">2001-09-06T09:20:00Z</dcterms:modified>
</cp:coreProperties>
</file>