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308A28B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89F1744" w14:textId="77777777" w:rsidR="002D5AAC" w:rsidRDefault="002D5AAC" w:rsidP="0027532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A4C5FB2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F002142" w14:textId="4FBDF638" w:rsidR="002D5AAC" w:rsidRDefault="00275329" w:rsidP="00275329">
            <w:pPr>
              <w:jc w:val="right"/>
            </w:pPr>
            <w:r w:rsidRPr="00275329">
              <w:rPr>
                <w:sz w:val="40"/>
              </w:rPr>
              <w:t>CERD</w:t>
            </w:r>
            <w:r>
              <w:t>/C/GEO/CO/9-10</w:t>
            </w:r>
          </w:p>
        </w:tc>
      </w:tr>
      <w:tr w:rsidR="002D5AAC" w14:paraId="24AE56C6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505F80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3C8E49C" wp14:editId="7CF7247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6C8366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DADDA7E" w14:textId="77777777" w:rsidR="002D5AAC" w:rsidRDefault="00275329" w:rsidP="008D2AAD">
            <w:pPr>
              <w:spacing w:before="240"/>
            </w:pPr>
            <w:r>
              <w:t>Distr.: General</w:t>
            </w:r>
          </w:p>
          <w:p w14:paraId="59738ACC" w14:textId="77777777" w:rsidR="00275329" w:rsidRDefault="00275329" w:rsidP="00275329">
            <w:pPr>
              <w:spacing w:line="240" w:lineRule="exact"/>
            </w:pPr>
            <w:r>
              <w:t>13 December 2022</w:t>
            </w:r>
          </w:p>
          <w:p w14:paraId="1FEEA9EA" w14:textId="77777777" w:rsidR="00275329" w:rsidRDefault="00275329" w:rsidP="00275329">
            <w:pPr>
              <w:spacing w:line="240" w:lineRule="exact"/>
            </w:pPr>
            <w:r>
              <w:t>Russian</w:t>
            </w:r>
          </w:p>
          <w:p w14:paraId="20F9A7FD" w14:textId="73D810BE" w:rsidR="00275329" w:rsidRPr="007C46C9" w:rsidRDefault="00275329" w:rsidP="00275329">
            <w:pPr>
              <w:spacing w:line="240" w:lineRule="exact"/>
            </w:pPr>
            <w:r>
              <w:t>Original: English</w:t>
            </w:r>
          </w:p>
        </w:tc>
      </w:tr>
    </w:tbl>
    <w:p w14:paraId="6D9411C9" w14:textId="77777777" w:rsidR="00275329" w:rsidRPr="00561D72" w:rsidRDefault="00275329" w:rsidP="00275329">
      <w:pPr>
        <w:spacing w:before="120"/>
        <w:rPr>
          <w:b/>
          <w:sz w:val="24"/>
          <w:szCs w:val="24"/>
        </w:rPr>
      </w:pPr>
      <w:r w:rsidRPr="00561D72">
        <w:rPr>
          <w:b/>
          <w:sz w:val="24"/>
          <w:szCs w:val="24"/>
        </w:rPr>
        <w:t>Комитет по ликвидации расовой дискриминации</w:t>
      </w:r>
    </w:p>
    <w:p w14:paraId="647B39A3" w14:textId="77777777" w:rsidR="00275329" w:rsidRPr="001212BE" w:rsidRDefault="00275329" w:rsidP="00275329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девятому и десятому периодическим докладам Грузии</w:t>
      </w:r>
      <w:r w:rsidRPr="006E2B8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65F1886" w14:textId="07CD9DDC" w:rsidR="00275329" w:rsidRPr="001212BE" w:rsidRDefault="00275329" w:rsidP="00275329">
      <w:pPr>
        <w:pStyle w:val="SingleTxtG"/>
      </w:pPr>
      <w:r>
        <w:t>1.</w:t>
      </w:r>
      <w:r>
        <w:tab/>
        <w:t>Комитет рассмотрел объединенные девятый и десятый периодические доклады Грузии</w:t>
      </w:r>
      <w:r>
        <w:rPr>
          <w:rStyle w:val="aa"/>
        </w:rPr>
        <w:footnoteReference w:id="2"/>
      </w:r>
      <w:r>
        <w:t>, представленные в одном документе, на своих 2941-м и 2942-м заседаниях</w:t>
      </w:r>
      <w:r>
        <w:rPr>
          <w:rStyle w:val="aa"/>
        </w:rPr>
        <w:footnoteReference w:id="3"/>
      </w:r>
      <w:r>
        <w:t>, состоявшихся 23 и 24 ноября 2022 года. На своем 2952-м заседании, состоявшемся 1</w:t>
      </w:r>
      <w:r w:rsidR="006E2B8F">
        <w:rPr>
          <w:lang w:val="en-US"/>
        </w:rPr>
        <w:t> </w:t>
      </w:r>
      <w:r>
        <w:t>декабря 2022 года, он принял настоящие заключительные замечания.</w:t>
      </w:r>
    </w:p>
    <w:p w14:paraId="693CC59D" w14:textId="77777777" w:rsidR="00275329" w:rsidRPr="001212BE" w:rsidRDefault="00275329" w:rsidP="00275329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B75F851" w14:textId="77777777" w:rsidR="00275329" w:rsidRPr="001212BE" w:rsidRDefault="00275329" w:rsidP="00275329">
      <w:pPr>
        <w:pStyle w:val="SingleTxtG"/>
      </w:pPr>
      <w:r>
        <w:t>2.</w:t>
      </w:r>
      <w:r>
        <w:tab/>
        <w:t>Комитет приветствует представление объединенных девятого и десятого периодических докладов государства-участника в соответствии с требованиями к представлению докладов, предусмотренными Конвенцией. Комитет также приветствует открытый и конструктивный диалог с делегацией государства-участника и усилия государства-участника по предоставлению ответов и дополнительных ответов на вопросы, поднятые членами Комитета во время и после диалога.</w:t>
      </w:r>
    </w:p>
    <w:p w14:paraId="57C424EC" w14:textId="77777777" w:rsidR="00275329" w:rsidRPr="001212BE" w:rsidRDefault="00275329" w:rsidP="00275329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Факторы и трудности, препятствующие осуществлению Конвенции</w:t>
      </w:r>
    </w:p>
    <w:p w14:paraId="1AC96859" w14:textId="571E9971" w:rsidR="00275329" w:rsidRPr="001212BE" w:rsidRDefault="00275329" w:rsidP="00275329">
      <w:pPr>
        <w:pStyle w:val="SingleTxtG"/>
      </w:pPr>
      <w:r>
        <w:t>3.</w:t>
      </w:r>
      <w:r>
        <w:tab/>
        <w:t>Комитет напоминает о своих предыдущих заключительных замечаниях</w:t>
      </w:r>
      <w:r>
        <w:rPr>
          <w:rStyle w:val="aa"/>
        </w:rPr>
        <w:footnoteReference w:id="4"/>
      </w:r>
      <w:r>
        <w:t xml:space="preserve"> и признает, что</w:t>
      </w:r>
      <w:r w:rsidRPr="002934FD">
        <w:t xml:space="preserve"> после достижения независимост</w:t>
      </w:r>
      <w:r>
        <w:t>и государство-участник</w:t>
      </w:r>
      <w:r w:rsidRPr="002934FD">
        <w:t xml:space="preserve"> столкнул</w:t>
      </w:r>
      <w:r>
        <w:t>о</w:t>
      </w:r>
      <w:r w:rsidRPr="002934FD">
        <w:t>сь</w:t>
      </w:r>
      <w:r>
        <w:t xml:space="preserve"> с этническими и политическими конфликтами. Комитет напоминает также, что оккупированные территории Абхази</w:t>
      </w:r>
      <w:r w:rsidR="00BB083D">
        <w:t>и</w:t>
      </w:r>
      <w:r>
        <w:t>, Грузи</w:t>
      </w:r>
      <w:r w:rsidR="00BB083D">
        <w:t>и</w:t>
      </w:r>
      <w:r>
        <w:t>, и Цхинвальский район/Южная Осетия, Грузия, по-прежнему находятся вне фактического контроля государства-участника. Таким образом, к сожалению, государство-участник не в состоянии осуществить свою юрисдикцию для</w:t>
      </w:r>
      <w:r w:rsidRPr="001212BE">
        <w:t xml:space="preserve"> </w:t>
      </w:r>
      <w:r>
        <w:t>обеспечения соблюдения Конвенции на всей своей территории.</w:t>
      </w:r>
    </w:p>
    <w:p w14:paraId="3BB4E66A" w14:textId="77777777" w:rsidR="00275329" w:rsidRPr="001212BE" w:rsidRDefault="00275329" w:rsidP="00275329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Позитивные аспекты</w:t>
      </w:r>
    </w:p>
    <w:p w14:paraId="25F8404F" w14:textId="77777777" w:rsidR="00275329" w:rsidRPr="001212BE" w:rsidRDefault="00275329" w:rsidP="00275329">
      <w:pPr>
        <w:pStyle w:val="SingleTxtG"/>
        <w:keepNext/>
      </w:pPr>
      <w:r>
        <w:t>4.</w:t>
      </w:r>
      <w:r>
        <w:tab/>
        <w:t>Комитет приветствует принятые государством-участником следующие законодательные, институциональные и политические меры:</w:t>
      </w:r>
    </w:p>
    <w:p w14:paraId="3FC7DB55" w14:textId="77777777" w:rsidR="00275329" w:rsidRPr="001212BE" w:rsidRDefault="00275329" w:rsidP="00275329">
      <w:pPr>
        <w:pStyle w:val="SingleTxtG"/>
        <w:rPr>
          <w:color w:val="000000"/>
        </w:rPr>
      </w:pPr>
      <w:r>
        <w:tab/>
        <w:t>a)</w:t>
      </w:r>
      <w:r>
        <w:tab/>
        <w:t>принятие 13 июля 2021 года</w:t>
      </w:r>
      <w:r w:rsidRPr="001212BE">
        <w:t xml:space="preserve"> </w:t>
      </w:r>
      <w:r>
        <w:t>десятилетней Государственной стратегии гражданского равноправия и интеграции;</w:t>
      </w:r>
    </w:p>
    <w:p w14:paraId="71363467" w14:textId="77777777" w:rsidR="00275329" w:rsidRPr="001212BE" w:rsidRDefault="00275329" w:rsidP="00275329">
      <w:pPr>
        <w:pStyle w:val="SingleTxtG"/>
      </w:pPr>
      <w:r>
        <w:lastRenderedPageBreak/>
        <w:tab/>
        <w:t>b)</w:t>
      </w:r>
      <w:r>
        <w:tab/>
        <w:t>принятие правительством Грузии постановления № 200 «Об общих правилах этики и поведения в государственных учреждениях» от 30 апреля 2020 года, которые, в частности, запрещают язык ненависти;</w:t>
      </w:r>
    </w:p>
    <w:p w14:paraId="47853C2B" w14:textId="77777777" w:rsidR="00275329" w:rsidRPr="001212BE" w:rsidRDefault="00275329" w:rsidP="00275329">
      <w:pPr>
        <w:pStyle w:val="SingleTxtG"/>
      </w:pPr>
      <w:r>
        <w:tab/>
        <w:t>c)</w:t>
      </w:r>
      <w:r>
        <w:tab/>
        <w:t>принятие 3 мая 2019 года поправок к Органическому закону «О народном защитнике Грузии», которые расширяют мандат Народного защитника;</w:t>
      </w:r>
    </w:p>
    <w:p w14:paraId="5D621510" w14:textId="77777777" w:rsidR="00275329" w:rsidRPr="001212BE" w:rsidRDefault="00275329" w:rsidP="00275329">
      <w:pPr>
        <w:pStyle w:val="SingleTxtG"/>
      </w:pPr>
      <w:r>
        <w:tab/>
        <w:t>d)</w:t>
      </w:r>
      <w:r>
        <w:tab/>
        <w:t>принятие парламентом Грузии 22 февраля 2019 года Кодекса этики членов парламента Грузии, статья 2 которого предусматривает запрет на использование ненавистнических высказываний по признаку расы, цвета кожи, пола, религии или по другому признаку;</w:t>
      </w:r>
    </w:p>
    <w:p w14:paraId="16CEDFAE" w14:textId="4BF165C2" w:rsidR="00275329" w:rsidRPr="001212BE" w:rsidRDefault="00275329" w:rsidP="00275329">
      <w:pPr>
        <w:pStyle w:val="SingleTxtG"/>
      </w:pPr>
      <w:r>
        <w:tab/>
        <w:t>e)</w:t>
      </w:r>
      <w:r>
        <w:tab/>
        <w:t xml:space="preserve">принятие 19 февраля 2019 года поправок к Закону Грузии </w:t>
      </w:r>
      <w:r w:rsidR="00BB083D">
        <w:br/>
      </w:r>
      <w:r>
        <w:t>«Об устранении всех форм дискриминации» (2014 год), которые расширяют сферу действия Закона;</w:t>
      </w:r>
    </w:p>
    <w:p w14:paraId="1967DA06" w14:textId="50771658" w:rsidR="00275329" w:rsidRPr="001212BE" w:rsidRDefault="00275329" w:rsidP="00275329">
      <w:pPr>
        <w:pStyle w:val="SingleTxtG"/>
      </w:pPr>
      <w:r>
        <w:tab/>
        <w:t>f)</w:t>
      </w:r>
      <w:r>
        <w:tab/>
        <w:t>принятие 30 ноября 2018 года поправок к статье 53</w:t>
      </w:r>
      <w:r w:rsidRPr="001212BE">
        <w:rPr>
          <w:vertAlign w:val="superscript"/>
        </w:rPr>
        <w:t>1</w:t>
      </w:r>
      <w:r>
        <w:t xml:space="preserve"> Уголовного кодекса, согласно которым, в частности, совершение преступления по мотиву непримиримости ввиду расы является обстоятельством, отягчающим ответственность; и принятие в сентябре 2022 года поправок к Уголовно-процессуальному кодексу, разрешающих производство тайных следственных действий для расследования дел о расовой дискриминации;</w:t>
      </w:r>
    </w:p>
    <w:p w14:paraId="4023DA6B" w14:textId="53ACC242" w:rsidR="00275329" w:rsidRPr="001212BE" w:rsidRDefault="00275329" w:rsidP="00275329">
      <w:pPr>
        <w:pStyle w:val="SingleTxtG"/>
      </w:pPr>
      <w:r>
        <w:tab/>
        <w:t>g)</w:t>
      </w:r>
      <w:r>
        <w:tab/>
        <w:t>создание в 2015 году Департамента по инспектированию условий труда при Министерстве труда, здравоохранения и социальной защиты и принятие в 2019</w:t>
      </w:r>
      <w:r w:rsidR="00BB083D">
        <w:t> </w:t>
      </w:r>
      <w:r>
        <w:t>году поправок к Трудовому кодексу, которые усиливают антидискриминационные положения, в том числе в отношении запрета дискриминации при опубликовании объявления о вакансии и на этапе отбора.</w:t>
      </w:r>
    </w:p>
    <w:p w14:paraId="3A7F043A" w14:textId="77777777" w:rsidR="00275329" w:rsidRPr="001212BE" w:rsidRDefault="00275329" w:rsidP="00275329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35D1F83E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532D2DD3" w14:textId="77777777" w:rsidR="00275329" w:rsidRPr="001212BE" w:rsidRDefault="00275329" w:rsidP="00275329">
      <w:pPr>
        <w:pStyle w:val="SingleTxtG"/>
      </w:pPr>
      <w:r>
        <w:t>5.</w:t>
      </w:r>
      <w:r>
        <w:tab/>
        <w:t>Приветствуя меры, принятые для улучшения сбора данных в некоторых областях, такие как объединение сбора и публикации данных о преследовании преступлений на почве ненависти с 2020 года, Комитет обеспокоен тем, что данные, касающиеся дел о дискриминации в рамках административного права, могут быть неполными из-за проблем, связанных со сбором данных. Комитет отмечает, что демографические данные, представленные в докладе государства-участника, основаны на переписи населения 2014 года и не обновлялись.</w:t>
      </w:r>
    </w:p>
    <w:p w14:paraId="0743E68D" w14:textId="77777777" w:rsidR="00275329" w:rsidRPr="001212BE" w:rsidRDefault="00275329" w:rsidP="00275329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далее укреплять сбор данных, имеющих отношение к Конвенции, включая данные, касающиеся дел о расовой дискриминации в рамках административного права, а также собирать и публиковать обновленные демографические данные с регулярными интервалами между циклами переписи.</w:t>
      </w:r>
    </w:p>
    <w:p w14:paraId="52F05C1B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Осуществление антидискриминационного законодательства</w:t>
      </w:r>
    </w:p>
    <w:p w14:paraId="6A0A4A14" w14:textId="77777777" w:rsidR="00275329" w:rsidRPr="001212BE" w:rsidRDefault="00275329" w:rsidP="00275329">
      <w:pPr>
        <w:pStyle w:val="SingleTxtG"/>
      </w:pPr>
      <w:r>
        <w:t>7.</w:t>
      </w:r>
      <w:r>
        <w:tab/>
        <w:t xml:space="preserve">Приветствуя внесенные в отчетный период законодательные поправки, которые укрепили мандат Управления Народного защитника в расследовании жалоб на дискриминацию, Комитет обеспокоен тем, что Народный защитник по-прежнему сталкивается с трудностями в получении информации от частных лиц в связи с запросами, поданными в соответствии с пунктом 4 статьи 8 закона «Об устранении всех форм дискриминации». Комитет обеспокоен также тем, что расовая дискриминация отсутствует в качестве отягчающего обстоятельства в Кодексе об административных правонарушениях. Приветствуя меры, принятые государством-участником для решения проблемы дискриминационного отношения и повышения осведомленности об антидискриминационном законодательстве, Комитет обеспокоен тем, что дискриминационное отношение к этническим меньшинствам по-прежнему сохраняется и что осведомленность о соответствующем законодательстве и </w:t>
      </w:r>
      <w:r>
        <w:lastRenderedPageBreak/>
        <w:t>механизмах возмещения ущерба остается ограниченной, особенно среди этнических меньшинств (ст. 2).</w:t>
      </w:r>
    </w:p>
    <w:p w14:paraId="27C8CC0A" w14:textId="77777777" w:rsidR="00275329" w:rsidRPr="001212BE" w:rsidRDefault="00275329" w:rsidP="00275329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D486F40" w14:textId="77777777" w:rsidR="00275329" w:rsidRPr="006E2B8F" w:rsidRDefault="00275329" w:rsidP="00275329">
      <w:pPr>
        <w:pStyle w:val="SingleTxtG"/>
        <w:rPr>
          <w:b/>
          <w:bCs/>
        </w:rPr>
      </w:pPr>
      <w:r>
        <w:tab/>
      </w:r>
      <w:r w:rsidRPr="006E2B8F">
        <w:rPr>
          <w:b/>
          <w:bCs/>
        </w:rPr>
        <w:t>a)</w:t>
      </w:r>
      <w:r w:rsidRPr="006E2B8F">
        <w:rPr>
          <w:b/>
          <w:bCs/>
        </w:rPr>
        <w:tab/>
        <w:t>продолжать поддерживать мандат Управления Народного защитника в отношении расследования жалоб на расовую дискриминацию;</w:t>
      </w:r>
    </w:p>
    <w:p w14:paraId="3EE0DF5D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b)</w:t>
      </w:r>
      <w:r w:rsidRPr="006E2B8F">
        <w:rPr>
          <w:b/>
          <w:bCs/>
        </w:rPr>
        <w:tab/>
        <w:t>обеспечить систематическое проведение специализированного обучения по вопросам расследования и судебного преследования по делам о расовой дискриминации для сотрудников Прокуратуры Грузии, Специальной следственной службы и Службы инспекции труда;</w:t>
      </w:r>
    </w:p>
    <w:p w14:paraId="53E5C8F4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c)</w:t>
      </w:r>
      <w:r w:rsidRPr="006E2B8F">
        <w:rPr>
          <w:b/>
          <w:bCs/>
        </w:rPr>
        <w:tab/>
        <w:t>обеспечить доступность специализированного обучения по вопросам расовой дискриминации для судей на всех уровнях судебной системы;</w:t>
      </w:r>
    </w:p>
    <w:p w14:paraId="315B0E23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d)</w:t>
      </w:r>
      <w:r w:rsidRPr="006E2B8F">
        <w:rPr>
          <w:b/>
          <w:bCs/>
        </w:rPr>
        <w:tab/>
        <w:t>внести изменения в Кодекс об административных правонарушениях для включения расовой дискриминации в качестве отягчающего обстоятельства;</w:t>
      </w:r>
    </w:p>
    <w:p w14:paraId="0D3A11DC" w14:textId="77777777" w:rsidR="00275329" w:rsidRPr="001212BE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e)</w:t>
      </w:r>
      <w:r w:rsidRPr="006E2B8F">
        <w:rPr>
          <w:b/>
          <w:bCs/>
        </w:rPr>
        <w:tab/>
        <w:t>расширить</w:t>
      </w:r>
      <w:r>
        <w:rPr>
          <w:b/>
          <w:bCs/>
        </w:rPr>
        <w:t xml:space="preserve"> меры по повышению осведомленности общественности об антидискриминационном законодательстве и механизмах возмещения ущерба, в том числе среди этнических меньшинств.</w:t>
      </w:r>
    </w:p>
    <w:p w14:paraId="07CBE0CB" w14:textId="4BA77397" w:rsidR="00275329" w:rsidRPr="001212BE" w:rsidRDefault="00BB083D" w:rsidP="00BB083D">
      <w:pPr>
        <w:pStyle w:val="H23G"/>
      </w:pPr>
      <w:r>
        <w:tab/>
      </w:r>
      <w:r>
        <w:tab/>
      </w:r>
      <w:r w:rsidR="00275329">
        <w:t>Ненавистнические высказывания расистского толка и преступления на почве расовой ненависти</w:t>
      </w:r>
    </w:p>
    <w:p w14:paraId="337B843E" w14:textId="77777777" w:rsidR="00275329" w:rsidRPr="001212BE" w:rsidRDefault="00275329" w:rsidP="00275329">
      <w:pPr>
        <w:pStyle w:val="SingleTxtG"/>
      </w:pPr>
      <w:r>
        <w:t>9.</w:t>
      </w:r>
      <w:r>
        <w:tab/>
        <w:t>Комитет обеспокоен случаями преступлений на почве расовой ненависти, а также высказываниями на почве расовой ненависти в СМИ и в Интернете, в том числе со стороны политиков и высокопоставленных должностных лиц. Комитет признает меры, принятые государством-участником для борьбы с языком ненависти и преступлениями на почве ненависти, включая создание Департамента по защите прав человека при Министерстве внутренних дел Грузии в 2018 году и расширение мандата Департамента в 2019 году для мониторинга качества расследований, однако он обеспокоен отсутствием эффективного законодательства для борьбы с языком ненависти в вещательных СМИ и в Интернете (ст. 2 и 4).</w:t>
      </w:r>
    </w:p>
    <w:p w14:paraId="248D16B7" w14:textId="77777777" w:rsidR="00275329" w:rsidRPr="001212BE" w:rsidRDefault="00275329" w:rsidP="00275329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3AD3C4D" w14:textId="77777777" w:rsidR="00275329" w:rsidRPr="006E2B8F" w:rsidRDefault="00275329" w:rsidP="00275329">
      <w:pPr>
        <w:pStyle w:val="SingleTxtG"/>
        <w:rPr>
          <w:b/>
          <w:bCs/>
        </w:rPr>
      </w:pPr>
      <w:r>
        <w:tab/>
      </w:r>
      <w:r w:rsidRPr="006E2B8F">
        <w:rPr>
          <w:b/>
          <w:bCs/>
        </w:rPr>
        <w:t>a)</w:t>
      </w:r>
      <w:r w:rsidRPr="006E2B8F">
        <w:rPr>
          <w:b/>
          <w:bCs/>
        </w:rPr>
        <w:tab/>
        <w:t>создать в полиции специализированное подразделение для расследования ненавистнических высказываний и преступлений на почве ненависти;</w:t>
      </w:r>
    </w:p>
    <w:p w14:paraId="37EF3D4D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b)</w:t>
      </w:r>
      <w:r w:rsidRPr="006E2B8F">
        <w:rPr>
          <w:b/>
          <w:bCs/>
        </w:rPr>
        <w:tab/>
        <w:t>обеспечить эффективную реализацию Кодекса этики членов парламента Грузии, запрещающего использование парламентариями языка ненависти, принятого в феврале 2019 года, а также Правил этики и поведения в государственных учреждениях, принятых постановлением правительства № 200 от 30 апреля 2020 года;</w:t>
      </w:r>
    </w:p>
    <w:p w14:paraId="700F78F4" w14:textId="77777777" w:rsidR="00275329" w:rsidRPr="001212BE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c)</w:t>
      </w:r>
      <w:r w:rsidRPr="006E2B8F">
        <w:rPr>
          <w:b/>
          <w:bCs/>
        </w:rPr>
        <w:tab/>
        <w:t xml:space="preserve">усилить правовое регулирование языка ненависти в традиционных вещательных </w:t>
      </w:r>
      <w:r>
        <w:rPr>
          <w:b/>
          <w:bCs/>
        </w:rPr>
        <w:t>и онлайновых СМИ, обеспечив при этом соответствие применяемых мер принципам законности и пропорциональности.</w:t>
      </w:r>
    </w:p>
    <w:p w14:paraId="1CA01B82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Национальные или этнические меньшинства</w:t>
      </w:r>
    </w:p>
    <w:p w14:paraId="454C0F3C" w14:textId="77777777" w:rsidR="00275329" w:rsidRPr="001212BE" w:rsidRDefault="00275329" w:rsidP="00275329">
      <w:pPr>
        <w:pStyle w:val="SingleTxtG"/>
      </w:pPr>
      <w:r>
        <w:t>11.</w:t>
      </w:r>
      <w:r>
        <w:tab/>
        <w:t>Приветствуя усилия государства-участника по улучшению положения этнических меньшинств, в том числе в рамках Государственной стратегии гражданского равноправия и интеграции, принятой в 2021 году, Комитет выражает свою озабоченность по поводу:</w:t>
      </w:r>
    </w:p>
    <w:p w14:paraId="11F155CE" w14:textId="77777777" w:rsidR="00275329" w:rsidRPr="001212BE" w:rsidRDefault="00275329" w:rsidP="00275329">
      <w:pPr>
        <w:pStyle w:val="SingleTxtG"/>
      </w:pPr>
      <w:r>
        <w:tab/>
        <w:t>a)</w:t>
      </w:r>
      <w:r>
        <w:tab/>
        <w:t>сохраняющейся низкой представленности меньшинств в политических и директивных органах и органах государственного управления, в том числе на муниципальном уровне;</w:t>
      </w:r>
    </w:p>
    <w:p w14:paraId="72756D9D" w14:textId="77777777" w:rsidR="00275329" w:rsidRPr="001212BE" w:rsidRDefault="00275329" w:rsidP="00275329">
      <w:pPr>
        <w:pStyle w:val="SingleTxtG"/>
      </w:pPr>
      <w:r>
        <w:tab/>
        <w:t>b)</w:t>
      </w:r>
      <w:r>
        <w:tab/>
        <w:t xml:space="preserve">низкого уровня знания грузинского языка среди меньшинств, особенно среди этнического азербайджанского меньшинства, что представляет собой </w:t>
      </w:r>
      <w:r>
        <w:lastRenderedPageBreak/>
        <w:t>значительный барьер для эффективной интеграции в грузинское общество, включая доступ к общественной информации и услугам;</w:t>
      </w:r>
    </w:p>
    <w:p w14:paraId="1DFB1F91" w14:textId="77777777" w:rsidR="00275329" w:rsidRPr="001212BE" w:rsidRDefault="00275329" w:rsidP="00275329">
      <w:pPr>
        <w:pStyle w:val="SingleTxtG"/>
      </w:pPr>
      <w:r>
        <w:tab/>
        <w:t>c)</w:t>
      </w:r>
      <w:r>
        <w:tab/>
        <w:t>недостаточного обеспечения ресурсами школ в районах компактного проживания этнических меньшинств, в частности в отношении доступа к дошкольному образованию, подготовки преподавателей и учебных материалов для преподавателей грузинского языка и языков этнических меньшинств, а также качества школьной инфраструктуры в некоторых муниципалитетах;</w:t>
      </w:r>
    </w:p>
    <w:p w14:paraId="45F6B725" w14:textId="77777777" w:rsidR="00275329" w:rsidRPr="001212BE" w:rsidRDefault="00275329" w:rsidP="00275329">
      <w:pPr>
        <w:pStyle w:val="SingleTxtG"/>
      </w:pPr>
      <w:r>
        <w:tab/>
        <w:t>d)</w:t>
      </w:r>
      <w:r>
        <w:tab/>
        <w:t>малого количества финансируемых государством мест в подготовительной программе изучения грузинского языка «1+4», которая облегчает доступ к высшему образованию для студентов из этнических меньшинств и включает предварительный год изучения грузинского языка до начала обучения в университете;</w:t>
      </w:r>
    </w:p>
    <w:p w14:paraId="24DCEC7F" w14:textId="77777777" w:rsidR="00275329" w:rsidRPr="001212BE" w:rsidRDefault="00275329" w:rsidP="00275329">
      <w:pPr>
        <w:pStyle w:val="SingleTxtG"/>
      </w:pPr>
      <w:r>
        <w:tab/>
        <w:t>e)</w:t>
      </w:r>
      <w:r>
        <w:tab/>
        <w:t>сохраняющегося структурного социально-экономического неравенства, в частности в сельских районах, где компактно проживают этнические меньшинства, в том числе в отношении занятости и здравоохранения (ст. 5).</w:t>
      </w:r>
    </w:p>
    <w:p w14:paraId="4A6986BF" w14:textId="77777777" w:rsidR="00275329" w:rsidRPr="001212BE" w:rsidRDefault="00275329" w:rsidP="00275329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принять специальные меры по устранению структурного неравенства, с которым сталкиваются этнические меньшинства в Грузии, с учетом общей рекомендации № 32 (2009) Комитета, и в частности:</w:t>
      </w:r>
    </w:p>
    <w:p w14:paraId="4D633995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a)</w:t>
      </w:r>
      <w:r w:rsidRPr="006E2B8F">
        <w:rPr>
          <w:b/>
          <w:bCs/>
        </w:rPr>
        <w:tab/>
        <w:t>принять дополнительные меры по увеличению представленности этнических меньшинств в политических и директивных органах и органах государственного управления, в том числе на муниципальном уровне, и усилить роль консультативных советов путем обеспечения регулярного диалога между представителями этнических меньшинств и государством;</w:t>
      </w:r>
    </w:p>
    <w:p w14:paraId="72A4EE0E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b)</w:t>
      </w:r>
      <w:r w:rsidRPr="006E2B8F">
        <w:rPr>
          <w:b/>
          <w:bCs/>
        </w:rPr>
        <w:tab/>
        <w:t>осуществить комплексную стратегию по улучшению владения грузинским языком среди этнических меньшинств, особенно в районах их компактного проживания, в том числе в отношении программ образования для взрослых;</w:t>
      </w:r>
    </w:p>
    <w:p w14:paraId="3C4D82A0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c)</w:t>
      </w:r>
      <w:r w:rsidRPr="006E2B8F">
        <w:rPr>
          <w:b/>
          <w:bCs/>
        </w:rPr>
        <w:tab/>
        <w:t>повысить доступность общественной информации на языках меньшинств, например путем увеличения числа носителей языков меньшинств в учреждениях, предоставляющих различные услуги, в том числе на муниципальном уровне;</w:t>
      </w:r>
    </w:p>
    <w:p w14:paraId="04991191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d)</w:t>
      </w:r>
      <w:r w:rsidRPr="006E2B8F">
        <w:rPr>
          <w:b/>
          <w:bCs/>
        </w:rPr>
        <w:tab/>
        <w:t>укреплять систему образования в районах компактного проживания этнических меньшинств, в том числе в отношении доступа к дошкольному образованию, школьной инфраструктуры, специализированных программ изучения языков и учебных ресурсов для преподавателей грузинского языка в качестве второго языка и преподавателей языков меньшинств, а также выпуска в стране учебников на языках этнических меньшинств;</w:t>
      </w:r>
    </w:p>
    <w:p w14:paraId="7F438831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e)</w:t>
      </w:r>
      <w:r w:rsidRPr="006E2B8F">
        <w:rPr>
          <w:b/>
          <w:bCs/>
        </w:rPr>
        <w:tab/>
        <w:t>увеличить финансирование подготовительной программы изучения грузинского языка «1+4», чтобы обеспечить наличие финансирования для всех учащихся из этнических меньшинств, сдавших необходимые национальные экзамены;</w:t>
      </w:r>
    </w:p>
    <w:p w14:paraId="5CCCB98F" w14:textId="77777777" w:rsidR="00275329" w:rsidRPr="001212BE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f)</w:t>
      </w:r>
      <w:r w:rsidRPr="006E2B8F">
        <w:rPr>
          <w:b/>
          <w:bCs/>
        </w:rPr>
        <w:tab/>
        <w:t>активизировать усилия по обеспечению полного осуществления экономических</w:t>
      </w:r>
      <w:r>
        <w:rPr>
          <w:b/>
          <w:bCs/>
        </w:rPr>
        <w:t>, социальных и культурных прав этническими меньшинствами, особенно в сельской местности, в том числе путем расширения программ содействия трудоустройству.</w:t>
      </w:r>
    </w:p>
    <w:p w14:paraId="34F7833C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Рома</w:t>
      </w:r>
    </w:p>
    <w:p w14:paraId="167257EF" w14:textId="77777777" w:rsidR="00275329" w:rsidRPr="001212BE" w:rsidRDefault="00275329" w:rsidP="00275329">
      <w:pPr>
        <w:pStyle w:val="SingleTxtG"/>
      </w:pPr>
      <w:r>
        <w:t>13.</w:t>
      </w:r>
      <w:r>
        <w:tab/>
        <w:t>Приветствуя меры, принятые государством-участником с целью облегчить получение рома, включая детей, удостоверений личности, Комитет обеспокоен тем, что сохраняются значительные проблемы в отношении доступа детей рома к образованию и их низкой успеваемости. Среди детей рома</w:t>
      </w:r>
      <w:r w:rsidRPr="001212BE">
        <w:t xml:space="preserve"> </w:t>
      </w:r>
      <w:r>
        <w:t xml:space="preserve">выше показатели </w:t>
      </w:r>
      <w:r w:rsidRPr="001B6584">
        <w:t>пропуск</w:t>
      </w:r>
      <w:r>
        <w:t>а</w:t>
      </w:r>
      <w:r w:rsidRPr="001B6584">
        <w:t xml:space="preserve"> занятий</w:t>
      </w:r>
      <w:r>
        <w:t xml:space="preserve"> и </w:t>
      </w:r>
      <w:r w:rsidRPr="00F8592F">
        <w:t>досрочного прекращения учебы</w:t>
      </w:r>
      <w:r>
        <w:t xml:space="preserve">, что связано с рядом факторов, включая языковые и культурные барьеры. Комитет обеспокоен тем, что детские и/или </w:t>
      </w:r>
      <w:r>
        <w:lastRenderedPageBreak/>
        <w:t>принудительные браки по-прежнему являются дополнительным препятствием в плане доступа к образованию для некоторых девочек рома (ст. 5).</w:t>
      </w:r>
    </w:p>
    <w:p w14:paraId="3BA43C13" w14:textId="77777777" w:rsidR="00275329" w:rsidRPr="001212BE" w:rsidRDefault="00275329" w:rsidP="00275329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6A16CFC" w14:textId="77777777" w:rsidR="00275329" w:rsidRPr="006E2B8F" w:rsidRDefault="00275329" w:rsidP="00275329">
      <w:pPr>
        <w:pStyle w:val="SingleTxtG"/>
        <w:rPr>
          <w:b/>
          <w:bCs/>
        </w:rPr>
      </w:pPr>
      <w:r>
        <w:tab/>
      </w:r>
      <w:r w:rsidRPr="006E2B8F">
        <w:rPr>
          <w:b/>
          <w:bCs/>
        </w:rPr>
        <w:t>a)</w:t>
      </w:r>
      <w:r w:rsidRPr="006E2B8F">
        <w:rPr>
          <w:b/>
          <w:bCs/>
        </w:rPr>
        <w:tab/>
        <w:t>облегчить доступ детей рома к дошкольному образованию, уделяя особое внимание тому, чтобы дети рома были эффективно интегрированы в дошкольную среду и начинали начальную школу с достаточным знанием грузинского языка;</w:t>
      </w:r>
    </w:p>
    <w:p w14:paraId="19DECF59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b)</w:t>
      </w:r>
      <w:r w:rsidRPr="006E2B8F">
        <w:rPr>
          <w:b/>
          <w:bCs/>
        </w:rPr>
        <w:tab/>
        <w:t>поддерживать организацию внеклассных занятий и кружков, доступных для детей рома в начальной и средней школе;</w:t>
      </w:r>
    </w:p>
    <w:p w14:paraId="66C0E22C" w14:textId="77777777" w:rsidR="009A690C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c)</w:t>
      </w:r>
      <w:r w:rsidRPr="006E2B8F">
        <w:rPr>
          <w:b/>
          <w:bCs/>
        </w:rPr>
        <w:tab/>
        <w:t>осуществлять меры по поддержке школ и муниципальных служб защиты детей для решения проблемы высоких показателей пропуска занятий и досрочного прекращения учебы среди детей рома;</w:t>
      </w:r>
    </w:p>
    <w:p w14:paraId="13C54DF8" w14:textId="30487518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d)</w:t>
      </w:r>
      <w:r w:rsidRPr="006E2B8F">
        <w:rPr>
          <w:b/>
          <w:bCs/>
        </w:rPr>
        <w:tab/>
        <w:t>обеспечить эффективное осуществление на практике запрета на детские и/или принудительные браки, в том числе путем проведения кампаний по повышению осведомленности общины рома о пагубных последствиях детских и/или принудительных браков и предоставления жертвам соответствующих реабилитационных и консультационных услуг.</w:t>
      </w:r>
    </w:p>
    <w:p w14:paraId="134CE542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 xml:space="preserve">Лица, </w:t>
      </w:r>
      <w:r w:rsidRPr="002934FD">
        <w:rPr>
          <w:bCs/>
        </w:rPr>
        <w:t xml:space="preserve">насильственно </w:t>
      </w:r>
      <w:r>
        <w:rPr>
          <w:bCs/>
        </w:rPr>
        <w:t>переселенные Союзом Советских Социалистических Республик в 1940-х годах</w:t>
      </w:r>
    </w:p>
    <w:p w14:paraId="0803D75E" w14:textId="77777777" w:rsidR="00275329" w:rsidRPr="001212BE" w:rsidRDefault="00275329" w:rsidP="00275329">
      <w:pPr>
        <w:pStyle w:val="SingleTxtG"/>
      </w:pPr>
      <w:r>
        <w:t>15.</w:t>
      </w:r>
      <w:r>
        <w:tab/>
        <w:t>Признавая принятие законов и мер, направленных на содействие репатриации лиц из Грузии, которые были насильственно переселены Союзом Советских Социалистических Республик в 1940-х годах, Комитет обеспокоен низким числом лиц, которые были репатриированы и получили гражданство, в частности среди турок-месхетинцев. Комитет обеспокоен тем, что низкое число таких лиц свидетельствует о наличии определенных проблем, среди которых трудности, с которыми сталкиваются соответствующие лица (включая их потомков) при отказе от своего гражданства в соответствии с требованиями грузинского законодательства (ст. 5).</w:t>
      </w:r>
    </w:p>
    <w:p w14:paraId="1669E214" w14:textId="77777777" w:rsidR="00275329" w:rsidRPr="001212BE" w:rsidRDefault="00275329" w:rsidP="00275329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содействовать получению гражданства всеми лицами, вернувшимися в Грузию, в частности турками-месхетинцами, в том числе в отношении административных и языковых требований, и поддерживать их интеграцию в грузинское общество.</w:t>
      </w:r>
      <w:r>
        <w:t xml:space="preserve"> </w:t>
      </w:r>
      <w:r>
        <w:rPr>
          <w:b/>
          <w:bCs/>
        </w:rPr>
        <w:t>Комитет далее рекомендует государству-участнику возобновить усилия по содействию добровольному возвращению насильственно переселенных лиц, которые остаются за пределами Грузии, в том числе путем облегчения их доступа к гражданству Грузии.</w:t>
      </w:r>
    </w:p>
    <w:p w14:paraId="7712E431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Положение мигрантов во время пандемии коронавирусной инфекции</w:t>
      </w:r>
    </w:p>
    <w:p w14:paraId="2AC91E38" w14:textId="77777777" w:rsidR="00275329" w:rsidRPr="001212BE" w:rsidRDefault="00275329" w:rsidP="00275329">
      <w:pPr>
        <w:pStyle w:val="SingleTxtG"/>
      </w:pPr>
      <w:r>
        <w:t>17.</w:t>
      </w:r>
      <w:r>
        <w:tab/>
        <w:t xml:space="preserve">Отмечая усилия государства-участника по реагированию на пандемию коронавирусной инфекции (COVID-19), Комитет сожалеет об отсутствии информации государства-участника в отношении положения мигрантов в контексте пандемии. Комитет обеспокоен тем, что уязвимые мигранты особенно подвержены рискам для здоровья и другим последствиям пандемии COVID-19, связанным с такими факторами, как потеря </w:t>
      </w:r>
      <w:r w:rsidRPr="00916D2F">
        <w:t>неформальной</w:t>
      </w:r>
      <w:r>
        <w:rPr>
          <w:b/>
          <w:bCs/>
        </w:rPr>
        <w:t xml:space="preserve"> </w:t>
      </w:r>
      <w:r>
        <w:t>занятости, отсутствие медицинской страховки, языковые барьеры, отсутствие официального вида на жительство и использование совместного жилья, в котором соблюдение мер физического дистанцирования создает определенные трудности (ст. 5).</w:t>
      </w:r>
    </w:p>
    <w:p w14:paraId="00990BE9" w14:textId="77777777" w:rsidR="00275329" w:rsidRPr="001212BE" w:rsidRDefault="00275329" w:rsidP="00275329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В контексте ответных мер на пандемию COVID-19 Комитет рекомендует государству-участнику:</w:t>
      </w:r>
    </w:p>
    <w:p w14:paraId="0A6A9AA7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a)</w:t>
      </w:r>
      <w:r w:rsidRPr="006E2B8F">
        <w:rPr>
          <w:b/>
          <w:bCs/>
        </w:rPr>
        <w:tab/>
        <w:t>проводить мониторинг наиболее уязвимых групп и сообществ мигрантов на регулярной основе и разработать эффективный механизм выявления наиболее уязвимых лиц и сообществ;</w:t>
      </w:r>
    </w:p>
    <w:p w14:paraId="36BBA434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lastRenderedPageBreak/>
        <w:tab/>
        <w:t>b)</w:t>
      </w:r>
      <w:r w:rsidRPr="006E2B8F">
        <w:rPr>
          <w:b/>
          <w:bCs/>
        </w:rPr>
        <w:tab/>
        <w:t>включить мигрантов в планы вакцинации и обеспечить, чтобы системы здравоохранения учитывали потребности мигрантов и предоставляли недорогие и доступные услуги независимо от иммиграционного статуса;</w:t>
      </w:r>
    </w:p>
    <w:p w14:paraId="57973252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c)</w:t>
      </w:r>
      <w:r w:rsidRPr="006E2B8F">
        <w:rPr>
          <w:b/>
          <w:bCs/>
        </w:rPr>
        <w:tab/>
        <w:t>предоставлять меры поддержки незарегистрированным и/или неформально трудоустроенным мигрантам;</w:t>
      </w:r>
    </w:p>
    <w:p w14:paraId="5E726AA0" w14:textId="77777777" w:rsidR="00275329" w:rsidRPr="006E2B8F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d)</w:t>
      </w:r>
      <w:r w:rsidRPr="006E2B8F">
        <w:rPr>
          <w:b/>
          <w:bCs/>
        </w:rPr>
        <w:tab/>
        <w:t>способствовать выбору мигрантами предпочтительных вариантов мобильности, включая возвращение на родину мигрантов, оказавшихся в затруднительном положении, и их последующий въезд в Грузию;</w:t>
      </w:r>
    </w:p>
    <w:p w14:paraId="6671591C" w14:textId="77777777" w:rsidR="00275329" w:rsidRPr="001212BE" w:rsidRDefault="00275329" w:rsidP="00275329">
      <w:pPr>
        <w:pStyle w:val="SingleTxtG"/>
        <w:rPr>
          <w:b/>
          <w:bCs/>
        </w:rPr>
      </w:pPr>
      <w:r w:rsidRPr="006E2B8F">
        <w:rPr>
          <w:b/>
          <w:bCs/>
        </w:rPr>
        <w:tab/>
        <w:t>e)</w:t>
      </w:r>
      <w:r w:rsidRPr="006E2B8F">
        <w:rPr>
          <w:b/>
          <w:bCs/>
        </w:rPr>
        <w:tab/>
        <w:t>поощрять подход, учитывающий интересы мигрантов, на протяжении</w:t>
      </w:r>
      <w:r>
        <w:rPr>
          <w:b/>
          <w:bCs/>
        </w:rPr>
        <w:t xml:space="preserve"> всей пандемии COVID-19 и проводить кампании по информированию общественности, направленные против ксенофобии и пропагандирующие разнообразие, солидарность и толерантность.</w:t>
      </w:r>
    </w:p>
    <w:p w14:paraId="257470F9" w14:textId="77777777" w:rsidR="00275329" w:rsidRPr="001212BE" w:rsidRDefault="00275329" w:rsidP="00275329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Другие рекомендации</w:t>
      </w:r>
    </w:p>
    <w:p w14:paraId="7F1EC636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Ратификация других международных договоров</w:t>
      </w:r>
    </w:p>
    <w:p w14:paraId="5AA709F0" w14:textId="77777777" w:rsidR="00275329" w:rsidRPr="001212BE" w:rsidRDefault="00275329" w:rsidP="00275329">
      <w:pPr>
        <w:pStyle w:val="SingleTxtG"/>
      </w:pPr>
      <w:r>
        <w:t>19.</w:t>
      </w:r>
      <w:r>
        <w:tab/>
      </w:r>
      <w:r>
        <w:rPr>
          <w:b/>
          <w:bCs/>
        </w:rPr>
        <w:t>Учитывая неделимый характер всех прав человека, Комитет призывает государство-участник рассмотреть возможность ратификации еще не ратифицированных им международных договоров по правам человека, в частности тех договоров, положения которых непосредственно касаются общин, которые могут подвергаться расовой дискриминации, в том числе Международной конвенции о защите прав всех трудящихся-мигрантов и членов их семей, Международной конвенции для защиты всех лиц от насильственных исчезновений и Факультативного протокола к Международному пакту об экономических, социальных и культурных правах.</w:t>
      </w:r>
    </w:p>
    <w:p w14:paraId="553533FF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Поправка к статье 8 Конвенции</w:t>
      </w:r>
    </w:p>
    <w:p w14:paraId="7518A87B" w14:textId="77777777" w:rsidR="00275329" w:rsidRPr="001212BE" w:rsidRDefault="00275329" w:rsidP="00275329">
      <w:pPr>
        <w:pStyle w:val="SingleTxtG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 — участников Конвенции и одобренную Генеральной Ассамблеей в ее резолюции 47/111.</w:t>
      </w:r>
    </w:p>
    <w:p w14:paraId="4E0477A2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Последующие меры в связи с Дурбанской декларацией и Программой действий</w:t>
      </w:r>
    </w:p>
    <w:p w14:paraId="1C6E72EC" w14:textId="77777777" w:rsidR="00275329" w:rsidRPr="001212BE" w:rsidRDefault="00275329" w:rsidP="00275329">
      <w:pPr>
        <w:pStyle w:val="SingleTxtG"/>
      </w:pPr>
      <w:r>
        <w:t>21.</w:t>
      </w:r>
      <w:r>
        <w:tab/>
      </w:r>
      <w:r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своего национального правового режима предпринять шаги по выполнению Дурбанской декларации и Программы действий, принятых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состоявшейся в Женеве в апреле 2009 года.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конкретную информацию о планах действий и других мерах, принятых для осуществления Дурбанской декларации и Программы действий на национальном уровне.</w:t>
      </w:r>
    </w:p>
    <w:p w14:paraId="543B7EE1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</w:p>
    <w:p w14:paraId="097F71F5" w14:textId="77777777" w:rsidR="00275329" w:rsidRPr="001212BE" w:rsidRDefault="00275329" w:rsidP="00275329">
      <w:pPr>
        <w:pStyle w:val="SingleTxtG"/>
      </w:pPr>
      <w:r>
        <w:t>22.</w:t>
      </w:r>
      <w:r>
        <w:tab/>
      </w:r>
      <w:r>
        <w:rPr>
          <w:b/>
          <w:bCs/>
        </w:rPr>
        <w:t>В свете резолюции 68/237 Генеральной Ассамблеи о провозглашении периода 2015–2024 годов Международным десятилетием лиц африканского происхождения, а также резолюции 69/16 Генеральной Ассамблеи, касающейся программы мероприятий по проведению Десятилетия, Комитет рекомендует государству-участнику разработать и осуществить надлежащую программу соответствующих мер и политических стратегий.</w:t>
      </w:r>
      <w:r>
        <w:t xml:space="preserve"> </w:t>
      </w:r>
      <w:r>
        <w:rPr>
          <w:b/>
          <w:bCs/>
        </w:rPr>
        <w:t xml:space="preserve">Комитет просит государство-участник включить в его следующий доклад точные сведения о принятых им в связи с этим конкретных мерах с учетом общей рекомендации № 34 (2011) </w:t>
      </w:r>
      <w:r>
        <w:rPr>
          <w:b/>
          <w:bCs/>
        </w:rPr>
        <w:lastRenderedPageBreak/>
        <w:t>Комитета о расовой дискриминации в отношении лиц африканского происхождения.</w:t>
      </w:r>
    </w:p>
    <w:p w14:paraId="79436CE9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2AB62D98" w14:textId="77777777" w:rsidR="00275329" w:rsidRPr="001212BE" w:rsidRDefault="00275329" w:rsidP="00275329">
      <w:pPr>
        <w:pStyle w:val="SingleTxtG"/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продолжать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в рамках подготовки следующего периодического доклада и принятия последующих мер по настоящим заключительным замечаниям.</w:t>
      </w:r>
    </w:p>
    <w:p w14:paraId="29FFD8F1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57325C48" w14:textId="77777777" w:rsidR="00275329" w:rsidRPr="001212BE" w:rsidRDefault="00275329" w:rsidP="00275329">
      <w:pPr>
        <w:pStyle w:val="SingleTxtG"/>
      </w:pPr>
      <w:r>
        <w:t>24.</w:t>
      </w:r>
      <w:r>
        <w:tab/>
      </w:r>
      <w:r>
        <w:rPr>
          <w:b/>
          <w:bCs/>
        </w:rPr>
        <w:t>Комитет рекомендует, чтобы доклады государства-участника всегда имелись в наличии и были доступны общественности на момент их представления и чтобы заключительные замечания Комитета по этим докладам также предоставлялись всем государственным органам, занимающимся осуществлением Конвенции, включая муниципалитеты, и публиковались на веб-сайте Министерства иностранных дел на официальных языках, а при необходимости — и на других широко используемых языках.</w:t>
      </w:r>
    </w:p>
    <w:p w14:paraId="420B21FA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Общий базовый документ</w:t>
      </w:r>
    </w:p>
    <w:p w14:paraId="40235C45" w14:textId="6D0BDD60" w:rsidR="00275329" w:rsidRPr="001212BE" w:rsidRDefault="00275329" w:rsidP="00275329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обновить свой общий базовый документ, который датируется 1999 годом, опираясь на согласованные руководящие принципы представления докладов согласно международным договорам о правах человека, в частности на руководящие принципы подготовки общего базового документа, принятые на пятом межкомитетском совещании договорных органов по правам человека в июне 2006 года</w:t>
      </w:r>
      <w:r w:rsidRPr="00392CE6">
        <w:rPr>
          <w:rStyle w:val="aa"/>
        </w:rPr>
        <w:footnoteReference w:id="5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свете резолюции</w:t>
      </w:r>
      <w:r w:rsidR="00ED4575">
        <w:rPr>
          <w:b/>
          <w:bCs/>
        </w:rPr>
        <w:t> </w:t>
      </w:r>
      <w:r>
        <w:rPr>
          <w:b/>
          <w:bCs/>
        </w:rPr>
        <w:t>68/268 Генеральной Ассамблеи Комитет настоятельно призывает государство-участник соблюдать установленное для объема этого документа ограничение в 42 400 слов.</w:t>
      </w:r>
    </w:p>
    <w:p w14:paraId="2797A4DA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настоящих заключительных замечаний</w:t>
      </w:r>
    </w:p>
    <w:p w14:paraId="7F9BF43E" w14:textId="536F250A" w:rsidR="00275329" w:rsidRPr="001212BE" w:rsidRDefault="00275329" w:rsidP="00275329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выполнении им рекомендаций, содержащихся в подпунктах а) </w:t>
      </w:r>
      <w:r w:rsidR="00ED4575">
        <w:rPr>
          <w:b/>
          <w:bCs/>
        </w:rPr>
        <w:br/>
      </w:r>
      <w:r>
        <w:rPr>
          <w:b/>
          <w:bCs/>
        </w:rPr>
        <w:t>и b) пункта 10 (ненавистнические высказывания расистского толка и преступления на расовой почве), подпунктах a), b) и c) пункта 14 (рома) и в пункте</w:t>
      </w:r>
      <w:r w:rsidR="00ED4575">
        <w:rPr>
          <w:b/>
          <w:bCs/>
        </w:rPr>
        <w:t> </w:t>
      </w:r>
      <w:r>
        <w:rPr>
          <w:b/>
          <w:bCs/>
        </w:rPr>
        <w:t xml:space="preserve">16 (лица, </w:t>
      </w:r>
      <w:r w:rsidRPr="00DC425C">
        <w:rPr>
          <w:b/>
          <w:bCs/>
        </w:rPr>
        <w:t xml:space="preserve">насильственно </w:t>
      </w:r>
      <w:r>
        <w:rPr>
          <w:b/>
          <w:bCs/>
        </w:rPr>
        <w:t>переселенные Союзом Советских Социалистических Республик в 1940-х годах) выше.</w:t>
      </w:r>
    </w:p>
    <w:p w14:paraId="1CF5DF71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1F89C1B4" w14:textId="77777777" w:rsidR="00275329" w:rsidRPr="001212BE" w:rsidRDefault="00275329" w:rsidP="00275329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обращает внимание государства-участника на особое значение рекомендаций, содержащихся в пунктах 8 (осуществление антидискриминационного законодательства) и 12 (национальные или этнические меньшинства) выше, и просит государство-участник представить в своем следующем периодическом докладе подробную информацию о конкретных мерах, принятых с целью выполнения этих рекомендаций.</w:t>
      </w:r>
    </w:p>
    <w:p w14:paraId="02D8CD18" w14:textId="77777777" w:rsidR="00275329" w:rsidRPr="001212BE" w:rsidRDefault="00275329" w:rsidP="00275329">
      <w:pPr>
        <w:pStyle w:val="H23G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5240B5C2" w14:textId="3F0E93E0" w:rsidR="00275329" w:rsidRPr="001212BE" w:rsidRDefault="00275329" w:rsidP="00275329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представить ко 2 июля 2026</w:t>
      </w:r>
      <w:r w:rsidR="00ED4575">
        <w:rPr>
          <w:b/>
          <w:bCs/>
        </w:rPr>
        <w:t> </w:t>
      </w:r>
      <w:r>
        <w:rPr>
          <w:b/>
          <w:bCs/>
        </w:rPr>
        <w:t xml:space="preserve">года свои объединенные одиннадцатый и двенадцатый периодические доклады в одном документе, приняв во внимание руководящие принципы </w:t>
      </w:r>
      <w:r>
        <w:rPr>
          <w:b/>
          <w:bCs/>
        </w:rPr>
        <w:lastRenderedPageBreak/>
        <w:t>подготовки докладов, принятые Комитетом в ходе его семьдесят первой сессии</w:t>
      </w:r>
      <w:r w:rsidRPr="00392CE6">
        <w:rPr>
          <w:rStyle w:val="aa"/>
        </w:rPr>
        <w:footnoteReference w:id="6"/>
      </w:r>
      <w:r>
        <w:rPr>
          <w:b/>
          <w:bCs/>
        </w:rPr>
        <w:t>, и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21 200 слов и установленное для объема общего базового документа ограничение в 42 400 слов.</w:t>
      </w:r>
    </w:p>
    <w:p w14:paraId="4F43B6CE" w14:textId="54E9C225" w:rsidR="00275329" w:rsidRPr="006E2B8F" w:rsidRDefault="006E2B8F" w:rsidP="006E2B8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7552FB7" w14:textId="77777777" w:rsidR="00381C24" w:rsidRPr="00BC18B2" w:rsidRDefault="00381C24" w:rsidP="004055E9"/>
    <w:sectPr w:rsidR="00381C24" w:rsidRPr="00BC18B2" w:rsidSect="0027532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33BCF" w14:textId="77777777" w:rsidR="006841DC" w:rsidRPr="00A312BC" w:rsidRDefault="006841DC" w:rsidP="00A312BC"/>
  </w:endnote>
  <w:endnote w:type="continuationSeparator" w:id="0">
    <w:p w14:paraId="4C2458C0" w14:textId="77777777" w:rsidR="006841DC" w:rsidRPr="00A312BC" w:rsidRDefault="006841D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9FDF1" w14:textId="2D08C891" w:rsidR="00275329" w:rsidRPr="00275329" w:rsidRDefault="00275329">
    <w:pPr>
      <w:pStyle w:val="a8"/>
    </w:pPr>
    <w:r w:rsidRPr="00275329">
      <w:rPr>
        <w:b/>
        <w:sz w:val="18"/>
      </w:rPr>
      <w:fldChar w:fldCharType="begin"/>
    </w:r>
    <w:r w:rsidRPr="00275329">
      <w:rPr>
        <w:b/>
        <w:sz w:val="18"/>
      </w:rPr>
      <w:instrText xml:space="preserve"> PAGE  \* MERGEFORMAT </w:instrText>
    </w:r>
    <w:r w:rsidRPr="00275329">
      <w:rPr>
        <w:b/>
        <w:sz w:val="18"/>
      </w:rPr>
      <w:fldChar w:fldCharType="separate"/>
    </w:r>
    <w:r w:rsidRPr="00275329">
      <w:rPr>
        <w:b/>
        <w:noProof/>
        <w:sz w:val="18"/>
      </w:rPr>
      <w:t>2</w:t>
    </w:r>
    <w:r w:rsidRPr="00275329">
      <w:rPr>
        <w:b/>
        <w:sz w:val="18"/>
      </w:rPr>
      <w:fldChar w:fldCharType="end"/>
    </w:r>
    <w:r>
      <w:rPr>
        <w:b/>
        <w:sz w:val="18"/>
      </w:rPr>
      <w:tab/>
    </w:r>
    <w:r>
      <w:t>GE.22-27767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397B8" w14:textId="5C2A852D" w:rsidR="00275329" w:rsidRPr="00275329" w:rsidRDefault="00275329" w:rsidP="00275329">
    <w:pPr>
      <w:pStyle w:val="a8"/>
      <w:tabs>
        <w:tab w:val="clear" w:pos="9639"/>
        <w:tab w:val="right" w:pos="9638"/>
      </w:tabs>
      <w:rPr>
        <w:b/>
        <w:sz w:val="18"/>
      </w:rPr>
    </w:pPr>
    <w:r>
      <w:t>GE.22-27767</w:t>
    </w:r>
    <w:r>
      <w:tab/>
    </w:r>
    <w:r w:rsidRPr="00275329">
      <w:rPr>
        <w:b/>
        <w:sz w:val="18"/>
      </w:rPr>
      <w:fldChar w:fldCharType="begin"/>
    </w:r>
    <w:r w:rsidRPr="00275329">
      <w:rPr>
        <w:b/>
        <w:sz w:val="18"/>
      </w:rPr>
      <w:instrText xml:space="preserve"> PAGE  \* MERGEFORMAT </w:instrText>
    </w:r>
    <w:r w:rsidRPr="00275329">
      <w:rPr>
        <w:b/>
        <w:sz w:val="18"/>
      </w:rPr>
      <w:fldChar w:fldCharType="separate"/>
    </w:r>
    <w:r w:rsidRPr="00275329">
      <w:rPr>
        <w:b/>
        <w:noProof/>
        <w:sz w:val="18"/>
      </w:rPr>
      <w:t>3</w:t>
    </w:r>
    <w:r w:rsidRPr="0027532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B76F7" w14:textId="01605308" w:rsidR="00042B72" w:rsidRPr="00275329" w:rsidRDefault="00275329" w:rsidP="0027532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D4D680B" wp14:editId="3C0D64D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22-27767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FA898C" wp14:editId="2941AA5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170323  200323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EC35F" w14:textId="77777777" w:rsidR="006841DC" w:rsidRPr="001075E9" w:rsidRDefault="006841D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AAA8771" w14:textId="77777777" w:rsidR="006841DC" w:rsidRDefault="006841D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789BB7B" w14:textId="77777777" w:rsidR="00275329" w:rsidRPr="001212BE" w:rsidRDefault="00275329" w:rsidP="00275329">
      <w:pPr>
        <w:pStyle w:val="ad"/>
      </w:pPr>
      <w:r>
        <w:tab/>
      </w:r>
      <w:r w:rsidRPr="006E2B8F">
        <w:rPr>
          <w:sz w:val="20"/>
        </w:rPr>
        <w:t>*</w:t>
      </w:r>
      <w:r>
        <w:tab/>
        <w:t>Приняты Комитетом на его сто восьмой сессии (14 ноября — 2 декабря 2022 года).</w:t>
      </w:r>
    </w:p>
  </w:footnote>
  <w:footnote w:id="2">
    <w:p w14:paraId="19EA2CA9" w14:textId="77777777" w:rsidR="00275329" w:rsidRPr="001212BE" w:rsidRDefault="00275329" w:rsidP="00275329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7C6613">
          <w:rPr>
            <w:rStyle w:val="af1"/>
          </w:rPr>
          <w:t>CERD/C/GEO/9-10</w:t>
        </w:r>
      </w:hyperlink>
      <w:r>
        <w:t>.</w:t>
      </w:r>
    </w:p>
  </w:footnote>
  <w:footnote w:id="3">
    <w:p w14:paraId="47C0141B" w14:textId="77777777" w:rsidR="00275329" w:rsidRPr="00E10CB1" w:rsidRDefault="00275329" w:rsidP="00275329">
      <w:pPr>
        <w:pStyle w:val="ad"/>
        <w:rPr>
          <w:lang w:val="fr-CH"/>
        </w:rPr>
      </w:pPr>
      <w:r>
        <w:tab/>
      </w:r>
      <w:r>
        <w:rPr>
          <w:rStyle w:val="aa"/>
        </w:rPr>
        <w:footnoteRef/>
      </w:r>
      <w:r w:rsidRPr="00561D72">
        <w:tab/>
      </w:r>
      <w:r>
        <w:t>См</w:t>
      </w:r>
      <w:r w:rsidRPr="00561D72">
        <w:t xml:space="preserve">. </w:t>
      </w:r>
      <w:hyperlink r:id="rId2" w:history="1">
        <w:r w:rsidRPr="007C6613">
          <w:rPr>
            <w:rStyle w:val="af1"/>
            <w:lang w:val="fr-FR"/>
          </w:rPr>
          <w:t>CERD</w:t>
        </w:r>
        <w:r w:rsidRPr="00E10CB1">
          <w:rPr>
            <w:rStyle w:val="af1"/>
            <w:lang w:val="fr-CH"/>
          </w:rPr>
          <w:t>/</w:t>
        </w:r>
        <w:r w:rsidRPr="007C6613">
          <w:rPr>
            <w:rStyle w:val="af1"/>
            <w:lang w:val="fr-FR"/>
          </w:rPr>
          <w:t>C</w:t>
        </w:r>
        <w:r w:rsidRPr="00E10CB1">
          <w:rPr>
            <w:rStyle w:val="af1"/>
            <w:lang w:val="fr-CH"/>
          </w:rPr>
          <w:t>/</w:t>
        </w:r>
        <w:r w:rsidRPr="007C6613">
          <w:rPr>
            <w:rStyle w:val="af1"/>
            <w:lang w:val="fr-FR"/>
          </w:rPr>
          <w:t>SR</w:t>
        </w:r>
        <w:r w:rsidRPr="00E10CB1">
          <w:rPr>
            <w:rStyle w:val="af1"/>
            <w:lang w:val="fr-CH"/>
          </w:rPr>
          <w:t>.2941</w:t>
        </w:r>
      </w:hyperlink>
      <w:r w:rsidRPr="00E10CB1">
        <w:rPr>
          <w:lang w:val="fr-CH"/>
        </w:rPr>
        <w:t xml:space="preserve"> </w:t>
      </w:r>
      <w:r>
        <w:t>и</w:t>
      </w:r>
      <w:r w:rsidRPr="00E10CB1">
        <w:rPr>
          <w:lang w:val="fr-CH"/>
        </w:rPr>
        <w:t xml:space="preserve"> </w:t>
      </w:r>
      <w:hyperlink r:id="rId3" w:history="1">
        <w:r w:rsidRPr="007C6613">
          <w:rPr>
            <w:rStyle w:val="af1"/>
            <w:lang w:val="fr-FR"/>
          </w:rPr>
          <w:t>CERD</w:t>
        </w:r>
        <w:r w:rsidRPr="00E10CB1">
          <w:rPr>
            <w:rStyle w:val="af1"/>
            <w:lang w:val="fr-CH"/>
          </w:rPr>
          <w:t>/</w:t>
        </w:r>
        <w:r w:rsidRPr="007C6613">
          <w:rPr>
            <w:rStyle w:val="af1"/>
            <w:lang w:val="fr-FR"/>
          </w:rPr>
          <w:t>C</w:t>
        </w:r>
        <w:r w:rsidRPr="00E10CB1">
          <w:rPr>
            <w:rStyle w:val="af1"/>
            <w:lang w:val="fr-CH"/>
          </w:rPr>
          <w:t>/</w:t>
        </w:r>
        <w:r w:rsidRPr="007C6613">
          <w:rPr>
            <w:rStyle w:val="af1"/>
            <w:lang w:val="fr-FR"/>
          </w:rPr>
          <w:t>SR</w:t>
        </w:r>
        <w:r w:rsidRPr="00E10CB1">
          <w:rPr>
            <w:rStyle w:val="af1"/>
            <w:lang w:val="fr-CH"/>
          </w:rPr>
          <w:t>.2942</w:t>
        </w:r>
      </w:hyperlink>
      <w:r w:rsidRPr="00E10CB1">
        <w:rPr>
          <w:lang w:val="fr-CH"/>
        </w:rPr>
        <w:t>.</w:t>
      </w:r>
    </w:p>
  </w:footnote>
  <w:footnote w:id="4">
    <w:p w14:paraId="2ED018F1" w14:textId="762DC4F4" w:rsidR="00275329" w:rsidRPr="00275329" w:rsidRDefault="00275329" w:rsidP="00275329">
      <w:pPr>
        <w:pStyle w:val="ad"/>
        <w:rPr>
          <w:lang w:val="en-US"/>
        </w:rPr>
      </w:pPr>
      <w:r w:rsidRPr="00E10CB1">
        <w:rPr>
          <w:lang w:val="fr-CH"/>
        </w:rPr>
        <w:tab/>
      </w:r>
      <w:r>
        <w:rPr>
          <w:rStyle w:val="aa"/>
        </w:rPr>
        <w:footnoteRef/>
      </w:r>
      <w:r w:rsidRPr="001212BE">
        <w:rPr>
          <w:lang w:val="en-US"/>
        </w:rPr>
        <w:tab/>
      </w:r>
      <w:hyperlink r:id="rId4" w:history="1">
        <w:r w:rsidRPr="007C6613">
          <w:rPr>
            <w:rStyle w:val="af1"/>
            <w:lang w:val="en-US"/>
          </w:rPr>
          <w:t>CERD/C/304/Add.120</w:t>
        </w:r>
      </w:hyperlink>
      <w:r w:rsidRPr="001212BE">
        <w:rPr>
          <w:lang w:val="en-US"/>
        </w:rPr>
        <w:t xml:space="preserve">, </w:t>
      </w:r>
      <w:r>
        <w:t>п</w:t>
      </w:r>
      <w:r w:rsidRPr="001212BE">
        <w:rPr>
          <w:lang w:val="en-US"/>
        </w:rPr>
        <w:t xml:space="preserve">. 3; </w:t>
      </w:r>
      <w:hyperlink r:id="rId5" w:history="1">
        <w:r w:rsidRPr="007C6613">
          <w:rPr>
            <w:rStyle w:val="af1"/>
            <w:lang w:val="en-US"/>
          </w:rPr>
          <w:t>CERD/C/GEO/CO/3</w:t>
        </w:r>
      </w:hyperlink>
      <w:r w:rsidRPr="001212BE">
        <w:rPr>
          <w:lang w:val="en-US"/>
        </w:rPr>
        <w:t xml:space="preserve">, </w:t>
      </w:r>
      <w:r>
        <w:t>п</w:t>
      </w:r>
      <w:r w:rsidRPr="001212BE">
        <w:rPr>
          <w:lang w:val="en-US"/>
        </w:rPr>
        <w:t xml:space="preserve">. 4; </w:t>
      </w:r>
      <w:hyperlink r:id="rId6" w:history="1">
        <w:r w:rsidRPr="007C6613">
          <w:rPr>
            <w:rStyle w:val="af1"/>
            <w:lang w:val="en-US"/>
          </w:rPr>
          <w:t>CERD/C/GEO/CO/4-5</w:t>
        </w:r>
      </w:hyperlink>
      <w:r w:rsidRPr="001212BE">
        <w:rPr>
          <w:lang w:val="en-US"/>
        </w:rPr>
        <w:t xml:space="preserve">, </w:t>
      </w:r>
      <w:r>
        <w:t>п</w:t>
      </w:r>
      <w:r w:rsidRPr="001212BE">
        <w:rPr>
          <w:lang w:val="en-US"/>
        </w:rPr>
        <w:t xml:space="preserve">. 8; </w:t>
      </w:r>
      <w:r w:rsidR="006E2B8F">
        <w:rPr>
          <w:lang w:val="en-US"/>
        </w:rPr>
        <w:br/>
      </w:r>
      <w:r>
        <w:t>и</w:t>
      </w:r>
      <w:r w:rsidRPr="001212BE">
        <w:rPr>
          <w:lang w:val="en-US"/>
        </w:rPr>
        <w:t xml:space="preserve"> </w:t>
      </w:r>
      <w:hyperlink r:id="rId7" w:history="1">
        <w:r w:rsidRPr="00C96B43">
          <w:rPr>
            <w:rStyle w:val="af1"/>
            <w:lang w:val="en-US"/>
          </w:rPr>
          <w:t>CERD/C/GEO/CO/6-8</w:t>
        </w:r>
      </w:hyperlink>
      <w:r w:rsidRPr="001212BE">
        <w:rPr>
          <w:lang w:val="en-US"/>
        </w:rPr>
        <w:t xml:space="preserve">, </w:t>
      </w:r>
      <w:r>
        <w:t>п</w:t>
      </w:r>
      <w:r w:rsidRPr="001212BE">
        <w:rPr>
          <w:lang w:val="en-US"/>
        </w:rPr>
        <w:t>. 3.</w:t>
      </w:r>
    </w:p>
  </w:footnote>
  <w:footnote w:id="5">
    <w:p w14:paraId="005993D2" w14:textId="77777777" w:rsidR="00275329" w:rsidRPr="00275329" w:rsidRDefault="00275329" w:rsidP="00275329">
      <w:pPr>
        <w:pStyle w:val="ad"/>
        <w:rPr>
          <w:lang w:val="en-US"/>
        </w:rPr>
      </w:pPr>
      <w:r w:rsidRPr="001212BE">
        <w:rPr>
          <w:lang w:val="en-US"/>
        </w:rPr>
        <w:tab/>
      </w:r>
      <w:r>
        <w:rPr>
          <w:rStyle w:val="aa"/>
        </w:rPr>
        <w:footnoteRef/>
      </w:r>
      <w:r w:rsidRPr="001212BE">
        <w:rPr>
          <w:lang w:val="en-US"/>
        </w:rPr>
        <w:tab/>
      </w:r>
      <w:hyperlink r:id="rId8" w:history="1">
        <w:r w:rsidRPr="00C96B43">
          <w:rPr>
            <w:rStyle w:val="af1"/>
            <w:lang w:val="en-US"/>
          </w:rPr>
          <w:t>HRI/GEN/2/Rev.6</w:t>
        </w:r>
      </w:hyperlink>
      <w:r w:rsidRPr="001212BE">
        <w:rPr>
          <w:lang w:val="en-US"/>
        </w:rPr>
        <w:t xml:space="preserve">, </w:t>
      </w:r>
      <w:r>
        <w:t>гл</w:t>
      </w:r>
      <w:r w:rsidRPr="001212BE">
        <w:rPr>
          <w:lang w:val="en-US"/>
        </w:rPr>
        <w:t>. I.</w:t>
      </w:r>
    </w:p>
  </w:footnote>
  <w:footnote w:id="6">
    <w:p w14:paraId="07889098" w14:textId="77777777" w:rsidR="00275329" w:rsidRDefault="00275329" w:rsidP="00275329">
      <w:pPr>
        <w:pStyle w:val="ad"/>
      </w:pPr>
      <w:r w:rsidRPr="001212BE">
        <w:rPr>
          <w:lang w:val="en-US"/>
        </w:rPr>
        <w:tab/>
      </w:r>
      <w:r w:rsidRPr="00676A3A">
        <w:rPr>
          <w:rStyle w:val="aa"/>
        </w:rPr>
        <w:footnoteRef/>
      </w:r>
      <w:r>
        <w:tab/>
      </w:r>
      <w:hyperlink r:id="rId9" w:history="1">
        <w:r w:rsidRPr="00C96B43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04AE8" w14:textId="091A68DC" w:rsidR="00275329" w:rsidRPr="00275329" w:rsidRDefault="00275329">
    <w:pPr>
      <w:pStyle w:val="a5"/>
    </w:pPr>
    <w:fldSimple w:instr=" TITLE  \* MERGEFORMAT ">
      <w:r w:rsidR="00E10CB1">
        <w:t>CERD/C/GEO/CO/9-10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01A5D" w14:textId="7F175C08" w:rsidR="00275329" w:rsidRPr="00275329" w:rsidRDefault="00275329" w:rsidP="00275329">
    <w:pPr>
      <w:pStyle w:val="a5"/>
      <w:jc w:val="right"/>
    </w:pPr>
    <w:fldSimple w:instr=" TITLE  \* MERGEFORMAT ">
      <w:r w:rsidR="00E10CB1">
        <w:t>CERD/C/GEO/CO/9-10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35301313">
    <w:abstractNumId w:val="16"/>
  </w:num>
  <w:num w:numId="2" w16cid:durableId="649869590">
    <w:abstractNumId w:val="11"/>
  </w:num>
  <w:num w:numId="3" w16cid:durableId="1459640164">
    <w:abstractNumId w:val="10"/>
  </w:num>
  <w:num w:numId="4" w16cid:durableId="80950640">
    <w:abstractNumId w:val="17"/>
  </w:num>
  <w:num w:numId="5" w16cid:durableId="1624729663">
    <w:abstractNumId w:val="13"/>
  </w:num>
  <w:num w:numId="6" w16cid:durableId="963390410">
    <w:abstractNumId w:val="8"/>
  </w:num>
  <w:num w:numId="7" w16cid:durableId="271059778">
    <w:abstractNumId w:val="3"/>
  </w:num>
  <w:num w:numId="8" w16cid:durableId="1907376491">
    <w:abstractNumId w:val="2"/>
  </w:num>
  <w:num w:numId="9" w16cid:durableId="618993825">
    <w:abstractNumId w:val="1"/>
  </w:num>
  <w:num w:numId="10" w16cid:durableId="1318420253">
    <w:abstractNumId w:val="0"/>
  </w:num>
  <w:num w:numId="11" w16cid:durableId="837765413">
    <w:abstractNumId w:val="9"/>
  </w:num>
  <w:num w:numId="12" w16cid:durableId="311254893">
    <w:abstractNumId w:val="7"/>
  </w:num>
  <w:num w:numId="13" w16cid:durableId="1632634626">
    <w:abstractNumId w:val="6"/>
  </w:num>
  <w:num w:numId="14" w16cid:durableId="263072740">
    <w:abstractNumId w:val="5"/>
  </w:num>
  <w:num w:numId="15" w16cid:durableId="1944679254">
    <w:abstractNumId w:val="4"/>
  </w:num>
  <w:num w:numId="16" w16cid:durableId="1759251941">
    <w:abstractNumId w:val="15"/>
  </w:num>
  <w:num w:numId="17" w16cid:durableId="354575730">
    <w:abstractNumId w:val="12"/>
  </w:num>
  <w:num w:numId="18" w16cid:durableId="971984062">
    <w:abstractNumId w:val="14"/>
  </w:num>
  <w:num w:numId="19" w16cid:durableId="473760656">
    <w:abstractNumId w:val="15"/>
  </w:num>
  <w:num w:numId="20" w16cid:durableId="1068965682">
    <w:abstractNumId w:val="12"/>
  </w:num>
  <w:num w:numId="21" w16cid:durableId="148747539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DC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5D0E"/>
    <w:rsid w:val="00196389"/>
    <w:rsid w:val="001B3EF6"/>
    <w:rsid w:val="001C7A89"/>
    <w:rsid w:val="0027532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841DC"/>
    <w:rsid w:val="006A1ED8"/>
    <w:rsid w:val="006C2031"/>
    <w:rsid w:val="006D461A"/>
    <w:rsid w:val="006E2B8F"/>
    <w:rsid w:val="006F35EE"/>
    <w:rsid w:val="007021FF"/>
    <w:rsid w:val="00706B3D"/>
    <w:rsid w:val="00712895"/>
    <w:rsid w:val="00757357"/>
    <w:rsid w:val="007C46C9"/>
    <w:rsid w:val="007C49AB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A690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B083D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10CB1"/>
    <w:rsid w:val="00E32125"/>
    <w:rsid w:val="00E73F76"/>
    <w:rsid w:val="00EA2C9F"/>
    <w:rsid w:val="00EA420E"/>
    <w:rsid w:val="00ED0BDA"/>
    <w:rsid w:val="00ED4575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BCE668"/>
  <w15:docId w15:val="{EBABA386-141E-417B-988E-23C48B01D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27532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CERD/C/SR.2942" TargetMode="External"/><Relationship Id="rId7" Type="http://schemas.openxmlformats.org/officeDocument/2006/relationships/hyperlink" Target="http://undocs.org/ru/CERD/C/GEO/CO/6-8" TargetMode="External"/><Relationship Id="rId2" Type="http://schemas.openxmlformats.org/officeDocument/2006/relationships/hyperlink" Target="http://undocs.org/en/CERD/C/SR.2941" TargetMode="External"/><Relationship Id="rId1" Type="http://schemas.openxmlformats.org/officeDocument/2006/relationships/hyperlink" Target="http://undocs.org/en/CERD/C/GEO/9-10" TargetMode="External"/><Relationship Id="rId6" Type="http://schemas.openxmlformats.org/officeDocument/2006/relationships/hyperlink" Target="https://undocs.org/ru/CERD/C/GEO/CO/4-5" TargetMode="External"/><Relationship Id="rId5" Type="http://schemas.openxmlformats.org/officeDocument/2006/relationships/hyperlink" Target="https://undocs.org/ru/CERD/C/GEO/CO/3" TargetMode="External"/><Relationship Id="rId4" Type="http://schemas.openxmlformats.org/officeDocument/2006/relationships/hyperlink" Target="https://undocs.org/ru/CERD/C/304/Add.120" TargetMode="External"/><Relationship Id="rId9" Type="http://schemas.openxmlformats.org/officeDocument/2006/relationships/hyperlink" Target="http://undocs.org/ru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8</TotalTime>
  <Pages>8</Pages>
  <Words>2558</Words>
  <Characters>18616</Characters>
  <Application>Microsoft Office Word</Application>
  <DocSecurity>0</DocSecurity>
  <Lines>1692</Lines>
  <Paragraphs>470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CERD/C/GEO/CO/9-10</vt:lpstr>
      <vt:lpstr>A/</vt:lpstr>
      <vt:lpstr>A/</vt:lpstr>
    </vt:vector>
  </TitlesOfParts>
  <Company>DCM</Company>
  <LinksUpToDate>false</LinksUpToDate>
  <CharactersWithSpaces>20704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CERD/C/GEO/CO/9-10</dc:title>
  <dc:subject/>
  <dc:creator>No author</dc:creator>
  <cp:keywords/>
  <cp:lastModifiedBy>No author</cp:lastModifiedBy>
  <cp:revision>3</cp:revision>
  <cp:lastPrinted>2023-03-20T10:21:00Z</cp:lastPrinted>
  <dcterms:created xsi:type="dcterms:W3CDTF">2023-03-20T10:21:00Z</dcterms:created>
  <dcterms:modified xsi:type="dcterms:W3CDTF">2023-03-20T10:30:00Z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