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11800C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42F3BFB" w14:textId="77777777" w:rsidR="002D5AAC" w:rsidRDefault="002D5AAC" w:rsidP="00BC3629"/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31CC2F5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1700260" w14:textId="643B1897" w:rsidR="002D5AAC" w:rsidRDefault="00E11CF3" w:rsidP="00E11CF3">
            <w:pPr>
              <w:jc w:val="right"/>
            </w:pPr>
            <w:r w:rsidRPr="00E11CF3">
              <w:rPr>
                <w:sz w:val="40"/>
              </w:rPr>
              <w:t>CCPR</w:t>
            </w:r>
            <w:r>
              <w:t>/C/RUS/CO/8</w:t>
            </w:r>
          </w:p>
        </w:tc>
      </w:tr>
      <w:tr w:rsidR="002D5AAC" w:rsidRPr="009455CA" w14:paraId="7D7252A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E1CAD3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0AD4712" wp14:editId="028C420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2ECAE8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62C9FEC" w14:textId="77777777" w:rsidR="002D5AAC" w:rsidRPr="00E11CF3" w:rsidRDefault="00E11CF3" w:rsidP="00BC3629">
            <w:pPr>
              <w:spacing w:before="240"/>
              <w:rPr>
                <w:lang w:val="en-US"/>
              </w:rPr>
            </w:pPr>
            <w:r w:rsidRPr="00E11CF3">
              <w:rPr>
                <w:lang w:val="en-US"/>
              </w:rPr>
              <w:t>Distr.: General</w:t>
            </w:r>
          </w:p>
          <w:p w14:paraId="04416B07" w14:textId="77777777" w:rsidR="00E11CF3" w:rsidRPr="00E11CF3" w:rsidRDefault="00E11CF3" w:rsidP="00E11CF3">
            <w:pPr>
              <w:spacing w:line="240" w:lineRule="exact"/>
              <w:rPr>
                <w:lang w:val="en-US"/>
              </w:rPr>
            </w:pPr>
            <w:r w:rsidRPr="00E11CF3">
              <w:rPr>
                <w:lang w:val="en-US"/>
              </w:rPr>
              <w:t>1 December 2022</w:t>
            </w:r>
          </w:p>
          <w:p w14:paraId="3E5AE47F" w14:textId="77777777" w:rsidR="00E11CF3" w:rsidRPr="00E11CF3" w:rsidRDefault="00E11CF3" w:rsidP="00E11CF3">
            <w:pPr>
              <w:spacing w:line="240" w:lineRule="exact"/>
              <w:rPr>
                <w:lang w:val="en-US"/>
              </w:rPr>
            </w:pPr>
            <w:r w:rsidRPr="00E11CF3">
              <w:rPr>
                <w:lang w:val="en-US"/>
              </w:rPr>
              <w:t>Russian</w:t>
            </w:r>
          </w:p>
          <w:p w14:paraId="3B2B0BD9" w14:textId="597430CE" w:rsidR="00E11CF3" w:rsidRPr="00E11CF3" w:rsidRDefault="00E11CF3" w:rsidP="00E11CF3">
            <w:pPr>
              <w:spacing w:line="240" w:lineRule="exact"/>
              <w:rPr>
                <w:lang w:val="en-US"/>
              </w:rPr>
            </w:pPr>
            <w:r w:rsidRPr="00E11CF3">
              <w:rPr>
                <w:lang w:val="en-US"/>
              </w:rPr>
              <w:t>Original: English</w:t>
            </w:r>
          </w:p>
        </w:tc>
      </w:tr>
    </w:tbl>
    <w:p w14:paraId="582A5572" w14:textId="77777777" w:rsidR="00E11CF3" w:rsidRPr="00E11CF3" w:rsidRDefault="00E11CF3" w:rsidP="00E11CF3">
      <w:pPr>
        <w:spacing w:before="120"/>
        <w:rPr>
          <w:b/>
          <w:sz w:val="24"/>
          <w:szCs w:val="24"/>
        </w:rPr>
      </w:pPr>
      <w:r w:rsidRPr="00E11CF3">
        <w:rPr>
          <w:b/>
          <w:bCs/>
          <w:sz w:val="24"/>
          <w:szCs w:val="24"/>
        </w:rPr>
        <w:t>Комитет по правам человека</w:t>
      </w:r>
    </w:p>
    <w:p w14:paraId="6B1CE9CD" w14:textId="77777777" w:rsidR="00E11CF3" w:rsidRPr="00F66986" w:rsidRDefault="00E11CF3" w:rsidP="00E11CF3">
      <w:pPr>
        <w:pStyle w:val="HChG"/>
      </w:pPr>
      <w:r>
        <w:tab/>
      </w:r>
      <w:r>
        <w:tab/>
        <w:t>Заключительные замечания по восьмому периодическому докладу Российской Федерации</w:t>
      </w:r>
      <w:r w:rsidRPr="003C7D82">
        <w:rPr>
          <w:b w:val="0"/>
          <w:sz w:val="20"/>
        </w:rPr>
        <w:footnoteReference w:customMarkFollows="1" w:id="1"/>
        <w:t>*</w:t>
      </w:r>
    </w:p>
    <w:p w14:paraId="4F42532F" w14:textId="12963341" w:rsidR="00E11CF3" w:rsidRPr="00F66986" w:rsidRDefault="00E11CF3" w:rsidP="00E11CF3">
      <w:pPr>
        <w:pStyle w:val="SingleTxtG"/>
      </w:pPr>
      <w:r>
        <w:t>1.</w:t>
      </w:r>
      <w:r>
        <w:tab/>
        <w:t>Комитет рассмотрел восьмой периодический доклад Российской Федерации</w:t>
      </w:r>
      <w:r w:rsidRPr="006A4BE3">
        <w:rPr>
          <w:rStyle w:val="aa"/>
        </w:rPr>
        <w:footnoteReference w:id="2"/>
      </w:r>
      <w:r w:rsidR="00F11B29">
        <w:t xml:space="preserve"> </w:t>
      </w:r>
      <w:r>
        <w:t>на своем 3934-м заседании</w:t>
      </w:r>
      <w:r w:rsidR="00F11B29" w:rsidRPr="006A4BE3">
        <w:rPr>
          <w:rStyle w:val="aa"/>
        </w:rPr>
        <w:footnoteReference w:id="3"/>
      </w:r>
      <w:r>
        <w:t>, состоявшемся 20 октября 2022 года. На своих 3947-м</w:t>
      </w:r>
      <w:r>
        <w:br/>
        <w:t>и 3948-м заседаниях, состоявшихся 31 октября и 1 ноября 2022 года, он принял следующие заключительные замечания.</w:t>
      </w:r>
    </w:p>
    <w:p w14:paraId="3E7E19B3" w14:textId="3468E426" w:rsidR="00E11CF3" w:rsidRPr="00F66986" w:rsidRDefault="00E11CF3" w:rsidP="00E11CF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06ACC9E3" w14:textId="77777777" w:rsidR="00E11CF3" w:rsidRPr="00F66986" w:rsidRDefault="00E11CF3" w:rsidP="00E11CF3">
      <w:pPr>
        <w:pStyle w:val="SingleTxtG"/>
        <w:rPr>
          <w:rStyle w:val="aa"/>
        </w:rPr>
      </w:pPr>
      <w:r>
        <w:t>2.</w:t>
      </w:r>
      <w:r>
        <w:tab/>
        <w:t>Комитет приветствует своевременное представление государством-участником своего доклада и ответов на перечень вопросов</w:t>
      </w:r>
      <w:r w:rsidRPr="006A4BE3">
        <w:rPr>
          <w:rStyle w:val="aa"/>
        </w:rPr>
        <w:footnoteReference w:id="4"/>
      </w:r>
      <w:r>
        <w:t>. Он глубоко сожалеет, что, несмотря на две отсрочки, предоставленные Комитетом в ответ на просьбы государства-участника о рассмотрении доклада, запланированном сначала на 134-ю сессию (март 2022 года), а затем на 135-ю сессию (июль 2022 года), государство-участник не приняло участия в конструктивном диалоге с Комитетом в ходе его 136-й сессии. Комитет напоминает государству-участнику, что предусмотренное статьей 40 Пакта обязательство представлять доклады влечет за собой ожидание того, что представители государств-участников будут присутствовать на заседаниях Комитета при рассмотрении их докладов</w:t>
      </w:r>
      <w:r w:rsidRPr="006A4BE3">
        <w:rPr>
          <w:rStyle w:val="aa"/>
        </w:rPr>
        <w:footnoteReference w:id="5"/>
      </w:r>
      <w:r>
        <w:t>. Комитет подчеркивает, что всестороннее участие государств-участников в интерактивном диалоге с договорными органами по правам человека является ключевым компонентом процесса периодического обзора</w:t>
      </w:r>
      <w:r w:rsidRPr="006A4BE3">
        <w:rPr>
          <w:rStyle w:val="aa"/>
        </w:rPr>
        <w:footnoteReference w:id="6"/>
      </w:r>
      <w:r>
        <w:t>.</w:t>
      </w:r>
    </w:p>
    <w:p w14:paraId="2DC9C57C" w14:textId="37054439" w:rsidR="00E11CF3" w:rsidRPr="00F66986" w:rsidRDefault="00E11CF3" w:rsidP="00E11CF3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30A9EC7B" w14:textId="77777777" w:rsidR="00E11CF3" w:rsidRPr="00F66986" w:rsidRDefault="00E11CF3" w:rsidP="00E11CF3">
      <w:pPr>
        <w:pStyle w:val="SingleTxtG"/>
      </w:pPr>
      <w:r>
        <w:t>3.</w:t>
      </w:r>
      <w:r>
        <w:tab/>
        <w:t>Комитет приветствует следующие шаги, предпринятые государством-участником:</w:t>
      </w:r>
    </w:p>
    <w:p w14:paraId="01E1FAA3" w14:textId="6016FDF2" w:rsidR="00E11CF3" w:rsidRPr="00F66986" w:rsidRDefault="00E11CF3" w:rsidP="00E11CF3">
      <w:pPr>
        <w:pStyle w:val="SingleTxtG"/>
      </w:pPr>
      <w:r>
        <w:tab/>
        <w:t>a)</w:t>
      </w:r>
      <w:r>
        <w:tab/>
        <w:t>принятие национальной стратегии действий в интересах женщин на 2017–2022 годы;</w:t>
      </w:r>
    </w:p>
    <w:p w14:paraId="5558EB6C" w14:textId="6D191271" w:rsidR="00E11CF3" w:rsidRPr="00F66986" w:rsidRDefault="00E11CF3" w:rsidP="00E11CF3">
      <w:pPr>
        <w:pStyle w:val="SingleTxtG"/>
      </w:pPr>
      <w:r>
        <w:tab/>
        <w:t>b)</w:t>
      </w:r>
      <w:r>
        <w:tab/>
        <w:t>принятие конкретных мер по устранению рисков защиты, связанных с пандемией коронавирусной инфекции (COVID-19), с которыми сталкиваются мигранты и лица, ищущие убежища, включая меры, позволяющие лицам, незаконно пребывающим</w:t>
      </w:r>
      <w:r w:rsidRPr="003F5D2F">
        <w:t xml:space="preserve"> </w:t>
      </w:r>
      <w:r>
        <w:t>в Российской Федерации, легализовать свое пребывание до 30 сентября 2021 года, и меру по сохранению общего моратория на принятие решений о депортации до 30 сентября 2021 года.</w:t>
      </w:r>
    </w:p>
    <w:p w14:paraId="4F4C6E85" w14:textId="248AC4D2" w:rsidR="00E11CF3" w:rsidRPr="00F66986" w:rsidRDefault="00E11CF3" w:rsidP="00E11CF3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14:paraId="4238BE75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Конституционные и правовые рамки осуществления Пакта</w:t>
      </w:r>
    </w:p>
    <w:p w14:paraId="15EF55B0" w14:textId="69DDA140" w:rsidR="00E11CF3" w:rsidRPr="00F66986" w:rsidRDefault="00E11CF3" w:rsidP="00E11CF3">
      <w:pPr>
        <w:pStyle w:val="SingleTxtG"/>
      </w:pPr>
      <w:r>
        <w:t>4.</w:t>
      </w:r>
      <w:r>
        <w:tab/>
        <w:t>Комитет обеспокоен невыполнением государством-участником Соображений Комитета по Факультативному протоколу, которое усугубляется нынешним толкованием постановления Конституционного суда № 1248-О от 28 июня 2012 года и принятием Закона № 885214-7 о поправке к Конституции. Комитет выражает свою обеспокоенность по поводу отсутствия в государстве-участнике механизма, уполномоченного следить за выполнением заключительных замечаний и Соображений Комитета. Комитет сожалеет об отсутствии подробной информации о подготовке по правам человека, которую проходят сотрудники судебных органов и прокуратуры, а также о решениях судов государства-участника, если таковые имеются, в которых применялись положения Пакта (ст. 2).</w:t>
      </w:r>
    </w:p>
    <w:p w14:paraId="19B709D8" w14:textId="77777777" w:rsidR="00E11CF3" w:rsidRPr="00F66986" w:rsidRDefault="00E11CF3" w:rsidP="00E11CF3">
      <w:pPr>
        <w:pStyle w:val="SingleTxtG"/>
      </w:pPr>
      <w:r>
        <w:t>5.</w:t>
      </w:r>
      <w:r>
        <w:tab/>
      </w:r>
      <w:r>
        <w:rPr>
          <w:b/>
          <w:bCs/>
        </w:rPr>
        <w:t>Государству-участнику следует:</w:t>
      </w:r>
    </w:p>
    <w:p w14:paraId="1E017332" w14:textId="7680022B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Pr="00E11CF3">
        <w:rPr>
          <w:b/>
          <w:bCs/>
        </w:rPr>
        <w:t>a)</w:t>
      </w:r>
      <w:r w:rsidRPr="00E11CF3">
        <w:rPr>
          <w:b/>
          <w:bCs/>
        </w:rPr>
        <w:tab/>
        <w:t>обеспечить полное соответствие национального законодательства положениям Пакта и предоставить эффективные средства правовой защиты лицам, добивающимся правосудия в случае нарушения Пакта;</w:t>
      </w:r>
    </w:p>
    <w:p w14:paraId="38AD02D5" w14:textId="27E0175F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Pr="00E11CF3">
        <w:rPr>
          <w:b/>
          <w:bCs/>
        </w:rPr>
        <w:t>b)</w:t>
      </w:r>
      <w:r w:rsidRPr="00E11CF3">
        <w:rPr>
          <w:b/>
          <w:bCs/>
        </w:rPr>
        <w:tab/>
        <w:t>повысить осведомленность судей, адвокатов и прокуроров о положениях Пакта, с тем чтобы на эти положения делались ссылки в национальных судах и чтобы они учитывались в их решениях;</w:t>
      </w:r>
    </w:p>
    <w:p w14:paraId="60526BA9" w14:textId="5AED52C7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Pr="00E11CF3">
        <w:rPr>
          <w:b/>
          <w:bCs/>
        </w:rPr>
        <w:t>c)</w:t>
      </w:r>
      <w:r w:rsidRPr="00E11CF3">
        <w:rPr>
          <w:b/>
          <w:bCs/>
        </w:rPr>
        <w:tab/>
        <w:t>пересмотреть свою позицию с целью добросовестного выполнения своих обязательств по Факультативному протоколу и добиться оперативного и полного осуществления всех Соображений, принятых Комитетом, с тем чтобы гарантировать право жертв на эффективные средства правовой защиты в случае нарушения Пакта в соответствии с пунктом 3 статьи 2 Пакта;</w:t>
      </w:r>
    </w:p>
    <w:p w14:paraId="54F91AC5" w14:textId="5D8D9021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Pr="00E11CF3">
        <w:rPr>
          <w:b/>
          <w:bCs/>
        </w:rPr>
        <w:t>d)</w:t>
      </w:r>
      <w:r w:rsidRPr="00E11CF3">
        <w:rPr>
          <w:b/>
          <w:bCs/>
        </w:rPr>
        <w:tab/>
        <w:t>создать надлежащий и эффективный национальный механизм представления докладов, осуществления и принятия последующих мер в отношении рекомендаций, содержащихся в Соображениях и заключительных замечаниях Комитета.</w:t>
      </w:r>
    </w:p>
    <w:p w14:paraId="7384D260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Защита прав, закрепленных в Пакте, в ситуациях вооруженного конфликта</w:t>
      </w:r>
    </w:p>
    <w:p w14:paraId="4987B2C6" w14:textId="77777777" w:rsidR="00E11CF3" w:rsidRPr="00F66986" w:rsidRDefault="00E11CF3" w:rsidP="00E11CF3">
      <w:pPr>
        <w:pStyle w:val="SingleTxtG"/>
        <w:rPr>
          <w:bCs/>
        </w:rPr>
      </w:pPr>
      <w:r>
        <w:t>6.</w:t>
      </w:r>
      <w:r>
        <w:tab/>
        <w:t>Комитет выражает свою крайнюю обеспокоенность по поводу продолжающегося вооруженного конфликта на Украине, инициированного государством-участником, который привел, в частности, к лишению жизни большого числа людей. В этом контексте Комитет обеспокоен сообщениями, в частности, о чрезмерном применении силы, убийствах, внесудебных казнях и казнях без надлежащего судебного разбирательства, насильственных исчезновениях, пытках, изнасилованиях и других видах сексуального насилия, произвольных задержаниях, принудительном призыве гражданских лиц и массовом перемещении населения, приписываемых государству-участнику, в том числе в районах, где государство-участник осуществляет эффективный контроль. Комитет далее обеспокоен отсутствием расследования предполагаемых нарушений Пакта, совершенных во время вооруженных конфликтов, в которых участвовало государство-участник, например нарушений, предположительно совершенных в Цхинвальском районе/Южной Осетии, Грузия, и на Украине (ст. 2, 6 и 7).</w:t>
      </w:r>
    </w:p>
    <w:p w14:paraId="75E2202E" w14:textId="4304B913" w:rsidR="00E11CF3" w:rsidRPr="00F66986" w:rsidRDefault="00E11CF3" w:rsidP="00E11CF3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Ссылаясь на замечания общего порядка Комитета № 31 (2004) о характере общего юридического обязательства, налагаемого на государства</w:t>
      </w:r>
      <w:r w:rsidR="007057A2">
        <w:rPr>
          <w:b/>
          <w:bCs/>
        </w:rPr>
        <w:t xml:space="preserve"> </w:t>
      </w:r>
      <w:r w:rsidR="008F0A3B">
        <w:rPr>
          <w:b/>
          <w:bCs/>
        </w:rPr>
        <w:t>—</w:t>
      </w:r>
      <w:r w:rsidR="007057A2">
        <w:rPr>
          <w:b/>
          <w:bCs/>
        </w:rPr>
        <w:t xml:space="preserve"> </w:t>
      </w:r>
      <w:r>
        <w:rPr>
          <w:b/>
          <w:bCs/>
        </w:rPr>
        <w:t>участники Пакта, и № 36 (2018) о праве на жизнь, Комитет повторяет и подчеркивает, что Пакт применяется в отношении любых действий властей или агентов государства-участника, отрицательно влияющих на осуществление прав, закрепленных в Пакте, лицами, находящимися под юрисдикцией государства-участника, и настоятельно призывает государство-участник незамедлительно:</w:t>
      </w:r>
    </w:p>
    <w:p w14:paraId="7EF98522" w14:textId="1ADF3B26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E11CF3">
        <w:rPr>
          <w:b/>
          <w:bCs/>
        </w:rPr>
        <w:t>a)</w:t>
      </w:r>
      <w:r w:rsidRPr="00E11CF3">
        <w:rPr>
          <w:b/>
          <w:bCs/>
        </w:rPr>
        <w:tab/>
        <w:t>принять все меры, необходимые для полного выполнения своих обязательств по защите права на жизнь, в том числе в ситуациях вооруженного конфликта;</w:t>
      </w:r>
    </w:p>
    <w:p w14:paraId="45757671" w14:textId="00ECEFA2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Pr="00E11CF3">
        <w:rPr>
          <w:b/>
          <w:bCs/>
        </w:rPr>
        <w:t>b)</w:t>
      </w:r>
      <w:r w:rsidRPr="00E11CF3">
        <w:rPr>
          <w:b/>
          <w:bCs/>
        </w:rPr>
        <w:tab/>
        <w:t>обеспечить полное соблюдение всех других прав по Пакту для всех лиц, находящихся под его юрисдикцией, в том числе в связи с действиями, совершаемыми его агентами и другими связанными с ним сторонами в районах, где государство-участник осуществляет эффективный контроль;</w:t>
      </w:r>
    </w:p>
    <w:p w14:paraId="464DA817" w14:textId="1CB1D0A0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Pr="00E11CF3">
        <w:rPr>
          <w:b/>
          <w:bCs/>
        </w:rPr>
        <w:t>c)</w:t>
      </w:r>
      <w:r w:rsidRPr="00E11CF3">
        <w:rPr>
          <w:b/>
          <w:bCs/>
        </w:rPr>
        <w:tab/>
        <w:t>гарантировать тщательное, эффективное, независимое и беспристрастное расследование нарушений прав человека, совершенных агентами государства-участника в отношении лиц, находящихся под его юрисдикцией, в том числе в районах, где государство-участник осуществляет эффективный контроль; преследовать виновных и наказывать их, если они будут осуждены, соразмерно тяжести совершенных деяний; и предоставить жертвам эффективные средства правовой защиты.</w:t>
      </w:r>
    </w:p>
    <w:p w14:paraId="2C36486F" w14:textId="4C255FD1" w:rsidR="00E11CF3" w:rsidRPr="00E11CF3" w:rsidRDefault="00E11CF3" w:rsidP="00E11CF3">
      <w:pPr>
        <w:pStyle w:val="H23G"/>
      </w:pPr>
      <w:r w:rsidRPr="00E11CF3">
        <w:tab/>
      </w:r>
      <w:r w:rsidRPr="00E11CF3">
        <w:tab/>
        <w:t>Ответственность за предполагаемые нарушения прав человека, совершенные в</w:t>
      </w:r>
      <w:r w:rsidR="002510F7">
        <w:t> </w:t>
      </w:r>
      <w:r w:rsidRPr="00E11CF3">
        <w:t>Северо-Кавказском федеральном округе</w:t>
      </w:r>
    </w:p>
    <w:p w14:paraId="39858824" w14:textId="1034CD33" w:rsidR="00E11CF3" w:rsidRPr="00F66986" w:rsidRDefault="00E11CF3" w:rsidP="00E11CF3">
      <w:pPr>
        <w:pStyle w:val="SingleTxtG"/>
      </w:pPr>
      <w:r>
        <w:t>8.</w:t>
      </w:r>
      <w:r>
        <w:tab/>
        <w:t xml:space="preserve">Комитет серьезно обеспокоен значительными нарушениями прав человека, включая похищения, произвольные задержания, насильственные исчезновения, пытки и жестокое обращение; продолжающиеся притеснения правозащитников, таких как Марина Дубровина, политических оппонентов и журналистов, таких как Елена </w:t>
      </w:r>
      <w:proofErr w:type="spellStart"/>
      <w:r>
        <w:t>Милашина</w:t>
      </w:r>
      <w:proofErr w:type="spellEnd"/>
      <w:r>
        <w:t xml:space="preserve">, и даже убийство некоторых из них; постоянное преследование лесбиянок, геев, бисексуальных и трансгендерных людей, таких как </w:t>
      </w:r>
      <w:proofErr w:type="spellStart"/>
      <w:r>
        <w:t>Салех</w:t>
      </w:r>
      <w:proofErr w:type="spellEnd"/>
      <w:r>
        <w:t xml:space="preserve"> </w:t>
      </w:r>
      <w:proofErr w:type="spellStart"/>
      <w:r>
        <w:t>Магамедов</w:t>
      </w:r>
      <w:proofErr w:type="spellEnd"/>
      <w:r>
        <w:t xml:space="preserve"> и Исмаил Исаев; и практика коллективных наказаний, в том числе родственников и подозреваемых сторонников предполагаемых террористов, правозащитников и журналистов в Северо-Кавказском федеральном округе. Комитет далее обеспокоен непроведением расследования этих прошлых и продолжающихся серьезных нарушений, включая убийство правозащитницы Натальи </w:t>
      </w:r>
      <w:proofErr w:type="spellStart"/>
      <w:r>
        <w:t>Эстемировой</w:t>
      </w:r>
      <w:proofErr w:type="spellEnd"/>
      <w:r>
        <w:t>, и отсутствием поддержки жертв и их семей, что способствует формированию культуры безнаказанности. Комитет выражает свою обеспокоенность сообщениями о принудительных призывах на войну на Украине и насильственном подавлении мирных протестов против этих призывов в Северо-Кавказском федеральном округе</w:t>
      </w:r>
      <w:r w:rsidR="009455CA">
        <w:rPr>
          <w:lang w:val="en-US"/>
        </w:rPr>
        <w:t> </w:t>
      </w:r>
      <w:r>
        <w:t>(ст. 2, 6–7, 9 и 15–17).</w:t>
      </w:r>
    </w:p>
    <w:p w14:paraId="52C4A14C" w14:textId="77777777" w:rsidR="00E11CF3" w:rsidRPr="00F66986" w:rsidRDefault="00E11CF3" w:rsidP="00E11CF3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следует:</w:t>
      </w:r>
    </w:p>
    <w:p w14:paraId="5C6CC0BE" w14:textId="35282E72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обеспечить, чтобы все нарушения прав человека тщательно, эффективно, независимо и беспристрастно расследовались, чтобы виновные привлекались к ответственности, а в случае осуждения наказывались соразмерно тяжести совершенных деяний, и чтобы жертвам и их семьям предоставлялись эффективные средства правовой защиты, согласно пункту 3 статьи 2 Пакта;</w:t>
      </w:r>
    </w:p>
    <w:p w14:paraId="532B1496" w14:textId="07C77D28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принять все необходимые меры для предотвращения нарушений прав человека и незамедлительно прекратить практику коллективных наказаний, в том числе родственников и подозреваемых сторонников предполагаемых террористов, правозащитников и журналистов</w:t>
      </w:r>
      <w:r>
        <w:rPr>
          <w:b/>
          <w:bCs/>
        </w:rPr>
        <w:br/>
        <w:t>в Северо-Кавказском федеральном округе.</w:t>
      </w:r>
    </w:p>
    <w:p w14:paraId="36C196FC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Расизм, ксенофобия и расовое профилирование</w:t>
      </w:r>
    </w:p>
    <w:p w14:paraId="3BCA08E1" w14:textId="77777777" w:rsidR="00E11CF3" w:rsidRPr="00F66986" w:rsidRDefault="00E11CF3" w:rsidP="00E11CF3">
      <w:pPr>
        <w:pStyle w:val="SingleTxtG"/>
      </w:pPr>
      <w:r>
        <w:t>10.</w:t>
      </w:r>
      <w:r>
        <w:tab/>
        <w:t>Комитет обеспокоен:</w:t>
      </w:r>
    </w:p>
    <w:p w14:paraId="50C37694" w14:textId="0B191A30" w:rsidR="00E11CF3" w:rsidRPr="00F66986" w:rsidRDefault="00E11CF3" w:rsidP="00E11CF3">
      <w:pPr>
        <w:pStyle w:val="SingleTxtG"/>
      </w:pPr>
      <w:r>
        <w:tab/>
        <w:t>a)</w:t>
      </w:r>
      <w:r>
        <w:tab/>
        <w:t>проявлениями языка ненависти, особенно во время избирательных кампаний, со стороны политиков и религиозных лидеров, в частности в отношении мигрантов, беженцев, рома, лесбиянок, геев, бисексуальных и трансгендерных людей;</w:t>
      </w:r>
    </w:p>
    <w:p w14:paraId="75A8F99C" w14:textId="6122E068" w:rsidR="00E11CF3" w:rsidRPr="00F66986" w:rsidRDefault="00E11CF3" w:rsidP="00E11CF3">
      <w:pPr>
        <w:pStyle w:val="SingleTxtG"/>
      </w:pPr>
      <w:r>
        <w:tab/>
        <w:t>b)</w:t>
      </w:r>
      <w:r>
        <w:tab/>
        <w:t>утверждениями о расовом профилировании лиц с Кавказа, из Африки и Азии и из числа рома, которое, по сообщениям, усилилось во время пандемии</w:t>
      </w:r>
      <w:r>
        <w:br/>
        <w:t>COVID-19 и усугубляется использованием новых технологий (ст. 20 и 26).</w:t>
      </w:r>
    </w:p>
    <w:p w14:paraId="6E7CBA73" w14:textId="77777777" w:rsidR="00E11CF3" w:rsidRPr="00F66986" w:rsidRDefault="00E11CF3" w:rsidP="00E11CF3">
      <w:pPr>
        <w:pStyle w:val="SingleTxtG"/>
        <w:rPr>
          <w:b/>
          <w:bCs/>
        </w:rPr>
      </w:pPr>
      <w:r>
        <w:lastRenderedPageBreak/>
        <w:t>11.</w:t>
      </w:r>
      <w:r>
        <w:tab/>
      </w:r>
      <w:r>
        <w:rPr>
          <w:b/>
          <w:bCs/>
        </w:rPr>
        <w:t>Государству-участнику следует активизировать свои усилия по борьбе со всеми актами расизма, ксенофобии и расового профилирования, в частности путем:</w:t>
      </w:r>
    </w:p>
    <w:p w14:paraId="4209B375" w14:textId="1207E846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Pr="00E11CF3">
        <w:rPr>
          <w:b/>
          <w:bCs/>
        </w:rPr>
        <w:t>a)</w:t>
      </w:r>
      <w:r w:rsidRPr="00E11CF3">
        <w:rPr>
          <w:b/>
          <w:bCs/>
        </w:rPr>
        <w:tab/>
        <w:t>проведения информационно-просветительских мероприятий, направленных на поощрение уважения прав человека и терпимости к разнообразию, а также искоренение стереотипных предрассудков;</w:t>
      </w:r>
    </w:p>
    <w:p w14:paraId="093655B7" w14:textId="54668DE2" w:rsidR="00E11CF3" w:rsidRPr="00E11CF3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Pr="00E11CF3">
        <w:rPr>
          <w:b/>
          <w:bCs/>
        </w:rPr>
        <w:t>b)</w:t>
      </w:r>
      <w:r w:rsidRPr="00E11CF3">
        <w:rPr>
          <w:b/>
          <w:bCs/>
        </w:rPr>
        <w:tab/>
        <w:t>четкого определения и запрещения расового профилирования на законодательном уровне, обеспечения обязательной подготовки сотрудников правоохранительных органов по вопросам недопустимости расового профилирования, а также обеспечения того, чтобы любые новые технологии, связанные с безопасностью, использовались в соответствии с положениями Пакта.</w:t>
      </w:r>
    </w:p>
    <w:p w14:paraId="04830887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Дискриминация по признаку сексуальной ориентации и гендерной идентичности</w:t>
      </w:r>
    </w:p>
    <w:p w14:paraId="31EADB9D" w14:textId="26805D89" w:rsidR="00E11CF3" w:rsidRPr="00F66986" w:rsidRDefault="00E11CF3" w:rsidP="00E11CF3">
      <w:pPr>
        <w:pStyle w:val="SingleTxtG"/>
      </w:pPr>
      <w:r>
        <w:t>12.</w:t>
      </w:r>
      <w:r>
        <w:tab/>
        <w:t xml:space="preserve">Комитет вновь выражает свою значительную обеспокоенность по поводу </w:t>
      </w:r>
      <w:proofErr w:type="spellStart"/>
      <w:r>
        <w:t>институционализированной</w:t>
      </w:r>
      <w:proofErr w:type="spellEnd"/>
      <w:r>
        <w:t xml:space="preserve"> дискриминации и стигматизации лесбиянок, геев, бисексуальных и трансгендерных людей в государстве-участнике</w:t>
      </w:r>
      <w:r w:rsidR="007B0960" w:rsidRPr="006A4BE3">
        <w:rPr>
          <w:rStyle w:val="aa"/>
        </w:rPr>
        <w:footnoteReference w:id="7"/>
      </w:r>
      <w:r>
        <w:t>, в том числе в результате принятия в 2013 году закона, запрещающего распространение «пропаганды» нетрадиционных сексуальных отношений среди несовершеннолетних, а также поправки к нему, одобренной парламентом в первом чтении, о запрете «отрицания семейных ценностей» и «пропаганды» среди лиц любого возраста нетрадиционной сексуальной ориентации. Он обеспокоен тем, что лесбиянки, геи, бисексуальные и трансгендерные люди не признаны в Уголовном кодексе в качестве социальной группы для установления отягчающих обстоятельств преступления, и последующей невозможностью обеспечить таким лицам адекватную защиту от насилия и нападений. Он также обеспокоен постоянными притеснениями организаций лесбиянок, геев, бисексуальных и трансгендерных людей и их членов, включая чрезмерные ограничения их права на мирные собрания и полное прекращение их деятельности (ст. 2, 7, 9, 17, 19, 21 и 26).</w:t>
      </w:r>
    </w:p>
    <w:p w14:paraId="19F7F532" w14:textId="77777777" w:rsidR="00E11CF3" w:rsidRPr="00F66986" w:rsidRDefault="00E11CF3" w:rsidP="00E11CF3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следует:</w:t>
      </w:r>
    </w:p>
    <w:p w14:paraId="58864CDD" w14:textId="7D5E09BD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принять эффективные меры по борьбе со всеми формами социальной стигматизации и притеснений, а также с языком ненависти, дискриминацией и насилием в отношении лиц по признаку их сексуальной ориентации или гендерной идентичности, в том числе путем обеспечения надлежащей подготовки сотрудников правоохранительных органов, прокуроров и работников судебной системы;</w:t>
      </w:r>
      <w:r>
        <w:t xml:space="preserve"> </w:t>
      </w:r>
      <w:r>
        <w:rPr>
          <w:b/>
          <w:bCs/>
        </w:rPr>
        <w:t>внести поправки в Уголовный кодекс с целью включения лесбиянок, геев, бисексуальных и трансгендерных людей в качестве группы для установления отягчающих обстоятельств преступления;</w:t>
      </w:r>
      <w:r>
        <w:t xml:space="preserve"> </w:t>
      </w:r>
      <w:r>
        <w:rPr>
          <w:b/>
          <w:bCs/>
        </w:rPr>
        <w:t>и повышать осведомленность в целях поощрения уважения разнообразия среди широкой общественности;</w:t>
      </w:r>
    </w:p>
    <w:p w14:paraId="333FA1FD" w14:textId="1BA8946B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обеспечить, чтобы случаи дискриминации и насилия в отношении лесбиянок, геев, бисексуальных и трансгендерных людей расследовались, чтобы виновные привлекались к ответственности и, в случае осуждения, несли соразмерное наказание, а жертвам предоставлялись эффективные средства правовой защиты в соответствии с пунктом 3 статьи 2 Пакта;</w:t>
      </w:r>
    </w:p>
    <w:p w14:paraId="2B362960" w14:textId="2D5290FB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отменить закон 2013 года, запрещающий распространение «пропаганды» нетрадиционных сексуальных отношений среди несовершеннолетних, и любые другие законодательные акты, стигматизирующие или дискриминирующие лесбиянок, геев, бисексуальных и трансгендерных людей;</w:t>
      </w:r>
    </w:p>
    <w:p w14:paraId="57DDFFC5" w14:textId="5390CB4B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d</w:t>
      </w:r>
      <w:r>
        <w:t>)</w:t>
      </w:r>
      <w:r>
        <w:tab/>
      </w:r>
      <w:r>
        <w:rPr>
          <w:b/>
          <w:bCs/>
        </w:rPr>
        <w:t>обеспечить полное осуществление свободы выражения мнений и прав на свободу мирных собраний и ассоциации для лесбиянок, геев, бисексуальных и трансгендерных людей.</w:t>
      </w:r>
    </w:p>
    <w:p w14:paraId="7AAA15BC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Семейно-бытовое насилие</w:t>
      </w:r>
    </w:p>
    <w:p w14:paraId="6A10C016" w14:textId="65B31872" w:rsidR="00E11CF3" w:rsidRPr="00F66986" w:rsidRDefault="00E11CF3" w:rsidP="00E11CF3">
      <w:pPr>
        <w:pStyle w:val="SingleTxtG"/>
      </w:pPr>
      <w:r>
        <w:t>14.</w:t>
      </w:r>
      <w:r>
        <w:tab/>
        <w:t>Комитет обеспокоен задержками в принятии федерального законодательства, запрещающего семейно-бытовое насилие. Он также обеспокоен сообщениями о росте семейно-бытового насилия во время пандемии COVID-19, отсутствием адекватных услуг для жертв, включая приюты, значительными ограничениями, с которыми сталкиваются жертвы при подаче своих жалоб, и нежеланием сотрудников правоохранительных органов преследовать акты семейно-бытового насилия (ст. 2–3, 7, 24 и 26).</w:t>
      </w:r>
    </w:p>
    <w:p w14:paraId="1FA5F053" w14:textId="77777777" w:rsidR="00E11CF3" w:rsidRPr="00F66986" w:rsidRDefault="00E11CF3" w:rsidP="00E11CF3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активизировать свои усилия по предотвращению и борьбе с семейно-бытовым насилием, в том числе путем:</w:t>
      </w:r>
    </w:p>
    <w:p w14:paraId="3C015BF2" w14:textId="072FE873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принятия конкретного федерального законодательства, запрещающего семейно-бытовое насилие;</w:t>
      </w:r>
    </w:p>
    <w:p w14:paraId="1B312ACF" w14:textId="53F536E1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обеспечения доступного процесса обжалования для жертв, расследования всех случаев семейно-бытового насилия, а также судебного преследования виновных и, в случае осуждения, их наказания с применением соразмерных санкций;</w:t>
      </w:r>
    </w:p>
    <w:p w14:paraId="4843FD26" w14:textId="01472AF0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предоставления жертвам доступа к эффективным средствам правовой защиты, защите и услугам поддержки, таким как приюты;</w:t>
      </w:r>
    </w:p>
    <w:p w14:paraId="73536C40" w14:textId="2246DA75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>
        <w:t>)</w:t>
      </w:r>
      <w:r>
        <w:tab/>
      </w:r>
      <w:r>
        <w:rPr>
          <w:b/>
          <w:bCs/>
        </w:rPr>
        <w:t>усиления подготовки соответствующих публичных должностных лиц, включая сотрудников правоохранительных органов, судей, адвокатов и прокуроров, по делам о семейно-бытовом насилии.</w:t>
      </w:r>
    </w:p>
    <w:p w14:paraId="626CBE19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Сексуальное насилие и вредная традиционная практика</w:t>
      </w:r>
    </w:p>
    <w:p w14:paraId="00C59FD3" w14:textId="543FFB13" w:rsidR="00E11CF3" w:rsidRPr="00F66986" w:rsidRDefault="00E11CF3" w:rsidP="00E11CF3">
      <w:pPr>
        <w:pStyle w:val="SingleTxtG"/>
      </w:pPr>
      <w:r>
        <w:t>16.</w:t>
      </w:r>
      <w:r>
        <w:tab/>
        <w:t>Комитет обеспокоен тем, что изнасилование в браке не является уголовным преступлением, и тем, что супружеские отношения не включены в Уголовный кодекс в качестве отягчающего обстоятельства в преступлениях сексуального насилия. Он также обеспокоен сообщениями о распространенности калечащих операций на женских половых органах и «убийств в защиту чести» в Северо-Кавказском федеральном округе и отсутствием информации о каких-либо конкретных мерах, принятых государством-участником для борьбы с этими преступлениями, включая расследования и судебные преследования, проведенные за отчетный период (ст. 2–3 и 6–7).</w:t>
      </w:r>
    </w:p>
    <w:p w14:paraId="389113DB" w14:textId="77777777" w:rsidR="00E11CF3" w:rsidRPr="00F66986" w:rsidRDefault="00E11CF3" w:rsidP="00E11CF3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следует:</w:t>
      </w:r>
    </w:p>
    <w:p w14:paraId="30B386DC" w14:textId="358FEB2F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принять все необходимые меры для борьбы с сексуальным насилием и вредной традиционной практикой, в том числе путем обеспечения криминализации изнасилования в браке и калечащих операций на женских половых органах и их признания в Уголовном кодексе в качестве преступлений сексуального насилия при отягчающих обстоятельствах;</w:t>
      </w:r>
    </w:p>
    <w:p w14:paraId="7249841B" w14:textId="6D3E3766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обеспечить, чтобы все случаи сексуального насилия и вредной традиционной практики расследовались, чтобы виновные привлекались к ответственности и, в случае осуждения, несли соразмерное наказание, а жертвам предоставлялись эффективные средства правовой защиты согласно пункту 3 статьи 2 Пакта;</w:t>
      </w:r>
    </w:p>
    <w:p w14:paraId="095DE604" w14:textId="06E02F48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повышать осведомленность о негативных последствиях насилия в отношении женщин и вредной традиционной практики среди широкой общественности и соответствующего населения.</w:t>
      </w:r>
    </w:p>
    <w:p w14:paraId="724DD1A3" w14:textId="77777777" w:rsidR="00E11CF3" w:rsidRPr="00F66986" w:rsidRDefault="00E11CF3" w:rsidP="00E11CF3">
      <w:pPr>
        <w:pStyle w:val="H23G"/>
      </w:pPr>
      <w:r>
        <w:lastRenderedPageBreak/>
        <w:tab/>
      </w:r>
      <w:r>
        <w:tab/>
      </w:r>
      <w:r>
        <w:rPr>
          <w:bCs/>
        </w:rPr>
        <w:t>Меры по борьбе с терроризмом</w:t>
      </w:r>
    </w:p>
    <w:p w14:paraId="2E703E2C" w14:textId="77777777" w:rsidR="00E11CF3" w:rsidRPr="00F66986" w:rsidRDefault="00E11CF3" w:rsidP="00E11CF3">
      <w:pPr>
        <w:pStyle w:val="SingleTxtG"/>
      </w:pPr>
      <w:r>
        <w:t>18.</w:t>
      </w:r>
      <w:r>
        <w:tab/>
        <w:t>Комитет обеспокоен двусмысленным определением терроризма в законе о противодействии терроризму 2006 года, отсутствием ясности в отношении преступления в виде публичного оправдания терроризма в соответствии с положениями статьи 205.2 Уголовного кодекса и применением этих положений для предполагаемого преследования политических оппонентов, журналистов, таких как Светлана Прокопьева, и лиц, критикующих правительство, а также сообщениями о содержании под стражей без связи с внешним миром, пытках и жестоком обращении с членами групп, классифицированных как террористические организации (ст. 2, 7, 9, 10, 14 и 17).</w:t>
      </w:r>
    </w:p>
    <w:p w14:paraId="230DDD73" w14:textId="77777777" w:rsidR="00E11CF3" w:rsidRPr="00F66986" w:rsidRDefault="00E11CF3" w:rsidP="00E11CF3">
      <w:pPr>
        <w:pStyle w:val="SingleTxtG"/>
        <w:rPr>
          <w:rStyle w:val="aa"/>
        </w:rPr>
      </w:pPr>
      <w:r>
        <w:t>19.</w:t>
      </w:r>
      <w:r>
        <w:tab/>
      </w:r>
      <w:r>
        <w:rPr>
          <w:b/>
          <w:bCs/>
        </w:rPr>
        <w:t>Комитет повторяет свои рекомендации государству-участнику принять все необходимые меры для обеспечения того, чтобы его контртеррористическое законодательство и его применение полностью соответствовали его обязательствам по Пакту</w:t>
      </w:r>
      <w:r w:rsidRPr="006A4BE3">
        <w:rPr>
          <w:rStyle w:val="aa"/>
        </w:rPr>
        <w:footnoteReference w:id="8"/>
      </w:r>
      <w:r>
        <w:rPr>
          <w:b/>
          <w:bCs/>
        </w:rPr>
        <w:t>.</w:t>
      </w:r>
    </w:p>
    <w:p w14:paraId="65F558D8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Пытки и жестокое обращение</w:t>
      </w:r>
    </w:p>
    <w:p w14:paraId="105E4F08" w14:textId="688BED2D" w:rsidR="00E11CF3" w:rsidRPr="00F66986" w:rsidRDefault="00E11CF3" w:rsidP="00E11CF3">
      <w:pPr>
        <w:pStyle w:val="SingleTxtG"/>
      </w:pPr>
      <w:r>
        <w:t>20.</w:t>
      </w:r>
      <w:r>
        <w:tab/>
        <w:t>Комитет глубоко обеспокоен сообщениями о пытках и жестоком обращении в государстве-участнике, а также тем, что распространенность пыток и жестокого обращения усугубляется отсутствием эффективного расследования жалоб на пытки и репрессий в отношении заявителей, отсутствием надежных дезагрегированных статистических данных и отсутствием в законодательстве государства-участника квалификации преступления пыток в качестве отдельного преступления. Комитет также обеспокоен сообщениями о том, что, хотя это запрещено законом, содержащиеся под стражей лица используются для поддержания порядка в пенитенциарных учреждениях, и что наведение ими порядка, по сообщениям, включает акты пыток и жестокого обращения с другими заключенными. Комитет также обеспокоен сообщениями о ненадлежащих условиях в пенитенциарных учреждениях и других местах содержания под стражей в государстве-участнике и на территориях, где государство-участник осуществляет эффективный контроль, и об отсутствии эффективного мониторинга, что способствует пыткам и жестокому обращению, предположительно совершаемым в этих учреждениях (ст. 2, 7, 10 и 14).</w:t>
      </w:r>
    </w:p>
    <w:p w14:paraId="0D0AA35A" w14:textId="77777777" w:rsidR="00E11CF3" w:rsidRPr="00F66986" w:rsidRDefault="00E11CF3" w:rsidP="00E11CF3">
      <w:pPr>
        <w:pStyle w:val="SingleTxtG"/>
      </w:pPr>
      <w:r>
        <w:t>21.</w:t>
      </w:r>
      <w:r>
        <w:tab/>
      </w:r>
      <w:r>
        <w:rPr>
          <w:b/>
          <w:bCs/>
        </w:rPr>
        <w:t>Государству-участнику следует принять все необходимые меры для искоренения пыток и жестокого обращения, в том числе путем:</w:t>
      </w:r>
    </w:p>
    <w:p w14:paraId="6C296512" w14:textId="61828DEF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обеспечения криминализации пыток в своем законодательстве в соответствии с Пактом и другими международными стандартами;</w:t>
      </w:r>
    </w:p>
    <w:p w14:paraId="0B175848" w14:textId="5B16D201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>гарантирования защиты заявителей от репрессий и проведения оперативных, тщательных, эффективных, прозрачных и беспристрастных расследований всех заявлений о пытках и жестоком обращении и случаев репрессий, обеспечения преследования виновных и, в случае осуждения, их наказания с применением соразмерных санкций, а также предоставления жертвам эффективных средств правовой защиты;</w:t>
      </w:r>
    </w:p>
    <w:p w14:paraId="19A275A2" w14:textId="472D6A59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c</w:t>
      </w:r>
      <w:r>
        <w:t>)</w:t>
      </w:r>
      <w:r>
        <w:tab/>
      </w:r>
      <w:r>
        <w:rPr>
          <w:b/>
          <w:bCs/>
        </w:rPr>
        <w:t>принятия мер с целью улучшения условий содержания под стражей в соответствии с Пактом и Минимальными стандартными правилами Организации Объединенных Наций в отношении обращения с заключенными (Правила Нельсона Манделы) и обеспечения независимого мониторинга всех пенитенциарных учреждений и других мест содержания под стражей;</w:t>
      </w:r>
    </w:p>
    <w:p w14:paraId="08879987" w14:textId="3455C282" w:rsidR="00E11CF3" w:rsidRPr="00F66986" w:rsidRDefault="00E11CF3" w:rsidP="00E11CF3">
      <w:pPr>
        <w:pStyle w:val="SingleTxtG"/>
        <w:rPr>
          <w:b/>
          <w:bCs/>
        </w:rPr>
      </w:pPr>
      <w:r>
        <w:rPr>
          <w:b/>
          <w:bCs/>
        </w:rPr>
        <w:tab/>
        <w:t>d</w:t>
      </w:r>
      <w:r>
        <w:t>)</w:t>
      </w:r>
      <w:r>
        <w:tab/>
      </w:r>
      <w:r>
        <w:rPr>
          <w:b/>
          <w:bCs/>
        </w:rPr>
        <w:t>обеспечения для сотрудников правоохранительных органов, работников судебной системы, сотрудников прокуратуры и пенитенциарных учреждений эффективных программ подготовки, охватывающих международные стандарты, в том числе Кодекс поведения должностных лиц по поддержанию правопорядка;</w:t>
      </w:r>
      <w:r>
        <w:t xml:space="preserve"> </w:t>
      </w:r>
      <w:r>
        <w:rPr>
          <w:b/>
          <w:bCs/>
        </w:rPr>
        <w:t xml:space="preserve">и обеспечения для содержащихся под стражей лиц </w:t>
      </w:r>
      <w:r>
        <w:rPr>
          <w:b/>
          <w:bCs/>
        </w:rPr>
        <w:lastRenderedPageBreak/>
        <w:t>информационно-просветительских программ по предотвращению пыток и жестокого обращения.</w:t>
      </w:r>
    </w:p>
    <w:p w14:paraId="55198311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 xml:space="preserve">Убежище и </w:t>
      </w:r>
      <w:proofErr w:type="spellStart"/>
      <w:r>
        <w:rPr>
          <w:bCs/>
        </w:rPr>
        <w:t>невыдворение</w:t>
      </w:r>
      <w:proofErr w:type="spellEnd"/>
    </w:p>
    <w:p w14:paraId="4EC617C3" w14:textId="4031891D" w:rsidR="00E11CF3" w:rsidRPr="00F66986" w:rsidRDefault="00E11CF3" w:rsidP="00E11CF3">
      <w:pPr>
        <w:pStyle w:val="SingleTxtG"/>
      </w:pPr>
      <w:r>
        <w:t>22.</w:t>
      </w:r>
      <w:r>
        <w:tab/>
        <w:t xml:space="preserve">Комитет обеспокоен различными проблемами, связанными с процедурой предоставления убежища в государстве-участнике, включая риски </w:t>
      </w:r>
      <w:proofErr w:type="spellStart"/>
      <w:r>
        <w:t>пенализации</w:t>
      </w:r>
      <w:proofErr w:type="spellEnd"/>
      <w:r>
        <w:t>, задержания и выдворения, с которыми сталкиваются просители убежища; ограниченными условиями приема, отсутствием специальных процедур для лиц с особыми потребностями; низким уровнем признания неукраинских просителей убежища; и трудностями в интеграции, с которыми сталкиваются лица, получившие временное убежище и признанные беженцами. Комитет также обеспокоен тем, что проект федерального закона о предоставлении убежища на территории Российской Федерации до сих пор не принят. Комитет также обеспокоен применением</w:t>
      </w:r>
      <w:r w:rsidR="006B3E57">
        <w:br/>
      </w:r>
      <w:r>
        <w:t>Указа № 330 в отношении украинских детей-сирот и других украинских детей, оставшихся без попечения родителей (ст. 6–7, 13 и 24).</w:t>
      </w:r>
    </w:p>
    <w:p w14:paraId="208A85F5" w14:textId="77777777" w:rsidR="00E11CF3" w:rsidRPr="00F66986" w:rsidRDefault="00E11CF3" w:rsidP="00E11CF3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</w:p>
    <w:p w14:paraId="7D41D3FA" w14:textId="4765E9F6" w:rsidR="00E11CF3" w:rsidRPr="00F66986" w:rsidRDefault="006B3E5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a</w:t>
      </w:r>
      <w:r w:rsidR="00E11CF3">
        <w:t>)</w:t>
      </w:r>
      <w:r w:rsidR="00E11CF3">
        <w:tab/>
      </w:r>
      <w:r w:rsidR="00E11CF3">
        <w:rPr>
          <w:b/>
          <w:bCs/>
        </w:rPr>
        <w:t>ускорить принятие законопроекта о предоставлении убежища на территории Российской Федерации с учетом замечаний Управления Верховного комиссара Организации Объединенных Наций по делам беженцев в части обеспечения соблюдения Конвенции о статусе беженцев и других международных стандартов;</w:t>
      </w:r>
    </w:p>
    <w:p w14:paraId="616E2510" w14:textId="2BCD66B3" w:rsidR="00E11CF3" w:rsidRPr="00F66986" w:rsidRDefault="006B3E5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b</w:t>
      </w:r>
      <w:r w:rsidR="00E11CF3">
        <w:t>)</w:t>
      </w:r>
      <w:r w:rsidR="00E11CF3">
        <w:tab/>
      </w:r>
      <w:r w:rsidR="00E11CF3">
        <w:rPr>
          <w:b/>
          <w:bCs/>
        </w:rPr>
        <w:t>гарантировать, чтобы доступ к формальным процедурам рассмотрения заявлений о предоставлении убежища имелся на всех пограничных пунктах;</w:t>
      </w:r>
    </w:p>
    <w:p w14:paraId="5990D1C5" w14:textId="01E99CD3" w:rsidR="00E11CF3" w:rsidRPr="00F66986" w:rsidRDefault="006B3E5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c</w:t>
      </w:r>
      <w:r w:rsidR="00E11CF3">
        <w:t>)</w:t>
      </w:r>
      <w:r w:rsidR="00E11CF3">
        <w:tab/>
      </w:r>
      <w:r w:rsidR="00E11CF3">
        <w:rPr>
          <w:b/>
          <w:bCs/>
        </w:rPr>
        <w:t>обеспечить применение Указа № 330 в соответствии с международными стандартами.</w:t>
      </w:r>
    </w:p>
    <w:p w14:paraId="23CC4F2E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</w:p>
    <w:p w14:paraId="70065EAA" w14:textId="21C43D34" w:rsidR="00E11CF3" w:rsidRPr="00F66986" w:rsidRDefault="00E11CF3" w:rsidP="00E11CF3">
      <w:pPr>
        <w:pStyle w:val="SingleTxtG"/>
      </w:pPr>
      <w:r>
        <w:t>24.</w:t>
      </w:r>
      <w:r>
        <w:tab/>
        <w:t>Комитет глубоко обеспокоен тем, что система отбора, назначения, продвижения по службе, дисциплины и увольнения судей вызывает серьезные сомнения на предмет независимости судебной власти в государстве-участнике. Это включает в себя общие полномочия Президента в отношении назначения членов Конституционного суда и Верховного суда, председателей и судей федеральных судов, а также расширение компетенции Президента, включая инициирование увольнения, по неопределенным основаниям,</w:t>
      </w:r>
      <w:r w:rsidR="009455CA" w:rsidRPr="009455CA">
        <w:t xml:space="preserve"> </w:t>
      </w:r>
      <w:r>
        <w:t>председателей, заместителей председателей и судей апелляционных и кассационных судов, назначение и увольнение Генерального прокурора и всех прокуроров субъектов государства-участника, введенное конституционными поправками в июле 2020 года. Он также обеспокоен тем, что сокращение числа судей Конституционного суда, новая компетенция Президента инициировать их увольнение и запрет судьям этого суда обнародовать свое особое мнение или публично на него ссылаться могут в совокупности оказать охлаждающее воздействие на функционирование Конституционного суда. Комитет обеспокоен тем, что, согласно опросам, общественность испытывает ограниченное доверие к судебной системе, которая воспринимается как не независимая (ст. 2 и 14).</w:t>
      </w:r>
    </w:p>
    <w:p w14:paraId="3F6AA07C" w14:textId="77777777" w:rsidR="00E11CF3" w:rsidRPr="00F66986" w:rsidRDefault="00E11CF3" w:rsidP="00E11CF3">
      <w:pPr>
        <w:pStyle w:val="SingleTxtG"/>
      </w:pPr>
      <w:r>
        <w:t>25.</w:t>
      </w:r>
      <w:r>
        <w:tab/>
      </w:r>
      <w:r>
        <w:rPr>
          <w:b/>
          <w:bCs/>
        </w:rPr>
        <w:t>Государству-участнику следует гарантировать в законодательстве и на практике полную независимость, беспристрастность и безопасность судей и прокуроров и не допускать, чтобы на принятие ими решений оказывалось политическое давление в любой форме, включая:</w:t>
      </w:r>
    </w:p>
    <w:p w14:paraId="789B9148" w14:textId="0940B995" w:rsidR="00E11CF3" w:rsidRPr="009455CA" w:rsidRDefault="006B3E5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a</w:t>
      </w:r>
      <w:r w:rsidR="00E11CF3">
        <w:t>)</w:t>
      </w:r>
      <w:r w:rsidR="00E11CF3">
        <w:tab/>
      </w:r>
      <w:r w:rsidR="00E11CF3">
        <w:rPr>
          <w:b/>
          <w:bCs/>
        </w:rPr>
        <w:t>обеспечение того, чтобы процедуры отбора, назначения, продвижения по службе, дисциплины и смещения судей и прокуроров согласовывались с положениями Пакта и соответствующими международными стандартами, включая Основные принципы независимости судебных органов и Руководящие принципы, касающиеся роли лиц, осуществляющих судебное преследование</w:t>
      </w:r>
      <w:r w:rsidR="009455CA">
        <w:rPr>
          <w:b/>
          <w:bCs/>
        </w:rPr>
        <w:t>;</w:t>
      </w:r>
    </w:p>
    <w:p w14:paraId="03216801" w14:textId="6AA44D06" w:rsidR="00E11CF3" w:rsidRPr="00F66986" w:rsidRDefault="006B3E57" w:rsidP="00E11CF3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11CF3">
        <w:rPr>
          <w:b/>
          <w:bCs/>
        </w:rPr>
        <w:t>b</w:t>
      </w:r>
      <w:r w:rsidR="00E11CF3">
        <w:t>)</w:t>
      </w:r>
      <w:r w:rsidR="00E11CF3">
        <w:tab/>
      </w:r>
      <w:r w:rsidR="00E11CF3">
        <w:rPr>
          <w:b/>
          <w:bCs/>
        </w:rPr>
        <w:t>обеспечение надлежащей роли независимого органа, такого как Высокий судебный совет, в назначении и увольнении судей и прокуроров и ограничение широких полномочий Президента в этих процессах;</w:t>
      </w:r>
    </w:p>
    <w:p w14:paraId="339F90C2" w14:textId="3C2BC7B5" w:rsidR="00E11CF3" w:rsidRPr="00F66986" w:rsidRDefault="006B3E5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c</w:t>
      </w:r>
      <w:r w:rsidR="00E11CF3">
        <w:t>)</w:t>
      </w:r>
      <w:r w:rsidR="00E11CF3">
        <w:tab/>
      </w:r>
      <w:r w:rsidR="00E11CF3">
        <w:rPr>
          <w:b/>
          <w:bCs/>
        </w:rPr>
        <w:t>обеспечение независимого функционирования Конституционного суда;</w:t>
      </w:r>
    </w:p>
    <w:p w14:paraId="0B812445" w14:textId="76992D23" w:rsidR="00E11CF3" w:rsidRPr="00F66986" w:rsidRDefault="006B3E5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d</w:t>
      </w:r>
      <w:r w:rsidR="00E11CF3">
        <w:t>)</w:t>
      </w:r>
      <w:r w:rsidR="00E11CF3">
        <w:tab/>
      </w:r>
      <w:r w:rsidR="00E11CF3">
        <w:rPr>
          <w:b/>
          <w:bCs/>
        </w:rPr>
        <w:t>принятие всех необходимых мер для борьбы с коррупцией в судебной системе.</w:t>
      </w:r>
    </w:p>
    <w:p w14:paraId="7459219D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Притеснения, насилие и убийства оппозиционных политиков, журналистов, адвокатов и правозащитников</w:t>
      </w:r>
    </w:p>
    <w:p w14:paraId="1A6B66DE" w14:textId="77777777" w:rsidR="00E11CF3" w:rsidRPr="00F66986" w:rsidRDefault="00E11CF3" w:rsidP="00E11CF3">
      <w:pPr>
        <w:pStyle w:val="SingleTxtG"/>
      </w:pPr>
      <w:r>
        <w:t>26.</w:t>
      </w:r>
      <w:r>
        <w:tab/>
        <w:t>Комитет серьезно обеспокоен увеличением числа утверждений о притеснениях и насилии в отношении оппозиционных политиков, журналистов, адвокатов и правозащитников и их убийствах, включая сообщения о том, что необоснованное преследование, психиатрические экспертизы и запрещенные вещества использовались для того, чтобы заставить замолчать или дискредитировать критиков правительства, таких как лидер оппозиции Алексей Навальный и политик Владимир Кара-Мурза, журналист Дмитрий Муратов и диссидент Петр Верзилов, или даже, в случае запрещенных веществ, для их убийства. Комитет выражает глубокую озабоченность в связи с участившимися сообщениями о насилии и притеснениях журналистов, таких как Иван Сафронов, и отмечает сообщения о том, что журналисты, пишущие о войне на Украине, такие как Мария Пономаренко, подвергаются особым нападкам. Комитет далее обеспокоен сообщениями о том, что адвокаты, такие как Дмитрий Талантов и Иван Павлов, подвергаются необоснованному дисциплинарному производству и даже уголовному преследованию, в частности в связи с защитой участников антивоенных протестов (ст. 1, 6–7, 9,14 и 19).</w:t>
      </w:r>
    </w:p>
    <w:p w14:paraId="25561C9B" w14:textId="77777777" w:rsidR="00E11CF3" w:rsidRPr="00EB3578" w:rsidRDefault="00E11CF3" w:rsidP="00E11CF3">
      <w:pPr>
        <w:pStyle w:val="SingleTxtG"/>
      </w:pPr>
      <w:r>
        <w:t>27.</w:t>
      </w:r>
      <w:r>
        <w:tab/>
      </w:r>
      <w:r>
        <w:rPr>
          <w:b/>
          <w:bCs/>
        </w:rPr>
        <w:t>Государству-участнику следует незамедлительно:</w:t>
      </w:r>
    </w:p>
    <w:p w14:paraId="7394247F" w14:textId="6D65955E" w:rsidR="00E11CF3" w:rsidRPr="008E0ACA" w:rsidRDefault="006B3E5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a</w:t>
      </w:r>
      <w:r w:rsidR="00E11CF3">
        <w:t>)</w:t>
      </w:r>
      <w:r w:rsidR="00E11CF3">
        <w:tab/>
      </w:r>
      <w:r w:rsidR="00E11CF3">
        <w:rPr>
          <w:b/>
          <w:bCs/>
        </w:rPr>
        <w:t xml:space="preserve">прекратить акты </w:t>
      </w:r>
      <w:r w:rsidR="00E11CF3" w:rsidRPr="00EB3578">
        <w:rPr>
          <w:b/>
          <w:bCs/>
        </w:rPr>
        <w:t>притеснения</w:t>
      </w:r>
      <w:r w:rsidR="00E11CF3">
        <w:rPr>
          <w:b/>
          <w:bCs/>
        </w:rPr>
        <w:t>, запугивания, необоснованного преследования, отравления и насилия в отношении адвокатов, журналистов, правозащитников и оппозиционных политиков, а также их убийства;</w:t>
      </w:r>
    </w:p>
    <w:p w14:paraId="15491333" w14:textId="16BA6ADE" w:rsidR="00E11CF3" w:rsidRPr="00F66986" w:rsidRDefault="006B3E5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b</w:t>
      </w:r>
      <w:r w:rsidR="00E11CF3">
        <w:t>)</w:t>
      </w:r>
      <w:r w:rsidR="00E11CF3">
        <w:tab/>
      </w:r>
      <w:r w:rsidR="00E11CF3">
        <w:rPr>
          <w:b/>
          <w:bCs/>
        </w:rPr>
        <w:t xml:space="preserve">провести тщательные и независимые расследования всех утверждений о </w:t>
      </w:r>
      <w:r w:rsidR="00E11CF3" w:rsidRPr="00EB3578">
        <w:rPr>
          <w:b/>
          <w:bCs/>
        </w:rPr>
        <w:t>притеснения</w:t>
      </w:r>
      <w:r w:rsidR="00E11CF3">
        <w:rPr>
          <w:b/>
          <w:bCs/>
        </w:rPr>
        <w:t>х, запугивании, необоснованном преследовании, отравлении и насилии в отношении адвокатов, журналистов, правозащитников и оппозиционных политиков и их убийствах, а также обеспечить, чтобы виновные были привлечены к ответственности и, в случае осуждения, понесли соразмерное наказание, а жертвам были предоставлены эффективные средства правовой защиты в соответствии с пунктом 3 статьи 2 Пакта.</w:t>
      </w:r>
    </w:p>
    <w:p w14:paraId="2F725722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50857164" w14:textId="0683B665" w:rsidR="00E11CF3" w:rsidRPr="00F66986" w:rsidRDefault="00E11CF3" w:rsidP="00E11CF3">
      <w:pPr>
        <w:pStyle w:val="SingleTxtG"/>
      </w:pPr>
      <w:r>
        <w:t>28.</w:t>
      </w:r>
      <w:r>
        <w:tab/>
        <w:t>Комитет глубоко обеспокоен внесенными в марте 2022 года в Уголовный кодекс поправками, которые предусматривают уголовную ответственность за: а)</w:t>
      </w:r>
      <w:r w:rsidR="006B3E57">
        <w:t> </w:t>
      </w:r>
      <w:r>
        <w:t xml:space="preserve">публичное распространение заведомо ложной информации об использовании Вооруженных Сил Российской Федерации и исполнении государственными органами Российской Федерации своих полномочий за рубежом (ст. 207.3); </w:t>
      </w:r>
      <w:r w:rsidR="006B3E57">
        <w:rPr>
          <w:lang w:val="en-US"/>
        </w:rPr>
        <w:t>b</w:t>
      </w:r>
      <w:r>
        <w:t xml:space="preserve">) публичные действия, направленные на дискредитацию использования Вооруженных Сил Российской Федерации в целях защиты интересов Российской Федерации и ее граждан, поддержания международного мира и безопасности или исполнения государственными органами Российской Федерации своих полномочий в указанных целях (ст. 280.3); и c) призывы к введению мер ограничительного характера в отношении Российской Федерации, граждан Российской Федерации или российских юридических лиц (ст. 284.2). Комитет выражает свою обеспокоенность решением Федеральной службы по надзору в сфере связи, информационных технологий и массовых коммуникаций, принятым по требованию Генерального прокурора, в котором говорится, что в отношении войны на Украине журналисты должны сообщать только информацию, предоставленную правительством Российской Федерации, иначе им грозят штрафы и блокировка в Интернете. Он обеспокоен сообщениями о том, что тысячи интернет-сайтов и ресурсов, а также ряд платформ социальных </w:t>
      </w:r>
      <w:r>
        <w:lastRenderedPageBreak/>
        <w:t>сетей</w:t>
      </w:r>
      <w:r w:rsidR="006B3E57">
        <w:rPr>
          <w:lang w:val="en-US"/>
        </w:rPr>
        <w:t> </w:t>
      </w:r>
      <w:r>
        <w:t>(</w:t>
      </w:r>
      <w:r w:rsidRPr="0008267C">
        <w:rPr>
          <w:color w:val="333333"/>
          <w:sz w:val="21"/>
          <w:szCs w:val="21"/>
          <w:shd w:val="clear" w:color="auto" w:fill="FFFFFF"/>
        </w:rPr>
        <w:t>«Твиттер», «Фейсбук»</w:t>
      </w:r>
      <w:r>
        <w:t xml:space="preserve"> и </w:t>
      </w:r>
      <w:r w:rsidRPr="0008267C">
        <w:rPr>
          <w:color w:val="333333"/>
          <w:sz w:val="21"/>
          <w:szCs w:val="21"/>
          <w:shd w:val="clear" w:color="auto" w:fill="FFFFFF"/>
        </w:rPr>
        <w:t>«</w:t>
      </w:r>
      <w:r>
        <w:rPr>
          <w:color w:val="333333"/>
          <w:sz w:val="21"/>
          <w:szCs w:val="21"/>
          <w:shd w:val="clear" w:color="auto" w:fill="FFFFFF"/>
        </w:rPr>
        <w:t>Инстаграм</w:t>
      </w:r>
      <w:r w:rsidRPr="0008267C">
        <w:rPr>
          <w:color w:val="333333"/>
          <w:sz w:val="21"/>
          <w:szCs w:val="21"/>
          <w:shd w:val="clear" w:color="auto" w:fill="FFFFFF"/>
        </w:rPr>
        <w:t>»</w:t>
      </w:r>
      <w:r w:rsidR="00181CD7">
        <w:rPr>
          <w:color w:val="333333"/>
          <w:sz w:val="21"/>
          <w:szCs w:val="21"/>
          <w:shd w:val="clear" w:color="auto" w:fill="FFFFFF"/>
        </w:rPr>
        <w:t>)</w:t>
      </w:r>
      <w:r w:rsidRPr="0008267C">
        <w:rPr>
          <w:color w:val="333333"/>
          <w:sz w:val="21"/>
          <w:szCs w:val="21"/>
          <w:shd w:val="clear" w:color="auto" w:fill="FFFFFF"/>
        </w:rPr>
        <w:t>,</w:t>
      </w:r>
      <w:r>
        <w:t xml:space="preserve"> были заблокированы и что деятельность более двадцати СМИ, как национальных, так и международных, была приостановлена, включая крупное независимое информационное издание «Новая газета</w:t>
      </w:r>
      <w:r w:rsidRPr="0008267C">
        <w:rPr>
          <w:color w:val="333333"/>
          <w:sz w:val="21"/>
          <w:szCs w:val="21"/>
          <w:shd w:val="clear" w:color="auto" w:fill="FFFFFF"/>
        </w:rPr>
        <w:t>»</w:t>
      </w:r>
      <w:r>
        <w:t>. Комитет с большой озабоченностью отмечает роспуск профсоюза, представляющего журналистов и других работников СМИ, который занимался защитой прав работников СМИ по всей Российской Федерации. Комитет серьезно обеспокоен сообщениями о притеснениях работников СМИ и журналистов, включая уголовное преследование, обыски в их домах и изъятие электронных устройств, аресты, физические нападения и угрозы, в том числе в адрес их родственников. Комитет выражает свою значительную озабоченность по поводу ограничений свободы выражения мнений, в частности в отношении антивоенных заявлений, в том числе в учебных заведениях, а также публично (ст. 9, 17 и 19).</w:t>
      </w:r>
    </w:p>
    <w:p w14:paraId="2A5BF274" w14:textId="77777777" w:rsidR="00E11CF3" w:rsidRPr="00F66986" w:rsidRDefault="00E11CF3" w:rsidP="00E11CF3">
      <w:pPr>
        <w:pStyle w:val="SingleTxtG"/>
      </w:pPr>
      <w:r>
        <w:t>29.</w:t>
      </w:r>
      <w:r>
        <w:tab/>
      </w:r>
      <w:r>
        <w:rPr>
          <w:b/>
          <w:bCs/>
        </w:rPr>
        <w:t>Государству-участнику следует в срочном порядке принять все необходимые меры, чтобы гарантировать полное осуществление свободы выражения мнений для всех лиц с учетом замечания общего порядка № 34 (2011) Комитета о свободе мнений и их выражения.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24711FEA" w14:textId="05F8F4EC" w:rsidR="00E11CF3" w:rsidRPr="00F66986" w:rsidRDefault="00181CD7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a</w:t>
      </w:r>
      <w:r w:rsidR="00E11CF3">
        <w:t>)</w:t>
      </w:r>
      <w:r w:rsidR="00E11CF3">
        <w:tab/>
      </w:r>
      <w:r w:rsidR="00E11CF3">
        <w:rPr>
          <w:b/>
          <w:bCs/>
        </w:rPr>
        <w:t>отменить все законы, необоснованно ограничивающие свободу выражения мнений, включая статьи 207.3, 275.1, 280.3 и 284.2 Уголовного кодекса, и воздержаться от принятия любых дальнейших ограничений, несовместимых со статьей 19 Пакта;</w:t>
      </w:r>
    </w:p>
    <w:p w14:paraId="22E20A55" w14:textId="3D61F713" w:rsidR="00E11CF3" w:rsidRPr="00F66986" w:rsidRDefault="009455CA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b</w:t>
      </w:r>
      <w:r w:rsidR="00E11CF3">
        <w:t>)</w:t>
      </w:r>
      <w:r w:rsidR="00E11CF3">
        <w:tab/>
      </w:r>
      <w:r w:rsidR="00E11CF3">
        <w:rPr>
          <w:b/>
          <w:bCs/>
        </w:rPr>
        <w:t>содействовать плюрализму мнений в СМИ и обеспечить, чтобы СМИ, работники СМИ и их ассоциации могли работать без необоснованного вмешательства государства, в том числе путем отмены мер, предусматривающих ограничения и блокирование онлайн-ресурсов и платформ;</w:t>
      </w:r>
    </w:p>
    <w:p w14:paraId="54B32CCE" w14:textId="725076CE" w:rsidR="00E11CF3" w:rsidRPr="00F66986" w:rsidRDefault="009455CA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c</w:t>
      </w:r>
      <w:r w:rsidR="00E11CF3">
        <w:t>)</w:t>
      </w:r>
      <w:r w:rsidR="00E11CF3">
        <w:tab/>
      </w:r>
      <w:r w:rsidR="00E11CF3">
        <w:rPr>
          <w:b/>
          <w:bCs/>
        </w:rPr>
        <w:t>воздерживаться от любых форм притеснений журналистов, работников СМИ и членов их семей и обеспечить безопасное и полное осуществление их права на свободу выражения мнений;</w:t>
      </w:r>
    </w:p>
    <w:p w14:paraId="78CAB113" w14:textId="13EAB40D" w:rsidR="00E11CF3" w:rsidRPr="00F66986" w:rsidRDefault="009455CA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d</w:t>
      </w:r>
      <w:r w:rsidR="00E11CF3">
        <w:t>)</w:t>
      </w:r>
      <w:r w:rsidR="00E11CF3">
        <w:tab/>
      </w:r>
      <w:r w:rsidR="00E11CF3">
        <w:rPr>
          <w:b/>
          <w:bCs/>
        </w:rPr>
        <w:t>пересмотреть решение о содержании под стражей всех журналистов и работников СМИ на предмет его соответствия положениям Пакта и незамедлительно освободить всех лиц, содержащихся под стражей вопреки его положениям.</w:t>
      </w:r>
    </w:p>
    <w:p w14:paraId="12F828BB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Борьба с экстремизмом</w:t>
      </w:r>
    </w:p>
    <w:p w14:paraId="553F471A" w14:textId="5D259065" w:rsidR="00E11CF3" w:rsidRPr="00F66986" w:rsidRDefault="00E11CF3" w:rsidP="00E11CF3">
      <w:pPr>
        <w:pStyle w:val="SingleTxtG"/>
      </w:pPr>
      <w:r>
        <w:t>30.</w:t>
      </w:r>
      <w:r>
        <w:tab/>
        <w:t>Комитет, ссылаясь на предыдущие заключительные замечания</w:t>
      </w:r>
      <w:r w:rsidR="009455CA" w:rsidRPr="006A4BE3">
        <w:rPr>
          <w:rStyle w:val="aa"/>
        </w:rPr>
        <w:footnoteReference w:id="9"/>
      </w:r>
      <w:r>
        <w:t>, выражает свою обеспокоенность по поводу расплывчатого, гибкого и регулярно изменяемого определения «экстремистской деятельности» в федеральном законе о противодействии экстремистской деятельности, которое не соответствует принципам законности, правовой определенности и соразмерности, требуемым для такого законодательства в соответствии со статьей 19 Пакта. Комитет обеспокоен частым использованием закона для преследования политических оппонентов, правозащитников, журналистов, религиозных общин, деятелей искусства и адвокатов с целью ограничения гражданского пространства, включая свободу выражения мнений, например путем внесудебной блокировки интернет-сайтов или цензуры книг, песен и других художественных произведений. Он также обеспокоен ущемлениями свободы религии, направленными, в частности, против Свидетелей Иеговы, и применением несоразмерных санкций за предполагаемые нарушения, например роспуск учреждений, таких как Меджлис крымскотатарского народа, и произвольные аресты и содержание под стражей членов этих учреждений (ст. 2, 9, 18–19 и 26).</w:t>
      </w:r>
    </w:p>
    <w:p w14:paraId="7797A0FC" w14:textId="0E5467E3" w:rsidR="00E11CF3" w:rsidRPr="00F66986" w:rsidRDefault="00E11CF3" w:rsidP="00E11CF3">
      <w:pPr>
        <w:pStyle w:val="SingleTxtG"/>
      </w:pPr>
      <w:r>
        <w:t>31.</w:t>
      </w:r>
      <w:r>
        <w:tab/>
      </w:r>
      <w:r>
        <w:rPr>
          <w:b/>
          <w:bCs/>
        </w:rPr>
        <w:t xml:space="preserve">Государству-участнику следует пересмотреть федеральный закон о противодействии экстремистской деятельности с целью более точного определения понятия «экстремистская деятельность» для обеспечения его </w:t>
      </w:r>
      <w:r>
        <w:rPr>
          <w:b/>
          <w:bCs/>
        </w:rPr>
        <w:lastRenderedPageBreak/>
        <w:t>соответствия статье 19 Пакта.</w:t>
      </w:r>
      <w:r>
        <w:t xml:space="preserve"> </w:t>
      </w:r>
      <w:r>
        <w:rPr>
          <w:b/>
          <w:bCs/>
        </w:rPr>
        <w:t xml:space="preserve">Государству-участнику следует обеспечить, чтобы как закон, так и его применение </w:t>
      </w:r>
      <w:r w:rsidR="009455CA">
        <w:rPr>
          <w:b/>
          <w:bCs/>
        </w:rPr>
        <w:t>—</w:t>
      </w:r>
      <w:r>
        <w:rPr>
          <w:b/>
          <w:bCs/>
        </w:rPr>
        <w:t xml:space="preserve"> ко всем лицам, находящимся под его эффективным контролем, </w:t>
      </w:r>
      <w:r w:rsidR="009455CA">
        <w:rPr>
          <w:b/>
          <w:bCs/>
        </w:rPr>
        <w:t>—</w:t>
      </w:r>
      <w:r>
        <w:rPr>
          <w:b/>
          <w:bCs/>
        </w:rPr>
        <w:t xml:space="preserve"> соответствовали положениям Пакта, и, в частности, следует воздерживаться от произвольного использования закона для ограничения гражданского пространства, политического инакомыслия и свободы выражения мнений и религии.</w:t>
      </w:r>
    </w:p>
    <w:p w14:paraId="0F07DD02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</w:p>
    <w:p w14:paraId="3BB65A23" w14:textId="3E110DD5" w:rsidR="00E11CF3" w:rsidRPr="00F66986" w:rsidRDefault="00E11CF3" w:rsidP="00E11CF3">
      <w:pPr>
        <w:pStyle w:val="SingleTxtG"/>
      </w:pPr>
      <w:r>
        <w:t>32.</w:t>
      </w:r>
      <w:r>
        <w:tab/>
        <w:t>Комитет глубоко обеспокоен многочисленными и последовательными сообщениями об ограничениях свободы собраний, включая отказ властей разрешать мирные акции протеста, в частности антивоенные протесты; предполагаемом произвольном задержании сотен тысяч участников мирных протестов; и насильственном реагировании сотрудников правоохранительных органов на мирные собрания. Он далее обеспокоен последствиями, которые Федеральный</w:t>
      </w:r>
      <w:r w:rsidR="008F5D71">
        <w:br/>
      </w:r>
      <w:r>
        <w:t>закон № 260-ФЗ от 14 июля 2022 года может иметь для свободы собраний, учитывая положения, предусматривающие уголовную ответственность за публичные призывы к осуществлению деятельности, направленной против безопасности государства, либо к воспрепятствованию исполнения органами власти и их должностными лицами своих полномочий по обеспечению безопасности государства. Он обеспокоен сообщениями о том, что участию в собраниях препятствует применение предварительного содержания под стражей и использование систем распознавания лиц, которые не регулируются законом, в том числе в отношении процедуры хранения и проверки данных, относящихся к таким системам (ст. 7, 9</w:t>
      </w:r>
      <w:r w:rsidR="008F5D71">
        <w:t>–</w:t>
      </w:r>
      <w:r>
        <w:t>10, 14, 17, 19 и 21).</w:t>
      </w:r>
    </w:p>
    <w:p w14:paraId="5DACC455" w14:textId="6795C6E1" w:rsidR="00E11CF3" w:rsidRPr="00F66986" w:rsidRDefault="00E11CF3" w:rsidP="00E11CF3">
      <w:pPr>
        <w:pStyle w:val="SingleTxtG"/>
      </w:pPr>
      <w:r>
        <w:t>33.</w:t>
      </w:r>
      <w:r>
        <w:tab/>
      </w:r>
      <w:r>
        <w:rPr>
          <w:b/>
          <w:bCs/>
        </w:rPr>
        <w:t>В соответствии со статьей 21 Пакта и в свете замечания общего</w:t>
      </w:r>
      <w:r w:rsidR="008F5D71">
        <w:rPr>
          <w:b/>
          <w:bCs/>
        </w:rPr>
        <w:br/>
      </w:r>
      <w:r>
        <w:rPr>
          <w:b/>
          <w:bCs/>
        </w:rPr>
        <w:t>порядка № 37 (2020) Комитета о праве на мирные собрания государству-участнику следует:</w:t>
      </w:r>
    </w:p>
    <w:p w14:paraId="47F4E5FE" w14:textId="77FB80D9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a</w:t>
      </w:r>
      <w:r w:rsidR="00E11CF3">
        <w:t>)</w:t>
      </w:r>
      <w:r w:rsidR="00E11CF3">
        <w:tab/>
      </w:r>
      <w:r w:rsidR="00E11CF3">
        <w:rPr>
          <w:b/>
          <w:bCs/>
        </w:rPr>
        <w:t>эффективно гарантировать и защищать право на мирные собрания и избегать ограничений, несовместимых со статьей 21 Пакта, включая требования, которые равносильны фактическому разрешению собрания;</w:t>
      </w:r>
    </w:p>
    <w:p w14:paraId="19281772" w14:textId="068B003E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b</w:t>
      </w:r>
      <w:r w:rsidR="00E11CF3">
        <w:t>)</w:t>
      </w:r>
      <w:r w:rsidR="00E11CF3">
        <w:tab/>
      </w:r>
      <w:r w:rsidR="00E11CF3">
        <w:rPr>
          <w:b/>
          <w:bCs/>
        </w:rPr>
        <w:t>принять меры для предотвращения и устранения всех форм чрезмерного применения силы сотрудниками правоохранительных органов, в том числе путем организации обучения по вопросам, касающимся применения силы, Основных принципов применения силы и огнестрельного оружия должностными лицами по поддержанию правопорядка и Руководящих указаний Организации Объединенных Наций по вопросу о менее смертоносном оружии в правоохранительной деятельности;</w:t>
      </w:r>
    </w:p>
    <w:p w14:paraId="32181F8C" w14:textId="1D95044C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c</w:t>
      </w:r>
      <w:r w:rsidR="00E11CF3">
        <w:t>)</w:t>
      </w:r>
      <w:r w:rsidR="00E11CF3">
        <w:tab/>
      </w:r>
      <w:r w:rsidR="00E11CF3">
        <w:rPr>
          <w:b/>
          <w:bCs/>
        </w:rPr>
        <w:t>обеспечить, чтобы все случаи чрезмерного применения силы были оперативно, беспристрастно и эффективно расследованы, чтобы виновные были привлечены к ответственности и, в случае осуждения, понесли соразмерное наказание, а жертвам были предоставлены эффективные средства правовой защиты, согласно пункту 3 статьи 2 Пакта;</w:t>
      </w:r>
    </w:p>
    <w:p w14:paraId="627EFB00" w14:textId="78D28CCE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d</w:t>
      </w:r>
      <w:r w:rsidR="00E11CF3">
        <w:t>)</w:t>
      </w:r>
      <w:r w:rsidR="00E11CF3">
        <w:tab/>
      </w:r>
      <w:r w:rsidR="00E11CF3">
        <w:rPr>
          <w:b/>
          <w:bCs/>
        </w:rPr>
        <w:t>незамедлительно освободить всех лиц, задержанных в связи с участием в мирных собраниях, содержание которых под стражей несовместимо с Пактом;</w:t>
      </w:r>
    </w:p>
    <w:p w14:paraId="3C70113B" w14:textId="4070B9B1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e</w:t>
      </w:r>
      <w:r w:rsidR="00E11CF3">
        <w:t>)</w:t>
      </w:r>
      <w:r w:rsidR="00E11CF3">
        <w:tab/>
      </w:r>
      <w:r w:rsidR="00E11CF3">
        <w:rPr>
          <w:b/>
          <w:bCs/>
        </w:rPr>
        <w:t>воздерживаться от использования систем распознавания лиц и практики предварительного содержания под стражей для препятствования участию в мирных собраниях.</w:t>
      </w:r>
    </w:p>
    <w:p w14:paraId="3251E34B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0A898C71" w14:textId="43A7ED4E" w:rsidR="00E11CF3" w:rsidRPr="00F66986" w:rsidRDefault="00E11CF3" w:rsidP="00E11CF3">
      <w:pPr>
        <w:pStyle w:val="SingleTxtG"/>
      </w:pPr>
      <w:r>
        <w:t>34.</w:t>
      </w:r>
      <w:r>
        <w:tab/>
        <w:t>Комитет, ссылаясь на предыдущие заключительные замечания</w:t>
      </w:r>
      <w:r w:rsidR="008F5D71" w:rsidRPr="006A4BE3">
        <w:rPr>
          <w:rStyle w:val="aa"/>
        </w:rPr>
        <w:footnoteReference w:id="10"/>
      </w:r>
      <w:r>
        <w:t xml:space="preserve">, выражает глубокую озабоченность по поводу законодательства, которое серьезно ограничивает свободу ассоциации, включая положения об «иностранных агентах» и «нежелательных» организациях. Он далее испытывает обеспокоенность по поводу </w:t>
      </w:r>
      <w:r>
        <w:lastRenderedPageBreak/>
        <w:t>недавнего увеличения сферы охвата этих ограничений, в том числе за счет закона, расширяющего категории «иностранных агентов» и включающего дополнительные группы; закона, криминализирующего сотрудничество на конфиденциальной основе с иностранными государствами и международными или иностранными организациями; и закона, распространяющего уголовную ответственность на лиц за рубежом за участие, финансирование или организацию деятельности «нежелательной» организации. Комитет обеспокоен тем, что применение этих законов привело к существенным ограничениям деятельности многочисленных правозащитных организаций и даже к их закрытию, включая организацию «Мемориал», получившую Нобелевскую премию мира в 2022 году (ст. 14, 19 и 21–22).</w:t>
      </w:r>
    </w:p>
    <w:p w14:paraId="59DD7682" w14:textId="77777777" w:rsidR="00E11CF3" w:rsidRPr="00F66986" w:rsidRDefault="00E11CF3" w:rsidP="00E11CF3">
      <w:pPr>
        <w:pStyle w:val="SingleTxtG"/>
      </w:pPr>
      <w:r>
        <w:t>35.</w:t>
      </w:r>
      <w:r>
        <w:tab/>
      </w:r>
      <w:r>
        <w:rPr>
          <w:b/>
          <w:bCs/>
        </w:rPr>
        <w:t>Государству-участнику следует отменить или пересмотреть законодательство, ограничивающее свободу ассоциации, включая положения об «иностранных агентах» и «нежелательных» организациях;</w:t>
      </w:r>
      <w:r>
        <w:t xml:space="preserve"> </w:t>
      </w:r>
      <w:r>
        <w:rPr>
          <w:b/>
          <w:bCs/>
        </w:rPr>
        <w:t>прекратить притеснения и преследование отдельных лиц и организаций на основании этого законодательства;</w:t>
      </w:r>
      <w:r>
        <w:t xml:space="preserve"> </w:t>
      </w:r>
      <w:r>
        <w:rPr>
          <w:b/>
          <w:bCs/>
        </w:rPr>
        <w:t>и позволить членам правозащитных организаций, включая «Мемориал», осуществлять свою свободу ассоциации без ограничений, несовместимых с Пактом.</w:t>
      </w:r>
    </w:p>
    <w:p w14:paraId="2018408E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5D714D91" w14:textId="77777777" w:rsidR="00E11CF3" w:rsidRPr="00F66986" w:rsidRDefault="00E11CF3" w:rsidP="00E11CF3">
      <w:pPr>
        <w:pStyle w:val="SingleTxtG"/>
      </w:pPr>
      <w:r>
        <w:t>36.</w:t>
      </w:r>
      <w:r>
        <w:tab/>
        <w:t>Комитет обеспокоен сообщениями о необоснованных ограничениях на участие граждан в избирательных процессах на федеральном, региональном и местном уровнях, в том числе в связи с ограничениями для оппозиционных партий в отношении организации, регистрации кандидатов на государственные должности, доступа к СМИ и проведения политических кампаний, а также сообщениями о случаях государственного вмешательства и манипулирования выборами. Комитет обеспокоен обременительными административными процедурами, затрудняющими доступ, необходимый наблюдателям и журналистам для мониторинга выборов, и чрезмерно широким применением антиэкстремистского законодательства с целью ограничения участия политических оппонентов. Комитет весьма обеспокоен отсутствием гарантий справедливого судебного разбирательства в процессе, приведшем к тюремному заключению лидера оппозиции Алексея Навального, включая сообщения о том, что его преследование политически мотивировано и что условия его содержания под стражей подвергают его здоровье и жизнь серьезному риску. Комитет также обеспокоен тем, что поправки к Конституции, внесенные в июле 2020 года, непропорционально усиливают полномочия Президента за счет других ветвей власти и вызывают озабоченность по поводу подотчетности и разделения властей в государстве-участнике (ст. 6–7, 9–10 и 25).</w:t>
      </w:r>
    </w:p>
    <w:p w14:paraId="5EB9A68A" w14:textId="77777777" w:rsidR="00E11CF3" w:rsidRPr="00F66986" w:rsidRDefault="00E11CF3" w:rsidP="00E11CF3">
      <w:pPr>
        <w:pStyle w:val="SingleTxtG"/>
      </w:pPr>
      <w:r>
        <w:t>37.</w:t>
      </w:r>
      <w:r>
        <w:tab/>
      </w:r>
      <w:r>
        <w:rPr>
          <w:b/>
          <w:bCs/>
        </w:rPr>
        <w:t>Государству-участнику следует обеспечить полное осуществление права на участие в ведении государственных дел, в том числе оппозиционными политическими кандидатами, и привести свои избирательные правила и практику в полное соответствие с Пактом.</w:t>
      </w:r>
      <w:r>
        <w:t xml:space="preserve"> </w:t>
      </w:r>
      <w:r>
        <w:rPr>
          <w:b/>
          <w:bCs/>
        </w:rPr>
        <w:t>В частности, ему следует:</w:t>
      </w:r>
    </w:p>
    <w:p w14:paraId="1336E76F" w14:textId="0196DAAE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a</w:t>
      </w:r>
      <w:r w:rsidR="00E11CF3">
        <w:t>)</w:t>
      </w:r>
      <w:r w:rsidR="00E11CF3">
        <w:tab/>
      </w:r>
      <w:r w:rsidR="00E11CF3">
        <w:rPr>
          <w:b/>
          <w:bCs/>
        </w:rPr>
        <w:t>рассмотреть возможность пересмотра своей Конституции для обеспечения подотчетности и строгого соблюдения принципа разделения властей;</w:t>
      </w:r>
    </w:p>
    <w:p w14:paraId="3C5944FF" w14:textId="135004D4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b</w:t>
      </w:r>
      <w:r w:rsidR="00E11CF3">
        <w:t>)</w:t>
      </w:r>
      <w:r w:rsidR="00E11CF3">
        <w:tab/>
      </w:r>
      <w:r w:rsidR="00E11CF3">
        <w:rPr>
          <w:b/>
          <w:bCs/>
        </w:rPr>
        <w:t>гарантировать свободу участия в избирательных процессах и плюралистических политических дебатах, в том числе воздерживаясь от использования антиэкстремистского законодательства для исключения кандидатов от оппозиции из избирательных процессов;</w:t>
      </w:r>
    </w:p>
    <w:p w14:paraId="47B8C2E7" w14:textId="7FD5F4A8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c</w:t>
      </w:r>
      <w:r w:rsidR="00E11CF3">
        <w:t>)</w:t>
      </w:r>
      <w:r w:rsidR="00E11CF3">
        <w:tab/>
      </w:r>
      <w:r w:rsidR="00E11CF3">
        <w:rPr>
          <w:b/>
          <w:bCs/>
        </w:rPr>
        <w:t>облегчить доступ, необходимый независимым наблюдателям, СМИ и журналистам для мониторинга выборов;</w:t>
      </w:r>
    </w:p>
    <w:p w14:paraId="1619F0B6" w14:textId="4E17CCDA" w:rsidR="00E11CF3" w:rsidRPr="00F66986" w:rsidRDefault="008F5D71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d</w:t>
      </w:r>
      <w:r w:rsidR="00E11CF3">
        <w:t>)</w:t>
      </w:r>
      <w:r w:rsidR="00E11CF3">
        <w:tab/>
      </w:r>
      <w:r w:rsidR="00E11CF3">
        <w:rPr>
          <w:b/>
          <w:bCs/>
        </w:rPr>
        <w:t>освободить лидера оппозиции Алексея Навального, обеспечить, чтобы любой возможный процесс по его делу отвечал всем гарантиям справедливого судебного разбирательства, предусмотренным статьей 14 Пакта, и предоставить ему доступ к эффективным средствам правовой защиты.</w:t>
      </w:r>
    </w:p>
    <w:p w14:paraId="7C3432F5" w14:textId="50B23E2F" w:rsidR="00E11CF3" w:rsidRPr="00F66986" w:rsidRDefault="00E11CF3" w:rsidP="00E11CF3">
      <w:pPr>
        <w:pStyle w:val="H23G"/>
      </w:pPr>
      <w:r>
        <w:lastRenderedPageBreak/>
        <w:tab/>
      </w:r>
      <w:r>
        <w:tab/>
      </w:r>
      <w:r>
        <w:rPr>
          <w:bCs/>
        </w:rPr>
        <w:t>Нарушения прав, предусмотренных Пактом, в Автономной Республике Крым и</w:t>
      </w:r>
      <w:r w:rsidR="008F5D71">
        <w:rPr>
          <w:bCs/>
        </w:rPr>
        <w:t> </w:t>
      </w:r>
      <w:r>
        <w:rPr>
          <w:bCs/>
        </w:rPr>
        <w:t>городе Севастополе, Украина, временно оккупированных Российской Федерацией</w:t>
      </w:r>
    </w:p>
    <w:p w14:paraId="7993CDB9" w14:textId="77777777" w:rsidR="00E11CF3" w:rsidRPr="00F66986" w:rsidRDefault="00E11CF3" w:rsidP="00E11CF3">
      <w:pPr>
        <w:pStyle w:val="SingleTxtG"/>
      </w:pPr>
      <w:r>
        <w:t>38.</w:t>
      </w:r>
      <w:r>
        <w:tab/>
        <w:t>Комитет, подтверждая свое должное отношение к резолюции 68/262 Генеральной Ассамблеи о территориальной целостности Украины</w:t>
      </w:r>
      <w:r w:rsidRPr="006A4BE3">
        <w:rPr>
          <w:rStyle w:val="aa"/>
        </w:rPr>
        <w:footnoteReference w:id="11"/>
      </w:r>
      <w:r>
        <w:t>, по-прежнему крайне обеспокоен сообщениями о нарушениях Пакта в Автономной Республике Крым и городе Севастополе, временно оккупированных Российской Федерацией, которые находятся под фактическим контролем государства-участника, включая предполагаемые серьезные нарушения, совершенные в отношении жителей Крыма, в частности внесудебные убийства, похищения, насильственные исчезновения, политически мотивированные преследования, дискриминацию, притеснения, запугивание, насилие, включая сексуальное насилие, произвольные аресты и задержания, пытки и жестокое обращение, в частности с целью добиться признательных показаний, и помещение в психиатрический стационар, а также принудительный перевод или депортацию жителей из Крыма в Российскую Федерацию, и отсутствие расследования этих нарушений. Он выражает глубокую озабоченность сообщениями о вмешательстве в мирные собрания и гражданскую активность, включая массовые задержания участников мирных собраний; серьезными ограничениями свободы выражения мнений, включая свободу СМИ; и сообщениями о нападениях и угрозах в адрес работников СМИ, преследовании журналистов и блокировании СМИ. Он также серьезно обеспокоен утверждениями о дискриминации крымскотатарской и украинской общин в Крыму, затрагивающей, в частности, образование на их языке и, в связи с роспуском Меджлиса, участие в политической жизни. Он выражает свою озабоченность по поводу предполагаемых преследований, арестов и осуждений адвокатов, оказывающих профессиональную помощь жертвам политических репрессий, и серьезных недостатков судебной системы, включая приостановку публичных слушаний под предлогом пандемии COVID-19. Он крайне обеспокоен утверждениями о принудительной мобилизации и призыве тысяч жителей Крыма, многие из которых являются представителями коренных народов. Он с серьезной озабоченностью отмечает сообщения о нарушениях свободы религии и убеждений в Крыму, включая запугивание и преследование религиозных общин, таких как Православная церковь Украины и мусульманская община (ст. 1–2, 6–7, 9–10, 14, 16–19, 21–22 и 25–27).</w:t>
      </w:r>
    </w:p>
    <w:p w14:paraId="364821A0" w14:textId="77777777" w:rsidR="00E11CF3" w:rsidRPr="00F66986" w:rsidRDefault="00E11CF3" w:rsidP="00E11CF3">
      <w:pPr>
        <w:pStyle w:val="SingleTxtG"/>
      </w:pPr>
      <w:r>
        <w:t>39.</w:t>
      </w:r>
      <w:r>
        <w:tab/>
      </w:r>
      <w:r>
        <w:rPr>
          <w:b/>
          <w:bCs/>
        </w:rPr>
        <w:t>Государству-участнику следует:</w:t>
      </w:r>
    </w:p>
    <w:p w14:paraId="083ED4DD" w14:textId="1AC10BB2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a</w:t>
      </w:r>
      <w:r w:rsidR="00E11CF3">
        <w:t>)</w:t>
      </w:r>
      <w:r w:rsidR="00E11CF3">
        <w:tab/>
      </w:r>
      <w:r w:rsidR="00E11CF3">
        <w:rPr>
          <w:b/>
          <w:bCs/>
        </w:rPr>
        <w:t>принять все необходимые меры для прекращения всех серьезных нарушений прав человека, в частности внесудебных убийств, похищений, произвольных задержаний, насильственных исчезновений, пыток и жестокого обращения;</w:t>
      </w:r>
      <w:r w:rsidR="00E11CF3">
        <w:t xml:space="preserve"> </w:t>
      </w:r>
      <w:r w:rsidR="00E11CF3">
        <w:rPr>
          <w:b/>
          <w:bCs/>
        </w:rPr>
        <w:t>расследовать все утверждения, преследовать виновных и, в случае их осуждения, наказывать их соразмерными санкциями и предоставлять жертвам эффективные средства правовой защиты, согласно пункту 3 статьи 2 Пакта;</w:t>
      </w:r>
    </w:p>
    <w:p w14:paraId="6D78DEAD" w14:textId="7AEA722B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b</w:t>
      </w:r>
      <w:r w:rsidR="00E11CF3">
        <w:t>)</w:t>
      </w:r>
      <w:r w:rsidR="00E11CF3">
        <w:tab/>
      </w:r>
      <w:r w:rsidR="00E11CF3">
        <w:rPr>
          <w:b/>
          <w:bCs/>
        </w:rPr>
        <w:t>обеспечить осуществление свободы выражения мнений и права на мирные собрания и ассоциацию для всех жителей Крыма;</w:t>
      </w:r>
      <w:r w:rsidR="00E11CF3">
        <w:t xml:space="preserve"> </w:t>
      </w:r>
      <w:r w:rsidR="00E11CF3">
        <w:rPr>
          <w:b/>
          <w:bCs/>
        </w:rPr>
        <w:t>воздерживаться от запугивания и нападений на журналистов, правозащитников и активистов, осуществляющих свои права;</w:t>
      </w:r>
      <w:r w:rsidR="00E11CF3">
        <w:t xml:space="preserve"> </w:t>
      </w:r>
      <w:r w:rsidR="00E11CF3">
        <w:rPr>
          <w:b/>
          <w:bCs/>
        </w:rPr>
        <w:t>и обеспечить расследование всех нарушений, совершенных в отношении членов этих групп, предание виновных правосудию и предоставление жертвам эффективных средств правовой защиты;</w:t>
      </w:r>
    </w:p>
    <w:p w14:paraId="51037C1F" w14:textId="0F2AD8E8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c</w:t>
      </w:r>
      <w:r w:rsidR="00E11CF3">
        <w:t>)</w:t>
      </w:r>
      <w:r w:rsidR="00E11CF3">
        <w:tab/>
      </w:r>
      <w:r w:rsidR="00E11CF3">
        <w:rPr>
          <w:b/>
          <w:bCs/>
        </w:rPr>
        <w:t>принять все необходимые меры для обеспечения функционирования независимой судебной системы в Крыму, в том числе путем проведения публичных слушаний, обеспечить беспрепятственное осуществление адвокатской деятельности и воздерживаться от любого вмешательства в профессиональную деятельность адвокатов, защищающих своих клиентов;</w:t>
      </w:r>
    </w:p>
    <w:p w14:paraId="0DBD930C" w14:textId="2F4C820A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d</w:t>
      </w:r>
      <w:r w:rsidR="00E11CF3">
        <w:t>)</w:t>
      </w:r>
      <w:r w:rsidR="00E11CF3">
        <w:tab/>
      </w:r>
      <w:r w:rsidR="00E11CF3">
        <w:rPr>
          <w:b/>
          <w:bCs/>
        </w:rPr>
        <w:t xml:space="preserve">уважать и обеспечивать права лиц, принадлежащих к меньшинствам и коренным народам, и обеспечить, в частности, чтобы крымские </w:t>
      </w:r>
      <w:r w:rsidR="00E11CF3">
        <w:rPr>
          <w:b/>
          <w:bCs/>
        </w:rPr>
        <w:lastRenderedPageBreak/>
        <w:t>татары и украинцы не подвергались дискриминации, в том числе в отношении образования на их языке и участия в политической жизни, в частности путем восстановления Меджлиса;</w:t>
      </w:r>
    </w:p>
    <w:p w14:paraId="3CBEE869" w14:textId="3778CACF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e</w:t>
      </w:r>
      <w:r w:rsidR="00E11CF3">
        <w:t>)</w:t>
      </w:r>
      <w:r w:rsidR="00E11CF3">
        <w:tab/>
      </w:r>
      <w:r w:rsidR="00E11CF3">
        <w:rPr>
          <w:b/>
          <w:bCs/>
        </w:rPr>
        <w:t>незамедлительно прекратить практику принудительной мобилизации и призыва жителей Крыма;</w:t>
      </w:r>
    </w:p>
    <w:p w14:paraId="02E6CEB4" w14:textId="300926F7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f</w:t>
      </w:r>
      <w:r w:rsidR="00E11CF3">
        <w:t>)</w:t>
      </w:r>
      <w:r w:rsidR="00E11CF3">
        <w:tab/>
      </w:r>
      <w:r w:rsidR="00E11CF3">
        <w:rPr>
          <w:b/>
          <w:bCs/>
        </w:rPr>
        <w:t>уважать и обеспечивать свободу религии и убеждений в Крыму и воздерживаться от любого вмешательства, противоречащего положениям Пакта.</w:t>
      </w:r>
    </w:p>
    <w:p w14:paraId="6B947899" w14:textId="77777777" w:rsidR="00E11CF3" w:rsidRPr="00F66986" w:rsidRDefault="00E11CF3" w:rsidP="00E11CF3">
      <w:pPr>
        <w:pStyle w:val="H23G"/>
      </w:pPr>
      <w:r>
        <w:tab/>
      </w:r>
      <w:r>
        <w:tab/>
      </w:r>
      <w:r>
        <w:rPr>
          <w:bCs/>
        </w:rPr>
        <w:t>Права коренных народов</w:t>
      </w:r>
    </w:p>
    <w:p w14:paraId="39E3820A" w14:textId="0A96CFA2" w:rsidR="00E11CF3" w:rsidRPr="00F66986" w:rsidRDefault="00E11CF3" w:rsidP="00E11CF3">
      <w:pPr>
        <w:pStyle w:val="SingleTxtG"/>
        <w:rPr>
          <w:bCs/>
        </w:rPr>
      </w:pPr>
      <w:r>
        <w:t>40.</w:t>
      </w:r>
      <w:r>
        <w:tab/>
        <w:t>Комитет обеспокоен сообщениями об ущемлении прав коренных народов в контексте деятельности добывающей промышленности и других проектов развития, в частности в отношении их права на участие в процессе принятия решений, касающихся их земель и ресурсов, на основе принципа свободного, предварительного и осознанного согласия. Комитет выражает свою озабоченность по поводу роспуска Центра содействия коренным малочисленным народам Севера. Комитет вновь отмечает свои предыдущие озабоченности по поводу утверждений о преследовании правозащитников из числа коренных народов</w:t>
      </w:r>
      <w:r w:rsidR="00F6218F" w:rsidRPr="006A4BE3">
        <w:rPr>
          <w:rStyle w:val="aa"/>
        </w:rPr>
        <w:footnoteReference w:id="12"/>
      </w:r>
      <w:r>
        <w:t>, которые остаются без ответа со стороны государства-участника, и выражает озабоченность по поводу дальнейших утверждений о притеснении, которые он получил, в том числе в связи с участием представителей коренных народов в международных форумах (ст. 6, 19, 22 и 27).</w:t>
      </w:r>
    </w:p>
    <w:p w14:paraId="68009F29" w14:textId="77777777" w:rsidR="00E11CF3" w:rsidRPr="00F66986" w:rsidRDefault="00E11CF3" w:rsidP="00E11CF3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В соответствии со статьей 27 Пакта, другими международными стандартами и конституционными гарантиями государству-участнику следует:</w:t>
      </w:r>
    </w:p>
    <w:p w14:paraId="7AE6C673" w14:textId="0C97E46D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a</w:t>
      </w:r>
      <w:r w:rsidR="00E11CF3">
        <w:t>)</w:t>
      </w:r>
      <w:r w:rsidR="00E11CF3">
        <w:tab/>
      </w:r>
      <w:r w:rsidR="00E11CF3">
        <w:rPr>
          <w:b/>
          <w:bCs/>
        </w:rPr>
        <w:t>обеспечить участие коренных народов в процессе принятия решений, касающихся их земель и ресурсов, на основе принципа свободного, предварительного и осознанного согласия;</w:t>
      </w:r>
    </w:p>
    <w:p w14:paraId="025832D3" w14:textId="3A22D090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b</w:t>
      </w:r>
      <w:r w:rsidR="00E11CF3">
        <w:t>)</w:t>
      </w:r>
      <w:r w:rsidR="00E11CF3">
        <w:tab/>
      </w:r>
      <w:r w:rsidR="00E11CF3">
        <w:rPr>
          <w:b/>
          <w:bCs/>
        </w:rPr>
        <w:t>гарантировать свободу ассоциации для коренных народов, в том числе путем пересмотра решения о роспуске Центра содействия коренным малочисленным народам Севера;</w:t>
      </w:r>
    </w:p>
    <w:p w14:paraId="0CA284AC" w14:textId="64A7E92B" w:rsidR="00E11CF3" w:rsidRPr="00F66986" w:rsidRDefault="00F6218F" w:rsidP="00E11CF3">
      <w:pPr>
        <w:pStyle w:val="SingleTxtG"/>
        <w:rPr>
          <w:b/>
          <w:bCs/>
        </w:rPr>
      </w:pPr>
      <w:r>
        <w:rPr>
          <w:b/>
          <w:bCs/>
        </w:rPr>
        <w:tab/>
      </w:r>
      <w:r w:rsidR="00E11CF3">
        <w:rPr>
          <w:b/>
          <w:bCs/>
        </w:rPr>
        <w:t>c</w:t>
      </w:r>
      <w:r w:rsidR="00E11CF3">
        <w:t>)</w:t>
      </w:r>
      <w:r w:rsidR="00E11CF3">
        <w:tab/>
      </w:r>
      <w:r w:rsidR="00E11CF3">
        <w:rPr>
          <w:b/>
          <w:bCs/>
        </w:rPr>
        <w:t>защищать правозащитников из числа коренных народов от любых притеснений, в том числе в отношении их участия в соответствующих международных форумах по правам коренных народов.</w:t>
      </w:r>
    </w:p>
    <w:p w14:paraId="51C880EB" w14:textId="2973131C" w:rsidR="00E11CF3" w:rsidRPr="00F66986" w:rsidRDefault="00F6218F" w:rsidP="00E11CF3">
      <w:pPr>
        <w:pStyle w:val="H1G"/>
      </w:pPr>
      <w:r>
        <w:rPr>
          <w:bCs/>
        </w:rPr>
        <w:tab/>
      </w:r>
      <w:r w:rsidR="00E11CF3">
        <w:rPr>
          <w:bCs/>
        </w:rPr>
        <w:t>D.</w:t>
      </w:r>
      <w:r w:rsidR="00E11CF3">
        <w:tab/>
      </w:r>
      <w:r w:rsidR="00E11CF3">
        <w:rPr>
          <w:bCs/>
        </w:rPr>
        <w:t>Распространение информации и последующая деятельность</w:t>
      </w:r>
    </w:p>
    <w:p w14:paraId="14069E51" w14:textId="77777777" w:rsidR="00E11CF3" w:rsidRPr="00F66986" w:rsidRDefault="00E11CF3" w:rsidP="00E11CF3">
      <w:pPr>
        <w:pStyle w:val="SingleTxtG"/>
        <w:rPr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первого Факультативного протокола к нему, своего восьмого периодического доклада, письменных ответов на перечень вопросов Комитета и настоящих заключительных замечаний в целях повышения уровня осведомленности о закрепленных в Пакте правах среди судебных, законодательных и административных органов, гражданского общества, действующих в стране неправительственных организаций и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официальные языки и языки меньшинств государства-участника.</w:t>
      </w:r>
    </w:p>
    <w:p w14:paraId="5CF443A5" w14:textId="4B855150" w:rsidR="00E11CF3" w:rsidRPr="00F66986" w:rsidRDefault="00E11CF3" w:rsidP="00E11CF3">
      <w:pPr>
        <w:pStyle w:val="SingleTxtG"/>
        <w:rPr>
          <w:bCs/>
        </w:rPr>
      </w:pPr>
      <w:r>
        <w:t>43.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4 ноября 2025 года информацию о выполнении рекомендаций, вынесенных Комитетом в пунктах</w:t>
      </w:r>
      <w:r w:rsidR="00F43A74">
        <w:rPr>
          <w:b/>
          <w:bCs/>
        </w:rPr>
        <w:t> </w:t>
      </w:r>
      <w:r>
        <w:rPr>
          <w:b/>
          <w:bCs/>
        </w:rPr>
        <w:t>7</w:t>
      </w:r>
      <w:r w:rsidR="00F6218F">
        <w:rPr>
          <w:b/>
          <w:bCs/>
        </w:rPr>
        <w:t> </w:t>
      </w:r>
      <w:r>
        <w:rPr>
          <w:b/>
          <w:bCs/>
        </w:rPr>
        <w:t>(защита прав, закрепленных в Пакте, в ситуациях вооруженного конфликта), 27 (</w:t>
      </w:r>
      <w:r w:rsidRPr="00E954AD">
        <w:rPr>
          <w:b/>
        </w:rPr>
        <w:t>п</w:t>
      </w:r>
      <w:r>
        <w:rPr>
          <w:b/>
          <w:bCs/>
        </w:rPr>
        <w:t>ритеснени</w:t>
      </w:r>
      <w:r w:rsidRPr="008C07E0">
        <w:rPr>
          <w:b/>
        </w:rPr>
        <w:t>я</w:t>
      </w:r>
      <w:r>
        <w:rPr>
          <w:b/>
          <w:bCs/>
        </w:rPr>
        <w:t>, насилие и убийства оппозиционных политиков, журналистов, адвокатов и правозащитников) и 29 (свобода выражения мнений) выше.</w:t>
      </w:r>
    </w:p>
    <w:p w14:paraId="21D3EFF4" w14:textId="77777777" w:rsidR="00E11CF3" w:rsidRPr="00F66986" w:rsidRDefault="00E11CF3" w:rsidP="00E11CF3">
      <w:pPr>
        <w:pStyle w:val="SingleTxtG"/>
        <w:rPr>
          <w:bCs/>
        </w:rPr>
      </w:pPr>
      <w:r>
        <w:lastRenderedPageBreak/>
        <w:t>44.</w:t>
      </w:r>
      <w:r>
        <w:tab/>
      </w:r>
      <w:r>
        <w:rPr>
          <w:b/>
          <w:bCs/>
        </w:rPr>
        <w:t>Комитет просит государство-участник представить свой следующий периодический доклад к 6 ноября 2028 года и включить в него конкретную обновленную информацию об осуществлении рекомендаций, вынесенных в настоящих заключительных замечаниях, и Пакта в целом.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</w:p>
    <w:p w14:paraId="5AA92367" w14:textId="77777777" w:rsidR="00E11CF3" w:rsidRPr="00F66986" w:rsidRDefault="00E11CF3" w:rsidP="00E11CF3">
      <w:pPr>
        <w:pStyle w:val="SingleTxtG"/>
        <w:spacing w:before="240" w:after="0"/>
        <w:jc w:val="center"/>
        <w:rPr>
          <w:rFonts w:eastAsiaTheme="minorEastAsia"/>
        </w:rPr>
      </w:pPr>
      <w:r w:rsidRPr="00F66986">
        <w:rPr>
          <w:u w:val="single"/>
        </w:rPr>
        <w:tab/>
      </w:r>
      <w:r w:rsidRPr="00F66986">
        <w:rPr>
          <w:u w:val="single"/>
        </w:rPr>
        <w:tab/>
      </w:r>
      <w:r w:rsidRPr="00F66986">
        <w:rPr>
          <w:u w:val="single"/>
        </w:rPr>
        <w:tab/>
      </w:r>
      <w:r w:rsidRPr="00F66986">
        <w:rPr>
          <w:u w:val="single"/>
        </w:rPr>
        <w:tab/>
      </w:r>
    </w:p>
    <w:p w14:paraId="0C3E0EE6" w14:textId="77777777" w:rsidR="00381C24" w:rsidRPr="009455CA" w:rsidRDefault="00381C24" w:rsidP="0075523D"/>
    <w:sectPr w:rsidR="00381C24" w:rsidRPr="009455CA" w:rsidSect="00E11CF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A95FA" w14:textId="77777777" w:rsidR="0053104A" w:rsidRPr="00A312BC" w:rsidRDefault="0053104A" w:rsidP="00A312BC"/>
  </w:endnote>
  <w:endnote w:type="continuationSeparator" w:id="0">
    <w:p w14:paraId="689F8B87" w14:textId="77777777" w:rsidR="0053104A" w:rsidRPr="00A312BC" w:rsidRDefault="0053104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A860D" w14:textId="09750CC6" w:rsidR="00E11CF3" w:rsidRPr="00E11CF3" w:rsidRDefault="00E11CF3">
    <w:pPr>
      <w:pStyle w:val="a8"/>
    </w:pPr>
    <w:r w:rsidRPr="00E11CF3">
      <w:rPr>
        <w:b/>
        <w:sz w:val="18"/>
      </w:rPr>
      <w:fldChar w:fldCharType="begin"/>
    </w:r>
    <w:r w:rsidRPr="00E11CF3">
      <w:rPr>
        <w:b/>
        <w:sz w:val="18"/>
      </w:rPr>
      <w:instrText xml:space="preserve"> PAGE  \* MERGEFORMAT </w:instrText>
    </w:r>
    <w:r w:rsidRPr="00E11CF3">
      <w:rPr>
        <w:b/>
        <w:sz w:val="18"/>
      </w:rPr>
      <w:fldChar w:fldCharType="separate"/>
    </w:r>
    <w:r w:rsidRPr="00E11CF3">
      <w:rPr>
        <w:b/>
        <w:noProof/>
        <w:sz w:val="18"/>
      </w:rPr>
      <w:t>2</w:t>
    </w:r>
    <w:r w:rsidRPr="00E11CF3">
      <w:rPr>
        <w:b/>
        <w:sz w:val="18"/>
      </w:rPr>
      <w:fldChar w:fldCharType="end"/>
    </w:r>
    <w:r>
      <w:rPr>
        <w:b/>
        <w:sz w:val="18"/>
      </w:rPr>
      <w:tab/>
    </w:r>
    <w:r>
      <w:t>GE.22-25772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00591" w14:textId="735DDC8C" w:rsidR="00E11CF3" w:rsidRPr="00E11CF3" w:rsidRDefault="00E11CF3" w:rsidP="00E11CF3">
    <w:pPr>
      <w:pStyle w:val="a8"/>
      <w:tabs>
        <w:tab w:val="clear" w:pos="9639"/>
        <w:tab w:val="right" w:pos="9638"/>
      </w:tabs>
      <w:rPr>
        <w:b/>
        <w:sz w:val="18"/>
      </w:rPr>
    </w:pPr>
    <w:r>
      <w:t>GE.22-25772</w:t>
    </w:r>
    <w:r>
      <w:tab/>
    </w:r>
    <w:r w:rsidRPr="00E11CF3">
      <w:rPr>
        <w:b/>
        <w:sz w:val="18"/>
      </w:rPr>
      <w:fldChar w:fldCharType="begin"/>
    </w:r>
    <w:r w:rsidRPr="00E11CF3">
      <w:rPr>
        <w:b/>
        <w:sz w:val="18"/>
      </w:rPr>
      <w:instrText xml:space="preserve"> PAGE  \* MERGEFORMAT </w:instrText>
    </w:r>
    <w:r w:rsidRPr="00E11CF3">
      <w:rPr>
        <w:b/>
        <w:sz w:val="18"/>
      </w:rPr>
      <w:fldChar w:fldCharType="separate"/>
    </w:r>
    <w:r w:rsidRPr="00E11CF3">
      <w:rPr>
        <w:b/>
        <w:noProof/>
        <w:sz w:val="18"/>
      </w:rPr>
      <w:t>3</w:t>
    </w:r>
    <w:r w:rsidRPr="00E11CF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9A0AA" w14:textId="6ADF6162" w:rsidR="00042B72" w:rsidRPr="00E11CF3" w:rsidRDefault="00E11CF3" w:rsidP="00E11CF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034D461" wp14:editId="610D64C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22-25772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9F40ED2" wp14:editId="5B79EE8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271222  281222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DBAC4" w14:textId="77777777" w:rsidR="0053104A" w:rsidRPr="001075E9" w:rsidRDefault="005310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2C85B5" w14:textId="77777777" w:rsidR="0053104A" w:rsidRDefault="0053104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5C0165D" w14:textId="77777777" w:rsidR="00E11CF3" w:rsidRPr="00F66986" w:rsidRDefault="00E11CF3" w:rsidP="00E11CF3">
      <w:pPr>
        <w:pStyle w:val="ad"/>
      </w:pPr>
      <w:r>
        <w:tab/>
      </w:r>
      <w:r w:rsidRPr="00E11CF3">
        <w:rPr>
          <w:sz w:val="20"/>
        </w:rPr>
        <w:t>*</w:t>
      </w:r>
      <w:r>
        <w:tab/>
        <w:t>Приняты Комитетом на его 136-й сессии (10 октября — 4 ноября 2022 года).</w:t>
      </w:r>
    </w:p>
  </w:footnote>
  <w:footnote w:id="2">
    <w:p w14:paraId="5526AF7F" w14:textId="74DF8D7E" w:rsidR="00E11CF3" w:rsidRPr="00F66986" w:rsidRDefault="00E11CF3" w:rsidP="00E11CF3">
      <w:pPr>
        <w:pStyle w:val="ad"/>
        <w:rPr>
          <w:lang w:val="de-CH"/>
        </w:rPr>
      </w:pPr>
      <w:r>
        <w:tab/>
      </w:r>
      <w:r w:rsidRPr="006A4BE3">
        <w:rPr>
          <w:rStyle w:val="aa"/>
        </w:rPr>
        <w:footnoteRef/>
      </w:r>
      <w:r w:rsidRPr="00F66986">
        <w:rPr>
          <w:lang w:val="de-CH"/>
        </w:rPr>
        <w:tab/>
      </w:r>
      <w:hyperlink r:id="rId1" w:history="1">
        <w:r w:rsidR="00806915">
          <w:rPr>
            <w:rStyle w:val="af1"/>
            <w:lang w:val="de-CH"/>
          </w:rPr>
          <w:t>CCPR/C/RUS/8</w:t>
        </w:r>
      </w:hyperlink>
      <w:r w:rsidRPr="00F66986">
        <w:rPr>
          <w:lang w:val="de-CH"/>
        </w:rPr>
        <w:t>.</w:t>
      </w:r>
    </w:p>
  </w:footnote>
  <w:footnote w:id="3">
    <w:p w14:paraId="79A815AF" w14:textId="5A937B5F" w:rsidR="00F11B29" w:rsidRPr="00F66986" w:rsidRDefault="00F11B29" w:rsidP="00F11B29">
      <w:pPr>
        <w:pStyle w:val="ad"/>
        <w:rPr>
          <w:lang w:val="de-CH"/>
        </w:rPr>
      </w:pPr>
      <w:r w:rsidRPr="00F66986">
        <w:rPr>
          <w:lang w:val="de-CH"/>
        </w:rPr>
        <w:tab/>
      </w:r>
      <w:r w:rsidRPr="006A4BE3">
        <w:rPr>
          <w:rStyle w:val="aa"/>
        </w:rPr>
        <w:footnoteRef/>
      </w:r>
      <w:r w:rsidRPr="00F66986">
        <w:rPr>
          <w:lang w:val="de-CH"/>
        </w:rPr>
        <w:tab/>
      </w:r>
      <w:r>
        <w:t>См</w:t>
      </w:r>
      <w:r w:rsidRPr="00F66986">
        <w:rPr>
          <w:lang w:val="de-CH"/>
        </w:rPr>
        <w:t xml:space="preserve">. </w:t>
      </w:r>
      <w:hyperlink r:id="rId2" w:history="1">
        <w:r w:rsidR="007577A8" w:rsidRPr="00FC6D98">
          <w:rPr>
            <w:rStyle w:val="af1"/>
            <w:lang w:val="pt-PT"/>
          </w:rPr>
          <w:t>CCPR/C/SR.3934</w:t>
        </w:r>
      </w:hyperlink>
      <w:r w:rsidRPr="00F66986">
        <w:rPr>
          <w:lang w:val="de-CH"/>
        </w:rPr>
        <w:t>.</w:t>
      </w:r>
    </w:p>
  </w:footnote>
  <w:footnote w:id="4">
    <w:p w14:paraId="2E7738B5" w14:textId="2888C842" w:rsidR="00E11CF3" w:rsidRPr="00806915" w:rsidRDefault="00E11CF3" w:rsidP="00E11CF3">
      <w:pPr>
        <w:pStyle w:val="ad"/>
        <w:rPr>
          <w:lang w:val="de-CH"/>
        </w:rPr>
      </w:pPr>
      <w:r w:rsidRPr="00F66986">
        <w:rPr>
          <w:lang w:val="de-CH"/>
        </w:rPr>
        <w:tab/>
      </w:r>
      <w:r w:rsidRPr="006A4BE3">
        <w:rPr>
          <w:rStyle w:val="aa"/>
        </w:rPr>
        <w:footnoteRef/>
      </w:r>
      <w:r w:rsidRPr="00806915">
        <w:rPr>
          <w:lang w:val="de-CH"/>
        </w:rPr>
        <w:tab/>
      </w:r>
      <w:hyperlink r:id="rId3" w:history="1">
        <w:r w:rsidR="00806915">
          <w:rPr>
            <w:rStyle w:val="af1"/>
            <w:lang w:val="de-CH"/>
          </w:rPr>
          <w:t>CCPR/C/RUS/RQ/8</w:t>
        </w:r>
      </w:hyperlink>
      <w:r w:rsidRPr="00806915">
        <w:rPr>
          <w:lang w:val="de-CH"/>
        </w:rPr>
        <w:t>.</w:t>
      </w:r>
    </w:p>
  </w:footnote>
  <w:footnote w:id="5">
    <w:p w14:paraId="2EC74070" w14:textId="77777777" w:rsidR="00E11CF3" w:rsidRPr="00F66986" w:rsidRDefault="00E11CF3" w:rsidP="00E11CF3">
      <w:pPr>
        <w:pStyle w:val="ad"/>
      </w:pPr>
      <w:r w:rsidRPr="00806915">
        <w:rPr>
          <w:lang w:val="de-CH"/>
        </w:rPr>
        <w:tab/>
      </w:r>
      <w:r w:rsidRPr="006A4BE3">
        <w:rPr>
          <w:rStyle w:val="aa"/>
        </w:rPr>
        <w:footnoteRef/>
      </w:r>
      <w:r>
        <w:tab/>
        <w:t>Правило 68 правил процедуры Комитета.</w:t>
      </w:r>
    </w:p>
  </w:footnote>
  <w:footnote w:id="6">
    <w:p w14:paraId="2CFFC382" w14:textId="7770DB75" w:rsidR="00E11CF3" w:rsidRPr="00F66986" w:rsidRDefault="00E11CF3" w:rsidP="00E11CF3">
      <w:pPr>
        <w:pStyle w:val="ad"/>
      </w:pPr>
      <w:r>
        <w:tab/>
      </w:r>
      <w:r w:rsidRPr="006A4BE3">
        <w:rPr>
          <w:rStyle w:val="aa"/>
        </w:rPr>
        <w:footnoteRef/>
      </w:r>
      <w:r>
        <w:tab/>
        <w:t xml:space="preserve">См. резолюцию </w:t>
      </w:r>
      <w:r w:rsidR="00806915" w:rsidRPr="00611648">
        <w:t>68/268</w:t>
      </w:r>
      <w:r>
        <w:t xml:space="preserve"> Генеральной Ассамблеи.</w:t>
      </w:r>
    </w:p>
  </w:footnote>
  <w:footnote w:id="7">
    <w:p w14:paraId="25912045" w14:textId="77777777" w:rsidR="007B0960" w:rsidRPr="00FF0B32" w:rsidRDefault="007B0960" w:rsidP="007B0960">
      <w:pPr>
        <w:pStyle w:val="ad"/>
        <w:rPr>
          <w:lang w:val="en-US"/>
        </w:rPr>
      </w:pPr>
      <w:r>
        <w:tab/>
      </w:r>
      <w:r w:rsidRPr="006A4BE3">
        <w:rPr>
          <w:rStyle w:val="aa"/>
        </w:rPr>
        <w:footnoteRef/>
      </w:r>
      <w:r w:rsidRPr="00FF0B32">
        <w:rPr>
          <w:lang w:val="en-US"/>
        </w:rPr>
        <w:tab/>
      </w:r>
      <w:hyperlink r:id="rId4" w:history="1">
        <w:r w:rsidRPr="00FF0B32">
          <w:rPr>
            <w:rStyle w:val="af1"/>
            <w:lang w:val="en-US"/>
          </w:rPr>
          <w:t>CCPR/C/RUS/CO/7</w:t>
        </w:r>
      </w:hyperlink>
      <w:r w:rsidRPr="00FF0B32">
        <w:rPr>
          <w:lang w:val="en-US"/>
        </w:rPr>
        <w:t xml:space="preserve">, </w:t>
      </w:r>
      <w:r>
        <w:t>п</w:t>
      </w:r>
      <w:r w:rsidRPr="00FF0B32">
        <w:rPr>
          <w:lang w:val="en-US"/>
        </w:rPr>
        <w:t>. 10.</w:t>
      </w:r>
    </w:p>
  </w:footnote>
  <w:footnote w:id="8">
    <w:p w14:paraId="64D4D522" w14:textId="63A56BF2" w:rsidR="00E11CF3" w:rsidRPr="00E11CF3" w:rsidRDefault="00E11CF3" w:rsidP="00E11CF3">
      <w:pPr>
        <w:pStyle w:val="ad"/>
        <w:rPr>
          <w:lang w:val="en-US"/>
        </w:rPr>
      </w:pPr>
      <w:r w:rsidRPr="00FF0B32">
        <w:rPr>
          <w:sz w:val="16"/>
          <w:szCs w:val="16"/>
          <w:lang w:val="en-US"/>
        </w:rPr>
        <w:tab/>
      </w:r>
      <w:r w:rsidRPr="006A4BE3">
        <w:rPr>
          <w:rStyle w:val="aa"/>
        </w:rPr>
        <w:footnoteRef/>
      </w:r>
      <w:r w:rsidRPr="00F66986">
        <w:rPr>
          <w:lang w:val="en-US"/>
        </w:rPr>
        <w:tab/>
      </w:r>
      <w:hyperlink r:id="rId5" w:history="1">
        <w:r w:rsidR="00806915">
          <w:rPr>
            <w:rStyle w:val="af1"/>
            <w:lang w:val="en-US"/>
          </w:rPr>
          <w:t>CCPR/C/RUS/CO/7</w:t>
        </w:r>
      </w:hyperlink>
      <w:r w:rsidRPr="00F66986">
        <w:rPr>
          <w:lang w:val="en-US"/>
        </w:rPr>
        <w:t xml:space="preserve">, </w:t>
      </w:r>
      <w:r>
        <w:t>п</w:t>
      </w:r>
      <w:r w:rsidRPr="00F66986">
        <w:rPr>
          <w:lang w:val="en-US"/>
        </w:rPr>
        <w:t>. 13</w:t>
      </w:r>
      <w:r w:rsidR="001D72E0" w:rsidRPr="001D72E0">
        <w:rPr>
          <w:lang w:val="en-US"/>
        </w:rPr>
        <w:t>;</w:t>
      </w:r>
      <w:r w:rsidRPr="00F66986">
        <w:rPr>
          <w:lang w:val="en-US"/>
        </w:rPr>
        <w:t xml:space="preserve"> </w:t>
      </w:r>
      <w:r>
        <w:t>и</w:t>
      </w:r>
      <w:r w:rsidRPr="00F66986">
        <w:rPr>
          <w:lang w:val="en-US"/>
        </w:rPr>
        <w:t xml:space="preserve"> </w:t>
      </w:r>
      <w:hyperlink r:id="rId6" w:history="1">
        <w:r w:rsidR="00806915">
          <w:rPr>
            <w:rStyle w:val="af1"/>
            <w:lang w:val="en-US"/>
          </w:rPr>
          <w:t>CCPR/C/RUS/CO/6</w:t>
        </w:r>
      </w:hyperlink>
      <w:r w:rsidRPr="00F66986">
        <w:rPr>
          <w:lang w:val="en-US"/>
        </w:rPr>
        <w:t xml:space="preserve"> </w:t>
      </w:r>
      <w:r>
        <w:t>и</w:t>
      </w:r>
      <w:r w:rsidRPr="00F66986">
        <w:rPr>
          <w:lang w:val="en-US"/>
        </w:rPr>
        <w:t xml:space="preserve"> </w:t>
      </w:r>
      <w:hyperlink r:id="rId7" w:history="1">
        <w:r w:rsidR="00A02063" w:rsidRPr="00A02063">
          <w:rPr>
            <w:rStyle w:val="af1"/>
            <w:lang w:val="en-US"/>
          </w:rPr>
          <w:t>CCPR/C/RUS/CO/6/Corr.1</w:t>
        </w:r>
      </w:hyperlink>
      <w:r w:rsidRPr="00F66986">
        <w:rPr>
          <w:lang w:val="en-US"/>
        </w:rPr>
        <w:t xml:space="preserve">, </w:t>
      </w:r>
      <w:r>
        <w:t>п</w:t>
      </w:r>
      <w:r w:rsidRPr="00F66986">
        <w:rPr>
          <w:lang w:val="en-US"/>
        </w:rPr>
        <w:t>. 7.</w:t>
      </w:r>
    </w:p>
  </w:footnote>
  <w:footnote w:id="9">
    <w:p w14:paraId="05214FAE" w14:textId="3BB89634" w:rsidR="009455CA" w:rsidRPr="00E11CF3" w:rsidRDefault="009455CA" w:rsidP="009455CA">
      <w:pPr>
        <w:pStyle w:val="ad"/>
        <w:rPr>
          <w:lang w:val="en-US"/>
        </w:rPr>
      </w:pPr>
      <w:r w:rsidRPr="00F66986">
        <w:rPr>
          <w:sz w:val="16"/>
          <w:szCs w:val="16"/>
          <w:lang w:val="en-US"/>
        </w:rPr>
        <w:tab/>
      </w:r>
      <w:r w:rsidRPr="006A4BE3">
        <w:rPr>
          <w:rStyle w:val="aa"/>
        </w:rPr>
        <w:footnoteRef/>
      </w:r>
      <w:r w:rsidRPr="00F66986">
        <w:rPr>
          <w:lang w:val="en-US"/>
        </w:rPr>
        <w:tab/>
      </w:r>
      <w:hyperlink r:id="rId8" w:history="1">
        <w:r w:rsidR="00806915">
          <w:rPr>
            <w:rStyle w:val="af1"/>
            <w:lang w:val="en-US"/>
          </w:rPr>
          <w:t>CCPR/C/RUS/CO/7</w:t>
        </w:r>
      </w:hyperlink>
      <w:r w:rsidRPr="00F66986">
        <w:rPr>
          <w:lang w:val="en-US"/>
        </w:rPr>
        <w:t xml:space="preserve">, </w:t>
      </w:r>
      <w:r>
        <w:t>п</w:t>
      </w:r>
      <w:r w:rsidRPr="00F66986">
        <w:rPr>
          <w:lang w:val="en-US"/>
        </w:rPr>
        <w:t>. 20</w:t>
      </w:r>
      <w:r w:rsidR="009A13E8" w:rsidRPr="009A13E8">
        <w:rPr>
          <w:lang w:val="en-US"/>
        </w:rPr>
        <w:t>;</w:t>
      </w:r>
      <w:r w:rsidRPr="00F66986">
        <w:rPr>
          <w:lang w:val="en-US"/>
        </w:rPr>
        <w:t xml:space="preserve"> </w:t>
      </w:r>
      <w:hyperlink r:id="rId9" w:history="1">
        <w:r w:rsidR="00806915">
          <w:rPr>
            <w:rStyle w:val="af1"/>
            <w:lang w:val="en-US"/>
          </w:rPr>
          <w:t>CCPR/C/RUS/CO/6</w:t>
        </w:r>
      </w:hyperlink>
      <w:r w:rsidRPr="00F66986">
        <w:rPr>
          <w:lang w:val="en-US"/>
        </w:rPr>
        <w:t xml:space="preserve"> </w:t>
      </w:r>
      <w:r>
        <w:t>и</w:t>
      </w:r>
      <w:r w:rsidRPr="00F66986">
        <w:rPr>
          <w:lang w:val="en-US"/>
        </w:rPr>
        <w:t xml:space="preserve"> </w:t>
      </w:r>
      <w:hyperlink r:id="rId10" w:history="1">
        <w:r w:rsidR="003E6A72" w:rsidRPr="003E6A72">
          <w:rPr>
            <w:rStyle w:val="af1"/>
            <w:lang w:val="en-US"/>
          </w:rPr>
          <w:t>CCPR/C/RUS/CO/6/Corr.1</w:t>
        </w:r>
      </w:hyperlink>
      <w:r w:rsidRPr="00F66986">
        <w:rPr>
          <w:lang w:val="en-US"/>
        </w:rPr>
        <w:t xml:space="preserve">, </w:t>
      </w:r>
      <w:r>
        <w:t>п</w:t>
      </w:r>
      <w:r w:rsidRPr="00F66986">
        <w:rPr>
          <w:lang w:val="en-US"/>
        </w:rPr>
        <w:t xml:space="preserve">. 25; </w:t>
      </w:r>
      <w:r>
        <w:t>и</w:t>
      </w:r>
      <w:r w:rsidRPr="009455CA">
        <w:rPr>
          <w:lang w:val="en-US"/>
        </w:rPr>
        <w:t> </w:t>
      </w:r>
      <w:hyperlink r:id="rId11" w:history="1">
        <w:r w:rsidR="003077B1" w:rsidRPr="003077B1">
          <w:rPr>
            <w:rStyle w:val="af1"/>
            <w:lang w:val="en-US"/>
          </w:rPr>
          <w:t>CCPR/CO/79/RUS</w:t>
        </w:r>
      </w:hyperlink>
      <w:r w:rsidRPr="00F66986">
        <w:rPr>
          <w:lang w:val="en-US"/>
        </w:rPr>
        <w:t xml:space="preserve">, </w:t>
      </w:r>
      <w:r>
        <w:t>п</w:t>
      </w:r>
      <w:r w:rsidRPr="00F66986">
        <w:rPr>
          <w:lang w:val="en-US"/>
        </w:rPr>
        <w:t>. 20.</w:t>
      </w:r>
    </w:p>
  </w:footnote>
  <w:footnote w:id="10">
    <w:p w14:paraId="1C4797CA" w14:textId="7131B3B0" w:rsidR="008F5D71" w:rsidRPr="00E11CF3" w:rsidRDefault="008F5D71" w:rsidP="008F5D71">
      <w:pPr>
        <w:pStyle w:val="ad"/>
        <w:rPr>
          <w:lang w:val="en-US"/>
        </w:rPr>
      </w:pPr>
      <w:r w:rsidRPr="00F66986">
        <w:rPr>
          <w:sz w:val="16"/>
          <w:szCs w:val="16"/>
          <w:lang w:val="en-US"/>
        </w:rPr>
        <w:tab/>
      </w:r>
      <w:r w:rsidRPr="006A4BE3">
        <w:rPr>
          <w:rStyle w:val="aa"/>
        </w:rPr>
        <w:footnoteRef/>
      </w:r>
      <w:r w:rsidRPr="00F66986">
        <w:rPr>
          <w:lang w:val="en-US"/>
        </w:rPr>
        <w:tab/>
      </w:r>
      <w:hyperlink r:id="rId12" w:history="1">
        <w:r w:rsidR="00806915">
          <w:rPr>
            <w:rStyle w:val="af1"/>
            <w:lang w:val="en-US"/>
          </w:rPr>
          <w:t>CCPR/C/RUS/CO/7</w:t>
        </w:r>
      </w:hyperlink>
      <w:r w:rsidRPr="00F66986">
        <w:rPr>
          <w:lang w:val="en-US"/>
        </w:rPr>
        <w:t xml:space="preserve">, </w:t>
      </w:r>
      <w:r>
        <w:t>п</w:t>
      </w:r>
      <w:r w:rsidRPr="00F66986">
        <w:rPr>
          <w:lang w:val="en-US"/>
        </w:rPr>
        <w:t>. 22</w:t>
      </w:r>
      <w:r w:rsidRPr="00F953E9">
        <w:rPr>
          <w:lang w:val="en-US"/>
        </w:rPr>
        <w:t>;</w:t>
      </w:r>
      <w:r w:rsidRPr="00F66986">
        <w:rPr>
          <w:lang w:val="en-US"/>
        </w:rPr>
        <w:t xml:space="preserve"> </w:t>
      </w:r>
      <w:r>
        <w:t>и</w:t>
      </w:r>
      <w:r w:rsidRPr="00F66986">
        <w:rPr>
          <w:lang w:val="en-US"/>
        </w:rPr>
        <w:t xml:space="preserve"> </w:t>
      </w:r>
      <w:hyperlink r:id="rId13" w:history="1">
        <w:r w:rsidR="00806915">
          <w:rPr>
            <w:rStyle w:val="af1"/>
            <w:lang w:val="en-US"/>
          </w:rPr>
          <w:t>CCPR/C/RUS/CO/6</w:t>
        </w:r>
      </w:hyperlink>
      <w:r w:rsidRPr="00F66986">
        <w:rPr>
          <w:lang w:val="en-US"/>
        </w:rPr>
        <w:t xml:space="preserve"> </w:t>
      </w:r>
      <w:r>
        <w:t>и</w:t>
      </w:r>
      <w:r w:rsidRPr="00F66986">
        <w:rPr>
          <w:lang w:val="en-US"/>
        </w:rPr>
        <w:t xml:space="preserve"> </w:t>
      </w:r>
      <w:r w:rsidR="003838F3">
        <w:fldChar w:fldCharType="begin"/>
      </w:r>
      <w:r w:rsidR="003838F3" w:rsidRPr="003838F3">
        <w:rPr>
          <w:lang w:val="en-US"/>
        </w:rPr>
        <w:instrText xml:space="preserve"> HYPERLINK "http://undocs.org/en/CCPR/C/RUS/CO/6/Corr.1" </w:instrText>
      </w:r>
      <w:r w:rsidR="003838F3">
        <w:fldChar w:fldCharType="separate"/>
      </w:r>
      <w:r w:rsidR="003838F3" w:rsidRPr="003838F3">
        <w:rPr>
          <w:rStyle w:val="af1"/>
          <w:lang w:val="en-US"/>
        </w:rPr>
        <w:t>CCPR/C/RUS/CO/6/Corr.1</w:t>
      </w:r>
      <w:r w:rsidR="003838F3">
        <w:rPr>
          <w:rStyle w:val="af1"/>
        </w:rPr>
        <w:fldChar w:fldCharType="end"/>
      </w:r>
      <w:r w:rsidRPr="00F66986">
        <w:rPr>
          <w:lang w:val="en-US"/>
        </w:rPr>
        <w:t xml:space="preserve">, </w:t>
      </w:r>
      <w:r>
        <w:t>п</w:t>
      </w:r>
      <w:r w:rsidRPr="00F66986">
        <w:rPr>
          <w:lang w:val="en-US"/>
        </w:rPr>
        <w:t>. 27.</w:t>
      </w:r>
    </w:p>
  </w:footnote>
  <w:footnote w:id="11">
    <w:p w14:paraId="0844069D" w14:textId="364B560E" w:rsidR="00E11CF3" w:rsidRPr="00E11CF3" w:rsidRDefault="00E11CF3" w:rsidP="00E11CF3">
      <w:pPr>
        <w:pStyle w:val="ad"/>
        <w:rPr>
          <w:lang w:val="en-US"/>
        </w:rPr>
      </w:pPr>
      <w:r w:rsidRPr="00F66986">
        <w:rPr>
          <w:sz w:val="16"/>
          <w:szCs w:val="16"/>
          <w:lang w:val="en-US"/>
        </w:rPr>
        <w:tab/>
      </w:r>
      <w:r w:rsidRPr="006A4BE3">
        <w:rPr>
          <w:rStyle w:val="aa"/>
        </w:rPr>
        <w:footnoteRef/>
      </w:r>
      <w:r w:rsidRPr="00F66986">
        <w:rPr>
          <w:lang w:val="en-US"/>
        </w:rPr>
        <w:tab/>
      </w:r>
      <w:hyperlink r:id="rId14" w:history="1">
        <w:r w:rsidR="00806915">
          <w:rPr>
            <w:rStyle w:val="af1"/>
            <w:lang w:val="en-US"/>
          </w:rPr>
          <w:t>CCPR/C/RUS/CO/7</w:t>
        </w:r>
      </w:hyperlink>
      <w:r w:rsidRPr="00F66986">
        <w:rPr>
          <w:lang w:val="en-US"/>
        </w:rPr>
        <w:t xml:space="preserve">, </w:t>
      </w:r>
      <w:r>
        <w:t>п</w:t>
      </w:r>
      <w:r w:rsidRPr="00F66986">
        <w:rPr>
          <w:lang w:val="en-US"/>
        </w:rPr>
        <w:t>. 23.</w:t>
      </w:r>
    </w:p>
  </w:footnote>
  <w:footnote w:id="12">
    <w:p w14:paraId="56A82B74" w14:textId="292B3415" w:rsidR="00F6218F" w:rsidRPr="00F66986" w:rsidRDefault="00F6218F" w:rsidP="00F6218F">
      <w:pPr>
        <w:pStyle w:val="ad"/>
        <w:rPr>
          <w:lang w:val="fr-CH"/>
        </w:rPr>
      </w:pPr>
      <w:r w:rsidRPr="00F66986">
        <w:rPr>
          <w:lang w:val="en-US"/>
        </w:rPr>
        <w:tab/>
      </w:r>
      <w:r w:rsidRPr="006A4BE3">
        <w:rPr>
          <w:rStyle w:val="aa"/>
        </w:rPr>
        <w:footnoteRef/>
      </w:r>
      <w:r w:rsidRPr="00F66986">
        <w:rPr>
          <w:lang w:val="fr-CH"/>
        </w:rPr>
        <w:tab/>
      </w:r>
      <w:hyperlink r:id="rId15" w:history="1">
        <w:r w:rsidR="00806915">
          <w:rPr>
            <w:rStyle w:val="af1"/>
            <w:lang w:val="fr-CH"/>
          </w:rPr>
          <w:t>CCPR/C/RUS/Q/8</w:t>
        </w:r>
      </w:hyperlink>
      <w:r w:rsidRPr="00F66986">
        <w:rPr>
          <w:lang w:val="fr-CH"/>
        </w:rPr>
        <w:t xml:space="preserve">, </w:t>
      </w:r>
      <w:r>
        <w:t>п</w:t>
      </w:r>
      <w:r w:rsidRPr="00F66986">
        <w:rPr>
          <w:lang w:val="fr-CH"/>
        </w:rPr>
        <w:t>. 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4E461" w14:textId="2FEB0FB1" w:rsidR="00E11CF3" w:rsidRPr="00E11CF3" w:rsidRDefault="0020186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54B21">
      <w:t>CCPR/C/RUS/CO/8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DEE4F" w14:textId="27D52532" w:rsidR="00E11CF3" w:rsidRPr="00E11CF3" w:rsidRDefault="0020186E" w:rsidP="00E11CF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54B21">
      <w:t>CCPR/C/RUS/CO/8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04A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1CD7"/>
    <w:rsid w:val="0018649F"/>
    <w:rsid w:val="00196389"/>
    <w:rsid w:val="001B3EF6"/>
    <w:rsid w:val="001C7A89"/>
    <w:rsid w:val="001D72E0"/>
    <w:rsid w:val="002510F7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7B1"/>
    <w:rsid w:val="00307FB6"/>
    <w:rsid w:val="00317339"/>
    <w:rsid w:val="00322004"/>
    <w:rsid w:val="0032326A"/>
    <w:rsid w:val="003402C2"/>
    <w:rsid w:val="00375F01"/>
    <w:rsid w:val="00381C24"/>
    <w:rsid w:val="003838F3"/>
    <w:rsid w:val="003958D0"/>
    <w:rsid w:val="003B00E5"/>
    <w:rsid w:val="003E6A72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3104A"/>
    <w:rsid w:val="005709E0"/>
    <w:rsid w:val="00572E19"/>
    <w:rsid w:val="005961C8"/>
    <w:rsid w:val="005D7914"/>
    <w:rsid w:val="005E2B41"/>
    <w:rsid w:val="005F0B42"/>
    <w:rsid w:val="00611648"/>
    <w:rsid w:val="00654B21"/>
    <w:rsid w:val="00666B97"/>
    <w:rsid w:val="00681A10"/>
    <w:rsid w:val="006A1ED8"/>
    <w:rsid w:val="006B3E57"/>
    <w:rsid w:val="006C2031"/>
    <w:rsid w:val="006D461A"/>
    <w:rsid w:val="006F35EE"/>
    <w:rsid w:val="007021FF"/>
    <w:rsid w:val="007057A2"/>
    <w:rsid w:val="00712895"/>
    <w:rsid w:val="0075523D"/>
    <w:rsid w:val="00757357"/>
    <w:rsid w:val="007577A8"/>
    <w:rsid w:val="00787D3A"/>
    <w:rsid w:val="00791B9D"/>
    <w:rsid w:val="007B0960"/>
    <w:rsid w:val="00806915"/>
    <w:rsid w:val="00825F8D"/>
    <w:rsid w:val="00834B71"/>
    <w:rsid w:val="0086445C"/>
    <w:rsid w:val="00894693"/>
    <w:rsid w:val="008A08D7"/>
    <w:rsid w:val="008B6909"/>
    <w:rsid w:val="008C707D"/>
    <w:rsid w:val="008F0A3B"/>
    <w:rsid w:val="008F5D71"/>
    <w:rsid w:val="00906890"/>
    <w:rsid w:val="00911BE4"/>
    <w:rsid w:val="00931A71"/>
    <w:rsid w:val="009455CA"/>
    <w:rsid w:val="00951972"/>
    <w:rsid w:val="009608F3"/>
    <w:rsid w:val="009918E2"/>
    <w:rsid w:val="009A13E8"/>
    <w:rsid w:val="009A24AC"/>
    <w:rsid w:val="009D21FD"/>
    <w:rsid w:val="00A02063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11CF3"/>
    <w:rsid w:val="00E46656"/>
    <w:rsid w:val="00E73F76"/>
    <w:rsid w:val="00EA2C9F"/>
    <w:rsid w:val="00EA420E"/>
    <w:rsid w:val="00ED0BDA"/>
    <w:rsid w:val="00EF1360"/>
    <w:rsid w:val="00EF3220"/>
    <w:rsid w:val="00F11B29"/>
    <w:rsid w:val="00F2106A"/>
    <w:rsid w:val="00F43903"/>
    <w:rsid w:val="00F43A74"/>
    <w:rsid w:val="00F6218F"/>
    <w:rsid w:val="00F94155"/>
    <w:rsid w:val="00F9783F"/>
    <w:rsid w:val="00FC636C"/>
    <w:rsid w:val="00FD2EF7"/>
    <w:rsid w:val="00FE447E"/>
    <w:rsid w:val="00FF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7BDEFF"/>
  <w15:docId w15:val="{F1CD155C-497F-482C-9473-F4EF2DE8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E11CF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8069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RUS/CO/7" TargetMode="External"/><Relationship Id="rId13" Type="http://schemas.openxmlformats.org/officeDocument/2006/relationships/hyperlink" Target="http://undocs.org/ru/CCPR/C/RUS/CO/6" TargetMode="External"/><Relationship Id="rId3" Type="http://schemas.openxmlformats.org/officeDocument/2006/relationships/hyperlink" Target="http://undocs.org/ru/CCPR/C/RUS/RQ/8" TargetMode="External"/><Relationship Id="rId7" Type="http://schemas.openxmlformats.org/officeDocument/2006/relationships/hyperlink" Target="http://undocs.org/en/CCPR/C/RUS/CO/6/Corr.1" TargetMode="External"/><Relationship Id="rId12" Type="http://schemas.openxmlformats.org/officeDocument/2006/relationships/hyperlink" Target="http://undocs.org/ru/CCPR/C/RUS/CO/7" TargetMode="External"/><Relationship Id="rId2" Type="http://schemas.openxmlformats.org/officeDocument/2006/relationships/hyperlink" Target="http://undocs.org/en/CCPR/C/SR.3934" TargetMode="External"/><Relationship Id="rId1" Type="http://schemas.openxmlformats.org/officeDocument/2006/relationships/hyperlink" Target="http://undocs.org/ru/CCPR/C/RUS/8" TargetMode="External"/><Relationship Id="rId6" Type="http://schemas.openxmlformats.org/officeDocument/2006/relationships/hyperlink" Target="http://undocs.org/ru/CCPR/C/RUS/CO/6" TargetMode="External"/><Relationship Id="rId11" Type="http://schemas.openxmlformats.org/officeDocument/2006/relationships/hyperlink" Target="http://undocs.org/en/CCPR/CO/79/RUS" TargetMode="External"/><Relationship Id="rId5" Type="http://schemas.openxmlformats.org/officeDocument/2006/relationships/hyperlink" Target="http://undocs.org/ru/CCPR/C/RUS/CO/7" TargetMode="External"/><Relationship Id="rId15" Type="http://schemas.openxmlformats.org/officeDocument/2006/relationships/hyperlink" Target="http://undocs.org/ru/CCPR/C/RUS/Q/8" TargetMode="External"/><Relationship Id="rId10" Type="http://schemas.openxmlformats.org/officeDocument/2006/relationships/hyperlink" Target="http://undocs.org/en/CCPR/C/RUS/CO/6/Corr.1" TargetMode="External"/><Relationship Id="rId4" Type="http://schemas.openxmlformats.org/officeDocument/2006/relationships/hyperlink" Target="http://undocs.org/ru/CCPR/C/RUS/CO/7" TargetMode="External"/><Relationship Id="rId9" Type="http://schemas.openxmlformats.org/officeDocument/2006/relationships/hyperlink" Target="http://undocs.org/ru/CCPR/C/RUS/CO/6" TargetMode="External"/><Relationship Id="rId14" Type="http://schemas.openxmlformats.org/officeDocument/2006/relationships/hyperlink" Target="http://undocs.org/ru/CCPR/C/RUS/CO/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14</Pages>
  <Words>5215</Words>
  <Characters>37398</Characters>
  <Application>Microsoft Office Word</Application>
  <DocSecurity>0</DocSecurity>
  <Lines>667</Lines>
  <Paragraphs>156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CCPR/C/RUS/CO/8</vt:lpstr>
      <vt:lpstr>A/</vt:lpstr>
      <vt:lpstr>A/</vt:lpstr>
    </vt:vector>
  </TitlesOfParts>
  <Company>DCM</Company>
  <LinksUpToDate>false</LinksUpToDate>
  <CharactersWithSpaces>42457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CCPR/C/RUS/CO/8</dc:title>
  <dc:subject/>
  <dc:creator>Uliana ANTIPOVA</dc:creator>
  <cp:keywords/>
  <cp:lastModifiedBy>Uliana Antipova</cp:lastModifiedBy>
  <cp:revision>3</cp:revision>
  <cp:lastPrinted>2022-12-28T09:56:00Z</cp:lastPrinted>
  <dcterms:created xsi:type="dcterms:W3CDTF">2022-12-28T09:56:00Z</dcterms:created>
  <dcterms:modified xsi:type="dcterms:W3CDTF">2022-12-28T10:00:00Z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