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Examen de los informes presentados por los Estados partes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 conformidad con el artículo 18 de la Convención sobre</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eliminación de todas las formas de discriminación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Informes iniciales e informes segundos combinados</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r>
        <w:rPr>
          <w:noProof/>
          <w:w w:val="100"/>
          <w:sz w:val="6"/>
        </w:rPr>
        <w:pict>
          <v:line id="_x0000_s2050" style="position:absolute;z-index:1;mso-position-horizontal:absolute;mso-position-horizontal-relative:page;mso-position-vertical:absolute;mso-position-vertical-relative:text" from="108pt,1.3pt" to="180pt,1.3pt" o:allowincell="f" strokeweight=".25pt">
            <w10:wrap anchorx="page"/>
          </v:line>
        </w:pict>
      </w:r>
    </w:p>
    <w:p w:rsidR="00000000" w:rsidRDefault="00000000">
      <w:pPr>
        <w:framePr w:w="9792" w:h="432" w:hSpace="180" w:wrap="around" w:hAnchor="page" w:x="1210" w:yAlign="bottom"/>
        <w:spacing w:line="240" w:lineRule="auto"/>
        <w:rPr>
          <w:sz w:val="6"/>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haber pasado por los servicios de edición.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Kuwait</w:t>
      </w:r>
      <w:r>
        <w:rPr>
          <w:b w:val="0"/>
          <w:spacing w:val="4"/>
          <w:sz w:val="20"/>
        </w:rPr>
        <w:t>*</w:t>
      </w:r>
    </w:p>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75"/>
      </w:pPr>
      <w:r>
        <w:t>La discriminación en cualquiera de sus formas o manifestaciones es una prá</w:t>
      </w:r>
      <w:r>
        <w:t>c</w:t>
      </w:r>
      <w:r>
        <w:t>tica humana aborrecible, evitada por las sociedades modernas, que se esfuerzan por eliminarla a fin de hacer efectivos los principios de igualdad y justicia entre los s</w:t>
      </w:r>
      <w:r>
        <w:t>e</w:t>
      </w:r>
      <w:r>
        <w:t>res humanos, sin distinción alguna.</w:t>
      </w:r>
    </w:p>
    <w:p w:rsidR="00000000" w:rsidRDefault="00000000">
      <w:pPr>
        <w:pStyle w:val="SingleTxt"/>
        <w:ind w:firstLine="475"/>
      </w:pPr>
      <w:r>
        <w:t>En Kuwait, como en otros países, este concepto es un elemento constitutivo fundamental de la sociedad que está consagrado desde hace mucho tiempo en la Constitución de Kuwait, que estipula que la sociedad kuwaití se basa en la justicia, la libertad y la igualdad. El artículo 29 de la Constitución también dispone que todas las personas son iguales en dignidad humana e iguales ante la ley en lo tocante a sus derechos y obligaciones públicos, sin distinción alguna por razones de sexo, origen, idioma o religión.</w:t>
      </w:r>
    </w:p>
    <w:p w:rsidR="00000000" w:rsidRDefault="00000000">
      <w:pPr>
        <w:pStyle w:val="SingleTxt"/>
        <w:ind w:firstLine="475"/>
      </w:pPr>
      <w:r>
        <w:t>Sobre esa base, Kuwait se ha esforzado por asegurar que los actos legislativos que promulgue se ajusten armónicamente a las nociones indicadas y las reafirmen. Al mismo tiempo, ha procurado asegurar que las medidas que adopte a nivel inte</w:t>
      </w:r>
      <w:r>
        <w:t>r</w:t>
      </w:r>
      <w:r>
        <w:t xml:space="preserve">nacional sean compatibles con las que se adoptan a nivel nacional para eliminar las diferencias y la discriminación entre los seres humanos. Entre dichas medidas figura su participación en las convenciones internacionales pertinentes. </w:t>
      </w:r>
    </w:p>
    <w:p w:rsidR="00000000" w:rsidRDefault="00000000">
      <w:pPr>
        <w:pStyle w:val="SingleTxt"/>
        <w:ind w:firstLine="475"/>
      </w:pPr>
      <w:r>
        <w:t>En el contexto de los esfuerzos de Kuwait por eliminar todas las formas de discriminación contra los seres humanos en general, y contra las mujeres en part</w:t>
      </w:r>
      <w:r>
        <w:t>i</w:t>
      </w:r>
      <w:r>
        <w:t>cular, las mujeres del país han adquirido una posición prominente que continúa cr</w:t>
      </w:r>
      <w:r>
        <w:t>e</w:t>
      </w:r>
      <w:r>
        <w:t>ciendo. Son la base de la familia, que es el núcleo de la sociedad, y han demostrado su competencia y si valor a lo largo de la historia. Habida cuenta de su papel posit</w:t>
      </w:r>
      <w:r>
        <w:t>i</w:t>
      </w:r>
      <w:r>
        <w:t>vo en la construcción de la sociedad, merecen plenamente tal posición. De hecho, el adelanto de la condición de las mujeres kuwaitíes fue programado de manera de coincidir con el desarrollo político, económico y social de Kuwait sobre la base de su posición y su papel esencial en el desarrollo general de la sociedad.</w:t>
      </w:r>
    </w:p>
    <w:p w:rsidR="00000000" w:rsidRDefault="00000000">
      <w:pPr>
        <w:pStyle w:val="SingleTxt"/>
        <w:ind w:firstLine="475"/>
      </w:pPr>
      <w:r>
        <w:t>La ratificación por parte de Kuwait, el 2 de abril de 1994, de la Convención a que se refiere el presente informe, que se convirtió en ley nacional, es una clara prueba de la importancia que Kuwait asigna a las mujeres, así como una reafirm</w:t>
      </w:r>
      <w:r>
        <w:t>a</w:t>
      </w:r>
      <w:r>
        <w:t>ción de la condición de las mujeres en la sociedad.</w:t>
      </w:r>
    </w:p>
    <w:p w:rsidR="00000000" w:rsidRDefault="00000000">
      <w:pPr>
        <w:pStyle w:val="SingleTxt"/>
        <w:ind w:firstLine="475"/>
      </w:pPr>
      <w:r>
        <w:t>En un examen de los esfuerzos del Gobierno por fortalecer la condición de las mujeres y su participación en el desarrollo de su país, y de conformidad con las obligaciones que asumió con arreglo al párrafo 1 del artículo 18 de la Convención, que dispone que los Estados Partes se comprometen a someter un informe sobe las medidas legislativas, judiciales, administrativas o de otra índole que hayan adoptado para hacer efectivas las disposiciones de la Convención y sobre los progresos real</w:t>
      </w:r>
      <w:r>
        <w:t>i</w:t>
      </w:r>
      <w:r>
        <w:t>zados en ese sentido, las autoridades competentes de Kuwait se complacen en pr</w:t>
      </w:r>
      <w:r>
        <w:t>e</w:t>
      </w:r>
      <w:r>
        <w:t>sentar al Comité para la Eliminación de la Discriminación contra la Mujer su info</w:t>
      </w:r>
      <w:r>
        <w:t>r</w:t>
      </w:r>
      <w:r>
        <w:t>me inicial sobre la Convención. El informe se elaboró de conformidad con las d</w:t>
      </w:r>
      <w:r>
        <w:t>i</w:t>
      </w:r>
      <w:r>
        <w:t>rectrices generales para los contenidos de los informes sometidos a la consideración del Comité, teniendo en cuenta las recomendaciones generales adoptadas por éste.</w:t>
      </w:r>
    </w:p>
    <w:p w:rsidR="00000000" w:rsidRDefault="00000000">
      <w:pPr>
        <w:pStyle w:val="SingleTxt"/>
        <w:keepNext/>
        <w:ind w:firstLine="475"/>
      </w:pPr>
      <w:r>
        <w:t>El informe se divide en tres partes:</w:t>
      </w:r>
    </w:p>
    <w:p w:rsidR="00000000" w:rsidRDefault="00000000">
      <w:pPr>
        <w:pStyle w:val="SingleTxt"/>
        <w:keepNext/>
        <w:ind w:firstLine="475"/>
      </w:pPr>
      <w:r>
        <w:t xml:space="preserve">La </w:t>
      </w:r>
      <w:r>
        <w:rPr>
          <w:i/>
        </w:rPr>
        <w:t>primera parte</w:t>
      </w:r>
      <w:r>
        <w:t xml:space="preserve"> comprende un prefacio, dividido en tres secciones:</w:t>
      </w:r>
    </w:p>
    <w:p w:rsidR="00000000" w:rsidRDefault="00000000">
      <w:pPr>
        <w:pStyle w:val="SingleTxt"/>
        <w:tabs>
          <w:tab w:val="clear" w:pos="1742"/>
          <w:tab w:val="clear" w:pos="2218"/>
          <w:tab w:val="right" w:pos="2160"/>
          <w:tab w:val="left" w:pos="2340"/>
        </w:tabs>
        <w:ind w:left="1426"/>
      </w:pPr>
      <w:r>
        <w:tab/>
        <w:t>I.</w:t>
      </w:r>
      <w:r>
        <w:tab/>
        <w:t>Tierra y población;</w:t>
      </w:r>
    </w:p>
    <w:p w:rsidR="00000000" w:rsidRDefault="00000000">
      <w:pPr>
        <w:pStyle w:val="SingleTxt"/>
        <w:tabs>
          <w:tab w:val="clear" w:pos="1742"/>
          <w:tab w:val="clear" w:pos="2218"/>
          <w:tab w:val="right" w:pos="2160"/>
          <w:tab w:val="left" w:pos="2340"/>
        </w:tabs>
        <w:ind w:left="1426"/>
      </w:pPr>
      <w:r>
        <w:tab/>
        <w:t>II.</w:t>
      </w:r>
      <w:r>
        <w:tab/>
        <w:t>Estructura política general;</w:t>
      </w:r>
    </w:p>
    <w:p w:rsidR="00000000" w:rsidRDefault="00000000">
      <w:pPr>
        <w:pStyle w:val="SingleTxt"/>
        <w:tabs>
          <w:tab w:val="clear" w:pos="1742"/>
          <w:tab w:val="clear" w:pos="2218"/>
          <w:tab w:val="right" w:pos="2160"/>
          <w:tab w:val="left" w:pos="2340"/>
        </w:tabs>
        <w:ind w:left="1426"/>
      </w:pPr>
      <w:r>
        <w:tab/>
        <w:t>III.</w:t>
      </w:r>
      <w:r>
        <w:tab/>
        <w:t>Publicación.</w:t>
      </w:r>
    </w:p>
    <w:p w:rsidR="00000000" w:rsidRDefault="00000000">
      <w:pPr>
        <w:pStyle w:val="SingleTxt"/>
        <w:ind w:firstLine="475"/>
      </w:pPr>
      <w:r>
        <w:t xml:space="preserve">La </w:t>
      </w:r>
      <w:r>
        <w:rPr>
          <w:i/>
        </w:rPr>
        <w:t>segunda parte</w:t>
      </w:r>
      <w:r>
        <w:t xml:space="preserve"> contiene información general sobre los aspectos siguientes:</w:t>
      </w:r>
    </w:p>
    <w:p w:rsidR="00000000" w:rsidRDefault="00000000">
      <w:pPr>
        <w:pStyle w:val="SingleTxt"/>
        <w:numPr>
          <w:ilvl w:val="0"/>
          <w:numId w:val="1"/>
        </w:numPr>
        <w:tabs>
          <w:tab w:val="clear" w:pos="360"/>
          <w:tab w:val="num" w:pos="2102"/>
        </w:tabs>
        <w:ind w:left="2102"/>
      </w:pPr>
      <w:r>
        <w:t>El marco jurídico, social, económico y político general dentro del cual el Gobierno de Kuwait está abordando la cuestión de la eliminación de la discriminación contra la mujer;</w:t>
      </w:r>
    </w:p>
    <w:p w:rsidR="00000000" w:rsidRDefault="00000000">
      <w:pPr>
        <w:pStyle w:val="SingleTxt"/>
        <w:numPr>
          <w:ilvl w:val="0"/>
          <w:numId w:val="1"/>
        </w:numPr>
        <w:tabs>
          <w:tab w:val="clear" w:pos="360"/>
          <w:tab w:val="num" w:pos="2102"/>
        </w:tabs>
        <w:ind w:left="2102"/>
      </w:pPr>
      <w:r>
        <w:t>Medidas jurídicas relativas a la aplicación de la Convención;</w:t>
      </w:r>
    </w:p>
    <w:p w:rsidR="00000000" w:rsidRDefault="00000000">
      <w:pPr>
        <w:pStyle w:val="SingleTxt"/>
        <w:numPr>
          <w:ilvl w:val="0"/>
          <w:numId w:val="1"/>
        </w:numPr>
        <w:tabs>
          <w:tab w:val="clear" w:pos="360"/>
          <w:tab w:val="num" w:pos="2102"/>
        </w:tabs>
        <w:ind w:left="2102"/>
      </w:pPr>
      <w:r>
        <w:t>Recursos de que disponen las mujeres.</w:t>
      </w:r>
    </w:p>
    <w:p w:rsidR="00000000" w:rsidRDefault="00000000">
      <w:pPr>
        <w:pStyle w:val="SingleTxt"/>
        <w:ind w:firstLine="475"/>
      </w:pPr>
      <w:r>
        <w:t xml:space="preserve">La </w:t>
      </w:r>
      <w:r>
        <w:rPr>
          <w:i/>
        </w:rPr>
        <w:t>tercera parte</w:t>
      </w:r>
      <w:r>
        <w:t xml:space="preserve"> está dedicada a la exposición de las disposiciones constituci</w:t>
      </w:r>
      <w:r>
        <w:t>o</w:t>
      </w:r>
      <w:r>
        <w:t>nales y legales y las medidas administrativas relacionadas con las disposiciones de la Convención, así como a los temas a que se refieren los distintos artículos de la Convención.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pPr>
      <w:r>
        <w:tab/>
        <w:t>Primera parte</w:t>
      </w:r>
    </w:p>
    <w:p w:rsidR="00000000" w:rsidRDefault="00000000">
      <w:pPr>
        <w:pStyle w:val="SingleTxt"/>
        <w:spacing w:after="0" w:line="120" w:lineRule="exact"/>
        <w:rPr>
          <w:sz w:val="10"/>
        </w:rPr>
      </w:pPr>
    </w:p>
    <w:p w:rsidR="00000000" w:rsidRDefault="00000000">
      <w:pPr>
        <w:pStyle w:val="HCh"/>
        <w:tabs>
          <w:tab w:val="left" w:pos="1260"/>
        </w:tabs>
      </w:pPr>
      <w:r>
        <w:tab/>
        <w:t>Prefacio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Tierra y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Ubicación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75"/>
      </w:pPr>
      <w:r>
        <w:t>Kuwait está ubicado en el ángulo noroeste del Golfo Arábigo, entre las latit</w:t>
      </w:r>
      <w:r>
        <w:t>u</w:t>
      </w:r>
      <w:r>
        <w:t>des 28° 30’ y 30° 06’ y las longitudes 46° 30’ y 48° 30’. Limita con el Iraq al no</w:t>
      </w:r>
      <w:r>
        <w:t>r</w:t>
      </w:r>
      <w:r>
        <w:t>deste, con el Reino de la Arabia Saudita al sur y el suroeste y con el Golfo Arábigo al este. En virtud de su ubicación, constituye un acceso natural al nordeste de la p</w:t>
      </w:r>
      <w:r>
        <w:t>e</w:t>
      </w:r>
      <w:r>
        <w:t>nínsula arábiga, y a consecuencia de ello ha tenido importancia comercial desde h</w:t>
      </w:r>
      <w:r>
        <w:t>a</w:t>
      </w:r>
      <w:r>
        <w:t>ce mucho tiempo.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Superficie</w:t>
      </w:r>
    </w:p>
    <w:p w:rsidR="00000000" w:rsidRDefault="00000000">
      <w:pPr>
        <w:pStyle w:val="SingleTxt"/>
        <w:spacing w:after="0" w:line="120" w:lineRule="exact"/>
        <w:ind w:firstLine="475"/>
        <w:rPr>
          <w:sz w:val="10"/>
        </w:rPr>
      </w:pPr>
    </w:p>
    <w:p w:rsidR="00000000" w:rsidRDefault="00000000">
      <w:pPr>
        <w:pStyle w:val="SingleTxt"/>
        <w:spacing w:after="0" w:line="120" w:lineRule="exact"/>
        <w:ind w:firstLine="475"/>
        <w:rPr>
          <w:sz w:val="10"/>
        </w:rPr>
      </w:pPr>
    </w:p>
    <w:p w:rsidR="00000000" w:rsidRDefault="00000000">
      <w:pPr>
        <w:pStyle w:val="SingleTxt"/>
        <w:ind w:firstLine="475"/>
      </w:pPr>
      <w:r>
        <w:t>El país tiene una superficie total de 17.818 kilómetros cuadrados (aproxim</w:t>
      </w:r>
      <w:r>
        <w:t>a</w:t>
      </w:r>
      <w:r>
        <w:t>damente 7.000 millas cuadradas). Entre sus extremos norte y sur hay una distancia de unos 200 kilómetros (124 millas) y la distancia entre sus extremos este y oeste sobre el paralelo 29° es de unos 170 kilómetros (106 millas). La longitud de sus fronteras es de unos 685 kilómetros (426 millas), de los cuales 195 kilómetros (121 millas) corresponden a los límites marítimos sobre el Golfo Arábigo al este, y 490 kilómetros (304 millas) a fronteras terrestres. La longitud de sus fronteras con el Reino de la Arabia Saudita al sur y el suroeste es de unos 250 kilómetros (155 m</w:t>
      </w:r>
      <w:r>
        <w:t>i</w:t>
      </w:r>
      <w:r>
        <w:t>llas), y la de sus fronteras con la República del Iraq en el norte y el oeste de unos 240 kilómetros (149 millas).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Clima</w:t>
      </w:r>
    </w:p>
    <w:p w:rsidR="00000000" w:rsidRDefault="00000000">
      <w:pPr>
        <w:pStyle w:val="SingleTxt"/>
        <w:keepNext/>
        <w:spacing w:after="0" w:line="120" w:lineRule="exact"/>
        <w:ind w:firstLine="475"/>
        <w:rPr>
          <w:sz w:val="10"/>
        </w:rPr>
      </w:pPr>
    </w:p>
    <w:p w:rsidR="00000000" w:rsidRDefault="00000000">
      <w:pPr>
        <w:pStyle w:val="SingleTxt"/>
        <w:keepNext/>
        <w:spacing w:after="0" w:line="120" w:lineRule="exact"/>
        <w:ind w:firstLine="475"/>
        <w:rPr>
          <w:sz w:val="10"/>
        </w:rPr>
      </w:pPr>
    </w:p>
    <w:p w:rsidR="00000000" w:rsidRDefault="00000000">
      <w:pPr>
        <w:pStyle w:val="SingleTxt"/>
        <w:ind w:firstLine="475"/>
      </w:pPr>
      <w:r>
        <w:t>Habida cuenta de su ubicación geográfica en la zona de desierto, Kuwait tiene un clima de tipo continental caracterizado por veranos largos, calurosos y secos, e inviernos cortos, templados y a veces lluviosos. Durante los meses de verano soplan vientos polvorientos, y hay una elevada humedad. Ocasionalmente, la temperatura puede alcanzar a 50 grados centígrados a la sombra.</w:t>
      </w:r>
    </w:p>
    <w:p w:rsidR="00000000" w:rsidRDefault="00000000">
      <w:pPr>
        <w:pStyle w:val="SingleTxt"/>
        <w:spacing w:after="0" w:line="120" w:lineRule="exact"/>
        <w:ind w:firstLine="475"/>
        <w:rPr>
          <w:sz w:val="10"/>
        </w:rPr>
      </w:pPr>
    </w:p>
    <w:p w:rsidR="00000000" w:rsidRDefault="00000000">
      <w:pPr>
        <w:pStyle w:val="SingleTxt"/>
        <w:spacing w:after="0" w:line="120" w:lineRule="exact"/>
        <w:ind w:firstLine="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w:t>
      </w:r>
      <w:r>
        <w:tab/>
        <w:t>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75"/>
      </w:pPr>
      <w:r>
        <w:t>El más reciente censo de Kuwait se llevó a cabo en abril de 1995, cuando la población total ascendía a 1.575.570 habitantes (653.616 kuwaitíes y 921.954 no kuwaitíes). En 1998, la población se había incrementado y llegaba a 2.270.865 h</w:t>
      </w:r>
      <w:r>
        <w:t>a</w:t>
      </w:r>
      <w:r>
        <w:t>bitantes (786.010 kuwaitíes y 1,484,855 no kuwaitíes), y en el 2000 la población total ascendía a 2.189.668 habitantes. En los cuadros siguientes se indican las est</w:t>
      </w:r>
      <w:r>
        <w:t>i</w:t>
      </w:r>
      <w:r>
        <w:t>maciones de la cantidad de habitantes por estado civil, sexo, nacionalidad y estadí</w:t>
      </w:r>
      <w:r>
        <w:t>s</w:t>
      </w:r>
      <w:r>
        <w:t>ticas vitales.</w:t>
      </w:r>
    </w:p>
    <w:p w:rsidR="00000000" w:rsidRDefault="00000000">
      <w:pPr>
        <w:pStyle w:val="SingleTxt"/>
        <w:ind w:firstLine="475"/>
        <w:jc w:val="center"/>
      </w:pPr>
    </w:p>
    <w:p w:rsidR="00000000" w:rsidRDefault="00000000">
      <w:pPr>
        <w:pStyle w:val="SingleTxt"/>
        <w:pageBreakBefore/>
        <w:ind w:firstLine="475"/>
        <w:jc w:val="center"/>
      </w:pPr>
      <w:r>
        <w:t>La población en los censos según nacionalidad y sexo</w:t>
      </w:r>
    </w:p>
    <w:p w:rsidR="00000000" w:rsidRDefault="00000000">
      <w:pPr>
        <w:pStyle w:val="SingleTxt"/>
        <w:spacing w:after="0" w:line="120" w:lineRule="exact"/>
        <w:ind w:firstLine="475"/>
        <w:rPr>
          <w:sz w:val="10"/>
        </w:rPr>
      </w:pPr>
    </w:p>
    <w:tbl>
      <w:tblPr>
        <w:tblW w:w="0" w:type="auto"/>
        <w:tblInd w:w="1154" w:type="dxa"/>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tcBorders>
            <w:vAlign w:val="bottom"/>
          </w:tcPr>
          <w:p w:rsidR="00000000" w:rsidRDefault="00000000">
            <w:pPr>
              <w:pStyle w:val="SingleTxt"/>
              <w:spacing w:before="81" w:after="81" w:line="160" w:lineRule="exact"/>
              <w:ind w:left="0" w:right="40"/>
              <w:rPr>
                <w:i/>
                <w:sz w:val="14"/>
              </w:rPr>
            </w:pPr>
            <w:r>
              <w:rPr>
                <w:i/>
                <w:sz w:val="14"/>
              </w:rPr>
              <w:t>Años censales</w:t>
            </w:r>
          </w:p>
        </w:tc>
        <w:tc>
          <w:tcPr>
            <w:tcW w:w="1464"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Nacionalidad</w:t>
            </w:r>
          </w:p>
        </w:tc>
        <w:tc>
          <w:tcPr>
            <w:tcW w:w="1464"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Hombres</w:t>
            </w:r>
          </w:p>
        </w:tc>
        <w:tc>
          <w:tcPr>
            <w:tcW w:w="1464"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Mujeres</w:t>
            </w:r>
          </w:p>
        </w:tc>
        <w:tc>
          <w:tcPr>
            <w:tcW w:w="1464"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Total</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146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46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46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46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1965</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Kuwaitíes</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85 856</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82 937</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168 973</w:t>
            </w:r>
          </w:p>
        </w:tc>
      </w:tr>
      <w:tr w:rsidR="00000000">
        <w:tblPrEx>
          <w:tblCellMar>
            <w:top w:w="0" w:type="dxa"/>
            <w:bottom w:w="0" w:type="dxa"/>
          </w:tblCellMar>
        </w:tblPrEx>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No kuwaitíes</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200 456</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98 090</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298 546</w:t>
            </w:r>
          </w:p>
        </w:tc>
      </w:tr>
      <w:tr w:rsidR="00000000">
        <w:tblPrEx>
          <w:tblCellMar>
            <w:top w:w="0" w:type="dxa"/>
            <w:bottom w:w="0" w:type="dxa"/>
          </w:tblCellMar>
        </w:tblPrEx>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1975</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Kuwaitíes</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153 010</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154 745</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307 755</w:t>
            </w:r>
          </w:p>
        </w:tc>
      </w:tr>
      <w:tr w:rsidR="00000000">
        <w:tblPrEx>
          <w:tblCellMar>
            <w:top w:w="0" w:type="dxa"/>
            <w:bottom w:w="0" w:type="dxa"/>
          </w:tblCellMar>
        </w:tblPrEx>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No kuwaitíes</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390 758</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296 324</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687 082</w:t>
            </w:r>
          </w:p>
        </w:tc>
      </w:tr>
      <w:tr w:rsidR="00000000">
        <w:tblPrEx>
          <w:tblCellMar>
            <w:top w:w="0" w:type="dxa"/>
            <w:bottom w:w="0" w:type="dxa"/>
          </w:tblCellMar>
        </w:tblPrEx>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1985</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Kuwaitíes</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238 181</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232 292</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470 473</w:t>
            </w:r>
          </w:p>
        </w:tc>
      </w:tr>
      <w:tr w:rsidR="00000000">
        <w:tblPrEx>
          <w:tblCellMar>
            <w:top w:w="0" w:type="dxa"/>
            <w:bottom w:w="0" w:type="dxa"/>
          </w:tblCellMar>
        </w:tblPrEx>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No kuwaitíes</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727 116</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499 712</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1 226 828</w:t>
            </w:r>
          </w:p>
        </w:tc>
      </w:tr>
      <w:tr w:rsidR="00000000">
        <w:tblPrEx>
          <w:tblCellMar>
            <w:top w:w="0" w:type="dxa"/>
            <w:bottom w:w="0" w:type="dxa"/>
          </w:tblCellMar>
        </w:tblPrEx>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1995</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Kuwaitíes</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326 301</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327 315</w:t>
            </w:r>
          </w:p>
        </w:tc>
        <w:tc>
          <w:tcPr>
            <w:tcW w:w="146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653 616</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p>
        </w:tc>
        <w:tc>
          <w:tcPr>
            <w:tcW w:w="14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No kuwaitíes</w:t>
            </w:r>
          </w:p>
        </w:tc>
        <w:tc>
          <w:tcPr>
            <w:tcW w:w="14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587 101</w:t>
            </w:r>
          </w:p>
        </w:tc>
        <w:tc>
          <w:tcPr>
            <w:tcW w:w="14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334 853</w:t>
            </w:r>
          </w:p>
        </w:tc>
        <w:tc>
          <w:tcPr>
            <w:tcW w:w="146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921 954</w:t>
            </w:r>
          </w:p>
        </w:tc>
      </w:tr>
    </w:tbl>
    <w:p w:rsidR="00000000" w:rsidRDefault="00000000">
      <w:pPr>
        <w:pStyle w:val="SingleTxt"/>
        <w:ind w:firstLine="475"/>
      </w:pPr>
    </w:p>
    <w:p w:rsidR="00000000" w:rsidRDefault="00000000">
      <w:pPr>
        <w:pStyle w:val="SingleTxt"/>
        <w:ind w:firstLine="475"/>
        <w:jc w:val="center"/>
      </w:pPr>
    </w:p>
    <w:p w:rsidR="00000000" w:rsidRDefault="00000000">
      <w:pPr>
        <w:pStyle w:val="SingleTxt"/>
        <w:ind w:firstLine="475"/>
        <w:jc w:val="center"/>
      </w:pPr>
      <w:r>
        <w:t>Población estimada a mitad del año por nacionalidad y por sexo</w:t>
      </w:r>
    </w:p>
    <w:p w:rsidR="00000000" w:rsidRDefault="00000000">
      <w:pPr>
        <w:pStyle w:val="SingleTxt"/>
        <w:spacing w:after="0" w:line="120" w:lineRule="exact"/>
        <w:ind w:firstLine="475"/>
        <w:jc w:val="center"/>
        <w:rPr>
          <w:sz w:val="10"/>
        </w:rPr>
      </w:pPr>
    </w:p>
    <w:tbl>
      <w:tblPr>
        <w:tblW w:w="0" w:type="auto"/>
        <w:tblInd w:w="1154" w:type="dxa"/>
        <w:tblLayout w:type="fixed"/>
        <w:tblLook w:val="0000" w:firstRow="0" w:lastRow="0" w:firstColumn="0" w:lastColumn="0" w:noHBand="0" w:noVBand="0"/>
      </w:tblPr>
      <w:tblGrid>
        <w:gridCol w:w="738"/>
        <w:gridCol w:w="990"/>
        <w:gridCol w:w="900"/>
        <w:gridCol w:w="1032"/>
        <w:gridCol w:w="915"/>
        <w:gridCol w:w="915"/>
        <w:gridCol w:w="828"/>
        <w:gridCol w:w="1002"/>
      </w:tblGrid>
      <w:tr w:rsidR="00000000">
        <w:tblPrEx>
          <w:tblCellMar>
            <w:top w:w="0" w:type="dxa"/>
            <w:bottom w:w="0" w:type="dxa"/>
          </w:tblCellMar>
        </w:tblPrEx>
        <w:trPr>
          <w:cantSplit/>
          <w:tblHeader/>
        </w:trPr>
        <w:tc>
          <w:tcPr>
            <w:tcW w:w="738" w:type="dxa"/>
            <w:vMerge w:val="restart"/>
            <w:tcBorders>
              <w:top w:val="single" w:sz="4" w:space="0" w:color="auto"/>
            </w:tcBorders>
            <w:vAlign w:val="bottom"/>
          </w:tcPr>
          <w:p w:rsidR="00000000" w:rsidRDefault="00000000">
            <w:pPr>
              <w:pStyle w:val="SingleTxt"/>
              <w:spacing w:before="81" w:after="81" w:line="160" w:lineRule="exact"/>
              <w:ind w:left="0" w:right="40"/>
              <w:rPr>
                <w:i/>
                <w:sz w:val="14"/>
              </w:rPr>
            </w:pPr>
            <w:r>
              <w:rPr>
                <w:i/>
                <w:sz w:val="14"/>
              </w:rPr>
              <w:t>Año</w:t>
            </w:r>
          </w:p>
        </w:tc>
        <w:tc>
          <w:tcPr>
            <w:tcW w:w="1890" w:type="dxa"/>
            <w:gridSpan w:val="2"/>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Kuwaitíes</w:t>
            </w:r>
          </w:p>
        </w:tc>
        <w:tc>
          <w:tcPr>
            <w:tcW w:w="1947" w:type="dxa"/>
            <w:gridSpan w:val="2"/>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No kuwaitíes</w:t>
            </w:r>
          </w:p>
        </w:tc>
        <w:tc>
          <w:tcPr>
            <w:tcW w:w="1743" w:type="dxa"/>
            <w:gridSpan w:val="2"/>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Total</w:t>
            </w:r>
          </w:p>
        </w:tc>
        <w:tc>
          <w:tcPr>
            <w:tcW w:w="1002" w:type="dxa"/>
            <w:vMerge w:val="restart"/>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Total</w:t>
            </w:r>
          </w:p>
        </w:tc>
      </w:tr>
      <w:tr w:rsidR="00000000">
        <w:tblPrEx>
          <w:tblCellMar>
            <w:top w:w="0" w:type="dxa"/>
            <w:bottom w:w="0" w:type="dxa"/>
          </w:tblCellMar>
        </w:tblPrEx>
        <w:trPr>
          <w:cantSplit/>
          <w:tblHeader/>
        </w:trPr>
        <w:tc>
          <w:tcPr>
            <w:tcW w:w="738" w:type="dxa"/>
            <w:vMerge/>
            <w:vAlign w:val="bottom"/>
          </w:tcPr>
          <w:p w:rsidR="00000000" w:rsidRDefault="00000000">
            <w:pPr>
              <w:pStyle w:val="SingleTxt"/>
              <w:spacing w:after="81" w:line="160" w:lineRule="exact"/>
              <w:ind w:left="0" w:right="40"/>
              <w:rPr>
                <w:i/>
                <w:sz w:val="14"/>
              </w:rPr>
            </w:pPr>
          </w:p>
        </w:tc>
        <w:tc>
          <w:tcPr>
            <w:tcW w:w="990" w:type="dxa"/>
            <w:vAlign w:val="bottom"/>
          </w:tcPr>
          <w:p w:rsidR="00000000" w:rsidRDefault="00000000">
            <w:pPr>
              <w:pStyle w:val="SingleTxt"/>
              <w:spacing w:after="81" w:line="160" w:lineRule="exact"/>
              <w:ind w:left="0" w:right="40"/>
              <w:jc w:val="right"/>
              <w:rPr>
                <w:i/>
                <w:sz w:val="14"/>
              </w:rPr>
            </w:pPr>
            <w:r>
              <w:rPr>
                <w:i/>
                <w:sz w:val="14"/>
              </w:rPr>
              <w:t>Hombres</w:t>
            </w:r>
          </w:p>
        </w:tc>
        <w:tc>
          <w:tcPr>
            <w:tcW w:w="900" w:type="dxa"/>
            <w:vAlign w:val="bottom"/>
          </w:tcPr>
          <w:p w:rsidR="00000000" w:rsidRDefault="00000000">
            <w:pPr>
              <w:pStyle w:val="SingleTxt"/>
              <w:spacing w:after="81" w:line="160" w:lineRule="exact"/>
              <w:ind w:left="0" w:right="40"/>
              <w:jc w:val="right"/>
              <w:rPr>
                <w:i/>
                <w:sz w:val="14"/>
              </w:rPr>
            </w:pPr>
            <w:r>
              <w:rPr>
                <w:i/>
                <w:sz w:val="14"/>
              </w:rPr>
              <w:t>Mujeres</w:t>
            </w:r>
          </w:p>
        </w:tc>
        <w:tc>
          <w:tcPr>
            <w:tcW w:w="1032" w:type="dxa"/>
            <w:vAlign w:val="bottom"/>
          </w:tcPr>
          <w:p w:rsidR="00000000" w:rsidRDefault="00000000">
            <w:pPr>
              <w:pStyle w:val="SingleTxt"/>
              <w:spacing w:after="81" w:line="160" w:lineRule="exact"/>
              <w:ind w:left="0" w:right="40"/>
              <w:jc w:val="right"/>
              <w:rPr>
                <w:i/>
                <w:sz w:val="14"/>
              </w:rPr>
            </w:pPr>
            <w:r>
              <w:rPr>
                <w:i/>
                <w:sz w:val="14"/>
              </w:rPr>
              <w:t>Hombres</w:t>
            </w:r>
          </w:p>
        </w:tc>
        <w:tc>
          <w:tcPr>
            <w:tcW w:w="915" w:type="dxa"/>
            <w:vAlign w:val="bottom"/>
          </w:tcPr>
          <w:p w:rsidR="00000000" w:rsidRDefault="00000000">
            <w:pPr>
              <w:pStyle w:val="SingleTxt"/>
              <w:spacing w:after="81" w:line="160" w:lineRule="exact"/>
              <w:ind w:left="0" w:right="40"/>
              <w:jc w:val="right"/>
              <w:rPr>
                <w:i/>
                <w:sz w:val="14"/>
              </w:rPr>
            </w:pPr>
            <w:r>
              <w:rPr>
                <w:i/>
                <w:sz w:val="14"/>
              </w:rPr>
              <w:t>Mujeres</w:t>
            </w:r>
          </w:p>
        </w:tc>
        <w:tc>
          <w:tcPr>
            <w:tcW w:w="915" w:type="dxa"/>
            <w:vAlign w:val="bottom"/>
          </w:tcPr>
          <w:p w:rsidR="00000000" w:rsidRDefault="00000000">
            <w:pPr>
              <w:pStyle w:val="SingleTxt"/>
              <w:spacing w:after="81" w:line="160" w:lineRule="exact"/>
              <w:ind w:left="0" w:right="40"/>
              <w:jc w:val="right"/>
              <w:rPr>
                <w:i/>
                <w:sz w:val="14"/>
              </w:rPr>
            </w:pPr>
            <w:r>
              <w:rPr>
                <w:i/>
                <w:sz w:val="14"/>
              </w:rPr>
              <w:t>Hombres</w:t>
            </w:r>
          </w:p>
        </w:tc>
        <w:tc>
          <w:tcPr>
            <w:tcW w:w="828" w:type="dxa"/>
            <w:vAlign w:val="bottom"/>
          </w:tcPr>
          <w:p w:rsidR="00000000" w:rsidRDefault="00000000">
            <w:pPr>
              <w:pStyle w:val="SingleTxt"/>
              <w:spacing w:after="81" w:line="160" w:lineRule="exact"/>
              <w:ind w:left="0" w:right="40"/>
              <w:jc w:val="right"/>
              <w:rPr>
                <w:i/>
                <w:sz w:val="14"/>
              </w:rPr>
            </w:pPr>
            <w:r>
              <w:rPr>
                <w:i/>
                <w:sz w:val="14"/>
              </w:rPr>
              <w:t>Mujeres</w:t>
            </w:r>
          </w:p>
        </w:tc>
        <w:tc>
          <w:tcPr>
            <w:tcW w:w="1002" w:type="dxa"/>
            <w:vMerge/>
            <w:vAlign w:val="bottom"/>
          </w:tcPr>
          <w:p w:rsidR="00000000" w:rsidRDefault="00000000">
            <w:pPr>
              <w:pStyle w:val="SingleTxt"/>
              <w:spacing w:after="81" w:line="160" w:lineRule="exact"/>
              <w:ind w:left="0" w:right="40"/>
              <w:jc w:val="right"/>
              <w:rPr>
                <w:i/>
                <w:sz w:val="14"/>
              </w:rPr>
            </w:pPr>
          </w:p>
        </w:tc>
      </w:tr>
      <w:tr w:rsidR="00000000">
        <w:tblPrEx>
          <w:tblCellMar>
            <w:top w:w="0" w:type="dxa"/>
            <w:bottom w:w="0" w:type="dxa"/>
          </w:tblCellMar>
        </w:tblPrEx>
        <w:trPr>
          <w:trHeight w:hRule="exact" w:val="115"/>
          <w:tblHeader/>
        </w:trPr>
        <w:tc>
          <w:tcPr>
            <w:tcW w:w="738"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99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0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3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15"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15"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28"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0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738"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1995</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344 595</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350 013</w:t>
            </w:r>
          </w:p>
        </w:tc>
        <w:tc>
          <w:tcPr>
            <w:tcW w:w="103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752 178</w:t>
            </w:r>
          </w:p>
        </w:tc>
        <w:tc>
          <w:tcPr>
            <w:tcW w:w="9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355 011</w:t>
            </w:r>
          </w:p>
        </w:tc>
        <w:tc>
          <w:tcPr>
            <w:tcW w:w="9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1 096 773</w:t>
            </w:r>
          </w:p>
        </w:tc>
        <w:tc>
          <w:tcPr>
            <w:tcW w:w="82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705 024</w:t>
            </w:r>
          </w:p>
        </w:tc>
        <w:tc>
          <w:tcPr>
            <w:tcW w:w="100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1 801 797</w:t>
            </w:r>
          </w:p>
        </w:tc>
      </w:tr>
      <w:tr w:rsidR="00000000">
        <w:tblPrEx>
          <w:tblCellMar>
            <w:top w:w="0" w:type="dxa"/>
            <w:bottom w:w="0" w:type="dxa"/>
          </w:tblCellMar>
        </w:tblPrEx>
        <w:tc>
          <w:tcPr>
            <w:tcW w:w="738"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1996</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357 023</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363 628</w:t>
            </w:r>
          </w:p>
        </w:tc>
        <w:tc>
          <w:tcPr>
            <w:tcW w:w="103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785 660</w:t>
            </w:r>
          </w:p>
        </w:tc>
        <w:tc>
          <w:tcPr>
            <w:tcW w:w="9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388 051</w:t>
            </w:r>
          </w:p>
        </w:tc>
        <w:tc>
          <w:tcPr>
            <w:tcW w:w="9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1 142 683</w:t>
            </w:r>
          </w:p>
        </w:tc>
        <w:tc>
          <w:tcPr>
            <w:tcW w:w="82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751 679</w:t>
            </w:r>
          </w:p>
        </w:tc>
        <w:tc>
          <w:tcPr>
            <w:tcW w:w="100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1 894 362</w:t>
            </w:r>
          </w:p>
        </w:tc>
      </w:tr>
      <w:tr w:rsidR="00000000">
        <w:tblPrEx>
          <w:tblCellMar>
            <w:top w:w="0" w:type="dxa"/>
            <w:bottom w:w="0" w:type="dxa"/>
          </w:tblCellMar>
        </w:tblPrEx>
        <w:tc>
          <w:tcPr>
            <w:tcW w:w="738"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1997</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369 172</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377 921</w:t>
            </w:r>
          </w:p>
        </w:tc>
        <w:tc>
          <w:tcPr>
            <w:tcW w:w="103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825 999</w:t>
            </w:r>
          </w:p>
        </w:tc>
        <w:tc>
          <w:tcPr>
            <w:tcW w:w="9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406 957</w:t>
            </w:r>
          </w:p>
        </w:tc>
        <w:tc>
          <w:tcPr>
            <w:tcW w:w="9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1 195 171</w:t>
            </w:r>
          </w:p>
        </w:tc>
        <w:tc>
          <w:tcPr>
            <w:tcW w:w="82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784 518</w:t>
            </w:r>
          </w:p>
        </w:tc>
        <w:tc>
          <w:tcPr>
            <w:tcW w:w="100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1 979 6689</w:t>
            </w:r>
          </w:p>
        </w:tc>
      </w:tr>
      <w:tr w:rsidR="00000000">
        <w:tblPrEx>
          <w:tblCellMar>
            <w:top w:w="0" w:type="dxa"/>
            <w:bottom w:w="0" w:type="dxa"/>
          </w:tblCellMar>
        </w:tblPrEx>
        <w:tc>
          <w:tcPr>
            <w:tcW w:w="738"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1998</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382 383</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394 000</w:t>
            </w:r>
          </w:p>
        </w:tc>
        <w:tc>
          <w:tcPr>
            <w:tcW w:w="103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844 391</w:t>
            </w:r>
          </w:p>
        </w:tc>
        <w:tc>
          <w:tcPr>
            <w:tcW w:w="9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406 329</w:t>
            </w:r>
          </w:p>
        </w:tc>
        <w:tc>
          <w:tcPr>
            <w:tcW w:w="9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1 226 774</w:t>
            </w:r>
          </w:p>
        </w:tc>
        <w:tc>
          <w:tcPr>
            <w:tcW w:w="82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800 329</w:t>
            </w:r>
          </w:p>
        </w:tc>
        <w:tc>
          <w:tcPr>
            <w:tcW w:w="100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2 027 103</w:t>
            </w:r>
          </w:p>
        </w:tc>
      </w:tr>
      <w:tr w:rsidR="00000000">
        <w:tblPrEx>
          <w:tblCellMar>
            <w:top w:w="0" w:type="dxa"/>
            <w:bottom w:w="0" w:type="dxa"/>
          </w:tblCellMar>
        </w:tblPrEx>
        <w:tc>
          <w:tcPr>
            <w:tcW w:w="738"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1999</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396 354</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407 600</w:t>
            </w:r>
          </w:p>
        </w:tc>
        <w:tc>
          <w:tcPr>
            <w:tcW w:w="103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882 477</w:t>
            </w:r>
          </w:p>
        </w:tc>
        <w:tc>
          <w:tcPr>
            <w:tcW w:w="9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420 773</w:t>
            </w:r>
          </w:p>
        </w:tc>
        <w:tc>
          <w:tcPr>
            <w:tcW w:w="9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1 278 822</w:t>
            </w:r>
          </w:p>
        </w:tc>
        <w:tc>
          <w:tcPr>
            <w:tcW w:w="82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828 373</w:t>
            </w:r>
          </w:p>
        </w:tc>
        <w:tc>
          <w:tcPr>
            <w:tcW w:w="100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2 107 195</w:t>
            </w:r>
          </w:p>
        </w:tc>
      </w:tr>
      <w:tr w:rsidR="00000000">
        <w:tblPrEx>
          <w:tblCellMar>
            <w:top w:w="0" w:type="dxa"/>
            <w:bottom w:w="0" w:type="dxa"/>
          </w:tblCellMar>
        </w:tblPrEx>
        <w:tc>
          <w:tcPr>
            <w:tcW w:w="738"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2000</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410 850</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420 831</w:t>
            </w:r>
          </w:p>
        </w:tc>
        <w:tc>
          <w:tcPr>
            <w:tcW w:w="103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922 107</w:t>
            </w:r>
          </w:p>
        </w:tc>
        <w:tc>
          <w:tcPr>
            <w:tcW w:w="9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435 880</w:t>
            </w:r>
          </w:p>
        </w:tc>
        <w:tc>
          <w:tcPr>
            <w:tcW w:w="9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1 332 957</w:t>
            </w:r>
          </w:p>
        </w:tc>
        <w:tc>
          <w:tcPr>
            <w:tcW w:w="82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856 711</w:t>
            </w:r>
          </w:p>
        </w:tc>
        <w:tc>
          <w:tcPr>
            <w:tcW w:w="100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2 189 668</w:t>
            </w:r>
          </w:p>
        </w:tc>
      </w:tr>
      <w:tr w:rsidR="00000000">
        <w:tblPrEx>
          <w:tblCellMar>
            <w:top w:w="0" w:type="dxa"/>
            <w:bottom w:w="0" w:type="dxa"/>
          </w:tblCellMar>
        </w:tblPrEx>
        <w:tc>
          <w:tcPr>
            <w:tcW w:w="73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2001</w:t>
            </w:r>
          </w:p>
        </w:tc>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424 819</w:t>
            </w:r>
          </w:p>
        </w:tc>
        <w:tc>
          <w:tcPr>
            <w:tcW w:w="90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435 139</w:t>
            </w:r>
          </w:p>
        </w:tc>
        <w:tc>
          <w:tcPr>
            <w:tcW w:w="103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963 145</w:t>
            </w:r>
          </w:p>
        </w:tc>
        <w:tc>
          <w:tcPr>
            <w:tcW w:w="91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451 877</w:t>
            </w:r>
          </w:p>
        </w:tc>
        <w:tc>
          <w:tcPr>
            <w:tcW w:w="91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1 387 964</w:t>
            </w:r>
          </w:p>
        </w:tc>
        <w:tc>
          <w:tcPr>
            <w:tcW w:w="82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887 016</w:t>
            </w:r>
          </w:p>
        </w:tc>
        <w:tc>
          <w:tcPr>
            <w:tcW w:w="100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5"/>
              </w:rPr>
            </w:pPr>
            <w:r>
              <w:rPr>
                <w:sz w:val="15"/>
              </w:rPr>
              <w:t>2 274 980</w:t>
            </w:r>
          </w:p>
        </w:tc>
      </w:tr>
    </w:tbl>
    <w:p w:rsidR="00000000" w:rsidRDefault="00000000">
      <w:pPr>
        <w:pStyle w:val="SingleTxt"/>
        <w:ind w:firstLine="475"/>
      </w:pPr>
    </w:p>
    <w:p w:rsidR="00000000" w:rsidRDefault="00000000">
      <w:pPr>
        <w:pStyle w:val="SingleTxt"/>
        <w:ind w:firstLine="475"/>
      </w:pPr>
    </w:p>
    <w:p w:rsidR="00000000" w:rsidRDefault="00000000">
      <w:pPr>
        <w:pStyle w:val="SingleTxt"/>
        <w:ind w:firstLine="475"/>
        <w:jc w:val="center"/>
      </w:pPr>
      <w:r>
        <w:t>Estadísticas vitales de la población por sexo (1997-1998)</w:t>
      </w:r>
    </w:p>
    <w:p w:rsidR="00000000" w:rsidRDefault="00000000">
      <w:pPr>
        <w:pStyle w:val="SingleTxt"/>
        <w:keepNext/>
        <w:spacing w:after="0" w:line="120" w:lineRule="exact"/>
        <w:ind w:firstLine="475"/>
        <w:rPr>
          <w:sz w:val="10"/>
        </w:rPr>
      </w:pPr>
    </w:p>
    <w:tbl>
      <w:tblPr>
        <w:tblW w:w="0" w:type="auto"/>
        <w:tblInd w:w="1154" w:type="dxa"/>
        <w:tblLayout w:type="fixed"/>
        <w:tblLook w:val="0000" w:firstRow="0" w:lastRow="0" w:firstColumn="0" w:lastColumn="0" w:noHBand="0" w:noVBand="0"/>
      </w:tblPr>
      <w:tblGrid>
        <w:gridCol w:w="918"/>
        <w:gridCol w:w="1522"/>
        <w:gridCol w:w="1220"/>
        <w:gridCol w:w="1220"/>
        <w:gridCol w:w="1220"/>
        <w:gridCol w:w="1220"/>
      </w:tblGrid>
      <w:tr w:rsidR="00000000">
        <w:tblPrEx>
          <w:tblCellMar>
            <w:top w:w="0" w:type="dxa"/>
            <w:bottom w:w="0" w:type="dxa"/>
          </w:tblCellMar>
        </w:tblPrEx>
        <w:trPr>
          <w:tblHeader/>
        </w:trPr>
        <w:tc>
          <w:tcPr>
            <w:tcW w:w="918" w:type="dxa"/>
            <w:tcBorders>
              <w:top w:val="single" w:sz="4" w:space="0" w:color="auto"/>
            </w:tcBorders>
            <w:vAlign w:val="bottom"/>
          </w:tcPr>
          <w:p w:rsidR="00000000" w:rsidRDefault="00000000">
            <w:pPr>
              <w:keepNext/>
              <w:keepLines/>
              <w:spacing w:before="81" w:after="81" w:line="160" w:lineRule="exact"/>
              <w:ind w:right="40"/>
              <w:rPr>
                <w:i/>
                <w:sz w:val="14"/>
              </w:rPr>
            </w:pPr>
            <w:r>
              <w:rPr>
                <w:i/>
                <w:sz w:val="14"/>
              </w:rPr>
              <w:t>Año</w:t>
            </w:r>
          </w:p>
        </w:tc>
        <w:tc>
          <w:tcPr>
            <w:tcW w:w="1522" w:type="dxa"/>
            <w:tcBorders>
              <w:top w:val="single" w:sz="4" w:space="0" w:color="auto"/>
            </w:tcBorders>
            <w:vAlign w:val="bottom"/>
          </w:tcPr>
          <w:p w:rsidR="00000000" w:rsidRDefault="00000000">
            <w:pPr>
              <w:keepNext/>
              <w:keepLines/>
              <w:spacing w:before="81" w:after="81" w:line="160" w:lineRule="exact"/>
              <w:ind w:right="40"/>
              <w:jc w:val="right"/>
              <w:rPr>
                <w:i/>
                <w:sz w:val="14"/>
              </w:rPr>
            </w:pPr>
            <w:r>
              <w:rPr>
                <w:i/>
                <w:sz w:val="14"/>
              </w:rPr>
              <w:t>Nacionalidad</w:t>
            </w:r>
          </w:p>
        </w:tc>
        <w:tc>
          <w:tcPr>
            <w:tcW w:w="1220" w:type="dxa"/>
            <w:tcBorders>
              <w:top w:val="single" w:sz="4" w:space="0" w:color="auto"/>
            </w:tcBorders>
            <w:vAlign w:val="bottom"/>
          </w:tcPr>
          <w:p w:rsidR="00000000" w:rsidRDefault="00000000">
            <w:pPr>
              <w:keepNext/>
              <w:keepLines/>
              <w:spacing w:before="81" w:after="81" w:line="160" w:lineRule="exact"/>
              <w:ind w:right="40"/>
              <w:jc w:val="right"/>
              <w:rPr>
                <w:i/>
                <w:sz w:val="14"/>
              </w:rPr>
            </w:pPr>
            <w:r>
              <w:rPr>
                <w:i/>
                <w:sz w:val="14"/>
              </w:rPr>
              <w:t>Nacidos vivos</w:t>
            </w:r>
          </w:p>
        </w:tc>
        <w:tc>
          <w:tcPr>
            <w:tcW w:w="1220" w:type="dxa"/>
            <w:tcBorders>
              <w:top w:val="single" w:sz="4" w:space="0" w:color="auto"/>
            </w:tcBorders>
            <w:vAlign w:val="bottom"/>
          </w:tcPr>
          <w:p w:rsidR="00000000" w:rsidRDefault="00000000">
            <w:pPr>
              <w:keepNext/>
              <w:keepLines/>
              <w:spacing w:before="81" w:after="81" w:line="160" w:lineRule="exact"/>
              <w:ind w:right="40"/>
              <w:jc w:val="right"/>
              <w:rPr>
                <w:i/>
                <w:sz w:val="14"/>
              </w:rPr>
            </w:pPr>
            <w:r>
              <w:rPr>
                <w:i/>
                <w:sz w:val="14"/>
              </w:rPr>
              <w:t>Defunciones</w:t>
            </w:r>
          </w:p>
        </w:tc>
        <w:tc>
          <w:tcPr>
            <w:tcW w:w="1220" w:type="dxa"/>
            <w:tcBorders>
              <w:top w:val="single" w:sz="4" w:space="0" w:color="auto"/>
            </w:tcBorders>
            <w:vAlign w:val="bottom"/>
          </w:tcPr>
          <w:p w:rsidR="00000000" w:rsidRDefault="00000000">
            <w:pPr>
              <w:keepNext/>
              <w:keepLines/>
              <w:spacing w:before="81" w:after="81" w:line="160" w:lineRule="exact"/>
              <w:ind w:right="40"/>
              <w:jc w:val="right"/>
              <w:rPr>
                <w:i/>
                <w:sz w:val="14"/>
              </w:rPr>
            </w:pPr>
            <w:r>
              <w:rPr>
                <w:i/>
                <w:sz w:val="14"/>
              </w:rPr>
              <w:t>Crecimiento natural</w:t>
            </w:r>
          </w:p>
        </w:tc>
        <w:tc>
          <w:tcPr>
            <w:tcW w:w="1220" w:type="dxa"/>
            <w:tcBorders>
              <w:top w:val="single" w:sz="4" w:space="0" w:color="auto"/>
            </w:tcBorders>
            <w:vAlign w:val="bottom"/>
          </w:tcPr>
          <w:p w:rsidR="00000000" w:rsidRDefault="00000000">
            <w:pPr>
              <w:keepNext/>
              <w:keepLines/>
              <w:spacing w:before="81" w:after="81" w:line="160" w:lineRule="exact"/>
              <w:ind w:right="40"/>
              <w:jc w:val="right"/>
              <w:rPr>
                <w:i/>
                <w:sz w:val="14"/>
              </w:rPr>
            </w:pPr>
            <w:r>
              <w:rPr>
                <w:i/>
                <w:sz w:val="14"/>
              </w:rPr>
              <w:t>Defunciones infantiles</w:t>
            </w:r>
          </w:p>
        </w:tc>
      </w:tr>
      <w:tr w:rsidR="00000000">
        <w:tblPrEx>
          <w:tblCellMar>
            <w:top w:w="0" w:type="dxa"/>
            <w:bottom w:w="0" w:type="dxa"/>
          </w:tblCellMar>
        </w:tblPrEx>
        <w:trPr>
          <w:trHeight w:hRule="exact" w:val="115"/>
          <w:tblHeader/>
        </w:trPr>
        <w:tc>
          <w:tcPr>
            <w:tcW w:w="918" w:type="dxa"/>
            <w:tcBorders>
              <w:top w:val="single" w:sz="12" w:space="0" w:color="auto"/>
            </w:tcBorders>
            <w:vAlign w:val="bottom"/>
          </w:tcPr>
          <w:p w:rsidR="00000000" w:rsidRDefault="00000000">
            <w:pPr>
              <w:keepLines/>
              <w:spacing w:before="40" w:after="40" w:line="210" w:lineRule="exact"/>
              <w:ind w:right="40"/>
              <w:rPr>
                <w:sz w:val="17"/>
              </w:rPr>
            </w:pPr>
          </w:p>
        </w:tc>
        <w:tc>
          <w:tcPr>
            <w:tcW w:w="1522"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Line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keepLines/>
              <w:spacing w:before="40" w:after="40" w:line="210" w:lineRule="exact"/>
              <w:ind w:right="40"/>
              <w:jc w:val="right"/>
              <w:rPr>
                <w:sz w:val="17"/>
              </w:rPr>
            </w:pPr>
          </w:p>
        </w:tc>
      </w:tr>
      <w:tr w:rsidR="00000000">
        <w:tblPrEx>
          <w:tblCellMar>
            <w:top w:w="0" w:type="dxa"/>
            <w:bottom w:w="0" w:type="dxa"/>
          </w:tblCellMar>
        </w:tblPrEx>
        <w:tc>
          <w:tcPr>
            <w:tcW w:w="918" w:type="dxa"/>
            <w:vAlign w:val="bottom"/>
          </w:tcPr>
          <w:p w:rsidR="00000000" w:rsidRDefault="00000000">
            <w:pPr>
              <w:keepLines/>
              <w:tabs>
                <w:tab w:val="left" w:pos="288"/>
                <w:tab w:val="left" w:pos="576"/>
                <w:tab w:val="left" w:pos="864"/>
                <w:tab w:val="left" w:pos="1152"/>
              </w:tabs>
              <w:spacing w:before="40" w:after="40" w:line="210" w:lineRule="exact"/>
              <w:ind w:right="40"/>
              <w:rPr>
                <w:sz w:val="17"/>
              </w:rPr>
            </w:pPr>
            <w:r>
              <w:rPr>
                <w:sz w:val="17"/>
              </w:rPr>
              <w:t>1997</w:t>
            </w:r>
          </w:p>
        </w:tc>
        <w:tc>
          <w:tcPr>
            <w:tcW w:w="1522"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Kuwaitíes</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26 203</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2 279</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23 924</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328</w:t>
            </w:r>
          </w:p>
        </w:tc>
      </w:tr>
      <w:tr w:rsidR="00000000">
        <w:tblPrEx>
          <w:tblCellMar>
            <w:top w:w="0" w:type="dxa"/>
            <w:bottom w:w="0" w:type="dxa"/>
          </w:tblCellMar>
        </w:tblPrEx>
        <w:tc>
          <w:tcPr>
            <w:tcW w:w="918" w:type="dxa"/>
            <w:vAlign w:val="bottom"/>
          </w:tcPr>
          <w:p w:rsidR="00000000" w:rsidRDefault="00000000">
            <w:pPr>
              <w:keepLines/>
              <w:tabs>
                <w:tab w:val="left" w:pos="288"/>
                <w:tab w:val="left" w:pos="576"/>
                <w:tab w:val="left" w:pos="864"/>
                <w:tab w:val="left" w:pos="1152"/>
              </w:tabs>
              <w:spacing w:before="40" w:after="40" w:line="210" w:lineRule="exact"/>
              <w:ind w:right="40"/>
              <w:rPr>
                <w:sz w:val="17"/>
              </w:rPr>
            </w:pPr>
          </w:p>
        </w:tc>
        <w:tc>
          <w:tcPr>
            <w:tcW w:w="1522"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No kuwaitíes</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16 614</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1 738</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14 876</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209</w:t>
            </w:r>
          </w:p>
        </w:tc>
      </w:tr>
      <w:tr w:rsidR="00000000">
        <w:tblPrEx>
          <w:tblCellMar>
            <w:top w:w="0" w:type="dxa"/>
            <w:bottom w:w="0" w:type="dxa"/>
          </w:tblCellMar>
        </w:tblPrEx>
        <w:tc>
          <w:tcPr>
            <w:tcW w:w="918" w:type="dxa"/>
            <w:vAlign w:val="bottom"/>
          </w:tcPr>
          <w:p w:rsidR="00000000" w:rsidRDefault="00000000">
            <w:pPr>
              <w:keepLines/>
              <w:tabs>
                <w:tab w:val="left" w:pos="288"/>
                <w:tab w:val="left" w:pos="576"/>
                <w:tab w:val="left" w:pos="864"/>
                <w:tab w:val="left" w:pos="1152"/>
              </w:tabs>
              <w:spacing w:before="40" w:after="40" w:line="210" w:lineRule="exact"/>
              <w:ind w:right="40"/>
              <w:rPr>
                <w:sz w:val="17"/>
              </w:rPr>
            </w:pPr>
          </w:p>
        </w:tc>
        <w:tc>
          <w:tcPr>
            <w:tcW w:w="1522"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Total</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42 817</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4 017</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38 800</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537</w:t>
            </w:r>
          </w:p>
        </w:tc>
      </w:tr>
      <w:tr w:rsidR="00000000">
        <w:tblPrEx>
          <w:tblCellMar>
            <w:top w:w="0" w:type="dxa"/>
            <w:bottom w:w="0" w:type="dxa"/>
          </w:tblCellMar>
        </w:tblPrEx>
        <w:tc>
          <w:tcPr>
            <w:tcW w:w="918" w:type="dxa"/>
            <w:vAlign w:val="bottom"/>
          </w:tcPr>
          <w:p w:rsidR="00000000" w:rsidRDefault="00000000">
            <w:pPr>
              <w:keepLines/>
              <w:tabs>
                <w:tab w:val="left" w:pos="288"/>
                <w:tab w:val="left" w:pos="576"/>
                <w:tab w:val="left" w:pos="864"/>
                <w:tab w:val="left" w:pos="1152"/>
              </w:tabs>
              <w:spacing w:before="40" w:after="40" w:line="210" w:lineRule="exact"/>
              <w:ind w:right="40"/>
              <w:rPr>
                <w:sz w:val="17"/>
              </w:rPr>
            </w:pPr>
            <w:r>
              <w:rPr>
                <w:sz w:val="17"/>
              </w:rPr>
              <w:t>1998</w:t>
            </w:r>
          </w:p>
        </w:tc>
        <w:tc>
          <w:tcPr>
            <w:tcW w:w="1522"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Kuwaitíes</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25 839</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2 378</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23 461</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262</w:t>
            </w:r>
          </w:p>
        </w:tc>
      </w:tr>
      <w:tr w:rsidR="00000000">
        <w:tblPrEx>
          <w:tblCellMar>
            <w:top w:w="0" w:type="dxa"/>
            <w:bottom w:w="0" w:type="dxa"/>
          </w:tblCellMar>
        </w:tblPrEx>
        <w:tc>
          <w:tcPr>
            <w:tcW w:w="918" w:type="dxa"/>
            <w:vAlign w:val="bottom"/>
          </w:tcPr>
          <w:p w:rsidR="00000000" w:rsidRDefault="00000000">
            <w:pPr>
              <w:keepLines/>
              <w:tabs>
                <w:tab w:val="left" w:pos="288"/>
                <w:tab w:val="left" w:pos="576"/>
                <w:tab w:val="left" w:pos="864"/>
                <w:tab w:val="left" w:pos="1152"/>
              </w:tabs>
              <w:spacing w:before="40" w:after="40" w:line="210" w:lineRule="exact"/>
              <w:ind w:right="40"/>
              <w:rPr>
                <w:sz w:val="17"/>
              </w:rPr>
            </w:pPr>
          </w:p>
        </w:tc>
        <w:tc>
          <w:tcPr>
            <w:tcW w:w="1522"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No kuwaitíes</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15 585</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1 838</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13 747</w:t>
            </w:r>
          </w:p>
        </w:tc>
        <w:tc>
          <w:tcPr>
            <w:tcW w:w="1220" w:type="dxa"/>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188</w:t>
            </w:r>
          </w:p>
        </w:tc>
      </w:tr>
      <w:tr w:rsidR="00000000">
        <w:tblPrEx>
          <w:tblCellMar>
            <w:top w:w="0" w:type="dxa"/>
            <w:bottom w:w="0" w:type="dxa"/>
          </w:tblCellMar>
        </w:tblPrEx>
        <w:tc>
          <w:tcPr>
            <w:tcW w:w="918"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rPr>
                <w:sz w:val="17"/>
              </w:rPr>
            </w:pPr>
          </w:p>
        </w:tc>
        <w:tc>
          <w:tcPr>
            <w:tcW w:w="152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b/>
                <w:sz w:val="17"/>
              </w:rPr>
            </w:pPr>
            <w:r>
              <w:rPr>
                <w:b/>
                <w:sz w:val="17"/>
              </w:rPr>
              <w:t>Total</w:t>
            </w:r>
          </w:p>
        </w:tc>
        <w:tc>
          <w:tcPr>
            <w:tcW w:w="1220"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b/>
                <w:sz w:val="17"/>
              </w:rPr>
            </w:pPr>
            <w:r>
              <w:rPr>
                <w:b/>
                <w:sz w:val="17"/>
              </w:rPr>
              <w:t>41 424</w:t>
            </w:r>
          </w:p>
        </w:tc>
        <w:tc>
          <w:tcPr>
            <w:tcW w:w="1220"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b/>
                <w:sz w:val="17"/>
              </w:rPr>
            </w:pPr>
            <w:r>
              <w:rPr>
                <w:b/>
                <w:sz w:val="17"/>
              </w:rPr>
              <w:t>4 216</w:t>
            </w:r>
          </w:p>
        </w:tc>
        <w:tc>
          <w:tcPr>
            <w:tcW w:w="1220"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b/>
                <w:sz w:val="17"/>
              </w:rPr>
            </w:pPr>
            <w:r>
              <w:rPr>
                <w:b/>
                <w:sz w:val="17"/>
              </w:rPr>
              <w:t>37 208</w:t>
            </w:r>
          </w:p>
        </w:tc>
        <w:tc>
          <w:tcPr>
            <w:tcW w:w="1220"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b/>
                <w:sz w:val="17"/>
              </w:rPr>
            </w:pPr>
            <w:r>
              <w:rPr>
                <w:b/>
                <w:sz w:val="17"/>
              </w:rPr>
              <w:t>450</w:t>
            </w:r>
          </w:p>
        </w:tc>
      </w:tr>
    </w:tbl>
    <w:p w:rsidR="00000000" w:rsidRDefault="00000000"/>
    <w:p w:rsidR="00000000" w:rsidRDefault="00000000">
      <w:pPr>
        <w:keepLines/>
        <w:pageBreakBefore/>
        <w:widowControl w:val="0"/>
        <w:jc w:val="center"/>
      </w:pPr>
      <w:r>
        <w:t>Cantidad de habitantes (mayores de 15 años) por estado civil, sexo y nacionalidad</w:t>
      </w:r>
    </w:p>
    <w:p w:rsidR="00000000" w:rsidRDefault="00000000">
      <w:pPr>
        <w:keepLines/>
        <w:widowControl w:val="0"/>
        <w:spacing w:line="120" w:lineRule="exact"/>
        <w:jc w:val="center"/>
        <w:rPr>
          <w:sz w:val="10"/>
        </w:rPr>
      </w:pPr>
    </w:p>
    <w:p w:rsidR="00000000" w:rsidRDefault="00000000">
      <w:pPr>
        <w:keepLines/>
        <w:widowControl w:val="0"/>
        <w:spacing w:line="120" w:lineRule="exact"/>
        <w:rPr>
          <w:sz w:val="10"/>
        </w:rPr>
      </w:pPr>
    </w:p>
    <w:tbl>
      <w:tblPr>
        <w:tblW w:w="0" w:type="auto"/>
        <w:tblInd w:w="812" w:type="dxa"/>
        <w:tblLayout w:type="fixed"/>
        <w:tblLook w:val="0000" w:firstRow="0" w:lastRow="0" w:firstColumn="0" w:lastColumn="0" w:noHBand="0" w:noVBand="0"/>
      </w:tblPr>
      <w:tblGrid>
        <w:gridCol w:w="1170"/>
        <w:gridCol w:w="900"/>
        <w:gridCol w:w="932"/>
        <w:gridCol w:w="932"/>
        <w:gridCol w:w="933"/>
        <w:gridCol w:w="932"/>
        <w:gridCol w:w="932"/>
        <w:gridCol w:w="933"/>
      </w:tblGrid>
      <w:tr w:rsidR="00000000">
        <w:tblPrEx>
          <w:tblCellMar>
            <w:top w:w="0" w:type="dxa"/>
            <w:bottom w:w="0" w:type="dxa"/>
          </w:tblCellMar>
        </w:tblPrEx>
        <w:trPr>
          <w:cantSplit/>
          <w:tblHeader/>
        </w:trPr>
        <w:tc>
          <w:tcPr>
            <w:tcW w:w="1170" w:type="dxa"/>
            <w:vMerge w:val="restart"/>
            <w:tcBorders>
              <w:top w:val="single" w:sz="4" w:space="0" w:color="auto"/>
            </w:tcBorders>
            <w:vAlign w:val="bottom"/>
          </w:tcPr>
          <w:p w:rsidR="00000000" w:rsidRDefault="00000000">
            <w:pPr>
              <w:spacing w:before="81" w:after="81" w:line="160" w:lineRule="exact"/>
              <w:ind w:right="40"/>
              <w:rPr>
                <w:i/>
                <w:sz w:val="14"/>
              </w:rPr>
            </w:pPr>
            <w:r>
              <w:rPr>
                <w:i/>
                <w:sz w:val="14"/>
              </w:rPr>
              <w:t>Estado civil</w:t>
            </w:r>
          </w:p>
        </w:tc>
        <w:tc>
          <w:tcPr>
            <w:tcW w:w="900" w:type="dxa"/>
            <w:tcBorders>
              <w:top w:val="single" w:sz="4" w:space="0" w:color="auto"/>
            </w:tcBorders>
            <w:vAlign w:val="bottom"/>
          </w:tcPr>
          <w:p w:rsidR="00000000" w:rsidRDefault="00000000">
            <w:pPr>
              <w:spacing w:before="81" w:after="81" w:line="160" w:lineRule="exact"/>
              <w:ind w:right="40"/>
              <w:jc w:val="right"/>
              <w:rPr>
                <w:i/>
                <w:sz w:val="14"/>
              </w:rPr>
            </w:pPr>
          </w:p>
        </w:tc>
        <w:tc>
          <w:tcPr>
            <w:tcW w:w="1864" w:type="dxa"/>
            <w:gridSpan w:val="2"/>
            <w:tcBorders>
              <w:top w:val="single" w:sz="4" w:space="0" w:color="auto"/>
            </w:tcBorders>
            <w:vAlign w:val="bottom"/>
          </w:tcPr>
          <w:p w:rsidR="00000000" w:rsidRDefault="00000000">
            <w:pPr>
              <w:spacing w:before="81" w:after="81" w:line="160" w:lineRule="exact"/>
              <w:ind w:right="40"/>
              <w:jc w:val="center"/>
              <w:rPr>
                <w:i/>
                <w:sz w:val="14"/>
              </w:rPr>
            </w:pPr>
            <w:r>
              <w:rPr>
                <w:i/>
                <w:sz w:val="14"/>
              </w:rPr>
              <w:t>1997</w:t>
            </w:r>
          </w:p>
        </w:tc>
        <w:tc>
          <w:tcPr>
            <w:tcW w:w="1865" w:type="dxa"/>
            <w:gridSpan w:val="2"/>
            <w:tcBorders>
              <w:top w:val="single" w:sz="4" w:space="0" w:color="auto"/>
            </w:tcBorders>
            <w:vAlign w:val="bottom"/>
          </w:tcPr>
          <w:p w:rsidR="00000000" w:rsidRDefault="00000000">
            <w:pPr>
              <w:spacing w:before="81" w:after="81" w:line="160" w:lineRule="exact"/>
              <w:ind w:right="40"/>
              <w:jc w:val="center"/>
              <w:rPr>
                <w:i/>
                <w:sz w:val="14"/>
              </w:rPr>
            </w:pPr>
            <w:r>
              <w:rPr>
                <w:i/>
                <w:sz w:val="14"/>
              </w:rPr>
              <w:t>1998</w:t>
            </w:r>
          </w:p>
        </w:tc>
        <w:tc>
          <w:tcPr>
            <w:tcW w:w="1865" w:type="dxa"/>
            <w:gridSpan w:val="2"/>
            <w:tcBorders>
              <w:top w:val="single" w:sz="4" w:space="0" w:color="auto"/>
            </w:tcBorders>
            <w:vAlign w:val="bottom"/>
          </w:tcPr>
          <w:p w:rsidR="00000000" w:rsidRDefault="00000000">
            <w:pPr>
              <w:spacing w:before="81" w:after="81" w:line="160" w:lineRule="exact"/>
              <w:ind w:right="40"/>
              <w:jc w:val="center"/>
              <w:rPr>
                <w:i/>
                <w:sz w:val="14"/>
              </w:rPr>
            </w:pPr>
            <w:r>
              <w:rPr>
                <w:i/>
                <w:sz w:val="14"/>
              </w:rPr>
              <w:t>1999</w:t>
            </w:r>
          </w:p>
        </w:tc>
      </w:tr>
      <w:tr w:rsidR="00000000">
        <w:tblPrEx>
          <w:tblCellMar>
            <w:top w:w="0" w:type="dxa"/>
            <w:bottom w:w="0" w:type="dxa"/>
          </w:tblCellMar>
        </w:tblPrEx>
        <w:trPr>
          <w:cantSplit/>
          <w:tblHeader/>
        </w:trPr>
        <w:tc>
          <w:tcPr>
            <w:tcW w:w="1170" w:type="dxa"/>
            <w:vMerge/>
            <w:vAlign w:val="bottom"/>
          </w:tcPr>
          <w:p w:rsidR="00000000" w:rsidRDefault="00000000">
            <w:pPr>
              <w:spacing w:after="81" w:line="160" w:lineRule="exact"/>
              <w:ind w:right="40"/>
              <w:rPr>
                <w:i/>
                <w:sz w:val="14"/>
              </w:rPr>
            </w:pPr>
          </w:p>
        </w:tc>
        <w:tc>
          <w:tcPr>
            <w:tcW w:w="900" w:type="dxa"/>
            <w:vAlign w:val="bottom"/>
          </w:tcPr>
          <w:p w:rsidR="00000000" w:rsidRDefault="00000000">
            <w:pPr>
              <w:spacing w:after="81" w:line="160" w:lineRule="exact"/>
              <w:ind w:right="40"/>
              <w:jc w:val="right"/>
              <w:rPr>
                <w:i/>
                <w:sz w:val="14"/>
              </w:rPr>
            </w:pPr>
          </w:p>
        </w:tc>
        <w:tc>
          <w:tcPr>
            <w:tcW w:w="932" w:type="dxa"/>
            <w:vAlign w:val="bottom"/>
          </w:tcPr>
          <w:p w:rsidR="00000000" w:rsidRDefault="00000000">
            <w:pPr>
              <w:spacing w:after="81" w:line="160" w:lineRule="exact"/>
              <w:ind w:right="40"/>
              <w:jc w:val="right"/>
              <w:rPr>
                <w:i/>
                <w:sz w:val="14"/>
              </w:rPr>
            </w:pPr>
            <w:r>
              <w:rPr>
                <w:i/>
                <w:sz w:val="14"/>
              </w:rPr>
              <w:t>Kuwaitíes</w:t>
            </w:r>
          </w:p>
        </w:tc>
        <w:tc>
          <w:tcPr>
            <w:tcW w:w="932" w:type="dxa"/>
            <w:tcBorders>
              <w:bottom w:val="single" w:sz="12" w:space="0" w:color="auto"/>
            </w:tcBorders>
            <w:vAlign w:val="bottom"/>
          </w:tcPr>
          <w:p w:rsidR="00000000" w:rsidRDefault="00000000">
            <w:pPr>
              <w:spacing w:after="81" w:line="160" w:lineRule="exact"/>
              <w:ind w:right="40"/>
              <w:jc w:val="right"/>
              <w:rPr>
                <w:i/>
                <w:sz w:val="14"/>
              </w:rPr>
            </w:pPr>
            <w:r>
              <w:rPr>
                <w:i/>
                <w:sz w:val="14"/>
              </w:rPr>
              <w:t>No kuwaitíes</w:t>
            </w:r>
          </w:p>
        </w:tc>
        <w:tc>
          <w:tcPr>
            <w:tcW w:w="933" w:type="dxa"/>
            <w:tcBorders>
              <w:bottom w:val="single" w:sz="12" w:space="0" w:color="auto"/>
            </w:tcBorders>
            <w:vAlign w:val="bottom"/>
          </w:tcPr>
          <w:p w:rsidR="00000000" w:rsidRDefault="00000000">
            <w:pPr>
              <w:spacing w:after="81" w:line="160" w:lineRule="exact"/>
              <w:ind w:right="40"/>
              <w:jc w:val="right"/>
              <w:rPr>
                <w:i/>
                <w:sz w:val="14"/>
              </w:rPr>
            </w:pPr>
            <w:r>
              <w:rPr>
                <w:i/>
                <w:sz w:val="14"/>
              </w:rPr>
              <w:t>Kuwaitíes</w:t>
            </w:r>
          </w:p>
        </w:tc>
        <w:tc>
          <w:tcPr>
            <w:tcW w:w="932" w:type="dxa"/>
            <w:vAlign w:val="bottom"/>
          </w:tcPr>
          <w:p w:rsidR="00000000" w:rsidRDefault="00000000">
            <w:pPr>
              <w:spacing w:after="81" w:line="160" w:lineRule="exact"/>
              <w:ind w:right="40"/>
              <w:jc w:val="right"/>
              <w:rPr>
                <w:i/>
                <w:sz w:val="14"/>
              </w:rPr>
            </w:pPr>
            <w:r>
              <w:rPr>
                <w:i/>
                <w:sz w:val="14"/>
              </w:rPr>
              <w:t>No kuwaitíes</w:t>
            </w:r>
          </w:p>
        </w:tc>
        <w:tc>
          <w:tcPr>
            <w:tcW w:w="932" w:type="dxa"/>
            <w:vAlign w:val="bottom"/>
          </w:tcPr>
          <w:p w:rsidR="00000000" w:rsidRDefault="00000000">
            <w:pPr>
              <w:spacing w:after="81" w:line="160" w:lineRule="exact"/>
              <w:ind w:right="40"/>
              <w:jc w:val="right"/>
              <w:rPr>
                <w:i/>
                <w:sz w:val="14"/>
              </w:rPr>
            </w:pPr>
            <w:r>
              <w:rPr>
                <w:i/>
                <w:sz w:val="14"/>
              </w:rPr>
              <w:t>Kuwaitíes</w:t>
            </w:r>
          </w:p>
        </w:tc>
        <w:tc>
          <w:tcPr>
            <w:tcW w:w="933" w:type="dxa"/>
            <w:vAlign w:val="bottom"/>
          </w:tcPr>
          <w:p w:rsidR="00000000" w:rsidRDefault="00000000">
            <w:pPr>
              <w:spacing w:after="81" w:line="160" w:lineRule="exact"/>
              <w:ind w:right="40"/>
              <w:jc w:val="right"/>
              <w:rPr>
                <w:i/>
                <w:sz w:val="14"/>
              </w:rPr>
            </w:pPr>
            <w:r>
              <w:rPr>
                <w:i/>
                <w:sz w:val="14"/>
              </w:rPr>
              <w:t>No kuwaitíes</w:t>
            </w:r>
          </w:p>
        </w:tc>
      </w:tr>
      <w:tr w:rsidR="00000000">
        <w:tblPrEx>
          <w:tblCellMar>
            <w:top w:w="0" w:type="dxa"/>
            <w:bottom w:w="0" w:type="dxa"/>
          </w:tblCellMar>
        </w:tblPrEx>
        <w:trPr>
          <w:cantSplit/>
          <w:trHeight w:hRule="exact" w:val="115"/>
          <w:tblHeader/>
        </w:trPr>
        <w:tc>
          <w:tcPr>
            <w:tcW w:w="1170" w:type="dxa"/>
            <w:tcBorders>
              <w:top w:val="single" w:sz="12" w:space="0" w:color="auto"/>
            </w:tcBorders>
            <w:vAlign w:val="bottom"/>
          </w:tcPr>
          <w:p w:rsidR="00000000" w:rsidRDefault="00000000">
            <w:pPr>
              <w:spacing w:before="40" w:after="40" w:line="210" w:lineRule="exact"/>
              <w:ind w:right="40"/>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32" w:type="dxa"/>
            <w:tcBorders>
              <w:top w:val="single" w:sz="12" w:space="0" w:color="auto"/>
            </w:tcBorders>
            <w:vAlign w:val="bottom"/>
          </w:tcPr>
          <w:p w:rsidR="00000000" w:rsidRDefault="00000000">
            <w:pPr>
              <w:spacing w:before="40" w:after="40" w:line="210" w:lineRule="exact"/>
              <w:ind w:right="40"/>
              <w:jc w:val="right"/>
              <w:rPr>
                <w:sz w:val="17"/>
              </w:rPr>
            </w:pPr>
          </w:p>
        </w:tc>
        <w:tc>
          <w:tcPr>
            <w:tcW w:w="932" w:type="dxa"/>
            <w:vAlign w:val="bottom"/>
          </w:tcPr>
          <w:p w:rsidR="00000000" w:rsidRDefault="00000000">
            <w:pPr>
              <w:spacing w:before="40" w:after="40" w:line="210" w:lineRule="exact"/>
              <w:ind w:right="40"/>
              <w:jc w:val="right"/>
              <w:rPr>
                <w:sz w:val="17"/>
              </w:rPr>
            </w:pPr>
          </w:p>
        </w:tc>
        <w:tc>
          <w:tcPr>
            <w:tcW w:w="933" w:type="dxa"/>
            <w:vAlign w:val="bottom"/>
          </w:tcPr>
          <w:p w:rsidR="00000000" w:rsidRDefault="00000000">
            <w:pPr>
              <w:spacing w:before="40" w:after="40" w:line="210" w:lineRule="exact"/>
              <w:ind w:right="40"/>
              <w:jc w:val="right"/>
              <w:rPr>
                <w:sz w:val="17"/>
              </w:rPr>
            </w:pPr>
          </w:p>
        </w:tc>
        <w:tc>
          <w:tcPr>
            <w:tcW w:w="932" w:type="dxa"/>
            <w:tcBorders>
              <w:top w:val="single" w:sz="12" w:space="0" w:color="auto"/>
            </w:tcBorders>
            <w:vAlign w:val="bottom"/>
          </w:tcPr>
          <w:p w:rsidR="00000000" w:rsidRDefault="00000000">
            <w:pPr>
              <w:spacing w:before="40" w:after="40" w:line="210" w:lineRule="exact"/>
              <w:ind w:right="40"/>
              <w:jc w:val="right"/>
              <w:rPr>
                <w:sz w:val="17"/>
              </w:rPr>
            </w:pPr>
          </w:p>
        </w:tc>
        <w:tc>
          <w:tcPr>
            <w:tcW w:w="932" w:type="dxa"/>
            <w:tcBorders>
              <w:top w:val="single" w:sz="12" w:space="0" w:color="auto"/>
            </w:tcBorders>
            <w:vAlign w:val="bottom"/>
          </w:tcPr>
          <w:p w:rsidR="00000000" w:rsidRDefault="00000000">
            <w:pPr>
              <w:spacing w:before="40" w:after="40" w:line="210" w:lineRule="exact"/>
              <w:ind w:right="40"/>
              <w:jc w:val="right"/>
              <w:rPr>
                <w:sz w:val="17"/>
              </w:rPr>
            </w:pPr>
          </w:p>
        </w:tc>
        <w:tc>
          <w:tcPr>
            <w:tcW w:w="93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rPr>
          <w:cantSplit/>
        </w:trPr>
        <w:tc>
          <w:tcPr>
            <w:tcW w:w="1170" w:type="dxa"/>
            <w:vMerge w:val="restart"/>
          </w:tcPr>
          <w:p w:rsidR="00000000" w:rsidRDefault="00000000">
            <w:pPr>
              <w:tabs>
                <w:tab w:val="left" w:pos="288"/>
                <w:tab w:val="left" w:pos="576"/>
                <w:tab w:val="left" w:pos="864"/>
                <w:tab w:val="left" w:pos="1152"/>
              </w:tabs>
              <w:spacing w:before="40" w:after="40" w:line="210" w:lineRule="exact"/>
              <w:ind w:right="40"/>
              <w:rPr>
                <w:sz w:val="14"/>
              </w:rPr>
            </w:pPr>
            <w:r>
              <w:rPr>
                <w:sz w:val="14"/>
              </w:rPr>
              <w:t>Solteros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Hombres</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78 560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358 236</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82 701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384 707</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86 744</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392 079</w:t>
            </w:r>
          </w:p>
        </w:tc>
      </w:tr>
      <w:tr w:rsidR="00000000">
        <w:tblPrEx>
          <w:tblCellMar>
            <w:top w:w="0" w:type="dxa"/>
            <w:bottom w:w="0" w:type="dxa"/>
          </w:tblCellMar>
        </w:tblPrEx>
        <w:trPr>
          <w:cantSplit/>
        </w:trPr>
        <w:tc>
          <w:tcPr>
            <w:tcW w:w="1170" w:type="dxa"/>
            <w:vMerge/>
          </w:tcPr>
          <w:p w:rsidR="00000000" w:rsidRDefault="00000000">
            <w:pPr>
              <w:tabs>
                <w:tab w:val="left" w:pos="288"/>
                <w:tab w:val="left" w:pos="576"/>
                <w:tab w:val="left" w:pos="864"/>
                <w:tab w:val="left" w:pos="1152"/>
              </w:tabs>
              <w:spacing w:before="40" w:after="40" w:line="210" w:lineRule="exact"/>
              <w:ind w:right="40"/>
              <w:rPr>
                <w:sz w:val="14"/>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Mujeres</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67 634</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115 730</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72 049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119 180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75 894</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117 952</w:t>
            </w:r>
          </w:p>
        </w:tc>
      </w:tr>
      <w:tr w:rsidR="00000000">
        <w:tblPrEx>
          <w:tblCellMar>
            <w:top w:w="0" w:type="dxa"/>
            <w:bottom w:w="0" w:type="dxa"/>
          </w:tblCellMar>
        </w:tblPrEx>
        <w:trPr>
          <w:cantSplit/>
        </w:trPr>
        <w:tc>
          <w:tcPr>
            <w:tcW w:w="1170" w:type="dxa"/>
            <w:vMerge w:val="restart"/>
          </w:tcPr>
          <w:p w:rsidR="00000000" w:rsidRDefault="00000000">
            <w:pPr>
              <w:tabs>
                <w:tab w:val="left" w:pos="288"/>
                <w:tab w:val="left" w:pos="576"/>
                <w:tab w:val="left" w:pos="864"/>
                <w:tab w:val="left" w:pos="1152"/>
              </w:tabs>
              <w:spacing w:before="40" w:after="40" w:line="210" w:lineRule="exact"/>
              <w:ind w:right="40"/>
              <w:rPr>
                <w:sz w:val="14"/>
              </w:rPr>
            </w:pPr>
            <w:r>
              <w:rPr>
                <w:sz w:val="14"/>
              </w:rPr>
              <w:t>Casados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Hombres</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122 189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487 998</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126 514</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490 990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130 826</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455 544</w:t>
            </w:r>
          </w:p>
        </w:tc>
      </w:tr>
      <w:tr w:rsidR="00000000">
        <w:tblPrEx>
          <w:tblCellMar>
            <w:top w:w="0" w:type="dxa"/>
            <w:bottom w:w="0" w:type="dxa"/>
          </w:tblCellMar>
        </w:tblPrEx>
        <w:trPr>
          <w:cantSplit/>
        </w:trPr>
        <w:tc>
          <w:tcPr>
            <w:tcW w:w="1170" w:type="dxa"/>
            <w:vMerge/>
          </w:tcPr>
          <w:p w:rsidR="00000000" w:rsidRDefault="00000000">
            <w:pPr>
              <w:tabs>
                <w:tab w:val="left" w:pos="288"/>
                <w:tab w:val="left" w:pos="576"/>
                <w:tab w:val="left" w:pos="864"/>
                <w:tab w:val="left" w:pos="1152"/>
              </w:tabs>
              <w:spacing w:before="40" w:after="40" w:line="210" w:lineRule="exact"/>
              <w:ind w:right="40"/>
              <w:rPr>
                <w:sz w:val="14"/>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Mujeres</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125 420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231 187</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130 441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232 821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135 201</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227 113</w:t>
            </w:r>
          </w:p>
        </w:tc>
      </w:tr>
      <w:tr w:rsidR="00000000">
        <w:tblPrEx>
          <w:tblCellMar>
            <w:top w:w="0" w:type="dxa"/>
            <w:bottom w:w="0" w:type="dxa"/>
          </w:tblCellMar>
        </w:tblPrEx>
        <w:trPr>
          <w:cantSplit/>
        </w:trPr>
        <w:tc>
          <w:tcPr>
            <w:tcW w:w="1170" w:type="dxa"/>
            <w:vMerge w:val="restart"/>
          </w:tcPr>
          <w:p w:rsidR="00000000" w:rsidRDefault="00000000">
            <w:pPr>
              <w:tabs>
                <w:tab w:val="left" w:pos="288"/>
                <w:tab w:val="left" w:pos="576"/>
                <w:tab w:val="left" w:pos="864"/>
                <w:tab w:val="left" w:pos="1152"/>
              </w:tabs>
              <w:spacing w:before="40" w:after="40" w:line="210" w:lineRule="exact"/>
              <w:ind w:right="40"/>
              <w:rPr>
                <w:sz w:val="14"/>
              </w:rPr>
            </w:pPr>
            <w:r>
              <w:rPr>
                <w:sz w:val="14"/>
              </w:rPr>
              <w:t>Divorciados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Hombres</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5 504</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3 442</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5 977</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3 797</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6 390</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3 929</w:t>
            </w:r>
          </w:p>
        </w:tc>
      </w:tr>
      <w:tr w:rsidR="00000000">
        <w:tblPrEx>
          <w:tblCellMar>
            <w:top w:w="0" w:type="dxa"/>
            <w:bottom w:w="0" w:type="dxa"/>
          </w:tblCellMar>
        </w:tblPrEx>
        <w:trPr>
          <w:cantSplit/>
        </w:trPr>
        <w:tc>
          <w:tcPr>
            <w:tcW w:w="1170" w:type="dxa"/>
            <w:vMerge/>
          </w:tcPr>
          <w:p w:rsidR="00000000" w:rsidRDefault="00000000">
            <w:pPr>
              <w:tabs>
                <w:tab w:val="left" w:pos="288"/>
                <w:tab w:val="left" w:pos="576"/>
                <w:tab w:val="left" w:pos="864"/>
                <w:tab w:val="left" w:pos="1152"/>
              </w:tabs>
              <w:spacing w:before="40" w:after="40" w:line="210" w:lineRule="exact"/>
              <w:ind w:right="40"/>
              <w:rPr>
                <w:sz w:val="14"/>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Mujeres</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12 621</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5 482</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13 512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5 792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14 364</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6 093</w:t>
            </w:r>
          </w:p>
        </w:tc>
      </w:tr>
      <w:tr w:rsidR="00000000">
        <w:tblPrEx>
          <w:tblCellMar>
            <w:top w:w="0" w:type="dxa"/>
            <w:bottom w:w="0" w:type="dxa"/>
          </w:tblCellMar>
        </w:tblPrEx>
        <w:trPr>
          <w:cantSplit/>
        </w:trPr>
        <w:tc>
          <w:tcPr>
            <w:tcW w:w="1170" w:type="dxa"/>
            <w:vMerge w:val="restart"/>
          </w:tcPr>
          <w:p w:rsidR="00000000" w:rsidRDefault="00000000">
            <w:pPr>
              <w:tabs>
                <w:tab w:val="left" w:pos="288"/>
                <w:tab w:val="left" w:pos="576"/>
                <w:tab w:val="left" w:pos="864"/>
                <w:tab w:val="left" w:pos="1152"/>
              </w:tabs>
              <w:spacing w:before="40" w:after="40" w:line="210" w:lineRule="exact"/>
              <w:ind w:right="40"/>
              <w:rPr>
                <w:sz w:val="14"/>
              </w:rPr>
            </w:pPr>
            <w:r>
              <w:rPr>
                <w:sz w:val="14"/>
              </w:rPr>
              <w:t>Viudos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Hombres</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976</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954</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1 025</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1 000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1 107</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1 015</w:t>
            </w:r>
          </w:p>
        </w:tc>
      </w:tr>
      <w:tr w:rsidR="00000000">
        <w:tblPrEx>
          <w:tblCellMar>
            <w:top w:w="0" w:type="dxa"/>
            <w:bottom w:w="0" w:type="dxa"/>
          </w:tblCellMar>
        </w:tblPrEx>
        <w:trPr>
          <w:cantSplit/>
        </w:trPr>
        <w:tc>
          <w:tcPr>
            <w:tcW w:w="1170" w:type="dxa"/>
            <w:vMerge/>
          </w:tcPr>
          <w:p w:rsidR="00000000" w:rsidRDefault="00000000">
            <w:pPr>
              <w:tabs>
                <w:tab w:val="left" w:pos="288"/>
                <w:tab w:val="left" w:pos="576"/>
                <w:tab w:val="left" w:pos="864"/>
                <w:tab w:val="left" w:pos="1152"/>
              </w:tabs>
              <w:spacing w:before="40" w:after="40" w:line="210" w:lineRule="exact"/>
              <w:ind w:right="40"/>
              <w:rPr>
                <w:sz w:val="14"/>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Mujeres</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13 994</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8 835</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14 572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8 852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15 187</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8 604</w:t>
            </w:r>
          </w:p>
        </w:tc>
      </w:tr>
      <w:tr w:rsidR="00000000">
        <w:tblPrEx>
          <w:tblCellMar>
            <w:top w:w="0" w:type="dxa"/>
            <w:bottom w:w="0" w:type="dxa"/>
          </w:tblCellMar>
        </w:tblPrEx>
        <w:trPr>
          <w:cantSplit/>
        </w:trPr>
        <w:tc>
          <w:tcPr>
            <w:tcW w:w="1170" w:type="dxa"/>
            <w:vMerge w:val="restart"/>
          </w:tcPr>
          <w:p w:rsidR="00000000" w:rsidRDefault="00000000">
            <w:pPr>
              <w:tabs>
                <w:tab w:val="left" w:pos="288"/>
                <w:tab w:val="left" w:pos="576"/>
                <w:tab w:val="left" w:pos="864"/>
                <w:tab w:val="left" w:pos="1152"/>
              </w:tabs>
              <w:spacing w:before="40" w:after="40" w:line="210" w:lineRule="exact"/>
              <w:ind w:right="40"/>
              <w:rPr>
                <w:sz w:val="14"/>
              </w:rPr>
            </w:pPr>
            <w:r>
              <w:rPr>
                <w:sz w:val="14"/>
              </w:rPr>
              <w:t>No declarado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Hombres</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42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109</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78</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124</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98</w:t>
            </w:r>
          </w:p>
        </w:tc>
        <w:tc>
          <w:tcPr>
            <w:tcW w:w="933" w:type="dxa"/>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113</w:t>
            </w:r>
          </w:p>
        </w:tc>
      </w:tr>
      <w:tr w:rsidR="00000000">
        <w:tblPrEx>
          <w:tblCellMar>
            <w:top w:w="0" w:type="dxa"/>
            <w:bottom w:w="0" w:type="dxa"/>
          </w:tblCellMar>
        </w:tblPrEx>
        <w:trPr>
          <w:cantSplit/>
        </w:trPr>
        <w:tc>
          <w:tcPr>
            <w:tcW w:w="1170"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4"/>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Mujeres</w:t>
            </w: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62</w:t>
            </w: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102</w:t>
            </w:r>
          </w:p>
        </w:tc>
        <w:tc>
          <w:tcPr>
            <w:tcW w:w="93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95</w:t>
            </w: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109</w:t>
            </w: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130</w:t>
            </w:r>
          </w:p>
        </w:tc>
        <w:tc>
          <w:tcPr>
            <w:tcW w:w="93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108</w:t>
            </w:r>
          </w:p>
        </w:tc>
      </w:tr>
    </w:tbl>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t>Nacidos vivos y defunciones por nacionalidad y sexo, 1996-1999</w:t>
      </w:r>
    </w:p>
    <w:p w:rsidR="00000000" w:rsidRDefault="00000000">
      <w:pPr>
        <w:spacing w:line="120" w:lineRule="exact"/>
        <w:jc w:val="center"/>
        <w:rPr>
          <w:sz w:val="10"/>
        </w:rPr>
      </w:pPr>
    </w:p>
    <w:p w:rsidR="00000000" w:rsidRDefault="00000000">
      <w:pPr>
        <w:spacing w:line="120" w:lineRule="exact"/>
        <w:rPr>
          <w:sz w:val="10"/>
        </w:rPr>
      </w:pPr>
    </w:p>
    <w:tbl>
      <w:tblPr>
        <w:tblW w:w="0" w:type="auto"/>
        <w:tblInd w:w="1154" w:type="dxa"/>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trPr>
        <w:tc>
          <w:tcPr>
            <w:tcW w:w="1464" w:type="dxa"/>
            <w:vMerge w:val="restart"/>
            <w:tcBorders>
              <w:top w:val="single" w:sz="4" w:space="0" w:color="auto"/>
            </w:tcBorders>
            <w:vAlign w:val="bottom"/>
          </w:tcPr>
          <w:p w:rsidR="00000000" w:rsidRDefault="00000000">
            <w:pPr>
              <w:spacing w:before="81" w:after="81" w:line="160" w:lineRule="exact"/>
              <w:ind w:right="40"/>
              <w:rPr>
                <w:i/>
                <w:sz w:val="14"/>
              </w:rPr>
            </w:pPr>
            <w:r>
              <w:rPr>
                <w:i/>
                <w:sz w:val="14"/>
              </w:rPr>
              <w:t>Año</w:t>
            </w:r>
          </w:p>
        </w:tc>
        <w:tc>
          <w:tcPr>
            <w:tcW w:w="2928" w:type="dxa"/>
            <w:gridSpan w:val="2"/>
            <w:tcBorders>
              <w:top w:val="single" w:sz="4" w:space="0" w:color="auto"/>
            </w:tcBorders>
            <w:vAlign w:val="bottom"/>
          </w:tcPr>
          <w:p w:rsidR="00000000" w:rsidRDefault="00000000">
            <w:pPr>
              <w:spacing w:before="81" w:after="81" w:line="160" w:lineRule="exact"/>
              <w:ind w:right="40"/>
              <w:jc w:val="center"/>
              <w:rPr>
                <w:i/>
                <w:sz w:val="14"/>
              </w:rPr>
            </w:pPr>
            <w:r>
              <w:rPr>
                <w:i/>
                <w:sz w:val="14"/>
              </w:rPr>
              <w:t>Nacidos vivos</w:t>
            </w:r>
          </w:p>
        </w:tc>
        <w:tc>
          <w:tcPr>
            <w:tcW w:w="2928" w:type="dxa"/>
            <w:gridSpan w:val="2"/>
            <w:tcBorders>
              <w:top w:val="single" w:sz="4" w:space="0" w:color="auto"/>
            </w:tcBorders>
            <w:vAlign w:val="bottom"/>
          </w:tcPr>
          <w:p w:rsidR="00000000" w:rsidRDefault="00000000">
            <w:pPr>
              <w:spacing w:before="81" w:after="81" w:line="160" w:lineRule="exact"/>
              <w:ind w:right="40"/>
              <w:jc w:val="center"/>
              <w:rPr>
                <w:i/>
                <w:sz w:val="14"/>
              </w:rPr>
            </w:pPr>
            <w:r>
              <w:rPr>
                <w:i/>
                <w:sz w:val="14"/>
              </w:rPr>
              <w:t>Defunciones</w:t>
            </w:r>
          </w:p>
        </w:tc>
      </w:tr>
      <w:tr w:rsidR="00000000">
        <w:tblPrEx>
          <w:tblCellMar>
            <w:top w:w="0" w:type="dxa"/>
            <w:bottom w:w="0" w:type="dxa"/>
          </w:tblCellMar>
        </w:tblPrEx>
        <w:trPr>
          <w:cantSplit/>
          <w:tblHeader/>
        </w:trPr>
        <w:tc>
          <w:tcPr>
            <w:tcW w:w="1464" w:type="dxa"/>
            <w:vMerge/>
            <w:vAlign w:val="bottom"/>
          </w:tcPr>
          <w:p w:rsidR="00000000" w:rsidRDefault="00000000">
            <w:pPr>
              <w:spacing w:after="81" w:line="160" w:lineRule="exact"/>
              <w:ind w:right="40"/>
              <w:rPr>
                <w:i/>
                <w:sz w:val="14"/>
              </w:rPr>
            </w:pPr>
          </w:p>
        </w:tc>
        <w:tc>
          <w:tcPr>
            <w:tcW w:w="1464" w:type="dxa"/>
            <w:vAlign w:val="bottom"/>
          </w:tcPr>
          <w:p w:rsidR="00000000" w:rsidRDefault="00000000">
            <w:pPr>
              <w:spacing w:after="81" w:line="160" w:lineRule="exact"/>
              <w:ind w:right="40"/>
              <w:jc w:val="center"/>
              <w:rPr>
                <w:i/>
                <w:sz w:val="14"/>
              </w:rPr>
            </w:pPr>
            <w:r>
              <w:rPr>
                <w:i/>
                <w:sz w:val="14"/>
              </w:rPr>
              <w:t>Hombres</w:t>
            </w:r>
          </w:p>
        </w:tc>
        <w:tc>
          <w:tcPr>
            <w:tcW w:w="1464" w:type="dxa"/>
            <w:vAlign w:val="bottom"/>
          </w:tcPr>
          <w:p w:rsidR="00000000" w:rsidRDefault="00000000">
            <w:pPr>
              <w:spacing w:after="81" w:line="160" w:lineRule="exact"/>
              <w:ind w:right="40"/>
              <w:jc w:val="center"/>
              <w:rPr>
                <w:i/>
                <w:sz w:val="14"/>
              </w:rPr>
            </w:pPr>
            <w:r>
              <w:rPr>
                <w:i/>
                <w:sz w:val="14"/>
              </w:rPr>
              <w:t>Mujeres</w:t>
            </w:r>
          </w:p>
        </w:tc>
        <w:tc>
          <w:tcPr>
            <w:tcW w:w="1464" w:type="dxa"/>
            <w:vAlign w:val="bottom"/>
          </w:tcPr>
          <w:p w:rsidR="00000000" w:rsidRDefault="00000000">
            <w:pPr>
              <w:spacing w:after="81" w:line="160" w:lineRule="exact"/>
              <w:ind w:right="40"/>
              <w:jc w:val="center"/>
              <w:rPr>
                <w:i/>
                <w:sz w:val="14"/>
              </w:rPr>
            </w:pPr>
            <w:r>
              <w:rPr>
                <w:i/>
                <w:sz w:val="14"/>
              </w:rPr>
              <w:t>Hombres</w:t>
            </w:r>
          </w:p>
        </w:tc>
        <w:tc>
          <w:tcPr>
            <w:tcW w:w="1464" w:type="dxa"/>
            <w:vAlign w:val="bottom"/>
          </w:tcPr>
          <w:p w:rsidR="00000000" w:rsidRDefault="00000000">
            <w:pPr>
              <w:spacing w:after="81" w:line="160" w:lineRule="exact"/>
              <w:ind w:right="40"/>
              <w:jc w:val="center"/>
              <w:rPr>
                <w:i/>
                <w:sz w:val="14"/>
              </w:rPr>
            </w:pPr>
            <w:r>
              <w:rPr>
                <w:i/>
                <w:sz w:val="14"/>
              </w:rPr>
              <w:t>Mujeres</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spacing w:before="40" w:after="40" w:line="210" w:lineRule="exact"/>
              <w:ind w:right="40"/>
              <w:rPr>
                <w:sz w:val="17"/>
              </w:rPr>
            </w:pPr>
          </w:p>
        </w:tc>
        <w:tc>
          <w:tcPr>
            <w:tcW w:w="1464" w:type="dxa"/>
            <w:tcBorders>
              <w:top w:val="single" w:sz="12" w:space="0" w:color="auto"/>
            </w:tcBorders>
            <w:vAlign w:val="bottom"/>
          </w:tcPr>
          <w:p w:rsidR="00000000" w:rsidRDefault="00000000">
            <w:pPr>
              <w:spacing w:before="40" w:after="40" w:line="210" w:lineRule="exact"/>
              <w:ind w:right="40"/>
              <w:jc w:val="right"/>
              <w:rPr>
                <w:sz w:val="17"/>
              </w:rPr>
            </w:pPr>
          </w:p>
        </w:tc>
        <w:tc>
          <w:tcPr>
            <w:tcW w:w="1464" w:type="dxa"/>
            <w:tcBorders>
              <w:top w:val="single" w:sz="12" w:space="0" w:color="auto"/>
            </w:tcBorders>
            <w:vAlign w:val="bottom"/>
          </w:tcPr>
          <w:p w:rsidR="00000000" w:rsidRDefault="00000000">
            <w:pPr>
              <w:spacing w:before="40" w:after="40" w:line="210" w:lineRule="exact"/>
              <w:ind w:right="40"/>
              <w:jc w:val="right"/>
              <w:rPr>
                <w:sz w:val="17"/>
              </w:rPr>
            </w:pPr>
          </w:p>
        </w:tc>
        <w:tc>
          <w:tcPr>
            <w:tcW w:w="1464" w:type="dxa"/>
            <w:tcBorders>
              <w:top w:val="single" w:sz="12" w:space="0" w:color="auto"/>
            </w:tcBorders>
            <w:vAlign w:val="bottom"/>
          </w:tcPr>
          <w:p w:rsidR="00000000" w:rsidRDefault="00000000">
            <w:pPr>
              <w:spacing w:before="40" w:after="40" w:line="210" w:lineRule="exact"/>
              <w:ind w:right="40"/>
              <w:jc w:val="right"/>
              <w:rPr>
                <w:sz w:val="17"/>
              </w:rPr>
            </w:pPr>
          </w:p>
        </w:tc>
        <w:tc>
          <w:tcPr>
            <w:tcW w:w="146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rPr>
          <w:cantSplit/>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856"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Kuwaitíes</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13 387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13249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958</w:t>
            </w:r>
          </w:p>
        </w:tc>
      </w:tr>
      <w:tr w:rsidR="00000000">
        <w:tblPrEx>
          <w:tblCellMar>
            <w:top w:w="0" w:type="dxa"/>
            <w:bottom w:w="0" w:type="dxa"/>
          </w:tblCellMar>
        </w:tblPrEx>
        <w:trPr>
          <w:cantSplit/>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856"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1999 (datos preliminares)</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Enero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Febrero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Marzo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bottom w:w="0" w:type="dxa"/>
          </w:tblCellMar>
        </w:tblPrEx>
        <w:trPr>
          <w:cantSplit/>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856"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No kuwaitíes</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9 263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8 909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8 545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8 069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7 785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r>
      <w:tr w:rsidR="00000000">
        <w:tblPrEx>
          <w:tblCellMar>
            <w:top w:w="0" w:type="dxa"/>
            <w:bottom w:w="0" w:type="dxa"/>
          </w:tblCellMar>
        </w:tblPrEx>
        <w:trPr>
          <w:cantSplit/>
        </w:trPr>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856"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1999 (datos preliminares)</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Enero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Febrero</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Marzo</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bl>
    <w:p w:rsidR="00000000" w:rsidRDefault="00000000"/>
    <w:p w:rsidR="00000000" w:rsidRDefault="00000000">
      <w:pPr>
        <w:jc w:val="center"/>
      </w:pPr>
    </w:p>
    <w:p w:rsidR="00000000" w:rsidRDefault="00000000">
      <w:pPr>
        <w:pageBreakBefore/>
        <w:jc w:val="center"/>
      </w:pPr>
      <w:r>
        <w:t>Población, recursos humanos y fuerza de trabajo por situación de empleo,</w:t>
      </w:r>
      <w:r>
        <w:br/>
        <w:t>sexo y nacionalidad al 31 de diciembre de 1998 y 1999</w:t>
      </w:r>
    </w:p>
    <w:p w:rsidR="00000000" w:rsidRDefault="00000000">
      <w:pPr>
        <w:spacing w:line="120" w:lineRule="exact"/>
        <w:jc w:val="both"/>
        <w:rPr>
          <w:sz w:val="10"/>
        </w:rPr>
      </w:pPr>
    </w:p>
    <w:p w:rsidR="00000000" w:rsidRDefault="00000000">
      <w:pPr>
        <w:spacing w:line="120" w:lineRule="exact"/>
        <w:jc w:val="both"/>
        <w:rPr>
          <w:sz w:val="10"/>
        </w:rPr>
      </w:pPr>
    </w:p>
    <w:tbl>
      <w:tblPr>
        <w:tblW w:w="0" w:type="auto"/>
        <w:tblInd w:w="1154" w:type="dxa"/>
        <w:tblLayout w:type="fixed"/>
        <w:tblLook w:val="0000" w:firstRow="0" w:lastRow="0" w:firstColumn="0" w:lastColumn="0" w:noHBand="0" w:noVBand="0"/>
      </w:tblPr>
      <w:tblGrid>
        <w:gridCol w:w="1728"/>
        <w:gridCol w:w="900"/>
        <w:gridCol w:w="1173"/>
        <w:gridCol w:w="1173"/>
        <w:gridCol w:w="1173"/>
        <w:gridCol w:w="1173"/>
      </w:tblGrid>
      <w:tr w:rsidR="00000000">
        <w:tblPrEx>
          <w:tblCellMar>
            <w:top w:w="0" w:type="dxa"/>
            <w:bottom w:w="0" w:type="dxa"/>
          </w:tblCellMar>
        </w:tblPrEx>
        <w:trPr>
          <w:cantSplit/>
          <w:tblHeader/>
        </w:trPr>
        <w:tc>
          <w:tcPr>
            <w:tcW w:w="1728" w:type="dxa"/>
            <w:vMerge w:val="restart"/>
            <w:tcBorders>
              <w:top w:val="single" w:sz="4" w:space="0" w:color="auto"/>
            </w:tcBorders>
            <w:vAlign w:val="bottom"/>
          </w:tcPr>
          <w:p w:rsidR="00000000" w:rsidRDefault="00000000">
            <w:pPr>
              <w:spacing w:before="81" w:after="81" w:line="160" w:lineRule="exact"/>
              <w:ind w:right="40"/>
              <w:jc w:val="both"/>
              <w:rPr>
                <w:i/>
                <w:sz w:val="14"/>
              </w:rPr>
            </w:pPr>
            <w:r>
              <w:rPr>
                <w:i/>
                <w:sz w:val="14"/>
              </w:rPr>
              <w:t>Situación de empleo</w:t>
            </w:r>
          </w:p>
        </w:tc>
        <w:tc>
          <w:tcPr>
            <w:tcW w:w="900" w:type="dxa"/>
            <w:vMerge w:val="restart"/>
            <w:tcBorders>
              <w:top w:val="single" w:sz="4" w:space="0" w:color="auto"/>
            </w:tcBorders>
            <w:vAlign w:val="bottom"/>
          </w:tcPr>
          <w:p w:rsidR="00000000" w:rsidRDefault="00000000">
            <w:pPr>
              <w:spacing w:before="81" w:after="81" w:line="160" w:lineRule="exact"/>
              <w:ind w:right="40"/>
              <w:jc w:val="right"/>
              <w:rPr>
                <w:i/>
                <w:sz w:val="14"/>
              </w:rPr>
            </w:pPr>
            <w:r>
              <w:rPr>
                <w:i/>
                <w:sz w:val="14"/>
              </w:rPr>
              <w:t>Sexo</w:t>
            </w:r>
          </w:p>
        </w:tc>
        <w:tc>
          <w:tcPr>
            <w:tcW w:w="2346" w:type="dxa"/>
            <w:gridSpan w:val="2"/>
            <w:tcBorders>
              <w:top w:val="single" w:sz="4" w:space="0" w:color="auto"/>
            </w:tcBorders>
            <w:vAlign w:val="bottom"/>
          </w:tcPr>
          <w:p w:rsidR="00000000" w:rsidRDefault="00000000">
            <w:pPr>
              <w:spacing w:before="81" w:after="81" w:line="160" w:lineRule="exact"/>
              <w:ind w:right="40"/>
              <w:jc w:val="center"/>
              <w:rPr>
                <w:i/>
                <w:sz w:val="14"/>
              </w:rPr>
            </w:pPr>
            <w:r>
              <w:rPr>
                <w:i/>
                <w:sz w:val="14"/>
              </w:rPr>
              <w:t>1998</w:t>
            </w:r>
          </w:p>
        </w:tc>
        <w:tc>
          <w:tcPr>
            <w:tcW w:w="2346" w:type="dxa"/>
            <w:gridSpan w:val="2"/>
            <w:tcBorders>
              <w:top w:val="single" w:sz="4" w:space="0" w:color="auto"/>
            </w:tcBorders>
            <w:vAlign w:val="bottom"/>
          </w:tcPr>
          <w:p w:rsidR="00000000" w:rsidRDefault="00000000">
            <w:pPr>
              <w:spacing w:before="81" w:after="81" w:line="160" w:lineRule="exact"/>
              <w:ind w:right="40"/>
              <w:jc w:val="center"/>
              <w:rPr>
                <w:i/>
                <w:sz w:val="14"/>
              </w:rPr>
            </w:pPr>
            <w:r>
              <w:rPr>
                <w:i/>
                <w:sz w:val="14"/>
              </w:rPr>
              <w:t>1999</w:t>
            </w:r>
          </w:p>
        </w:tc>
      </w:tr>
      <w:tr w:rsidR="00000000">
        <w:tblPrEx>
          <w:tblCellMar>
            <w:top w:w="0" w:type="dxa"/>
            <w:bottom w:w="0" w:type="dxa"/>
          </w:tblCellMar>
        </w:tblPrEx>
        <w:trPr>
          <w:cantSplit/>
          <w:tblHeader/>
        </w:trPr>
        <w:tc>
          <w:tcPr>
            <w:tcW w:w="1728" w:type="dxa"/>
            <w:vMerge/>
            <w:vAlign w:val="bottom"/>
          </w:tcPr>
          <w:p w:rsidR="00000000" w:rsidRDefault="00000000">
            <w:pPr>
              <w:spacing w:after="81" w:line="160" w:lineRule="exact"/>
              <w:ind w:right="40"/>
              <w:jc w:val="both"/>
              <w:rPr>
                <w:i/>
                <w:sz w:val="14"/>
              </w:rPr>
            </w:pPr>
          </w:p>
        </w:tc>
        <w:tc>
          <w:tcPr>
            <w:tcW w:w="900" w:type="dxa"/>
            <w:vMerge/>
            <w:vAlign w:val="bottom"/>
          </w:tcPr>
          <w:p w:rsidR="00000000" w:rsidRDefault="00000000">
            <w:pPr>
              <w:spacing w:after="81" w:line="160" w:lineRule="exact"/>
              <w:ind w:right="40"/>
              <w:jc w:val="right"/>
              <w:rPr>
                <w:i/>
                <w:sz w:val="14"/>
              </w:rPr>
            </w:pPr>
          </w:p>
        </w:tc>
        <w:tc>
          <w:tcPr>
            <w:tcW w:w="1173" w:type="dxa"/>
            <w:vAlign w:val="bottom"/>
          </w:tcPr>
          <w:p w:rsidR="00000000" w:rsidRDefault="00000000">
            <w:pPr>
              <w:spacing w:after="81" w:line="160" w:lineRule="exact"/>
              <w:ind w:right="40"/>
              <w:jc w:val="right"/>
              <w:rPr>
                <w:i/>
                <w:sz w:val="14"/>
              </w:rPr>
            </w:pPr>
            <w:r>
              <w:rPr>
                <w:i/>
                <w:sz w:val="14"/>
              </w:rPr>
              <w:t>Kuwaitíes</w:t>
            </w:r>
          </w:p>
        </w:tc>
        <w:tc>
          <w:tcPr>
            <w:tcW w:w="1173" w:type="dxa"/>
            <w:vAlign w:val="bottom"/>
          </w:tcPr>
          <w:p w:rsidR="00000000" w:rsidRDefault="00000000">
            <w:pPr>
              <w:spacing w:after="81" w:line="160" w:lineRule="exact"/>
              <w:ind w:right="40"/>
              <w:jc w:val="right"/>
              <w:rPr>
                <w:i/>
                <w:sz w:val="14"/>
              </w:rPr>
            </w:pPr>
            <w:r>
              <w:rPr>
                <w:i/>
                <w:sz w:val="14"/>
              </w:rPr>
              <w:t>No kuwaitíes</w:t>
            </w:r>
          </w:p>
        </w:tc>
        <w:tc>
          <w:tcPr>
            <w:tcW w:w="1173" w:type="dxa"/>
            <w:vAlign w:val="bottom"/>
          </w:tcPr>
          <w:p w:rsidR="00000000" w:rsidRDefault="00000000">
            <w:pPr>
              <w:spacing w:after="81" w:line="160" w:lineRule="exact"/>
              <w:ind w:right="40"/>
              <w:jc w:val="right"/>
              <w:rPr>
                <w:i/>
                <w:sz w:val="14"/>
              </w:rPr>
            </w:pPr>
            <w:r>
              <w:rPr>
                <w:i/>
                <w:sz w:val="14"/>
              </w:rPr>
              <w:t>Kuwaitíes</w:t>
            </w:r>
          </w:p>
        </w:tc>
        <w:tc>
          <w:tcPr>
            <w:tcW w:w="1173" w:type="dxa"/>
            <w:vAlign w:val="bottom"/>
          </w:tcPr>
          <w:p w:rsidR="00000000" w:rsidRDefault="00000000">
            <w:pPr>
              <w:spacing w:after="81" w:line="160" w:lineRule="exact"/>
              <w:ind w:right="40"/>
              <w:jc w:val="right"/>
              <w:rPr>
                <w:i/>
                <w:sz w:val="14"/>
              </w:rPr>
            </w:pPr>
            <w:r>
              <w:rPr>
                <w:i/>
                <w:sz w:val="14"/>
              </w:rPr>
              <w:t>No kuwaitíes</w:t>
            </w:r>
          </w:p>
        </w:tc>
      </w:tr>
      <w:tr w:rsidR="00000000">
        <w:tblPrEx>
          <w:tblCellMar>
            <w:top w:w="0" w:type="dxa"/>
            <w:bottom w:w="0" w:type="dxa"/>
          </w:tblCellMar>
        </w:tblPrEx>
        <w:trPr>
          <w:trHeight w:hRule="exact" w:val="115"/>
          <w:tblHeader/>
        </w:trPr>
        <w:tc>
          <w:tcPr>
            <w:tcW w:w="1728" w:type="dxa"/>
            <w:tcBorders>
              <w:top w:val="single" w:sz="12" w:space="0" w:color="auto"/>
            </w:tcBorders>
            <w:vAlign w:val="bottom"/>
          </w:tcPr>
          <w:p w:rsidR="00000000" w:rsidRDefault="00000000">
            <w:pPr>
              <w:spacing w:before="40" w:after="40" w:line="210" w:lineRule="exact"/>
              <w:ind w:right="40"/>
              <w:jc w:val="both"/>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1173" w:type="dxa"/>
            <w:tcBorders>
              <w:top w:val="single" w:sz="12" w:space="0" w:color="auto"/>
            </w:tcBorders>
            <w:vAlign w:val="bottom"/>
          </w:tcPr>
          <w:p w:rsidR="00000000" w:rsidRDefault="00000000">
            <w:pPr>
              <w:spacing w:before="40" w:after="40" w:line="210" w:lineRule="exact"/>
              <w:ind w:right="40"/>
              <w:jc w:val="right"/>
              <w:rPr>
                <w:sz w:val="17"/>
              </w:rPr>
            </w:pPr>
          </w:p>
        </w:tc>
        <w:tc>
          <w:tcPr>
            <w:tcW w:w="1173" w:type="dxa"/>
            <w:tcBorders>
              <w:top w:val="single" w:sz="12" w:space="0" w:color="auto"/>
            </w:tcBorders>
            <w:vAlign w:val="bottom"/>
          </w:tcPr>
          <w:p w:rsidR="00000000" w:rsidRDefault="00000000">
            <w:pPr>
              <w:spacing w:before="40" w:after="40" w:line="210" w:lineRule="exact"/>
              <w:ind w:right="40"/>
              <w:jc w:val="right"/>
              <w:rPr>
                <w:sz w:val="17"/>
              </w:rPr>
            </w:pPr>
          </w:p>
        </w:tc>
        <w:tc>
          <w:tcPr>
            <w:tcW w:w="1173" w:type="dxa"/>
            <w:tcBorders>
              <w:top w:val="single" w:sz="12" w:space="0" w:color="auto"/>
            </w:tcBorders>
            <w:vAlign w:val="bottom"/>
          </w:tcPr>
          <w:p w:rsidR="00000000" w:rsidRDefault="00000000">
            <w:pPr>
              <w:spacing w:before="40" w:after="40" w:line="210" w:lineRule="exact"/>
              <w:ind w:right="40"/>
              <w:jc w:val="right"/>
              <w:rPr>
                <w:sz w:val="17"/>
              </w:rPr>
            </w:pPr>
          </w:p>
        </w:tc>
        <w:tc>
          <w:tcPr>
            <w:tcW w:w="117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rPr>
          <w:cantSplit/>
        </w:trPr>
        <w:tc>
          <w:tcPr>
            <w:tcW w:w="1728" w:type="dxa"/>
            <w:vMerge w:val="restart"/>
          </w:tcPr>
          <w:p w:rsidR="00000000" w:rsidRDefault="00000000">
            <w:pPr>
              <w:tabs>
                <w:tab w:val="left" w:pos="288"/>
                <w:tab w:val="left" w:pos="576"/>
                <w:tab w:val="left" w:pos="864"/>
                <w:tab w:val="left" w:pos="1152"/>
              </w:tabs>
              <w:spacing w:before="40" w:after="40" w:line="160" w:lineRule="exact"/>
              <w:ind w:right="43"/>
              <w:jc w:val="both"/>
              <w:rPr>
                <w:sz w:val="16"/>
              </w:rPr>
            </w:pPr>
            <w:r>
              <w:rPr>
                <w:sz w:val="16"/>
              </w:rPr>
              <w:t>Empleados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Hombres</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136 815</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817 491</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143 434</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787 175</w:t>
            </w:r>
          </w:p>
        </w:tc>
      </w:tr>
      <w:tr w:rsidR="00000000">
        <w:tblPrEx>
          <w:tblCellMar>
            <w:top w:w="0" w:type="dxa"/>
            <w:bottom w:w="0" w:type="dxa"/>
          </w:tblCellMar>
        </w:tblPrEx>
        <w:trPr>
          <w:cantSplit/>
        </w:trPr>
        <w:tc>
          <w:tcPr>
            <w:tcW w:w="1728" w:type="dxa"/>
            <w:vMerge/>
          </w:tcPr>
          <w:p w:rsidR="00000000" w:rsidRDefault="00000000">
            <w:pPr>
              <w:tabs>
                <w:tab w:val="left" w:pos="288"/>
                <w:tab w:val="left" w:pos="576"/>
                <w:tab w:val="left" w:pos="864"/>
                <w:tab w:val="left" w:pos="1152"/>
              </w:tabs>
              <w:spacing w:before="40" w:after="40" w:line="160" w:lineRule="exact"/>
              <w:ind w:right="43"/>
              <w:jc w:val="both"/>
              <w:rPr>
                <w:sz w:val="16"/>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Mujeres</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72 571</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216 246</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57 701</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210 164</w:t>
            </w:r>
          </w:p>
        </w:tc>
      </w:tr>
      <w:tr w:rsidR="00000000">
        <w:tblPrEx>
          <w:tblCellMar>
            <w:top w:w="0" w:type="dxa"/>
            <w:bottom w:w="0" w:type="dxa"/>
          </w:tblCellMar>
        </w:tblPrEx>
        <w:trPr>
          <w:cantSplit/>
        </w:trPr>
        <w:tc>
          <w:tcPr>
            <w:tcW w:w="1728" w:type="dxa"/>
            <w:vMerge w:val="restart"/>
          </w:tcPr>
          <w:p w:rsidR="00000000" w:rsidRDefault="00000000">
            <w:pPr>
              <w:tabs>
                <w:tab w:val="left" w:pos="288"/>
                <w:tab w:val="left" w:pos="576"/>
                <w:tab w:val="left" w:pos="864"/>
                <w:tab w:val="left" w:pos="1152"/>
              </w:tabs>
              <w:spacing w:before="40" w:after="40" w:line="160" w:lineRule="exact"/>
              <w:ind w:right="43"/>
              <w:jc w:val="both"/>
              <w:rPr>
                <w:sz w:val="16"/>
              </w:rPr>
            </w:pPr>
            <w:r>
              <w:rPr>
                <w:sz w:val="16"/>
              </w:rPr>
              <w:t>Desempleados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Hombres</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1 708</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5 562</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1 707</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6 035</w:t>
            </w:r>
          </w:p>
        </w:tc>
      </w:tr>
      <w:tr w:rsidR="00000000">
        <w:tblPrEx>
          <w:tblCellMar>
            <w:top w:w="0" w:type="dxa"/>
            <w:bottom w:w="0" w:type="dxa"/>
          </w:tblCellMar>
        </w:tblPrEx>
        <w:trPr>
          <w:cantSplit/>
        </w:trPr>
        <w:tc>
          <w:tcPr>
            <w:tcW w:w="1728" w:type="dxa"/>
            <w:vMerge/>
          </w:tcPr>
          <w:p w:rsidR="00000000" w:rsidRDefault="00000000">
            <w:pPr>
              <w:tabs>
                <w:tab w:val="left" w:pos="288"/>
                <w:tab w:val="left" w:pos="576"/>
                <w:tab w:val="left" w:pos="864"/>
                <w:tab w:val="left" w:pos="1152"/>
              </w:tabs>
              <w:spacing w:before="40" w:after="40" w:line="160" w:lineRule="exact"/>
              <w:ind w:right="43"/>
              <w:jc w:val="both"/>
              <w:rPr>
                <w:sz w:val="16"/>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Mujeres</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465</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1 135</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545</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1 374</w:t>
            </w:r>
          </w:p>
        </w:tc>
      </w:tr>
      <w:tr w:rsidR="00000000">
        <w:tblPrEx>
          <w:tblCellMar>
            <w:top w:w="0" w:type="dxa"/>
            <w:bottom w:w="0" w:type="dxa"/>
          </w:tblCellMar>
        </w:tblPrEx>
        <w:trPr>
          <w:cantSplit/>
        </w:trPr>
        <w:tc>
          <w:tcPr>
            <w:tcW w:w="1728" w:type="dxa"/>
            <w:vMerge w:val="restart"/>
          </w:tcPr>
          <w:p w:rsidR="00000000" w:rsidRDefault="00000000">
            <w:pPr>
              <w:tabs>
                <w:tab w:val="left" w:pos="288"/>
                <w:tab w:val="left" w:pos="576"/>
                <w:tab w:val="left" w:pos="864"/>
                <w:tab w:val="left" w:pos="1152"/>
              </w:tabs>
              <w:spacing w:before="40" w:after="40" w:line="160" w:lineRule="exact"/>
              <w:ind w:right="43"/>
              <w:jc w:val="both"/>
              <w:rPr>
                <w:sz w:val="16"/>
              </w:rPr>
            </w:pPr>
            <w:r>
              <w:rPr>
                <w:sz w:val="16"/>
              </w:rPr>
              <w:t>Fuerza de trabajo 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Hombres</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138 523</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823 053</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145 141</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793 210</w:t>
            </w:r>
          </w:p>
        </w:tc>
      </w:tr>
      <w:tr w:rsidR="00000000">
        <w:tblPrEx>
          <w:tblCellMar>
            <w:top w:w="0" w:type="dxa"/>
            <w:bottom w:w="0" w:type="dxa"/>
          </w:tblCellMar>
        </w:tblPrEx>
        <w:trPr>
          <w:cantSplit/>
        </w:trPr>
        <w:tc>
          <w:tcPr>
            <w:tcW w:w="1728" w:type="dxa"/>
            <w:vMerge/>
          </w:tcPr>
          <w:p w:rsidR="00000000" w:rsidRDefault="00000000">
            <w:pPr>
              <w:tabs>
                <w:tab w:val="left" w:pos="288"/>
                <w:tab w:val="left" w:pos="576"/>
                <w:tab w:val="left" w:pos="864"/>
                <w:tab w:val="left" w:pos="1152"/>
              </w:tabs>
              <w:spacing w:before="40" w:after="40" w:line="160" w:lineRule="exact"/>
              <w:ind w:right="43"/>
              <w:jc w:val="both"/>
              <w:rPr>
                <w:sz w:val="16"/>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Mujeres</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73 036</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217 384</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76 246</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211 537</w:t>
            </w:r>
          </w:p>
        </w:tc>
      </w:tr>
      <w:tr w:rsidR="00000000">
        <w:tblPrEx>
          <w:tblCellMar>
            <w:top w:w="0" w:type="dxa"/>
            <w:bottom w:w="0" w:type="dxa"/>
          </w:tblCellMar>
        </w:tblPrEx>
        <w:trPr>
          <w:cantSplit/>
        </w:trPr>
        <w:tc>
          <w:tcPr>
            <w:tcW w:w="1728" w:type="dxa"/>
            <w:vMerge w:val="restart"/>
          </w:tcPr>
          <w:p w:rsidR="00000000" w:rsidRDefault="00000000">
            <w:pPr>
              <w:tabs>
                <w:tab w:val="left" w:pos="288"/>
                <w:tab w:val="left" w:pos="576"/>
                <w:tab w:val="left" w:pos="864"/>
                <w:tab w:val="left" w:pos="1152"/>
              </w:tabs>
              <w:spacing w:before="40" w:after="40" w:line="160" w:lineRule="exact"/>
              <w:ind w:right="43"/>
              <w:jc w:val="both"/>
              <w:rPr>
                <w:sz w:val="16"/>
              </w:rPr>
            </w:pPr>
            <w:r>
              <w:rPr>
                <w:sz w:val="16"/>
              </w:rPr>
              <w:t>Fuera de la fuerza de trabajo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Hombres</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70 489</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52 108</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70 935</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50 656</w:t>
            </w:r>
          </w:p>
        </w:tc>
      </w:tr>
      <w:tr w:rsidR="00000000">
        <w:tblPrEx>
          <w:tblCellMar>
            <w:top w:w="0" w:type="dxa"/>
            <w:bottom w:w="0" w:type="dxa"/>
          </w:tblCellMar>
        </w:tblPrEx>
        <w:trPr>
          <w:cantSplit/>
        </w:trPr>
        <w:tc>
          <w:tcPr>
            <w:tcW w:w="1728" w:type="dxa"/>
            <w:vMerge/>
          </w:tcPr>
          <w:p w:rsidR="00000000" w:rsidRDefault="00000000">
            <w:pPr>
              <w:tabs>
                <w:tab w:val="left" w:pos="288"/>
                <w:tab w:val="left" w:pos="576"/>
                <w:tab w:val="left" w:pos="864"/>
                <w:tab w:val="left" w:pos="1152"/>
              </w:tabs>
              <w:spacing w:before="40" w:after="40" w:line="160" w:lineRule="exact"/>
              <w:ind w:right="43"/>
              <w:jc w:val="both"/>
              <w:rPr>
                <w:sz w:val="16"/>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Mujeres</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157 633</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149 370</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164 530</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148 333</w:t>
            </w:r>
          </w:p>
        </w:tc>
      </w:tr>
      <w:tr w:rsidR="00000000">
        <w:tblPrEx>
          <w:tblCellMar>
            <w:top w:w="0" w:type="dxa"/>
            <w:bottom w:w="0" w:type="dxa"/>
          </w:tblCellMar>
        </w:tblPrEx>
        <w:trPr>
          <w:cantSplit/>
        </w:trPr>
        <w:tc>
          <w:tcPr>
            <w:tcW w:w="1728" w:type="dxa"/>
            <w:vMerge w:val="restart"/>
          </w:tcPr>
          <w:p w:rsidR="00000000" w:rsidRDefault="00000000">
            <w:pPr>
              <w:tabs>
                <w:tab w:val="left" w:pos="288"/>
                <w:tab w:val="left" w:pos="576"/>
                <w:tab w:val="left" w:pos="864"/>
                <w:tab w:val="left" w:pos="1152"/>
              </w:tabs>
              <w:spacing w:before="40" w:after="40" w:line="160" w:lineRule="exact"/>
              <w:ind w:right="43"/>
              <w:jc w:val="both"/>
              <w:rPr>
                <w:sz w:val="16"/>
              </w:rPr>
            </w:pPr>
            <w:r>
              <w:rPr>
                <w:sz w:val="16"/>
              </w:rPr>
              <w:t>Recursos humanos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Hombres</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216 295</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880 618</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225 165</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852 680</w:t>
            </w:r>
          </w:p>
        </w:tc>
      </w:tr>
      <w:tr w:rsidR="00000000">
        <w:tblPrEx>
          <w:tblCellMar>
            <w:top w:w="0" w:type="dxa"/>
            <w:bottom w:w="0" w:type="dxa"/>
          </w:tblCellMar>
        </w:tblPrEx>
        <w:trPr>
          <w:cantSplit/>
        </w:trPr>
        <w:tc>
          <w:tcPr>
            <w:tcW w:w="1728" w:type="dxa"/>
            <w:vMerge/>
          </w:tcPr>
          <w:p w:rsidR="00000000" w:rsidRDefault="00000000">
            <w:pPr>
              <w:tabs>
                <w:tab w:val="left" w:pos="288"/>
                <w:tab w:val="left" w:pos="576"/>
                <w:tab w:val="left" w:pos="864"/>
                <w:tab w:val="left" w:pos="1152"/>
              </w:tabs>
              <w:spacing w:before="40" w:after="40" w:line="160" w:lineRule="exact"/>
              <w:ind w:right="43"/>
              <w:jc w:val="both"/>
              <w:rPr>
                <w:sz w:val="16"/>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Mujeres</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230 669</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366 754</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240 776</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359 870</w:t>
            </w:r>
          </w:p>
        </w:tc>
      </w:tr>
      <w:tr w:rsidR="00000000">
        <w:tblPrEx>
          <w:tblCellMar>
            <w:top w:w="0" w:type="dxa"/>
            <w:bottom w:w="0" w:type="dxa"/>
          </w:tblCellMar>
        </w:tblPrEx>
        <w:trPr>
          <w:cantSplit/>
        </w:trPr>
        <w:tc>
          <w:tcPr>
            <w:tcW w:w="1728" w:type="dxa"/>
            <w:vMerge w:val="restart"/>
          </w:tcPr>
          <w:p w:rsidR="00000000" w:rsidRDefault="00000000">
            <w:pPr>
              <w:tabs>
                <w:tab w:val="left" w:pos="288"/>
                <w:tab w:val="left" w:pos="576"/>
                <w:tab w:val="left" w:pos="864"/>
                <w:tab w:val="left" w:pos="1152"/>
              </w:tabs>
              <w:spacing w:before="40" w:after="40" w:line="160" w:lineRule="exact"/>
              <w:ind w:right="43"/>
              <w:rPr>
                <w:sz w:val="16"/>
              </w:rPr>
            </w:pPr>
            <w:r>
              <w:rPr>
                <w:sz w:val="16"/>
              </w:rPr>
              <w:t>No incluidos como recursos humanos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Hombres</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172 392</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122 100</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176 268</w:t>
            </w:r>
          </w:p>
        </w:tc>
        <w:tc>
          <w:tcPr>
            <w:tcW w:w="1173"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118 185</w:t>
            </w:r>
          </w:p>
        </w:tc>
      </w:tr>
      <w:tr w:rsidR="00000000">
        <w:tblPrEx>
          <w:tblCellMar>
            <w:top w:w="0" w:type="dxa"/>
            <w:bottom w:w="0" w:type="dxa"/>
          </w:tblCellMar>
        </w:tblPrEx>
        <w:trPr>
          <w:cantSplit/>
        </w:trPr>
        <w:tc>
          <w:tcPr>
            <w:tcW w:w="1728"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Mujeres</w:t>
            </w:r>
          </w:p>
        </w:tc>
        <w:tc>
          <w:tcPr>
            <w:tcW w:w="11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166 654</w:t>
            </w:r>
          </w:p>
        </w:tc>
        <w:tc>
          <w:tcPr>
            <w:tcW w:w="11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115 383</w:t>
            </w:r>
          </w:p>
        </w:tc>
        <w:tc>
          <w:tcPr>
            <w:tcW w:w="11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170 046</w:t>
            </w:r>
          </w:p>
        </w:tc>
        <w:tc>
          <w:tcPr>
            <w:tcW w:w="11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111 964</w:t>
            </w:r>
          </w:p>
        </w:tc>
      </w:tr>
    </w:tbl>
    <w:p w:rsidR="00000000" w:rsidRDefault="00000000">
      <w:pPr>
        <w:jc w:val="both"/>
      </w:pPr>
    </w:p>
    <w:p w:rsidR="00000000" w:rsidRDefault="00000000">
      <w:pPr>
        <w:pStyle w:val="SingleTxt"/>
        <w:spacing w:after="0" w:line="120" w:lineRule="exact"/>
        <w:ind w:firstLine="475"/>
        <w:rPr>
          <w:sz w:val="10"/>
        </w:rPr>
      </w:pPr>
    </w:p>
    <w:p w:rsidR="00000000" w:rsidRDefault="00000000">
      <w:pPr>
        <w:pStyle w:val="SingleTxt"/>
        <w:spacing w:after="0" w:line="120" w:lineRule="exact"/>
        <w:ind w:firstLine="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tab/>
        <w:t>Indicadores sociales, económicos y culturales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Los principales datos económicos agregados de las cuentas nacionales correspondientes al período 1997-1999 son los siguientes:</w:t>
      </w:r>
    </w:p>
    <w:p w:rsidR="00000000" w:rsidRDefault="00000000">
      <w:pPr>
        <w:spacing w:line="120" w:lineRule="exact"/>
        <w:ind w:left="1267" w:firstLine="475"/>
        <w:jc w:val="both"/>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Producto interno bruto (PIB)</w:t>
      </w:r>
    </w:p>
    <w:p w:rsidR="00000000" w:rsidRDefault="00000000">
      <w:pPr>
        <w:pStyle w:val="SingleTxt"/>
        <w:spacing w:after="0" w:line="120" w:lineRule="exact"/>
        <w:rPr>
          <w:sz w:val="10"/>
        </w:rPr>
      </w:pPr>
    </w:p>
    <w:p w:rsidR="00000000" w:rsidRDefault="00000000">
      <w:pPr>
        <w:pStyle w:val="SingleTxt"/>
        <w:ind w:firstLine="475"/>
      </w:pPr>
      <w:r>
        <w:t>Las estimaciones iniciales del PIB de 1999, a precios corrientes, ascendían a 9.032,8 millones de dinares kuwaitíes (KD), en comparación con KD 7.718,1 mill</w:t>
      </w:r>
      <w:r>
        <w:t>o</w:t>
      </w:r>
      <w:r>
        <w:t>nes en 1998, lo que representó un incremento del 17%, en contraste con las estim</w:t>
      </w:r>
      <w:r>
        <w:t>a</w:t>
      </w:r>
      <w:r>
        <w:t>ciones correspondientes a 1998, que registraban un descenso del 15.2%.</w:t>
      </w:r>
    </w:p>
    <w:p w:rsidR="00000000" w:rsidRDefault="00000000">
      <w:pPr>
        <w:pStyle w:val="SingleTxt"/>
        <w:ind w:firstLine="475"/>
      </w:pPr>
      <w:r>
        <w:t>En 1999, el sector del petróleo aportó KD 3.354,4 millones al PIB, en comp</w:t>
      </w:r>
      <w:r>
        <w:t>a</w:t>
      </w:r>
      <w:r>
        <w:t>ración con KD 2.370,6 millones en 1998, lo que representó un incremento del 41,5%, debido al aumento de los precios del mercado mundial de petróleo. El sector no petrolero, incluidos los productos de la refinación del petróleo crudo, aportó KD 6.031,8 millones en 1999, en comparación con KD 5.645,7 millones en 1998, lo que representó un incremento del 6,8%. Ello se debió principalmente al incremento del valor añadido generado en la industria de productos del petróleo, que pasó de KD 594,9 millones en 1998 a KD 765,6 millones en 1999, en otras palabras, un i</w:t>
      </w:r>
      <w:r>
        <w:t>n</w:t>
      </w:r>
      <w:r>
        <w:t>cremento de KD 170,7 millones y un aumento medio de 28,7%.</w:t>
      </w:r>
    </w:p>
    <w:p w:rsidR="00000000" w:rsidRDefault="00000000">
      <w:pPr>
        <w:pStyle w:val="SingleTxt"/>
        <w:ind w:firstLine="475"/>
      </w:pPr>
      <w:r>
        <w:t>Un estudio de las estimaciones del PIB respecto de las demás actividades del sector no petrolero en 1999 indica claramente que la mayoría de ellas sólo tuvieron leves incrementos en comparación con las estimaciones de 1998.</w:t>
      </w:r>
    </w:p>
    <w:p w:rsidR="00000000" w:rsidRDefault="00000000">
      <w:pPr>
        <w:spacing w:line="120" w:lineRule="exact"/>
        <w:ind w:left="1267" w:firstLine="475"/>
        <w:jc w:val="both"/>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Producto interno bruto per cápita</w:t>
      </w:r>
    </w:p>
    <w:p w:rsidR="00000000" w:rsidRDefault="00000000">
      <w:pPr>
        <w:pStyle w:val="SingleTxt"/>
        <w:keepNext/>
        <w:spacing w:after="0" w:line="120" w:lineRule="exact"/>
        <w:rPr>
          <w:sz w:val="10"/>
        </w:rPr>
      </w:pPr>
    </w:p>
    <w:p w:rsidR="00000000" w:rsidRDefault="00000000">
      <w:pPr>
        <w:tabs>
          <w:tab w:val="left" w:pos="8550"/>
        </w:tabs>
        <w:ind w:left="1267" w:right="1210" w:firstLine="475"/>
        <w:jc w:val="both"/>
      </w:pPr>
      <w:r>
        <w:t>En 1999, el PIB medio per cápita ascendió a KD 3.972, en comparación con KD 3.448 en 1998, lo que representó un incremento del 15,2%, mientras que en 1997 había disminuido un 12,7%, a KD 4.230.</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Producto nacional bruto (PNB) per cápita</w:t>
      </w:r>
    </w:p>
    <w:p w:rsidR="00000000" w:rsidRDefault="00000000">
      <w:pPr>
        <w:pStyle w:val="SingleTxt"/>
        <w:spacing w:after="0" w:line="120" w:lineRule="exact"/>
        <w:rPr>
          <w:sz w:val="10"/>
        </w:rPr>
      </w:pPr>
    </w:p>
    <w:p w:rsidR="00000000" w:rsidRDefault="00000000">
      <w:pPr>
        <w:pStyle w:val="SingleTxt"/>
        <w:ind w:firstLine="475"/>
      </w:pPr>
      <w:r>
        <w:t>En 1999, el PNB medio per cápita creció, llegando a KD 4.666, en compar</w:t>
      </w:r>
      <w:r>
        <w:t>a</w:t>
      </w:r>
      <w:r>
        <w:t>ción con KD 4.247 en 1998, año en que había disminuido KD 868, en comparación con el PNB medio per cápita de 1997.</w:t>
      </w:r>
    </w:p>
    <w:p w:rsidR="00000000" w:rsidRDefault="00000000">
      <w:pPr>
        <w:pStyle w:val="SingleTxt"/>
        <w:spacing w:after="0" w:line="120" w:lineRule="exact"/>
        <w:ind w:firstLine="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Ingreso nacional per cápita</w:t>
      </w:r>
    </w:p>
    <w:p w:rsidR="00000000" w:rsidRDefault="00000000">
      <w:pPr>
        <w:pStyle w:val="SingleTxt"/>
        <w:spacing w:after="0" w:line="120" w:lineRule="exact"/>
        <w:rPr>
          <w:sz w:val="10"/>
        </w:rPr>
      </w:pPr>
    </w:p>
    <w:p w:rsidR="00000000" w:rsidRDefault="00000000">
      <w:pPr>
        <w:pStyle w:val="SingleTxt"/>
        <w:ind w:firstLine="475"/>
      </w:pPr>
      <w:r>
        <w:t>En 1999, el ingreso nacional medio per cápita ascendió a KD 4.110, lo que r</w:t>
      </w:r>
      <w:r>
        <w:t>e</w:t>
      </w:r>
      <w:r>
        <w:t>presentó un incremento del 11,4% en comparación con el de 1998, que había sido de KD 3.690. El incremento del PNB medio per cápita y el ingreso nacional medio per cápita es atribuible al incremento del PIB como consecuencia del crecimiento del valor añadido de las actividades del sector del petróleo crudo.</w:t>
      </w:r>
    </w:p>
    <w:p w:rsidR="00000000" w:rsidRDefault="00000000">
      <w:pPr>
        <w:pStyle w:val="SingleTxt"/>
        <w:ind w:firstLine="475"/>
      </w:pPr>
      <w:r>
        <w:t>Para brindar mayor información sobre los distintos rasgos demográficos de la población y los datos recientes sobre los diversos aspectos de la vida económica y social en Kuwait, las autoridades competentes han incluido los anexos siguientes:</w:t>
      </w:r>
    </w:p>
    <w:p w:rsidR="00000000" w:rsidRDefault="00000000">
      <w:pPr>
        <w:pStyle w:val="SingleTxt"/>
        <w:numPr>
          <w:ilvl w:val="0"/>
          <w:numId w:val="2"/>
        </w:numPr>
        <w:tabs>
          <w:tab w:val="clear" w:pos="360"/>
          <w:tab w:val="num" w:pos="2102"/>
        </w:tabs>
        <w:ind w:left="2102"/>
      </w:pPr>
      <w:r>
        <w:t>Los anuarios estadísticos de 1998 y 1999;</w:t>
      </w:r>
    </w:p>
    <w:p w:rsidR="00000000" w:rsidRDefault="00000000">
      <w:pPr>
        <w:pStyle w:val="SingleTxt"/>
        <w:numPr>
          <w:ilvl w:val="0"/>
          <w:numId w:val="2"/>
        </w:numPr>
        <w:tabs>
          <w:tab w:val="clear" w:pos="360"/>
          <w:tab w:val="num" w:pos="2102"/>
        </w:tabs>
        <w:ind w:left="2102"/>
      </w:pPr>
      <w:r>
        <w:t>Breves estudios estadísticos correspondientes a los años 1997, 1998, 1999 y 2000;</w:t>
      </w:r>
    </w:p>
    <w:p w:rsidR="00000000" w:rsidRDefault="00000000">
      <w:pPr>
        <w:pStyle w:val="SingleTxt"/>
        <w:numPr>
          <w:ilvl w:val="0"/>
          <w:numId w:val="2"/>
        </w:numPr>
        <w:tabs>
          <w:tab w:val="clear" w:pos="360"/>
          <w:tab w:val="num" w:pos="2102"/>
        </w:tabs>
        <w:ind w:left="2102"/>
      </w:pPr>
      <w:r>
        <w:t>Rasgos esenciales de la población y la fuerza de trabajo al 30 de junio de 1999:</w:t>
      </w:r>
    </w:p>
    <w:p w:rsidR="00000000" w:rsidRDefault="00000000">
      <w:pPr>
        <w:pStyle w:val="SingleTxt"/>
        <w:numPr>
          <w:ilvl w:val="0"/>
          <w:numId w:val="2"/>
        </w:numPr>
        <w:tabs>
          <w:tab w:val="clear" w:pos="360"/>
          <w:tab w:val="num" w:pos="2102"/>
        </w:tabs>
        <w:ind w:left="2102"/>
      </w:pPr>
      <w:r>
        <w:t>Estimaciones preliminares enmendadas correspondientes a los años 1997 a 1999 (anexo 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Estructura política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75"/>
        <w:rPr>
          <w:i/>
        </w:rPr>
      </w:pPr>
      <w:r>
        <w:t>En la presente sección se informa sobre algunos aspectos de la estructura pol</w:t>
      </w:r>
      <w:r>
        <w:t>í</w:t>
      </w:r>
      <w:r>
        <w:t xml:space="preserve">tica general del Estado, en particular, sobre </w:t>
      </w:r>
      <w:r>
        <w:rPr>
          <w:i/>
        </w:rPr>
        <w:t>la forma del Estado, su sistema de g</w:t>
      </w:r>
      <w:r>
        <w:rPr>
          <w:i/>
        </w:rPr>
        <w:t>o</w:t>
      </w:r>
      <w:r>
        <w:rPr>
          <w:i/>
        </w:rPr>
        <w:t>bierno y sus autoridades.</w:t>
      </w:r>
    </w:p>
    <w:p w:rsidR="00000000" w:rsidRDefault="00000000">
      <w:pPr>
        <w:pStyle w:val="SingleTxt"/>
        <w:ind w:firstLine="475"/>
      </w:pPr>
      <w:r>
        <w:t xml:space="preserve">Con respecto a </w:t>
      </w:r>
      <w:r>
        <w:rPr>
          <w:i/>
        </w:rPr>
        <w:t xml:space="preserve">la forma del Estado y su sistema de gobierno, </w:t>
      </w:r>
      <w:r>
        <w:t>Kuwait es un Estado árabe</w:t>
      </w:r>
      <w:r>
        <w:rPr>
          <w:i/>
        </w:rPr>
        <w:t xml:space="preserve"> </w:t>
      </w:r>
      <w:r>
        <w:t>independiente y plenamente soberano, cuyo pueblo forma parte de la nación árabe. La religión del Estado es el Islam y su idioma oficial es el árabe. Tiene un sistema democrático de gobierno con arreglo al cual la soberanía reside en el pueblo, que es la fuente de toda autoridad. La soberanía se ejerce en la forma est</w:t>
      </w:r>
      <w:r>
        <w:t>i</w:t>
      </w:r>
      <w:r>
        <w:t>pulada en la Constitución del Estado. La sociedad kuwaití está basada en la justicia, la libertad y la igualdad y sus ciudadanos están unidos por los más fuertes vínculos de comprensión y ayuda mutuas,</w:t>
      </w:r>
    </w:p>
    <w:p w:rsidR="00000000" w:rsidRDefault="00000000">
      <w:pPr>
        <w:pStyle w:val="SingleTxt"/>
        <w:ind w:firstLine="475"/>
      </w:pPr>
      <w:r>
        <w:t>Para obtener una mejor comprensión del sistema democrático de gobierno de Kuwait, cabe señalar que, como se indica en la Nota Explicativa sobre la Constit</w:t>
      </w:r>
      <w:r>
        <w:t>u</w:t>
      </w:r>
      <w:r>
        <w:t>ción, la Constitución concibió a dicho sistema democrático, al cual adoptó, como una fórmula intermedia entre los sistemas parlamentario y presidencial, pero con una tendencia más pronunciada hacia el primero, habida cuenta de que el sistema presidencial había sido ideado para repúblicas.</w:t>
      </w:r>
    </w:p>
    <w:p w:rsidR="00000000" w:rsidRDefault="00000000">
      <w:pPr>
        <w:pStyle w:val="SingleTxt"/>
        <w:ind w:firstLine="475"/>
      </w:pPr>
      <w:r>
        <w:t>En consonancia con los principios intrínsecos de la democracia, el sistema de gobierno de Kuwait ha adoptado el concepto constitucional firmemente establecido de la separación de poderes, cada uno de los cuales debe cooperar con los demás p</w:t>
      </w:r>
      <w:r>
        <w:t>e</w:t>
      </w:r>
      <w:r>
        <w:t>ro sin poder abandonar total ni parcialmente las competencias que le asigna la Constitución.</w:t>
      </w:r>
    </w:p>
    <w:p w:rsidR="00000000" w:rsidRDefault="00000000">
      <w:pPr>
        <w:pStyle w:val="SingleTxt"/>
        <w:ind w:firstLine="475"/>
      </w:pPr>
      <w:r>
        <w:t>La Constitución de Kuwait, que se divide en cinco capítulos, dedica a la cue</w:t>
      </w:r>
      <w:r>
        <w:t>s</w:t>
      </w:r>
      <w:r>
        <w:t>tión de los poderes un capítulo separado (el capítulo 4, que comprende cinco secci</w:t>
      </w:r>
      <w:r>
        <w:t>o</w:t>
      </w:r>
      <w:r>
        <w:t>nes). En primer lugar, indica que el poder legislativo es ejercido por el Emir y la Asamblea Nacional de conformidad con la Constitución; el poder ejecutivo es eje</w:t>
      </w:r>
      <w:r>
        <w:t>r</w:t>
      </w:r>
      <w:r>
        <w:t>cido por el Emir, el Gabinete y los ministros en la forma determinada en la Const</w:t>
      </w:r>
      <w:r>
        <w:t>i</w:t>
      </w:r>
      <w:r>
        <w:t>tución, y el poder judicial es ejercido por los tribunales, en nombre del Emir, dentro de los límites establecidos en la Constitución.</w:t>
      </w:r>
    </w:p>
    <w:p w:rsidR="00000000" w:rsidRDefault="00000000">
      <w:pPr>
        <w:pStyle w:val="SingleTxt"/>
        <w:ind w:firstLine="475"/>
      </w:pPr>
      <w:r>
        <w:t xml:space="preserve">En la sección 2 de dicho capítulo se indica, entre otras cosas, que el </w:t>
      </w:r>
      <w:r>
        <w:rPr>
          <w:i/>
        </w:rPr>
        <w:t>Jefe de Estado</w:t>
      </w:r>
      <w:r>
        <w:t xml:space="preserve"> ejerce sus competencias por conducto de sus ministros y está facultado para nombrar y separar de su cargo al Primer Ministro. Es el comandante en jefe de las fuerzas armadas y está facultado para nombrar y destituir a los funcionarios en la forma prevista en las leyes. Promulga los reglamentos necesarios para hacer cumplir las leyes, así como los necesarios para controlar y regular los departamentos públ</w:t>
      </w:r>
      <w:r>
        <w:t>i</w:t>
      </w:r>
      <w:r>
        <w:t>cos y organismos del Estado. Asimismo designa a los funcionarios civiles, al pers</w:t>
      </w:r>
      <w:r>
        <w:t>o</w:t>
      </w:r>
      <w:r>
        <w:t>nal militar y a los representantes diplomáticos acreditados ante los Estados extranj</w:t>
      </w:r>
      <w:r>
        <w:t>e</w:t>
      </w:r>
      <w:r>
        <w:t>ros.</w:t>
      </w:r>
    </w:p>
    <w:p w:rsidR="00000000" w:rsidRDefault="00000000">
      <w:pPr>
        <w:pStyle w:val="SingleTxt"/>
        <w:ind w:firstLine="475"/>
      </w:pPr>
      <w:r>
        <w:t>Además de lo expuesto, las disposiciones de la Constitución también hacen r</w:t>
      </w:r>
      <w:r>
        <w:t>e</w:t>
      </w:r>
      <w:r>
        <w:t>ferencia a otras potestades del Emir.</w:t>
      </w:r>
    </w:p>
    <w:p w:rsidR="00000000" w:rsidRDefault="00000000">
      <w:pPr>
        <w:pStyle w:val="SingleTxt"/>
        <w:ind w:firstLine="475"/>
      </w:pPr>
      <w:r>
        <w:rPr>
          <w:i/>
        </w:rPr>
        <w:t>El poder legislativo</w:t>
      </w:r>
      <w:r>
        <w:t xml:space="preserve"> es ejercido por el Emir y la Asamblea Nacional, integrada por 50 miembros elegidos directamente por voto universal y secreto para un período de cuatro años. Ésa es la autoridad competente para sancionar las leyes con arreglo a lo dispuesto a la Constitución, cuyo artículo 79 dispone que no se podrá promulgar ninguna norma legislativa que no haya sido aprobada por la Asamblea Nacional y ratificada por el Emir. La Asamblea Nacional, igual que el Emir, tiene la facultad de proponer proyectos de ley y ejerce supervisión sobre las actividades del Gobierno. Asimismo está facultada para aprobar las convenciones internacionales en que pase a ser parte el Estado de Kuwait y que se consideran los tratados más importantes concertados por el Estado de conformidad con el párrafo 2 del artículo 70 de la Const</w:t>
      </w:r>
      <w:r>
        <w:t>i</w:t>
      </w:r>
      <w:r>
        <w:t>tución.</w:t>
      </w:r>
    </w:p>
    <w:p w:rsidR="00000000" w:rsidRDefault="00000000">
      <w:pPr>
        <w:pStyle w:val="SingleTxt"/>
        <w:ind w:firstLine="475"/>
      </w:pPr>
      <w:r>
        <w:t>En la sección 3 de dicho capítulo figuran las disposiciones relativas al Poder Legislativo. La Ley N° 12 de 1963, por la que se promulgó el reglamento de la Asamblea Nacional, regula las funciones y actividades de dicho órgano.</w:t>
      </w:r>
    </w:p>
    <w:p w:rsidR="00000000" w:rsidRDefault="00000000">
      <w:pPr>
        <w:pStyle w:val="SingleTxt"/>
        <w:ind w:firstLine="475"/>
      </w:pPr>
      <w:r>
        <w:t>La elección de los miembros de la Asamblea Nacional se rige por las dispos</w:t>
      </w:r>
      <w:r>
        <w:t>i</w:t>
      </w:r>
      <w:r>
        <w:t>ciones de la Ley N° 35 de 1962 (anexo 2).</w:t>
      </w:r>
    </w:p>
    <w:p w:rsidR="00000000" w:rsidRDefault="00000000">
      <w:pPr>
        <w:pStyle w:val="SingleTxt"/>
        <w:ind w:firstLine="475"/>
      </w:pPr>
      <w:r>
        <w:t>En resumen, cabe decir que la legislatura tiene las más amplias competencias legislativas.</w:t>
      </w:r>
    </w:p>
    <w:p w:rsidR="00000000" w:rsidRDefault="00000000">
      <w:pPr>
        <w:pStyle w:val="SingleTxt"/>
        <w:ind w:firstLine="475"/>
      </w:pPr>
      <w:r>
        <w:rPr>
          <w:i/>
        </w:rPr>
        <w:t>El poder ejecutivo</w:t>
      </w:r>
      <w:r>
        <w:t xml:space="preserve"> es ejercido por el Emir y el Gabinete, que controla a los o</w:t>
      </w:r>
      <w:r>
        <w:t>r</w:t>
      </w:r>
      <w:r>
        <w:t>ganismos del Estado, formula la política general del Estado y fiscaliza su ejecución y supervisa la labor de los departamentos gubernamentales. Cada ministro es re</w:t>
      </w:r>
      <w:r>
        <w:t>s</w:t>
      </w:r>
      <w:r>
        <w:t>ponsable de la supervisión de los asuntos de su ministerio, aplicando la política g</w:t>
      </w:r>
      <w:r>
        <w:t>e</w:t>
      </w:r>
      <w:r>
        <w:t>neral del gobierno y formulando las políticas de su ministerio y fiscalizando su apl</w:t>
      </w:r>
      <w:r>
        <w:t>i</w:t>
      </w:r>
      <w:r>
        <w:t>cación.</w:t>
      </w:r>
    </w:p>
    <w:p w:rsidR="00000000" w:rsidRDefault="00000000">
      <w:pPr>
        <w:pStyle w:val="SingleTxt"/>
        <w:ind w:firstLine="475"/>
      </w:pPr>
      <w:r>
        <w:rPr>
          <w:i/>
        </w:rPr>
        <w:t>El poder judicial</w:t>
      </w:r>
      <w:r>
        <w:t xml:space="preserve"> es ejercido por los tribunales en nombre del Emir. La Con</w:t>
      </w:r>
      <w:r>
        <w:t>s</w:t>
      </w:r>
      <w:r>
        <w:t>titución y las leyes garantizan la independencia de la judicatura de conformidad con el principio de que el honor de la judicatura y la integridad y la imparcialidad de los jueces forman la base del gobierno y constituyen una garantía de los derechos y las libertades.</w:t>
      </w:r>
    </w:p>
    <w:p w:rsidR="00000000" w:rsidRDefault="00000000">
      <w:pPr>
        <w:pStyle w:val="SingleTxt"/>
        <w:ind w:firstLine="475"/>
      </w:pPr>
      <w:r>
        <w:t>De conformidad con la Constitución, en lo tocante a la administración de just</w:t>
      </w:r>
      <w:r>
        <w:t>i</w:t>
      </w:r>
      <w:r>
        <w:t>cia el juez no está sujeto a autoridad alguna. La ley garantiza la independencia de la judicatura, así como las salvaguardias y demás disposiciones relativas a los jueces. La Constitución de Kuwait dedica a la autoridad judicial toda una sección, integrada por 12 artículos, y contiene numerosas disposiciones que ponen de relieve el princ</w:t>
      </w:r>
      <w:r>
        <w:t>i</w:t>
      </w:r>
      <w:r>
        <w:t>pio de la independencia de la judicatura.</w:t>
      </w:r>
    </w:p>
    <w:p w:rsidR="00000000" w:rsidRDefault="00000000">
      <w:pPr>
        <w:pStyle w:val="SingleTxt"/>
        <w:ind w:firstLine="475"/>
      </w:pPr>
      <w:r>
        <w:t>La Ley N° 23 de 1990 sobre la Organización de la Judicatura regula los di</w:t>
      </w:r>
      <w:r>
        <w:t>s</w:t>
      </w:r>
      <w:r>
        <w:t>tintos grados de los tribunales, define la composición y las potestades del Consejo Superior de la Judicatura, regula los nombramientos y ascensos judiciales y dete</w:t>
      </w:r>
      <w:r>
        <w:t>r</w:t>
      </w:r>
      <w:r>
        <w:t>mina los deberes de los jueces y la composición y las competencias del Ministerio Públ</w:t>
      </w:r>
      <w:r>
        <w:t>i</w:t>
      </w:r>
      <w:r>
        <w:t>co.</w:t>
      </w:r>
    </w:p>
    <w:p w:rsidR="00000000" w:rsidRDefault="00000000">
      <w:pPr>
        <w:pStyle w:val="SingleTxt"/>
        <w:ind w:firstLine="475"/>
      </w:pPr>
      <w:r>
        <w:t>A este respecto, cabe señalar que la Ley N° 10 de 1996 introdujo numerosas enmiendas a la Ley mencionada, tendientes a asegurar una mayor independencia de la judicatura, así como salvaguardas y garantías adicionales para los jueces, con el fin de permitir que la judicatura mantenga su posición institucional y se concentre en el cumplimiento de su misión.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Publicación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75"/>
      </w:pPr>
      <w:r>
        <w:t>De conformidad con el artículo 70 de la Constitución de Kuwait, ningún trat</w:t>
      </w:r>
      <w:r>
        <w:t>a</w:t>
      </w:r>
      <w:r>
        <w:t>do puede entrar en vigor y adquirir obligatoriedad sin que previamente se hayan cumplido los procedimientos constitucionales pertinentes y luego se haya publicado en la Gaceta Oficial. Dicho artículo se refiere concretamente a los tratados, que d</w:t>
      </w:r>
      <w:r>
        <w:t>e</w:t>
      </w:r>
      <w:r>
        <w:t>ben ser promulgados mediante una disposición legislativa.</w:t>
      </w:r>
    </w:p>
    <w:p w:rsidR="00000000" w:rsidRDefault="00000000">
      <w:pPr>
        <w:pStyle w:val="SingleTxt"/>
        <w:ind w:firstLine="475"/>
      </w:pPr>
      <w:r>
        <w:t>La finalidad de la publicación, que constituye la última etapa legislativa, es l</w:t>
      </w:r>
      <w:r>
        <w:t>o</w:t>
      </w:r>
      <w:r>
        <w:t>grar que las normas sancionadas sean conocidas generalmente de modo que la aut</w:t>
      </w:r>
      <w:r>
        <w:t>o</w:t>
      </w:r>
      <w:r>
        <w:t>ridad ejecutiva pueda aplicarlas. Los actos legislativos se publican en la Gaceta Of</w:t>
      </w:r>
      <w:r>
        <w:t>i</w:t>
      </w:r>
      <w:r>
        <w:t>cial, en árabe, dentro de las dos semanas de la fecha de su promulgación, y entran en vigor un mes después de la fecha de su publicación. Ese plazo puede ser ampliado o reducido si así se dispone especialmente en el respectivo acto legislativo.</w:t>
      </w:r>
    </w:p>
    <w:p w:rsidR="00000000" w:rsidRDefault="00000000">
      <w:pPr>
        <w:pStyle w:val="SingleTxt"/>
        <w:ind w:firstLine="475"/>
      </w:pPr>
      <w:r>
        <w:t>Los actos legislativos entran en vigor al vencimiento del plazo correspondiente a contar de su publicación en la Gaceta Oficial, y, consiguientemente, pasan a ser aplicables a todos, conozcan o no su existencia. La publicación es un requisito nec</w:t>
      </w:r>
      <w:r>
        <w:t>e</w:t>
      </w:r>
      <w:r>
        <w:t>sario de todos los actos legislativos, y equivale a una orden dirigida a todos los ó</w:t>
      </w:r>
      <w:r>
        <w:t>r</w:t>
      </w:r>
      <w:r>
        <w:t>ganos y autoridades oficiales para que apliquen sus disposiciones en sus respectivos ámbitos de competencia. Cabe señalar que los instrumentos de derechos humanos en los que Kuwait ha pasado a ser parte, en particular la Convención a que se refiere el presente informe, han sido publicados en la Gaceta Oficial en árabe a fin de que t</w:t>
      </w:r>
      <w:r>
        <w:t>o</w:t>
      </w:r>
      <w:r>
        <w:t>dos conozcan sus disposiciones.</w:t>
      </w:r>
    </w:p>
    <w:p w:rsidR="00000000" w:rsidRDefault="00000000">
      <w:pPr>
        <w:pStyle w:val="HCh"/>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pPr>
      <w:r>
        <w:tab/>
        <w:t>Segunda parte</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75"/>
      </w:pPr>
      <w:r>
        <w:t>La segunda parte del presente informe comprende tres esferas fundamentales: el marco jurídico, social, económico y político general y la política del Estado en relación con la eliminación de la discriminación contra la mujer: las medidas juríd</w:t>
      </w:r>
      <w:r>
        <w:t>i</w:t>
      </w:r>
      <w:r>
        <w:t>cas relativas a la aplicación de la Convención, y los recursos de que disponen las muj</w:t>
      </w:r>
      <w:r>
        <w:t>e</w:t>
      </w:r>
      <w:r>
        <w:t>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Marco jurídico, social, económico y político general y la política del Estado en relación con la eliminación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Marco jurídico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75"/>
      </w:pPr>
      <w:r>
        <w:t>Kuwait se esfuerza por garantizar los derechos y libertades fundamentales de las mujeres, de modo de permitirles que ocupen su lugar en la sociedad. Desearía poner de relieve que puede decirse que los actos legislativos en vigor en Kuwait, en particular la Constitución de Kuwait, constituyen la base política y jurídica para la protección de los derechos humanos en su totalidad en el país. De hecho, se han promulgado numerosos actos legislativos, de conformidad con la Constitución, con el fin de salvaguardar los derechos humanos en las esferas política, social, civil, p</w:t>
      </w:r>
      <w:r>
        <w:t>e</w:t>
      </w:r>
      <w:r>
        <w:t>nal, económica y cultural y otras esferas pertinentes. La Constitución prevé inequ</w:t>
      </w:r>
      <w:r>
        <w:t>í</w:t>
      </w:r>
      <w:r>
        <w:t>vocamente la no discriminación entre mujeres y hombres y procura asegurarles, en igualdad de condiciones, el goce de los derechos garantizados en sus disposiciones.</w:t>
      </w:r>
    </w:p>
    <w:p w:rsidR="00000000" w:rsidRDefault="00000000">
      <w:pPr>
        <w:pStyle w:val="SingleTxt"/>
        <w:ind w:firstLine="475"/>
      </w:pPr>
      <w:r>
        <w:t>El instrumento mediante el cual se promulgó la Constitución de Kuwait revela el alto grado de preocupación que la Constitución tiene por la cuestión de los der</w:t>
      </w:r>
      <w:r>
        <w:t>e</w:t>
      </w:r>
      <w:r>
        <w:t>chos humanos, al expresar claramente lo siguiente: “La presente Constitución ha s</w:t>
      </w:r>
      <w:r>
        <w:t>i</w:t>
      </w:r>
      <w:r>
        <w:t>do promulgada a fin de suministrar los medios para el gobierno democrático en el Estado de Kuwait con miras a asegurar un futuro mejor en el que el país goce de más prosperidad y de un mayor reconocimiento internacional y en el que sus ciud</w:t>
      </w:r>
      <w:r>
        <w:t>a</w:t>
      </w:r>
      <w:r>
        <w:t>danos se beneficien de un mayor grado de libertad política, igualdad y justicia s</w:t>
      </w:r>
      <w:r>
        <w:t>o</w:t>
      </w:r>
      <w:r>
        <w:t>cial, un futuro que consolide las tradiciones inherentes a la sociedad árabe al realzar el sentimiento de orgullo por la dignidad del individuo, salvaguardar el interés p</w:t>
      </w:r>
      <w:r>
        <w:t>ú</w:t>
      </w:r>
      <w:r>
        <w:t>blico y realizar un gobierno consultivo, y al mismo tiempo mantener la unidad y la estabil</w:t>
      </w:r>
      <w:r>
        <w:t>i</w:t>
      </w:r>
      <w:r>
        <w:t>dad del país.”</w:t>
      </w:r>
    </w:p>
    <w:p w:rsidR="00000000" w:rsidRDefault="00000000">
      <w:pPr>
        <w:pStyle w:val="SingleTxt"/>
        <w:ind w:firstLine="475"/>
      </w:pPr>
      <w:r>
        <w:t>De tal manera, la Constitución de Kuwait expresa claramente la importancia de los derechos humanos, para los que demuestra una adecuada preocupación al asi</w:t>
      </w:r>
      <w:r>
        <w:t>g</w:t>
      </w:r>
      <w:r>
        <w:t>narles la condición más elevada. De hecho, la mayoría de las disposiciones conten</w:t>
      </w:r>
      <w:r>
        <w:t>i</w:t>
      </w:r>
      <w:r>
        <w:t>das en los diversos capítulos de la Constitución consagran los principios que la c</w:t>
      </w:r>
      <w:r>
        <w:t>o</w:t>
      </w:r>
      <w:r>
        <w:t>munidad internacional ha aprobado y expresado en los instrumentos internacionales que se han adoptado a este respecto, en particular, la Convención sobre la elimin</w:t>
      </w:r>
      <w:r>
        <w:t>a</w:t>
      </w:r>
      <w:r>
        <w:t>ción de todas las formas de discriminación contra la mujer.</w:t>
      </w:r>
    </w:p>
    <w:p w:rsidR="00000000" w:rsidRDefault="00000000">
      <w:pPr>
        <w:pStyle w:val="SingleTxt"/>
        <w:ind w:firstLine="475"/>
      </w:pPr>
      <w:r>
        <w:t>Si bien el principio de igualdad de derechos y obligaciones de los ciudadanos está consagrado en las disposiciones de la Constitución, cabe señalar que la palabra “igualdad” se menciona en dos ocasiones separadas: en primer lugar, en el artículo 7, con arreglo al cual se considera que la justicia y la igualdad son los pilares de la sociedad kuwaití, y en segundo lugar, en el artículo 29, que consagra el principio de igualdad con mayor detalle,</w:t>
      </w:r>
    </w:p>
    <w:p w:rsidR="00000000" w:rsidRDefault="00000000">
      <w:pPr>
        <w:pStyle w:val="SingleTxt"/>
        <w:ind w:firstLine="475"/>
      </w:pPr>
      <w:r>
        <w:t>Los derechos de la mujer estipulados en la Convención están contenidos en la Constitución de Kuwait, en los términos siguientes:</w:t>
      </w:r>
    </w:p>
    <w:p w:rsidR="00000000" w:rsidRDefault="00000000">
      <w:pPr>
        <w:pStyle w:val="SingleTxt"/>
        <w:ind w:firstLine="475"/>
      </w:pPr>
      <w:r>
        <w:t xml:space="preserve">– </w:t>
      </w:r>
      <w:r>
        <w:rPr>
          <w:i/>
        </w:rPr>
        <w:t>El capítulo 2</w:t>
      </w:r>
      <w:r>
        <w:t xml:space="preserve"> abarca todos los derechos que con arreglo a la Constitución se consideran elementos constitutivos fundamentales de la sociedad kuwaití, en part</w:t>
      </w:r>
      <w:r>
        <w:t>i</w:t>
      </w:r>
      <w:r>
        <w:t>cular, la justicia, la libertad, la igualdad, la protección de la madre y el niño, el bi</w:t>
      </w:r>
      <w:r>
        <w:t>e</w:t>
      </w:r>
      <w:r>
        <w:t>nestar de los jóvenes, la educación, la salud pública, la propiedad privada, al función pública, la libertad de investigación científica y la garantía de asistencia a los ciud</w:t>
      </w:r>
      <w:r>
        <w:t>a</w:t>
      </w:r>
      <w:r>
        <w:t>danos en los casos de enfermedad o incapacidad para trabajar.</w:t>
      </w:r>
    </w:p>
    <w:p w:rsidR="00000000" w:rsidRDefault="00000000">
      <w:pPr>
        <w:pStyle w:val="SingleTxt"/>
        <w:ind w:firstLine="475"/>
      </w:pPr>
      <w:r>
        <w:t xml:space="preserve">– </w:t>
      </w:r>
      <w:r>
        <w:rPr>
          <w:i/>
        </w:rPr>
        <w:t>El capítulo 3</w:t>
      </w:r>
      <w:r>
        <w:t xml:space="preserve"> comprende las disposiciones relativas al derecho a la nacional</w:t>
      </w:r>
      <w:r>
        <w:t>i</w:t>
      </w:r>
      <w:r>
        <w:t>dad, la igualdad ante la ley, la libertad personal, las restricciones a la privación de libertad fuera de los casos previstos en la ley, la libertad de creencias, la libertad de opinión y de investigación científica, la libertad de la prensa, la inviolabilidad del hogar, la libertad de comunicación postal, telegráfica y telefónica, el derecho a la educación, el derecho al trabajo, la libertad de formación de asociaciones y sindic</w:t>
      </w:r>
      <w:r>
        <w:t>a</w:t>
      </w:r>
      <w:r>
        <w:t>tos y la libertad de reunión.</w:t>
      </w:r>
    </w:p>
    <w:p w:rsidR="00000000" w:rsidRDefault="00000000">
      <w:pPr>
        <w:pStyle w:val="SingleTxt"/>
        <w:ind w:firstLine="475"/>
      </w:pPr>
      <w:r>
        <w:t xml:space="preserve">– </w:t>
      </w:r>
      <w:r>
        <w:rPr>
          <w:i/>
        </w:rPr>
        <w:t>El capítulo 4</w:t>
      </w:r>
      <w:r>
        <w:t xml:space="preserve"> contiene cinco secciones, relativas a los poderes del Estado, a saber, el poder legislativo, el poder ejecutivo y el poder judicial. También se refiere a las medidas judiciales y legales encaminadas a salvaguardar a los ciudadanos y los derechos de los individuos en general.</w:t>
      </w:r>
    </w:p>
    <w:p w:rsidR="00000000" w:rsidRDefault="00000000">
      <w:pPr>
        <w:pStyle w:val="SingleTxt"/>
        <w:ind w:firstLine="475"/>
      </w:pPr>
      <w:r>
        <w:t>A este respecto, cabe señalar que, debido a su inclusión en la Constitución de Kuwait, los principios de derechos humanos tienen importantes rasgos distintivos, como se indica en los ejemplos siguientes:</w:t>
      </w:r>
    </w:p>
    <w:p w:rsidR="00000000" w:rsidRDefault="00000000">
      <w:pPr>
        <w:pStyle w:val="SingleTxt"/>
        <w:ind w:firstLine="475"/>
      </w:pPr>
      <w:r>
        <w:t>– No deben ser menoscabados por ninguna reforma o enmienda que no se haya llevado a cabo de conformidad con los procedimientos exigidos para la reforma de la Constitución, que se estipulan en los artículos 174 y 175;</w:t>
      </w:r>
    </w:p>
    <w:p w:rsidR="00000000" w:rsidRDefault="00000000">
      <w:pPr>
        <w:pStyle w:val="SingleTxt"/>
        <w:ind w:firstLine="475"/>
      </w:pPr>
      <w:r>
        <w:t>– Gozan de protección judicial, pues la Constitución ha estipulado firmes g</w:t>
      </w:r>
      <w:r>
        <w:t>a</w:t>
      </w:r>
      <w:r>
        <w:t>rantías para asegurar que los derechos humanos sean respetados y aplicados efect</w:t>
      </w:r>
      <w:r>
        <w:t>i</w:t>
      </w:r>
      <w:r>
        <w:t>vamente, además de lo cual los protege contra cualquier tipo de violación mediante la Corte Constitucional. Dicha Corte, establecida con arreglo a la Ley N° 24 de 1973, es un órgano judicial que tiene la competencia exclusiva de interpretar las di</w:t>
      </w:r>
      <w:r>
        <w:t>s</w:t>
      </w:r>
      <w:r>
        <w:t>posiciones constitucionales y decidir acerca de la constitucionalidad de las leyes. Sus fallos son obligatorios para todas las autoridades estatales.</w:t>
      </w:r>
    </w:p>
    <w:p w:rsidR="00000000" w:rsidRDefault="00000000">
      <w:pPr>
        <w:pStyle w:val="SingleTxt"/>
        <w:ind w:firstLine="475"/>
      </w:pPr>
      <w:r>
        <w:t>Además de lo expuesto, Kuwait es parte en varias convenciones internacion</w:t>
      </w:r>
      <w:r>
        <w:t>a</w:t>
      </w:r>
      <w:r>
        <w:t>les sobre derechos humanos:</w:t>
      </w:r>
    </w:p>
    <w:p w:rsidR="00000000" w:rsidRDefault="00000000">
      <w:pPr>
        <w:pStyle w:val="SingleTxt"/>
        <w:numPr>
          <w:ilvl w:val="0"/>
          <w:numId w:val="4"/>
        </w:numPr>
        <w:tabs>
          <w:tab w:val="clear" w:pos="360"/>
          <w:tab w:val="num" w:pos="2102"/>
        </w:tabs>
        <w:ind w:left="2102"/>
      </w:pPr>
      <w:r>
        <w:t>La Convención Internacional sobre la Eliminación de todas las Formas de Discriminación Racial;</w:t>
      </w:r>
    </w:p>
    <w:p w:rsidR="00000000" w:rsidRDefault="00000000">
      <w:pPr>
        <w:pStyle w:val="SingleTxt"/>
        <w:numPr>
          <w:ilvl w:val="0"/>
          <w:numId w:val="4"/>
        </w:numPr>
        <w:tabs>
          <w:tab w:val="clear" w:pos="360"/>
          <w:tab w:val="num" w:pos="2102"/>
        </w:tabs>
        <w:ind w:left="2102"/>
      </w:pPr>
      <w:r>
        <w:t xml:space="preserve">La Convención Internacional sobre la Represión y el Castigo del Crimen de </w:t>
      </w:r>
      <w:r>
        <w:rPr>
          <w:i/>
        </w:rPr>
        <w:t>Apartheid;</w:t>
      </w:r>
    </w:p>
    <w:p w:rsidR="00000000" w:rsidRDefault="00000000">
      <w:pPr>
        <w:pStyle w:val="SingleTxt"/>
        <w:numPr>
          <w:ilvl w:val="0"/>
          <w:numId w:val="4"/>
        </w:numPr>
        <w:tabs>
          <w:tab w:val="clear" w:pos="360"/>
          <w:tab w:val="num" w:pos="2102"/>
        </w:tabs>
        <w:ind w:left="2102"/>
      </w:pPr>
      <w:r>
        <w:t xml:space="preserve">La Convención Internacional contra el </w:t>
      </w:r>
      <w:r>
        <w:rPr>
          <w:i/>
        </w:rPr>
        <w:t>Apartheid</w:t>
      </w:r>
      <w:r>
        <w:t xml:space="preserve"> en los Deportes;</w:t>
      </w:r>
    </w:p>
    <w:p w:rsidR="00000000" w:rsidRDefault="00000000">
      <w:pPr>
        <w:pStyle w:val="SingleTxt"/>
        <w:numPr>
          <w:ilvl w:val="0"/>
          <w:numId w:val="4"/>
        </w:numPr>
        <w:tabs>
          <w:tab w:val="clear" w:pos="360"/>
          <w:tab w:val="num" w:pos="2102"/>
        </w:tabs>
        <w:ind w:left="2102"/>
      </w:pPr>
      <w:r>
        <w:t>La Convención relativa a la lucha contra las discriminaciones en la esfera de la enseñanza.</w:t>
      </w:r>
    </w:p>
    <w:p w:rsidR="00000000" w:rsidRDefault="00000000">
      <w:pPr>
        <w:pStyle w:val="SingleTxt"/>
        <w:ind w:firstLine="475"/>
      </w:pPr>
      <w:r>
        <w:t>Asimismo es parte en varias convenciones internacionales de derechos hum</w:t>
      </w:r>
      <w:r>
        <w:t>a</w:t>
      </w:r>
      <w:r>
        <w:t xml:space="preserve">nos que contienen disposiciones por las cuales se prohíbe la discriminación. Son las siguientes: </w:t>
      </w:r>
    </w:p>
    <w:p w:rsidR="00000000" w:rsidRDefault="00000000">
      <w:pPr>
        <w:pStyle w:val="SingleTxt"/>
        <w:numPr>
          <w:ilvl w:val="0"/>
          <w:numId w:val="4"/>
        </w:numPr>
        <w:tabs>
          <w:tab w:val="clear" w:pos="360"/>
          <w:tab w:val="num" w:pos="2102"/>
        </w:tabs>
        <w:ind w:left="2102"/>
      </w:pPr>
      <w:r>
        <w:t>El Pacto Internacional de Derechos Civiles y Políticos;</w:t>
      </w:r>
    </w:p>
    <w:p w:rsidR="00000000" w:rsidRDefault="00000000">
      <w:pPr>
        <w:pStyle w:val="SingleTxt"/>
        <w:numPr>
          <w:ilvl w:val="0"/>
          <w:numId w:val="4"/>
        </w:numPr>
        <w:tabs>
          <w:tab w:val="clear" w:pos="360"/>
          <w:tab w:val="num" w:pos="2102"/>
        </w:tabs>
        <w:ind w:left="2102"/>
      </w:pPr>
      <w:r>
        <w:t>El Pacto Internacional de Derechos Económicos, Sociales y Culturales;</w:t>
      </w:r>
    </w:p>
    <w:p w:rsidR="00000000" w:rsidRDefault="00000000">
      <w:pPr>
        <w:pStyle w:val="SingleTxt"/>
        <w:numPr>
          <w:ilvl w:val="0"/>
          <w:numId w:val="4"/>
        </w:numPr>
        <w:tabs>
          <w:tab w:val="clear" w:pos="360"/>
          <w:tab w:val="num" w:pos="2102"/>
        </w:tabs>
        <w:ind w:left="2102"/>
      </w:pPr>
      <w:r>
        <w:t>La Convención sobre los Derechos del Niño.</w:t>
      </w:r>
    </w:p>
    <w:p w:rsidR="00000000" w:rsidRDefault="00000000">
      <w:pPr>
        <w:pStyle w:val="SingleTxt"/>
        <w:ind w:firstLine="475"/>
      </w:pPr>
      <w:r>
        <w:t>Además, es parte en 18 convenios internacionales de la Organización Intern</w:t>
      </w:r>
      <w:r>
        <w:t>a</w:t>
      </w:r>
      <w:r>
        <w:t>cional del Trabajo, a los que se hará referencia en el contexto del presente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Marco social y económico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75"/>
      </w:pPr>
      <w:r>
        <w:t>Kuwait ha prestado atención a los aspectos sociales y económicos de la vida de la mujer. En el frente social, esa atención queda claramente demostrada por los d</w:t>
      </w:r>
      <w:r>
        <w:t>e</w:t>
      </w:r>
      <w:r>
        <w:t>partamentos y organismos gubernamentales y no gubernamentales establecidos con miras a asegurar el bienestar de la familia en general y de la mujer en particular, y a alentar a los ciudadanos kuwaitíes, que son el punto focal del desarrollo social, a i</w:t>
      </w:r>
      <w:r>
        <w:t>n</w:t>
      </w:r>
      <w:r>
        <w:t>volucrarse en las actividades de desarrollo. Otros de los fines para los que fueron establecidos son el apoyo a las familias kuwaitíes para la promoción del desarrollo social de sus miembros y la aplicación de la política general del Estado en la esfera de la solidaridad social (en otras partes del presente informe se hace referencia a los mecanismos c</w:t>
      </w:r>
      <w:r>
        <w:t>o</w:t>
      </w:r>
      <w:r>
        <w:t>rrespondientes).</w:t>
      </w:r>
    </w:p>
    <w:p w:rsidR="00000000" w:rsidRDefault="00000000">
      <w:pPr>
        <w:pStyle w:val="SingleTxt"/>
        <w:ind w:firstLine="475"/>
      </w:pPr>
      <w:r>
        <w:t>En el frente económico, el Estado ha desempeñado un papel eficaz en la pr</w:t>
      </w:r>
      <w:r>
        <w:t>o</w:t>
      </w:r>
      <w:r>
        <w:t>tección de las mujeres contra la pobreza,  en particular teniendo en cuenta que son quienes soportan la mayor carga en lo tocante al cuidado de la familia en caso de f</w:t>
      </w:r>
      <w:r>
        <w:t>a</w:t>
      </w:r>
      <w:r>
        <w:t>llecimiento o incapacidad del marido o de separación. Ello se ha llevado a cabo m</w:t>
      </w:r>
      <w:r>
        <w:t>e</w:t>
      </w:r>
      <w:r>
        <w:t>diante la sanción de normas legislativas que garantizan a las mujeres medios de vida decorosos (en otras partes del presente informe se hace referencia a las leyes corre</w:t>
      </w:r>
      <w:r>
        <w:t>s</w:t>
      </w:r>
      <w:r>
        <w:t>pondientes).</w:t>
      </w:r>
    </w:p>
    <w:p w:rsidR="00000000" w:rsidRDefault="00000000">
      <w:pPr>
        <w:pStyle w:val="SingleTxt"/>
        <w:ind w:firstLine="475"/>
      </w:pPr>
      <w:r>
        <w:t>Esa atención deriva de la convicción de Kuwait de que el desarrollo social es un proceso humano en el cual el factor humano desempeña un papel instrumental; después de todo, el ser humano es la piedra fundamental del desarrollo social. En cuanto a la atención dedicada a la familia y a las salvaguardias contra su destrucción y el fortalecimiento de las capacidades, el Estado ha establecido en total 12 centros de desarrollo social en varias regiones, con el fin de promover el empleo de las m</w:t>
      </w:r>
      <w:r>
        <w:t>u</w:t>
      </w:r>
      <w:r>
        <w:t>jeres e impartir capacitación a las mujeres capaces de realizar un trabajo productivo, que posteriormente son promovidas en el mercado de trabajo y en ferias de empleos por conducto de los organismos competentes, y a consecuencia de ello las familias obtienen los beneficios correspondientes.</w:t>
      </w:r>
    </w:p>
    <w:p w:rsidR="00000000" w:rsidRDefault="00000000">
      <w:pPr>
        <w:pStyle w:val="SingleTxt"/>
        <w:ind w:firstLine="475"/>
      </w:pPr>
      <w:r>
        <w:t>Otros ejemplos de puntos focales mediante los cuales el Estado procura brindar ayuda y asistencia a las mujeres son el proyecto denominado “Frutos de mi trabajo” e instituciones gubernamentales como Bayt al-Zakat (Casa Zakat), que se mencion</w:t>
      </w:r>
      <w:r>
        <w:t>a</w:t>
      </w:r>
      <w:r>
        <w:t>rán en otras partes del presente informe.</w:t>
      </w:r>
    </w:p>
    <w:p w:rsidR="00000000" w:rsidRDefault="00000000">
      <w:pPr>
        <w:pStyle w:val="SingleTxt"/>
        <w:ind w:firstLine="475"/>
      </w:pPr>
      <w:r>
        <w:t>Cabe señalar que en el Informe Árabe sobre el Desarrollo Humano, 2002, el</w:t>
      </w:r>
      <w:r>
        <w:t>a</w:t>
      </w:r>
      <w:r>
        <w:t>borado por el Programa de las Naciones Unidas para el Desarrollo (PNUD) y el Fondo Árabe de Desarrollo Económico y Social, Kuwait ocupó el lugar más elevado en el índice de desarrollo humano, una posición que no se obtiene por casualidad. Por el contrario, se debe a las generosas medidas que el Estado está tomando en esta esfera.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Medidas jurídicas adoptadas para la aplicación efectiva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75"/>
      </w:pPr>
      <w:r>
        <w:t>En cumplimiento de su compromiso con los principios fundamentales relativos a la no discriminación en materia alguna entre los individuos que integran la soci</w:t>
      </w:r>
      <w:r>
        <w:t>e</w:t>
      </w:r>
      <w:r>
        <w:t>dad, como lo dispone su Constitución, Kuwait ratificó con prontitud diversas co</w:t>
      </w:r>
      <w:r>
        <w:t>n</w:t>
      </w:r>
      <w:r>
        <w:t>venciones sobre derechos humanos, en particular la Convención a que se refiere el presente informe. De conformidad con lo dispuesto en el artículo 70 de su Constit</w:t>
      </w:r>
      <w:r>
        <w:t>u</w:t>
      </w:r>
      <w:r>
        <w:t>ción, se ha confiado al Emir la responsabilidad de concertar tratados y transmitirlos a la Asamblea Nacional, junto con una declaración apropiada. Los tratados adqui</w:t>
      </w:r>
      <w:r>
        <w:t>e</w:t>
      </w:r>
      <w:r>
        <w:t>ren fuerza de ley luego de firmados, ratificados y publicados en la Gaceta Oficial con arreglo a los procedimientos establecidos. Consiguientemente, luego de que Kuwait pasó a ser parte en la Convención a que se refiere el presente informe y de que la Convención se publicó en la Gaceta Oficial, dicha Convención es ahora una ley nacional que todas las autoridades están obligadas a aplicar de conformidad con el artículo 70 de la Constitución. Como consecuencia de ello, toda persona que r</w:t>
      </w:r>
      <w:r>
        <w:t>e</w:t>
      </w:r>
      <w:r>
        <w:t>sulte lesionada por la no aplicación de alguna de las disposiciones de la Convención puede recurrir a los tribunales, de conformidad con los procedimientos establecidos al efecto, a fin de obtener los derechos consagrados en sus disposiciones.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Recursos de que disponen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75"/>
      </w:pPr>
      <w:r>
        <w:t>De conformidad con los principios constitucionales y la legislación de Kuwait, las autoridades del Estado deben aplicar el principio de igualdad cuando ejercen las competencias de que están investidas y evitar toda discriminación en relación con los derechos consagrados con arreglo al artículo 26 de la Constitución. En caso de que se violen esos principios, las mujeres pueden utilizar diversos recursos ante los di</w:t>
      </w:r>
      <w:r>
        <w:t>s</w:t>
      </w:r>
      <w:r>
        <w:t>tintos tipos de tribunales, según se indica a continuación.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1.</w:t>
      </w:r>
      <w:r>
        <w:tab/>
        <w:t>Tribunales administrativos</w:t>
      </w:r>
    </w:p>
    <w:p w:rsidR="00000000" w:rsidRDefault="00000000">
      <w:pPr>
        <w:pStyle w:val="SingleTxt"/>
        <w:spacing w:after="0" w:line="120" w:lineRule="exact"/>
        <w:ind w:firstLine="475"/>
        <w:rPr>
          <w:sz w:val="10"/>
        </w:rPr>
      </w:pPr>
    </w:p>
    <w:p w:rsidR="00000000" w:rsidRDefault="00000000">
      <w:pPr>
        <w:pStyle w:val="SingleTxt"/>
        <w:ind w:firstLine="475"/>
      </w:pPr>
      <w:r>
        <w:t>Los tribunales administrativos son las autoridades judiciales competentes para examinar las controversias administrativas. Con arreglo al Decreto Legislativo N° 20 de 1981, se estableció en el tribunal de distrito una división administrativa co</w:t>
      </w:r>
      <w:r>
        <w:t>m</w:t>
      </w:r>
      <w:r>
        <w:t>petente para examinar las controversias surgidas en relación con el ejercicio de las competencias del poder ejecutivo y de las reglamentaciones y decisiones admini</w:t>
      </w:r>
      <w:r>
        <w:t>s</w:t>
      </w:r>
      <w:r>
        <w:t>trativas que éste dicte con respecto a los individuos. Habida cuenta de que los trib</w:t>
      </w:r>
      <w:r>
        <w:t>u</w:t>
      </w:r>
      <w:r>
        <w:t>nales administrativos deben cumplir con los principios constitucionales, incluido el principio de igualdad y no discriminación, las mujeres disponen de recursos a ese respecto ante los tribunales mencionados.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2.</w:t>
      </w:r>
      <w:r>
        <w:tab/>
        <w:t>Tribunales civiles, penales y comerciales</w:t>
      </w:r>
    </w:p>
    <w:p w:rsidR="00000000" w:rsidRDefault="00000000">
      <w:pPr>
        <w:pStyle w:val="SingleTxt"/>
        <w:spacing w:after="0" w:line="120" w:lineRule="exact"/>
        <w:ind w:firstLine="475"/>
        <w:rPr>
          <w:sz w:val="10"/>
        </w:rPr>
      </w:pPr>
    </w:p>
    <w:p w:rsidR="00000000" w:rsidRDefault="00000000">
      <w:pPr>
        <w:pStyle w:val="SingleTxt"/>
        <w:ind w:firstLine="475"/>
      </w:pPr>
      <w:r>
        <w:t>Los tribunales civiles, penales y comerciales son competentes para decidir los casos de naturaleza civil, penal y comercial. Hay dos grados de tribunales penales competentes para juzgar a las personas acusadas de cometer delitos graves o leves:</w:t>
      </w:r>
    </w:p>
    <w:p w:rsidR="00000000" w:rsidRDefault="00000000">
      <w:pPr>
        <w:pStyle w:val="SingleTxt"/>
        <w:ind w:firstLine="475"/>
      </w:pPr>
      <w:r>
        <w:t>– Tribunales de primera instancia, a saber, el Tribunal Correccional y el Trib</w:t>
      </w:r>
      <w:r>
        <w:t>u</w:t>
      </w:r>
      <w:r>
        <w:t>nal Criminal;</w:t>
      </w:r>
    </w:p>
    <w:p w:rsidR="00000000" w:rsidRDefault="00000000">
      <w:pPr>
        <w:pStyle w:val="SingleTxt"/>
        <w:ind w:firstLine="475"/>
      </w:pPr>
      <w:r>
        <w:t>– Tribunales de apelación, a saber, el Tribunal de Apelación de Causas Corre</w:t>
      </w:r>
      <w:r>
        <w:t>c</w:t>
      </w:r>
      <w:r>
        <w:t>cionales y el Tribunal Superior de Apelación.</w:t>
      </w:r>
    </w:p>
    <w:p w:rsidR="00000000" w:rsidRDefault="00000000">
      <w:pPr>
        <w:pStyle w:val="SingleTxt"/>
        <w:ind w:firstLine="475"/>
      </w:pPr>
      <w:r>
        <w:t>En toda controversia que se presente ante ellos, los tribunales deben, cons</w:t>
      </w:r>
      <w:r>
        <w:t>i</w:t>
      </w:r>
      <w:r>
        <w:t>guientemente, aplicar los principios constitucionales y las leyes pertinentes en vigor, así como la Ley N° 38 de 1980, por la que se promulgó el Código de Procedimiento Civil y Comercial, y la Ley N° 17 de 1960, por la que se promulgó el Código de Enjuiciamiento y Procedimiento Penal.</w:t>
      </w:r>
    </w:p>
    <w:p w:rsidR="00000000" w:rsidRDefault="00000000">
      <w:pPr>
        <w:pStyle w:val="SingleTxt"/>
        <w:ind w:firstLine="475"/>
      </w:pPr>
      <w:r>
        <w:t>Cabe señalar que las leyes que rigen la judicatura no hacen distinción alguna entre hombres y mujeres en lo tocante al ejercicio del derecho a los recursos juríd</w:t>
      </w:r>
      <w:r>
        <w:t>i</w:t>
      </w:r>
      <w:r>
        <w:t>cos y las garantías prescritas a tal efecto.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pPr>
      <w:r>
        <w:tab/>
        <w:t>Tercera parte</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constitucionales, legislativas y administrativas relativas a los artículos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ind w:firstLine="475"/>
        <w:rPr>
          <w:sz w:val="10"/>
        </w:rPr>
      </w:pPr>
    </w:p>
    <w:p w:rsidR="00000000" w:rsidRDefault="00000000">
      <w:pPr>
        <w:pStyle w:val="SingleTxt"/>
        <w:ind w:firstLine="475"/>
      </w:pPr>
      <w:r>
        <w:t>A los efectos de la convención, este artículo define la expresión "discrimin</w:t>
      </w:r>
      <w:r>
        <w:t>a</w:t>
      </w:r>
      <w:r>
        <w:t>ción contra la mujer" y luego establece que el principio de igualdad de derechos se aplicará a toda mujer, independientemente de su estado civil.</w:t>
      </w:r>
    </w:p>
    <w:p w:rsidR="00000000" w:rsidRDefault="00000000">
      <w:pPr>
        <w:pStyle w:val="SingleTxt"/>
        <w:ind w:firstLine="475"/>
      </w:pPr>
      <w:r>
        <w:t>Con arreglo a la Constitución de Kuwait, los principios de igualdad y no di</w:t>
      </w:r>
      <w:r>
        <w:t>s</w:t>
      </w:r>
      <w:r>
        <w:t>criminación son elementos constitutivos fundamentales de la sociedad kuwaití, c</w:t>
      </w:r>
      <w:r>
        <w:t>o</w:t>
      </w:r>
      <w:r>
        <w:t>mo se estipula en el artículo 7; ya antes de dicho artículo, en el Preámbulo de la Constitución, se designa a la igualdad como una de las piedras fundamentales en que se basa la soci</w:t>
      </w:r>
      <w:r>
        <w:t>e</w:t>
      </w:r>
      <w:r>
        <w:t>dad kuwaití.</w:t>
      </w:r>
    </w:p>
    <w:p w:rsidR="00000000" w:rsidRDefault="00000000">
      <w:pPr>
        <w:pStyle w:val="SingleTxt"/>
        <w:ind w:firstLine="475"/>
      </w:pPr>
      <w:r>
        <w:t>Además, el artículo 8 de la Constitución estipula que el principio de igualdad de oportunidades de los ciudadanos es uno de los pilares en que se basa la sociedad kuwaití.</w:t>
      </w:r>
    </w:p>
    <w:p w:rsidR="00000000" w:rsidRDefault="00000000">
      <w:pPr>
        <w:pStyle w:val="SingleTxt"/>
        <w:ind w:firstLine="475"/>
      </w:pPr>
      <w:r>
        <w:t>El principio de igualdad también es mencionado como uno de los principios básicos de derechos humanos en el capítulo 3 de la Constitución, que se refiere a los derechos y obligaciones públicos. Más específicamente, en la disposición general del artículo 29 se hace una referencia clara y explícita a este principio, al estipular que las personas son iguales en lo tocante a la dignidad humana, y asimismo son iguales ante la ley en lo tocante a sus derechos y obligaciones públicos, sin disti</w:t>
      </w:r>
      <w:r>
        <w:t>n</w:t>
      </w:r>
      <w:r>
        <w:t>ción alguna por motivos de sexo, origen, idioma o religión.</w:t>
      </w:r>
    </w:p>
    <w:p w:rsidR="00000000" w:rsidRDefault="00000000">
      <w:pPr>
        <w:pStyle w:val="SingleTxt"/>
        <w:ind w:firstLine="475"/>
      </w:pPr>
      <w:r>
        <w:t>Debe señalarse que la Nota Explicativa sobre la Constitución contiene la s</w:t>
      </w:r>
      <w:r>
        <w:t>i</w:t>
      </w:r>
      <w:r>
        <w:t>guiente interpretación de ese artículo: “Este artículo consagra el principio de igua</w:t>
      </w:r>
      <w:r>
        <w:t>l</w:t>
      </w:r>
      <w:r>
        <w:t>dad en lo tocante a los derechos y obligaciones en general. Luego hace una refere</w:t>
      </w:r>
      <w:r>
        <w:t>n</w:t>
      </w:r>
      <w:r>
        <w:t>cia específica a las aplicaciones más importantes de tal principio, al agregar las p</w:t>
      </w:r>
      <w:r>
        <w:t>a</w:t>
      </w:r>
      <w:r>
        <w:t>labras “sin distinción alguna por motivos de sexo, origen, idioma o religión”. Se entendió preferible no incluir las palabras “color” y “posición económica”, aun cuando dichas palabras figuren en la Declaración Universal de Derechos Humanos, pues en el país no existe ni la más leve sospecha de discriminación racial, y el texto de este artículo es suficiente para disipar toda sospecha de esa índole. La discrim</w:t>
      </w:r>
      <w:r>
        <w:t>i</w:t>
      </w:r>
      <w:r>
        <w:t>nación entre las personas por motivos de posición económica es totalmente ajena a la sociedad kuwaití, y, consiguientemente, no se necesita una disposición específica que la prohíba.”</w:t>
      </w:r>
    </w:p>
    <w:p w:rsidR="00000000" w:rsidRDefault="00000000">
      <w:pPr>
        <w:pStyle w:val="SingleTxt"/>
        <w:ind w:firstLine="475"/>
      </w:pPr>
      <w:r>
        <w:t>A ese respecto, cabe decir que, en el caso de algunos artículos, la legislatura constitucional de Kuwait decidió tener en cuenta el principio de igualdad sin me</w:t>
      </w:r>
      <w:r>
        <w:t>n</w:t>
      </w:r>
      <w:r>
        <w:t>cionarlo específicamente, como en el artículo 13, cuyo texto es el siguiente: “La educación, que es un requisito fundamental del progreso social, será garantizada y promovida por el Estado.”</w:t>
      </w:r>
    </w:p>
    <w:p w:rsidR="00000000" w:rsidRDefault="00000000">
      <w:pPr>
        <w:pStyle w:val="SingleTxt"/>
        <w:ind w:firstLine="475"/>
      </w:pPr>
      <w:r>
        <w:t>Otro ejemplo es el artículo 11, cuyo texto es el siguiente: “El Estado se co</w:t>
      </w:r>
      <w:r>
        <w:t>m</w:t>
      </w:r>
      <w:r>
        <w:t>promete a ayudar a los ciudadanos en los casos de enfermedad o incapacidad para trabajar mediante la prestación de servicios de seguridad social, asistencia social y atención de la salud.”</w:t>
      </w:r>
    </w:p>
    <w:p w:rsidR="00000000" w:rsidRDefault="00000000">
      <w:pPr>
        <w:pStyle w:val="SingleTxt"/>
        <w:ind w:firstLine="475"/>
      </w:pPr>
      <w:r>
        <w:t>El artículo 41 estipula además lo siguiente: “Todo kuwaití tiene derecho al tr</w:t>
      </w:r>
      <w:r>
        <w:t>a</w:t>
      </w:r>
      <w:r>
        <w:t>bajo y a elegir el tipo de su trabajo.” Con arreglo a otros artículos contenidos en los capítulos 2 y 3 de la Constitución, se garantizan a todos, sin distinción entre ho</w:t>
      </w:r>
      <w:r>
        <w:t>m</w:t>
      </w:r>
      <w:r>
        <w:t>bres y mujeres, la educación, el empleo, la asistencia social, la atención de la salud, la función pública, el derecho a la nacionalidad, la libertad de opinión, el derecho a formar asociaciones y sindicatos, la libertad de reunión y diversos otros derechos y libertades.</w:t>
      </w:r>
    </w:p>
    <w:p w:rsidR="00000000" w:rsidRDefault="00000000">
      <w:pPr>
        <w:pStyle w:val="SingleTxt"/>
        <w:ind w:firstLine="475"/>
      </w:pPr>
      <w:r>
        <w:t>Los derechos garantizados por la Constitución de Kuwait y las leyes nacion</w:t>
      </w:r>
      <w:r>
        <w:t>a</w:t>
      </w:r>
      <w:r>
        <w:t>les están protegidos por el poder judicial. El artículo 162 dispone que el honor de la judicatura y la integridad y la imparcialidad de los jueces forman la base del gobie</w:t>
      </w:r>
      <w:r>
        <w:t>r</w:t>
      </w:r>
      <w:r>
        <w:t>no y constituyen una garantía de los derechos y libertades.</w:t>
      </w:r>
    </w:p>
    <w:p w:rsidR="00000000" w:rsidRDefault="00000000">
      <w:pPr>
        <w:pStyle w:val="SingleTxt"/>
        <w:ind w:firstLine="475"/>
      </w:pPr>
      <w:r>
        <w:t>Tal vez sea necesario mencionar la importante salvaguardia estipulada en el artículo 175, que prohíbe toda modificación de las disposiciones relativas a los pri</w:t>
      </w:r>
      <w:r>
        <w:t>n</w:t>
      </w:r>
      <w:r>
        <w:t>cipios de libertad e igualdad consagrados en la Constitución a menos que sea para ofrecer mayores garantías de libertad e igualdad.</w:t>
      </w:r>
    </w:p>
    <w:p w:rsidR="00000000" w:rsidRDefault="00000000">
      <w:pPr>
        <w:pStyle w:val="SingleTxt"/>
        <w:ind w:firstLine="475"/>
      </w:pPr>
      <w:r>
        <w:t>De las disposiciones constitucionales citadas y de lo dispuesto en otras leyes que se mencionarán oportunamente surge con toda evidencia que el Estado está comprometido con la realización de la igualdad de derechos y obligaciones para hombres y mujeres de manera armónica con la naturaleza de la sociedad kuwaití y las disposiciones de la ley islámica que regulan la condición de las personas en K</w:t>
      </w:r>
      <w:r>
        <w:t>u</w:t>
      </w:r>
      <w:r>
        <w:t>wait.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ind w:firstLine="475"/>
        <w:rPr>
          <w:sz w:val="10"/>
        </w:rPr>
      </w:pPr>
    </w:p>
    <w:p w:rsidR="00000000" w:rsidRDefault="00000000">
      <w:pPr>
        <w:pStyle w:val="SingleTxt"/>
        <w:ind w:firstLine="475"/>
      </w:pPr>
      <w:r>
        <w:t>En este artículo se insta a los Estados Partes a consagrar en sus constituciones nacionales y en cualquier otra legislación apropiada el principio de la igualdad del hombre y de la mujer y a adoptar medidas adecuadas que prohíban toda discrimin</w:t>
      </w:r>
      <w:r>
        <w:t>a</w:t>
      </w:r>
      <w:r>
        <w:t>ción contra la mujer. Asimismo los insta a establecer recursos que garanticen la protección efectiva de la mujer contra todo acto de discriminación cometido por ó</w:t>
      </w:r>
      <w:r>
        <w:t>r</w:t>
      </w:r>
      <w:r>
        <w:t>ganos públicos o por particulares.</w:t>
      </w:r>
    </w:p>
    <w:p w:rsidR="00000000" w:rsidRDefault="00000000">
      <w:pPr>
        <w:pStyle w:val="SingleTxt"/>
        <w:ind w:firstLine="475"/>
      </w:pPr>
      <w:r>
        <w:t>Las disposiciones constitucionales que garantizan la igualdad de hombres y mujeres y la no discriminación contra la mujer en Kuwait ya fueron mencionadas en la respuesta relacionada con el artículo 1.</w:t>
      </w:r>
    </w:p>
    <w:p w:rsidR="00000000" w:rsidRDefault="00000000">
      <w:pPr>
        <w:pStyle w:val="SingleTxt"/>
        <w:ind w:firstLine="475"/>
      </w:pPr>
      <w:r>
        <w:t>Cabe señalar que las normas constitucionales que establecen esos derechos p</w:t>
      </w:r>
      <w:r>
        <w:t>a</w:t>
      </w:r>
      <w:r>
        <w:t>ra los ciudadanos son generales, objetivas e imparciales y se aplican a todos, sin distinción entre hombres y mujeres. Por consiguiente, en el desempeño de sus fu</w:t>
      </w:r>
      <w:r>
        <w:t>n</w:t>
      </w:r>
      <w:r>
        <w:t>ciones y el ejercicio de sus competencias, las autoridades estatales deben ajustarse al principio de igualdad entre hombres y mujeres consagrado en las disposiciones de la Constitución. A fin de asegurar que las mujeres gocen de esos derechos y libertades, la Constitución y las leyes de Kuwait garantizan a las mujeres el derecho a interp</w:t>
      </w:r>
      <w:r>
        <w:t>o</w:t>
      </w:r>
      <w:r>
        <w:t>ner recursos jurídicos en caso de que se viole alguno de los derechos que les recon</w:t>
      </w:r>
      <w:r>
        <w:t>o</w:t>
      </w:r>
      <w:r>
        <w:t>cen esas normas. Así lo dispone el artículo 166 de la Constitución, que garantiza el derecho a los recursos jurídicos y dispone que los procedimientos necesarios para el ejercicio de ese derecho se determinarán mediante una ley.</w:t>
      </w:r>
    </w:p>
    <w:p w:rsidR="00000000" w:rsidRDefault="00000000">
      <w:pPr>
        <w:pStyle w:val="SingleTxt"/>
        <w:ind w:firstLine="475"/>
      </w:pPr>
      <w:r>
        <w:t>El capítulo 5 de la Constitución comprende la suma de los principios básicos encaminados a garantizar que las mujeres gocen de ese derecho de la forma prescr</w:t>
      </w:r>
      <w:r>
        <w:t>i</w:t>
      </w:r>
      <w:r>
        <w:t>ta. La Ley N° 23 de 1990 sobre la Organización de la Judicatura contiene varias di</w:t>
      </w:r>
      <w:r>
        <w:t>s</w:t>
      </w:r>
      <w:r>
        <w:t>posiciones relacionadas con la judicatura encaminadas a fortalecer el principio de la independencia de ésta.</w:t>
      </w:r>
    </w:p>
    <w:p w:rsidR="00000000" w:rsidRDefault="00000000">
      <w:pPr>
        <w:pStyle w:val="SingleTxt"/>
        <w:ind w:firstLine="475"/>
      </w:pPr>
      <w:r>
        <w:t>Otra de las leyes nacionales que se refieren al derecho mencionado es la Ley N° 17 de 1960, por la que se promulgó el Código de Enjuiciamiento y Proced</w:t>
      </w:r>
      <w:r>
        <w:t>i</w:t>
      </w:r>
      <w:r>
        <w:t>miento Penal, cuyas disposiciones establecen los procedimientos y condiciones con arreglo a los cuales se ejercen las acciones penales. Asimismo aseguran que los lit</w:t>
      </w:r>
      <w:r>
        <w:t>i</w:t>
      </w:r>
      <w:r>
        <w:t>gantes gocen de todas las salvaguardias jurídicas garantizadas por la legislatura de Kuwait de conformidad con las normas de la justicia internacional (anexo 4).</w:t>
      </w:r>
    </w:p>
    <w:p w:rsidR="00000000" w:rsidRDefault="00000000">
      <w:pPr>
        <w:pStyle w:val="SingleTxt"/>
        <w:ind w:firstLine="475"/>
      </w:pPr>
      <w:r>
        <w:t>A este respecto, es importante señalar que la Ley mencionada tiene una disp</w:t>
      </w:r>
      <w:r>
        <w:t>o</w:t>
      </w:r>
      <w:r>
        <w:t>sición especial relativa a las mujeres en relación con la ejecución de las sentencias de muerte que se dicten contra ellas, cuyo texto es el siguiente: “Si se encuentra que una mujer condenada a muerte está embarazada y da a luz un hijo vivo, se suspend</w:t>
      </w:r>
      <w:r>
        <w:t>e</w:t>
      </w:r>
      <w:r>
        <w:t>rá la ejecución de la pena de muerte y el asunto se remitirá al tribunal que dictó la sentencia a fin de que la pena de muerte sea conmutada por la de prisión perpetua.”</w:t>
      </w:r>
    </w:p>
    <w:p w:rsidR="00000000" w:rsidRDefault="00000000">
      <w:pPr>
        <w:pStyle w:val="SingleTxt"/>
        <w:ind w:firstLine="475"/>
      </w:pPr>
      <w:r>
        <w:t>Por consiguiente, resulta claro que, de conformidad con las leyes mencionadas, en Kuwait las mujeres pueden interponer recursos jurídicos si se viola cualquiera de sus derechos. Por conducto de sus numerosos órganos (tribunales administrativos, civiles, comerciales y del estado civil), el poder judicial asegura que las mujeres dispongan de todos los recursos. Si una mujer emplea esos recursos, el juez aplicará las leyes en vigor y las disposiciones de la Convención a que se refiere el presente informe, que, luego de ser ratificada por Kuwait, se convirtió en ley nacional y co</w:t>
      </w:r>
      <w:r>
        <w:t>n</w:t>
      </w:r>
      <w:r>
        <w:t>siguientemente debe ser aplicada, como ya se indicó.</w:t>
      </w:r>
    </w:p>
    <w:p w:rsidR="00000000" w:rsidRDefault="00000000">
      <w:pPr>
        <w:pStyle w:val="SingleTxt"/>
        <w:ind w:firstLine="475"/>
      </w:pPr>
      <w:r>
        <w:t>Cabe señalar que el poder judicial de Kuwait es justo e imparcial y que, al a</w:t>
      </w:r>
      <w:r>
        <w:t>d</w:t>
      </w:r>
      <w:r>
        <w:t>ministrar justicia, los jueces no están sujetos a autoridad alguna. El artículo 163 de la Constitución consagra el principio vitalmente importante de la independencia del poder judicial, así como el de la no injerencia en el curso de la justicia. Ese princ</w:t>
      </w:r>
      <w:r>
        <w:t>i</w:t>
      </w:r>
      <w:r>
        <w:t>pio se ve realzado por las salvaguardias previstas para los jueces en la Ley sobre la Organización de la Judicatura, que estipula que el honor de la judicatura y la int</w:t>
      </w:r>
      <w:r>
        <w:t>e</w:t>
      </w:r>
      <w:r>
        <w:t>gridad y la imparcialidad de los jueces forman la base del gobierno y constituyen una garantía de los derechos y las libertades.</w:t>
      </w:r>
    </w:p>
    <w:p w:rsidR="00000000" w:rsidRDefault="00000000">
      <w:pPr>
        <w:pStyle w:val="SingleTxt"/>
        <w:ind w:firstLine="475"/>
      </w:pPr>
      <w:r>
        <w:t>En cuanto a la función de los órganos nacionales en la protección de los der</w:t>
      </w:r>
      <w:r>
        <w:t>e</w:t>
      </w:r>
      <w:r>
        <w:t>chos y libertades garantizados por la Constitución, el 24 de octubre de 1962 la Asamblea Nacional formó una comisión parlamentaria permanente de derechos h</w:t>
      </w:r>
      <w:r>
        <w:t>u</w:t>
      </w:r>
      <w:r>
        <w:t>manos, integrada por siete de sus miembros. El establecimiento de dicha comisión por el parlamento de Kuwait es prueba de la preocupación que tiene por esa cuestión humana fundamental y de la importancia que le asigna, así como de sus esfuerzos por asegurar la igualdad en el goce de los derechos que constituyen la base del Est</w:t>
      </w:r>
      <w:r>
        <w:t>a</w:t>
      </w:r>
      <w:r>
        <w:t>do moderno en el que prevalecen la justicia y el derecho.</w:t>
      </w:r>
    </w:p>
    <w:p w:rsidR="00000000" w:rsidRDefault="00000000">
      <w:pPr>
        <w:pStyle w:val="SingleTxt"/>
        <w:ind w:firstLine="475"/>
      </w:pPr>
      <w:r>
        <w:t>La comisión mencionada es competente, entre otras cosas, para:</w:t>
      </w:r>
    </w:p>
    <w:p w:rsidR="00000000" w:rsidRDefault="00000000">
      <w:pPr>
        <w:pStyle w:val="SingleTxt"/>
        <w:ind w:firstLine="475"/>
      </w:pPr>
      <w:r>
        <w:t>–</w:t>
      </w:r>
      <w:r>
        <w:tab/>
        <w:t>Estudiar las disposiciones legislativas en vigor en Kuwait, en particular las normas penales y las leyes y reglamentos penitenciarios, eliminar de sus textos toda sugerencia que pueda menoscabar los derechos civiles y políticos y proponer enmiendas encaminadas a brindar salvaguardas eficaces para los derechos humanos;</w:t>
      </w:r>
    </w:p>
    <w:p w:rsidR="00000000" w:rsidRDefault="00000000">
      <w:pPr>
        <w:pStyle w:val="SingleTxt"/>
        <w:ind w:firstLine="475"/>
      </w:pPr>
      <w:r>
        <w:t>–</w:t>
      </w:r>
      <w:r>
        <w:tab/>
        <w:t>Fiscalizar las actividades de los organismos gubernamentales a fin de cerciorarse de que observen las normas sobre derechos humanos;</w:t>
      </w:r>
    </w:p>
    <w:p w:rsidR="00000000" w:rsidRDefault="00000000">
      <w:pPr>
        <w:pStyle w:val="SingleTxt"/>
        <w:ind w:firstLine="475"/>
      </w:pPr>
      <w:r>
        <w:t>–</w:t>
      </w:r>
      <w:r>
        <w:tab/>
        <w:t>Recibir quejas, buscar soluciones adecuadas para ellas y tramitarlas ante los organismos oficiales pertinentes.</w:t>
      </w:r>
    </w:p>
    <w:p w:rsidR="00000000" w:rsidRDefault="00000000">
      <w:pPr>
        <w:pStyle w:val="SingleTxt"/>
        <w:ind w:firstLine="475"/>
      </w:pPr>
      <w:r>
        <w:t>Esta comisión ha estudiado varios asuntos y cuestiones relacionados con los derechos humanos en Kuwait y se ha encargado de su seguimiento ante las autorid</w:t>
      </w:r>
      <w:r>
        <w:t>a</w:t>
      </w:r>
      <w:r>
        <w:t>des estatales competentes.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ind w:firstLine="475"/>
        <w:rPr>
          <w:sz w:val="10"/>
        </w:rPr>
      </w:pPr>
    </w:p>
    <w:p w:rsidR="00000000" w:rsidRDefault="00000000">
      <w:pPr>
        <w:pStyle w:val="SingleTxt"/>
        <w:ind w:firstLine="475"/>
      </w:pPr>
      <w:r>
        <w:t>Este artículo dispone que los Estados Partes tomarán en todas las esferas todas las medidas apropiadas, incluso de carácter legislativo, para asegurar el pleno des</w:t>
      </w:r>
      <w:r>
        <w:t>a</w:t>
      </w:r>
      <w:r>
        <w:t>rrollo y adelanto de la mujer, con el objeto de garantizarle el ejercicio y el goce de los derechos humanos y las libertades fundamentales en igualdad de condiciones con el hombre.</w:t>
      </w:r>
    </w:p>
    <w:p w:rsidR="00000000" w:rsidRDefault="00000000">
      <w:pPr>
        <w:pStyle w:val="SingleTxt"/>
        <w:ind w:firstLine="475"/>
      </w:pPr>
      <w:r>
        <w:t>Kuwait tiene plena conciencia de la importancia de crear mecanismos encam</w:t>
      </w:r>
      <w:r>
        <w:t>i</w:t>
      </w:r>
      <w:r>
        <w:t>nados a garantizar a la mujer el pleno goce de los derechos y libertades fundame</w:t>
      </w:r>
      <w:r>
        <w:t>n</w:t>
      </w:r>
      <w:r>
        <w:t>tales reconocidos en la Constitución y las leyes de Kuwait. Por consiguiente, el E</w:t>
      </w:r>
      <w:r>
        <w:t>s</w:t>
      </w:r>
      <w:r>
        <w:t>tado se ha esforzado por establecer oficinas de asuntos de la mujer en varios de los ministerios del gobierno, con el fin de lograr el desarrollo y el adelanto de la mujer en las esferas de competencia de los respectivos ministerios. Se trata de las oficinas que se indican a continuación: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La División de Asuntos de la Familia y la Mujer</w:t>
      </w:r>
    </w:p>
    <w:p w:rsidR="00000000" w:rsidRDefault="00000000">
      <w:pPr>
        <w:pStyle w:val="SingleTxt"/>
        <w:spacing w:after="0" w:line="120" w:lineRule="exact"/>
        <w:ind w:firstLine="475"/>
        <w:rPr>
          <w:sz w:val="10"/>
        </w:rPr>
      </w:pPr>
    </w:p>
    <w:p w:rsidR="00000000" w:rsidRDefault="00000000">
      <w:pPr>
        <w:pStyle w:val="SingleTxt"/>
        <w:ind w:firstLine="475"/>
      </w:pPr>
      <w:r>
        <w:t>Esta División fue creada con arreglo a la Ordenanza Ministerial N° 65 de 1997, como parte del Departamento de la Infancia del Ministerio de Asuntos Soci</w:t>
      </w:r>
      <w:r>
        <w:t>a</w:t>
      </w:r>
      <w:r>
        <w:t>les y Trabajo, y tiene los cometidos especiales siguientes:</w:t>
      </w:r>
    </w:p>
    <w:p w:rsidR="00000000" w:rsidRDefault="00000000">
      <w:pPr>
        <w:pStyle w:val="SingleTxt"/>
        <w:ind w:firstLine="475"/>
      </w:pPr>
      <w:r>
        <w:t>–</w:t>
      </w:r>
      <w:r>
        <w:tab/>
        <w:t>Elaborar un plan integral para el adelanto de las mujeres kuwaitíes sobre la base de los valores de la sociedad kuwaití y las enseñanzas de la verdadera rel</w:t>
      </w:r>
      <w:r>
        <w:t>i</w:t>
      </w:r>
      <w:r>
        <w:t>gión del Islam;</w:t>
      </w:r>
    </w:p>
    <w:p w:rsidR="00000000" w:rsidRDefault="00000000">
      <w:pPr>
        <w:pStyle w:val="SingleTxt"/>
        <w:ind w:firstLine="475"/>
      </w:pPr>
      <w:r>
        <w:t>–</w:t>
      </w:r>
      <w:r>
        <w:tab/>
        <w:t>Preparar programas de actividades que brinden a las familias y las muj</w:t>
      </w:r>
      <w:r>
        <w:t>e</w:t>
      </w:r>
      <w:r>
        <w:t>res la oportunidad de cumplir sus funciones sociales y culturales, y encargarse del seguimiento correspondiente;</w:t>
      </w:r>
    </w:p>
    <w:p w:rsidR="00000000" w:rsidRDefault="00000000">
      <w:pPr>
        <w:pStyle w:val="SingleTxt"/>
        <w:ind w:firstLine="475"/>
      </w:pPr>
      <w:r>
        <w:t>–</w:t>
      </w:r>
      <w:r>
        <w:tab/>
        <w:t>Encargarse del seguimiento de la aplicación de las convenciones e in</w:t>
      </w:r>
      <w:r>
        <w:t>s</w:t>
      </w:r>
      <w:r>
        <w:t>trumentos internacionales sobre la familia y la mujer junto con las autoridades est</w:t>
      </w:r>
      <w:r>
        <w:t>a</w:t>
      </w:r>
      <w:r>
        <w:t>tales competentes;</w:t>
      </w:r>
    </w:p>
    <w:p w:rsidR="00000000" w:rsidRDefault="00000000">
      <w:pPr>
        <w:pStyle w:val="SingleTxt"/>
        <w:ind w:firstLine="475"/>
      </w:pPr>
      <w:r>
        <w:t>–</w:t>
      </w:r>
      <w:r>
        <w:tab/>
        <w:t>Explorar medios de elevar el nivel de conciencia de las mujeres acerca de sus derechos y sus obligaciones familiares;</w:t>
      </w:r>
    </w:p>
    <w:p w:rsidR="00000000" w:rsidRDefault="00000000">
      <w:pPr>
        <w:pStyle w:val="SingleTxt"/>
        <w:ind w:firstLine="475"/>
      </w:pPr>
      <w:r>
        <w:t>–</w:t>
      </w:r>
      <w:r>
        <w:tab/>
        <w:t>Reunir y analizar datos sobre la mujer a fin de realizar investigaciones y estudios sobre el terreno, con miras a determinar los distintos problemas a que se e</w:t>
      </w:r>
      <w:r>
        <w:t>n</w:t>
      </w:r>
      <w:r>
        <w:t>frentan las mujeres y proponer soluciones adecuadas, junto con los ministerios co</w:t>
      </w:r>
      <w:r>
        <w:t>m</w:t>
      </w:r>
      <w:r>
        <w:t>petentes.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El Comité Superior para la Infancia y la Familia</w:t>
      </w:r>
    </w:p>
    <w:p w:rsidR="00000000" w:rsidRDefault="00000000">
      <w:pPr>
        <w:pStyle w:val="SingleTxt"/>
        <w:spacing w:after="0" w:line="120" w:lineRule="exact"/>
        <w:ind w:firstLine="475"/>
        <w:rPr>
          <w:sz w:val="10"/>
        </w:rPr>
      </w:pPr>
    </w:p>
    <w:p w:rsidR="00000000" w:rsidRDefault="00000000">
      <w:pPr>
        <w:pStyle w:val="SingleTxt"/>
        <w:ind w:firstLine="475"/>
      </w:pPr>
      <w:r>
        <w:t>Sobre la base de la Ordenanza del Gabinete N° 95/II, de 23 de enero de 2000, relativa a la creación de un Comité Superior para la Infancia y la Familia de Kuwait, integrado por representantes de diversos órganos y organismos gubernamentales, se promulgó la Ordenanza Ministerial N° 143 de 2000, a fin de establecer dicho C</w:t>
      </w:r>
      <w:r>
        <w:t>o</w:t>
      </w:r>
      <w:r>
        <w:t>mité, cuyos cometidos especiales son los siguientes:</w:t>
      </w:r>
    </w:p>
    <w:p w:rsidR="00000000" w:rsidRDefault="00000000">
      <w:pPr>
        <w:pStyle w:val="SingleTxt"/>
        <w:ind w:firstLine="475"/>
      </w:pPr>
      <w:r>
        <w:t>–</w:t>
      </w:r>
      <w:r>
        <w:tab/>
        <w:t>Encargarse del seguimiento de la aplicación de las convenciones y rec</w:t>
      </w:r>
      <w:r>
        <w:t>o</w:t>
      </w:r>
      <w:r>
        <w:t>mendaciones de las conferencias sobre la infancia, la mujer y la familia por parte de las autoridades competentes y evaluar las medidas adoptadas a ese respecto;</w:t>
      </w:r>
    </w:p>
    <w:p w:rsidR="00000000" w:rsidRDefault="00000000">
      <w:pPr>
        <w:pStyle w:val="SingleTxt"/>
        <w:ind w:firstLine="475"/>
      </w:pPr>
      <w:r>
        <w:t>–</w:t>
      </w:r>
      <w:r>
        <w:tab/>
        <w:t>Formular planes nacionales para la infancia, la mujer y la familia y e</w:t>
      </w:r>
      <w:r>
        <w:t>n</w:t>
      </w:r>
      <w:r>
        <w:t>cargarse del seguimiento correspondiente;</w:t>
      </w:r>
    </w:p>
    <w:p w:rsidR="00000000" w:rsidRDefault="00000000">
      <w:pPr>
        <w:pStyle w:val="SingleTxt"/>
        <w:ind w:firstLine="475"/>
      </w:pPr>
      <w:r>
        <w:t>–</w:t>
      </w:r>
      <w:r>
        <w:tab/>
        <w:t>Establecer una base de datos moderna sobre la infancia, la mujer y la f</w:t>
      </w:r>
      <w:r>
        <w:t>a</w:t>
      </w:r>
      <w:r>
        <w:t>milia;</w:t>
      </w:r>
    </w:p>
    <w:p w:rsidR="00000000" w:rsidRDefault="00000000">
      <w:pPr>
        <w:pStyle w:val="SingleTxt"/>
        <w:ind w:firstLine="475"/>
      </w:pPr>
      <w:r>
        <w:t>–</w:t>
      </w:r>
      <w:r>
        <w:tab/>
        <w:t>Proponer y elaborar planes y proyectos nacionales para la infancia, la mujer y la familia;</w:t>
      </w:r>
    </w:p>
    <w:p w:rsidR="00000000" w:rsidRDefault="00000000">
      <w:pPr>
        <w:pStyle w:val="SingleTxt"/>
        <w:ind w:firstLine="475"/>
      </w:pPr>
      <w:r>
        <w:t>–</w:t>
      </w:r>
      <w:r>
        <w:tab/>
        <w:t>Examinar las leyes y disposiciones legislativas sobre la infancia, la mujer y la familia y presentar propuestas encaminadas a asegurar la eficacia y el desarrollo de dichas leyes y disposiciones legislativas.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El Departamento de Atención Primaria de la Salid</w:t>
      </w:r>
    </w:p>
    <w:p w:rsidR="00000000" w:rsidRDefault="00000000">
      <w:pPr>
        <w:pStyle w:val="SingleTxt"/>
        <w:spacing w:after="0" w:line="120" w:lineRule="exact"/>
        <w:ind w:firstLine="475"/>
        <w:rPr>
          <w:sz w:val="10"/>
        </w:rPr>
      </w:pPr>
    </w:p>
    <w:p w:rsidR="00000000" w:rsidRDefault="00000000">
      <w:pPr>
        <w:pStyle w:val="SingleTxt"/>
        <w:ind w:firstLine="475"/>
      </w:pPr>
      <w:r>
        <w:t>Los cometidos de este Departamento, que depende del Ministerio de Salud P</w:t>
      </w:r>
      <w:r>
        <w:t>ú</w:t>
      </w:r>
      <w:r>
        <w:t>blica, comprenden la atención de la salud de la mujer, la sensibilización acerca de la salud y la prestación de los servicios de salud necesarios para mujeres y niños.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w:t>
      </w:r>
      <w:r>
        <w:tab/>
        <w:t>El Centro Maternoinfantil</w:t>
      </w:r>
    </w:p>
    <w:p w:rsidR="00000000" w:rsidRDefault="00000000">
      <w:pPr>
        <w:pStyle w:val="SingleTxt"/>
        <w:spacing w:after="0" w:line="120" w:lineRule="exact"/>
        <w:ind w:firstLine="475"/>
        <w:rPr>
          <w:sz w:val="10"/>
        </w:rPr>
      </w:pPr>
    </w:p>
    <w:p w:rsidR="00000000" w:rsidRDefault="00000000">
      <w:pPr>
        <w:pStyle w:val="SingleTxt"/>
        <w:ind w:firstLine="475"/>
      </w:pPr>
      <w:r>
        <w:t>Los fines de este Centro son, entre otros, asegurar un medio ambiente seguro y saludable en el que los individuos que componen la sociedad puedan desarrollarse mediante la sensibilización, la orientación y la educación, con la esperanza de mej</w:t>
      </w:r>
      <w:r>
        <w:t>o</w:t>
      </w:r>
      <w:r>
        <w:t>rar la calidad universal de la vida familiar incrementando el nivel de conciencia acerca de la educación y el reconocimiento de los problemas psicológicos, educ</w:t>
      </w:r>
      <w:r>
        <w:t>a</w:t>
      </w:r>
      <w:r>
        <w:t>cionales y sociales.</w:t>
      </w:r>
    </w:p>
    <w:p w:rsidR="00000000" w:rsidRDefault="00000000">
      <w:pPr>
        <w:pStyle w:val="SingleTxt"/>
        <w:ind w:firstLine="475"/>
      </w:pPr>
      <w:r>
        <w:t>Este Centro ha llevado a cabo diversos estudios e investigaciones en su esfera de actividad, en particular la publicación de un libro titulado “Derechos de la mujer y del niño en Kuwait”, con el fin de difundir información sobre los derechos de las mujeres y los niños, elevar el nivel de conciencia acerca de los conceptos y valores que propugnan la eliminación de la discriminación contra la mujer y crear familiar</w:t>
      </w:r>
      <w:r>
        <w:t>i</w:t>
      </w:r>
      <w:r>
        <w:t>dad con las convenciones internacionales sobre los derechos de la mujer y del niño.</w:t>
      </w:r>
    </w:p>
    <w:p w:rsidR="00000000" w:rsidRDefault="00000000">
      <w:pPr>
        <w:pStyle w:val="H4"/>
        <w:tabs>
          <w:tab w:val="clear" w:pos="360"/>
          <w:tab w:val="right" w:pos="1022"/>
          <w:tab w:val="left" w:pos="1742"/>
          <w:tab w:val="left" w:pos="2218"/>
          <w:tab w:val="left" w:pos="2693"/>
          <w:tab w:val="left" w:pos="3182"/>
          <w:tab w:val="left" w:pos="3658"/>
          <w:tab w:val="left" w:pos="4133"/>
          <w:tab w:val="left" w:pos="4622"/>
          <w:tab w:val="left" w:pos="5098"/>
          <w:tab w:val="left" w:pos="5573"/>
          <w:tab w:val="left" w:pos="6048"/>
        </w:tabs>
        <w:ind w:left="2160" w:right="1260" w:hanging="2160"/>
      </w:pPr>
      <w:r>
        <w:tab/>
      </w:r>
      <w:r>
        <w:tab/>
        <w:t>e)</w:t>
      </w:r>
      <w:r>
        <w:tab/>
        <w:t>La Oficina de Asesoramiento de la Familia establecida dentro del Ministerio de Justicia</w:t>
      </w:r>
    </w:p>
    <w:p w:rsidR="00000000" w:rsidRDefault="00000000">
      <w:pPr>
        <w:pStyle w:val="SingleTxt"/>
        <w:spacing w:after="0" w:line="120" w:lineRule="exact"/>
        <w:ind w:firstLine="475"/>
        <w:rPr>
          <w:sz w:val="10"/>
        </w:rPr>
      </w:pPr>
    </w:p>
    <w:p w:rsidR="00000000" w:rsidRDefault="00000000">
      <w:pPr>
        <w:pStyle w:val="SingleTxt"/>
        <w:ind w:firstLine="475"/>
      </w:pPr>
      <w:r>
        <w:t>La política básica de esta Oficina consiste en recibir a los matrimonios que e</w:t>
      </w:r>
      <w:r>
        <w:t>x</w:t>
      </w:r>
      <w:r>
        <w:t>perimentan problemas domésticos que ponen en riesgo su vida familiar, a fin de ayudarlos a superar las causas de las disputas y encontrar soluciones adecuadas. C</w:t>
      </w:r>
      <w:r>
        <w:t>a</w:t>
      </w:r>
      <w:r>
        <w:t>be mencionar que resultó innovador el experimento de Kuwait de establecer una of</w:t>
      </w:r>
      <w:r>
        <w:t>i</w:t>
      </w:r>
      <w:r>
        <w:t>cina de asesoramiento de la familia encargada de brindar orientación sobre cuesti</w:t>
      </w:r>
      <w:r>
        <w:t>o</w:t>
      </w:r>
      <w:r>
        <w:t>nes jurídicas, psicológicas y sociales a fin de preservar la integridad y la estabilidad de la familia y reducir las tasas de divorcio mediante el incremento de los índices de reconciliación. Hasta hace poco, Kuwait era el único país del Oriente Medio en que existía una oficina de esa índole, pero actualmente varios países hermanos se han beneficiado siguiendo su ejemplo en la materia. Como consecuencia de los esfuerzos de la Oficina en esta esfera, un total de 856 parejas lograron resolver sus disputas, y otras 720 parejas se reconciliaron entre el 1° de enero y el 30 de junio de 2000. Se tiene la intención de llevar a cabo un seguimiento periódico de esos casos en una etapa posterior, a fin de asegurar que continúe la estabilidad de la vida familiar y se eviten nuevas disputas. Asimismo la Oficina tiene la intención de brindar en el fut</w:t>
      </w:r>
      <w:r>
        <w:t>u</w:t>
      </w:r>
      <w:r>
        <w:t>ro un servicio de asesoramiento a las parejas que se están divorciando, después de que se hayan separado, a fin de informarlas sobre sus derechos y obligaciones rec</w:t>
      </w:r>
      <w:r>
        <w:t>í</w:t>
      </w:r>
      <w:r>
        <w:t>procos y para con sus hijos. Se proyecta abrir filiales de la Oficina en las gobern</w:t>
      </w:r>
      <w:r>
        <w:t>a</w:t>
      </w:r>
      <w:r>
        <w:t>ciones a fin de prestar servicio a sectores más amplios de la sociedad.</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f)</w:t>
      </w:r>
      <w:r>
        <w:tab/>
        <w:t>El Comité del Gabinete sobre la Mujer</w:t>
      </w:r>
    </w:p>
    <w:p w:rsidR="00000000" w:rsidRDefault="00000000">
      <w:pPr>
        <w:pStyle w:val="SingleTxt"/>
        <w:keepNext/>
        <w:spacing w:after="0" w:line="120" w:lineRule="exact"/>
        <w:ind w:firstLine="475"/>
        <w:rPr>
          <w:sz w:val="10"/>
        </w:rPr>
      </w:pPr>
    </w:p>
    <w:p w:rsidR="00000000" w:rsidRDefault="00000000">
      <w:pPr>
        <w:pStyle w:val="SingleTxt"/>
        <w:ind w:firstLine="475"/>
      </w:pPr>
      <w:r>
        <w:t>Los cometidos de este Comité comprenden el seguimiento de los asuntos de la mujer a nivel interno y la participación en las actividades y conferencias regionales e internacionales relativas a la mujer.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w:t>
      </w:r>
      <w:r>
        <w:tab/>
        <w:t>El Fondo de Dotación para el Desarrollo Científico y Social</w:t>
      </w:r>
    </w:p>
    <w:p w:rsidR="00000000" w:rsidRDefault="00000000">
      <w:pPr>
        <w:pStyle w:val="SingleTxt"/>
        <w:spacing w:after="0" w:line="120" w:lineRule="exact"/>
        <w:ind w:firstLine="475"/>
        <w:rPr>
          <w:sz w:val="10"/>
        </w:rPr>
      </w:pPr>
    </w:p>
    <w:p w:rsidR="00000000" w:rsidRDefault="00000000">
      <w:pPr>
        <w:pStyle w:val="SingleTxt"/>
        <w:ind w:firstLine="475"/>
      </w:pPr>
      <w:r>
        <w:t>Este Fondo es uno de los principales apoyos del desarrollo social, habida cuenta de las numerosas y diversas esferas en que opera, fruto de la fusión de tres fondos de dotación anteriores que eran puntales del fortalecimiento de las comun</w:t>
      </w:r>
      <w:r>
        <w:t>i</w:t>
      </w:r>
      <w:r>
        <w:t>dades, a saber, el Fondo de Dotación para el Bienestar de la Familia, el Fondo de Dotación para la Cultura y las Ideas y el Fondo de Dotación para el Desarrollo Científico. El Fondo ha logrado éxitos en las esferas de la ciencia, la cultura, la s</w:t>
      </w:r>
      <w:r>
        <w:t>a</w:t>
      </w:r>
      <w:r>
        <w:t>lud y el medio ambiente, así como en la prestación de servicios a personas discap</w:t>
      </w:r>
      <w:r>
        <w:t>a</w:t>
      </w:r>
      <w:r>
        <w:t>citadas y otras categ</w:t>
      </w:r>
      <w:r>
        <w:t>o</w:t>
      </w:r>
      <w:r>
        <w:t>rías sociales y familiares especiales.</w:t>
      </w:r>
    </w:p>
    <w:p w:rsidR="00000000" w:rsidRDefault="00000000">
      <w:pPr>
        <w:pStyle w:val="SingleTxt"/>
        <w:ind w:firstLine="475"/>
      </w:pPr>
      <w:r>
        <w:t>Cabe señalar que el Fondo ha dedicado especial atención a las principales ent</w:t>
      </w:r>
      <w:r>
        <w:t>i</w:t>
      </w:r>
      <w:r>
        <w:t>dades relacionadas con el desarrollo social, que se proponen promover el papel act</w:t>
      </w:r>
      <w:r>
        <w:t>i</w:t>
      </w:r>
      <w:r>
        <w:t>vo de la familia, preservar su integridad y asegurar que los miembros de las familias mantengan relaciones estrechas. El Fondo ha hecho destacadas contribuciones en esas esferas al poner en marcha los proyectos siguientes:</w:t>
      </w:r>
    </w:p>
    <w:p w:rsidR="00000000" w:rsidRDefault="00000000">
      <w:pPr>
        <w:pStyle w:val="SingleTxt"/>
        <w:ind w:firstLine="475"/>
      </w:pPr>
      <w:r>
        <w:t>–</w:t>
      </w:r>
      <w:r>
        <w:tab/>
        <w:t>El proyecto denominado “Frutos de mi trabajo”;</w:t>
      </w:r>
    </w:p>
    <w:p w:rsidR="00000000" w:rsidRDefault="00000000">
      <w:pPr>
        <w:pStyle w:val="SingleTxt"/>
        <w:ind w:firstLine="475"/>
      </w:pPr>
      <w:r>
        <w:t>–</w:t>
      </w:r>
      <w:r>
        <w:tab/>
        <w:t>El proyecto denominado “Reconciliación”.</w:t>
      </w:r>
    </w:p>
    <w:p w:rsidR="00000000" w:rsidRDefault="00000000">
      <w:pPr>
        <w:pStyle w:val="SingleTxt"/>
        <w:ind w:firstLine="475"/>
      </w:pPr>
      <w:r>
        <w:t>En el sector privado, varias asociaciones de interés público tienen comisiones de la mujer encargadas del seguimiento de las cuestiones relacionadas con la mujer en todos los niveles, así como de llevar a cabo otras actividades relacionadas con la mujer. Por ejemplo, hay un comité de asociaciones de interés público, así como un comité de derechos de la mujer, vinculado con la Asociación de Abogados de K</w:t>
      </w:r>
      <w:r>
        <w:t>u</w:t>
      </w:r>
      <w:r>
        <w:t>wait, que dedica atención a las cuestiones de la mujer, también en todos los niveles.</w:t>
      </w:r>
    </w:p>
    <w:p w:rsidR="00000000" w:rsidRDefault="00000000">
      <w:pPr>
        <w:pStyle w:val="SingleTxt"/>
        <w:ind w:firstLine="475"/>
      </w:pPr>
      <w:r>
        <w:t>Entre las asociaciones kuwaitíes de interés público figuran cinco sociedades de mujeres dedicadas al trabajo con mujeres. Han logrado numerosos éxitos desde su establecimiento, como se indicará en los comentarios a los artículos pertinentes de la Convención.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ind w:firstLine="475"/>
        <w:rPr>
          <w:sz w:val="10"/>
        </w:rPr>
      </w:pPr>
    </w:p>
    <w:p w:rsidR="00000000" w:rsidRDefault="00000000">
      <w:pPr>
        <w:pStyle w:val="SingleTxt"/>
        <w:ind w:firstLine="475"/>
      </w:pPr>
      <w:r>
        <w:t>De conformidad con este artículo, la adopción por los Estados Partes de med</w:t>
      </w:r>
      <w:r>
        <w:t>i</w:t>
      </w:r>
      <w:r>
        <w:t>das especiales de carácter temporal encaminadas a acelerar la igualdad de facto entre el hombre y la mujer no se considerará discriminación en la forma definida en la Convención. Tampoco se considerarán discriminatorias las medidas encaminadas a proteger la maternidad.</w:t>
      </w:r>
    </w:p>
    <w:p w:rsidR="00000000" w:rsidRDefault="00000000">
      <w:pPr>
        <w:pStyle w:val="SingleTxt"/>
        <w:ind w:firstLine="475"/>
      </w:pPr>
      <w:r>
        <w:t>En relación con el párrafo 2, relativo a las medidas encaminadas a proteger la maternidad, las leyes de Kuwait contienen numerosas medidas encaminadas a prot</w:t>
      </w:r>
      <w:r>
        <w:t>e</w:t>
      </w:r>
      <w:r>
        <w:t>ger a la mujer y la maternidad. En primer plano entre dichas disposiciones figura la Constitución de Kuwait, que considera a la familia como la base de la sociedad, fundada en la religión, la moralidad y el patriotismo. La ley preserva la identidad de la familia, fortalece sus vínculos y protege a la maternidad y la infancia (artículo 9).</w:t>
      </w:r>
    </w:p>
    <w:p w:rsidR="00000000" w:rsidRDefault="00000000">
      <w:pPr>
        <w:pStyle w:val="SingleTxt"/>
        <w:ind w:firstLine="475"/>
      </w:pPr>
      <w:r>
        <w:t>De conformidad con el principio constitucional que establece que el Estado debe garantizar la protección de la maternidad, se han promulgado en Kuwait varias normas legislativas que contienen disposiciones encaminadas a la protección de la maternidad y la infancia. Son las que se enumeran a continuación:</w:t>
      </w:r>
    </w:p>
    <w:p w:rsidR="00000000" w:rsidRDefault="00000000">
      <w:pPr>
        <w:pStyle w:val="SingleTxt"/>
        <w:numPr>
          <w:ilvl w:val="0"/>
          <w:numId w:val="6"/>
        </w:numPr>
        <w:tabs>
          <w:tab w:val="clear" w:pos="360"/>
          <w:tab w:val="num" w:pos="2102"/>
        </w:tabs>
        <w:ind w:left="2102"/>
      </w:pPr>
      <w:r>
        <w:t>La Ley N° 51 de 1984 sobre el estado civil;</w:t>
      </w:r>
    </w:p>
    <w:p w:rsidR="00000000" w:rsidRDefault="00000000">
      <w:pPr>
        <w:pStyle w:val="SingleTxt"/>
        <w:numPr>
          <w:ilvl w:val="0"/>
          <w:numId w:val="6"/>
        </w:numPr>
        <w:tabs>
          <w:tab w:val="clear" w:pos="360"/>
          <w:tab w:val="num" w:pos="2102"/>
        </w:tabs>
        <w:ind w:left="2102"/>
      </w:pPr>
      <w:r>
        <w:t>El Decreto Legislativo N° 15 de 1979 sobre la función pública;</w:t>
      </w:r>
    </w:p>
    <w:p w:rsidR="00000000" w:rsidRDefault="00000000">
      <w:pPr>
        <w:pStyle w:val="SingleTxt"/>
        <w:numPr>
          <w:ilvl w:val="0"/>
          <w:numId w:val="6"/>
        </w:numPr>
        <w:tabs>
          <w:tab w:val="clear" w:pos="360"/>
          <w:tab w:val="num" w:pos="2102"/>
        </w:tabs>
        <w:ind w:left="2102"/>
      </w:pPr>
      <w:r>
        <w:t>La Ordenanza relativa a los Estatutos de los funcionarios públicos;</w:t>
      </w:r>
    </w:p>
    <w:p w:rsidR="00000000" w:rsidRDefault="00000000">
      <w:pPr>
        <w:pStyle w:val="SingleTxt"/>
        <w:numPr>
          <w:ilvl w:val="0"/>
          <w:numId w:val="6"/>
        </w:numPr>
        <w:tabs>
          <w:tab w:val="clear" w:pos="360"/>
          <w:tab w:val="num" w:pos="2102"/>
        </w:tabs>
        <w:ind w:left="2102"/>
      </w:pPr>
      <w:r>
        <w:t>La Ley N° 38 de 1964 sobre el empleo en el sector privado;</w:t>
      </w:r>
    </w:p>
    <w:p w:rsidR="00000000" w:rsidRDefault="00000000">
      <w:pPr>
        <w:pStyle w:val="SingleTxt"/>
        <w:numPr>
          <w:ilvl w:val="0"/>
          <w:numId w:val="6"/>
        </w:numPr>
        <w:tabs>
          <w:tab w:val="clear" w:pos="360"/>
          <w:tab w:val="num" w:pos="2102"/>
        </w:tabs>
        <w:ind w:left="2102"/>
      </w:pPr>
      <w:r>
        <w:t>La Ley N° 61 de 1976 sobre la seguridad social (y sus enmiendas);</w:t>
      </w:r>
    </w:p>
    <w:p w:rsidR="00000000" w:rsidRDefault="00000000">
      <w:pPr>
        <w:pStyle w:val="SingleTxt"/>
        <w:numPr>
          <w:ilvl w:val="0"/>
          <w:numId w:val="6"/>
        </w:numPr>
        <w:tabs>
          <w:tab w:val="clear" w:pos="360"/>
          <w:tab w:val="num" w:pos="2102"/>
        </w:tabs>
        <w:ind w:left="2102"/>
      </w:pPr>
      <w:r>
        <w:t>El Decreto Legislativo N° 22 de 1978 sobre la asistencia pública;</w:t>
      </w:r>
    </w:p>
    <w:p w:rsidR="00000000" w:rsidRDefault="00000000">
      <w:pPr>
        <w:pStyle w:val="SingleTxt"/>
        <w:numPr>
          <w:ilvl w:val="0"/>
          <w:numId w:val="6"/>
        </w:numPr>
        <w:tabs>
          <w:tab w:val="clear" w:pos="360"/>
          <w:tab w:val="num" w:pos="2102"/>
        </w:tabs>
        <w:ind w:left="2102"/>
      </w:pPr>
      <w:r>
        <w:t>La Ley N° 6 de 1960 por la que se promulgó el Código Penal (y sus e</w:t>
      </w:r>
      <w:r>
        <w:t>n</w:t>
      </w:r>
      <w:r>
        <w:t>miendas);</w:t>
      </w:r>
    </w:p>
    <w:p w:rsidR="00000000" w:rsidRDefault="00000000">
      <w:pPr>
        <w:pStyle w:val="SingleTxt"/>
        <w:numPr>
          <w:ilvl w:val="0"/>
          <w:numId w:val="6"/>
        </w:numPr>
        <w:tabs>
          <w:tab w:val="clear" w:pos="360"/>
          <w:tab w:val="num" w:pos="2102"/>
        </w:tabs>
        <w:ind w:left="2102"/>
      </w:pPr>
      <w:r>
        <w:t>El Código de Enjuiciamiento y Procedimiento Penal (Ley N° 17 de 1960);</w:t>
      </w:r>
    </w:p>
    <w:p w:rsidR="00000000" w:rsidRDefault="00000000">
      <w:pPr>
        <w:pStyle w:val="SingleTxt"/>
        <w:numPr>
          <w:ilvl w:val="0"/>
          <w:numId w:val="6"/>
        </w:numPr>
        <w:tabs>
          <w:tab w:val="clear" w:pos="360"/>
          <w:tab w:val="num" w:pos="2102"/>
        </w:tabs>
        <w:ind w:left="2102"/>
      </w:pPr>
      <w:r>
        <w:t>La Ley N° 26 de 1962 reglamentaria del sistema penitenciario.</w:t>
      </w:r>
    </w:p>
    <w:p w:rsidR="00000000" w:rsidRDefault="00000000">
      <w:pPr>
        <w:pStyle w:val="SingleTxt"/>
        <w:ind w:firstLine="475"/>
      </w:pPr>
      <w:r>
        <w:t>Esas leyes dedican especial atención a las mujeres, pues contienen disposici</w:t>
      </w:r>
      <w:r>
        <w:t>o</w:t>
      </w:r>
      <w:r>
        <w:t>nes que les otorgan protección y las ayudan a conciliar sus deberes maternales con sus responsabilidades de trabajo. Dichas leyes se examinarán en detalle en otra parte del presente informe.</w:t>
      </w:r>
    </w:p>
    <w:p w:rsidR="00000000" w:rsidRDefault="00000000">
      <w:pPr>
        <w:pStyle w:val="SingleTxt"/>
        <w:ind w:firstLine="475"/>
      </w:pPr>
      <w:r>
        <w:t>En lo tocante a la atención de la salud a que tienen acceso las mujeres en K</w:t>
      </w:r>
      <w:r>
        <w:t>u</w:t>
      </w:r>
      <w:r>
        <w:t>wait, cabe señalar que las mujeres reciben una completa atención de la salud por conducto de los servicios de salud prestados por el Ministerio de Salud Pública y sus autoridades de la salud, que abarcan a todas las gobernaciones y regiones de las g</w:t>
      </w:r>
      <w:r>
        <w:t>o</w:t>
      </w:r>
      <w:r>
        <w:t>bernaciones. Este aspecto se examinará detalladamente en la respuesta al artículo 12.</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ind w:firstLine="475"/>
        <w:rPr>
          <w:sz w:val="10"/>
        </w:rPr>
      </w:pPr>
    </w:p>
    <w:p w:rsidR="00000000" w:rsidRDefault="00000000">
      <w:pPr>
        <w:pStyle w:val="SingleTxt"/>
        <w:ind w:firstLine="475"/>
      </w:pPr>
      <w:r>
        <w:t>Con arreglo al artículo 5, l</w:t>
      </w:r>
      <w:r>
        <w:rPr>
          <w:lang w:val="es-ES_tradnl"/>
        </w:rPr>
        <w:t>os Estados Partes tomarán todas las medidas apr</w:t>
      </w:r>
      <w:r>
        <w:rPr>
          <w:lang w:val="es-ES_tradnl"/>
        </w:rPr>
        <w:t>o</w:t>
      </w:r>
      <w:r>
        <w:rPr>
          <w:lang w:val="es-ES_tradnl"/>
        </w:rPr>
        <w:t>piadas para</w:t>
      </w:r>
      <w:r>
        <w:t xml:space="preserve"> modificar los patrones socioculturales de conducta de hombres y muj</w:t>
      </w:r>
      <w:r>
        <w:t>e</w:t>
      </w:r>
      <w:r>
        <w:t>res, con miras a alcanzar la eliminación de los prejuicios y las prácticas que estén basados en la idea de la inferioridad o superioridad de cualquiera de los sexos. As</w:t>
      </w:r>
      <w:r>
        <w:t>i</w:t>
      </w:r>
      <w:r>
        <w:t>mismo dispone que los Estados Partes garantizarán que la educación familiar incl</w:t>
      </w:r>
      <w:r>
        <w:t>u</w:t>
      </w:r>
      <w:r>
        <w:t>ya una comprensión adecuada de la maternidad como función social.</w:t>
      </w:r>
    </w:p>
    <w:p w:rsidR="00000000" w:rsidRDefault="00000000">
      <w:pPr>
        <w:pStyle w:val="SingleTxt"/>
        <w:ind w:firstLine="475"/>
      </w:pPr>
      <w:r>
        <w:t>La educación y la sensibilización son fundamentales para la política adoptada por el Estado para contrarrestar las costumbres y prácticas que constituyen patrones socioculturales que obstaculizan el proceso de desarrollo. Junto con los programas educacionales y de salud, los medios de comunicación desempeñan un importante papel mediante sus programas de sensibilización, dirigidos a la familia en general y a las mujeres en particular, que abordan diversos asuntos y cuestiones de interés p</w:t>
      </w:r>
      <w:r>
        <w:t>a</w:t>
      </w:r>
      <w:r>
        <w:t>ra la mujer. Además, las familias reciben asesoramiento encaminado a ayudar a las mujeres a desempeñar de la manera más plena posible sus funciones en la familia. Los planes de salud elaborados por el Estado también han alcanzado resultados ta</w:t>
      </w:r>
      <w:r>
        <w:t>n</w:t>
      </w:r>
      <w:r>
        <w:t>gibles en las esferas de la educación, el bienestar familiar y la elevación del nivel de conciencia acerca de la salud.</w:t>
      </w:r>
    </w:p>
    <w:p w:rsidR="00000000" w:rsidRDefault="00000000">
      <w:pPr>
        <w:pStyle w:val="SingleTxt"/>
        <w:ind w:firstLine="475"/>
      </w:pPr>
      <w:r>
        <w:t>En el contexto de los esfuerzos realizados en la misma esfera, el Ministerio de Educación vela por asegurar que los currículos y planes de estudio de sus escuelas sirvan de base para una educación fundada en la plena comprensión del papel de los hombres y las mujeres en lo tocante a la familia y la maternidad.</w:t>
      </w:r>
    </w:p>
    <w:p w:rsidR="00000000" w:rsidRDefault="00000000">
      <w:pPr>
        <w:pStyle w:val="SingleTxt"/>
        <w:ind w:firstLine="475"/>
      </w:pPr>
      <w:r>
        <w:t>Las asociaciones privadas también participan en esos esfuerzos y han hecho grandes avances en las esferas del bienestar familiar, la formación de los hijos, las actividades recreativas familiares y la promoción del trabajo voluntario mediante programas dedicados a tal fin.</w:t>
      </w:r>
    </w:p>
    <w:p w:rsidR="00000000" w:rsidRDefault="00000000">
      <w:pPr>
        <w:pStyle w:val="SingleTxt"/>
        <w:ind w:firstLine="475"/>
      </w:pPr>
      <w:r>
        <w:t>En las familias kuwaitíes, la formación de los hijos es una responsabilidad compartida por hombres y mujeres, pues tanto aquéllos como éstas asumen esa t</w:t>
      </w:r>
      <w:r>
        <w:t>a</w:t>
      </w:r>
      <w:r>
        <w:t>rea.</w:t>
      </w:r>
    </w:p>
    <w:p w:rsidR="00000000" w:rsidRDefault="00000000">
      <w:pPr>
        <w:pStyle w:val="SingleTxt"/>
        <w:ind w:firstLine="475"/>
      </w:pPr>
      <w:r>
        <w:t>El Gobierno de Kuwait demuestra una especial preocupación por la familia, según indican numerosas disposiciones legislativas encaminadas a salvaguardar la seguridad y la estabilidad de la familia para que ambos progenitores puedan cumplir plenamente sus obligaciones domésticas.</w:t>
      </w:r>
    </w:p>
    <w:p w:rsidR="00000000" w:rsidRDefault="00000000">
      <w:pPr>
        <w:pStyle w:val="SingleTxt"/>
        <w:ind w:firstLine="475"/>
      </w:pPr>
      <w:r>
        <w:t>La Constitución de Kuwait, que forma el marco jurídico de la legislación s</w:t>
      </w:r>
      <w:r>
        <w:t>o</w:t>
      </w:r>
      <w:r>
        <w:t>cial, contiene numerosas disposiciones que definen los principios fundamentales en que se basa la sociedad kuwaití con miras a salvaguardar la dignidad humana y los derechos y libertades. La Constitución también define la responsabilidad del Estado frente a las madres y los hijos. Esos principios pueden ilustrarse con los siguientes textos:</w:t>
      </w:r>
    </w:p>
    <w:p w:rsidR="00000000" w:rsidRDefault="00000000">
      <w:pPr>
        <w:pStyle w:val="SingleTxt"/>
        <w:numPr>
          <w:ilvl w:val="0"/>
          <w:numId w:val="7"/>
        </w:numPr>
        <w:tabs>
          <w:tab w:val="clear" w:pos="835"/>
          <w:tab w:val="num" w:pos="2102"/>
        </w:tabs>
        <w:ind w:left="1267"/>
      </w:pPr>
      <w:r>
        <w:t>La justicia, la libertad y la igualdad son los pilares de la sociedad y los ciudadanos están vinculados entre sí por los más fuertes lazos de ayuda y compre</w:t>
      </w:r>
      <w:r>
        <w:t>n</w:t>
      </w:r>
      <w:r>
        <w:t>sión mutuas (artículo 7);</w:t>
      </w:r>
    </w:p>
    <w:p w:rsidR="00000000" w:rsidRDefault="00000000">
      <w:pPr>
        <w:pStyle w:val="SingleTxt"/>
        <w:numPr>
          <w:ilvl w:val="0"/>
          <w:numId w:val="7"/>
        </w:numPr>
        <w:tabs>
          <w:tab w:val="clear" w:pos="835"/>
          <w:tab w:val="num" w:pos="2102"/>
        </w:tabs>
        <w:ind w:left="1267"/>
      </w:pPr>
      <w:r>
        <w:t>El Estado salvaguardará los pilares de la sociedad y garantizará la segur</w:t>
      </w:r>
      <w:r>
        <w:t>i</w:t>
      </w:r>
      <w:r>
        <w:t>dad y la igualdad de oportunidades a todos sus ciudadanos (artículo 8);</w:t>
      </w:r>
    </w:p>
    <w:p w:rsidR="00000000" w:rsidRDefault="00000000">
      <w:pPr>
        <w:pStyle w:val="SingleTxt"/>
        <w:numPr>
          <w:ilvl w:val="0"/>
          <w:numId w:val="7"/>
        </w:numPr>
        <w:tabs>
          <w:tab w:val="clear" w:pos="835"/>
          <w:tab w:val="num" w:pos="2102"/>
        </w:tabs>
        <w:ind w:left="1267"/>
      </w:pPr>
      <w:r>
        <w:t>La familia, que se basa en la religión, la moralidad y el patriotismo, es la piedra fundamental de la sociedad. La ley preservará la integridad de la familia, fortalecerá sus vínculos y protegerá a las madres y los niños dentro de su marco (a</w:t>
      </w:r>
      <w:r>
        <w:t>r</w:t>
      </w:r>
      <w:r>
        <w:t>tículo 9).</w:t>
      </w:r>
    </w:p>
    <w:p w:rsidR="00000000" w:rsidRDefault="00000000">
      <w:pPr>
        <w:pStyle w:val="SingleTxt"/>
        <w:numPr>
          <w:ilvl w:val="0"/>
          <w:numId w:val="7"/>
        </w:numPr>
        <w:tabs>
          <w:tab w:val="clear" w:pos="835"/>
          <w:tab w:val="num" w:pos="2102"/>
        </w:tabs>
        <w:ind w:left="1267"/>
      </w:pPr>
      <w:r>
        <w:t>El Estado velará por el bienestar de los jóvenes, a quienes protegerá de la explotación y del abandono moral, físico y espiritual (artículo 10).</w:t>
      </w:r>
    </w:p>
    <w:p w:rsidR="00000000" w:rsidRDefault="00000000">
      <w:pPr>
        <w:pStyle w:val="SingleTxt"/>
        <w:ind w:firstLine="475"/>
      </w:pPr>
      <w:r>
        <w:t>Con respecto a la posición adoptada en otras disposiciones legislativas de K</w:t>
      </w:r>
      <w:r>
        <w:t>u</w:t>
      </w:r>
      <w:r>
        <w:t>wait, las secciones 4 y 5 de la Ley sobre el estado civil contienen normas sobre amamantamiento, tenencia y condiciones conexas, mientras que la sección 6 regula la cuestión de los alimentos, que deben ser proporcionados por los padres de co</w:t>
      </w:r>
      <w:r>
        <w:t>n</w:t>
      </w:r>
      <w:r>
        <w:t>formidad con los artículos 202 y 203. Con arreglo a esos dos artículos, el padre debe proporcionar alimentos a sus hijos tanto durante todo el matrimonio como después de la disolución de éste. En caso de que la madre tenga medios de fortuna y el padre sea indigente, la madre deberá proporcionar alimentos, pero el padre mantiene su responsabilidad al respecto.</w:t>
      </w:r>
    </w:p>
    <w:p w:rsidR="00000000" w:rsidRDefault="00000000">
      <w:pPr>
        <w:pStyle w:val="SingleTxt"/>
        <w:ind w:firstLine="475"/>
      </w:pPr>
      <w:r>
        <w:t>Con arreglo al artículo 204, los alimentos de la mujer y los hijos tienen prel</w:t>
      </w:r>
      <w:r>
        <w:t>a</w:t>
      </w:r>
      <w:r>
        <w:t>ción en caso de que haya varias personas con derecho a alimentos y la persona obl</w:t>
      </w:r>
      <w:r>
        <w:t>i</w:t>
      </w:r>
      <w:r>
        <w:t>gada no tenga medios suficientes para proporcionarlos a todas ellas.</w:t>
      </w:r>
    </w:p>
    <w:p w:rsidR="00000000" w:rsidRDefault="00000000">
      <w:pPr>
        <w:pStyle w:val="SingleTxt"/>
        <w:ind w:firstLine="475"/>
      </w:pPr>
      <w:r>
        <w:t>Estas disposiciones indican claramente que el bienestar y la formación de los hijos es responsabilidad conjunta del padre y la madre.</w:t>
      </w:r>
    </w:p>
    <w:p w:rsidR="00000000" w:rsidRDefault="00000000">
      <w:pPr>
        <w:pStyle w:val="SingleTxt"/>
        <w:ind w:firstLine="475"/>
      </w:pPr>
      <w:r>
        <w:t>A este respecto, puede ser útil especificar algunos de los objetivos de la polít</w:t>
      </w:r>
      <w:r>
        <w:t>i</w:t>
      </w:r>
      <w:r>
        <w:t>ca de solidaridad social encaminada a asegurar la protección y el desarrollo de la familia en Kuwait, que pueden resumirse en la forma siguiente:</w:t>
      </w:r>
    </w:p>
    <w:p w:rsidR="00000000" w:rsidRDefault="00000000">
      <w:pPr>
        <w:pStyle w:val="SingleTxt"/>
        <w:numPr>
          <w:ilvl w:val="0"/>
          <w:numId w:val="33"/>
        </w:numPr>
        <w:tabs>
          <w:tab w:val="clear" w:pos="835"/>
          <w:tab w:val="num" w:pos="2102"/>
        </w:tabs>
        <w:ind w:left="1267"/>
      </w:pPr>
      <w:r>
        <w:t>El desarrollo y el fortalecimiento de los vínculos entre las instituciones s</w:t>
      </w:r>
      <w:r>
        <w:t>o</w:t>
      </w:r>
      <w:r>
        <w:t>ciales, en particular entre la familia y la escuela, a fin de incorporar el concepto de democracia en la formación de los niños;</w:t>
      </w:r>
    </w:p>
    <w:p w:rsidR="00000000" w:rsidRDefault="00000000">
      <w:pPr>
        <w:pStyle w:val="SingleTxt"/>
        <w:numPr>
          <w:ilvl w:val="0"/>
          <w:numId w:val="33"/>
        </w:numPr>
        <w:tabs>
          <w:tab w:val="clear" w:pos="835"/>
          <w:tab w:val="num" w:pos="2102"/>
        </w:tabs>
        <w:ind w:left="1267"/>
      </w:pPr>
      <w:r>
        <w:t>La promoción del papel de la mujer en el proceso de desarrollo socioec</w:t>
      </w:r>
      <w:r>
        <w:t>o</w:t>
      </w:r>
      <w:r>
        <w:t>nómico, haciendo hincapié en su papel en la formación de los hijos y el cuidado de la familia;</w:t>
      </w:r>
    </w:p>
    <w:p w:rsidR="00000000" w:rsidRDefault="00000000">
      <w:pPr>
        <w:pStyle w:val="SingleTxt"/>
        <w:numPr>
          <w:ilvl w:val="0"/>
          <w:numId w:val="33"/>
        </w:numPr>
        <w:tabs>
          <w:tab w:val="clear" w:pos="835"/>
          <w:tab w:val="num" w:pos="2102"/>
        </w:tabs>
        <w:ind w:left="1267"/>
      </w:pPr>
      <w:r>
        <w:t>El desarrollo y la coordinación mutua de las asociaciones de interés públ</w:t>
      </w:r>
      <w:r>
        <w:t>i</w:t>
      </w:r>
      <w:r>
        <w:t>co, el mejoramiento de sus servicios de manera congruente con las necesidades de la sociedad local y el fortalecimiento de las capacidades de la familia.</w:t>
      </w:r>
    </w:p>
    <w:p w:rsidR="00000000" w:rsidRDefault="00000000">
      <w:pPr>
        <w:pStyle w:val="SingleTxt"/>
        <w:ind w:firstLine="475"/>
      </w:pPr>
      <w:r>
        <w:t>Con respecto a la violencia contra la mujer dentro de la familia, en el trabajo o en cualquier otra esfera de la vida social (recomendación general 12 relativa a la violencia contra la mujer), cabe señalar que la Constitución y las leyes de Kuwait dedican especial atención a la mujer, pues contienen numerosas disposiciones que prohíben el uso de la violencia y el trato degradante. Asimismo se dirigen a proteger a la mujer contra todas las formas de la violencia, sea dentro de la familia, en el tr</w:t>
      </w:r>
      <w:r>
        <w:t>a</w:t>
      </w:r>
      <w:r>
        <w:t>bajo o en cualquier otra esfera de la vida, según se indica a continuación.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La violencia en la familia</w:t>
      </w:r>
    </w:p>
    <w:p w:rsidR="00000000" w:rsidRDefault="00000000">
      <w:pPr>
        <w:pStyle w:val="SingleTxt"/>
        <w:spacing w:after="0" w:line="120" w:lineRule="exact"/>
        <w:ind w:firstLine="475"/>
        <w:rPr>
          <w:sz w:val="10"/>
        </w:rPr>
      </w:pPr>
    </w:p>
    <w:p w:rsidR="00000000" w:rsidRDefault="00000000">
      <w:pPr>
        <w:pStyle w:val="SingleTxt"/>
        <w:ind w:firstLine="475"/>
      </w:pPr>
      <w:r>
        <w:t>La Ley sobre el estado civil contiene las garantías necesarias para proteger a la mujer contra la violencia que ejerza su marido contra ella. Al definir el matrimonio y las relaciones entre cónyuges, aspira ajustarse a las palabras de Dios Todopoder</w:t>
      </w:r>
      <w:r>
        <w:t>o</w:t>
      </w:r>
      <w:r>
        <w:t>so contenidas en el Sagrado Corán: “Él os dio mujeres de entre vosotros, para que podáis vivir en alegría con ellas, y sembró el amor y la bondad en vuestros coraz</w:t>
      </w:r>
      <w:r>
        <w:t>o</w:t>
      </w:r>
      <w:r>
        <w:t>nes.”</w:t>
      </w:r>
    </w:p>
    <w:p w:rsidR="00000000" w:rsidRDefault="00000000">
      <w:pPr>
        <w:pStyle w:val="SingleTxt"/>
        <w:ind w:firstLine="475"/>
      </w:pPr>
      <w:r>
        <w:t>Entre las disposiciones que prohíben la violencia doméstica figuran las s</w:t>
      </w:r>
      <w:r>
        <w:t>i</w:t>
      </w:r>
      <w:r>
        <w:t>guientes:</w:t>
      </w:r>
    </w:p>
    <w:p w:rsidR="00000000" w:rsidRDefault="00000000">
      <w:pPr>
        <w:pStyle w:val="SingleTxt"/>
        <w:numPr>
          <w:ilvl w:val="0"/>
          <w:numId w:val="34"/>
        </w:numPr>
        <w:tabs>
          <w:tab w:val="clear" w:pos="835"/>
          <w:tab w:val="num" w:pos="2102"/>
        </w:tabs>
        <w:ind w:left="1267"/>
      </w:pPr>
      <w:r>
        <w:t>La mujer recibirá una compensación, fijada discrecionalmente por el juez pero no superior a la mitad de la dote de sus pares, si ella y su marido se separan antes de que su matrimonio sea consumado o antes de encontrarse realmente solos (art. 64);</w:t>
      </w:r>
    </w:p>
    <w:p w:rsidR="00000000" w:rsidRDefault="00000000">
      <w:pPr>
        <w:pStyle w:val="SingleTxt"/>
        <w:numPr>
          <w:ilvl w:val="0"/>
          <w:numId w:val="34"/>
        </w:numPr>
        <w:tabs>
          <w:tab w:val="clear" w:pos="835"/>
          <w:tab w:val="num" w:pos="2102"/>
        </w:tabs>
        <w:ind w:left="1267"/>
      </w:pPr>
      <w:r>
        <w:t>La esposa no será obligada a la obediencia mediante coerción (art. 88);</w:t>
      </w:r>
    </w:p>
    <w:p w:rsidR="00000000" w:rsidRDefault="00000000">
      <w:pPr>
        <w:pStyle w:val="SingleTxt"/>
        <w:numPr>
          <w:ilvl w:val="0"/>
          <w:numId w:val="34"/>
        </w:numPr>
        <w:tabs>
          <w:tab w:val="clear" w:pos="835"/>
          <w:tab w:val="num" w:pos="2102"/>
        </w:tabs>
        <w:ind w:left="1267"/>
      </w:pPr>
      <w:r>
        <w:t>Cualquiera de los cónyuges puede pedir la separación antes o después de la consumación del matrimonio si resulta lesionado de palabra o de hecho por el otro en grado tal que le impida continuar relacionándose con sus respectivos pares /art. 126);</w:t>
      </w:r>
    </w:p>
    <w:p w:rsidR="00000000" w:rsidRDefault="00000000">
      <w:pPr>
        <w:pStyle w:val="SingleTxt"/>
        <w:numPr>
          <w:ilvl w:val="0"/>
          <w:numId w:val="34"/>
        </w:numPr>
        <w:tabs>
          <w:tab w:val="clear" w:pos="835"/>
          <w:tab w:val="num" w:pos="2102"/>
        </w:tabs>
        <w:ind w:left="1267"/>
      </w:pPr>
      <w:r>
        <w:t>Si el marido se ausenta por un año o más sin excusa legítima, su mujer p</w:t>
      </w:r>
      <w:r>
        <w:t>o</w:t>
      </w:r>
      <w:r>
        <w:t>drá pedir el divorcio si se siente lesionada por ausencia, aunque haya podido utilizar los bienes del marido para mantenerse (art. 136);</w:t>
      </w:r>
    </w:p>
    <w:p w:rsidR="00000000" w:rsidRDefault="00000000">
      <w:pPr>
        <w:pStyle w:val="SingleTxt"/>
        <w:numPr>
          <w:ilvl w:val="0"/>
          <w:numId w:val="34"/>
        </w:numPr>
        <w:tabs>
          <w:tab w:val="clear" w:pos="835"/>
          <w:tab w:val="num" w:pos="2102"/>
        </w:tabs>
        <w:ind w:left="1267"/>
      </w:pPr>
      <w:r>
        <w:t>Cualquiera de los cónyuges puede pedir la anulación del matrimonio si el otro tiene un grave defecto que sea repelente o nocivo o impida las relaciones co</w:t>
      </w:r>
      <w:r>
        <w:t>n</w:t>
      </w:r>
      <w:r>
        <w:t>yugales, independientemente de si dicho defecto existía antes del contrato matrim</w:t>
      </w:r>
      <w:r>
        <w:t>o</w:t>
      </w:r>
      <w:r>
        <w:t>nial o surgió posteriormente. Cada cónyuge pierde su derecho a pedir la anulación si conocía el defecto antes de contraer matrimonio o lo aceptó explícitamente después del hecho (art. 139).</w:t>
      </w:r>
    </w:p>
    <w:p w:rsidR="00000000" w:rsidRDefault="00000000">
      <w:pPr>
        <w:pStyle w:val="SingleTxt"/>
        <w:numPr>
          <w:ilvl w:val="0"/>
          <w:numId w:val="34"/>
        </w:numPr>
        <w:tabs>
          <w:tab w:val="clear" w:pos="835"/>
          <w:tab w:val="num" w:pos="2102"/>
        </w:tabs>
        <w:ind w:left="1267"/>
      </w:pPr>
      <w:r>
        <w:t>Como excepción al artículo citado, la mujer no pierde su derecho a pedir la anulación si el marido tiene defectos que impidan las relaciones conyugales, como la impotencia primaria u ocasional, aunque ella haya aceptado explícitamente tales d</w:t>
      </w:r>
      <w:r>
        <w:t>e</w:t>
      </w:r>
      <w:r>
        <w:t>fectos (art. 140);</w:t>
      </w:r>
    </w:p>
    <w:p w:rsidR="00000000" w:rsidRDefault="00000000">
      <w:pPr>
        <w:pStyle w:val="SingleTxt"/>
        <w:ind w:firstLine="475"/>
      </w:pPr>
      <w:r>
        <w:t>Si un matrimonio legalmente válido se disuelve después de haber sido cons</w:t>
      </w:r>
      <w:r>
        <w:t>u</w:t>
      </w:r>
      <w:r>
        <w:t>mado, además de los alimentos que deben pagársele durante el período de espera f</w:t>
      </w:r>
      <w:r>
        <w:t>i</w:t>
      </w:r>
      <w:r>
        <w:t>jado (después del cual se permite que vuelva a contraer matrimonio), la mujer tiene derecho a una compensación equivalente a no más de los alimentos correspondientes a un año, según la posición económica del marido, y pagadera en cuotas mensuales una vez que haya terminado el período legal de espera, a menos que ambas partes convengan en un monto o un plan de pago diferentes. Quedan exceptuados de la di</w:t>
      </w:r>
      <w:r>
        <w:t>s</w:t>
      </w:r>
      <w:r>
        <w:t>posición que antecede los casos siguientes:</w:t>
      </w:r>
    </w:p>
    <w:p w:rsidR="00000000" w:rsidRDefault="00000000">
      <w:pPr>
        <w:pStyle w:val="SingleTxt"/>
        <w:numPr>
          <w:ilvl w:val="0"/>
          <w:numId w:val="34"/>
        </w:numPr>
        <w:tabs>
          <w:tab w:val="clear" w:pos="835"/>
          <w:tab w:val="num" w:pos="2102"/>
        </w:tabs>
        <w:ind w:left="1267"/>
      </w:pPr>
      <w:r>
        <w:t>El divorcio fundado en que el marido no cumplió su obligación de propo</w:t>
      </w:r>
      <w:r>
        <w:t>r</w:t>
      </w:r>
      <w:r>
        <w:t>cionar alimentos debido a su indigencia;</w:t>
      </w:r>
    </w:p>
    <w:p w:rsidR="00000000" w:rsidRDefault="00000000">
      <w:pPr>
        <w:pStyle w:val="SingleTxt"/>
        <w:numPr>
          <w:ilvl w:val="0"/>
          <w:numId w:val="34"/>
        </w:numPr>
        <w:tabs>
          <w:tab w:val="clear" w:pos="835"/>
          <w:tab w:val="num" w:pos="2102"/>
        </w:tabs>
        <w:ind w:left="1267"/>
      </w:pPr>
      <w:r>
        <w:t>La separación por motivos de injuria, si dicha injuria es imputable a la mujer;</w:t>
      </w:r>
    </w:p>
    <w:p w:rsidR="00000000" w:rsidRDefault="00000000">
      <w:pPr>
        <w:pStyle w:val="SingleTxt"/>
        <w:numPr>
          <w:ilvl w:val="0"/>
          <w:numId w:val="34"/>
        </w:numPr>
        <w:tabs>
          <w:tab w:val="clear" w:pos="835"/>
          <w:tab w:val="num" w:pos="2102"/>
        </w:tabs>
        <w:ind w:left="1267"/>
      </w:pPr>
      <w:r>
        <w:t>El divorcio al que la mujer preste su consentimiento;</w:t>
      </w:r>
    </w:p>
    <w:p w:rsidR="00000000" w:rsidRDefault="00000000">
      <w:pPr>
        <w:pStyle w:val="SingleTxt"/>
        <w:numPr>
          <w:ilvl w:val="0"/>
          <w:numId w:val="34"/>
        </w:numPr>
        <w:tabs>
          <w:tab w:val="clear" w:pos="835"/>
          <w:tab w:val="num" w:pos="2102"/>
        </w:tabs>
        <w:ind w:left="1267"/>
      </w:pPr>
      <w:r>
        <w:t>La anulación del matrimonio a pedido de la mujer;</w:t>
      </w:r>
    </w:p>
    <w:p w:rsidR="00000000" w:rsidRDefault="00000000">
      <w:pPr>
        <w:pStyle w:val="SingleTxt"/>
        <w:numPr>
          <w:ilvl w:val="0"/>
          <w:numId w:val="34"/>
        </w:numPr>
        <w:tabs>
          <w:tab w:val="clear" w:pos="835"/>
          <w:tab w:val="num" w:pos="2102"/>
        </w:tabs>
        <w:ind w:left="1267"/>
      </w:pPr>
      <w:r>
        <w:t>La muerte de cualquiera de los cónyuges (art. 165).</w:t>
      </w:r>
    </w:p>
    <w:p w:rsidR="00000000" w:rsidRDefault="00000000">
      <w:pPr>
        <w:pStyle w:val="SingleTxt"/>
        <w:ind w:firstLine="475"/>
      </w:pPr>
      <w:r>
        <w:t>A este respecto, cabe señalar que el Estado estableció varias oficinas y centros de asesoramiento familiar que se especializan en prestar asesoramiento jurídico, ps</w:t>
      </w:r>
      <w:r>
        <w:t>i</w:t>
      </w:r>
      <w:r>
        <w:t>cológico y social. Asimismo brindan servicios esenciales de sensibilización y orientación con miras a mejorar la vida doméstica y preservar la integridad y la e</w:t>
      </w:r>
      <w:r>
        <w:t>s</w:t>
      </w:r>
      <w:r>
        <w:t>tabil</w:t>
      </w:r>
      <w:r>
        <w:t>i</w:t>
      </w:r>
      <w:r>
        <w:t>dad de la familia, además de prestar la asistencia que sea necesaria.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La violencia en el lugar de trabajo</w:t>
      </w:r>
    </w:p>
    <w:p w:rsidR="00000000" w:rsidRDefault="00000000">
      <w:pPr>
        <w:pStyle w:val="SingleTxt"/>
        <w:spacing w:after="0" w:line="120" w:lineRule="exact"/>
        <w:ind w:firstLine="475"/>
        <w:rPr>
          <w:sz w:val="10"/>
        </w:rPr>
      </w:pPr>
    </w:p>
    <w:p w:rsidR="00000000" w:rsidRDefault="00000000">
      <w:pPr>
        <w:pStyle w:val="SingleTxt"/>
        <w:ind w:firstLine="475"/>
      </w:pPr>
      <w:r>
        <w:t>El capítulo 6 de la Ley N° 38 de 1964 sobre el empleo en el sector privado contiene disposiciones sancionadas por la legislatura de Kuwait con la finalidad de lograr el bienestar y la protección de las mujeres trabajadoras. Las disposiciones concretas del capítulo respectivo, titulado “Empleo de la mujer”, son las siguientes:</w:t>
      </w:r>
    </w:p>
    <w:p w:rsidR="00000000" w:rsidRDefault="00000000">
      <w:pPr>
        <w:pStyle w:val="SingleTxt"/>
        <w:ind w:firstLine="475"/>
      </w:pPr>
      <w:r>
        <w:t>–</w:t>
      </w:r>
      <w:r>
        <w:tab/>
        <w:t>Las mujeres no pueden trabajar de noche, salvo en hogares médicos pr</w:t>
      </w:r>
      <w:r>
        <w:t>i</w:t>
      </w:r>
      <w:r>
        <w:t>vados y otras instituciones en las que el empleo se rige por una ordenanza del M</w:t>
      </w:r>
      <w:r>
        <w:t>i</w:t>
      </w:r>
      <w:r>
        <w:t>nistro de Asuntos Sociales y Trabajo (artículo 23).</w:t>
      </w:r>
    </w:p>
    <w:p w:rsidR="00000000" w:rsidRDefault="00000000">
      <w:pPr>
        <w:pStyle w:val="SingleTxt"/>
        <w:ind w:firstLine="475"/>
      </w:pPr>
      <w:r>
        <w:t>Con el deseo de eliminar la violencia de todos los aspectos de la vida social, la legislatura tuvo cuidado de establecer reglas obligatorias que garanticen a la mujer la protección contra todas las formas de violencia en todas las esferas de la vida. El Código Penal (Ley N° 16 de 1990 y sus enmiendas) establece dicha protección, pues determina que son contrarios a la ley todos los actos de violencia, lesiones person</w:t>
      </w:r>
      <w:r>
        <w:t>a</w:t>
      </w:r>
      <w:r>
        <w:t>les, malos tratos, explotación sexual y confinamiento perpetrados contra cualquier persona, hombre o mujer, por individuos que actúen sin carácter oficial o por fu</w:t>
      </w:r>
      <w:r>
        <w:t>n</w:t>
      </w:r>
      <w:r>
        <w:t>cionarios oficiales en el desempeño de sus funciones. Según la gravedad de tales actos, se establecen para quienes los lleven a cabo las penas que se indican a cont</w:t>
      </w:r>
      <w:r>
        <w:t>i</w:t>
      </w:r>
      <w:r>
        <w:t>nu</w:t>
      </w:r>
      <w:r>
        <w:t>a</w:t>
      </w:r>
      <w:r>
        <w:t>ción (art. 149):</w:t>
      </w:r>
    </w:p>
    <w:p w:rsidR="00000000" w:rsidRDefault="00000000">
      <w:pPr>
        <w:pStyle w:val="SingleTxt"/>
        <w:ind w:firstLine="475"/>
      </w:pPr>
      <w:r>
        <w:t>–</w:t>
      </w:r>
      <w:r>
        <w:tab/>
        <w:t>Todo aquel que deliberadamente mate a una persona será castigado con pena de muerte o prisión perpetua, a la que podrá añadirse una multa de hasta 1.125 dinares (art. 149);</w:t>
      </w:r>
    </w:p>
    <w:p w:rsidR="00000000" w:rsidRDefault="00000000">
      <w:pPr>
        <w:pStyle w:val="SingleTxt"/>
        <w:ind w:firstLine="475"/>
        <w:rPr>
          <w:b/>
        </w:rPr>
      </w:pPr>
      <w:r>
        <w:t>–</w:t>
      </w:r>
      <w:r>
        <w:tab/>
        <w:t>Todo aquel que deliberadamente lesione o golpee a una persona o le ofrezca sustancias narcóticas que produzcan su muerte sin carácter intencional será castigado con pena de prisión hasta por 10 años, a la que podrá añadirse una multa de hasta 10.000 rupias (art. 152);</w:t>
      </w:r>
    </w:p>
    <w:p w:rsidR="00000000" w:rsidRDefault="00000000">
      <w:pPr>
        <w:pStyle w:val="SingleTxt"/>
        <w:ind w:firstLine="475"/>
      </w:pPr>
      <w:r>
        <w:t>–</w:t>
      </w:r>
      <w:r>
        <w:tab/>
        <w:t>Todo aquel que golpee o lesione a una persona, o le cause daño corporal o perjuicios a su integridad física de manera apreciable será castigado con pena de prisión hasta por dos años, a la que podrá añadirse una multa de hasta 2.000 rupias (art. 160);</w:t>
      </w:r>
    </w:p>
    <w:p w:rsidR="00000000" w:rsidRDefault="00000000">
      <w:pPr>
        <w:pStyle w:val="SingleTxt"/>
        <w:ind w:firstLine="475"/>
      </w:pPr>
      <w:r>
        <w:t>–</w:t>
      </w:r>
      <w:r>
        <w:tab/>
        <w:t>Todo aquel que lesione gravemente a otra persona utilizándola como blanco de cualquier forma de proyectil, golpeándola con un cuchillo u otro instr</w:t>
      </w:r>
      <w:r>
        <w:t>u</w:t>
      </w:r>
      <w:r>
        <w:t>mento peligroso, arrojándole un líquido cáustico, colocando un líquido de esa índole o cualquier material explosivo en algún lugar con el fin de lesionarlo, o sumini</w:t>
      </w:r>
      <w:r>
        <w:t>s</w:t>
      </w:r>
      <w:r>
        <w:t>trándole una sustancia narcótica, será castigado con pena de prisión hasta por 10 años, a la que podrá añadirse una multa de hasta 10.000 rupias (art. 161);</w:t>
      </w:r>
    </w:p>
    <w:p w:rsidR="00000000" w:rsidRDefault="00000000">
      <w:pPr>
        <w:pStyle w:val="SingleTxt"/>
        <w:ind w:firstLine="475"/>
      </w:pPr>
      <w:r>
        <w:t>–</w:t>
      </w:r>
      <w:r>
        <w:tab/>
        <w:t>Todo aquel que lesione a otra persona de forma de causarle una incapac</w:t>
      </w:r>
      <w:r>
        <w:t>i</w:t>
      </w:r>
      <w:r>
        <w:t>dad permanente será castigado con pena de prisión hasta por 10 años, a la que podrá añadirse una multa de hasta 10.000 rupias. Se aplicará una pena de hasta cinco años de prisión o multa de hasta 5.000 rupias, o ambas penas, si tales actos de agresión determinan que la víctima sufra graves dolores físicos o la incapacitan para utilizar uno o más de sus miembros u órganos corporales de manera natural durante un p</w:t>
      </w:r>
      <w:r>
        <w:t>e</w:t>
      </w:r>
      <w:r>
        <w:t>ríodo mayor de 30 días, pero sin causarle una incapacidad permanente (art. 162);</w:t>
      </w:r>
    </w:p>
    <w:p w:rsidR="00000000" w:rsidRDefault="00000000">
      <w:pPr>
        <w:pStyle w:val="SingleTxt"/>
        <w:ind w:firstLine="475"/>
      </w:pPr>
      <w:r>
        <w:t>–</w:t>
      </w:r>
      <w:r>
        <w:tab/>
        <w:t>Todo aquel que cometa un acto leve de agresión de menor gravedad que los mencionados en los artículos anteriores será castigado con pena de prisión hasta por tres meses, a la que podrá añadirse una multa de hasta 300 rupias (art. 163);</w:t>
      </w:r>
    </w:p>
    <w:p w:rsidR="00000000" w:rsidRDefault="00000000">
      <w:pPr>
        <w:pStyle w:val="SingleTxt"/>
        <w:ind w:firstLine="475"/>
      </w:pPr>
      <w:r>
        <w:t>–</w:t>
      </w:r>
      <w:r>
        <w:tab/>
        <w:t>Todo aquel que sin intención lesione o cause daños apreciables a otra persona actuando con imprudencia, negligencia, descuido o falta de atención o con incumplimiento de los reglamentos será castigado con pena de prisión hasta por un año o multa de hasta 1.000 rupias, o ambas penas (art. 164);</w:t>
      </w:r>
    </w:p>
    <w:p w:rsidR="00000000" w:rsidRDefault="00000000">
      <w:pPr>
        <w:pStyle w:val="SingleTxt"/>
        <w:ind w:firstLine="475"/>
      </w:pPr>
      <w:r>
        <w:t>–</w:t>
      </w:r>
      <w:r>
        <w:tab/>
        <w:t>Todo aquel que amenace causar lesiones a la persona, la reputación o los bienes de otro, o a la persona, la reputación o los bienes de una persona con la que esté relacionada, independientemente de si se trata de una amenaza escrita o verbal o asume la forma de actos que hagan que una persona crea que su persona, su reput</w:t>
      </w:r>
      <w:r>
        <w:t>a</w:t>
      </w:r>
      <w:r>
        <w:t>ción o sus bienes sufrirán un ataque, con la intención de hacer que la víctima realice o se abstenga de realizar un acto, será castigado con pena de prisión hasta por tres años o multa de hasta 3.000 rupias, o ambas penas (art. 173);</w:t>
      </w:r>
    </w:p>
    <w:p w:rsidR="00000000" w:rsidRDefault="00000000">
      <w:pPr>
        <w:pStyle w:val="SingleTxt"/>
        <w:ind w:firstLine="475"/>
      </w:pPr>
      <w:r>
        <w:t>–</w:t>
      </w:r>
      <w:r>
        <w:tab/>
        <w:t>Todo aquel que secuestre a una persona sin su consentimiento forzándola a trasladarse del lugar en que reside normalmente hasta otro lugar y reteniéndole allí será castigado con pena de prisión hasta por siete años (art. 178);</w:t>
      </w:r>
    </w:p>
    <w:p w:rsidR="00000000" w:rsidRDefault="00000000">
      <w:pPr>
        <w:pStyle w:val="SingleTxt"/>
        <w:ind w:firstLine="475"/>
      </w:pPr>
      <w:r>
        <w:t>–</w:t>
      </w:r>
      <w:r>
        <w:tab/>
        <w:t>Todo aquel que utilice fuerza, amenazas o engaños para secuestrar a una persona con la intención de matarla o causarle daños, tener relaciones sexuales con ella, someterla a actos de ultraje al pudor, inducirla a dedicarse a la prostitución o robarla, será castigado con la pena de muerte (art. 180);</w:t>
      </w:r>
    </w:p>
    <w:p w:rsidR="00000000" w:rsidRDefault="00000000">
      <w:pPr>
        <w:pStyle w:val="SingleTxt"/>
        <w:ind w:firstLine="475"/>
      </w:pPr>
      <w:r>
        <w:t>–</w:t>
      </w:r>
      <w:r>
        <w:tab/>
        <w:t>Todo aquel que a sabiendas esconda a una persona que haya sido secue</w:t>
      </w:r>
      <w:r>
        <w:t>s</w:t>
      </w:r>
      <w:r>
        <w:t>trada será castigado de la misma forma que si hubiese secuestrado a dicha persona. Si también tiene conocimiento de la intención con que se  llevó a cabo el secuestro o de las circunstancias en que se llevó a cabo, la pena será la misma que se aplique a la persona que haya llevado a cabo el secuestro con tal intención o en tales circun</w:t>
      </w:r>
      <w:r>
        <w:t>s</w:t>
      </w:r>
      <w:r>
        <w:t>tancias (art. 180):</w:t>
      </w:r>
    </w:p>
    <w:p w:rsidR="00000000" w:rsidRDefault="00000000">
      <w:pPr>
        <w:pStyle w:val="SingleTxt"/>
        <w:ind w:firstLine="475"/>
      </w:pPr>
      <w:r>
        <w:t>–</w:t>
      </w:r>
      <w:r>
        <w:tab/>
        <w:t>Todo aquel que arreste, aprisione o confine a una persona en circunsta</w:t>
      </w:r>
      <w:r>
        <w:t>n</w:t>
      </w:r>
      <w:r>
        <w:t>cias distintas de las estipuladas en la ley o sin observar los procedimientos estipul</w:t>
      </w:r>
      <w:r>
        <w:t>a</w:t>
      </w:r>
      <w:r>
        <w:t>dos en ella, será castigado con pena de prisión hasta por tres años o una multa de hasta 3.000 rupias, o ambas penas. Si dichos actos están combinados con torturas f</w:t>
      </w:r>
      <w:r>
        <w:t>í</w:t>
      </w:r>
      <w:r>
        <w:t>sicas o con la amenaza de muerte, la pena será de prisión hasta por siete años, a los que podrá añadirse una multa de hasta 7.000 rupias (art. 184);</w:t>
      </w:r>
    </w:p>
    <w:p w:rsidR="00000000" w:rsidRDefault="00000000">
      <w:pPr>
        <w:pStyle w:val="SingleTxt"/>
        <w:ind w:firstLine="475"/>
      </w:pPr>
      <w:r>
        <w:t>–</w:t>
      </w:r>
      <w:r>
        <w:tab/>
        <w:t>Todo aquel que haga que una persona entre en Kuwait o salga de su t</w:t>
      </w:r>
      <w:r>
        <w:t>e</w:t>
      </w:r>
      <w:r>
        <w:t>rritorio con el fin de disponer de tal persona como esclavo, y todo aquel que compre, ofrezca a la venta o entregue a una persona como esclavo, será castigado con pena de prisión hasta por cinco años (art. 185).</w:t>
      </w:r>
    </w:p>
    <w:p w:rsidR="00000000" w:rsidRDefault="00000000">
      <w:pPr>
        <w:pStyle w:val="SingleTxt"/>
        <w:ind w:firstLine="475"/>
      </w:pPr>
      <w:r>
        <w:t>El Código Penal también es estricto en los casos en que la víctima sea joven y asimismo en circunstancias en que el infractor sea uno de los ascendientes de la ví</w:t>
      </w:r>
      <w:r>
        <w:t>c</w:t>
      </w:r>
      <w:r>
        <w:t>tima o una de las personas responsables de su cuidado. Los artículos pertinentes s</w:t>
      </w:r>
      <w:r>
        <w:t>o</w:t>
      </w:r>
      <w:r>
        <w:t>bre este punto se mencionarán en otra parte del presente informe.</w:t>
      </w:r>
    </w:p>
    <w:p w:rsidR="00000000" w:rsidRDefault="00000000">
      <w:pPr>
        <w:pStyle w:val="SingleTxt"/>
        <w:ind w:firstLine="475"/>
      </w:pPr>
      <w:r>
        <w:t>A este respecto, cabe señalar que la Ley N° 26 de 1962, reglamentaria del si</w:t>
      </w:r>
      <w:r>
        <w:t>s</w:t>
      </w:r>
      <w:r>
        <w:t>tema penitenciario, muestra una especial preocupación por las reclusas que estén embarazadas o cuidando a sus hijos. El artículo 33 estipula que, a partir del sexto mes, la reclusa embarazada será tratada como reclusa de categoría A, si no estuviere ya en dicha categoría. Quedará eximida del trabajo carcelario y recibirá atención e</w:t>
      </w:r>
      <w:r>
        <w:t>s</w:t>
      </w:r>
      <w:r>
        <w:t>pecial en lo tocante a la alimentación, el sueño y el traslado al hospital cuando se acerque el momento del parto. Permanecerá en el hospital hasta que dé a luz y sea dada de alta por el médico.</w:t>
      </w:r>
    </w:p>
    <w:p w:rsidR="00000000" w:rsidRDefault="00000000">
      <w:pPr>
        <w:pStyle w:val="SingleTxt"/>
        <w:ind w:firstLine="475"/>
      </w:pPr>
      <w:r>
        <w:t>El artículo 34 estipula que los hijos de las reclusas deberán permanecer con sus madres hasta que cumplan dos años de edad, momento en el cual serán entregados a sus padres o a los parientes que elija la madre, así como en el caso de que la madre no desee que permanezcan con ella. Si el niño no tiene padre ni parientes que pu</w:t>
      </w:r>
      <w:r>
        <w:t>e</w:t>
      </w:r>
      <w:r>
        <w:t>dan encargarse de su cuidado, se le colocará en un hogar de guarda y se harán los arreglos necesarios para que su madre lo vea de conformidad con los reglamentos internos.</w:t>
      </w:r>
    </w:p>
    <w:p w:rsidR="00000000" w:rsidRDefault="00000000">
      <w:pPr>
        <w:pStyle w:val="SingleTxt"/>
        <w:ind w:firstLine="475"/>
      </w:pPr>
      <w:r>
        <w:t>El artículo 49 estipula que si se encuentra que una mujer condenada a muerte está embarazada y da a luz un hijo vivo, se suspenderá la ejecución de la pena de muerte y se tomarán las medidas necesarias a fin de que la pena de muerte sea co</w:t>
      </w:r>
      <w:r>
        <w:t>n</w:t>
      </w:r>
      <w:r>
        <w:t>mutada por la de prisión perpetua.</w:t>
      </w:r>
    </w:p>
    <w:p w:rsidR="00000000" w:rsidRDefault="00000000">
      <w:pPr>
        <w:pStyle w:val="SingleTxt"/>
        <w:ind w:firstLine="475"/>
      </w:pPr>
      <w:r>
        <w:t>La Ordenanza N° 25/1976, relativa al reglamento interno de las cárceles, e</w:t>
      </w:r>
      <w:r>
        <w:t>n</w:t>
      </w:r>
      <w:r>
        <w:t>mendada por la Ordenanza N° 33/87, garantiza que toda mujer que sea privada de libertad podrá, cuando así lo pida, obtener que sus hijos menores de 12 años de edad sean llevados a la prisión una vez por semana para verla. Dichas visitas no se llev</w:t>
      </w:r>
      <w:r>
        <w:t>a</w:t>
      </w:r>
      <w:r>
        <w:t>rán a cabo en lugar habitualmente destinado a las visitas y, con permiso del alcaide de la prisión, podrán llevarse a cabo en privado. Tampoco serán canceladas por r</w:t>
      </w:r>
      <w:r>
        <w:t>a</w:t>
      </w:r>
      <w:r>
        <w:t>zones vinculadas con el comportamiento de la mujer dentro de la prisión. En ca</w:t>
      </w:r>
      <w:r>
        <w:t>m</w:t>
      </w:r>
      <w:r>
        <w:t>bio, pueden ser canceladas por razones de salud. Las visitas de los hijos mayores de 12 años se llevan a cabo de conformidad con las normas generales sobre visitas.</w:t>
      </w:r>
    </w:p>
    <w:p w:rsidR="00000000" w:rsidRDefault="00000000">
      <w:pPr>
        <w:pStyle w:val="SingleTxt"/>
        <w:ind w:firstLine="475"/>
      </w:pPr>
      <w:r>
        <w:t>Además de lo expuesto, el Estado se esfuerza por proteger contra todo tipo de malos tratos a las mujeres kuwaitíes o no kuwaitíes que sean habitantes del país. La ley se aplica en todos los casos en que se denuncien malos tratos, cualquiera sea el sexo del infractor o de la víctima. Además, como ya se indicó, se garantiza unive</w:t>
      </w:r>
      <w:r>
        <w:t>r</w:t>
      </w:r>
      <w:r>
        <w:t>salmente el derecho a interponer recursos jurídicos (anexo 5: Informe estadístico s</w:t>
      </w:r>
      <w:r>
        <w:t>o</w:t>
      </w:r>
      <w:r>
        <w:t>bre las condenas aplicadas por los tribunales kuwaitíes en casos de agresión fís</w:t>
      </w:r>
      <w:r>
        <w:t>i</w:t>
      </w:r>
      <w:r>
        <w:t>ca).</w:t>
      </w:r>
    </w:p>
    <w:p w:rsidR="00000000" w:rsidRDefault="00000000">
      <w:pPr>
        <w:pStyle w:val="SingleTxt"/>
        <w:ind w:firstLine="475"/>
      </w:pPr>
      <w:r>
        <w:t>Si bien la Constitución y las leyes vigentes de Kuwait garantizan a las mujeres diversos derechos y libertades, en particular el derecho al trabajo y ocupar cargos públicos, Kuwait tiene algunas leyes que excluyen el empleo de mujeres en determ</w:t>
      </w:r>
      <w:r>
        <w:t>i</w:t>
      </w:r>
      <w:r>
        <w:t>nados puestos, como las fuerzas armadas, la policía, el ejército y el cuerpo diplom</w:t>
      </w:r>
      <w:r>
        <w:t>á</w:t>
      </w:r>
      <w:r>
        <w:t>tico, por diversas razones. Sin embargo, las autoridades competentes están consid</w:t>
      </w:r>
      <w:r>
        <w:t>e</w:t>
      </w:r>
      <w:r>
        <w:t>rando la posibilidad de designar mujeres en la fuerza policial, aunque el tema aún sigue a estudio. En cuanto al empleo de mujeres como integrantes de la judicatura, cabe señalar que en Kuwait la judicatura tiene dos divisiones: la primera se relaci</w:t>
      </w:r>
      <w:r>
        <w:t>o</w:t>
      </w:r>
      <w:r>
        <w:t>na con la administración de justicia, y la segunda, en la que se permite que trabajen mujeres, con la investigación. Consiguientemente, en el Departamento de Investig</w:t>
      </w:r>
      <w:r>
        <w:t>a</w:t>
      </w:r>
      <w:r>
        <w:t>ciones Públicas del Ministerio del Interior hay mujeres kuwaitíes trabajando como investigadoras. En cambio, el empleo en la división que administra justicia está r</w:t>
      </w:r>
      <w:r>
        <w:t>e</w:t>
      </w:r>
      <w:r>
        <w:t>servado exclusivamente a los hombres, por diversas razones, lo mismo que el e</w:t>
      </w:r>
      <w:r>
        <w:t>m</w:t>
      </w:r>
      <w:r>
        <w:t>pleo en el Departamento de Ac</w:t>
      </w:r>
      <w:r>
        <w:t>u</w:t>
      </w:r>
      <w:r>
        <w:t>saciones Públicas.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ind w:firstLine="475"/>
        <w:rPr>
          <w:sz w:val="10"/>
        </w:rPr>
      </w:pPr>
    </w:p>
    <w:p w:rsidR="00000000" w:rsidRDefault="00000000">
      <w:pPr>
        <w:pStyle w:val="SingleTxt"/>
        <w:ind w:firstLine="475"/>
      </w:pPr>
      <w:r>
        <w:t>El artículo 6 dispone que los Estados Partes tomarán todas las medidas apr</w:t>
      </w:r>
      <w:r>
        <w:t>o</w:t>
      </w:r>
      <w:r>
        <w:t>piadas, incluso de carácter legislativo, para suprimir la trata de mujeres y la explot</w:t>
      </w:r>
      <w:r>
        <w:t>a</w:t>
      </w:r>
      <w:r>
        <w:t>ción de la prostitución de la mujer..</w:t>
      </w:r>
    </w:p>
    <w:p w:rsidR="00000000" w:rsidRDefault="00000000">
      <w:pPr>
        <w:pStyle w:val="SingleTxt"/>
        <w:ind w:firstLine="475"/>
      </w:pPr>
      <w:r>
        <w:t>El Gobierno de Kuwait desea ante todo expresar su posición sobre este tema, la cual consiste en el rechazo de todas las prácticas relacionada con la trata de mujeres y la explotación de la prostitución de la mujer, así como de todas las prácticas an</w:t>
      </w:r>
      <w:r>
        <w:t>á</w:t>
      </w:r>
      <w:r>
        <w:t>logas, porque representan una forma de esclavitud moderna que es incompatible con los derechos humanos más básicos y con la dignidad y los valores humanos. As</w:t>
      </w:r>
      <w:r>
        <w:t>i</w:t>
      </w:r>
      <w:r>
        <w:t>mismo son incompatibles con las disposiciones de la ley islámica, que preconizan la virtud y prohíben los actos de esa índole. Además, tales actos son incompatibles con el orden público y la moralidad.</w:t>
      </w:r>
    </w:p>
    <w:p w:rsidR="00000000" w:rsidRDefault="00000000">
      <w:pPr>
        <w:pStyle w:val="SingleTxt"/>
        <w:ind w:firstLine="475"/>
      </w:pPr>
      <w:r>
        <w:t>En lo tocante a las medidas adoptadas por Kuwait para prevenir la trata de mujeres y la explotación de la prostitución de la mujer, el Código Penal de Kuwait (Ley N° 16 de 1990) contiene estrictas disposiciones legales que tipifican a tales actos como delitos y los castigan con penas que se espera que funcionen como d</w:t>
      </w:r>
      <w:r>
        <w:t>i</w:t>
      </w:r>
      <w:r>
        <w:t>suasivos que permitan erradicar esas prácticas inhumanas. El Código tipifica como delitos a los actos de relaciones sexuales, ultraje al pudor, incitación a la corrupción, prostitución y trata de mujeres y explotación de actos de prostitución, en los térm</w:t>
      </w:r>
      <w:r>
        <w:t>i</w:t>
      </w:r>
      <w:r>
        <w:t>nos siguientes:</w:t>
      </w:r>
    </w:p>
    <w:p w:rsidR="00000000" w:rsidRDefault="00000000">
      <w:pPr>
        <w:pStyle w:val="SingleTxt"/>
        <w:ind w:firstLine="475"/>
      </w:pPr>
      <w:r>
        <w:t>–</w:t>
      </w:r>
      <w:r>
        <w:tab/>
        <w:t>Todo aquel que tenga relaciones sexuales con una mujer sin consent</w:t>
      </w:r>
      <w:r>
        <w:t>i</w:t>
      </w:r>
      <w:r>
        <w:t>miento de ésta, utilizando fuerza, amenazas o engaños, será castigado con pena de muerte o prisión perpetua. Si el autor es ascendiente de la víctima o una de las pe</w:t>
      </w:r>
      <w:r>
        <w:t>r</w:t>
      </w:r>
      <w:r>
        <w:t>sonas encargadas de su crianza o bienestar o investido de autoridad sobre ella, o es un sirviente suyo o de alguna de las personas mencionadas, será castigado con pena de muerte (art- 186);</w:t>
      </w:r>
    </w:p>
    <w:p w:rsidR="00000000" w:rsidRDefault="00000000">
      <w:pPr>
        <w:pStyle w:val="SingleTxt"/>
        <w:ind w:firstLine="475"/>
      </w:pPr>
      <w:r>
        <w:t>–</w:t>
      </w:r>
      <w:r>
        <w:tab/>
        <w:t>Todo aquel que tenga relaciones sexuales con una mujer que sea incapaz o demente, o menor de 15 años, o incapaz de expresar su voluntad por cualquier otra razón, o no comprenda la naturaleza del acto al que es sometida o crea que es lícito, será castigado con prisión perpetua, aunque las relaciones hayan tenido lugar sin coerción, amenazas ni engaños. Se aplicará la pena de muerte en caso de que el a</w:t>
      </w:r>
      <w:r>
        <w:t>u</w:t>
      </w:r>
      <w:r>
        <w:t>tor sea ascendiente de la víctima o una de las personas encargadas de su crianza o bienestar o esté investido de autoridad sobre ella, o sea un sirviente suyo o de alguna de las personas mencionadas (art. 187);</w:t>
      </w:r>
    </w:p>
    <w:p w:rsidR="00000000" w:rsidRDefault="00000000">
      <w:pPr>
        <w:pStyle w:val="SingleTxt"/>
        <w:ind w:firstLine="475"/>
      </w:pPr>
      <w:r>
        <w:t>–</w:t>
      </w:r>
      <w:r>
        <w:tab/>
        <w:t>Todo aquel que, sin usar fuerza, amenazas o engaños, tenga relaciones sexuales con una mujer mayor de 15 años pero menor de 21, será castigado con pena de prisión hasta por 15 años. La pena se incrementará a prisión perpetua si el autor es ascendiente de la víctima o una de las personas encargadas de su crianza o bi</w:t>
      </w:r>
      <w:r>
        <w:t>e</w:t>
      </w:r>
      <w:r>
        <w:t>nestar o está investido de autoridad sobre ella, o es un sirviente suyo (art. 188);</w:t>
      </w:r>
    </w:p>
    <w:p w:rsidR="00000000" w:rsidRDefault="00000000">
      <w:pPr>
        <w:pStyle w:val="SingleTxt"/>
        <w:ind w:firstLine="475"/>
      </w:pPr>
      <w:r>
        <w:t>–</w:t>
      </w:r>
      <w:r>
        <w:tab/>
        <w:t>Todo aquel que, sin usar fuerza, amenazas o engaños, tenga a sabiendas relaciones sexuales con una mujer mayor de 21 años que esté dentro de los límites prohibidos de parentesco, será castigado con pena de prisión hasta por 15 años. Si la víctima era mayor de 15 años pero menor de 21, la pena será de prisión perpetua. Las penas indicadas se aplicarán a todo representante legal, tutor, curador o persona encargada de la guarda, la crianza o el bienestar de la víctima o de la supervisión de sus asuntos, en caso de que tenga relaciones sexuales con ella sin utilizar fuerza, amenazas o engaños (art. 189);</w:t>
      </w:r>
    </w:p>
    <w:p w:rsidR="00000000" w:rsidRDefault="00000000">
      <w:pPr>
        <w:pStyle w:val="SingleTxt"/>
        <w:ind w:firstLine="475"/>
      </w:pPr>
      <w:r>
        <w:t>–</w:t>
      </w:r>
      <w:r>
        <w:tab/>
        <w:t>Todo aquel que utilice fuerza, amenazas o engaños para cometer un u</w:t>
      </w:r>
      <w:r>
        <w:t>l</w:t>
      </w:r>
      <w:r>
        <w:t>traje al pudor será castigado con pena de prisión hasta por 15 años. Si el autor es a</w:t>
      </w:r>
      <w:r>
        <w:t>s</w:t>
      </w:r>
      <w:r>
        <w:t>cendiente de la víctima o una de las personas encargadas de su crianza o bienestar o está investido de autoridad sobre ella, o es un sirviente suyo o de alguna de las pe</w:t>
      </w:r>
      <w:r>
        <w:t>r</w:t>
      </w:r>
      <w:r>
        <w:t>sonas mencionadas, será castigado con pena de prisión perpetua. Se aplicarán las penas mencionadas si la víctima no estaba capacitada para expresar su voluntad a causa de su minoría de edad, demencia o debilidad mental, o si la víctima no co</w:t>
      </w:r>
      <w:r>
        <w:t>m</w:t>
      </w:r>
      <w:r>
        <w:t>prendía la naturaleza del acto o creía que era lícito, aunque el acto haya sido com</w:t>
      </w:r>
      <w:r>
        <w:t>e</w:t>
      </w:r>
      <w:r>
        <w:t>tido sin usar fuerza, amenazas o engaños (art. 191);</w:t>
      </w:r>
    </w:p>
    <w:p w:rsidR="00000000" w:rsidRDefault="00000000">
      <w:pPr>
        <w:pStyle w:val="SingleTxt"/>
        <w:ind w:firstLine="475"/>
      </w:pPr>
      <w:r>
        <w:t>–</w:t>
      </w:r>
      <w:r>
        <w:tab/>
        <w:t>Todo aquel que someta a un acto de ultraje al pudor a un varón o una mujer menor de 21 años sin utilizar fuerza, amenazas o engaños, será castigado con pena de prisión hasta por 10 años. Si el autor es ascendiente de la víctima o una de las personas encargadas de su crianza o bienestar o está investido de autoridad sobre ella, o es un sirviente suyo o de alguna de las personas mencionadas, será castigado con pena de prisión hasta por 15 años (art. 192);</w:t>
      </w:r>
    </w:p>
    <w:p w:rsidR="00000000" w:rsidRDefault="00000000">
      <w:pPr>
        <w:pStyle w:val="SingleTxt"/>
        <w:ind w:firstLine="475"/>
      </w:pPr>
      <w:r>
        <w:t>–</w:t>
      </w:r>
      <w:r>
        <w:tab/>
        <w:t>Todo aquel que incite a una persona de sexo masculino o femenino a c</w:t>
      </w:r>
      <w:r>
        <w:t>o</w:t>
      </w:r>
      <w:r>
        <w:t>meter actos de corrupción o prostitución, o preste cualquier tipo de asistencia para tales actos, será castigado con pena de prisión hasta por un año o multa de hasta 1.000 rupias, o con ambas penas. Si la víctima es menor de 18 años, se aplicará una pena de prisión hasta por dos años o multa de hasta 2.000 rupias, o ambas penas (art. 200);</w:t>
      </w:r>
    </w:p>
    <w:p w:rsidR="00000000" w:rsidRDefault="00000000">
      <w:pPr>
        <w:pStyle w:val="SingleTxt"/>
        <w:ind w:firstLine="475"/>
      </w:pPr>
      <w:r>
        <w:t>–</w:t>
      </w:r>
      <w:r>
        <w:tab/>
        <w:t>Todo aquel que utilice fuerza, amenazas o engaños para inducir a una persona de sexo masculino o femenino a cometer actos de corrupción o prostitución, o preste cualquier tipo de asistencia para tales actos, será castigado con pena de pr</w:t>
      </w:r>
      <w:r>
        <w:t>i</w:t>
      </w:r>
      <w:r>
        <w:t>sión hasta por cinco años o multa de hasta 5.000 rupias, o con ambas penas. Si la víctima es menor de 18 años, se aplicará una pena de prisión hasta por siete años o multa de hasta 7.000 rupias, o ambas penas (art. 201);</w:t>
      </w:r>
    </w:p>
    <w:p w:rsidR="00000000" w:rsidRDefault="00000000">
      <w:pPr>
        <w:pStyle w:val="SingleTxt"/>
        <w:ind w:firstLine="475"/>
      </w:pPr>
      <w:r>
        <w:t>–</w:t>
      </w:r>
      <w:r>
        <w:tab/>
        <w:t>Todo hombre o mujer que, utilizando la fuerza o ejerciendo influencia o dominio sobre otra persona que realice actos de corrupción o prostitución, viva total o parcialmente del dinero ganado por dicha persona por los medios indicados, ind</w:t>
      </w:r>
      <w:r>
        <w:t>e</w:t>
      </w:r>
      <w:r>
        <w:t>pendientemente de si obtiene ese dinero con el acuerdo de dicha persona sin dar n</w:t>
      </w:r>
      <w:r>
        <w:t>a</w:t>
      </w:r>
      <w:r>
        <w:t>da a cambio o como forma de pago por protección o no sometimiento a acoso, será castigado con pena de prisión hasta por dos años o multa de hasta 5.000 rupias, o con ambas penas (art. 202);</w:t>
      </w:r>
    </w:p>
    <w:p w:rsidR="00000000" w:rsidRDefault="00000000">
      <w:pPr>
        <w:pStyle w:val="SingleTxt"/>
        <w:ind w:firstLine="475"/>
      </w:pPr>
      <w:r>
        <w:t>–</w:t>
      </w:r>
      <w:r>
        <w:tab/>
        <w:t>Todo aquel que establezca o administre locales destinados a la realización de actos de corrupción o prostitución, o preste cualquier clase de asistencia al efe</w:t>
      </w:r>
      <w:r>
        <w:t>c</w:t>
      </w:r>
      <w:r>
        <w:t>to, será castigado con pena de prisión hasta por dos años o multa de hasta 2.000 r</w:t>
      </w:r>
      <w:r>
        <w:t>u</w:t>
      </w:r>
      <w:r>
        <w:t>pias, o con ambas penas (art. 203);</w:t>
      </w:r>
    </w:p>
    <w:p w:rsidR="00000000" w:rsidRDefault="00000000">
      <w:pPr>
        <w:pStyle w:val="SingleTxt"/>
        <w:ind w:firstLine="475"/>
      </w:pPr>
      <w:r>
        <w:t>–</w:t>
      </w:r>
      <w:r>
        <w:tab/>
        <w:t>Todo aquel que abiertamente induzca en un lugar público a cometer un acto de corrupción o prostitución será castigado con pena de prisión hasta por dos años o multa de hasta 2.000 rupias, o con ambas penas. Las mismas penas se aplic</w:t>
      </w:r>
      <w:r>
        <w:t>a</w:t>
      </w:r>
      <w:r>
        <w:t>rán a toda persona que imprima, venda, distribuya o exhiba imágenes, dibujos, m</w:t>
      </w:r>
      <w:r>
        <w:t>o</w:t>
      </w:r>
      <w:r>
        <w:t>delos o cualquier otro artículo que ofenda a la modestia (art. 204).</w:t>
      </w:r>
    </w:p>
    <w:p w:rsidR="00000000" w:rsidRDefault="00000000">
      <w:pPr>
        <w:pStyle w:val="SingleTxt"/>
        <w:ind w:firstLine="475"/>
      </w:pPr>
      <w:r>
        <w:t>De las disposiciones mencionadas surge con evidencia que la explotación de la prostitución de mujeres y niños está prohibida por el Código Penal de Kuwait, que estipula penas más severas para los que competen los actos indicados contra mie</w:t>
      </w:r>
      <w:r>
        <w:t>m</w:t>
      </w:r>
      <w:r>
        <w:t>bros de una de esas categorías.</w:t>
      </w:r>
    </w:p>
    <w:p w:rsidR="00000000" w:rsidRDefault="00000000">
      <w:pPr>
        <w:pStyle w:val="SingleTxt"/>
        <w:ind w:firstLine="475"/>
      </w:pPr>
      <w:r>
        <w:t>Además, Kuwait ha demostrado su preocupación por brindar y promover pr</w:t>
      </w:r>
      <w:r>
        <w:t>o</w:t>
      </w:r>
      <w:r>
        <w:t>gramas de asesoramiento y rehabilitación para quienes cometen actos de violencia, estableciendo un departamento de bienestar para infractores juveniles, que se enca</w:t>
      </w:r>
      <w:r>
        <w:t>r</w:t>
      </w:r>
      <w:r>
        <w:t>ga de atenderlos y fomenta la investigación acerca del asesoramiento y la rehabilit</w:t>
      </w:r>
      <w:r>
        <w:t>a</w:t>
      </w:r>
      <w:r>
        <w:t>ción de infractores juveniles y menores de ambos sexos.</w:t>
      </w:r>
    </w:p>
    <w:p w:rsidR="00000000" w:rsidRDefault="00000000">
      <w:pPr>
        <w:pStyle w:val="SingleTxt"/>
        <w:ind w:firstLine="475"/>
      </w:pPr>
      <w:r>
        <w:t>Asimismo, los distintos medios de comunicación (tanto oficiales como popul</w:t>
      </w:r>
      <w:r>
        <w:t>a</w:t>
      </w:r>
      <w:r>
        <w:t>res) dedican atención a la sensibilización de la sociedad, y de las familias en part</w:t>
      </w:r>
      <w:r>
        <w:t>i</w:t>
      </w:r>
      <w:r>
        <w:t>cular, por conducto de simposios y programas diseñados especialmente en los cuales los expertos examinan las cuestiones y los problemas relacionados con la violencia contra la mujer y los aspectos estereotípicos de las relaciones entre hombres y muj</w:t>
      </w:r>
      <w:r>
        <w:t>e</w:t>
      </w:r>
      <w:r>
        <w:t>res y proponen soluciones apropiadas.</w:t>
      </w:r>
    </w:p>
    <w:p w:rsidR="00000000" w:rsidRDefault="00000000">
      <w:pPr>
        <w:pStyle w:val="SingleTxt"/>
        <w:ind w:firstLine="475"/>
      </w:pPr>
      <w:r>
        <w:t>Kuwait también tiene varios mecanismos institucionales que permiten que las mujeres y las niñas denuncien los actos de violencia que se cometan contra ellas.</w:t>
      </w:r>
    </w:p>
    <w:p w:rsidR="00000000" w:rsidRDefault="00000000">
      <w:pPr>
        <w:pStyle w:val="SingleTxt"/>
        <w:ind w:firstLine="475"/>
      </w:pPr>
      <w:r>
        <w:t>Cabe mencionar que Kuwait ha hecho esfuerzos por adoptar medidas practicas que le han permitido bloquear todas las oportunidades propicias para la realización de prácticas sexuales ilícitas en su territorio, pues las autoridades del Ministerio del Interior han tomado las medidas necesarias para luchar contra el vicio, detener a quienes se dedican a prácticas inmorales y tomar las decisiones necesarias a su re</w:t>
      </w:r>
      <w:r>
        <w:t>s</w:t>
      </w:r>
      <w:r>
        <w:t>pecto. Con tales medidas, el Ministerio se propone luchar contra esos peligrosos males sociales a fin de salvaguardar la moral y los valores de conducta de la soci</w:t>
      </w:r>
      <w:r>
        <w:t>e</w:t>
      </w:r>
      <w:r>
        <w:t>dad, y los esfuerzos concertados realizados en tal sentido han tenido un notable éxito. Sin duda alguna, las medidas adoptadas en esta esfera por las autoridades comp</w:t>
      </w:r>
      <w:r>
        <w:t>e</w:t>
      </w:r>
      <w:r>
        <w:t>tentes reflejan un auténtico deseo de luchar contra esas prácticas ilícitas.</w:t>
      </w:r>
    </w:p>
    <w:p w:rsidR="00000000" w:rsidRDefault="00000000">
      <w:pPr>
        <w:pStyle w:val="SingleTxt"/>
        <w:ind w:firstLine="475"/>
      </w:pPr>
      <w:r>
        <w:t>Kuwait desea destacar que la prostitución y otras prácticas inhumanas no son una tendencia visible en Kuwait. Ello no implica negar que existan. Sin embargo, tienen un alcance limitado y de tanto en tanto son objeto de una severa represión por parte de las autoridades estatales competentes, con el fin de salvaguardar a la soci</w:t>
      </w:r>
      <w:r>
        <w:t>e</w:t>
      </w:r>
      <w:r>
        <w:t>dad en la forma indicada.</w:t>
      </w:r>
    </w:p>
    <w:p w:rsidR="00000000" w:rsidRDefault="00000000">
      <w:pPr>
        <w:pStyle w:val="SingleTxt"/>
        <w:ind w:firstLine="475"/>
      </w:pPr>
      <w:r>
        <w:t>En cuanto al turismo sexual, éste no existe en Kuwait. Tampoco existe la pro</w:t>
      </w:r>
      <w:r>
        <w:t>s</w:t>
      </w:r>
      <w:r>
        <w:t>titución juvenil.</w:t>
      </w:r>
    </w:p>
    <w:p w:rsidR="00000000" w:rsidRDefault="00000000">
      <w:pPr>
        <w:pStyle w:val="SingleTxt"/>
        <w:ind w:firstLine="475"/>
      </w:pPr>
      <w:r>
        <w:t>Con el deseo de brindar mayores salvaguardias y protección legal para la m</w:t>
      </w:r>
      <w:r>
        <w:t>u</w:t>
      </w:r>
      <w:r>
        <w:t>jer, Kuwait ha pasado a ser parte en las convenciones internacionales pertinentes, así como en las que contienen disposiciones que prohíben los actos mencionados, que se indican a continuación:</w:t>
      </w:r>
    </w:p>
    <w:p w:rsidR="00000000" w:rsidRDefault="00000000">
      <w:pPr>
        <w:pStyle w:val="SingleTxt"/>
        <w:numPr>
          <w:ilvl w:val="0"/>
          <w:numId w:val="9"/>
        </w:numPr>
        <w:tabs>
          <w:tab w:val="clear" w:pos="360"/>
          <w:tab w:val="num" w:pos="2102"/>
        </w:tabs>
        <w:ind w:left="2102"/>
      </w:pPr>
      <w:r>
        <w:t>La Convención sobre la Esclavitud, de 1926;</w:t>
      </w:r>
    </w:p>
    <w:p w:rsidR="00000000" w:rsidRDefault="00000000">
      <w:pPr>
        <w:pStyle w:val="SingleTxt"/>
        <w:numPr>
          <w:ilvl w:val="0"/>
          <w:numId w:val="9"/>
        </w:numPr>
        <w:tabs>
          <w:tab w:val="clear" w:pos="360"/>
          <w:tab w:val="num" w:pos="2102"/>
        </w:tabs>
        <w:ind w:left="2102"/>
      </w:pPr>
      <w:r>
        <w:t>La Convención suplementaria sobre la abolición de la esclavitud, la trata de esclavos y las instituciones y prácticas análogas a la esclavitud, de 1929;</w:t>
      </w:r>
    </w:p>
    <w:p w:rsidR="00000000" w:rsidRDefault="00000000">
      <w:pPr>
        <w:pStyle w:val="SingleTxt"/>
        <w:numPr>
          <w:ilvl w:val="0"/>
          <w:numId w:val="9"/>
        </w:numPr>
        <w:tabs>
          <w:tab w:val="clear" w:pos="360"/>
          <w:tab w:val="num" w:pos="2102"/>
        </w:tabs>
        <w:ind w:left="2102"/>
      </w:pPr>
      <w:r>
        <w:t>La Convención para la represión de la trata de personas y de la explotación de la prostitución ajena;</w:t>
      </w:r>
    </w:p>
    <w:p w:rsidR="00000000" w:rsidRDefault="00000000">
      <w:pPr>
        <w:pStyle w:val="SingleTxt"/>
        <w:numPr>
          <w:ilvl w:val="0"/>
          <w:numId w:val="9"/>
        </w:numPr>
        <w:tabs>
          <w:tab w:val="clear" w:pos="360"/>
          <w:tab w:val="num" w:pos="2102"/>
        </w:tabs>
        <w:ind w:left="2102"/>
      </w:pPr>
      <w:r>
        <w:t>El Pacto Internacional de Derechos Civiles y Políticos, en cuyo artículo 8 se declaran prohibidas la esclavitud y la trata de esclavos en todas sus formas;</w:t>
      </w:r>
    </w:p>
    <w:p w:rsidR="00000000" w:rsidRDefault="00000000">
      <w:pPr>
        <w:pStyle w:val="SingleTxt"/>
        <w:numPr>
          <w:ilvl w:val="0"/>
          <w:numId w:val="9"/>
        </w:numPr>
        <w:tabs>
          <w:tab w:val="clear" w:pos="360"/>
          <w:tab w:val="num" w:pos="2102"/>
        </w:tabs>
        <w:ind w:left="2102"/>
      </w:pPr>
      <w:r>
        <w:t>La Convención sobre los Derechos del Niño;</w:t>
      </w:r>
    </w:p>
    <w:p w:rsidR="00000000" w:rsidRDefault="00000000">
      <w:pPr>
        <w:pStyle w:val="SingleTxt"/>
        <w:numPr>
          <w:ilvl w:val="0"/>
          <w:numId w:val="9"/>
        </w:numPr>
        <w:tabs>
          <w:tab w:val="clear" w:pos="360"/>
          <w:tab w:val="num" w:pos="2102"/>
        </w:tabs>
        <w:ind w:left="2102"/>
      </w:pPr>
      <w:r>
        <w:t>La Convención sobre la eliminación de todas las formas de discriminación contra la mujer.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ind w:firstLine="475"/>
        <w:rPr>
          <w:sz w:val="10"/>
        </w:rPr>
      </w:pPr>
    </w:p>
    <w:p w:rsidR="00000000" w:rsidRDefault="00000000">
      <w:pPr>
        <w:pStyle w:val="SingleTxt"/>
        <w:ind w:firstLine="475"/>
      </w:pPr>
      <w:r>
        <w:t>Este artículo dispone que los Estados Partes tomarán todas las medidas apr</w:t>
      </w:r>
      <w:r>
        <w:t>o</w:t>
      </w:r>
      <w:r>
        <w:t>piadas para eliminar la discriminación contra la mujer en la vida política y pública y, en particular, garantizarán a las mujeres, en igualdad de condiciones con los ho</w:t>
      </w:r>
      <w:r>
        <w:t>m</w:t>
      </w:r>
      <w:r>
        <w:t>bres, el derecho a votar en todas las elecciones y referéndums públicos y ser eleg</w:t>
      </w:r>
      <w:r>
        <w:t>i</w:t>
      </w:r>
      <w:r>
        <w:t>bles para todos los organismos cuyos miembros sean objeto de elecciones públicas; a participar en la formulación de las políticas gubernamentales y en la ejecución de éstas, y ocupar cargos públicos y ejercer todas las funciones públicas en todos los planos gubernamentales, así como a participar en organizaciones y en asociaciones no gubernamentales que se ocupen de la vida pública y política del país.</w:t>
      </w:r>
    </w:p>
    <w:p w:rsidR="00000000" w:rsidRDefault="00000000">
      <w:pPr>
        <w:pStyle w:val="SingleTxt"/>
        <w:ind w:firstLine="475"/>
      </w:pPr>
      <w:r>
        <w:t>Sobre este tema, antes de exponer el marco jurídico con arreglo al cual se g</w:t>
      </w:r>
      <w:r>
        <w:t>a</w:t>
      </w:r>
      <w:r>
        <w:t>rantizan los derechos mencionados, Kuwait desea señalar que, cuando ratificó la Convención sobre la eliminación de todas las formas de discriminación contra la mujer, formuló una reserva al apartado a) de este artículo. A este respecto, desearía mencionar la iniciativa de Su Alteza el Emir de Kuwait, Jeque Jaber Al-Ahmad Al-Sabah, que dictó un Decreto del Emir por el que se otorgaba a las mujeres la plen</w:t>
      </w:r>
      <w:r>
        <w:t>i</w:t>
      </w:r>
      <w:r>
        <w:t>tud de los derechos políticos a votar y ser candidatas a la elección para los consejos parlamentarios, en virtud del cual el 12 de mayo de 1999 se promulgó el Decreto Legi</w:t>
      </w:r>
      <w:r>
        <w:t>s</w:t>
      </w:r>
      <w:r>
        <w:t>lativo N° 9/1999.</w:t>
      </w:r>
    </w:p>
    <w:p w:rsidR="00000000" w:rsidRDefault="00000000">
      <w:pPr>
        <w:pStyle w:val="SingleTxt"/>
        <w:ind w:firstLine="475"/>
      </w:pPr>
      <w:r>
        <w:t>El Decreto Legislativo fue promulgado durante el período en el cual la Asa</w:t>
      </w:r>
      <w:r>
        <w:t>m</w:t>
      </w:r>
      <w:r>
        <w:t>blea Nacional estaba disuelta de conformidad con la Constitución. Cuando fue pr</w:t>
      </w:r>
      <w:r>
        <w:t>e</w:t>
      </w:r>
      <w:r>
        <w:t>sentado a la Asamblea Nacional, la mayoría de los miembros votó en contra de él, y consiguientemente quedó revocado. Sin embargo, ello no impidió que varios indiv</w:t>
      </w:r>
      <w:r>
        <w:t>i</w:t>
      </w:r>
      <w:r>
        <w:t>duos y organismos interesados continuaran sus esfuerzos e iniciaran varios juicios, el más reciente de los cuales fue el Caso N° 358 de 2000, que fue desechado por el tribunal.</w:t>
      </w:r>
    </w:p>
    <w:p w:rsidR="00000000" w:rsidRDefault="00000000">
      <w:pPr>
        <w:pStyle w:val="SingleTxt"/>
        <w:ind w:firstLine="475"/>
      </w:pPr>
      <w:r>
        <w:t>La Corte Constitucional ha considerado casos sobre esta cuestión, que le fu</w:t>
      </w:r>
      <w:r>
        <w:t>e</w:t>
      </w:r>
      <w:r>
        <w:t>ron remitidos por el Tribunal Administrativo. Ninguno de los fallos que dictó, emp</w:t>
      </w:r>
      <w:r>
        <w:t>e</w:t>
      </w:r>
      <w:r>
        <w:t>ro, llegó a analizar el fondo de dichos casos, que fueron desechados por errores fo</w:t>
      </w:r>
      <w:r>
        <w:t>r</w:t>
      </w:r>
      <w:r>
        <w:t>males en cuanto a la manera en que fueron presentados.</w:t>
      </w:r>
    </w:p>
    <w:p w:rsidR="00000000" w:rsidRDefault="00000000">
      <w:pPr>
        <w:pStyle w:val="SingleTxt"/>
        <w:ind w:firstLine="475"/>
      </w:pPr>
      <w:r>
        <w:t>En relación con los derechos mencionados en el apartado b), cabe destacar que en Kuwait las mujeres están en un pie de igualdad con los hombres en lo tocante a la designación para cargos públicos y a los derechos y obligaciones inherentes a los cargos, de conformidad con lo dispuesto en la Constitución de Kuwait y en las leyes laborales en vigor en el país.</w:t>
      </w:r>
    </w:p>
    <w:p w:rsidR="00000000" w:rsidRDefault="00000000">
      <w:pPr>
        <w:pStyle w:val="SingleTxt"/>
        <w:ind w:firstLine="475"/>
      </w:pPr>
      <w:r>
        <w:t>Con arreglo al artículo 26 de la Constitución, tienen derecho a ocupar cargos públicos los ciudadanos y las ciudadanas, sin distinción ni discriminación alguna. En el artículo se estipula que los cargos públicos constituyen un servicio nacional encomendado a quienes los desempeñen y que los funcionarios públicos desempeñ</w:t>
      </w:r>
      <w:r>
        <w:t>a</w:t>
      </w:r>
      <w:r>
        <w:t>rán sus funciones con el fin de satisfacer el interés público.</w:t>
      </w:r>
    </w:p>
    <w:p w:rsidR="00000000" w:rsidRDefault="00000000">
      <w:pPr>
        <w:pStyle w:val="SingleTxt"/>
        <w:ind w:firstLine="475"/>
      </w:pPr>
      <w:r>
        <w:t>De conformidad con esa disposición constitucional, se promulgaron las leyes que rigen la función pública. Además, esas leyes no violan en modo alguno el pri</w:t>
      </w:r>
      <w:r>
        <w:t>n</w:t>
      </w:r>
      <w:r>
        <w:t>cipio constitucional establecido en el artículo 29 de la Constitución, que proclama la igualdad en relación con la dignidad humana y con los derechos y obligaciones p</w:t>
      </w:r>
      <w:r>
        <w:t>ú</w:t>
      </w:r>
      <w:r>
        <w:t>blicos, sin distinción alguna por motivos de sexo, origen, idioma o religión. Sin e</w:t>
      </w:r>
      <w:r>
        <w:t>m</w:t>
      </w:r>
      <w:r>
        <w:t>bargo, dichas leyes contienen algunas concesiones para las mujeres, que reflejan la convicción de la legislatura acerca de sus papeles como madres, amas de casa y formadoras de las generaciones futuras, sin perjuicio de mantener intactos sus der</w:t>
      </w:r>
      <w:r>
        <w:t>e</w:t>
      </w:r>
      <w:r>
        <w:t>chos en materia de empleo. En los comentarios relacionados con el artículo 11 se brindará una completa explicación de las leyes laborales en vigor, junto con info</w:t>
      </w:r>
      <w:r>
        <w:t>r</w:t>
      </w:r>
      <w:r>
        <w:t>mación acerca de los derechos de que gozan las mujeres y de su condición en los sectores gubernamental y privado.</w:t>
      </w:r>
    </w:p>
    <w:p w:rsidR="00000000" w:rsidRDefault="00000000">
      <w:pPr>
        <w:pStyle w:val="SingleTxt"/>
        <w:ind w:firstLine="475"/>
      </w:pPr>
      <w:r>
        <w:t>Kuwait ha hecho grandes esfuerzos por crear una fuerza de trabajo consciente en los diversos sectores de empleo, y las mujeres, que representan la mitad de la s</w:t>
      </w:r>
      <w:r>
        <w:t>o</w:t>
      </w:r>
      <w:r>
        <w:t>ciedad, gozan de todos los derechos garantizados por la Constitución y las leyes pertinentes. Por consiguiente, las mujeres tienen la oportunidad de ascender hasta el más alto cargo en la escala del empleo, y han logrado éxitos y distinciones en mat</w:t>
      </w:r>
      <w:r>
        <w:t>e</w:t>
      </w:r>
      <w:r>
        <w:t>ria de empleo y en la asunción de puestos de alta jerarquía, tanto en el sector gube</w:t>
      </w:r>
      <w:r>
        <w:t>r</w:t>
      </w:r>
      <w:r>
        <w:t>namental como en el privado.</w:t>
      </w:r>
    </w:p>
    <w:p w:rsidR="00000000" w:rsidRDefault="00000000">
      <w:pPr>
        <w:pStyle w:val="SingleTxt"/>
        <w:ind w:firstLine="475"/>
      </w:pPr>
      <w:r>
        <w:t>De todos modos, existen algunos factores que inciden en la determinación de las tasas de participación de la mujer en el mercado de trabajo; a continuación se i</w:t>
      </w:r>
      <w:r>
        <w:t>n</w:t>
      </w:r>
      <w:r>
        <w:t>dican los principales.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Situación educacional</w:t>
      </w:r>
    </w:p>
    <w:p w:rsidR="00000000" w:rsidRDefault="00000000">
      <w:pPr>
        <w:pStyle w:val="SingleTxt"/>
        <w:spacing w:after="0" w:line="120" w:lineRule="exact"/>
        <w:ind w:firstLine="475"/>
        <w:rPr>
          <w:sz w:val="10"/>
        </w:rPr>
      </w:pPr>
    </w:p>
    <w:p w:rsidR="00000000" w:rsidRDefault="00000000">
      <w:pPr>
        <w:pStyle w:val="SingleTxt"/>
        <w:ind w:firstLine="475"/>
      </w:pPr>
      <w:r>
        <w:t>Es bien sabido que la situación educacional afecta al ingreso de las mujeres en el mercado de trabajo. Por consiguiente, el descenso de las tasas de alfabetización femenina es un factor que ha influido en lo tocante a una mayor contribución de las mujeres a la fuerza de trabajo. En 1993, un promedio del 30% de las mujeres que integraban la fuerza de trabajo femenina tenían títulos universitarios, y el 21,5% t</w:t>
      </w:r>
      <w:r>
        <w:t>e</w:t>
      </w:r>
      <w:r>
        <w:t>nían diplomas intermedios. Otro 15,7% de las trabajadoras tenían certificados gen</w:t>
      </w:r>
      <w:r>
        <w:t>e</w:t>
      </w:r>
      <w:r>
        <w:t>rales de enseñanza secundaria, y el 25,9% tenían certificados de estudios postsecu</w:t>
      </w:r>
      <w:r>
        <w:t>n</w:t>
      </w:r>
      <w:r>
        <w:t>d</w:t>
      </w:r>
      <w:r>
        <w:t>a</w:t>
      </w:r>
      <w:r>
        <w:t>rios.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Matrimonio</w:t>
      </w:r>
    </w:p>
    <w:p w:rsidR="00000000" w:rsidRDefault="00000000">
      <w:pPr>
        <w:pStyle w:val="SingleTxt"/>
        <w:spacing w:after="0" w:line="120" w:lineRule="exact"/>
        <w:ind w:firstLine="475"/>
        <w:rPr>
          <w:sz w:val="10"/>
        </w:rPr>
      </w:pPr>
    </w:p>
    <w:p w:rsidR="00000000" w:rsidRDefault="00000000">
      <w:pPr>
        <w:pStyle w:val="SingleTxt"/>
        <w:ind w:firstLine="475"/>
      </w:pPr>
      <w:r>
        <w:t>El matrimonio afecta a la cantidad de mujeres que participan en la fuerza de trabajo, en la cual es mayor la contribución de las mujeres solteras que la de las c</w:t>
      </w:r>
      <w:r>
        <w:t>a</w:t>
      </w:r>
      <w:r>
        <w:t>sadas en el grupo de edad de más de 35 años, pues las mujeres casadas se hacen ca</w:t>
      </w:r>
      <w:r>
        <w:t>r</w:t>
      </w:r>
      <w:r>
        <w:t>go de las tareas domésticas y de la responsabilidad por el marido y los hijos. Por consiguiente, prefieren estar libres para ocuparse de los asuntos familiares.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w:t>
      </w:r>
      <w:r>
        <w:tab/>
        <w:t>Costumbres y tradiciones</w:t>
      </w:r>
    </w:p>
    <w:p w:rsidR="00000000" w:rsidRDefault="00000000">
      <w:pPr>
        <w:pStyle w:val="SingleTxt"/>
        <w:spacing w:after="0" w:line="120" w:lineRule="exact"/>
        <w:ind w:firstLine="475"/>
        <w:rPr>
          <w:sz w:val="10"/>
        </w:rPr>
      </w:pPr>
    </w:p>
    <w:p w:rsidR="00000000" w:rsidRDefault="00000000">
      <w:pPr>
        <w:pStyle w:val="SingleTxt"/>
        <w:ind w:firstLine="475"/>
      </w:pPr>
      <w:r>
        <w:t>Las tradiciones y costumbres sociales fueron una de las razones por las cuales la entrada de las mujeres en el mercado de trabajo se demoró hasta el resurgimiento de la educación a comienzos del decenio de 1960, época en la cual las mujeres p</w:t>
      </w:r>
      <w:r>
        <w:t>u</w:t>
      </w:r>
      <w:r>
        <w:t>dieron establecer su presencia en la sociedad e irrumpieron en las distintas esferas de empleo para ocupar su lugar junto con los hombres. Las tasas cada vez mayores de progreso económico, el renacimiento cultural y de los medios de comunicación y la elevación del nivel educacional de las mujeres indudablemente constituyeron factores que determinaron un cambio en las costumbres y tradiciones que anterio</w:t>
      </w:r>
      <w:r>
        <w:t>r</w:t>
      </w:r>
      <w:r>
        <w:t>mente habían obstado a la participación de las mujeres en el mercado de trabajo.</w:t>
      </w:r>
    </w:p>
    <w:p w:rsidR="00000000" w:rsidRDefault="00000000">
      <w:pPr>
        <w:pStyle w:val="SingleTxt"/>
        <w:ind w:firstLine="475"/>
      </w:pPr>
      <w:r>
        <w:rPr>
          <w:i/>
        </w:rPr>
        <w:t>1.</w:t>
      </w:r>
      <w:r>
        <w:rPr>
          <w:i/>
        </w:rPr>
        <w:tab/>
        <w:t>Retiro temprano</w:t>
      </w:r>
    </w:p>
    <w:p w:rsidR="00000000" w:rsidRDefault="00000000">
      <w:pPr>
        <w:pStyle w:val="SingleTxt"/>
        <w:ind w:firstLine="475"/>
      </w:pPr>
      <w:r>
        <w:t>Los datos sobre las pautas de retiro en algunos sectores de empleo indican que las mujeres tienden a retirarse tempranamente y a una edad menor que los hombres. Los datos sobre el retiro temprano de las mujeres indican que el fenómeno está c</w:t>
      </w:r>
      <w:r>
        <w:t>o</w:t>
      </w:r>
      <w:r>
        <w:t>menzando a crecer, dado que la cantidad de retiros tempranos de mujeres se ha el</w:t>
      </w:r>
      <w:r>
        <w:t>e</w:t>
      </w:r>
      <w:r>
        <w:t>vado de 582 en 1988 a 983 en 1993.</w:t>
      </w:r>
    </w:p>
    <w:p w:rsidR="00000000" w:rsidRDefault="00000000">
      <w:pPr>
        <w:pStyle w:val="SingleTxt"/>
        <w:ind w:firstLine="475"/>
      </w:pPr>
      <w:r>
        <w:t>Por consiguiente, las autoridades competentes se apresuraron a estudiar las r</w:t>
      </w:r>
      <w:r>
        <w:t>a</w:t>
      </w:r>
      <w:r>
        <w:t>zones de tal fenómeno realizando numerosos estudios sobre el terreno sobre los factores causales que alentaban a las mujeres a dejar tempranamente el trabajo, por ejemplo, factores administrativos y organizacionales y factores relacionados con el ambiente de trabajo y las prestaciones de retiro, además de la salud y los factores personales, todos los cuales influyen en la decisión de optar por un retiro temprano.</w:t>
      </w:r>
    </w:p>
    <w:p w:rsidR="00000000" w:rsidRDefault="00000000">
      <w:pPr>
        <w:pStyle w:val="SingleTxt"/>
        <w:ind w:firstLine="475"/>
      </w:pPr>
      <w:r>
        <w:t>En lo tocante a la participación de las mujeres kuwaitíes en cargos de autoridad y adopción de decisiones en todos los niveles, debería señalarse que la naturaleza de la sociedad kuwaití y las leyes en vigor han ayudado a elevar la participación de la mujer en las distintas esferas de desarrollo y la contribución a dichas esferas. La igualdad entre hombres y mujeres fue establecida como un principio en la Constit</w:t>
      </w:r>
      <w:r>
        <w:t>u</w:t>
      </w:r>
      <w:r>
        <w:t>ción de Kuwait y las leyes en vigor con el fin de incrementar la contribución de la mujer a los distintos sectores de empleo y su asunción de cargos de responsabilidad y adopción de decisiones en todos los niveles locales e internacionales.</w:t>
      </w:r>
    </w:p>
    <w:p w:rsidR="00000000" w:rsidRDefault="00000000">
      <w:pPr>
        <w:pStyle w:val="SingleTxt"/>
        <w:ind w:firstLine="475"/>
      </w:pPr>
      <w:r>
        <w:t>Los nombramientos y los ascensos a cargos de jerarquía se hacen en todos los casos cuando se reúnen las condiciones necesarias. Cada uno de los casos es tratado sin preconceptos a la luz de las normas y reglamentaciones generales estipuladas en la Ley sobre la función pública y las normas y reglamentaciones administrativas aplicadas en otros sectores de empleo. En la adopción de decisiones no se tiene en cuenta ninguna otra consideración relacionada con el género.</w:t>
      </w:r>
    </w:p>
    <w:p w:rsidR="00000000" w:rsidRDefault="00000000">
      <w:pPr>
        <w:pStyle w:val="SingleTxt"/>
        <w:ind w:firstLine="475"/>
      </w:pPr>
      <w:r>
        <w:t>Va de suyo que todas las comparaciones hechas en tales casos a fin de determ</w:t>
      </w:r>
      <w:r>
        <w:t>i</w:t>
      </w:r>
      <w:r>
        <w:t>nar una preferencia se rigen por el deseo de servir al interés público y respetar el d</w:t>
      </w:r>
      <w:r>
        <w:t>e</w:t>
      </w:r>
      <w:r>
        <w:t>recho de los empleados hombres y mujeres a obtener lo que les corresponde de co</w:t>
      </w:r>
      <w:r>
        <w:t>n</w:t>
      </w:r>
      <w:r>
        <w:t>formidad con los principios de justicia, derecho e igualdad articulados en la Const</w:t>
      </w:r>
      <w:r>
        <w:t>i</w:t>
      </w:r>
      <w:r>
        <w:t>tución.</w:t>
      </w:r>
    </w:p>
    <w:p w:rsidR="00000000" w:rsidRDefault="00000000">
      <w:pPr>
        <w:pStyle w:val="SingleTxt"/>
        <w:ind w:firstLine="475"/>
      </w:pPr>
      <w:r>
        <w:t>A la luz de lo que antecede, todos disponen de oportunidades para el nombr</w:t>
      </w:r>
      <w:r>
        <w:t>a</w:t>
      </w:r>
      <w:r>
        <w:t>miento y el ascenso a cargos de jerarquía, independientemente del género, siempre que se hayan reunido las condiciones prescritas por las leyes pertinentes.</w:t>
      </w:r>
    </w:p>
    <w:p w:rsidR="00000000" w:rsidRDefault="00000000">
      <w:pPr>
        <w:pStyle w:val="SingleTxt"/>
        <w:ind w:firstLine="475"/>
      </w:pPr>
      <w:r>
        <w:t>Sobre esa base, las mujeres kuwaitíes han ido progresando gradualmente hasta llegar a posiciones de jerarquía en armonía con la naturaleza de la sociedad kuwaití, el desarrollo y el crecimiento del papel de las mujeres y su aporte a las cuestiones relacionadas con el desarrollo en su sociedad. Consiguientemente, las mujeres k</w:t>
      </w:r>
      <w:r>
        <w:t>u</w:t>
      </w:r>
      <w:r>
        <w:t>waitíes han ocupado varios cargos de jerarquía, incluso, los de rectora de univers</w:t>
      </w:r>
      <w:r>
        <w:t>i</w:t>
      </w:r>
      <w:r>
        <w:t>dad, ministra de estado y embajadora. La cantidad de mujeres con cargos admini</w:t>
      </w:r>
      <w:r>
        <w:t>s</w:t>
      </w:r>
      <w:r>
        <w:t>trativos de jerarquía era de 285 en 1993 y 311 en 1997, cosa que indica el ascenso en la condición de la mujer al asumir puestos de jerarquía, así como el hecho de que el liderazgo administrativo ya no está reservado sólo a los hombres. Las mujeres que ocupaban cargos administrativos de jerarquía representaban el 7,6% del total de tr</w:t>
      </w:r>
      <w:r>
        <w:t>a</w:t>
      </w:r>
      <w:r>
        <w:t>bajadores kuwaitíes en 1993.</w:t>
      </w:r>
    </w:p>
    <w:p w:rsidR="00000000" w:rsidRDefault="00000000">
      <w:pPr>
        <w:pStyle w:val="SingleTxt"/>
        <w:ind w:firstLine="475"/>
      </w:pPr>
      <w:r>
        <w:t>En el sector del petróleo, un total de siete mujeres ocupaban puestos de jera</w:t>
      </w:r>
      <w:r>
        <w:t>r</w:t>
      </w:r>
      <w:r>
        <w:t>quía en empresas petroleras, lo que equivale al 14% del total de puestos de esa í</w:t>
      </w:r>
      <w:r>
        <w:t>n</w:t>
      </w:r>
      <w:r>
        <w:t>dole en el sector.</w:t>
      </w:r>
    </w:p>
    <w:p w:rsidR="00000000" w:rsidRDefault="00000000">
      <w:pPr>
        <w:pStyle w:val="SingleTxt"/>
        <w:ind w:firstLine="475"/>
      </w:pPr>
      <w:r>
        <w:t>Además, las mujeres kuwaitíes son actualmente miembros de diversas juntas directivas de bancos, sociedades cooperativas y empresas. Por primera vez se no</w:t>
      </w:r>
      <w:r>
        <w:t>m</w:t>
      </w:r>
      <w:r>
        <w:t>bró a una mujer kuwaití como integrante de la junta directiva de Kuwait Airways, un cargo que durante años había estado reservado a los hombres. Las mujeres también han pasado a integrar sociedades cooperativas, un nombramiento que es el primer paso de esa índole en Kuwait y que deriva de la convicción que tienen quienes oc</w:t>
      </w:r>
      <w:r>
        <w:t>u</w:t>
      </w:r>
      <w:r>
        <w:t>pan puestos de responsabilidad de que las mujeres kuwaitíes son capaces de hacer una constante contribución y obtener los mayores éxitos en esta esfera. Asimismo han pasado a integrar las juntas directivas de la Asociación de Abogados de Kuwait y de la Asociación de Periodistas de Kuwait, y a ocupar la presidencia de diversas empresas privadas y sociedades comerciales y profesionales privadas. Además, a</w:t>
      </w:r>
      <w:r>
        <w:t>l</w:t>
      </w:r>
      <w:r>
        <w:t>gunas mujeres han ocupado el puesto de directora de un semanario, y asimismo eje</w:t>
      </w:r>
      <w:r>
        <w:t>r</w:t>
      </w:r>
      <w:r>
        <w:t>cen las mismas profesiones técnicas que los hombres, entre ellas, la abogacía, la i</w:t>
      </w:r>
      <w:r>
        <w:t>n</w:t>
      </w:r>
      <w:r>
        <w:t>geniería y la medicina.</w:t>
      </w:r>
    </w:p>
    <w:p w:rsidR="00000000" w:rsidRDefault="00000000">
      <w:pPr>
        <w:pStyle w:val="SingleTxt"/>
        <w:ind w:firstLine="475"/>
      </w:pPr>
      <w:r>
        <w:t>Esta mejora en la condición de las mujeres kuwaitíes pone de relieve el hecho de que la sociedad otorga a las mujeres un lugar singular en todos los niveles de adopción de decisiones.</w:t>
      </w:r>
    </w:p>
    <w:p w:rsidR="00000000" w:rsidRDefault="00000000">
      <w:pPr>
        <w:pStyle w:val="SingleTxt"/>
        <w:ind w:firstLine="475"/>
      </w:pPr>
      <w:r>
        <w:t>En lo tocante a la presencia de las mujeres kuwaitíes en niveles de decisión en el sector privado, cabe mencionar que las mujeres kuwaitíes han comenzado a tr</w:t>
      </w:r>
      <w:r>
        <w:t>a</w:t>
      </w:r>
      <w:r>
        <w:t>bajar en instituciones financieras y bancarias, un sector en el que han asumido altos cargos y demostrado su valía. Asimismo han ingresado en el mundo de las inversi</w:t>
      </w:r>
      <w:r>
        <w:t>o</w:t>
      </w:r>
      <w:r>
        <w:t>nes, en el cual la proporción de trabajadoras mujeres que contribuyen al crecimiento económico era del 18,4% en 1998. Las estadísticas indican que la cantidad de muj</w:t>
      </w:r>
      <w:r>
        <w:t>e</w:t>
      </w:r>
      <w:r>
        <w:t>res empleadoras se elevó de 40 en 1980 a 105 en 1992 y 230 en 1997, Ello es prueba de una tendencia creciente a alentar a las mujeres a que dirijan sus propias empresas, si bien la cantidad de mujeres en esta esfera sigue siendo relativamente baja en comparación con la de los hombres.</w:t>
      </w:r>
    </w:p>
    <w:p w:rsidR="00000000" w:rsidRDefault="00000000">
      <w:pPr>
        <w:pStyle w:val="SingleTxt"/>
        <w:ind w:firstLine="475"/>
      </w:pPr>
      <w:r>
        <w:t>Subrayando la importancia de las mujeres y de su condición en la sociedad, la estrategia de desarrollo a largo plazo de Kuwait (1990-2015), adoptada en 1989 por el Consejo Superior de Planificación, también centró la atención en el papel esencial de las mujeres en la sociedad como madres y formadoras de las generaciones fut</w:t>
      </w:r>
      <w:r>
        <w:t>u</w:t>
      </w:r>
      <w:r>
        <w:t>ras, así como en su contribución a la fuerza de trabajo y a los esfuerzos de desarr</w:t>
      </w:r>
      <w:r>
        <w:t>o</w:t>
      </w:r>
      <w:r>
        <w:t>llo, al igual que la Carta Nacional de Reforma y Desarrollo (1992/93-1994/95), el Proyecto de Programa de Trabajo del Gobierno para 1996 y el Plan Quinquenal de Desarrollo Económico y Social (1995/96-1999/2000).</w:t>
      </w:r>
    </w:p>
    <w:p w:rsidR="00000000" w:rsidRDefault="00000000">
      <w:pPr>
        <w:pStyle w:val="SingleTxt"/>
        <w:ind w:firstLine="475"/>
      </w:pPr>
      <w:r>
        <w:t>En lo tocante a la participación de las mujeres kuwaitíes en asociaciones no gubernamentales y sindicatos que participen en la vida pública, se trata de un der</w:t>
      </w:r>
      <w:r>
        <w:t>e</w:t>
      </w:r>
      <w:r>
        <w:t>cho que les garantizan la Constitución de Kuwait y las leyes en vigor, habida cuenta de que el artículo 43 de la Constitución consagra la libertad para formar asociaci</w:t>
      </w:r>
      <w:r>
        <w:t>o</w:t>
      </w:r>
      <w:r>
        <w:t>nes y sindicatos sobre una base nacional y por medios pacíficos de conformidad con las condiciones y los procedimientos que especifique la ley.</w:t>
      </w:r>
    </w:p>
    <w:p w:rsidR="00000000" w:rsidRDefault="00000000">
      <w:pPr>
        <w:pStyle w:val="SingleTxt"/>
        <w:ind w:firstLine="475"/>
      </w:pPr>
      <w:r>
        <w:t>En aplicación de dicha disposición constitucional, el Estado promulgó la Ley N° 24 de 1962, que regula el establecimiento de clubes y asociaciones de interés p</w:t>
      </w:r>
      <w:r>
        <w:t>ú</w:t>
      </w:r>
      <w:r>
        <w:t>blico en Kuwait. El artículo 1 de dicha Ley define lo que se entiende por clubes y asociaciones de interés público y asimismo regula la forma en que se establecen y las condiciones que deben cumplirse a ese respecto. Otras disposiciones se refieren a la gestión, la financiación y la disolución de dichos clubes y asociaciones.</w:t>
      </w:r>
    </w:p>
    <w:p w:rsidR="00000000" w:rsidRDefault="00000000">
      <w:pPr>
        <w:pStyle w:val="SingleTxt"/>
        <w:ind w:firstLine="475"/>
      </w:pPr>
      <w:r>
        <w:t xml:space="preserve">No cabe duda de que ni el papel de la mujer en los esfuerzos de desarrollo ni su contribución al servicio de la sociedad son meramente función de su </w:t>
      </w:r>
      <w:r>
        <w:br/>
        <w:t>participación en trabajos remunerados, Por el contrario, ambos son también función de su efectiva participación en asociaciones privadas de mujeres dedicadas al trabajo voluntario y los servicios sociales, teniendo presente que se considera que tales asociaciones son valiosas para el país en razón de su aptitud para lograr objetivos culturales, sociales, artísticos y vocacionales mediante los programas y actividades que supervisan o en los que participan. Consiguientemente, las energías de las mujeres que las integran se invierten en una forma que contribuye a los esfuerzos por el desarrollo. Además, el Estado alienta a las mujeres a establecer sociedades de mujeres que trabajen por mejorar la condición social, cultural y económica de la mujer y fortalecer su papel en la sociedad.</w:t>
      </w:r>
    </w:p>
    <w:p w:rsidR="00000000" w:rsidRDefault="00000000">
      <w:pPr>
        <w:pStyle w:val="SingleTxt"/>
        <w:ind w:firstLine="475"/>
      </w:pPr>
      <w:r>
        <w:t>En Kuwait hay 55 asociaciones privadas de interés público que reciben apoyo financiero y técnico del Ministerio de Asuntos Sociales y Trabajo. Sus actividades comprenden desde los ámbitos vocacional, cultural, social, religioso y económico hasta otros de carácter instructivo, como las que realizan las asociaciones ambie</w:t>
      </w:r>
      <w:r>
        <w:t>n</w:t>
      </w:r>
      <w:r>
        <w:t>tales, las asociaciones de lucha contra el tabaquismo y el SIDA y las asociaciones que se ocupan de cuestiones de seguridad. Asimismo hay 31 federaciones y clubes deportivos, todos los cuales se proponen fomentar la educación deportiva y sus a</w:t>
      </w:r>
      <w:r>
        <w:t>s</w:t>
      </w:r>
      <w:r>
        <w:t xml:space="preserve">pectos culturales, sociales y espirituales conexos, así como organizar servicios para que sus miembros empleen su tiempo libre de formas que redunde en su beneficio. Cabe mencionar que tanto hombres como mujeres pueden ser miembros de dichas asociaciones, y que entre los integrantes de las juntas directivas de las asociaciones, como la Asociación de Periodistas de Kuwait, hay mujeres kuwaitíes. </w:t>
      </w:r>
    </w:p>
    <w:p w:rsidR="00000000" w:rsidRDefault="00000000">
      <w:pPr>
        <w:pStyle w:val="SingleTxt"/>
        <w:ind w:firstLine="475"/>
      </w:pPr>
      <w:r>
        <w:t>Entre las asociaciones de interés público que se mencionaron hay cinco asoci</w:t>
      </w:r>
      <w:r>
        <w:t>a</w:t>
      </w:r>
      <w:r>
        <w:t>ciones de mujeres:</w:t>
      </w:r>
    </w:p>
    <w:p w:rsidR="00000000" w:rsidRDefault="00000000">
      <w:pPr>
        <w:pStyle w:val="SingleTxt"/>
        <w:ind w:firstLine="475"/>
      </w:pPr>
      <w:r>
        <w:t>–</w:t>
      </w:r>
      <w:r>
        <w:tab/>
        <w:t>La Federación Kuwaití de Mujeres, que fue establecida en 1994 para fortalecer la condición de la mujer en relación con los aportes al trabajo social y voluntario, la coordinación de dicho trabajo y la participación en él mediante las a</w:t>
      </w:r>
      <w:r>
        <w:t>c</w:t>
      </w:r>
      <w:r>
        <w:t>tividades de la Federación en el país y en el extranjero, inclusive mediante la part</w:t>
      </w:r>
      <w:r>
        <w:t>i</w:t>
      </w:r>
      <w:r>
        <w:t>cipación en la Conferencia Internacional sobre la Población y el Desarrollo y en las reuniones del Consorcio de Organizaciones No Gubernamentales de Mujeres, que tuvieron lugar en Beijing, así como mediante la asistencia como observadora a la Cuarta Co</w:t>
      </w:r>
      <w:r>
        <w:t>n</w:t>
      </w:r>
      <w:r>
        <w:t>ferencia Mundial sobre la Mujer, celebrada en Beijing;</w:t>
      </w:r>
    </w:p>
    <w:p w:rsidR="00000000" w:rsidRDefault="00000000">
      <w:pPr>
        <w:pStyle w:val="SingleTxt"/>
        <w:ind w:firstLine="475"/>
      </w:pPr>
      <w:r>
        <w:t>–</w:t>
      </w:r>
      <w:r>
        <w:tab/>
        <w:t>La Asociación Sociocultural de Mujeres;</w:t>
      </w:r>
    </w:p>
    <w:p w:rsidR="00000000" w:rsidRDefault="00000000">
      <w:pPr>
        <w:pStyle w:val="SingleTxt"/>
        <w:ind w:firstLine="475"/>
      </w:pPr>
      <w:r>
        <w:t>–</w:t>
      </w:r>
      <w:r>
        <w:tab/>
        <w:t>La Asociación de Mujeres Bayadir al-Salam (Foros de la Paz);</w:t>
      </w:r>
    </w:p>
    <w:p w:rsidR="00000000" w:rsidRDefault="00000000">
      <w:pPr>
        <w:pStyle w:val="SingleTxt"/>
        <w:ind w:firstLine="475"/>
      </w:pPr>
      <w:r>
        <w:t>–</w:t>
      </w:r>
      <w:r>
        <w:tab/>
        <w:t>La Asociación Islámica de Bienestar;</w:t>
      </w:r>
    </w:p>
    <w:p w:rsidR="00000000" w:rsidRDefault="00000000">
      <w:pPr>
        <w:pStyle w:val="SingleTxt"/>
        <w:ind w:firstLine="475"/>
      </w:pPr>
      <w:r>
        <w:t>–</w:t>
      </w:r>
      <w:r>
        <w:tab/>
        <w:t>El Club de Niñas.</w:t>
      </w:r>
    </w:p>
    <w:p w:rsidR="00000000" w:rsidRDefault="00000000">
      <w:pPr>
        <w:pStyle w:val="SingleTxt"/>
        <w:ind w:firstLine="475"/>
      </w:pPr>
      <w:r>
        <w:t>Esas asociaciones se proponen incrementar la sensibilidad pública respecto de las cuestiones internas y sumarse al apoyo a las causas de la mujer y el niño m</w:t>
      </w:r>
      <w:r>
        <w:t>e</w:t>
      </w:r>
      <w:r>
        <w:t>diante programas, clubes, conferencias y cursos de capacitación encaminados a m</w:t>
      </w:r>
      <w:r>
        <w:t>e</w:t>
      </w:r>
      <w:r>
        <w:t>jorar la condición científica, cultural y social de la mujer en todas las esferas, fort</w:t>
      </w:r>
      <w:r>
        <w:t>a</w:t>
      </w:r>
      <w:r>
        <w:t>lecer los vínculos sociales y coordinar la cooperación social, así como concebir mejores formas de integrar a la mujer en la sociedad y fortalecer su función y su aporte en todos los sectores. En la esfera de la religión, esas asociaciones procuran difundir la cultura de la religión, promover el renacimiento del legado islámico y d</w:t>
      </w:r>
      <w:r>
        <w:t>i</w:t>
      </w:r>
      <w:r>
        <w:t>fundir las verdades y virtudes de la religión musulmana. Asimismo alientan a las mujeres a servir a la sociedad dedicando sus energías a la labor voluntaria y util</w:t>
      </w:r>
      <w:r>
        <w:t>i</w:t>
      </w:r>
      <w:r>
        <w:t>zando su potencial cultural, educacional y técnico con tal fin, en particular las muj</w:t>
      </w:r>
      <w:r>
        <w:t>e</w:t>
      </w:r>
      <w:r>
        <w:t>res que están plenamente dedicadas a los asuntos del hogar y tienen tiempo suf</w:t>
      </w:r>
      <w:r>
        <w:t>i</w:t>
      </w:r>
      <w:r>
        <w:t>ciente para real</w:t>
      </w:r>
      <w:r>
        <w:t>i</w:t>
      </w:r>
      <w:r>
        <w:t>zar trabajos voluntarios.</w:t>
      </w:r>
    </w:p>
    <w:p w:rsidR="00000000" w:rsidRDefault="00000000">
      <w:pPr>
        <w:pStyle w:val="SingleTxt"/>
        <w:ind w:firstLine="475"/>
      </w:pPr>
      <w:r>
        <w:t>Además, a fin de servir a las mujeres y alentarlas a desempeñar su papel fu</w:t>
      </w:r>
      <w:r>
        <w:t>n</w:t>
      </w:r>
      <w:r>
        <w:t>cional en la sociedad, la mayoría de las asociaciones de mujeres abrieron guarderías modelo para el cuidado de los hijos de las madres trabajadoras, quienes consiguie</w:t>
      </w:r>
      <w:r>
        <w:t>n</w:t>
      </w:r>
      <w:r>
        <w:t>temente se sienten más distendidas en el trabajo al tener la seguridad de que sus h</w:t>
      </w:r>
      <w:r>
        <w:t>i</w:t>
      </w:r>
      <w:r>
        <w:t>jos están recibiendo cuidado y atención en esas guarderías.</w:t>
      </w:r>
    </w:p>
    <w:p w:rsidR="00000000" w:rsidRDefault="00000000">
      <w:pPr>
        <w:pStyle w:val="SingleTxt"/>
        <w:ind w:firstLine="475"/>
      </w:pPr>
      <w:r>
        <w:t>Cabe decir que la participación de la mujer en el trabajo voluntario no se limita simplemente al dominio de las asociaciones de mujeres, pues también prestan asi</w:t>
      </w:r>
      <w:r>
        <w:t>s</w:t>
      </w:r>
      <w:r>
        <w:t>tencia a diversas asociaciones privadas que operan en las esferas cultural, social y vocacional. Existen comisiones de mujeres en algunas de esas asociaciones, entre las que figuran la Sociedad Kuwaití de la Media Luna Roja, la Asociación de Abogados de Kuwait, la Sociedad pro Reforma Social, la Sociedad del Renacimiento del Leg</w:t>
      </w:r>
      <w:r>
        <w:t>a</w:t>
      </w:r>
      <w:r>
        <w:t>do Islámico y la Sociedad de Graduados de Kuwait.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ind w:firstLine="475"/>
        <w:rPr>
          <w:sz w:val="10"/>
        </w:rPr>
      </w:pPr>
    </w:p>
    <w:p w:rsidR="00000000" w:rsidRDefault="00000000">
      <w:pPr>
        <w:pStyle w:val="SingleTxt"/>
        <w:ind w:firstLine="475"/>
      </w:pPr>
      <w:r>
        <w:t>Este artículo dispone que los Estados Partes tomarán todas las medidas apr</w:t>
      </w:r>
      <w:r>
        <w:t>o</w:t>
      </w:r>
      <w:r>
        <w:t>piadas para garantizar a la mujer, en igualdad de condiciones con el hombre y sin discriminación alguna, la oportunidad de representar a su gobierno en el plano inte</w:t>
      </w:r>
      <w:r>
        <w:t>r</w:t>
      </w:r>
      <w:r>
        <w:t>nacional y de participar en la labor de las organizaciones internacionales</w:t>
      </w:r>
    </w:p>
    <w:p w:rsidR="00000000" w:rsidRDefault="00000000">
      <w:pPr>
        <w:pStyle w:val="SingleTxt"/>
        <w:ind w:firstLine="475"/>
      </w:pPr>
      <w:r>
        <w:t>En lo tocante a la participación en conferencias y reuniones en los planos i</w:t>
      </w:r>
      <w:r>
        <w:t>n</w:t>
      </w:r>
      <w:r>
        <w:t>ternacional y regional, cabe mencionar que las mujeres kuwaitíes representan a su país en todos los foros internacionales, y lo hacen dignamente. Así pues, han part</w:t>
      </w:r>
      <w:r>
        <w:t>i</w:t>
      </w:r>
      <w:r>
        <w:t>cipado en diversas conferencias internacionales y regionales celebradas en el marco de organizaciones internacionales y regionales, tales como las Naciones Unidas y la Liga de los Estados Árabes. Entre los numerosos ejemplos de participación de muj</w:t>
      </w:r>
      <w:r>
        <w:t>e</w:t>
      </w:r>
      <w:r>
        <w:t>res en reuniones a nivel internacional figuran los siguientes:</w:t>
      </w:r>
    </w:p>
    <w:p w:rsidR="00000000" w:rsidRDefault="00000000">
      <w:pPr>
        <w:pStyle w:val="SingleTxt"/>
        <w:numPr>
          <w:ilvl w:val="0"/>
          <w:numId w:val="10"/>
        </w:numPr>
        <w:tabs>
          <w:tab w:val="clear" w:pos="360"/>
          <w:tab w:val="num" w:pos="2102"/>
        </w:tabs>
        <w:ind w:left="2102"/>
      </w:pPr>
      <w:r>
        <w:t>La Cuarta Conferencia Mundial sobre la Mujer, celebrada en Beijing en 1995;</w:t>
      </w:r>
    </w:p>
    <w:p w:rsidR="00000000" w:rsidRDefault="00000000">
      <w:pPr>
        <w:pStyle w:val="SingleTxt"/>
        <w:numPr>
          <w:ilvl w:val="0"/>
          <w:numId w:val="10"/>
        </w:numPr>
        <w:tabs>
          <w:tab w:val="clear" w:pos="360"/>
          <w:tab w:val="num" w:pos="2102"/>
        </w:tabs>
        <w:ind w:left="2102"/>
      </w:pPr>
      <w:r>
        <w:t>El vigésimo segundo período extraordinario de sesiones de la Asamblea General de las Naciones Unidas sobre la mujer (aplicación de los result</w:t>
      </w:r>
      <w:r>
        <w:t>a</w:t>
      </w:r>
      <w:r>
        <w:t>dos de la Cuarta Conferencia Mundial sobre la Mujer);</w:t>
      </w:r>
    </w:p>
    <w:p w:rsidR="00000000" w:rsidRDefault="00000000">
      <w:pPr>
        <w:pStyle w:val="SingleTxt"/>
        <w:numPr>
          <w:ilvl w:val="0"/>
          <w:numId w:val="10"/>
        </w:numPr>
        <w:tabs>
          <w:tab w:val="clear" w:pos="360"/>
          <w:tab w:val="num" w:pos="2102"/>
        </w:tabs>
        <w:ind w:left="2102"/>
      </w:pPr>
      <w:r>
        <w:t>El vigésimo tercer período extraordinario de sesiones de la Asamblea G</w:t>
      </w:r>
      <w:r>
        <w:t>e</w:t>
      </w:r>
      <w:r>
        <w:t>neral de las Naciones Unidas, titulado "La mujer en el año 2000: igualdad entre los géneros, desarrollo y paz para el siglo XXI", que se celebró del 5 al 9 de junio de 2000;</w:t>
      </w:r>
    </w:p>
    <w:p w:rsidR="00000000" w:rsidRDefault="00000000">
      <w:pPr>
        <w:pStyle w:val="SingleTxt"/>
        <w:numPr>
          <w:ilvl w:val="0"/>
          <w:numId w:val="10"/>
        </w:numPr>
        <w:tabs>
          <w:tab w:val="clear" w:pos="360"/>
          <w:tab w:val="num" w:pos="2102"/>
        </w:tabs>
        <w:ind w:left="2102"/>
      </w:pPr>
      <w:r>
        <w:t>El vigésimo cuarto período extraordinario de sesiones de la Asamblea G</w:t>
      </w:r>
      <w:r>
        <w:t>e</w:t>
      </w:r>
      <w:r>
        <w:t>neral de las Naciones Unidas sobre los resultados de la Cumbre Mundial sobre Desarrollo Social y el futuro: en pos del desarrollo social para todos en el actual proceso de mundialización, que se celebró en Ginebra en junio de 2000;</w:t>
      </w:r>
    </w:p>
    <w:p w:rsidR="00000000" w:rsidRDefault="00000000">
      <w:pPr>
        <w:pStyle w:val="SingleTxt"/>
        <w:numPr>
          <w:ilvl w:val="0"/>
          <w:numId w:val="10"/>
        </w:numPr>
        <w:tabs>
          <w:tab w:val="clear" w:pos="360"/>
          <w:tab w:val="num" w:pos="2102"/>
        </w:tabs>
        <w:ind w:left="2102"/>
      </w:pPr>
      <w:r>
        <w:t>Las reuniones de la Comisión de la Mujer Árabe celebradas en el marco de la Liga de los Estados Árabes;</w:t>
      </w:r>
    </w:p>
    <w:p w:rsidR="00000000" w:rsidRDefault="00000000">
      <w:pPr>
        <w:pStyle w:val="SingleTxt"/>
        <w:numPr>
          <w:ilvl w:val="0"/>
          <w:numId w:val="10"/>
        </w:numPr>
        <w:tabs>
          <w:tab w:val="clear" w:pos="360"/>
          <w:tab w:val="num" w:pos="2102"/>
        </w:tabs>
        <w:ind w:left="2102"/>
      </w:pPr>
      <w:r>
        <w:t>Los períodos de sesiones de la Asamblea General de las Naciones Unidas, que se celebran anualmente entre setiembre y finales de noviembre;</w:t>
      </w:r>
    </w:p>
    <w:p w:rsidR="00000000" w:rsidRDefault="00000000">
      <w:pPr>
        <w:pStyle w:val="SingleTxt"/>
        <w:numPr>
          <w:ilvl w:val="0"/>
          <w:numId w:val="10"/>
        </w:numPr>
        <w:tabs>
          <w:tab w:val="clear" w:pos="360"/>
          <w:tab w:val="num" w:pos="2102"/>
        </w:tabs>
        <w:ind w:left="2102"/>
      </w:pPr>
      <w:r>
        <w:t>La Cumbre de Mujeres Árabes, celebrada en El Cairo del 18 al 20 de n</w:t>
      </w:r>
      <w:r>
        <w:t>o</w:t>
      </w:r>
      <w:r>
        <w:t>viembre de 2000, bajo el lema “Desafíos presentes y perspectivas futuras”.</w:t>
      </w:r>
    </w:p>
    <w:p w:rsidR="00000000" w:rsidRDefault="00000000">
      <w:pPr>
        <w:pStyle w:val="SingleTxt"/>
        <w:ind w:firstLine="475"/>
      </w:pPr>
      <w:r>
        <w:t>Las mujeres kuwaitíes también han ocupado cargos internacionales en las N</w:t>
      </w:r>
      <w:r>
        <w:t>a</w:t>
      </w:r>
      <w:r>
        <w:t>ciones Unidas, entre ellos, los siguientes:</w:t>
      </w:r>
    </w:p>
    <w:p w:rsidR="00000000" w:rsidRDefault="00000000">
      <w:pPr>
        <w:pStyle w:val="SingleTxt"/>
        <w:numPr>
          <w:ilvl w:val="0"/>
          <w:numId w:val="11"/>
        </w:numPr>
        <w:tabs>
          <w:tab w:val="clear" w:pos="360"/>
          <w:tab w:val="num" w:pos="2102"/>
        </w:tabs>
        <w:ind w:left="2102"/>
      </w:pPr>
      <w:r>
        <w:t>Selección de la representante de la educación superior como miembro del Instituto Internacional de Investigaciones y Capacitación para la Prom</w:t>
      </w:r>
      <w:r>
        <w:t>o</w:t>
      </w:r>
      <w:r>
        <w:t>ción de la Mujer (INSTRAW) del 1° de enero de 2000 al 31 de diciembre de 2002;</w:t>
      </w:r>
    </w:p>
    <w:p w:rsidR="00000000" w:rsidRDefault="00000000">
      <w:pPr>
        <w:pStyle w:val="SingleTxt"/>
        <w:numPr>
          <w:ilvl w:val="0"/>
          <w:numId w:val="11"/>
        </w:numPr>
        <w:tabs>
          <w:tab w:val="clear" w:pos="360"/>
          <w:tab w:val="num" w:pos="2102"/>
        </w:tabs>
        <w:ind w:left="2102"/>
      </w:pPr>
      <w:r>
        <w:t>Selección de la rectora de la Universidad de Kuwait, en 1998, para un mandato de seis años como miembro de la Universidad de las Naciones Unidas, para el que fue propuesta por el Secretario General de las Naci</w:t>
      </w:r>
      <w:r>
        <w:t>o</w:t>
      </w:r>
      <w:r>
        <w:t>nes Unidas, Sr. Kofi Annan, sobre la base de su experiencia administrativa y académica;</w:t>
      </w:r>
    </w:p>
    <w:p w:rsidR="00000000" w:rsidRDefault="00000000">
      <w:pPr>
        <w:pStyle w:val="SingleTxt"/>
        <w:numPr>
          <w:ilvl w:val="0"/>
          <w:numId w:val="11"/>
        </w:numPr>
        <w:tabs>
          <w:tab w:val="clear" w:pos="360"/>
          <w:tab w:val="num" w:pos="2102"/>
        </w:tabs>
        <w:ind w:left="2102"/>
      </w:pPr>
      <w:r>
        <w:t>Nombramiento de la Sra. Mariam Al-Awadhi para el cargo de Secretaria Ejecutiva Adjunta de la Comisión Económica y Social para el Asia Occ</w:t>
      </w:r>
      <w:r>
        <w:t>i</w:t>
      </w:r>
      <w:r>
        <w:t>dental (CESPAO);</w:t>
      </w:r>
    </w:p>
    <w:p w:rsidR="00000000" w:rsidRDefault="00000000">
      <w:pPr>
        <w:pStyle w:val="SingleTxt"/>
        <w:numPr>
          <w:ilvl w:val="0"/>
          <w:numId w:val="11"/>
        </w:numPr>
        <w:tabs>
          <w:tab w:val="clear" w:pos="360"/>
          <w:tab w:val="num" w:pos="2102"/>
        </w:tabs>
        <w:ind w:left="2102"/>
      </w:pPr>
      <w:r>
        <w:t>Nombramiento de la Sra. Fatima Jawhar como representante de Kuwait ante la Organización de las Naciones Unidas para la Agricultura y la Al</w:t>
      </w:r>
      <w:r>
        <w:t>i</w:t>
      </w:r>
      <w:r>
        <w:t>mentación (FAO).</w:t>
      </w:r>
    </w:p>
    <w:p w:rsidR="00000000" w:rsidRDefault="00000000">
      <w:pPr>
        <w:pStyle w:val="SingleTxt"/>
        <w:ind w:firstLine="475"/>
      </w:pPr>
      <w:r>
        <w:t>La selección de mujeres kuwaitíes para cargos internacionales es un homenaje a todas las mujeres kuwaitíes y a la posición de vanguardia que tienen en todas las esferas de la vida, además de lo cual demuestra un reconocimiento de su papel en la esfera del desarrollo.</w:t>
      </w:r>
    </w:p>
    <w:p w:rsidR="00000000" w:rsidRDefault="00000000">
      <w:pPr>
        <w:pStyle w:val="SingleTxt"/>
        <w:ind w:firstLine="475"/>
      </w:pPr>
      <w:r>
        <w:t>En Kuwait, el trabajo en el cuerpo diplomático y consular está reservado a los hombres, con la única excepción de la mujer que encabeza la misión diplomática de Kuwait en Viena, que anteriormente fue integrante de la Misión Permanente de K</w:t>
      </w:r>
      <w:r>
        <w:t>u</w:t>
      </w:r>
      <w:r>
        <w:t>wait en Nueva York, luego de lo cual fue designada embajadora de Kuwait en Sud</w:t>
      </w:r>
      <w:r>
        <w:t>á</w:t>
      </w:r>
      <w:r>
        <w:t>frica.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ind w:firstLine="475"/>
        <w:rPr>
          <w:sz w:val="10"/>
        </w:rPr>
      </w:pPr>
    </w:p>
    <w:p w:rsidR="00000000" w:rsidRDefault="00000000">
      <w:pPr>
        <w:pStyle w:val="SingleTxt"/>
        <w:ind w:firstLine="475"/>
      </w:pPr>
      <w:r>
        <w:t>Este artículo se refiere a la igualdad de derechos entre las mujeres y los ho</w:t>
      </w:r>
      <w:r>
        <w:t>m</w:t>
      </w:r>
      <w:r>
        <w:t>bres en lo tocante a la adquisición, el cambio o la conservación de la nacionalidad, así como a los derechos de sus hijos.</w:t>
      </w:r>
    </w:p>
    <w:p w:rsidR="00000000" w:rsidRDefault="00000000">
      <w:pPr>
        <w:pStyle w:val="SingleTxt"/>
        <w:ind w:firstLine="475"/>
      </w:pPr>
      <w:r>
        <w:t>El derecho a la nacionalidad está consagrado en el artículo 27 de la Constit</w:t>
      </w:r>
      <w:r>
        <w:t>u</w:t>
      </w:r>
      <w:r>
        <w:t>ción de Kuwait, que estipula que la nacionalidad kuwaití será definida por la ley y que no se dispondrá la privación ni el retiro de la nacionalidad sino con arreglo a la ley.</w:t>
      </w:r>
    </w:p>
    <w:p w:rsidR="00000000" w:rsidRDefault="00000000">
      <w:pPr>
        <w:pStyle w:val="SingleTxt"/>
        <w:ind w:firstLine="475"/>
      </w:pPr>
      <w:r>
        <w:t>En Kuwait, la nacionalidad kuwaití está regulada por la Ley N° 15 de 1969 s</w:t>
      </w:r>
      <w:r>
        <w:t>o</w:t>
      </w:r>
      <w:r>
        <w:t>bre la nacionalidad, a la que se han introducido varias enmiendas con el fin de r</w:t>
      </w:r>
      <w:r>
        <w:t>e</w:t>
      </w:r>
      <w:r>
        <w:t>glamentar detalladamente las circunstancias relacionadas con la nacionalidad k</w:t>
      </w:r>
      <w:r>
        <w:t>u</w:t>
      </w:r>
      <w:r>
        <w:t>waití y los procedimientos para adquirirla.</w:t>
      </w:r>
    </w:p>
    <w:p w:rsidR="00000000" w:rsidRDefault="00000000">
      <w:pPr>
        <w:pStyle w:val="SingleTxt"/>
        <w:ind w:firstLine="475"/>
      </w:pPr>
      <w:r>
        <w:t>Las disposiciones de dicha Ley ponen en primer plano el principio de la igua</w:t>
      </w:r>
      <w:r>
        <w:t>l</w:t>
      </w:r>
      <w:r>
        <w:t>dad entre hombres y mujeres en todo lo relacionado con la adquisición de la naci</w:t>
      </w:r>
      <w:r>
        <w:t>o</w:t>
      </w:r>
      <w:r>
        <w:t>nalidad kuwaití. Asimismo regulan las consecuencias del matrimonio sobre la n</w:t>
      </w:r>
      <w:r>
        <w:t>a</w:t>
      </w:r>
      <w:r>
        <w:t>cionalidad de las mujeres y los hijos.</w:t>
      </w:r>
    </w:p>
    <w:p w:rsidR="00000000" w:rsidRDefault="00000000">
      <w:pPr>
        <w:pStyle w:val="SingleTxt"/>
        <w:ind w:firstLine="475"/>
      </w:pPr>
      <w:r>
        <w:t>El artículo 1 de la Ley determina quiénes son kuwaitíes disponiendo que lo son, esencialmente, las personas que se establecieron en Kuwait antes de 1920 y mantuvieron su residencia habitual en Kuwait hasta la publicación de la ley.</w:t>
      </w:r>
    </w:p>
    <w:p w:rsidR="00000000" w:rsidRDefault="00000000">
      <w:pPr>
        <w:pStyle w:val="SingleTxt"/>
        <w:ind w:firstLine="475"/>
      </w:pPr>
      <w:r>
        <w:t>El artículo 2 dispone que es kuwaití toda persona nacida en Kuwait o en el e</w:t>
      </w:r>
      <w:r>
        <w:t>x</w:t>
      </w:r>
      <w:r>
        <w:t>tranjero de padre kuwaití. El punto fundamental es que la nacionalidad se adquiere por la sangre y no por el territorio. Por lo tanto, los niños nacidos en Kuwait serán kuwaitíes si su padre es kuwaití. Consiguientemente, lo importante es la nacional</w:t>
      </w:r>
      <w:r>
        <w:t>i</w:t>
      </w:r>
      <w:r>
        <w:t>dad del padre a la fecha del nacimiento. En cambio, no es esencial que el padre esté vivo a la fecha del nacimiento de su hijo o hija.</w:t>
      </w:r>
    </w:p>
    <w:p w:rsidR="00000000" w:rsidRDefault="00000000">
      <w:pPr>
        <w:pStyle w:val="SingleTxt"/>
        <w:ind w:firstLine="475"/>
      </w:pPr>
      <w:r>
        <w:t>El párrafo 2 del artículo 3 de la Ley dispone que un niño tendrá la nacionalidad de su madre kuwaití en los casos en que no se pueda identificar al padre o determ</w:t>
      </w:r>
      <w:r>
        <w:t>i</w:t>
      </w:r>
      <w:r>
        <w:t>nar la nacionalidad de éste. En caso de que el padre sea desconocido, o bien sea c</w:t>
      </w:r>
      <w:r>
        <w:t>o</w:t>
      </w:r>
      <w:r>
        <w:t>nocido pero no se haya establecido legalmente la paternidad, o en caso de que sea conocido y se haya establecido legalmente la paternidad, pero se desconozca su n</w:t>
      </w:r>
      <w:r>
        <w:t>a</w:t>
      </w:r>
      <w:r>
        <w:t>cionalidad, o el padre sea apátrida, el niño mantiene la nacionalidad de su madre kuwaití, y ese vínculo no caduca, de modo que los hijos adquieren la nacionalidad kuwaití por conducto de su madre. En tales casos, la nacionalidad también se a</w:t>
      </w:r>
      <w:r>
        <w:t>d</w:t>
      </w:r>
      <w:r>
        <w:t>quiere por la sangre, pero por conducto de la madre y no del padre,</w:t>
      </w:r>
    </w:p>
    <w:p w:rsidR="00000000" w:rsidRDefault="00000000">
      <w:pPr>
        <w:pStyle w:val="SingleTxt"/>
        <w:ind w:firstLine="475"/>
      </w:pPr>
      <w:r>
        <w:t>El artículo 5 establece que se podrá otorgar la nacionalidad kuwaití a un niño nacido de una mujer kuwaití en caso de que el padre sea un no kuwaití que se haya divorciado irrevocablemente de la madre o haya fallecido. Por ordenanza del M</w:t>
      </w:r>
      <w:r>
        <w:t>i</w:t>
      </w:r>
      <w:r>
        <w:t>nisterio del Interior, los menores que reúnan esas calidades podrán ser tratados como kuwaitíes hasta que lleguen a la mayoría de edad.</w:t>
      </w:r>
    </w:p>
    <w:p w:rsidR="00000000" w:rsidRDefault="00000000">
      <w:pPr>
        <w:pStyle w:val="SingleTxt"/>
        <w:ind w:firstLine="475"/>
      </w:pPr>
      <w:r>
        <w:t>Con arreglo al artículo 7, se otorga la nacionalidad kuwaití a una mujer e</w:t>
      </w:r>
      <w:r>
        <w:t>x</w:t>
      </w:r>
      <w:r>
        <w:t>tranjera casada, que podrá adquirir la nacionalidad kuwaití de conformidad con lo dispuesto en la ley si, dentro del plazo legalmente determinado, declara su voluntad de adquirir la nacionalidad de su marido. Con arreglo al mismo artículo, se otorga la nacionalidad a los hijos menores de un padre naturalizado hasta que lleguen a la mayoría de edad, momento en el cual comienza a correr un plazo de un año durante el cual podrán optar por la adopción de su nacionalidad original.</w:t>
      </w:r>
    </w:p>
    <w:p w:rsidR="00000000" w:rsidRDefault="00000000">
      <w:pPr>
        <w:pStyle w:val="SingleTxt"/>
        <w:ind w:firstLine="475"/>
      </w:pPr>
      <w:r>
        <w:t>Con arreglo al artículo 8, se otorga la nacionalidad kuwaití a la mujer extranj</w:t>
      </w:r>
      <w:r>
        <w:t>e</w:t>
      </w:r>
      <w:r>
        <w:t>ra casada con un nacional kuwaití si declara su voluntad de adquirir dicha nacional</w:t>
      </w:r>
      <w:r>
        <w:t>i</w:t>
      </w:r>
      <w:r>
        <w:t>dad y el matrimonio continúa durante un plazo de cinco años a contar de la fecha en que haya formulado tal declaración de voluntad.</w:t>
      </w:r>
    </w:p>
    <w:p w:rsidR="00000000" w:rsidRDefault="00000000">
      <w:pPr>
        <w:pStyle w:val="SingleTxt"/>
        <w:ind w:firstLine="475"/>
      </w:pPr>
      <w:r>
        <w:t>La mujer casada que adquiera la nacionalidad kuwaití con arreglo a lo di</w:t>
      </w:r>
      <w:r>
        <w:t>s</w:t>
      </w:r>
      <w:r>
        <w:t>puesto en esta Ley no será privada de su nacionalidad aunque el matrimonio se d</w:t>
      </w:r>
      <w:r>
        <w:t>i</w:t>
      </w:r>
      <w:r>
        <w:t>suelva por cualquier razón, como muerte o divorcio, salvo en los dos casos que se estipulan en el artículo 9. El primero de ellos es el restablecimiento de su nacional</w:t>
      </w:r>
      <w:r>
        <w:t>i</w:t>
      </w:r>
      <w:r>
        <w:t>dad original y el segundo el caso de que la mujer adquiera la nacionalidad de otro país e</w:t>
      </w:r>
      <w:r>
        <w:t>x</w:t>
      </w:r>
      <w:r>
        <w:t>tranjero.</w:t>
      </w:r>
    </w:p>
    <w:p w:rsidR="00000000" w:rsidRDefault="00000000">
      <w:pPr>
        <w:pStyle w:val="SingleTxt"/>
        <w:ind w:firstLine="475"/>
      </w:pPr>
      <w:r>
        <w:t>La legislación de Kuwait otorga a las mujeres kuwaitíes casadas con extranj</w:t>
      </w:r>
      <w:r>
        <w:t>e</w:t>
      </w:r>
      <w:r>
        <w:t>ros el derecho a mantener su nacionalidad, que no pierden a menos que tomen la n</w:t>
      </w:r>
      <w:r>
        <w:t>a</w:t>
      </w:r>
      <w:r>
        <w:t>cionalidad de sus maridos, a pedido de ellas mismas (artículo 10). Tampoco se priva de la nacionalidad kuwaití a la mujer kuwaití casada en caso de que su marido opte por adquirir la nacionalidad de un país extranjero, salvo que ella adopte la nacion</w:t>
      </w:r>
      <w:r>
        <w:t>a</w:t>
      </w:r>
      <w:r>
        <w:t>lidad del marido. En cuanto a los hijos menores, pierden su nacionalidad kuwaití en caso de que adquieran la nueva nacionalidad de su padre con arreglo a la ley pert</w:t>
      </w:r>
      <w:r>
        <w:t>i</w:t>
      </w:r>
      <w:r>
        <w:t>nente. Sin embargo, con arreglo a la ley seguirán teniendo la oportunidad de recup</w:t>
      </w:r>
      <w:r>
        <w:t>e</w:t>
      </w:r>
      <w:r>
        <w:t>rar su nacionalidad kuwaití después de llegar a la mayoría de edad, si declaran ante el Ministerio del Interior su voluntad de recuperarla, dentro del plazo de un año contado a partir de la mayoría de edad, en cuyo caso serán considerados kuwaitíes desde el momento en que formulen tal declaración.</w:t>
      </w:r>
    </w:p>
    <w:p w:rsidR="00000000" w:rsidRDefault="00000000">
      <w:pPr>
        <w:pStyle w:val="SingleTxt"/>
        <w:ind w:firstLine="475"/>
      </w:pPr>
      <w:r>
        <w:t>El artículo 12 de la Ley estipula que, mediante una ordenanza del Gabinete adoptada a propuesta del Ministro del Interior, se podrá restablecer la nacionalidad kuwaití a la mujer kuwaití que haya sido privada de su nacionalidad de conformidad con lo dispuesto en la Ley, si dicha mujer renuncia a su nacionalidad de un país e</w:t>
      </w:r>
      <w:r>
        <w:t>x</w:t>
      </w:r>
      <w:r>
        <w:t>tranjero y reside normalmente en Kuwait o regresa al país para residir en él. En tales casos, se considerará que su nacionalidad se ha restablecido desde la fecha en que el Gabinete apruebe el restablecimiento.</w:t>
      </w:r>
    </w:p>
    <w:p w:rsidR="00000000" w:rsidRDefault="00000000">
      <w:pPr>
        <w:pStyle w:val="SingleTxt"/>
        <w:ind w:firstLine="475"/>
      </w:pPr>
      <w:r>
        <w:t>A fin de aplicar las disposiciones contenidas en los artículos citados de la Ley, el Estado adoptó con prontitud varias medidas, entre las que figuran las siguientes:</w:t>
      </w:r>
    </w:p>
    <w:p w:rsidR="00000000" w:rsidRDefault="00000000">
      <w:pPr>
        <w:pStyle w:val="SingleTxt"/>
        <w:ind w:firstLine="475"/>
      </w:pPr>
      <w:r>
        <w:t>–</w:t>
      </w:r>
      <w:r>
        <w:tab/>
        <w:t>La promulgación, el 30 de diciembre de 1997, del Decreto del Emir N° 202 por el que se otorga la nacionalidad kuwaití a los hijos nacidos de una madre kuwa</w:t>
      </w:r>
      <w:r>
        <w:t>i</w:t>
      </w:r>
      <w:r>
        <w:t>tí;</w:t>
      </w:r>
    </w:p>
    <w:p w:rsidR="00000000" w:rsidRDefault="00000000">
      <w:pPr>
        <w:pStyle w:val="SingleTxt"/>
        <w:ind w:firstLine="475"/>
      </w:pPr>
      <w:r>
        <w:t>–</w:t>
      </w:r>
      <w:r>
        <w:tab/>
        <w:t>La promulgación del Decreto del Emir N° 295/98 por el que se otorga la nacionalidad kuwaití a los hijos nacidos de una madre kuwaití;</w:t>
      </w:r>
    </w:p>
    <w:p w:rsidR="00000000" w:rsidRDefault="00000000">
      <w:pPr>
        <w:pStyle w:val="SingleTxt"/>
        <w:ind w:firstLine="475"/>
      </w:pPr>
      <w:r>
        <w:t>–</w:t>
      </w:r>
      <w:r>
        <w:tab/>
        <w:t>La promulgación, el 31 de octubre de 2001, del Decreto del Emir N° 271, por el que se otorga la nacionalidad kuwaití a 279 hijos de madres kuwaitíes divo</w:t>
      </w:r>
      <w:r>
        <w:t>r</w:t>
      </w:r>
      <w:r>
        <w:t>ciadas o de madres kuwaitíes cuyos maridos extranjeros habían fallecido, de co</w:t>
      </w:r>
      <w:r>
        <w:t>n</w:t>
      </w:r>
      <w:r>
        <w:t>formidad con el párrafo 2 del artículo 5 de la Ley sobre la nacionalidad, enmendada por la Ley N° 21 de 2000, promulgada el 3 de junio de 2000.</w:t>
      </w:r>
    </w:p>
    <w:p w:rsidR="00000000" w:rsidRDefault="00000000">
      <w:pPr>
        <w:pStyle w:val="SingleTxt"/>
        <w:ind w:firstLine="475"/>
      </w:pPr>
      <w:r>
        <w:t>En lo tocante a los documentos de viaje de las mujeres, las mujeres kuwaitíes tienen derecho a obtener pasaportes propios. El artículo 1 de la Ley N° 11 de 1962, sobre pasaportes, que regula lo relativo a los pasaportes de Kuwait, estipula que los kuwaitíes no pueden salir de Kuwait ni regresar al país si no tienen pasaporte. El p</w:t>
      </w:r>
      <w:r>
        <w:t>á</w:t>
      </w:r>
      <w:r>
        <w:t>rrafo 3 de dicho artículo, insertado con arreglo a la Ley N° 105 de 1994 por la que se agregó un tercer párrafo al artículo 7 de la Ley N° 11 de 1962, dispone que una mujer no kuwaití casada con un kuwaití podrá obtener un pasaporte a pedido del m</w:t>
      </w:r>
      <w:r>
        <w:t>a</w:t>
      </w:r>
      <w:r>
        <w:t>rido si se reúnen las condiciones determinadas en ese párrafo. El párrafo fue añadido en virtud del deseo de la legislatura de asegurarse de que las mujeres no kuwaitíes recibieran un tratamiento justo, así como para reafirmar los principios de justicia humana y social y evitar los problemas existentes al no permitirse que las mujeres no kuwaitíes casadas con kuwaitíes tuvieran pasaportes separados.</w:t>
      </w:r>
    </w:p>
    <w:p w:rsidR="00000000" w:rsidRDefault="00000000">
      <w:pPr>
        <w:pStyle w:val="SingleTxt"/>
        <w:ind w:firstLine="475"/>
      </w:pPr>
      <w:r>
        <w:t>El artículo 17 estipula que se otorgarán pasaportes a las personas que tengan la nacionalidad kuwaití de conformidad con lo dispuesto en la Ley sobre nacionalidad en vigor en la fecha en que se expida el pasaporte.</w:t>
      </w:r>
    </w:p>
    <w:p w:rsidR="00000000" w:rsidRDefault="00000000">
      <w:pPr>
        <w:pStyle w:val="SingleTxt"/>
        <w:ind w:firstLine="475"/>
      </w:pPr>
      <w:r>
        <w:t>Con arreglo al artículo 15 de la Ley, el consentimiento previo del marido es un requisito necesario para habilitar a su mujer a obtener un pasaporte separado; en el artículo se estipula que no se podrá otorgar a una mujer casada un pasaporte separ</w:t>
      </w:r>
      <w:r>
        <w:t>a</w:t>
      </w:r>
      <w:r>
        <w:t>do sin el consentimiento de su marido, y que no se podrán otorgar pasaportes sep</w:t>
      </w:r>
      <w:r>
        <w:t>a</w:t>
      </w:r>
      <w:r>
        <w:t>rados a las personas legalmente incapaces sin el consentimiento de sus representa</w:t>
      </w:r>
      <w:r>
        <w:t>n</w:t>
      </w:r>
      <w:r>
        <w:t>tes legales.</w:t>
      </w:r>
    </w:p>
    <w:p w:rsidR="00000000" w:rsidRDefault="00000000">
      <w:pPr>
        <w:pStyle w:val="SingleTxt"/>
        <w:ind w:firstLine="475"/>
      </w:pPr>
      <w:r>
        <w:t>Con arreglo al artículo 14, en los pasaportes se podrá incluir, en el momento de su expedición, a la mujer del titular del pasaporte y a cualquiera de sus hijos men</w:t>
      </w:r>
      <w:r>
        <w:t>o</w:t>
      </w:r>
      <w:r>
        <w:t>res de 18 años de edad si lo acompañan en su viaje. A pedido del titular del pas</w:t>
      </w:r>
      <w:r>
        <w:t>a</w:t>
      </w:r>
      <w:r>
        <w:t>porte, también se podrán añadir a un pasaporte después de su expedición el nombre de su mujer y de sus hijos menores de 18 años.</w:t>
      </w:r>
    </w:p>
    <w:p w:rsidR="00000000" w:rsidRDefault="00000000">
      <w:pPr>
        <w:pStyle w:val="SingleTxt"/>
        <w:ind w:firstLine="475"/>
      </w:pPr>
      <w:r>
        <w:t>De lo que antecede se desprende claramente que la Ley sobre la nacionalidad kuwaití contiene disposiciones compatibles con el artículo 9 de la Convención en relación con los derechos de la mujer a adquirir la nacionalidad, a mantener su n</w:t>
      </w:r>
      <w:r>
        <w:t>a</w:t>
      </w:r>
      <w:r>
        <w:t>cionalidad después del matrimonio y a no ser privada de su nacionalidad si su mar</w:t>
      </w:r>
      <w:r>
        <w:t>i</w:t>
      </w:r>
      <w:r>
        <w:t>do adopta otra nacionalidad, y asimismo garantiza otros derechos.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ind w:firstLine="475"/>
        <w:rPr>
          <w:sz w:val="10"/>
        </w:rPr>
      </w:pPr>
    </w:p>
    <w:p w:rsidR="00000000" w:rsidRDefault="00000000">
      <w:pPr>
        <w:pStyle w:val="SingleTxt"/>
        <w:ind w:firstLine="475"/>
      </w:pPr>
      <w:r>
        <w:t>El artículo 10 se refiere al derecho a la educación y dispone que los Estados Partes adoptarán todas las medidas apropiadas para eliminar la discriminación co</w:t>
      </w:r>
      <w:r>
        <w:t>n</w:t>
      </w:r>
      <w:r>
        <w:t>tra la mujer en esa esfera.</w:t>
      </w:r>
    </w:p>
    <w:p w:rsidR="00000000" w:rsidRDefault="00000000">
      <w:pPr>
        <w:pStyle w:val="SingleTxt"/>
        <w:ind w:firstLine="475"/>
      </w:pPr>
      <w:r>
        <w:t>Con arreglo a la sección 2 de la Constitución de Kuwait, relativa a los el</w:t>
      </w:r>
      <w:r>
        <w:t>e</w:t>
      </w:r>
      <w:r>
        <w:t>mentos constitutivos fundamentales de la sociedad kuwaití, la educación es uno de dichos elementos. El artículo 13 dispone lo siguiente: “La educación, que es un r</w:t>
      </w:r>
      <w:r>
        <w:t>e</w:t>
      </w:r>
      <w:r>
        <w:t>quisito fundamental para el progreso social, será garantizada y promovida por el Est</w:t>
      </w:r>
      <w:r>
        <w:t>a</w:t>
      </w:r>
      <w:r>
        <w:t>do.”</w:t>
      </w:r>
    </w:p>
    <w:p w:rsidR="00000000" w:rsidRDefault="00000000">
      <w:pPr>
        <w:pStyle w:val="SingleTxt"/>
        <w:ind w:firstLine="475"/>
      </w:pPr>
      <w:r>
        <w:t>El artículo 10 dispone lo siguiente: “El Estado se ocupará del bienestar de los jóvenes y los protegerá de la explotación y del abandono moral, físico y espiritual.”</w:t>
      </w:r>
    </w:p>
    <w:p w:rsidR="00000000" w:rsidRDefault="00000000">
      <w:pPr>
        <w:pStyle w:val="SingleTxt"/>
        <w:ind w:firstLine="475"/>
      </w:pPr>
      <w:r>
        <w:t>El artículo 40 también garantiza el derecho de los kuwaitíes a recibir una ed</w:t>
      </w:r>
      <w:r>
        <w:t>u</w:t>
      </w:r>
      <w:r>
        <w:t>cación gratuita, en los términos siguientes: “Todos los kuwaitíes tienen derecho a la educación, garantizado por el Estado de conformidad con la ley y dentro de los l</w:t>
      </w:r>
      <w:r>
        <w:t>í</w:t>
      </w:r>
      <w:r>
        <w:t>mites del orden público y la moral. Con arreglo a la ley, la educación primaria será obligatoria y gratuita y se establecerá un plan para eliminar el analfabetismo. El E</w:t>
      </w:r>
      <w:r>
        <w:t>s</w:t>
      </w:r>
      <w:r>
        <w:t>tado se preocupará especialmente por el desarrollo físico, moral y mental de los j</w:t>
      </w:r>
      <w:r>
        <w:t>ó</w:t>
      </w:r>
      <w:r>
        <w:t>venes.”</w:t>
      </w:r>
    </w:p>
    <w:p w:rsidR="00000000" w:rsidRDefault="00000000">
      <w:pPr>
        <w:pStyle w:val="SingleTxt"/>
        <w:ind w:firstLine="475"/>
      </w:pPr>
      <w:r>
        <w:t>De conformidad con lo dispuesto en la Constitución y a la luz de los principios generales que se han enunciado, se han promulgado varias leyes relativas al proceso educacional, que se indican a continuación: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Ley N° 11 de 1965 sobre la Educación Obligatoria</w:t>
      </w:r>
    </w:p>
    <w:p w:rsidR="00000000" w:rsidRDefault="00000000">
      <w:pPr>
        <w:pStyle w:val="SingleTxt"/>
        <w:spacing w:after="0" w:line="120" w:lineRule="exact"/>
        <w:ind w:firstLine="475"/>
        <w:rPr>
          <w:sz w:val="10"/>
        </w:rPr>
      </w:pPr>
    </w:p>
    <w:p w:rsidR="00000000" w:rsidRDefault="00000000">
      <w:pPr>
        <w:pStyle w:val="SingleTxt"/>
        <w:ind w:firstLine="475"/>
      </w:pPr>
      <w:r>
        <w:t>Esta ley se refiere a los temas relacionados con la educación obligatoria. El a</w:t>
      </w:r>
      <w:r>
        <w:t>r</w:t>
      </w:r>
      <w:r>
        <w:t>tículo 1 estipula que la educación es obligatoria para los niños y las niñas kuwaitíes desde la iniciación del ciclo primario hasta el final del ciclo intermedio. Asimismo estipula que el Estado está obligado a proporcionar los locales escolares, libros, maestros y demás recursos humanos o materiales que garanticen el buen resultado de la educación.</w:t>
      </w:r>
    </w:p>
    <w:p w:rsidR="00000000" w:rsidRDefault="00000000">
      <w:pPr>
        <w:pStyle w:val="SingleTxt"/>
        <w:ind w:firstLine="475"/>
      </w:pPr>
      <w:r>
        <w:t>De conformidad con lo dispuesto en esta Ley, la educación comienza a ser obligatoria para los niños a los seis años de edad y sigue siendo obligatoria durante el período determinado por las normas y reglamentaciones administrativas.</w:t>
      </w:r>
    </w:p>
    <w:p w:rsidR="00000000" w:rsidRDefault="00000000">
      <w:pPr>
        <w:pStyle w:val="SingleTxt"/>
        <w:ind w:firstLine="475"/>
      </w:pPr>
      <w:r>
        <w:t>La Ley también pena a los padres o tutores de los niños que contravengan sus disposiciones con multa de hasta 10 dinares o detención hasta por una semana.</w:t>
      </w:r>
    </w:p>
    <w:p w:rsidR="00000000" w:rsidRDefault="00000000">
      <w:pPr>
        <w:pStyle w:val="SingleTxt"/>
        <w:ind w:firstLine="475"/>
      </w:pPr>
      <w:r>
        <w:t>Con arreglo al artículo 12, el período de estudios para el que se prevé la educ</w:t>
      </w:r>
      <w:r>
        <w:t>a</w:t>
      </w:r>
      <w:r>
        <w:t>ción obligatoria comienza con el ciclo primario y continúa hasta el final del ciclo intermedio</w:t>
      </w:r>
    </w:p>
    <w:p w:rsidR="00000000" w:rsidRDefault="00000000">
      <w:pPr>
        <w:pStyle w:val="SingleTxt"/>
        <w:ind w:firstLine="475"/>
      </w:pPr>
      <w:r>
        <w:t>Con arreglo a lo dispuesto en la Ley, el Ministerio de Educación está facultado para aumentar o disminuir la cantidad de años lectivos de los ciclos primario e i</w:t>
      </w:r>
      <w:r>
        <w:t>n</w:t>
      </w:r>
      <w:r>
        <w:t>termedio.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w:t>
      </w:r>
      <w:r>
        <w:tab/>
        <w:t>Ley N° 29 de 1966 sobre la Organización de la Educación Superior</w:t>
      </w:r>
    </w:p>
    <w:p w:rsidR="00000000" w:rsidRDefault="00000000">
      <w:pPr>
        <w:pStyle w:val="SingleTxt"/>
        <w:spacing w:after="0" w:line="120" w:lineRule="exact"/>
        <w:ind w:firstLine="475"/>
        <w:rPr>
          <w:sz w:val="10"/>
        </w:rPr>
      </w:pPr>
    </w:p>
    <w:p w:rsidR="00000000" w:rsidRDefault="00000000">
      <w:pPr>
        <w:pStyle w:val="SingleTxt"/>
        <w:ind w:firstLine="475"/>
      </w:pPr>
      <w:r>
        <w:t>Esta Ley especifica los objetivos y niveles de la educación superior, así como los principios que regulan su gestión y financiación y las normas que rigen el ingr</w:t>
      </w:r>
      <w:r>
        <w:t>e</w:t>
      </w:r>
      <w:r>
        <w:t>so y el otorgamiento de certificados de educación superior.</w:t>
      </w:r>
    </w:p>
    <w:p w:rsidR="00000000" w:rsidRDefault="00000000">
      <w:pPr>
        <w:pStyle w:val="H4"/>
        <w:tabs>
          <w:tab w:val="clear" w:pos="360"/>
          <w:tab w:val="right" w:pos="1022"/>
          <w:tab w:val="left" w:pos="1742"/>
          <w:tab w:val="left" w:pos="2218"/>
          <w:tab w:val="left" w:pos="2693"/>
          <w:tab w:val="left" w:pos="3182"/>
          <w:tab w:val="left" w:pos="3658"/>
          <w:tab w:val="left" w:pos="4133"/>
          <w:tab w:val="left" w:pos="4622"/>
          <w:tab w:val="left" w:pos="5098"/>
          <w:tab w:val="left" w:pos="5573"/>
          <w:tab w:val="left" w:pos="6048"/>
        </w:tabs>
        <w:ind w:left="2250" w:right="1260" w:hanging="2250"/>
      </w:pPr>
      <w:r>
        <w:tab/>
      </w:r>
      <w:r>
        <w:tab/>
        <w:t>c)</w:t>
      </w:r>
      <w:r>
        <w:tab/>
        <w:t>Decreto del Emir relativo al Ministerio de Educación, promulgado el 7 de enero de 1979</w:t>
      </w:r>
    </w:p>
    <w:p w:rsidR="00000000" w:rsidRDefault="00000000">
      <w:pPr>
        <w:pStyle w:val="SingleTxt"/>
        <w:spacing w:after="0" w:line="120" w:lineRule="exact"/>
        <w:ind w:firstLine="475"/>
        <w:rPr>
          <w:sz w:val="10"/>
        </w:rPr>
      </w:pPr>
    </w:p>
    <w:p w:rsidR="00000000" w:rsidRDefault="00000000">
      <w:pPr>
        <w:pStyle w:val="SingleTxt"/>
        <w:ind w:firstLine="475"/>
      </w:pPr>
      <w:r>
        <w:t>En el Decreto se estipulan los cometidos especiales del Ministerio de Educ</w:t>
      </w:r>
      <w:r>
        <w:t>a</w:t>
      </w:r>
      <w:r>
        <w:t>ción, que son los siguientes:</w:t>
      </w:r>
    </w:p>
    <w:p w:rsidR="00000000" w:rsidRDefault="00000000">
      <w:pPr>
        <w:pStyle w:val="SingleTxt"/>
        <w:ind w:firstLine="475"/>
      </w:pPr>
      <w:r>
        <w:t>–</w:t>
      </w:r>
      <w:r>
        <w:tab/>
        <w:t>Proponer el marco general de los planes y políticas educacionales;</w:t>
      </w:r>
    </w:p>
    <w:p w:rsidR="00000000" w:rsidRDefault="00000000">
      <w:pPr>
        <w:pStyle w:val="SingleTxt"/>
        <w:ind w:firstLine="475"/>
      </w:pPr>
      <w:r>
        <w:t>–</w:t>
      </w:r>
      <w:r>
        <w:tab/>
        <w:t>Ocuparse de los asuntos educacionales y todas las cuestiones conexas, que comprenden la determinación de los ciclos de la educación, la elaboración de los planes de estudio y la fijación de la política de ingreso;</w:t>
      </w:r>
    </w:p>
    <w:p w:rsidR="00000000" w:rsidRDefault="00000000">
      <w:pPr>
        <w:pStyle w:val="SingleTxt"/>
        <w:ind w:firstLine="475"/>
      </w:pPr>
      <w:r>
        <w:t>–</w:t>
      </w:r>
      <w:r>
        <w:tab/>
        <w:t>Ocuparse de lo relacionado con la educación de adultos;</w:t>
      </w:r>
    </w:p>
    <w:p w:rsidR="00000000" w:rsidRDefault="00000000">
      <w:pPr>
        <w:pStyle w:val="SingleTxt"/>
        <w:ind w:firstLine="475"/>
      </w:pPr>
      <w:r>
        <w:t>–</w:t>
      </w:r>
      <w:r>
        <w:tab/>
        <w:t>Supervisar a los institutos y escuelas privados;</w:t>
      </w:r>
    </w:p>
    <w:p w:rsidR="00000000" w:rsidRDefault="00000000">
      <w:pPr>
        <w:pStyle w:val="SingleTxt"/>
        <w:ind w:firstLine="475"/>
      </w:pPr>
      <w:r>
        <w:t>–</w:t>
      </w:r>
      <w:r>
        <w:tab/>
        <w:t>Cooperar en materia de educación con los países árabes y extranjeros y las organizaciones internacionales.</w:t>
      </w:r>
    </w:p>
    <w:p w:rsidR="00000000" w:rsidRDefault="00000000">
      <w:pPr>
        <w:pStyle w:val="SingleTxt"/>
        <w:ind w:firstLine="475"/>
      </w:pPr>
      <w:r>
        <w:t>El Ministerio de Educación supervisa la educación hasta el final del ciclo s</w:t>
      </w:r>
      <w:r>
        <w:t>e</w:t>
      </w:r>
      <w:r>
        <w:t>cundario.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w:t>
      </w:r>
      <w:r>
        <w:tab/>
        <w:t>Ley N° 4 de 1981 sobre la Alfabetización</w:t>
      </w:r>
    </w:p>
    <w:p w:rsidR="00000000" w:rsidRDefault="00000000">
      <w:pPr>
        <w:pStyle w:val="SingleTxt"/>
        <w:spacing w:after="0" w:line="120" w:lineRule="exact"/>
        <w:ind w:firstLine="475"/>
        <w:rPr>
          <w:sz w:val="10"/>
        </w:rPr>
      </w:pPr>
    </w:p>
    <w:p w:rsidR="00000000" w:rsidRDefault="00000000">
      <w:pPr>
        <w:pStyle w:val="SingleTxt"/>
        <w:ind w:firstLine="475"/>
      </w:pPr>
      <w:r>
        <w:t>Con arreglo a las disposiciones de esta ley, están obligados a participar en los programas de alfabetización los hombres kuwaitíes de 14 a 40 años y las mujeres kuwaitíes de 14 a 35 años,</w:t>
      </w:r>
    </w:p>
    <w:p w:rsidR="00000000" w:rsidRDefault="00000000">
      <w:pPr>
        <w:pStyle w:val="H4"/>
        <w:tabs>
          <w:tab w:val="clear" w:pos="360"/>
          <w:tab w:val="right" w:pos="1022"/>
          <w:tab w:val="left" w:pos="1742"/>
          <w:tab w:val="left" w:pos="2218"/>
          <w:tab w:val="left" w:pos="2693"/>
          <w:tab w:val="left" w:pos="3182"/>
          <w:tab w:val="left" w:pos="3658"/>
          <w:tab w:val="left" w:pos="4133"/>
          <w:tab w:val="left" w:pos="4622"/>
          <w:tab w:val="left" w:pos="5098"/>
          <w:tab w:val="left" w:pos="5573"/>
          <w:tab w:val="left" w:pos="6048"/>
        </w:tabs>
        <w:ind w:left="2250" w:right="1260" w:hanging="2250"/>
      </w:pPr>
      <w:r>
        <w:tab/>
      </w:r>
      <w:r>
        <w:tab/>
        <w:t>e)</w:t>
      </w:r>
      <w:r>
        <w:tab/>
        <w:t>Ley N° 63 de 1987, de creación de la Autoridad Pública de Educación Aplicada y Capacitación</w:t>
      </w:r>
    </w:p>
    <w:p w:rsidR="00000000" w:rsidRDefault="00000000">
      <w:pPr>
        <w:pStyle w:val="SingleTxt"/>
        <w:spacing w:after="0" w:line="120" w:lineRule="exact"/>
        <w:ind w:firstLine="475"/>
        <w:rPr>
          <w:sz w:val="10"/>
        </w:rPr>
      </w:pPr>
    </w:p>
    <w:p w:rsidR="00000000" w:rsidRDefault="00000000">
      <w:pPr>
        <w:pStyle w:val="SingleTxt"/>
        <w:ind w:firstLine="475"/>
      </w:pPr>
      <w:r>
        <w:t>Esta Ley dispuso la creación de la Autoridad mencionada a fin de formar y d</w:t>
      </w:r>
      <w:r>
        <w:t>e</w:t>
      </w:r>
      <w:r>
        <w:t>sarrollar una fuerza de trabajo técnica nacional y satisfacer las necesidades de des</w:t>
      </w:r>
      <w:r>
        <w:t>a</w:t>
      </w:r>
      <w:r>
        <w:t>rrollo.</w:t>
      </w:r>
    </w:p>
    <w:p w:rsidR="00000000" w:rsidRDefault="00000000">
      <w:pPr>
        <w:pStyle w:val="H4"/>
        <w:tabs>
          <w:tab w:val="clear" w:pos="360"/>
          <w:tab w:val="right" w:pos="1022"/>
          <w:tab w:val="left" w:pos="1742"/>
          <w:tab w:val="left" w:pos="2218"/>
          <w:tab w:val="left" w:pos="2693"/>
          <w:tab w:val="left" w:pos="3182"/>
          <w:tab w:val="left" w:pos="3658"/>
          <w:tab w:val="left" w:pos="4133"/>
          <w:tab w:val="left" w:pos="4622"/>
          <w:tab w:val="left" w:pos="5098"/>
          <w:tab w:val="left" w:pos="5573"/>
          <w:tab w:val="left" w:pos="6048"/>
        </w:tabs>
        <w:ind w:left="2250" w:right="1260" w:hanging="2250"/>
      </w:pPr>
      <w:r>
        <w:tab/>
      </w:r>
      <w:r>
        <w:tab/>
        <w:t>f)</w:t>
      </w:r>
      <w:r>
        <w:tab/>
        <w:t>Decreto Legislativo N° 4 de 1987 relativo a la educación pública</w:t>
      </w:r>
    </w:p>
    <w:p w:rsidR="00000000" w:rsidRDefault="00000000">
      <w:pPr>
        <w:pStyle w:val="SingleTxt"/>
        <w:spacing w:after="0" w:line="120" w:lineRule="exact"/>
        <w:ind w:firstLine="475"/>
        <w:rPr>
          <w:sz w:val="10"/>
        </w:rPr>
      </w:pPr>
    </w:p>
    <w:p w:rsidR="00000000" w:rsidRDefault="00000000">
      <w:pPr>
        <w:pStyle w:val="SingleTxt"/>
        <w:ind w:firstLine="475"/>
      </w:pPr>
      <w:r>
        <w:t>Este Decreto Legislativo fija el marco jurídico de la educación, y en su artículo 1 reafirma el derecho de todos los kuwaitíes a recibir educación gratuita en escuelas del Estado, así como el derecho de los estudiantes a tener la oportunidad de prom</w:t>
      </w:r>
      <w:r>
        <w:t>o</w:t>
      </w:r>
      <w:r>
        <w:t>ver su d</w:t>
      </w:r>
      <w:r>
        <w:t>e</w:t>
      </w:r>
      <w:r>
        <w:t>sarrollo general e integrado en materia espiritual y física.</w:t>
      </w:r>
    </w:p>
    <w:p w:rsidR="00000000" w:rsidRDefault="00000000">
      <w:pPr>
        <w:pStyle w:val="H4"/>
        <w:tabs>
          <w:tab w:val="clear" w:pos="360"/>
          <w:tab w:val="right" w:pos="1022"/>
          <w:tab w:val="left" w:pos="1742"/>
          <w:tab w:val="left" w:pos="2218"/>
          <w:tab w:val="left" w:pos="2693"/>
          <w:tab w:val="left" w:pos="3182"/>
          <w:tab w:val="left" w:pos="3658"/>
          <w:tab w:val="left" w:pos="4133"/>
          <w:tab w:val="left" w:pos="4622"/>
          <w:tab w:val="left" w:pos="5098"/>
          <w:tab w:val="left" w:pos="5573"/>
          <w:tab w:val="left" w:pos="6048"/>
        </w:tabs>
        <w:ind w:left="2250" w:right="1260" w:hanging="2250"/>
      </w:pPr>
      <w:r>
        <w:tab/>
      </w:r>
      <w:r>
        <w:tab/>
        <w:t>g)</w:t>
      </w:r>
      <w:r>
        <w:tab/>
        <w:t>Decreto del Emir N° 164 de 1988 relativo al Ministerio de Educación Superior</w:t>
      </w:r>
    </w:p>
    <w:p w:rsidR="00000000" w:rsidRDefault="00000000">
      <w:pPr>
        <w:pStyle w:val="SingleTxt"/>
        <w:keepNext/>
        <w:spacing w:after="0" w:line="120" w:lineRule="exact"/>
        <w:ind w:firstLine="475"/>
        <w:rPr>
          <w:sz w:val="10"/>
        </w:rPr>
      </w:pPr>
    </w:p>
    <w:p w:rsidR="00000000" w:rsidRDefault="00000000">
      <w:pPr>
        <w:pStyle w:val="SingleTxt"/>
        <w:ind w:firstLine="475"/>
      </w:pPr>
      <w:r>
        <w:t>Con arreglo a las disposiciones de este Decreto, el Ministerio de Educación Superior tiene el cometido de supervisar todo lo relacionado con la educación de n</w:t>
      </w:r>
      <w:r>
        <w:t>i</w:t>
      </w:r>
      <w:r>
        <w:t>vel universitario y aplicada, así como con las investigaciones llevadas a cabo en institutos y colegios de educación superior en beneficio de la sociedad y a fin de s</w:t>
      </w:r>
      <w:r>
        <w:t>a</w:t>
      </w:r>
      <w:r>
        <w:t>tisfacer la necesidad del país de contar con especialistas, técnicos y expertos en d</w:t>
      </w:r>
      <w:r>
        <w:t>i</w:t>
      </w:r>
      <w:r>
        <w:t>versas esferas. Este Ministerio realiza varias funciones, entre las que figuran las s</w:t>
      </w:r>
      <w:r>
        <w:t>i</w:t>
      </w:r>
      <w:r>
        <w:t>guientes:</w:t>
      </w:r>
    </w:p>
    <w:p w:rsidR="00000000" w:rsidRDefault="00000000">
      <w:pPr>
        <w:pStyle w:val="SingleTxt"/>
        <w:numPr>
          <w:ilvl w:val="0"/>
          <w:numId w:val="12"/>
        </w:numPr>
        <w:tabs>
          <w:tab w:val="clear" w:pos="360"/>
          <w:tab w:val="num" w:pos="2102"/>
        </w:tabs>
        <w:ind w:left="2102"/>
      </w:pPr>
      <w:r>
        <w:t>Formulación del marco general de las políticas y los planes necesarios para desarrollar y supervisar las ramas gemelas de la educación universitaria y la educación aplicada;</w:t>
      </w:r>
    </w:p>
    <w:p w:rsidR="00000000" w:rsidRDefault="00000000">
      <w:pPr>
        <w:pStyle w:val="SingleTxt"/>
        <w:numPr>
          <w:ilvl w:val="0"/>
          <w:numId w:val="12"/>
        </w:numPr>
        <w:tabs>
          <w:tab w:val="clear" w:pos="360"/>
          <w:tab w:val="num" w:pos="2102"/>
        </w:tabs>
        <w:ind w:left="2102"/>
      </w:pPr>
      <w:r>
        <w:t>Estímulo de la investigación científica;</w:t>
      </w:r>
    </w:p>
    <w:p w:rsidR="00000000" w:rsidRDefault="00000000">
      <w:pPr>
        <w:pStyle w:val="SingleTxt"/>
        <w:numPr>
          <w:ilvl w:val="0"/>
          <w:numId w:val="12"/>
        </w:numPr>
        <w:tabs>
          <w:tab w:val="clear" w:pos="360"/>
          <w:tab w:val="num" w:pos="2102"/>
        </w:tabs>
        <w:ind w:left="2102"/>
      </w:pPr>
      <w:r>
        <w:t>Supervisión y aplicación de planes y programas de capacitación y desarr</w:t>
      </w:r>
      <w:r>
        <w:t>o</w:t>
      </w:r>
      <w:r>
        <w:t>llo de los recursos humanos brindando oportunidades en materia de educ</w:t>
      </w:r>
      <w:r>
        <w:t>a</w:t>
      </w:r>
      <w:r>
        <w:t>ción superior;</w:t>
      </w:r>
    </w:p>
    <w:p w:rsidR="00000000" w:rsidRDefault="00000000">
      <w:pPr>
        <w:pStyle w:val="SingleTxt"/>
        <w:numPr>
          <w:ilvl w:val="0"/>
          <w:numId w:val="12"/>
        </w:numPr>
        <w:tabs>
          <w:tab w:val="clear" w:pos="360"/>
          <w:tab w:val="num" w:pos="2102"/>
        </w:tabs>
        <w:ind w:left="2102"/>
      </w:pPr>
      <w:r>
        <w:t>Envío de estudiantes (hombres y mujeres) a universidades e instituciones superiores de otros países.</w:t>
      </w:r>
    </w:p>
    <w:p w:rsidR="00000000" w:rsidRDefault="00000000">
      <w:pPr>
        <w:pStyle w:val="SingleTxt"/>
        <w:ind w:firstLine="475"/>
      </w:pPr>
      <w:r>
        <w:t>Sobre esta base, el Estado ha concentrado sus esfuerzos en brindar oportunid</w:t>
      </w:r>
      <w:r>
        <w:t>a</w:t>
      </w:r>
      <w:r>
        <w:t>des educacionales a la mujer, partiendo de la convicción de que las mujeres, que constituyen la mitad de la sociedad, deben recibir educación.</w:t>
      </w:r>
    </w:p>
    <w:p w:rsidR="00000000" w:rsidRDefault="00000000">
      <w:pPr>
        <w:pStyle w:val="SingleTxt"/>
        <w:ind w:firstLine="475"/>
      </w:pPr>
      <w:r>
        <w:t>Cabe señalar que los programas del Ministerio de Educación están encamin</w:t>
      </w:r>
      <w:r>
        <w:t>a</w:t>
      </w:r>
      <w:r>
        <w:t>dos a alcanzar los objetivos de la educación en Kuwait, que consisten en asignar prioridad al derecho de todos los hombres y mujeres de satisfacer sus necesidades educacionales y lograr la igualdad entre hombres y mujeres para que unos y otros sean miembros eficientes de la sociedad. Dichos programas también procuran aseg</w:t>
      </w:r>
      <w:r>
        <w:t>u</w:t>
      </w:r>
      <w:r>
        <w:t>rar que las mujeres desempeñen un papel eficaz como miembros productivos de la sociedad utilizando planes de estudio escolares como los que se han implantado para la educación femenina en los ciclos intermedio y secundario de la educación.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fines de la educación</w:t>
      </w:r>
    </w:p>
    <w:p w:rsidR="00000000" w:rsidRDefault="00000000">
      <w:pPr>
        <w:pStyle w:val="SingleTxt"/>
        <w:spacing w:after="0" w:line="120" w:lineRule="exact"/>
        <w:ind w:firstLine="475"/>
        <w:rPr>
          <w:sz w:val="10"/>
        </w:rPr>
      </w:pPr>
    </w:p>
    <w:p w:rsidR="00000000" w:rsidRDefault="00000000">
      <w:pPr>
        <w:pStyle w:val="SingleTxt"/>
        <w:ind w:firstLine="475"/>
      </w:pPr>
      <w:r>
        <w:t>El objetivo general que está tratando de alcanzar con sus tareas educacionales el Ministerio de Educación, en su carácter de institución básica responsable de la educación en Kuwait, puede resumirse indicando que consiste en el suministro de oportunidades adecuadas para ayudar a los individuos a alcanzar un pleno y co</w:t>
      </w:r>
      <w:r>
        <w:t>m</w:t>
      </w:r>
      <w:r>
        <w:t>pleto desarrollo espiritual, moral, intelectual, social y físico en el mayor grado que permitan sus aptitudes y capacidades, a la luz de la naturaleza, la filosofía y las asp</w:t>
      </w:r>
      <w:r>
        <w:t>i</w:t>
      </w:r>
      <w:r>
        <w:t xml:space="preserve">raciones de la sociedad kuwaití, los principios de la </w:t>
      </w:r>
      <w:r>
        <w:rPr>
          <w:i/>
        </w:rPr>
        <w:t>Shariah</w:t>
      </w:r>
      <w:r>
        <w:t xml:space="preserve"> islámica, el legado ár</w:t>
      </w:r>
      <w:r>
        <w:t>a</w:t>
      </w:r>
      <w:r>
        <w:t>be y la cultura contemporánea, de forma de asegurar un equilibrio entre la autorre</w:t>
      </w:r>
      <w:r>
        <w:t>a</w:t>
      </w:r>
      <w:r>
        <w:t>lización de los individuos y su preparación para desempeñar un papel constructivo y participativo en el adelanto de la sociedad kuwaití en particular y de la sociedad árabe e internacional en general.</w:t>
      </w:r>
    </w:p>
    <w:p w:rsidR="00000000" w:rsidRDefault="00000000">
      <w:pPr>
        <w:pStyle w:val="SingleTxt"/>
        <w:ind w:firstLine="475"/>
      </w:pPr>
      <w:r>
        <w:t>Teniendo presente ese objetivo general, los principios fundamentales que rigen el sistema educacional de Kuwait pueden resumirse de la manera siguiente:</w:t>
      </w:r>
    </w:p>
    <w:p w:rsidR="00000000" w:rsidRDefault="00000000">
      <w:pPr>
        <w:pStyle w:val="SingleTxt"/>
        <w:numPr>
          <w:ilvl w:val="0"/>
          <w:numId w:val="13"/>
        </w:numPr>
        <w:tabs>
          <w:tab w:val="clear" w:pos="835"/>
          <w:tab w:val="num" w:pos="2102"/>
        </w:tabs>
        <w:ind w:left="1267"/>
      </w:pPr>
      <w:r>
        <w:t>La educación es el proceso básico de formación de cada uno de los mie</w:t>
      </w:r>
      <w:r>
        <w:t>m</w:t>
      </w:r>
      <w:r>
        <w:t>bros de la sociedad, en que se basan los múltiples aspectos de todos los planes de desarrollo. La educación se ha convertido en un requisito indispensable, pues los i</w:t>
      </w:r>
      <w:r>
        <w:t>n</w:t>
      </w:r>
      <w:r>
        <w:t>dividuos pueden confiar en las oportunidades de desarrollo comprensivo e integral que ella brinda;</w:t>
      </w:r>
    </w:p>
    <w:p w:rsidR="00000000" w:rsidRDefault="00000000">
      <w:pPr>
        <w:pStyle w:val="SingleTxt"/>
        <w:numPr>
          <w:ilvl w:val="0"/>
          <w:numId w:val="13"/>
        </w:numPr>
        <w:tabs>
          <w:tab w:val="clear" w:pos="835"/>
          <w:tab w:val="num" w:pos="2102"/>
        </w:tabs>
        <w:ind w:left="1267"/>
      </w:pPr>
      <w:r>
        <w:t>Todos los hombres y mujeres tienen derecho a la educación, que el Estado tiene la obligación de proporcionar con arreglo a lo dispuesto en la Constitución, las leyes y las demás normas legislativas. El Ministerio de Educación, órgano respons</w:t>
      </w:r>
      <w:r>
        <w:t>a</w:t>
      </w:r>
      <w:r>
        <w:t>ble de asegurar el goce de este derecho, aplica el principio de que la educación debe estar al alcance de todos;</w:t>
      </w:r>
    </w:p>
    <w:p w:rsidR="00000000" w:rsidRDefault="00000000">
      <w:pPr>
        <w:pStyle w:val="SingleTxt"/>
        <w:numPr>
          <w:ilvl w:val="0"/>
          <w:numId w:val="13"/>
        </w:numPr>
        <w:tabs>
          <w:tab w:val="clear" w:pos="835"/>
          <w:tab w:val="num" w:pos="2102"/>
        </w:tabs>
        <w:ind w:left="1267"/>
      </w:pPr>
      <w:r>
        <w:t>Las capacidades y aptitudes de cada uno pueden desarrollarse mediante la educación. Consiguientemente, además de la educación general brindada a todos, el Ministerio de Educación pone otros tipos de educación a disposición de las categ</w:t>
      </w:r>
      <w:r>
        <w:t>o</w:t>
      </w:r>
      <w:r>
        <w:t>rías que tengan necesidades especiales, como por eje</w:t>
      </w:r>
      <w:r>
        <w:t>m</w:t>
      </w:r>
      <w:r>
        <w:t>plo:</w:t>
      </w:r>
    </w:p>
    <w:p w:rsidR="00000000" w:rsidRDefault="00000000">
      <w:pPr>
        <w:pStyle w:val="SingleTxt"/>
        <w:numPr>
          <w:ilvl w:val="0"/>
          <w:numId w:val="14"/>
        </w:numPr>
        <w:tabs>
          <w:tab w:val="clear" w:pos="720"/>
          <w:tab w:val="clear" w:pos="2218"/>
          <w:tab w:val="clear" w:pos="2693"/>
          <w:tab w:val="right" w:pos="1980"/>
          <w:tab w:val="num" w:pos="2340"/>
        </w:tabs>
        <w:ind w:left="2340" w:hanging="360"/>
      </w:pPr>
      <w:r>
        <w:t>Los niños con necesidades especiales, que asisten a escuelas especiales en las que reciben una educación adaptada a sus necesidades y capac</w:t>
      </w:r>
      <w:r>
        <w:t>i</w:t>
      </w:r>
      <w:r>
        <w:t>dades particulares;</w:t>
      </w:r>
    </w:p>
    <w:p w:rsidR="00000000" w:rsidRDefault="00000000">
      <w:pPr>
        <w:pStyle w:val="SingleTxt"/>
        <w:numPr>
          <w:ilvl w:val="0"/>
          <w:numId w:val="14"/>
        </w:numPr>
        <w:tabs>
          <w:tab w:val="clear" w:pos="720"/>
          <w:tab w:val="clear" w:pos="2218"/>
          <w:tab w:val="clear" w:pos="2693"/>
          <w:tab w:val="right" w:pos="1980"/>
          <w:tab w:val="num" w:pos="2340"/>
        </w:tabs>
        <w:ind w:left="2340" w:hanging="360"/>
      </w:pPr>
      <w:r>
        <w:t>Los niños con lentitud para el aprendizaje, que necesitan una atención educacional especial en la que se preste la debida atención a su etapa concreta de desarrollo y a sus necesidades, a fin de prepararlos para la vida laboral de la misma manera que sus pares normales. El Ministerio organiza programas especiales, con ayuda de expertos internacionales especializados en la educación de esos niños;</w:t>
      </w:r>
    </w:p>
    <w:p w:rsidR="00000000" w:rsidRDefault="00000000">
      <w:pPr>
        <w:pStyle w:val="SingleTxt"/>
        <w:numPr>
          <w:ilvl w:val="0"/>
          <w:numId w:val="14"/>
        </w:numPr>
        <w:tabs>
          <w:tab w:val="clear" w:pos="720"/>
          <w:tab w:val="clear" w:pos="2218"/>
          <w:tab w:val="clear" w:pos="2693"/>
          <w:tab w:val="right" w:pos="1980"/>
          <w:tab w:val="num" w:pos="2340"/>
        </w:tabs>
        <w:ind w:left="2340" w:hanging="360"/>
      </w:pPr>
      <w:r>
        <w:t>Los niños autísticos, categoría para la cual existen programas especiales de educación y capacitación encaminados a permitirles superar las de</w:t>
      </w:r>
      <w:r>
        <w:t>s</w:t>
      </w:r>
      <w:r>
        <w:t>ventajas que pueden determinar que fracasen en sus estudios si no se les brinda una atención educacional especial encaminada a facilitar su int</w:t>
      </w:r>
      <w:r>
        <w:t>e</w:t>
      </w:r>
      <w:r>
        <w:t>gración en la vida académica ordinaria mediante los programas educ</w:t>
      </w:r>
      <w:r>
        <w:t>a</w:t>
      </w:r>
      <w:r>
        <w:t>cionales especiales organizados por el Ministerio;</w:t>
      </w:r>
    </w:p>
    <w:p w:rsidR="00000000" w:rsidRDefault="00000000">
      <w:pPr>
        <w:pStyle w:val="SingleTxt"/>
        <w:numPr>
          <w:ilvl w:val="0"/>
          <w:numId w:val="14"/>
        </w:numPr>
        <w:tabs>
          <w:tab w:val="clear" w:pos="720"/>
          <w:tab w:val="clear" w:pos="2218"/>
          <w:tab w:val="clear" w:pos="2693"/>
          <w:tab w:val="right" w:pos="1980"/>
          <w:tab w:val="num" w:pos="2340"/>
        </w:tabs>
        <w:ind w:left="2340" w:hanging="360"/>
      </w:pPr>
      <w:r>
        <w:t>Las personas talentosas y especialmente dotadas, que tienen perspect</w:t>
      </w:r>
      <w:r>
        <w:t>i</w:t>
      </w:r>
      <w:r>
        <w:t>vas de ocupar puestos de elevada jerarquía en sus futuras carreras. El Ministerio se esfuerza por identificar a los estudiantes especialmente dotados en una etapa temprana, a fin de brindarles programas compl</w:t>
      </w:r>
      <w:r>
        <w:t>e</w:t>
      </w:r>
      <w:r>
        <w:t>mentarios especiales encaminados a desarrollar sus talentos de manera congruente con sus capacidades sobresalientes y sus aspiraciones;</w:t>
      </w:r>
    </w:p>
    <w:p w:rsidR="00000000" w:rsidRDefault="00000000">
      <w:pPr>
        <w:pStyle w:val="SingleTxt"/>
        <w:numPr>
          <w:ilvl w:val="0"/>
          <w:numId w:val="14"/>
        </w:numPr>
        <w:tabs>
          <w:tab w:val="clear" w:pos="720"/>
          <w:tab w:val="clear" w:pos="2218"/>
          <w:tab w:val="clear" w:pos="2693"/>
          <w:tab w:val="right" w:pos="1980"/>
          <w:tab w:val="num" w:pos="2340"/>
        </w:tabs>
        <w:ind w:left="2340" w:hanging="360"/>
      </w:pPr>
      <w:r>
        <w:t>Los adultos analfabetos, que perdieron la oportunidad de recibir educ</w:t>
      </w:r>
      <w:r>
        <w:t>a</w:t>
      </w:r>
      <w:r>
        <w:t>ción en su juventud. El Ministerio ha establecido centros especiales en los cuales pueden superar su analfabetismo y continuar sus estudios mediante programas de educación de adultos.</w:t>
      </w:r>
    </w:p>
    <w:p w:rsidR="00000000" w:rsidRDefault="00000000">
      <w:pPr>
        <w:pStyle w:val="SingleTxt"/>
        <w:ind w:firstLine="475"/>
      </w:pPr>
      <w:r>
        <w:t>De tal forma, el Ministerio asegura que todos los que cuenten con capacidad para el aprendizaje tengan la oportunidad de recibir una educación acorde con sus capacidades y necesidades, promoviendo así el adelanto de todos los miembros de la sociedad de manera compatible con sus respectivas necesidades y los objetivos de los planes de desarrollo social.</w:t>
      </w:r>
    </w:p>
    <w:p w:rsidR="00000000" w:rsidRDefault="00000000">
      <w:pPr>
        <w:pStyle w:val="SingleTxt"/>
        <w:ind w:firstLine="475"/>
      </w:pPr>
      <w:r>
        <w:t>Además de lo expuesto, el Ministerio de Educación procura lograr los objet</w:t>
      </w:r>
      <w:r>
        <w:t>i</w:t>
      </w:r>
      <w:r>
        <w:t>vos siguientes:</w:t>
      </w:r>
    </w:p>
    <w:p w:rsidR="00000000" w:rsidRDefault="00000000">
      <w:pPr>
        <w:pStyle w:val="SingleTxt"/>
        <w:numPr>
          <w:ilvl w:val="0"/>
          <w:numId w:val="15"/>
        </w:numPr>
        <w:tabs>
          <w:tab w:val="clear" w:pos="360"/>
          <w:tab w:val="num" w:pos="1627"/>
        </w:tabs>
        <w:ind w:left="1267" w:firstLine="360"/>
      </w:pPr>
      <w:r>
        <w:t>Llevar a la práctica las aspiraciones de cultivar los modos científicos de pensamiento por parte de los kuwaitíes y desarrollar las capacidades de los est</w:t>
      </w:r>
      <w:r>
        <w:t>u</w:t>
      </w:r>
      <w:r>
        <w:t>diantes varones y mujeres en los distintos ciclos de la educación;</w:t>
      </w:r>
    </w:p>
    <w:p w:rsidR="00000000" w:rsidRDefault="00000000">
      <w:pPr>
        <w:pStyle w:val="SingleTxt"/>
        <w:numPr>
          <w:ilvl w:val="0"/>
          <w:numId w:val="15"/>
        </w:numPr>
        <w:tabs>
          <w:tab w:val="clear" w:pos="360"/>
          <w:tab w:val="num" w:pos="1627"/>
        </w:tabs>
        <w:ind w:left="1267" w:firstLine="360"/>
      </w:pPr>
      <w:r>
        <w:t>Abrir el camino hacia la cultura mundial para los estudiantes kuwaitíes en el contexto de la revolución científica y tecnológica en diversas esferas;</w:t>
      </w:r>
    </w:p>
    <w:p w:rsidR="00000000" w:rsidRDefault="00000000">
      <w:pPr>
        <w:pStyle w:val="SingleTxt"/>
        <w:numPr>
          <w:ilvl w:val="0"/>
          <w:numId w:val="15"/>
        </w:numPr>
        <w:tabs>
          <w:tab w:val="clear" w:pos="360"/>
          <w:tab w:val="num" w:pos="1627"/>
        </w:tabs>
        <w:ind w:left="1267" w:firstLine="360"/>
      </w:pPr>
      <w:r>
        <w:t>Lograr la distribución igualitaria de los servicios y actividades educaci</w:t>
      </w:r>
      <w:r>
        <w:t>o</w:t>
      </w:r>
      <w:r>
        <w:t>nales en Kuwait y hacer constantes esfuerzos por asegurar que los ciudadanos te</w:t>
      </w:r>
      <w:r>
        <w:t>n</w:t>
      </w:r>
      <w:r>
        <w:t>gan acceso a la ciencia y el conocimiento en los lugares donde viven;</w:t>
      </w:r>
    </w:p>
    <w:p w:rsidR="00000000" w:rsidRDefault="00000000">
      <w:pPr>
        <w:pStyle w:val="SingleTxt"/>
        <w:numPr>
          <w:ilvl w:val="0"/>
          <w:numId w:val="15"/>
        </w:numPr>
        <w:tabs>
          <w:tab w:val="clear" w:pos="360"/>
          <w:tab w:val="num" w:pos="1627"/>
        </w:tabs>
        <w:ind w:left="1267" w:firstLine="360"/>
      </w:pPr>
      <w:r>
        <w:t>Prestar mayor atención a la capacitación de los recursos humanos del país en las esferas de la educación y al mejoramiento de las destrezas y el perfeccion</w:t>
      </w:r>
      <w:r>
        <w:t>a</w:t>
      </w:r>
      <w:r>
        <w:t>miento de las capacidades de dichos recursos.</w:t>
      </w:r>
    </w:p>
    <w:p w:rsidR="00000000" w:rsidRDefault="00000000">
      <w:pPr>
        <w:pStyle w:val="SingleTxt"/>
        <w:ind w:firstLine="475"/>
      </w:pPr>
      <w:r>
        <w:t>A fin de lograr esos objetivos, el Ministerio de Educación formuló planes y políticas educacionales, así como los proyectos y programas necesarios para su apl</w:t>
      </w:r>
      <w:r>
        <w:t>i</w:t>
      </w:r>
      <w:r>
        <w:t>cación y su seguimiento, como parte de la estrategia de desarrollo del país y en el co</w:t>
      </w:r>
      <w:r>
        <w:t>n</w:t>
      </w:r>
      <w:r>
        <w:t>texto de su política general.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 la educación</w:t>
      </w:r>
    </w:p>
    <w:p w:rsidR="00000000" w:rsidRDefault="00000000">
      <w:pPr>
        <w:pStyle w:val="SingleTxt"/>
        <w:spacing w:after="0" w:line="120" w:lineRule="exact"/>
        <w:ind w:firstLine="475"/>
        <w:rPr>
          <w:sz w:val="10"/>
        </w:rPr>
      </w:pPr>
    </w:p>
    <w:p w:rsidR="00000000" w:rsidRDefault="00000000">
      <w:pPr>
        <w:pStyle w:val="SingleTxt"/>
        <w:ind w:firstLine="475"/>
      </w:pPr>
      <w:r>
        <w:t>Como ya se indicó, el Ministerio de Educación es la autoridad encargada de la supervisión de la educación en Kuwait. Además, es responsable de los gastos en educación. En el ejercicio económico 1993/94, el total de gastos en educación públ</w:t>
      </w:r>
      <w:r>
        <w:t>i</w:t>
      </w:r>
      <w:r>
        <w:t>ca realizados por el Ministerio ascendió aproximadamente a KD 366.950.000, que representaron el 8,1% del presupuesto del Estado.</w:t>
      </w:r>
    </w:p>
    <w:p w:rsidR="00000000" w:rsidRDefault="00000000">
      <w:pPr>
        <w:pStyle w:val="SingleTxt"/>
        <w:ind w:firstLine="475"/>
      </w:pPr>
      <w:r>
        <w:t>En el ejercicio económico 1997/98, el presupuesto del Ministerio de Educación se elevó a KD 366.145.000, que representaron el 8,4% del presupuesto del Estado. En el ejercicio económico 1998/99, su presupuesto fue de KD 393.145.000</w:t>
      </w:r>
    </w:p>
    <w:p w:rsidR="00000000" w:rsidRDefault="00000000">
      <w:pPr>
        <w:pStyle w:val="SingleTxt"/>
        <w:ind w:firstLine="475"/>
      </w:pPr>
      <w:r>
        <w:t>En el cuadro siguiente se indica el crecimiento del presupuesto del Ministerio de Educación en el período comprendido entre los ejercicios económicos 1993/94 y 1998/99.</w:t>
      </w:r>
    </w:p>
    <w:p w:rsidR="00000000" w:rsidRDefault="00000000">
      <w:pPr>
        <w:pStyle w:val="SingleTxt"/>
        <w:spacing w:after="0" w:line="120" w:lineRule="exact"/>
        <w:ind w:firstLine="475"/>
        <w:rPr>
          <w:sz w:val="10"/>
        </w:rPr>
      </w:pPr>
    </w:p>
    <w:tbl>
      <w:tblPr>
        <w:tblW w:w="0" w:type="auto"/>
        <w:tblInd w:w="1154" w:type="dxa"/>
        <w:tblLayout w:type="fixed"/>
        <w:tblLook w:val="0000" w:firstRow="0" w:lastRow="0" w:firstColumn="0" w:lastColumn="0" w:noHBand="0" w:noVBand="0"/>
      </w:tblPr>
      <w:tblGrid>
        <w:gridCol w:w="1548"/>
        <w:gridCol w:w="1924"/>
        <w:gridCol w:w="1924"/>
        <w:gridCol w:w="1924"/>
      </w:tblGrid>
      <w:tr w:rsidR="00000000">
        <w:tblPrEx>
          <w:tblCellMar>
            <w:top w:w="0" w:type="dxa"/>
            <w:bottom w:w="0" w:type="dxa"/>
          </w:tblCellMar>
        </w:tblPrEx>
        <w:trPr>
          <w:tblHeader/>
        </w:trPr>
        <w:tc>
          <w:tcPr>
            <w:tcW w:w="1548" w:type="dxa"/>
            <w:tcBorders>
              <w:top w:val="single" w:sz="4" w:space="0" w:color="auto"/>
            </w:tcBorders>
            <w:vAlign w:val="bottom"/>
          </w:tcPr>
          <w:p w:rsidR="00000000" w:rsidRDefault="00000000">
            <w:pPr>
              <w:pStyle w:val="SingleTxt"/>
              <w:spacing w:before="81" w:after="81" w:line="160" w:lineRule="exact"/>
              <w:ind w:left="0" w:right="40"/>
              <w:rPr>
                <w:i/>
                <w:sz w:val="14"/>
              </w:rPr>
            </w:pPr>
            <w:r>
              <w:rPr>
                <w:i/>
                <w:sz w:val="14"/>
              </w:rPr>
              <w:t>Ejercicio económico</w:t>
            </w:r>
          </w:p>
        </w:tc>
        <w:tc>
          <w:tcPr>
            <w:tcW w:w="1924"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Presupuesto del Ministerio</w:t>
            </w:r>
            <w:r>
              <w:rPr>
                <w:i/>
                <w:sz w:val="14"/>
              </w:rPr>
              <w:br/>
              <w:t>(en millones)</w:t>
            </w:r>
          </w:p>
        </w:tc>
        <w:tc>
          <w:tcPr>
            <w:tcW w:w="1924"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Presupuesto del Ministerio</w:t>
            </w:r>
            <w:r>
              <w:rPr>
                <w:i/>
                <w:sz w:val="14"/>
              </w:rPr>
              <w:br/>
              <w:t>como porcentaje del pr</w:t>
            </w:r>
            <w:r>
              <w:rPr>
                <w:i/>
                <w:sz w:val="14"/>
              </w:rPr>
              <w:t>e</w:t>
            </w:r>
            <w:r>
              <w:rPr>
                <w:i/>
                <w:sz w:val="14"/>
              </w:rPr>
              <w:t>supuesto del Estado</w:t>
            </w:r>
          </w:p>
        </w:tc>
        <w:tc>
          <w:tcPr>
            <w:tcW w:w="1924"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Crecimiento porcentual del presupuesto de educ</w:t>
            </w:r>
            <w:r>
              <w:rPr>
                <w:i/>
                <w:sz w:val="14"/>
              </w:rPr>
              <w:t>a</w:t>
            </w:r>
            <w:r>
              <w:rPr>
                <w:i/>
                <w:sz w:val="14"/>
              </w:rPr>
              <w:t>ción</w:t>
            </w:r>
          </w:p>
        </w:tc>
      </w:tr>
      <w:tr w:rsidR="00000000">
        <w:tblPrEx>
          <w:tblCellMar>
            <w:top w:w="0" w:type="dxa"/>
            <w:bottom w:w="0" w:type="dxa"/>
          </w:tblCellMar>
        </w:tblPrEx>
        <w:trPr>
          <w:trHeight w:hRule="exact" w:val="115"/>
          <w:tblHeader/>
        </w:trPr>
        <w:tc>
          <w:tcPr>
            <w:tcW w:w="1548"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192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92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92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1548"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1993/94</w:t>
            </w:r>
          </w:p>
        </w:tc>
        <w:tc>
          <w:tcPr>
            <w:tcW w:w="192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304 950</w:t>
            </w:r>
          </w:p>
        </w:tc>
        <w:tc>
          <w:tcPr>
            <w:tcW w:w="192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8,1</w:t>
            </w:r>
          </w:p>
        </w:tc>
        <w:tc>
          <w:tcPr>
            <w:tcW w:w="192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100</w:t>
            </w:r>
          </w:p>
        </w:tc>
      </w:tr>
      <w:tr w:rsidR="00000000">
        <w:tblPrEx>
          <w:tblCellMar>
            <w:top w:w="0" w:type="dxa"/>
            <w:bottom w:w="0" w:type="dxa"/>
          </w:tblCellMar>
        </w:tblPrEx>
        <w:tc>
          <w:tcPr>
            <w:tcW w:w="1548"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1994/95</w:t>
            </w:r>
          </w:p>
        </w:tc>
        <w:tc>
          <w:tcPr>
            <w:tcW w:w="192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311 765</w:t>
            </w:r>
          </w:p>
        </w:tc>
        <w:tc>
          <w:tcPr>
            <w:tcW w:w="192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7,6</w:t>
            </w:r>
          </w:p>
        </w:tc>
        <w:tc>
          <w:tcPr>
            <w:tcW w:w="192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102</w:t>
            </w:r>
          </w:p>
        </w:tc>
      </w:tr>
      <w:tr w:rsidR="00000000">
        <w:tblPrEx>
          <w:tblCellMar>
            <w:top w:w="0" w:type="dxa"/>
            <w:bottom w:w="0" w:type="dxa"/>
          </w:tblCellMar>
        </w:tblPrEx>
        <w:tc>
          <w:tcPr>
            <w:tcW w:w="1548"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1995/96</w:t>
            </w:r>
          </w:p>
        </w:tc>
        <w:tc>
          <w:tcPr>
            <w:tcW w:w="192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319 215</w:t>
            </w:r>
          </w:p>
        </w:tc>
        <w:tc>
          <w:tcPr>
            <w:tcW w:w="192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7,2</w:t>
            </w:r>
          </w:p>
        </w:tc>
        <w:tc>
          <w:tcPr>
            <w:tcW w:w="192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105</w:t>
            </w:r>
          </w:p>
        </w:tc>
      </w:tr>
      <w:tr w:rsidR="00000000">
        <w:tblPrEx>
          <w:tblCellMar>
            <w:top w:w="0" w:type="dxa"/>
            <w:bottom w:w="0" w:type="dxa"/>
          </w:tblCellMar>
        </w:tblPrEx>
        <w:tc>
          <w:tcPr>
            <w:tcW w:w="1548"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1996/97</w:t>
            </w:r>
          </w:p>
        </w:tc>
        <w:tc>
          <w:tcPr>
            <w:tcW w:w="192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329 606</w:t>
            </w:r>
          </w:p>
        </w:tc>
        <w:tc>
          <w:tcPr>
            <w:tcW w:w="192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7,9</w:t>
            </w:r>
          </w:p>
        </w:tc>
        <w:tc>
          <w:tcPr>
            <w:tcW w:w="1924"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108</w:t>
            </w:r>
          </w:p>
        </w:tc>
      </w:tr>
      <w:tr w:rsidR="00000000">
        <w:tblPrEx>
          <w:tblCellMar>
            <w:top w:w="0" w:type="dxa"/>
            <w:bottom w:w="0" w:type="dxa"/>
          </w:tblCellMar>
        </w:tblPrEx>
        <w:tc>
          <w:tcPr>
            <w:tcW w:w="154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1997/98</w:t>
            </w:r>
          </w:p>
        </w:tc>
        <w:tc>
          <w:tcPr>
            <w:tcW w:w="192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366 154</w:t>
            </w:r>
          </w:p>
        </w:tc>
        <w:tc>
          <w:tcPr>
            <w:tcW w:w="192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8,4</w:t>
            </w:r>
          </w:p>
        </w:tc>
        <w:tc>
          <w:tcPr>
            <w:tcW w:w="192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120</w:t>
            </w:r>
          </w:p>
        </w:tc>
      </w:tr>
    </w:tbl>
    <w:p w:rsidR="00000000" w:rsidRDefault="00000000">
      <w:pPr>
        <w:pStyle w:val="SingleTxt"/>
        <w:ind w:firstLine="475"/>
      </w:pPr>
    </w:p>
    <w:p w:rsidR="00000000" w:rsidRDefault="00000000">
      <w:pPr>
        <w:pStyle w:val="SingleTxt"/>
        <w:ind w:firstLine="475"/>
      </w:pPr>
      <w:r>
        <w:t>Además del Ministerio de Educación, también destinan recursos a la educ</w:t>
      </w:r>
      <w:r>
        <w:t>a</w:t>
      </w:r>
      <w:r>
        <w:t>ción, en forma de asistencia material o asistencia en especie, otras autoridades, entre las que figuran las siguientes:</w:t>
      </w:r>
    </w:p>
    <w:p w:rsidR="00000000" w:rsidRDefault="00000000">
      <w:pPr>
        <w:pStyle w:val="SingleTxt"/>
        <w:ind w:firstLine="475"/>
      </w:pPr>
      <w:r>
        <w:t>–</w:t>
      </w:r>
      <w:r>
        <w:tab/>
        <w:t>La Institución de Kuwait para el Progreso Científico, que contribuyó e</w:t>
      </w:r>
      <w:r>
        <w:t>s</w:t>
      </w:r>
      <w:r>
        <w:t>tableciendo bibliotecas en varias escuelas de Kuwait, junto con la Organización de las Naciones Unidas para la Educación, la Ciencia y la Cultura (UNESCO), el Ce</w:t>
      </w:r>
      <w:r>
        <w:t>n</w:t>
      </w:r>
      <w:r>
        <w:t>tro Maternoinfantil;</w:t>
      </w:r>
    </w:p>
    <w:p w:rsidR="00000000" w:rsidRDefault="00000000">
      <w:pPr>
        <w:pStyle w:val="SingleTxt"/>
        <w:ind w:firstLine="475"/>
      </w:pPr>
      <w:r>
        <w:t>–</w:t>
      </w:r>
      <w:r>
        <w:tab/>
        <w:t>El Consejo Nacional de Promoción de la Educación, un órgano perm</w:t>
      </w:r>
      <w:r>
        <w:t>a</w:t>
      </w:r>
      <w:r>
        <w:t>nente que se estableció con arreglo a la Ordenanza Ministerial N° 95/30, promulg</w:t>
      </w:r>
      <w:r>
        <w:t>a</w:t>
      </w:r>
      <w:r>
        <w:t>da el 1° de julio de 1995, a fin de promover y fomentar la educación y prestar ate</w:t>
      </w:r>
      <w:r>
        <w:t>n</w:t>
      </w:r>
      <w:r>
        <w:t>ción a los proyectos educacionales. El presupuesto del Consejo se financia con d</w:t>
      </w:r>
      <w:r>
        <w:t>o</w:t>
      </w:r>
      <w:r>
        <w:t>naciones en dinero y en especie de organismos oficiales y privados. El Consejo fo</w:t>
      </w:r>
      <w:r>
        <w:t>r</w:t>
      </w:r>
      <w:r>
        <w:t>muló varios proyectos que luego aplicó en las escuelas estatales, en particular el proyecto de creación de laboratorios de computación;</w:t>
      </w:r>
    </w:p>
    <w:p w:rsidR="00000000" w:rsidRDefault="00000000">
      <w:pPr>
        <w:pStyle w:val="SingleTxt"/>
        <w:ind w:firstLine="475"/>
      </w:pPr>
      <w:r>
        <w:t>–</w:t>
      </w:r>
      <w:r>
        <w:tab/>
        <w:t>El Fondo de Dotación para el Desarrollo Científico, que forma parte de la Secretaría General de Fondos de Dotación, tiene un capital formado por fondos de dotación, cuyos ingresos se destinan a la promoción y el desarrollo de la educación y los servicios de educación en Kuwait;</w:t>
      </w:r>
    </w:p>
    <w:p w:rsidR="00000000" w:rsidRDefault="00000000">
      <w:pPr>
        <w:pStyle w:val="SingleTxt"/>
        <w:ind w:firstLine="475"/>
      </w:pPr>
      <w:r>
        <w:t>–</w:t>
      </w:r>
      <w:r>
        <w:tab/>
        <w:t>El Fondo de Dotación para la Cultura y las Ideas, que también forma parte de la Secretaría General de Fondos de Dotación, se ocupa del desarrollo y la pr</w:t>
      </w:r>
      <w:r>
        <w:t>o</w:t>
      </w:r>
      <w:r>
        <w:t>moción de actividades intelectuales y culturales en Kuwait;</w:t>
      </w:r>
    </w:p>
    <w:p w:rsidR="00000000" w:rsidRDefault="00000000">
      <w:pPr>
        <w:pStyle w:val="SingleTxt"/>
        <w:ind w:firstLine="475"/>
      </w:pPr>
      <w:r>
        <w:t>–</w:t>
      </w:r>
      <w:r>
        <w:tab/>
        <w:t>El Fondo Financiero Escolar, administrado en cada una de las escuelas por la dirección de la escuela, se destina a gastos para satisfacer las necesidades g</w:t>
      </w:r>
      <w:r>
        <w:t>e</w:t>
      </w:r>
      <w:r>
        <w:t>nerales de las escuelas.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estructura orgánica de la educación pública</w:t>
      </w:r>
    </w:p>
    <w:p w:rsidR="00000000" w:rsidRDefault="00000000">
      <w:pPr>
        <w:pStyle w:val="SingleTxt"/>
        <w:spacing w:after="0" w:line="120" w:lineRule="exact"/>
        <w:ind w:firstLine="475"/>
        <w:rPr>
          <w:sz w:val="10"/>
        </w:rPr>
      </w:pPr>
    </w:p>
    <w:p w:rsidR="00000000" w:rsidRDefault="00000000">
      <w:pPr>
        <w:pStyle w:val="SingleTxt"/>
        <w:ind w:firstLine="475"/>
      </w:pPr>
      <w:r>
        <w:t>La educación pública en Kuwait se divide en tres ciclos:</w:t>
      </w:r>
    </w:p>
    <w:p w:rsidR="00000000" w:rsidRDefault="00000000">
      <w:pPr>
        <w:pStyle w:val="SingleTxt"/>
        <w:ind w:firstLine="475"/>
      </w:pPr>
      <w:r>
        <w:t>–</w:t>
      </w:r>
      <w:r>
        <w:tab/>
        <w:t>El ciclo primario (cuatro años);</w:t>
      </w:r>
    </w:p>
    <w:p w:rsidR="00000000" w:rsidRDefault="00000000">
      <w:pPr>
        <w:pStyle w:val="SingleTxt"/>
        <w:ind w:firstLine="475"/>
      </w:pPr>
      <w:r>
        <w:t>–</w:t>
      </w:r>
      <w:r>
        <w:tab/>
        <w:t>El ciclo intermedio (cuatro años);</w:t>
      </w:r>
    </w:p>
    <w:p w:rsidR="00000000" w:rsidRDefault="00000000">
      <w:pPr>
        <w:pStyle w:val="SingleTxt"/>
        <w:ind w:firstLine="475"/>
      </w:pPr>
      <w:r>
        <w:t>–</w:t>
      </w:r>
      <w:r>
        <w:tab/>
        <w:t>El ciclo secundario (cuatro años).</w:t>
      </w:r>
    </w:p>
    <w:p w:rsidR="00000000" w:rsidRDefault="00000000">
      <w:pPr>
        <w:pStyle w:val="SingleTxt"/>
        <w:ind w:firstLine="475"/>
      </w:pPr>
      <w:r>
        <w:t>Precedidas por la etapa de jardín de infantes, de dos años de duración, los c</w:t>
      </w:r>
      <w:r>
        <w:t>i</w:t>
      </w:r>
      <w:r>
        <w:t>clos indicados se dividen teniendo debidamente en cuenta las características físicas y mentales de los alumnos de las distintas edades.</w:t>
      </w:r>
    </w:p>
    <w:p w:rsidR="00000000" w:rsidRDefault="00000000">
      <w:pPr>
        <w:pStyle w:val="SingleTxt"/>
        <w:ind w:firstLine="475"/>
      </w:pPr>
      <w:r>
        <w:t>En el cuadro siguiente se indica la edad de los alumnos y la duración de los estudios en los distintos ciclos de la educación:</w:t>
      </w:r>
    </w:p>
    <w:p w:rsidR="00000000" w:rsidRDefault="00000000">
      <w:pPr>
        <w:pStyle w:val="SingleTxt"/>
        <w:spacing w:after="0" w:line="120" w:lineRule="exact"/>
        <w:ind w:firstLine="475"/>
        <w:rPr>
          <w:sz w:val="10"/>
        </w:rPr>
      </w:pPr>
    </w:p>
    <w:tbl>
      <w:tblPr>
        <w:tblW w:w="0" w:type="auto"/>
        <w:jc w:val="center"/>
        <w:tblLayout w:type="fixed"/>
        <w:tblLook w:val="0000" w:firstRow="0" w:lastRow="0" w:firstColumn="0" w:lastColumn="0" w:noHBand="0" w:noVBand="0"/>
      </w:tblPr>
      <w:tblGrid>
        <w:gridCol w:w="1710"/>
        <w:gridCol w:w="1440"/>
        <w:gridCol w:w="1800"/>
      </w:tblGrid>
      <w:tr w:rsidR="00000000">
        <w:tblPrEx>
          <w:tblCellMar>
            <w:top w:w="0" w:type="dxa"/>
            <w:bottom w:w="0" w:type="dxa"/>
          </w:tblCellMar>
        </w:tblPrEx>
        <w:trPr>
          <w:tblHeader/>
          <w:jc w:val="center"/>
        </w:trPr>
        <w:tc>
          <w:tcPr>
            <w:tcW w:w="1710" w:type="dxa"/>
            <w:tcBorders>
              <w:top w:val="single" w:sz="4" w:space="0" w:color="auto"/>
            </w:tcBorders>
            <w:vAlign w:val="bottom"/>
          </w:tcPr>
          <w:p w:rsidR="00000000" w:rsidRDefault="00000000">
            <w:pPr>
              <w:pStyle w:val="SingleTxt"/>
              <w:spacing w:before="81" w:after="81" w:line="160" w:lineRule="exact"/>
              <w:ind w:left="0" w:right="40"/>
              <w:rPr>
                <w:i/>
                <w:sz w:val="14"/>
              </w:rPr>
            </w:pPr>
            <w:r>
              <w:rPr>
                <w:i/>
                <w:sz w:val="14"/>
              </w:rPr>
              <w:t>Ciclo de la educación</w:t>
            </w:r>
          </w:p>
        </w:tc>
        <w:tc>
          <w:tcPr>
            <w:tcW w:w="144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Grupo de edades</w:t>
            </w:r>
          </w:p>
        </w:tc>
        <w:tc>
          <w:tcPr>
            <w:tcW w:w="180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Duración de los estudios</w:t>
            </w:r>
          </w:p>
        </w:tc>
      </w:tr>
      <w:tr w:rsidR="00000000">
        <w:tblPrEx>
          <w:tblCellMar>
            <w:top w:w="0" w:type="dxa"/>
            <w:bottom w:w="0" w:type="dxa"/>
          </w:tblCellMar>
        </w:tblPrEx>
        <w:trPr>
          <w:trHeight w:hRule="exact" w:val="115"/>
          <w:tblHeader/>
          <w:jc w:val="center"/>
        </w:trPr>
        <w:tc>
          <w:tcPr>
            <w:tcW w:w="1710"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144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80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jc w:val="center"/>
        </w:trPr>
        <w:tc>
          <w:tcPr>
            <w:tcW w:w="1710"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Jardín de infantes</w:t>
            </w:r>
          </w:p>
        </w:tc>
        <w:tc>
          <w:tcPr>
            <w:tcW w:w="144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 a 5</w:t>
            </w:r>
          </w:p>
        </w:tc>
        <w:tc>
          <w:tcPr>
            <w:tcW w:w="18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años</w:t>
            </w:r>
          </w:p>
        </w:tc>
      </w:tr>
      <w:tr w:rsidR="00000000">
        <w:tblPrEx>
          <w:tblCellMar>
            <w:top w:w="0" w:type="dxa"/>
            <w:bottom w:w="0" w:type="dxa"/>
          </w:tblCellMar>
        </w:tblPrEx>
        <w:trPr>
          <w:jc w:val="center"/>
        </w:trPr>
        <w:tc>
          <w:tcPr>
            <w:tcW w:w="1710"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Primaria</w:t>
            </w:r>
          </w:p>
        </w:tc>
        <w:tc>
          <w:tcPr>
            <w:tcW w:w="144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 a 9</w:t>
            </w:r>
          </w:p>
        </w:tc>
        <w:tc>
          <w:tcPr>
            <w:tcW w:w="18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 años</w:t>
            </w:r>
          </w:p>
        </w:tc>
      </w:tr>
      <w:tr w:rsidR="00000000">
        <w:tblPrEx>
          <w:tblCellMar>
            <w:top w:w="0" w:type="dxa"/>
            <w:bottom w:w="0" w:type="dxa"/>
          </w:tblCellMar>
        </w:tblPrEx>
        <w:trPr>
          <w:jc w:val="center"/>
        </w:trPr>
        <w:tc>
          <w:tcPr>
            <w:tcW w:w="1710"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Intermedia</w:t>
            </w:r>
          </w:p>
        </w:tc>
        <w:tc>
          <w:tcPr>
            <w:tcW w:w="144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10 a 13</w:t>
            </w:r>
          </w:p>
        </w:tc>
        <w:tc>
          <w:tcPr>
            <w:tcW w:w="18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 años</w:t>
            </w:r>
          </w:p>
        </w:tc>
      </w:tr>
      <w:tr w:rsidR="00000000">
        <w:tblPrEx>
          <w:tblCellMar>
            <w:top w:w="0" w:type="dxa"/>
            <w:bottom w:w="0" w:type="dxa"/>
          </w:tblCellMar>
        </w:tblPrEx>
        <w:trPr>
          <w:jc w:val="center"/>
        </w:trPr>
        <w:tc>
          <w:tcPr>
            <w:tcW w:w="1710"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Secundaria</w:t>
            </w:r>
          </w:p>
        </w:tc>
        <w:tc>
          <w:tcPr>
            <w:tcW w:w="144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 a 17</w:t>
            </w:r>
          </w:p>
        </w:tc>
        <w:tc>
          <w:tcPr>
            <w:tcW w:w="18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 años</w:t>
            </w:r>
          </w:p>
        </w:tc>
      </w:tr>
      <w:tr w:rsidR="00000000">
        <w:tblPrEx>
          <w:tblCellMar>
            <w:top w:w="0" w:type="dxa"/>
            <w:bottom w:w="0" w:type="dxa"/>
          </w:tblCellMar>
        </w:tblPrEx>
        <w:trPr>
          <w:jc w:val="center"/>
        </w:trPr>
        <w:tc>
          <w:tcPr>
            <w:tcW w:w="17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Universitaria</w:t>
            </w:r>
          </w:p>
        </w:tc>
        <w:tc>
          <w:tcPr>
            <w:tcW w:w="144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 a 24</w:t>
            </w:r>
          </w:p>
        </w:tc>
        <w:tc>
          <w:tcPr>
            <w:tcW w:w="180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 años</w:t>
            </w:r>
          </w:p>
        </w:tc>
      </w:tr>
    </w:tbl>
    <w:p w:rsidR="00000000" w:rsidRDefault="00000000">
      <w:pPr>
        <w:pStyle w:val="SingleTxt"/>
        <w:ind w:firstLine="475"/>
      </w:pPr>
    </w:p>
    <w:p w:rsidR="00000000" w:rsidRDefault="00000000">
      <w:pPr>
        <w:pStyle w:val="SingleTxt"/>
        <w:ind w:firstLine="475"/>
      </w:pPr>
      <w:r>
        <w:t>La educación en Kuwait es obligatoria para todos los niños y las niñas desde el comienzo del ciclo primario hasta el final del ciclo intermedio. Tiene nueve años de duración y se extiende de los 6 a los 14 años de edad. La obligatoriedad de la ens</w:t>
      </w:r>
      <w:r>
        <w:t>e</w:t>
      </w:r>
      <w:r>
        <w:t>ñanza termina a los 14 años para los alumnos que a esa edad no han terminado con éxito el ciclo primario, y a los 16 para los que a esa edad no han terminado con éxito el ciclo intermedio, en cuyo caso se les permite seguir estudiando hasta los 18 años de edad.</w:t>
      </w:r>
    </w:p>
    <w:p w:rsidR="00000000" w:rsidRDefault="00000000">
      <w:pPr>
        <w:pStyle w:val="SingleTxt"/>
        <w:ind w:firstLine="475"/>
      </w:pPr>
      <w:r>
        <w:t>Además de la educación pública existen otros tipos de educación estatal en distintos niveles, como se indica a continuación: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Jardín de infantes</w:t>
      </w:r>
    </w:p>
    <w:p w:rsidR="00000000" w:rsidRDefault="00000000">
      <w:pPr>
        <w:pStyle w:val="SingleTxt"/>
        <w:spacing w:after="0" w:line="120" w:lineRule="exact"/>
        <w:ind w:firstLine="475"/>
        <w:rPr>
          <w:sz w:val="10"/>
        </w:rPr>
      </w:pPr>
    </w:p>
    <w:p w:rsidR="00000000" w:rsidRDefault="00000000">
      <w:pPr>
        <w:pStyle w:val="SingleTxt"/>
        <w:ind w:firstLine="475"/>
      </w:pPr>
      <w:r>
        <w:t>Si bien la educación en jardín de infantes se considera educación pública, no se considera un ciclo de la educación. Precede al ciclo primario y tiene la finalidad de acostumbrar a los niños al ambiente educacional y permitirles adquirir las destrezas y los valores básicos que los capacitarán para adaptarse rápidamente al ciclo prim</w:t>
      </w:r>
      <w:r>
        <w:t>a</w:t>
      </w:r>
      <w:r>
        <w:t>rio y cursarlo con éxito.</w:t>
      </w:r>
    </w:p>
    <w:p w:rsidR="00000000" w:rsidRDefault="00000000">
      <w:pPr>
        <w:pStyle w:val="SingleTxt"/>
        <w:ind w:firstLine="475"/>
      </w:pPr>
      <w:r>
        <w:t>En el año lectivo 1998/99 había 148 jardines de infantes. Distribuidos por todo Kuwait y equipados con los equipos y tecnologías educacionales más recientes, los jardines de infantes emplean recursos humanos especializados. En ellos trabajan en total 3.073 maestras, como surge de los datos estadísticos contenidos en el cuadro siguiente, que ilustra claramente el crecimiento de la educación en jardines de i</w:t>
      </w:r>
      <w:r>
        <w:t>n</w:t>
      </w:r>
      <w:r>
        <w:t>fantes durante el período comprendido entre los años lectivos 1994/95 y 1998/99. As</w:t>
      </w:r>
      <w:r>
        <w:t>i</w:t>
      </w:r>
      <w:r>
        <w:t>mismo indica que está creciendo la cantidad de alumnas y de maestras:</w:t>
      </w:r>
    </w:p>
    <w:p w:rsidR="00000000" w:rsidRDefault="00000000">
      <w:pPr>
        <w:pStyle w:val="SingleTxt"/>
        <w:ind w:firstLine="475"/>
      </w:pPr>
    </w:p>
    <w:tbl>
      <w:tblPr>
        <w:tblW w:w="0" w:type="auto"/>
        <w:tblInd w:w="1154" w:type="dxa"/>
        <w:tblLayout w:type="fixed"/>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tblHeader/>
        </w:trPr>
        <w:tc>
          <w:tcPr>
            <w:tcW w:w="1046" w:type="dxa"/>
            <w:tcBorders>
              <w:top w:val="single" w:sz="4" w:space="0" w:color="auto"/>
            </w:tcBorders>
            <w:vAlign w:val="bottom"/>
          </w:tcPr>
          <w:p w:rsidR="00000000" w:rsidRDefault="00000000">
            <w:pPr>
              <w:pStyle w:val="SingleTxt"/>
              <w:spacing w:before="81" w:after="81" w:line="160" w:lineRule="exact"/>
              <w:ind w:left="0" w:right="40"/>
              <w:rPr>
                <w:i/>
                <w:sz w:val="14"/>
              </w:rPr>
            </w:pPr>
            <w:r>
              <w:rPr>
                <w:i/>
                <w:sz w:val="14"/>
              </w:rPr>
              <w:t>Año lectivo</w:t>
            </w:r>
          </w:p>
        </w:tc>
        <w:tc>
          <w:tcPr>
            <w:tcW w:w="1046"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Hombres</w:t>
            </w:r>
          </w:p>
        </w:tc>
        <w:tc>
          <w:tcPr>
            <w:tcW w:w="1046"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Mujeres</w:t>
            </w:r>
          </w:p>
        </w:tc>
        <w:tc>
          <w:tcPr>
            <w:tcW w:w="1046"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Total</w:t>
            </w:r>
          </w:p>
        </w:tc>
        <w:tc>
          <w:tcPr>
            <w:tcW w:w="1046"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Escuelas</w:t>
            </w:r>
          </w:p>
        </w:tc>
        <w:tc>
          <w:tcPr>
            <w:tcW w:w="1046"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Aulas</w:t>
            </w:r>
          </w:p>
        </w:tc>
        <w:tc>
          <w:tcPr>
            <w:tcW w:w="1046"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Maestros</w:t>
            </w:r>
          </w:p>
        </w:tc>
      </w:tr>
      <w:tr w:rsidR="00000000">
        <w:tblPrEx>
          <w:tblCellMar>
            <w:top w:w="0" w:type="dxa"/>
            <w:bottom w:w="0" w:type="dxa"/>
          </w:tblCellMar>
        </w:tblPrEx>
        <w:trPr>
          <w:trHeight w:hRule="exact" w:val="115"/>
          <w:tblHeader/>
        </w:trPr>
        <w:tc>
          <w:tcPr>
            <w:tcW w:w="1046"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1046"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46"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46"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46"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46"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46"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1994/95</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19 289</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18 799</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38 088</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138</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1 290</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2 388</w:t>
            </w:r>
          </w:p>
        </w:tc>
      </w:tr>
      <w:tr w:rsidR="00000000">
        <w:tblPrEx>
          <w:tblCellMar>
            <w:top w:w="0" w:type="dxa"/>
            <w:bottom w:w="0" w:type="dxa"/>
          </w:tblCellMar>
        </w:tblPrEx>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1995/96</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18 688</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18 332</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37 020</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143</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1 332</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2 534</w:t>
            </w:r>
          </w:p>
        </w:tc>
      </w:tr>
      <w:tr w:rsidR="00000000">
        <w:tblPrEx>
          <w:tblCellMar>
            <w:top w:w="0" w:type="dxa"/>
            <w:bottom w:w="0" w:type="dxa"/>
          </w:tblCellMar>
        </w:tblPrEx>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1996/97</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18 967</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18 554</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37 521</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145</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1 356</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2 697</w:t>
            </w:r>
          </w:p>
        </w:tc>
      </w:tr>
      <w:tr w:rsidR="00000000">
        <w:tblPrEx>
          <w:tblCellMar>
            <w:top w:w="0" w:type="dxa"/>
            <w:bottom w:w="0" w:type="dxa"/>
          </w:tblCellMar>
        </w:tblPrEx>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1997/98</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20 800</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21 272</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42 072</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144</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1384</w:t>
            </w:r>
          </w:p>
        </w:tc>
        <w:tc>
          <w:tcPr>
            <w:tcW w:w="104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2 862</w:t>
            </w:r>
          </w:p>
        </w:tc>
      </w:tr>
      <w:tr w:rsidR="00000000">
        <w:tblPrEx>
          <w:tblCellMar>
            <w:top w:w="0" w:type="dxa"/>
            <w:bottom w:w="0" w:type="dxa"/>
          </w:tblCellMar>
        </w:tblPrEx>
        <w:tc>
          <w:tcPr>
            <w:tcW w:w="104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1998/99</w:t>
            </w:r>
          </w:p>
        </w:tc>
        <w:tc>
          <w:tcPr>
            <w:tcW w:w="104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21 914</w:t>
            </w:r>
          </w:p>
        </w:tc>
        <w:tc>
          <w:tcPr>
            <w:tcW w:w="104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21 556</w:t>
            </w:r>
          </w:p>
        </w:tc>
        <w:tc>
          <w:tcPr>
            <w:tcW w:w="104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43 470</w:t>
            </w:r>
          </w:p>
        </w:tc>
        <w:tc>
          <w:tcPr>
            <w:tcW w:w="104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148</w:t>
            </w:r>
          </w:p>
        </w:tc>
        <w:tc>
          <w:tcPr>
            <w:tcW w:w="104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1 445</w:t>
            </w:r>
          </w:p>
        </w:tc>
        <w:tc>
          <w:tcPr>
            <w:tcW w:w="104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3 073</w:t>
            </w:r>
          </w:p>
        </w:tc>
      </w:tr>
    </w:tbl>
    <w:p w:rsidR="00000000" w:rsidRDefault="00000000">
      <w:pPr>
        <w:pStyle w:val="SingleTxt"/>
        <w:ind w:firstLine="475"/>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b)</w:t>
      </w:r>
      <w:r>
        <w:tab/>
        <w:t xml:space="preserve">Educación específica, </w:t>
      </w:r>
      <w:r>
        <w:rPr>
          <w:i w:val="0"/>
        </w:rPr>
        <w:t>que comprende: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i.</w:t>
      </w:r>
      <w:r>
        <w:tab/>
        <w:t>Educación de adultos</w:t>
      </w:r>
    </w:p>
    <w:p w:rsidR="00000000" w:rsidRDefault="00000000">
      <w:pPr>
        <w:pStyle w:val="SingleTxt"/>
        <w:spacing w:after="0" w:line="120" w:lineRule="exact"/>
        <w:ind w:firstLine="475"/>
        <w:rPr>
          <w:sz w:val="10"/>
        </w:rPr>
      </w:pPr>
    </w:p>
    <w:p w:rsidR="00000000" w:rsidRDefault="00000000">
      <w:pPr>
        <w:pStyle w:val="SingleTxt"/>
        <w:ind w:firstLine="475"/>
      </w:pPr>
      <w:r>
        <w:t>Este tipo de educación, que comprende los mismos tres ciclos que la educación pública, es obligatoria en virtud de la Ley N° 4 de 1981, que tiene el objetivo de erradicar el analfabetismo y brindar a los que no lo hicieron antes la oportunidad de obtener educación y desempeñar un papel en el proceso de desarrollo. La promulg</w:t>
      </w:r>
      <w:r>
        <w:t>a</w:t>
      </w:r>
      <w:r>
        <w:t>ción de dicha Ley fue precedida por varios esfuerzos encaminados a erradicar el analfabetismo. Dichos esfuerzos lograron en esa época reducir en importante grado la tasa de analfabetismo, que llegó entonces a ser aproximadamente del 50,5% para las mujeres y del 32% para los hombres. La matriculación en los centros de alfabet</w:t>
      </w:r>
      <w:r>
        <w:t>i</w:t>
      </w:r>
      <w:r>
        <w:t>zación había sido facultativa y dependía de la voluntad del estudiante. Sin embargo, la existencia de esas tasas de analfabetismo en 1981, a pesar de todos los esfuerzos y del potencial disponible, no estaba a la altura de las aspiraciones y los deseos del Estado de mantenerse al ritmo del progreso logrado en varias esferas. Por cons</w:t>
      </w:r>
      <w:r>
        <w:t>i</w:t>
      </w:r>
      <w:r>
        <w:t>guiente, la promulgación de la Ley mencionada fue esencial para establecer las b</w:t>
      </w:r>
      <w:r>
        <w:t>a</w:t>
      </w:r>
      <w:r>
        <w:t>ses y los principios de una nueva campaña de alfabetización desde una perspectiva nueva y comprensiva. El artículo 1 de la Ley dispone que la erradicación del analf</w:t>
      </w:r>
      <w:r>
        <w:t>a</w:t>
      </w:r>
      <w:r>
        <w:t>betismo es una responsabilidad nacional cuya finalidad es brindar a los analfabetos un grado de educación que les permita elevar su condición cultural y social, y cons</w:t>
      </w:r>
      <w:r>
        <w:t>i</w:t>
      </w:r>
      <w:r>
        <w:t>guientemente estar en mejores condiciones de hacer una contribución al perfecci</w:t>
      </w:r>
      <w:r>
        <w:t>o</w:t>
      </w:r>
      <w:r>
        <w:t>narse a sí mismos a la sociedad y hacer frente a las exigencias de la vida. Del ex</w:t>
      </w:r>
      <w:r>
        <w:t>a</w:t>
      </w:r>
      <w:r>
        <w:t>men de este artículo surge que se refleja de manera clara y firme el cambio de act</w:t>
      </w:r>
      <w:r>
        <w:t>i</w:t>
      </w:r>
      <w:r>
        <w:t>tud hacia el problema de la erradicación del analfabetismo, al que considera no sólo como un problema educacional para determinados grupos de la sociedad al que se pone fin cuando el gobierno lo aborda. En cambio, brinda a los analfabetos oport</w:t>
      </w:r>
      <w:r>
        <w:t>u</w:t>
      </w:r>
      <w:r>
        <w:t>nidades de desarrollo cultural y social a fin de que estén más capacitados para d</w:t>
      </w:r>
      <w:r>
        <w:t>e</w:t>
      </w:r>
      <w:r>
        <w:t>sempeñar una función eficaz en los planes comprensivos de desarrollo.</w:t>
      </w:r>
    </w:p>
    <w:p w:rsidR="00000000" w:rsidRDefault="00000000">
      <w:pPr>
        <w:pStyle w:val="SingleTxt"/>
        <w:ind w:firstLine="475"/>
      </w:pPr>
      <w:r>
        <w:t>Teniendo presentes las circunstancias de los analfabetos, la Ley se propone s</w:t>
      </w:r>
      <w:r>
        <w:t>u</w:t>
      </w:r>
      <w:r>
        <w:t>perar las dificultades que puedan obstaculizar su oportunidad de recuperar el tiempo perdido en sus estudios, principalmente deduciendo el período de estudio de las h</w:t>
      </w:r>
      <w:r>
        <w:t>o</w:t>
      </w:r>
      <w:r>
        <w:t>ras de trabajo oficiales cuando haya conflicto entre ambos, con arreglo a lo di</w:t>
      </w:r>
      <w:r>
        <w:t>s</w:t>
      </w:r>
      <w:r>
        <w:t>puesto en el artículo 8. El artículo 20 estipula que todo empleador que contravenga lo dispuesto en el artículo 8 será castigado con multa de hasta 100 dinares, y as</w:t>
      </w:r>
      <w:r>
        <w:t>i</w:t>
      </w:r>
      <w:r>
        <w:t>mismo dispone que los empleadores deben proporcionar al Ministro de Educación los nombres de sus trabajadores que sean analfabetos. De conformidad con los art</w:t>
      </w:r>
      <w:r>
        <w:t>í</w:t>
      </w:r>
      <w:r>
        <w:t>culos 15 a 19, la asistencia con provecho a un centro de alfabetización es condición necesaria para el nombramiento como empleado del gobierno, y para el ascenso en el caso de los obreros. Esos artículos también estipulan que deberán otorgarse pr</w:t>
      </w:r>
      <w:r>
        <w:t>e</w:t>
      </w:r>
      <w:r>
        <w:t>mios como incentivos a los que culminen el estudio con distinción, en particular las mujeres. Como complemento de la campaña comprensiva de erradicación del ana</w:t>
      </w:r>
      <w:r>
        <w:t>l</w:t>
      </w:r>
      <w:r>
        <w:t>fabetismo, el 22 de febrero de 1981 se promulgó un Decreto del Emir por el que se formó un Comité de Alfabetización presidido por el Ministro de Educación e int</w:t>
      </w:r>
      <w:r>
        <w:t>e</w:t>
      </w:r>
      <w:r>
        <w:t>grado por representantes de los ministerios competentes, el sector privado, las org</w:t>
      </w:r>
      <w:r>
        <w:t>a</w:t>
      </w:r>
      <w:r>
        <w:t>nizaciones de base y personalidades nacionales experimentadas. Con arreglo a la Ordenanza N° 92/1981 del Ministro de Educación, el Comité mencionado generó otros comités, a saber, el Comité de Información, el Comité de Estadísticas, el C</w:t>
      </w:r>
      <w:r>
        <w:t>o</w:t>
      </w:r>
      <w:r>
        <w:t>mité Técnico y el Comité de Asuntos Sociales y de Salud. En el marco de sus re</w:t>
      </w:r>
      <w:r>
        <w:t>s</w:t>
      </w:r>
      <w:r>
        <w:t>pectivas esferas de especialización, cada uno de esos comités estudió exhaustiv</w:t>
      </w:r>
      <w:r>
        <w:t>a</w:t>
      </w:r>
      <w:r>
        <w:t>mente el Decreto Legislativo N° 4 de 1981 a fin de contar con un panorama general de los objetivos de la alfabetización. Sobre la base de sus estudios, el Ministro de Educación promulgó varias ordenanzas, en particular las siguientes:</w:t>
      </w:r>
    </w:p>
    <w:p w:rsidR="00000000" w:rsidRDefault="00000000">
      <w:pPr>
        <w:pStyle w:val="SingleTxt"/>
        <w:numPr>
          <w:ilvl w:val="0"/>
          <w:numId w:val="37"/>
        </w:numPr>
        <w:tabs>
          <w:tab w:val="clear" w:pos="360"/>
          <w:tab w:val="num" w:pos="2102"/>
        </w:tabs>
        <w:ind w:left="2102"/>
      </w:pPr>
      <w:r>
        <w:t>Ordenanza Ministerial N° 29/82, relativa a las normas y fechas de los exámenes de alfabetización;</w:t>
      </w:r>
    </w:p>
    <w:p w:rsidR="00000000" w:rsidRDefault="00000000">
      <w:pPr>
        <w:pStyle w:val="SingleTxt"/>
        <w:numPr>
          <w:ilvl w:val="0"/>
          <w:numId w:val="37"/>
        </w:numPr>
        <w:tabs>
          <w:tab w:val="clear" w:pos="360"/>
          <w:tab w:val="num" w:pos="2102"/>
        </w:tabs>
        <w:ind w:left="2102"/>
      </w:pPr>
      <w:r>
        <w:t>Ordenanza Ministerial N° 20/82, relativa a las justificaciones aceptables para la inasistencia a las clases de alfabetización;</w:t>
      </w:r>
    </w:p>
    <w:p w:rsidR="00000000" w:rsidRDefault="00000000">
      <w:pPr>
        <w:pStyle w:val="SingleTxt"/>
        <w:numPr>
          <w:ilvl w:val="0"/>
          <w:numId w:val="37"/>
        </w:numPr>
        <w:tabs>
          <w:tab w:val="clear" w:pos="360"/>
          <w:tab w:val="num" w:pos="2102"/>
        </w:tabs>
        <w:ind w:left="2102"/>
      </w:pPr>
      <w:r>
        <w:t>Ordenanza Ministerial N° 31/82, que define al analfabeto como la persona mayor de 14 años de edad que no ha logrado un nivel de lectura y escritura equivalente al que se obtiene al final del cuarto grado de educación prim</w:t>
      </w:r>
      <w:r>
        <w:t>a</w:t>
      </w:r>
      <w:r>
        <w:t>ria y no está asistiendo a la escuela primaria;</w:t>
      </w:r>
    </w:p>
    <w:p w:rsidR="00000000" w:rsidRDefault="00000000">
      <w:pPr>
        <w:pStyle w:val="SingleTxt"/>
        <w:numPr>
          <w:ilvl w:val="0"/>
          <w:numId w:val="37"/>
        </w:numPr>
        <w:tabs>
          <w:tab w:val="clear" w:pos="360"/>
          <w:tab w:val="num" w:pos="2102"/>
        </w:tabs>
        <w:ind w:left="2102"/>
      </w:pPr>
      <w:r>
        <w:t>Ordenanza Ministerial N° 32/82, relativa a las normas y procedimientos para determinar el nivel académico de las personas que saben leer y escr</w:t>
      </w:r>
      <w:r>
        <w:t>i</w:t>
      </w:r>
      <w:r>
        <w:t>bir pero no han obtenido un certificado de alfabetización.</w:t>
      </w:r>
    </w:p>
    <w:p w:rsidR="00000000" w:rsidRDefault="00000000">
      <w:pPr>
        <w:pStyle w:val="SingleTxt"/>
        <w:ind w:firstLine="475"/>
      </w:pPr>
      <w:r>
        <w:t>Además, el Estado deseaba prestar ese servicio a la mayor cantidad posible de beneficiarios, y consiguientemente estableció centros de alfabetización en todo el país, con centros múltiples en las zonas densamente pobladas.</w:t>
      </w:r>
    </w:p>
    <w:p w:rsidR="00000000" w:rsidRDefault="00000000">
      <w:pPr>
        <w:pStyle w:val="SingleTxt"/>
        <w:ind w:firstLine="475"/>
      </w:pPr>
      <w:r>
        <w:t>En el cuadro siguiente se indica el porcentaje de analfabetismo de mujeres en el período 1980-1995.</w:t>
      </w:r>
    </w:p>
    <w:p w:rsidR="00000000" w:rsidRDefault="00000000">
      <w:pPr>
        <w:pStyle w:val="SingleTxt"/>
        <w:jc w:val="center"/>
      </w:pPr>
    </w:p>
    <w:p w:rsidR="00000000" w:rsidRDefault="00000000">
      <w:pPr>
        <w:pStyle w:val="SingleTxt"/>
        <w:jc w:val="center"/>
      </w:pPr>
    </w:p>
    <w:p w:rsidR="00000000" w:rsidRDefault="00000000">
      <w:pPr>
        <w:pStyle w:val="SingleTxt"/>
        <w:jc w:val="center"/>
      </w:pPr>
      <w:r>
        <w:t>Porcentaje de analfabetismo de mujeres</w:t>
      </w:r>
      <w:r>
        <w:br/>
        <w:t>en el período 1980-1995</w:t>
      </w:r>
    </w:p>
    <w:p w:rsidR="00000000" w:rsidRDefault="00000000">
      <w:pPr>
        <w:pStyle w:val="SingleTxt"/>
        <w:keepNext/>
        <w:spacing w:after="0" w:line="120" w:lineRule="exact"/>
        <w:ind w:firstLine="475"/>
        <w:rPr>
          <w:sz w:val="10"/>
        </w:rPr>
      </w:pPr>
    </w:p>
    <w:tbl>
      <w:tblPr>
        <w:tblW w:w="0" w:type="auto"/>
        <w:jc w:val="center"/>
        <w:tblLayout w:type="fixed"/>
        <w:tblLook w:val="0000" w:firstRow="0" w:lastRow="0" w:firstColumn="0" w:lastColumn="0" w:noHBand="0" w:noVBand="0"/>
      </w:tblPr>
      <w:tblGrid>
        <w:gridCol w:w="1155"/>
        <w:gridCol w:w="2228"/>
      </w:tblGrid>
      <w:tr w:rsidR="00000000">
        <w:tblPrEx>
          <w:tblCellMar>
            <w:top w:w="0" w:type="dxa"/>
            <w:bottom w:w="0" w:type="dxa"/>
          </w:tblCellMar>
        </w:tblPrEx>
        <w:trPr>
          <w:tblHeader/>
          <w:jc w:val="center"/>
        </w:trPr>
        <w:tc>
          <w:tcPr>
            <w:tcW w:w="1155" w:type="dxa"/>
            <w:tcBorders>
              <w:top w:val="single" w:sz="4" w:space="0" w:color="auto"/>
            </w:tcBorders>
            <w:vAlign w:val="bottom"/>
          </w:tcPr>
          <w:p w:rsidR="00000000" w:rsidRDefault="00000000">
            <w:pPr>
              <w:pStyle w:val="SingleTxt"/>
              <w:spacing w:before="81" w:after="81" w:line="160" w:lineRule="exact"/>
              <w:ind w:left="0" w:right="40"/>
              <w:rPr>
                <w:i/>
                <w:sz w:val="14"/>
              </w:rPr>
            </w:pPr>
            <w:r>
              <w:rPr>
                <w:i/>
                <w:sz w:val="14"/>
              </w:rPr>
              <w:t>Año</w:t>
            </w:r>
          </w:p>
        </w:tc>
        <w:tc>
          <w:tcPr>
            <w:tcW w:w="2228"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Porcentaje de analfabetismo</w:t>
            </w:r>
            <w:r>
              <w:rPr>
                <w:i/>
                <w:sz w:val="14"/>
              </w:rPr>
              <w:br/>
              <w:t>de mujeres</w:t>
            </w:r>
          </w:p>
        </w:tc>
      </w:tr>
      <w:tr w:rsidR="00000000">
        <w:tblPrEx>
          <w:tblCellMar>
            <w:top w:w="0" w:type="dxa"/>
            <w:bottom w:w="0" w:type="dxa"/>
          </w:tblCellMar>
        </w:tblPrEx>
        <w:trPr>
          <w:trHeight w:hRule="exact" w:val="115"/>
          <w:tblHeader/>
          <w:jc w:val="center"/>
        </w:trPr>
        <w:tc>
          <w:tcPr>
            <w:tcW w:w="1155"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2228"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jc w:val="center"/>
        </w:trPr>
        <w:tc>
          <w:tcPr>
            <w:tcW w:w="1155"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1980</w:t>
            </w:r>
          </w:p>
        </w:tc>
        <w:tc>
          <w:tcPr>
            <w:tcW w:w="222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50,5</w:t>
            </w:r>
          </w:p>
        </w:tc>
      </w:tr>
      <w:tr w:rsidR="00000000">
        <w:tblPrEx>
          <w:tblCellMar>
            <w:top w:w="0" w:type="dxa"/>
            <w:bottom w:w="0" w:type="dxa"/>
          </w:tblCellMar>
        </w:tblPrEx>
        <w:trPr>
          <w:jc w:val="center"/>
        </w:trPr>
        <w:tc>
          <w:tcPr>
            <w:tcW w:w="1155"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1985</w:t>
            </w:r>
          </w:p>
        </w:tc>
        <w:tc>
          <w:tcPr>
            <w:tcW w:w="222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35,6</w:t>
            </w:r>
          </w:p>
        </w:tc>
      </w:tr>
      <w:tr w:rsidR="00000000">
        <w:tblPrEx>
          <w:tblCellMar>
            <w:top w:w="0" w:type="dxa"/>
            <w:bottom w:w="0" w:type="dxa"/>
          </w:tblCellMar>
        </w:tblPrEx>
        <w:trPr>
          <w:jc w:val="center"/>
        </w:trPr>
        <w:tc>
          <w:tcPr>
            <w:tcW w:w="1155"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1988</w:t>
            </w:r>
          </w:p>
        </w:tc>
        <w:tc>
          <w:tcPr>
            <w:tcW w:w="222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28,8</w:t>
            </w:r>
          </w:p>
        </w:tc>
      </w:tr>
      <w:tr w:rsidR="00000000">
        <w:tblPrEx>
          <w:tblCellMar>
            <w:top w:w="0" w:type="dxa"/>
            <w:bottom w:w="0" w:type="dxa"/>
          </w:tblCellMar>
        </w:tblPrEx>
        <w:trPr>
          <w:jc w:val="center"/>
        </w:trPr>
        <w:tc>
          <w:tcPr>
            <w:tcW w:w="115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1995</w:t>
            </w:r>
          </w:p>
        </w:tc>
        <w:tc>
          <w:tcPr>
            <w:tcW w:w="222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11,0</w:t>
            </w:r>
          </w:p>
        </w:tc>
      </w:tr>
    </w:tbl>
    <w:p w:rsidR="00000000" w:rsidRDefault="00000000">
      <w:pPr>
        <w:pStyle w:val="SingleTxt"/>
        <w:ind w:firstLine="475"/>
      </w:pPr>
    </w:p>
    <w:p w:rsidR="00000000" w:rsidRDefault="00000000">
      <w:pPr>
        <w:pStyle w:val="SingleTxt"/>
        <w:ind w:firstLine="475"/>
      </w:pPr>
    </w:p>
    <w:p w:rsidR="00000000" w:rsidRDefault="00000000">
      <w:pPr>
        <w:pStyle w:val="SingleTxt"/>
        <w:jc w:val="center"/>
      </w:pPr>
      <w:r>
        <w:t>Matrícula de los centros de educación de adultos por sexo y nacionalidad entre 1994-1995 y 19998-1999</w:t>
      </w:r>
    </w:p>
    <w:p w:rsidR="00000000" w:rsidRDefault="00000000">
      <w:pPr>
        <w:pStyle w:val="SingleTxt"/>
        <w:spacing w:after="0" w:line="120" w:lineRule="exact"/>
        <w:jc w:val="center"/>
        <w:rPr>
          <w:sz w:val="10"/>
        </w:rPr>
      </w:pPr>
    </w:p>
    <w:tbl>
      <w:tblPr>
        <w:tblW w:w="0" w:type="auto"/>
        <w:tblInd w:w="1154" w:type="dxa"/>
        <w:tblLayout w:type="fixed"/>
        <w:tblLook w:val="0000" w:firstRow="0" w:lastRow="0" w:firstColumn="0" w:lastColumn="0" w:noHBand="0" w:noVBand="0"/>
      </w:tblPr>
      <w:tblGrid>
        <w:gridCol w:w="918"/>
        <w:gridCol w:w="990"/>
        <w:gridCol w:w="1082"/>
        <w:gridCol w:w="1083"/>
        <w:gridCol w:w="1083"/>
        <w:gridCol w:w="1083"/>
        <w:gridCol w:w="1083"/>
      </w:tblGrid>
      <w:tr w:rsidR="00000000">
        <w:tblPrEx>
          <w:tblCellMar>
            <w:top w:w="0" w:type="dxa"/>
            <w:bottom w:w="0" w:type="dxa"/>
          </w:tblCellMar>
        </w:tblPrEx>
        <w:trPr>
          <w:tblHeader/>
        </w:trPr>
        <w:tc>
          <w:tcPr>
            <w:tcW w:w="918" w:type="dxa"/>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Año</w:t>
            </w:r>
          </w:p>
        </w:tc>
        <w:tc>
          <w:tcPr>
            <w:tcW w:w="99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Sexo</w:t>
            </w:r>
          </w:p>
        </w:tc>
        <w:tc>
          <w:tcPr>
            <w:tcW w:w="1082"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Centros</w:t>
            </w:r>
          </w:p>
        </w:tc>
        <w:tc>
          <w:tcPr>
            <w:tcW w:w="1083"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Aulas</w:t>
            </w:r>
          </w:p>
        </w:tc>
        <w:tc>
          <w:tcPr>
            <w:tcW w:w="1083"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Kuwaitíes</w:t>
            </w:r>
          </w:p>
        </w:tc>
        <w:tc>
          <w:tcPr>
            <w:tcW w:w="1083"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No kuwaitíes</w:t>
            </w:r>
          </w:p>
        </w:tc>
        <w:tc>
          <w:tcPr>
            <w:tcW w:w="1083"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Total</w:t>
            </w:r>
          </w:p>
        </w:tc>
      </w:tr>
      <w:tr w:rsidR="00000000">
        <w:tblPrEx>
          <w:tblCellMar>
            <w:top w:w="0" w:type="dxa"/>
            <w:bottom w:w="0" w:type="dxa"/>
          </w:tblCellMar>
        </w:tblPrEx>
        <w:trPr>
          <w:tblHeader/>
        </w:trPr>
        <w:tc>
          <w:tcPr>
            <w:tcW w:w="918"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99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8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83"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83"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83"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83"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91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1994/95</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Hombres</w:t>
            </w:r>
          </w:p>
        </w:tc>
        <w:tc>
          <w:tcPr>
            <w:tcW w:w="108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36</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171</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5 091</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1 300</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1 391</w:t>
            </w:r>
          </w:p>
        </w:tc>
      </w:tr>
      <w:tr w:rsidR="00000000">
        <w:tblPrEx>
          <w:tblCellMar>
            <w:top w:w="0" w:type="dxa"/>
            <w:bottom w:w="0" w:type="dxa"/>
          </w:tblCellMar>
        </w:tblPrEx>
        <w:tc>
          <w:tcPr>
            <w:tcW w:w="91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Mujeres</w:t>
            </w:r>
          </w:p>
        </w:tc>
        <w:tc>
          <w:tcPr>
            <w:tcW w:w="108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41</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215</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3 829</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1 463</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5 292</w:t>
            </w:r>
          </w:p>
        </w:tc>
      </w:tr>
      <w:tr w:rsidR="00000000">
        <w:tblPrEx>
          <w:tblCellMar>
            <w:top w:w="0" w:type="dxa"/>
            <w:bottom w:w="0" w:type="dxa"/>
          </w:tblCellMar>
        </w:tblPrEx>
        <w:tc>
          <w:tcPr>
            <w:tcW w:w="918"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p>
        </w:tc>
        <w:tc>
          <w:tcPr>
            <w:tcW w:w="99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Total</w:t>
            </w:r>
          </w:p>
        </w:tc>
        <w:tc>
          <w:tcPr>
            <w:tcW w:w="108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77</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386</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8920</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2 763</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11 683</w:t>
            </w:r>
          </w:p>
        </w:tc>
      </w:tr>
      <w:tr w:rsidR="00000000">
        <w:tblPrEx>
          <w:tblCellMar>
            <w:top w:w="0" w:type="dxa"/>
            <w:bottom w:w="0" w:type="dxa"/>
          </w:tblCellMar>
        </w:tblPrEx>
        <w:tc>
          <w:tcPr>
            <w:tcW w:w="91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1995/96</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Hombres</w:t>
            </w:r>
          </w:p>
        </w:tc>
        <w:tc>
          <w:tcPr>
            <w:tcW w:w="108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31</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166</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5 381</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1 495</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6 876</w:t>
            </w:r>
          </w:p>
        </w:tc>
      </w:tr>
      <w:tr w:rsidR="00000000">
        <w:tblPrEx>
          <w:tblCellMar>
            <w:top w:w="0" w:type="dxa"/>
            <w:bottom w:w="0" w:type="dxa"/>
          </w:tblCellMar>
        </w:tblPrEx>
        <w:tc>
          <w:tcPr>
            <w:tcW w:w="91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Mujeres</w:t>
            </w:r>
          </w:p>
        </w:tc>
        <w:tc>
          <w:tcPr>
            <w:tcW w:w="108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36</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211</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4 456</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1 888</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6 344</w:t>
            </w:r>
          </w:p>
        </w:tc>
      </w:tr>
      <w:tr w:rsidR="00000000">
        <w:tblPrEx>
          <w:tblCellMar>
            <w:top w:w="0" w:type="dxa"/>
            <w:bottom w:w="0" w:type="dxa"/>
          </w:tblCellMar>
        </w:tblPrEx>
        <w:tc>
          <w:tcPr>
            <w:tcW w:w="918"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p>
        </w:tc>
        <w:tc>
          <w:tcPr>
            <w:tcW w:w="99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Total</w:t>
            </w:r>
          </w:p>
        </w:tc>
        <w:tc>
          <w:tcPr>
            <w:tcW w:w="108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67</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377</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9 837</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3 383</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13 220</w:t>
            </w:r>
          </w:p>
        </w:tc>
      </w:tr>
      <w:tr w:rsidR="00000000">
        <w:tblPrEx>
          <w:tblCellMar>
            <w:top w:w="0" w:type="dxa"/>
            <w:bottom w:w="0" w:type="dxa"/>
          </w:tblCellMar>
        </w:tblPrEx>
        <w:tc>
          <w:tcPr>
            <w:tcW w:w="91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1996/97</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Hombres</w:t>
            </w:r>
          </w:p>
        </w:tc>
        <w:tc>
          <w:tcPr>
            <w:tcW w:w="108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31</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169</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5 152</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1 342</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6 544</w:t>
            </w:r>
          </w:p>
        </w:tc>
      </w:tr>
      <w:tr w:rsidR="00000000">
        <w:tblPrEx>
          <w:tblCellMar>
            <w:top w:w="0" w:type="dxa"/>
            <w:bottom w:w="0" w:type="dxa"/>
          </w:tblCellMar>
        </w:tblPrEx>
        <w:tc>
          <w:tcPr>
            <w:tcW w:w="91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Mujeres</w:t>
            </w:r>
          </w:p>
        </w:tc>
        <w:tc>
          <w:tcPr>
            <w:tcW w:w="108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35</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218</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4 365</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2 202</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6 567</w:t>
            </w:r>
          </w:p>
        </w:tc>
      </w:tr>
      <w:tr w:rsidR="00000000">
        <w:tblPrEx>
          <w:tblCellMar>
            <w:top w:w="0" w:type="dxa"/>
            <w:bottom w:w="0" w:type="dxa"/>
          </w:tblCellMar>
        </w:tblPrEx>
        <w:tc>
          <w:tcPr>
            <w:tcW w:w="918"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p>
        </w:tc>
        <w:tc>
          <w:tcPr>
            <w:tcW w:w="99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Total</w:t>
            </w:r>
          </w:p>
        </w:tc>
        <w:tc>
          <w:tcPr>
            <w:tcW w:w="108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66</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387</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9 517</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3 594</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13 111</w:t>
            </w:r>
          </w:p>
        </w:tc>
      </w:tr>
      <w:tr w:rsidR="00000000">
        <w:tblPrEx>
          <w:tblCellMar>
            <w:top w:w="0" w:type="dxa"/>
            <w:bottom w:w="0" w:type="dxa"/>
          </w:tblCellMar>
        </w:tblPrEx>
        <w:tc>
          <w:tcPr>
            <w:tcW w:w="91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1997/98</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Hombres</w:t>
            </w:r>
          </w:p>
        </w:tc>
        <w:tc>
          <w:tcPr>
            <w:tcW w:w="108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34</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174</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5 614</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1 545</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7 159</w:t>
            </w:r>
          </w:p>
        </w:tc>
      </w:tr>
      <w:tr w:rsidR="00000000">
        <w:tblPrEx>
          <w:tblCellMar>
            <w:top w:w="0" w:type="dxa"/>
            <w:bottom w:w="0" w:type="dxa"/>
          </w:tblCellMar>
        </w:tblPrEx>
        <w:tc>
          <w:tcPr>
            <w:tcW w:w="91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Mujeres</w:t>
            </w:r>
          </w:p>
        </w:tc>
        <w:tc>
          <w:tcPr>
            <w:tcW w:w="108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37</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243</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4 999</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2 519</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7 518</w:t>
            </w:r>
          </w:p>
        </w:tc>
      </w:tr>
      <w:tr w:rsidR="00000000">
        <w:tblPrEx>
          <w:tblCellMar>
            <w:top w:w="0" w:type="dxa"/>
            <w:bottom w:w="0" w:type="dxa"/>
          </w:tblCellMar>
        </w:tblPrEx>
        <w:tc>
          <w:tcPr>
            <w:tcW w:w="918"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p>
        </w:tc>
        <w:tc>
          <w:tcPr>
            <w:tcW w:w="99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Total</w:t>
            </w:r>
          </w:p>
        </w:tc>
        <w:tc>
          <w:tcPr>
            <w:tcW w:w="108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71</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408</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10 613</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4 064</w:t>
            </w:r>
          </w:p>
        </w:tc>
        <w:tc>
          <w:tcPr>
            <w:tcW w:w="1083"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14 677</w:t>
            </w:r>
          </w:p>
        </w:tc>
      </w:tr>
      <w:tr w:rsidR="00000000">
        <w:tblPrEx>
          <w:tblCellMar>
            <w:top w:w="0" w:type="dxa"/>
            <w:bottom w:w="0" w:type="dxa"/>
          </w:tblCellMar>
        </w:tblPrEx>
        <w:tc>
          <w:tcPr>
            <w:tcW w:w="91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1998/99</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Hombres</w:t>
            </w:r>
          </w:p>
        </w:tc>
        <w:tc>
          <w:tcPr>
            <w:tcW w:w="108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34</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159</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3 856</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1 022</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4 878</w:t>
            </w:r>
          </w:p>
        </w:tc>
      </w:tr>
      <w:tr w:rsidR="00000000">
        <w:tblPrEx>
          <w:tblCellMar>
            <w:top w:w="0" w:type="dxa"/>
            <w:bottom w:w="0" w:type="dxa"/>
          </w:tblCellMar>
        </w:tblPrEx>
        <w:tc>
          <w:tcPr>
            <w:tcW w:w="91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Mujeres</w:t>
            </w:r>
          </w:p>
        </w:tc>
        <w:tc>
          <w:tcPr>
            <w:tcW w:w="108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37</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227</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3 892</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1 950</w:t>
            </w:r>
          </w:p>
        </w:tc>
        <w:tc>
          <w:tcPr>
            <w:tcW w:w="108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5 842</w:t>
            </w:r>
          </w:p>
        </w:tc>
      </w:tr>
      <w:tr w:rsidR="00000000">
        <w:tblPrEx>
          <w:tblCellMar>
            <w:top w:w="0" w:type="dxa"/>
            <w:bottom w:w="0" w:type="dxa"/>
          </w:tblCellMar>
        </w:tblPrEx>
        <w:tc>
          <w:tcPr>
            <w:tcW w:w="918"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b/>
                <w:sz w:val="17"/>
              </w:rPr>
            </w:pPr>
          </w:p>
        </w:tc>
        <w:tc>
          <w:tcPr>
            <w:tcW w:w="99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Total</w:t>
            </w:r>
          </w:p>
        </w:tc>
        <w:tc>
          <w:tcPr>
            <w:tcW w:w="1082"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71</w:t>
            </w:r>
          </w:p>
        </w:tc>
        <w:tc>
          <w:tcPr>
            <w:tcW w:w="1083"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383</w:t>
            </w:r>
          </w:p>
        </w:tc>
        <w:tc>
          <w:tcPr>
            <w:tcW w:w="1083"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7 784</w:t>
            </w:r>
          </w:p>
        </w:tc>
        <w:tc>
          <w:tcPr>
            <w:tcW w:w="1083"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2 972</w:t>
            </w:r>
          </w:p>
        </w:tc>
        <w:tc>
          <w:tcPr>
            <w:tcW w:w="1083"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10 720</w:t>
            </w:r>
          </w:p>
        </w:tc>
      </w:tr>
    </w:tbl>
    <w:p w:rsidR="00000000" w:rsidRDefault="00000000">
      <w:pPr>
        <w:pStyle w:val="SingleTxt"/>
        <w:jc w:val="cente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Educación paralela</w:t>
      </w:r>
    </w:p>
    <w:p w:rsidR="00000000" w:rsidRDefault="00000000">
      <w:pPr>
        <w:pStyle w:val="SingleTxt"/>
        <w:keepNext/>
        <w:spacing w:after="0" w:line="120" w:lineRule="exact"/>
        <w:ind w:firstLine="475"/>
        <w:rPr>
          <w:sz w:val="10"/>
        </w:rPr>
      </w:pPr>
    </w:p>
    <w:p w:rsidR="00000000" w:rsidRDefault="00000000">
      <w:pPr>
        <w:pStyle w:val="SingleTxt"/>
        <w:ind w:firstLine="475"/>
      </w:pPr>
      <w:r>
        <w:t>Este tipo de educación tiene el objetivo de brindar a quien la cursa las capac</w:t>
      </w:r>
      <w:r>
        <w:t>i</w:t>
      </w:r>
      <w:r>
        <w:t>dades y destrezas prácticas necesarias en la ocupación para la que se le está capac</w:t>
      </w:r>
      <w:r>
        <w:t>i</w:t>
      </w:r>
      <w:r>
        <w:t>tando. Pueden ingresar los estudiantes mayores de 14 años de edad que no lograron culminar los estudios en escuelas que imparten educación pública o que desean cu</w:t>
      </w:r>
      <w:r>
        <w:t>r</w:t>
      </w:r>
      <w:r>
        <w:t>sar este tipo de educación. La duración de los estudios es de cuatro años y compre</w:t>
      </w:r>
      <w:r>
        <w:t>n</w:t>
      </w:r>
      <w:r>
        <w:t>de estudios culturales, técnicos y prácticos, al final de los cuales el estudiante que los cursa con aprobación obtiene un diploma de capacitación profesional.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Educación religiosa</w:t>
      </w:r>
    </w:p>
    <w:p w:rsidR="00000000" w:rsidRDefault="00000000">
      <w:pPr>
        <w:pStyle w:val="SingleTxt"/>
        <w:keepNext/>
        <w:spacing w:after="0" w:line="120" w:lineRule="exact"/>
        <w:ind w:firstLine="475"/>
        <w:rPr>
          <w:sz w:val="10"/>
        </w:rPr>
      </w:pPr>
    </w:p>
    <w:p w:rsidR="00000000" w:rsidRDefault="00000000">
      <w:pPr>
        <w:pStyle w:val="SingleTxt"/>
        <w:ind w:firstLine="475"/>
      </w:pPr>
      <w:r>
        <w:t>Los institutos religiosos figuran entre los establecimientos educacionales que ayudan a lograr los objetivos educacionales para el individuo y la sociedad. Dichos objetivos se dirigen a suministrar a las jóvenes generaciones una educación islámica mediante la cual lleguen a conocer, comprender y aplicar su religión. En el cuadro siguiente se indica el desarrollo de la educación religiosa en el período comprendido entre los años lectivos 1994/95 y 1998/99</w:t>
      </w:r>
    </w:p>
    <w:p w:rsidR="00000000" w:rsidRDefault="00000000">
      <w:pPr>
        <w:pStyle w:val="SingleTxt"/>
        <w:jc w:val="center"/>
      </w:pPr>
    </w:p>
    <w:p w:rsidR="00000000" w:rsidRDefault="00000000">
      <w:pPr>
        <w:pStyle w:val="SingleTxt"/>
        <w:jc w:val="center"/>
      </w:pPr>
      <w:r>
        <w:t>Desarrollo de la educación religiosa en el período</w:t>
      </w:r>
      <w:r>
        <w:br/>
        <w:t>comprendido entre los años lectivos</w:t>
      </w:r>
      <w:r>
        <w:br/>
        <w:t>1994/95 y 1998/99</w:t>
      </w:r>
    </w:p>
    <w:p w:rsidR="00000000" w:rsidRDefault="00000000">
      <w:pPr>
        <w:pStyle w:val="SingleTxt"/>
        <w:spacing w:after="0" w:line="120" w:lineRule="exact"/>
        <w:ind w:firstLine="475"/>
        <w:rPr>
          <w:sz w:val="10"/>
        </w:rPr>
      </w:pPr>
    </w:p>
    <w:tbl>
      <w:tblPr>
        <w:tblW w:w="0" w:type="auto"/>
        <w:jc w:val="center"/>
        <w:tblLayout w:type="fixed"/>
        <w:tblLook w:val="0000" w:firstRow="0" w:lastRow="0" w:firstColumn="0" w:lastColumn="0" w:noHBand="0" w:noVBand="0"/>
      </w:tblPr>
      <w:tblGrid>
        <w:gridCol w:w="1002"/>
        <w:gridCol w:w="1106"/>
        <w:gridCol w:w="1106"/>
        <w:gridCol w:w="1106"/>
      </w:tblGrid>
      <w:tr w:rsidR="00000000">
        <w:tblPrEx>
          <w:tblCellMar>
            <w:top w:w="0" w:type="dxa"/>
            <w:bottom w:w="0" w:type="dxa"/>
          </w:tblCellMar>
        </w:tblPrEx>
        <w:trPr>
          <w:cantSplit/>
          <w:tblHeader/>
          <w:jc w:val="center"/>
        </w:trPr>
        <w:tc>
          <w:tcPr>
            <w:tcW w:w="1002" w:type="dxa"/>
            <w:vMerge w:val="restart"/>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Año lectivo</w:t>
            </w:r>
          </w:p>
        </w:tc>
        <w:tc>
          <w:tcPr>
            <w:tcW w:w="3318" w:type="dxa"/>
            <w:gridSpan w:val="3"/>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Estudiantes</w:t>
            </w:r>
          </w:p>
        </w:tc>
      </w:tr>
      <w:tr w:rsidR="00000000">
        <w:tblPrEx>
          <w:tblCellMar>
            <w:top w:w="0" w:type="dxa"/>
            <w:bottom w:w="0" w:type="dxa"/>
          </w:tblCellMar>
        </w:tblPrEx>
        <w:trPr>
          <w:cantSplit/>
          <w:tblHeader/>
          <w:jc w:val="center"/>
        </w:trPr>
        <w:tc>
          <w:tcPr>
            <w:tcW w:w="1002" w:type="dxa"/>
            <w:vMerge/>
            <w:vAlign w:val="bottom"/>
          </w:tcPr>
          <w:p w:rsidR="00000000" w:rsidRDefault="00000000">
            <w:pPr>
              <w:pStyle w:val="SingleTxt"/>
              <w:spacing w:after="81" w:line="160" w:lineRule="exact"/>
              <w:ind w:left="0" w:right="40"/>
              <w:jc w:val="center"/>
              <w:rPr>
                <w:i/>
                <w:sz w:val="14"/>
              </w:rPr>
            </w:pPr>
          </w:p>
        </w:tc>
        <w:tc>
          <w:tcPr>
            <w:tcW w:w="1106" w:type="dxa"/>
            <w:tcBorders>
              <w:top w:val="single" w:sz="4" w:space="0" w:color="auto"/>
              <w:bottom w:val="single" w:sz="12" w:space="0" w:color="auto"/>
            </w:tcBorders>
            <w:vAlign w:val="bottom"/>
          </w:tcPr>
          <w:p w:rsidR="00000000" w:rsidRDefault="00000000">
            <w:pPr>
              <w:pStyle w:val="SingleTxt"/>
              <w:spacing w:after="81" w:line="160" w:lineRule="exact"/>
              <w:ind w:left="0" w:right="40"/>
              <w:jc w:val="right"/>
              <w:rPr>
                <w:i/>
                <w:sz w:val="14"/>
              </w:rPr>
            </w:pPr>
            <w:r>
              <w:rPr>
                <w:i/>
                <w:sz w:val="14"/>
              </w:rPr>
              <w:t>Hombres</w:t>
            </w:r>
          </w:p>
        </w:tc>
        <w:tc>
          <w:tcPr>
            <w:tcW w:w="1106" w:type="dxa"/>
            <w:tcBorders>
              <w:top w:val="single" w:sz="4" w:space="0" w:color="auto"/>
              <w:bottom w:val="single" w:sz="12" w:space="0" w:color="auto"/>
            </w:tcBorders>
            <w:vAlign w:val="bottom"/>
          </w:tcPr>
          <w:p w:rsidR="00000000" w:rsidRDefault="00000000">
            <w:pPr>
              <w:pStyle w:val="SingleTxt"/>
              <w:spacing w:after="81" w:line="160" w:lineRule="exact"/>
              <w:ind w:left="0" w:right="40"/>
              <w:jc w:val="right"/>
              <w:rPr>
                <w:i/>
                <w:sz w:val="14"/>
              </w:rPr>
            </w:pPr>
            <w:r>
              <w:rPr>
                <w:i/>
                <w:sz w:val="14"/>
              </w:rPr>
              <w:t>Mujeres</w:t>
            </w:r>
          </w:p>
        </w:tc>
        <w:tc>
          <w:tcPr>
            <w:tcW w:w="1106" w:type="dxa"/>
            <w:tcBorders>
              <w:top w:val="single" w:sz="4" w:space="0" w:color="auto"/>
              <w:bottom w:val="single" w:sz="12" w:space="0" w:color="auto"/>
            </w:tcBorders>
            <w:vAlign w:val="bottom"/>
          </w:tcPr>
          <w:p w:rsidR="00000000" w:rsidRDefault="00000000">
            <w:pPr>
              <w:pStyle w:val="SingleTxt"/>
              <w:spacing w:after="81" w:line="160" w:lineRule="exact"/>
              <w:ind w:left="0" w:right="40"/>
              <w:jc w:val="right"/>
              <w:rPr>
                <w:i/>
                <w:sz w:val="14"/>
              </w:rPr>
            </w:pPr>
            <w:r>
              <w:rPr>
                <w:i/>
                <w:sz w:val="14"/>
              </w:rPr>
              <w:t>Total</w:t>
            </w:r>
          </w:p>
        </w:tc>
      </w:tr>
      <w:tr w:rsidR="00000000">
        <w:tblPrEx>
          <w:tblCellMar>
            <w:top w:w="0" w:type="dxa"/>
            <w:bottom w:w="0" w:type="dxa"/>
          </w:tblCellMar>
        </w:tblPrEx>
        <w:trPr>
          <w:trHeight w:hRule="exact" w:val="115"/>
          <w:tblHeader/>
          <w:jc w:val="center"/>
        </w:trPr>
        <w:tc>
          <w:tcPr>
            <w:tcW w:w="1002"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1106" w:type="dxa"/>
            <w:vAlign w:val="bottom"/>
          </w:tcPr>
          <w:p w:rsidR="00000000" w:rsidRDefault="00000000">
            <w:pPr>
              <w:pStyle w:val="SingleTxt"/>
              <w:spacing w:before="40" w:after="40" w:line="210" w:lineRule="exact"/>
              <w:ind w:left="0" w:right="40"/>
              <w:jc w:val="right"/>
              <w:rPr>
                <w:sz w:val="17"/>
              </w:rPr>
            </w:pPr>
          </w:p>
        </w:tc>
        <w:tc>
          <w:tcPr>
            <w:tcW w:w="1106" w:type="dxa"/>
            <w:vAlign w:val="bottom"/>
          </w:tcPr>
          <w:p w:rsidR="00000000" w:rsidRDefault="00000000">
            <w:pPr>
              <w:pStyle w:val="SingleTxt"/>
              <w:spacing w:before="40" w:after="40" w:line="210" w:lineRule="exact"/>
              <w:ind w:left="0" w:right="40"/>
              <w:jc w:val="right"/>
              <w:rPr>
                <w:sz w:val="17"/>
              </w:rPr>
            </w:pPr>
          </w:p>
        </w:tc>
        <w:tc>
          <w:tcPr>
            <w:tcW w:w="1106" w:type="dxa"/>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jc w:val="center"/>
        </w:trPr>
        <w:tc>
          <w:tcPr>
            <w:tcW w:w="100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1994/95</w:t>
            </w:r>
          </w:p>
        </w:tc>
        <w:tc>
          <w:tcPr>
            <w:tcW w:w="110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878</w:t>
            </w:r>
          </w:p>
        </w:tc>
        <w:tc>
          <w:tcPr>
            <w:tcW w:w="110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457</w:t>
            </w:r>
          </w:p>
        </w:tc>
        <w:tc>
          <w:tcPr>
            <w:tcW w:w="110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1 335</w:t>
            </w:r>
          </w:p>
        </w:tc>
      </w:tr>
      <w:tr w:rsidR="00000000">
        <w:tblPrEx>
          <w:tblCellMar>
            <w:top w:w="0" w:type="dxa"/>
            <w:bottom w:w="0" w:type="dxa"/>
          </w:tblCellMar>
        </w:tblPrEx>
        <w:trPr>
          <w:jc w:val="center"/>
        </w:trPr>
        <w:tc>
          <w:tcPr>
            <w:tcW w:w="100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1995/96</w:t>
            </w:r>
          </w:p>
        </w:tc>
        <w:tc>
          <w:tcPr>
            <w:tcW w:w="110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1 411</w:t>
            </w:r>
          </w:p>
        </w:tc>
        <w:tc>
          <w:tcPr>
            <w:tcW w:w="110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564</w:t>
            </w:r>
          </w:p>
        </w:tc>
        <w:tc>
          <w:tcPr>
            <w:tcW w:w="110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1 975</w:t>
            </w:r>
          </w:p>
        </w:tc>
      </w:tr>
      <w:tr w:rsidR="00000000">
        <w:tblPrEx>
          <w:tblCellMar>
            <w:top w:w="0" w:type="dxa"/>
            <w:bottom w:w="0" w:type="dxa"/>
          </w:tblCellMar>
        </w:tblPrEx>
        <w:trPr>
          <w:jc w:val="center"/>
        </w:trPr>
        <w:tc>
          <w:tcPr>
            <w:tcW w:w="100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1996/97</w:t>
            </w:r>
          </w:p>
        </w:tc>
        <w:tc>
          <w:tcPr>
            <w:tcW w:w="110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1 520</w:t>
            </w:r>
          </w:p>
        </w:tc>
        <w:tc>
          <w:tcPr>
            <w:tcW w:w="110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702</w:t>
            </w:r>
          </w:p>
        </w:tc>
        <w:tc>
          <w:tcPr>
            <w:tcW w:w="110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2 222</w:t>
            </w:r>
          </w:p>
        </w:tc>
      </w:tr>
      <w:tr w:rsidR="00000000">
        <w:tblPrEx>
          <w:tblCellMar>
            <w:top w:w="0" w:type="dxa"/>
            <w:bottom w:w="0" w:type="dxa"/>
          </w:tblCellMar>
        </w:tblPrEx>
        <w:trPr>
          <w:jc w:val="center"/>
        </w:trPr>
        <w:tc>
          <w:tcPr>
            <w:tcW w:w="100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1997/98</w:t>
            </w:r>
          </w:p>
        </w:tc>
        <w:tc>
          <w:tcPr>
            <w:tcW w:w="110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1 422</w:t>
            </w:r>
          </w:p>
        </w:tc>
        <w:tc>
          <w:tcPr>
            <w:tcW w:w="110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792</w:t>
            </w:r>
          </w:p>
        </w:tc>
        <w:tc>
          <w:tcPr>
            <w:tcW w:w="110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2 214</w:t>
            </w:r>
          </w:p>
        </w:tc>
      </w:tr>
      <w:tr w:rsidR="00000000">
        <w:tblPrEx>
          <w:tblCellMar>
            <w:top w:w="0" w:type="dxa"/>
            <w:bottom w:w="0" w:type="dxa"/>
          </w:tblCellMar>
        </w:tblPrEx>
        <w:trPr>
          <w:jc w:val="center"/>
        </w:trPr>
        <w:tc>
          <w:tcPr>
            <w:tcW w:w="100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1998/99</w:t>
            </w:r>
          </w:p>
        </w:tc>
        <w:tc>
          <w:tcPr>
            <w:tcW w:w="110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1 662</w:t>
            </w:r>
          </w:p>
        </w:tc>
        <w:tc>
          <w:tcPr>
            <w:tcW w:w="110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834</w:t>
            </w:r>
          </w:p>
        </w:tc>
        <w:tc>
          <w:tcPr>
            <w:tcW w:w="110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2 496</w:t>
            </w:r>
          </w:p>
        </w:tc>
      </w:tr>
    </w:tbl>
    <w:p w:rsidR="00000000" w:rsidRDefault="00000000">
      <w:pPr>
        <w:pStyle w:val="SingleTxt"/>
        <w:jc w:val="cente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w:t>
      </w:r>
      <w:r>
        <w:tab/>
        <w:t>Escuelas que imparten educación especial</w:t>
      </w:r>
    </w:p>
    <w:p w:rsidR="00000000" w:rsidRDefault="00000000">
      <w:pPr>
        <w:pStyle w:val="SingleTxt"/>
        <w:spacing w:after="0" w:line="120" w:lineRule="exact"/>
        <w:ind w:firstLine="475"/>
        <w:rPr>
          <w:sz w:val="10"/>
        </w:rPr>
      </w:pPr>
    </w:p>
    <w:p w:rsidR="00000000" w:rsidRDefault="00000000">
      <w:pPr>
        <w:pStyle w:val="SingleTxt"/>
        <w:ind w:firstLine="475"/>
      </w:pPr>
      <w:r>
        <w:t>En este tipo de educación estatal pueden ingresar las categorías de personas con necesidades especiales que están afectadas por diversos tipos de discapacidad. La educación especial se ocupa de los cuatro tipos principales de discapacidad s</w:t>
      </w:r>
      <w:r>
        <w:t>i</w:t>
      </w:r>
      <w:r>
        <w:t>guientes:</w:t>
      </w:r>
    </w:p>
    <w:p w:rsidR="00000000" w:rsidRDefault="00000000">
      <w:pPr>
        <w:pStyle w:val="SingleTxt"/>
        <w:numPr>
          <w:ilvl w:val="0"/>
          <w:numId w:val="72"/>
        </w:numPr>
        <w:tabs>
          <w:tab w:val="clear" w:pos="720"/>
          <w:tab w:val="clear" w:pos="1742"/>
          <w:tab w:val="clear" w:pos="2218"/>
          <w:tab w:val="right" w:pos="1620"/>
          <w:tab w:val="left" w:pos="1800"/>
          <w:tab w:val="num" w:pos="2764"/>
        </w:tabs>
        <w:ind w:left="2764"/>
      </w:pPr>
      <w:r>
        <w:t>Discapacidad motriz, en las escuelas denominadas Raja’;</w:t>
      </w:r>
    </w:p>
    <w:p w:rsidR="00000000" w:rsidRDefault="00000000">
      <w:pPr>
        <w:pStyle w:val="SingleTxt"/>
        <w:numPr>
          <w:ilvl w:val="0"/>
          <w:numId w:val="72"/>
        </w:numPr>
        <w:tabs>
          <w:tab w:val="clear" w:pos="720"/>
          <w:tab w:val="clear" w:pos="1742"/>
          <w:tab w:val="clear" w:pos="2218"/>
          <w:tab w:val="right" w:pos="1620"/>
          <w:tab w:val="left" w:pos="1800"/>
          <w:tab w:val="num" w:pos="2764"/>
        </w:tabs>
        <w:ind w:left="2764"/>
      </w:pPr>
      <w:r>
        <w:t>Discapacidad auditiva, en las escuelas denominadas Amal;</w:t>
      </w:r>
    </w:p>
    <w:p w:rsidR="00000000" w:rsidRDefault="00000000">
      <w:pPr>
        <w:pStyle w:val="SingleTxt"/>
        <w:numPr>
          <w:ilvl w:val="0"/>
          <w:numId w:val="72"/>
        </w:numPr>
        <w:tabs>
          <w:tab w:val="clear" w:pos="720"/>
          <w:tab w:val="clear" w:pos="1742"/>
          <w:tab w:val="clear" w:pos="2218"/>
          <w:tab w:val="right" w:pos="1620"/>
          <w:tab w:val="left" w:pos="1800"/>
          <w:tab w:val="num" w:pos="2764"/>
        </w:tabs>
        <w:ind w:left="2764"/>
      </w:pPr>
      <w:r>
        <w:t>Discapacidad visual, en las escuelas denominadas Nur;</w:t>
      </w:r>
    </w:p>
    <w:p w:rsidR="00000000" w:rsidRDefault="00000000">
      <w:pPr>
        <w:pStyle w:val="SingleTxt"/>
        <w:numPr>
          <w:ilvl w:val="0"/>
          <w:numId w:val="72"/>
        </w:numPr>
        <w:tabs>
          <w:tab w:val="clear" w:pos="720"/>
          <w:tab w:val="clear" w:pos="1742"/>
          <w:tab w:val="clear" w:pos="2218"/>
          <w:tab w:val="right" w:pos="1620"/>
          <w:tab w:val="left" w:pos="1800"/>
          <w:tab w:val="num" w:pos="2764"/>
        </w:tabs>
        <w:ind w:left="2764"/>
      </w:pPr>
      <w:r>
        <w:t>Discapacidad mental, que se divide en dos categorías: la categoría de las personas con capacidad para recibir educación, en las e</w:t>
      </w:r>
      <w:r>
        <w:t>s</w:t>
      </w:r>
      <w:r>
        <w:t>cuelas denominadas Escuelas Ideológicas, y la categoría de las pe</w:t>
      </w:r>
      <w:r>
        <w:t>r</w:t>
      </w:r>
      <w:r>
        <w:t>sonas con capacidad para recibir formación, en las escuelas den</w:t>
      </w:r>
      <w:r>
        <w:t>o</w:t>
      </w:r>
      <w:r>
        <w:t>minadas Wafa’.</w:t>
      </w:r>
    </w:p>
    <w:p w:rsidR="00000000" w:rsidRDefault="00000000">
      <w:pPr>
        <w:pStyle w:val="SingleTxt"/>
        <w:spacing w:after="0" w:line="120" w:lineRule="exact"/>
        <w:ind w:firstLine="475"/>
        <w:rPr>
          <w:sz w:val="10"/>
        </w:rPr>
      </w:pPr>
    </w:p>
    <w:p w:rsidR="00000000" w:rsidRDefault="00000000">
      <w:pPr>
        <w:pStyle w:val="SingleTxt"/>
        <w:jc w:val="center"/>
      </w:pPr>
      <w:r>
        <w:t>Desarrollo de la educación especial en el período comprendido</w:t>
      </w:r>
      <w:r>
        <w:br/>
        <w:t>entre los años lectivos 1994/95 y 1998/99</w:t>
      </w:r>
    </w:p>
    <w:p w:rsidR="00000000" w:rsidRDefault="00000000">
      <w:pPr>
        <w:pStyle w:val="SingleTxt"/>
        <w:spacing w:after="0" w:line="120" w:lineRule="exact"/>
        <w:ind w:firstLine="475"/>
        <w:rPr>
          <w:sz w:val="10"/>
        </w:rPr>
      </w:pPr>
    </w:p>
    <w:tbl>
      <w:tblPr>
        <w:tblW w:w="0" w:type="auto"/>
        <w:jc w:val="center"/>
        <w:tblLayout w:type="fixed"/>
        <w:tblLook w:val="0000" w:firstRow="0" w:lastRow="0" w:firstColumn="0" w:lastColumn="0" w:noHBand="0" w:noVBand="0"/>
      </w:tblPr>
      <w:tblGrid>
        <w:gridCol w:w="938"/>
        <w:gridCol w:w="862"/>
        <w:gridCol w:w="810"/>
        <w:gridCol w:w="720"/>
        <w:gridCol w:w="900"/>
        <w:gridCol w:w="900"/>
        <w:gridCol w:w="990"/>
      </w:tblGrid>
      <w:tr w:rsidR="00000000">
        <w:tblPrEx>
          <w:tblCellMar>
            <w:top w:w="0" w:type="dxa"/>
            <w:bottom w:w="0" w:type="dxa"/>
          </w:tblCellMar>
        </w:tblPrEx>
        <w:trPr>
          <w:tblHeader/>
          <w:jc w:val="center"/>
        </w:trPr>
        <w:tc>
          <w:tcPr>
            <w:tcW w:w="938" w:type="dxa"/>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Año lect</w:t>
            </w:r>
            <w:r>
              <w:rPr>
                <w:i/>
                <w:sz w:val="14"/>
              </w:rPr>
              <w:t>i</w:t>
            </w:r>
            <w:r>
              <w:rPr>
                <w:i/>
                <w:sz w:val="14"/>
              </w:rPr>
              <w:t>vo</w:t>
            </w:r>
          </w:p>
        </w:tc>
        <w:tc>
          <w:tcPr>
            <w:tcW w:w="862"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Hombres</w:t>
            </w:r>
          </w:p>
        </w:tc>
        <w:tc>
          <w:tcPr>
            <w:tcW w:w="81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Mujeres</w:t>
            </w:r>
          </w:p>
        </w:tc>
        <w:tc>
          <w:tcPr>
            <w:tcW w:w="72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Total</w:t>
            </w:r>
          </w:p>
        </w:tc>
        <w:tc>
          <w:tcPr>
            <w:tcW w:w="90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Escuelas</w:t>
            </w:r>
          </w:p>
        </w:tc>
        <w:tc>
          <w:tcPr>
            <w:tcW w:w="90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Aulas</w:t>
            </w:r>
          </w:p>
        </w:tc>
        <w:tc>
          <w:tcPr>
            <w:tcW w:w="99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Maestros</w:t>
            </w:r>
          </w:p>
        </w:tc>
      </w:tr>
      <w:tr w:rsidR="00000000">
        <w:tblPrEx>
          <w:tblCellMar>
            <w:top w:w="0" w:type="dxa"/>
            <w:bottom w:w="0" w:type="dxa"/>
          </w:tblCellMar>
        </w:tblPrEx>
        <w:trPr>
          <w:trHeight w:hRule="exact" w:val="115"/>
          <w:tblHeader/>
          <w:jc w:val="center"/>
        </w:trPr>
        <w:tc>
          <w:tcPr>
            <w:tcW w:w="938"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86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1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0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0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9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jc w:val="center"/>
        </w:trPr>
        <w:tc>
          <w:tcPr>
            <w:tcW w:w="93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1994/95</w:t>
            </w:r>
          </w:p>
        </w:tc>
        <w:tc>
          <w:tcPr>
            <w:tcW w:w="86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862</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726</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1 588</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30</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196</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484</w:t>
            </w:r>
          </w:p>
        </w:tc>
      </w:tr>
      <w:tr w:rsidR="00000000">
        <w:tblPrEx>
          <w:tblCellMar>
            <w:top w:w="0" w:type="dxa"/>
            <w:bottom w:w="0" w:type="dxa"/>
          </w:tblCellMar>
        </w:tblPrEx>
        <w:trPr>
          <w:jc w:val="center"/>
        </w:trPr>
        <w:tc>
          <w:tcPr>
            <w:tcW w:w="93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1995/96</w:t>
            </w:r>
          </w:p>
        </w:tc>
        <w:tc>
          <w:tcPr>
            <w:tcW w:w="86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871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756</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1 627</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30</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187</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471</w:t>
            </w:r>
          </w:p>
        </w:tc>
      </w:tr>
      <w:tr w:rsidR="00000000">
        <w:tblPrEx>
          <w:tblCellMar>
            <w:top w:w="0" w:type="dxa"/>
            <w:bottom w:w="0" w:type="dxa"/>
          </w:tblCellMar>
        </w:tblPrEx>
        <w:trPr>
          <w:jc w:val="center"/>
        </w:trPr>
        <w:tc>
          <w:tcPr>
            <w:tcW w:w="93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1996/97</w:t>
            </w:r>
          </w:p>
        </w:tc>
        <w:tc>
          <w:tcPr>
            <w:tcW w:w="86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943</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813</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1 756</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32</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197</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517</w:t>
            </w:r>
          </w:p>
        </w:tc>
      </w:tr>
      <w:tr w:rsidR="00000000">
        <w:tblPrEx>
          <w:tblCellMar>
            <w:top w:w="0" w:type="dxa"/>
            <w:bottom w:w="0" w:type="dxa"/>
          </w:tblCellMar>
        </w:tblPrEx>
        <w:trPr>
          <w:jc w:val="center"/>
        </w:trPr>
        <w:tc>
          <w:tcPr>
            <w:tcW w:w="93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1997/98</w:t>
            </w:r>
          </w:p>
        </w:tc>
        <w:tc>
          <w:tcPr>
            <w:tcW w:w="86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989</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862</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1 851</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32</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207</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575</w:t>
            </w:r>
          </w:p>
        </w:tc>
      </w:tr>
      <w:tr w:rsidR="00000000">
        <w:tblPrEx>
          <w:tblCellMar>
            <w:top w:w="0" w:type="dxa"/>
            <w:bottom w:w="0" w:type="dxa"/>
          </w:tblCellMar>
        </w:tblPrEx>
        <w:trPr>
          <w:jc w:val="center"/>
        </w:trPr>
        <w:tc>
          <w:tcPr>
            <w:tcW w:w="93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1998/99</w:t>
            </w:r>
          </w:p>
        </w:tc>
        <w:tc>
          <w:tcPr>
            <w:tcW w:w="86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1 038</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895</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1 933</w:t>
            </w:r>
          </w:p>
        </w:tc>
        <w:tc>
          <w:tcPr>
            <w:tcW w:w="90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29</w:t>
            </w:r>
          </w:p>
        </w:tc>
        <w:tc>
          <w:tcPr>
            <w:tcW w:w="90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207</w:t>
            </w:r>
          </w:p>
        </w:tc>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776</w:t>
            </w:r>
          </w:p>
        </w:tc>
      </w:tr>
    </w:tbl>
    <w:p w:rsidR="00000000" w:rsidRDefault="00000000">
      <w:pPr>
        <w:pStyle w:val="SingleTxt"/>
        <w:jc w:val="cente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tab/>
        <w:t>Educación privada (escuelas privadas)</w:t>
      </w:r>
    </w:p>
    <w:p w:rsidR="00000000" w:rsidRDefault="00000000">
      <w:pPr>
        <w:pStyle w:val="SingleTxt"/>
        <w:keepNext/>
        <w:spacing w:after="0" w:line="120" w:lineRule="exact"/>
        <w:ind w:firstLine="475"/>
        <w:rPr>
          <w:sz w:val="10"/>
        </w:rPr>
      </w:pPr>
    </w:p>
    <w:p w:rsidR="00000000" w:rsidRDefault="00000000">
      <w:pPr>
        <w:pStyle w:val="SingleTxt"/>
        <w:ind w:firstLine="475"/>
      </w:pPr>
      <w:r>
        <w:t>Kuwait tiene siempre ha procurado brindar a todos los ciudadanos y residentes en su territorio la oportunidad de recibir educación, habida cuenta de la enorme i</w:t>
      </w:r>
      <w:r>
        <w:t>n</w:t>
      </w:r>
      <w:r>
        <w:t>cidencia que ello tiene en el desarrollo social y económico y a fin de satisfacer un derecho humano fundamental, que no es otro que el derecho a la educación. Por consiguiente, surgieron los sectores de educación privada árabe y extranjera, a fin de atender a los niños que desearan asistir a escuelas privadas, y asimismo brindar esa oportunidad a una mayor cantidad de hijos de inmigrantes que no podían ingresar a las escuelas estatales por falta de espacio. Este sector ha registrado un crecimiento en los últimos años, como lo indica el siguiente cuadro de indicadores del crec</w:t>
      </w:r>
      <w:r>
        <w:t>i</w:t>
      </w:r>
      <w:r>
        <w:t>miento del sector de la educación privada en el período comprendido entre los años 1990/91 y 1998/99.</w:t>
      </w:r>
    </w:p>
    <w:p w:rsidR="00000000" w:rsidRDefault="00000000">
      <w:pPr>
        <w:pStyle w:val="SingleTxt"/>
        <w:spacing w:after="0" w:line="120" w:lineRule="exact"/>
        <w:ind w:firstLine="475"/>
        <w:rPr>
          <w:sz w:val="10"/>
        </w:rPr>
      </w:pPr>
    </w:p>
    <w:tbl>
      <w:tblPr>
        <w:tblW w:w="0" w:type="auto"/>
        <w:jc w:val="center"/>
        <w:tblLayout w:type="fixed"/>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jc w:val="center"/>
        </w:trPr>
        <w:tc>
          <w:tcPr>
            <w:tcW w:w="1220" w:type="dxa"/>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Año</w:t>
            </w:r>
          </w:p>
        </w:tc>
        <w:tc>
          <w:tcPr>
            <w:tcW w:w="122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Escuelas</w:t>
            </w:r>
          </w:p>
        </w:tc>
        <w:tc>
          <w:tcPr>
            <w:tcW w:w="122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Aulas</w:t>
            </w:r>
          </w:p>
        </w:tc>
        <w:tc>
          <w:tcPr>
            <w:tcW w:w="122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Hombres</w:t>
            </w:r>
          </w:p>
        </w:tc>
        <w:tc>
          <w:tcPr>
            <w:tcW w:w="122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Mujeres</w:t>
            </w:r>
          </w:p>
        </w:tc>
        <w:tc>
          <w:tcPr>
            <w:tcW w:w="122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Total</w:t>
            </w:r>
          </w:p>
        </w:tc>
      </w:tr>
      <w:tr w:rsidR="00000000">
        <w:tblPrEx>
          <w:tblCellMar>
            <w:top w:w="0" w:type="dxa"/>
            <w:bottom w:w="0" w:type="dxa"/>
          </w:tblCellMar>
        </w:tblPrEx>
        <w:trPr>
          <w:trHeight w:hRule="exact" w:val="115"/>
          <w:tblHeader/>
          <w:jc w:val="center"/>
        </w:trPr>
        <w:tc>
          <w:tcPr>
            <w:tcW w:w="1220"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12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2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2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2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2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jc w:val="center"/>
        </w:trPr>
        <w:tc>
          <w:tcPr>
            <w:tcW w:w="12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1990/91</w:t>
            </w:r>
          </w:p>
        </w:tc>
        <w:tc>
          <w:tcPr>
            <w:tcW w:w="1220" w:type="dxa"/>
            <w:vAlign w:val="bottom"/>
          </w:tcPr>
          <w:p w:rsidR="00000000" w:rsidRDefault="00000000">
            <w:pPr>
              <w:jc w:val="right"/>
              <w:rPr>
                <w:sz w:val="17"/>
              </w:rPr>
            </w:pPr>
            <w:r>
              <w:rPr>
                <w:sz w:val="17"/>
              </w:rPr>
              <w:t>172</w:t>
            </w:r>
          </w:p>
        </w:tc>
        <w:tc>
          <w:tcPr>
            <w:tcW w:w="1220" w:type="dxa"/>
            <w:vAlign w:val="bottom"/>
          </w:tcPr>
          <w:p w:rsidR="00000000" w:rsidRDefault="00000000">
            <w:pPr>
              <w:jc w:val="right"/>
              <w:rPr>
                <w:sz w:val="17"/>
              </w:rPr>
            </w:pPr>
            <w:r>
              <w:rPr>
                <w:sz w:val="17"/>
              </w:rPr>
              <w:t>1 836</w:t>
            </w:r>
          </w:p>
        </w:tc>
        <w:tc>
          <w:tcPr>
            <w:tcW w:w="1220" w:type="dxa"/>
            <w:vAlign w:val="bottom"/>
          </w:tcPr>
          <w:p w:rsidR="00000000" w:rsidRDefault="00000000">
            <w:pPr>
              <w:jc w:val="right"/>
              <w:rPr>
                <w:sz w:val="17"/>
              </w:rPr>
            </w:pPr>
            <w:r>
              <w:rPr>
                <w:sz w:val="17"/>
              </w:rPr>
              <w:t xml:space="preserve">35 686  </w:t>
            </w:r>
          </w:p>
        </w:tc>
        <w:tc>
          <w:tcPr>
            <w:tcW w:w="1220" w:type="dxa"/>
            <w:vAlign w:val="bottom"/>
          </w:tcPr>
          <w:p w:rsidR="00000000" w:rsidRDefault="00000000">
            <w:pPr>
              <w:jc w:val="right"/>
              <w:rPr>
                <w:sz w:val="17"/>
              </w:rPr>
            </w:pPr>
            <w:r>
              <w:rPr>
                <w:sz w:val="17"/>
              </w:rPr>
              <w:t>29 721</w:t>
            </w:r>
          </w:p>
        </w:tc>
        <w:tc>
          <w:tcPr>
            <w:tcW w:w="1220" w:type="dxa"/>
            <w:vAlign w:val="bottom"/>
          </w:tcPr>
          <w:p w:rsidR="00000000" w:rsidRDefault="00000000">
            <w:pPr>
              <w:jc w:val="right"/>
              <w:rPr>
                <w:sz w:val="17"/>
              </w:rPr>
            </w:pPr>
            <w:r>
              <w:rPr>
                <w:sz w:val="17"/>
              </w:rPr>
              <w:t>65 407</w:t>
            </w:r>
          </w:p>
        </w:tc>
      </w:tr>
      <w:tr w:rsidR="00000000">
        <w:tblPrEx>
          <w:tblCellMar>
            <w:top w:w="0" w:type="dxa"/>
            <w:bottom w:w="0" w:type="dxa"/>
          </w:tblCellMar>
        </w:tblPrEx>
        <w:trPr>
          <w:jc w:val="center"/>
        </w:trPr>
        <w:tc>
          <w:tcPr>
            <w:tcW w:w="12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1991/92</w:t>
            </w:r>
          </w:p>
        </w:tc>
        <w:tc>
          <w:tcPr>
            <w:tcW w:w="1220" w:type="dxa"/>
            <w:vAlign w:val="bottom"/>
          </w:tcPr>
          <w:p w:rsidR="00000000" w:rsidRDefault="00000000">
            <w:pPr>
              <w:jc w:val="right"/>
              <w:rPr>
                <w:sz w:val="17"/>
              </w:rPr>
            </w:pPr>
            <w:r>
              <w:rPr>
                <w:sz w:val="17"/>
              </w:rPr>
              <w:t>206</w:t>
            </w:r>
          </w:p>
        </w:tc>
        <w:tc>
          <w:tcPr>
            <w:tcW w:w="1220" w:type="dxa"/>
            <w:vAlign w:val="bottom"/>
          </w:tcPr>
          <w:p w:rsidR="00000000" w:rsidRDefault="00000000">
            <w:pPr>
              <w:jc w:val="right"/>
              <w:rPr>
                <w:sz w:val="17"/>
              </w:rPr>
            </w:pPr>
            <w:r>
              <w:rPr>
                <w:sz w:val="17"/>
              </w:rPr>
              <w:t>1 956</w:t>
            </w:r>
          </w:p>
        </w:tc>
        <w:tc>
          <w:tcPr>
            <w:tcW w:w="1220" w:type="dxa"/>
            <w:vAlign w:val="bottom"/>
          </w:tcPr>
          <w:p w:rsidR="00000000" w:rsidRDefault="00000000">
            <w:pPr>
              <w:jc w:val="right"/>
              <w:rPr>
                <w:sz w:val="17"/>
              </w:rPr>
            </w:pPr>
            <w:r>
              <w:rPr>
                <w:sz w:val="17"/>
              </w:rPr>
              <w:t>40 652</w:t>
            </w:r>
          </w:p>
        </w:tc>
        <w:tc>
          <w:tcPr>
            <w:tcW w:w="1220" w:type="dxa"/>
            <w:vAlign w:val="bottom"/>
          </w:tcPr>
          <w:p w:rsidR="00000000" w:rsidRDefault="00000000">
            <w:pPr>
              <w:jc w:val="right"/>
              <w:rPr>
                <w:sz w:val="17"/>
              </w:rPr>
            </w:pPr>
            <w:r>
              <w:rPr>
                <w:sz w:val="17"/>
              </w:rPr>
              <w:t>34 172</w:t>
            </w:r>
          </w:p>
        </w:tc>
        <w:tc>
          <w:tcPr>
            <w:tcW w:w="1220" w:type="dxa"/>
            <w:vAlign w:val="bottom"/>
          </w:tcPr>
          <w:p w:rsidR="00000000" w:rsidRDefault="00000000">
            <w:pPr>
              <w:jc w:val="right"/>
              <w:rPr>
                <w:sz w:val="17"/>
              </w:rPr>
            </w:pPr>
            <w:r>
              <w:rPr>
                <w:sz w:val="17"/>
              </w:rPr>
              <w:t>74 784</w:t>
            </w:r>
          </w:p>
        </w:tc>
      </w:tr>
      <w:tr w:rsidR="00000000">
        <w:tblPrEx>
          <w:tblCellMar>
            <w:top w:w="0" w:type="dxa"/>
            <w:bottom w:w="0" w:type="dxa"/>
          </w:tblCellMar>
        </w:tblPrEx>
        <w:trPr>
          <w:jc w:val="center"/>
        </w:trPr>
        <w:tc>
          <w:tcPr>
            <w:tcW w:w="12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1992/93</w:t>
            </w:r>
          </w:p>
        </w:tc>
        <w:tc>
          <w:tcPr>
            <w:tcW w:w="1220" w:type="dxa"/>
            <w:vAlign w:val="bottom"/>
          </w:tcPr>
          <w:p w:rsidR="00000000" w:rsidRDefault="00000000">
            <w:pPr>
              <w:jc w:val="right"/>
              <w:rPr>
                <w:sz w:val="17"/>
              </w:rPr>
            </w:pPr>
            <w:r>
              <w:rPr>
                <w:sz w:val="17"/>
              </w:rPr>
              <w:t>240</w:t>
            </w:r>
          </w:p>
        </w:tc>
        <w:tc>
          <w:tcPr>
            <w:tcW w:w="1220" w:type="dxa"/>
            <w:vAlign w:val="bottom"/>
          </w:tcPr>
          <w:p w:rsidR="00000000" w:rsidRDefault="00000000">
            <w:pPr>
              <w:jc w:val="right"/>
              <w:rPr>
                <w:sz w:val="17"/>
              </w:rPr>
            </w:pPr>
            <w:r>
              <w:rPr>
                <w:sz w:val="17"/>
              </w:rPr>
              <w:t>2 328</w:t>
            </w:r>
          </w:p>
        </w:tc>
        <w:tc>
          <w:tcPr>
            <w:tcW w:w="1220" w:type="dxa"/>
            <w:vAlign w:val="bottom"/>
          </w:tcPr>
          <w:p w:rsidR="00000000" w:rsidRDefault="00000000">
            <w:pPr>
              <w:jc w:val="right"/>
              <w:rPr>
                <w:sz w:val="17"/>
              </w:rPr>
            </w:pPr>
            <w:r>
              <w:rPr>
                <w:sz w:val="17"/>
              </w:rPr>
              <w:t>43 494</w:t>
            </w:r>
          </w:p>
        </w:tc>
        <w:tc>
          <w:tcPr>
            <w:tcW w:w="1220" w:type="dxa"/>
            <w:vAlign w:val="bottom"/>
          </w:tcPr>
          <w:p w:rsidR="00000000" w:rsidRDefault="00000000">
            <w:pPr>
              <w:jc w:val="right"/>
              <w:rPr>
                <w:sz w:val="17"/>
              </w:rPr>
            </w:pPr>
            <w:r>
              <w:rPr>
                <w:sz w:val="17"/>
              </w:rPr>
              <w:t>37 856</w:t>
            </w:r>
          </w:p>
        </w:tc>
        <w:tc>
          <w:tcPr>
            <w:tcW w:w="1220" w:type="dxa"/>
            <w:vAlign w:val="bottom"/>
          </w:tcPr>
          <w:p w:rsidR="00000000" w:rsidRDefault="00000000">
            <w:pPr>
              <w:jc w:val="right"/>
              <w:rPr>
                <w:sz w:val="17"/>
              </w:rPr>
            </w:pPr>
            <w:r>
              <w:rPr>
                <w:sz w:val="17"/>
              </w:rPr>
              <w:t>81 350</w:t>
            </w:r>
          </w:p>
        </w:tc>
      </w:tr>
      <w:tr w:rsidR="00000000">
        <w:tblPrEx>
          <w:tblCellMar>
            <w:top w:w="0" w:type="dxa"/>
            <w:bottom w:w="0" w:type="dxa"/>
          </w:tblCellMar>
        </w:tblPrEx>
        <w:trPr>
          <w:jc w:val="center"/>
        </w:trPr>
        <w:tc>
          <w:tcPr>
            <w:tcW w:w="12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1993/94</w:t>
            </w:r>
          </w:p>
        </w:tc>
        <w:tc>
          <w:tcPr>
            <w:tcW w:w="1220" w:type="dxa"/>
            <w:vAlign w:val="bottom"/>
          </w:tcPr>
          <w:p w:rsidR="00000000" w:rsidRDefault="00000000">
            <w:pPr>
              <w:jc w:val="right"/>
              <w:rPr>
                <w:sz w:val="17"/>
              </w:rPr>
            </w:pPr>
            <w:r>
              <w:rPr>
                <w:sz w:val="17"/>
              </w:rPr>
              <w:t>251</w:t>
            </w:r>
          </w:p>
        </w:tc>
        <w:tc>
          <w:tcPr>
            <w:tcW w:w="1220" w:type="dxa"/>
            <w:vAlign w:val="bottom"/>
          </w:tcPr>
          <w:p w:rsidR="00000000" w:rsidRDefault="00000000">
            <w:pPr>
              <w:jc w:val="right"/>
              <w:rPr>
                <w:sz w:val="17"/>
              </w:rPr>
            </w:pPr>
            <w:r>
              <w:rPr>
                <w:sz w:val="17"/>
              </w:rPr>
              <w:t>3 076</w:t>
            </w:r>
          </w:p>
        </w:tc>
        <w:tc>
          <w:tcPr>
            <w:tcW w:w="1220" w:type="dxa"/>
            <w:vAlign w:val="bottom"/>
          </w:tcPr>
          <w:p w:rsidR="00000000" w:rsidRDefault="00000000">
            <w:pPr>
              <w:jc w:val="right"/>
              <w:rPr>
                <w:sz w:val="17"/>
              </w:rPr>
            </w:pPr>
            <w:r>
              <w:rPr>
                <w:sz w:val="17"/>
              </w:rPr>
              <w:t>52 384</w:t>
            </w:r>
          </w:p>
        </w:tc>
        <w:tc>
          <w:tcPr>
            <w:tcW w:w="1220" w:type="dxa"/>
            <w:vAlign w:val="bottom"/>
          </w:tcPr>
          <w:p w:rsidR="00000000" w:rsidRDefault="00000000">
            <w:pPr>
              <w:jc w:val="right"/>
              <w:rPr>
                <w:sz w:val="17"/>
              </w:rPr>
            </w:pPr>
            <w:r>
              <w:rPr>
                <w:sz w:val="17"/>
              </w:rPr>
              <w:t>45 683</w:t>
            </w:r>
          </w:p>
        </w:tc>
        <w:tc>
          <w:tcPr>
            <w:tcW w:w="1220" w:type="dxa"/>
            <w:vAlign w:val="bottom"/>
          </w:tcPr>
          <w:p w:rsidR="00000000" w:rsidRDefault="00000000">
            <w:pPr>
              <w:jc w:val="right"/>
              <w:rPr>
                <w:sz w:val="17"/>
              </w:rPr>
            </w:pPr>
            <w:r>
              <w:rPr>
                <w:sz w:val="17"/>
              </w:rPr>
              <w:t>98 067</w:t>
            </w:r>
          </w:p>
        </w:tc>
      </w:tr>
      <w:tr w:rsidR="00000000">
        <w:tblPrEx>
          <w:tblCellMar>
            <w:top w:w="0" w:type="dxa"/>
            <w:bottom w:w="0" w:type="dxa"/>
          </w:tblCellMar>
        </w:tblPrEx>
        <w:trPr>
          <w:jc w:val="center"/>
        </w:trPr>
        <w:tc>
          <w:tcPr>
            <w:tcW w:w="12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1994/95</w:t>
            </w:r>
          </w:p>
        </w:tc>
        <w:tc>
          <w:tcPr>
            <w:tcW w:w="1220" w:type="dxa"/>
            <w:vAlign w:val="bottom"/>
          </w:tcPr>
          <w:p w:rsidR="00000000" w:rsidRDefault="00000000">
            <w:pPr>
              <w:jc w:val="right"/>
              <w:rPr>
                <w:sz w:val="17"/>
              </w:rPr>
            </w:pPr>
            <w:r>
              <w:rPr>
                <w:sz w:val="17"/>
              </w:rPr>
              <w:t>258</w:t>
            </w:r>
          </w:p>
        </w:tc>
        <w:tc>
          <w:tcPr>
            <w:tcW w:w="1220" w:type="dxa"/>
            <w:vAlign w:val="bottom"/>
          </w:tcPr>
          <w:p w:rsidR="00000000" w:rsidRDefault="00000000">
            <w:pPr>
              <w:jc w:val="right"/>
              <w:rPr>
                <w:sz w:val="17"/>
              </w:rPr>
            </w:pPr>
            <w:r>
              <w:rPr>
                <w:sz w:val="17"/>
              </w:rPr>
              <w:t>3 427</w:t>
            </w:r>
          </w:p>
        </w:tc>
        <w:tc>
          <w:tcPr>
            <w:tcW w:w="1220" w:type="dxa"/>
            <w:vAlign w:val="bottom"/>
          </w:tcPr>
          <w:p w:rsidR="00000000" w:rsidRDefault="00000000">
            <w:pPr>
              <w:jc w:val="right"/>
              <w:rPr>
                <w:sz w:val="17"/>
              </w:rPr>
            </w:pPr>
            <w:r>
              <w:rPr>
                <w:sz w:val="17"/>
              </w:rPr>
              <w:t>55 959</w:t>
            </w:r>
          </w:p>
        </w:tc>
        <w:tc>
          <w:tcPr>
            <w:tcW w:w="1220" w:type="dxa"/>
            <w:vAlign w:val="bottom"/>
          </w:tcPr>
          <w:p w:rsidR="00000000" w:rsidRDefault="00000000">
            <w:pPr>
              <w:jc w:val="right"/>
              <w:rPr>
                <w:sz w:val="17"/>
              </w:rPr>
            </w:pPr>
            <w:r>
              <w:rPr>
                <w:sz w:val="17"/>
              </w:rPr>
              <w:t>48 982</w:t>
            </w:r>
          </w:p>
        </w:tc>
        <w:tc>
          <w:tcPr>
            <w:tcW w:w="1220" w:type="dxa"/>
            <w:vAlign w:val="bottom"/>
          </w:tcPr>
          <w:p w:rsidR="00000000" w:rsidRDefault="00000000">
            <w:pPr>
              <w:jc w:val="right"/>
              <w:rPr>
                <w:sz w:val="17"/>
              </w:rPr>
            </w:pPr>
            <w:r>
              <w:rPr>
                <w:sz w:val="17"/>
              </w:rPr>
              <w:t>104 941</w:t>
            </w:r>
          </w:p>
        </w:tc>
      </w:tr>
      <w:tr w:rsidR="00000000">
        <w:tblPrEx>
          <w:tblCellMar>
            <w:top w:w="0" w:type="dxa"/>
            <w:bottom w:w="0" w:type="dxa"/>
          </w:tblCellMar>
        </w:tblPrEx>
        <w:trPr>
          <w:jc w:val="center"/>
        </w:trPr>
        <w:tc>
          <w:tcPr>
            <w:tcW w:w="12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1995/96</w:t>
            </w:r>
          </w:p>
        </w:tc>
        <w:tc>
          <w:tcPr>
            <w:tcW w:w="1220" w:type="dxa"/>
            <w:vAlign w:val="bottom"/>
          </w:tcPr>
          <w:p w:rsidR="00000000" w:rsidRDefault="00000000">
            <w:pPr>
              <w:jc w:val="right"/>
              <w:rPr>
                <w:sz w:val="17"/>
              </w:rPr>
            </w:pPr>
            <w:r>
              <w:rPr>
                <w:sz w:val="17"/>
              </w:rPr>
              <w:t>275</w:t>
            </w:r>
          </w:p>
        </w:tc>
        <w:tc>
          <w:tcPr>
            <w:tcW w:w="1220" w:type="dxa"/>
            <w:vAlign w:val="bottom"/>
          </w:tcPr>
          <w:p w:rsidR="00000000" w:rsidRDefault="00000000">
            <w:pPr>
              <w:jc w:val="right"/>
              <w:rPr>
                <w:sz w:val="17"/>
              </w:rPr>
            </w:pPr>
            <w:r>
              <w:rPr>
                <w:sz w:val="17"/>
              </w:rPr>
              <w:t>3 692</w:t>
            </w:r>
          </w:p>
        </w:tc>
        <w:tc>
          <w:tcPr>
            <w:tcW w:w="1220" w:type="dxa"/>
            <w:vAlign w:val="bottom"/>
          </w:tcPr>
          <w:p w:rsidR="00000000" w:rsidRDefault="00000000">
            <w:pPr>
              <w:jc w:val="right"/>
              <w:rPr>
                <w:sz w:val="17"/>
              </w:rPr>
            </w:pPr>
            <w:r>
              <w:rPr>
                <w:sz w:val="17"/>
              </w:rPr>
              <w:t>60 866</w:t>
            </w:r>
          </w:p>
        </w:tc>
        <w:tc>
          <w:tcPr>
            <w:tcW w:w="1220" w:type="dxa"/>
            <w:vAlign w:val="bottom"/>
          </w:tcPr>
          <w:p w:rsidR="00000000" w:rsidRDefault="00000000">
            <w:pPr>
              <w:jc w:val="right"/>
              <w:rPr>
                <w:sz w:val="17"/>
              </w:rPr>
            </w:pPr>
            <w:r>
              <w:rPr>
                <w:sz w:val="17"/>
              </w:rPr>
              <w:t>52 991</w:t>
            </w:r>
          </w:p>
        </w:tc>
        <w:tc>
          <w:tcPr>
            <w:tcW w:w="1220" w:type="dxa"/>
            <w:vAlign w:val="bottom"/>
          </w:tcPr>
          <w:p w:rsidR="00000000" w:rsidRDefault="00000000">
            <w:pPr>
              <w:jc w:val="right"/>
              <w:rPr>
                <w:sz w:val="17"/>
              </w:rPr>
            </w:pPr>
            <w:r>
              <w:rPr>
                <w:sz w:val="17"/>
              </w:rPr>
              <w:t>113 857</w:t>
            </w:r>
          </w:p>
        </w:tc>
      </w:tr>
      <w:tr w:rsidR="00000000">
        <w:tblPrEx>
          <w:tblCellMar>
            <w:top w:w="0" w:type="dxa"/>
            <w:bottom w:w="0" w:type="dxa"/>
          </w:tblCellMar>
        </w:tblPrEx>
        <w:trPr>
          <w:jc w:val="center"/>
        </w:trPr>
        <w:tc>
          <w:tcPr>
            <w:tcW w:w="12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1996/97</w:t>
            </w:r>
          </w:p>
        </w:tc>
        <w:tc>
          <w:tcPr>
            <w:tcW w:w="1220" w:type="dxa"/>
            <w:vAlign w:val="bottom"/>
          </w:tcPr>
          <w:p w:rsidR="00000000" w:rsidRDefault="00000000">
            <w:pPr>
              <w:jc w:val="right"/>
              <w:rPr>
                <w:sz w:val="17"/>
              </w:rPr>
            </w:pPr>
            <w:r>
              <w:rPr>
                <w:sz w:val="17"/>
              </w:rPr>
              <w:t>291</w:t>
            </w:r>
          </w:p>
        </w:tc>
        <w:tc>
          <w:tcPr>
            <w:tcW w:w="1220" w:type="dxa"/>
            <w:vAlign w:val="bottom"/>
          </w:tcPr>
          <w:p w:rsidR="00000000" w:rsidRDefault="00000000">
            <w:pPr>
              <w:jc w:val="right"/>
              <w:rPr>
                <w:sz w:val="17"/>
              </w:rPr>
            </w:pPr>
            <w:r>
              <w:rPr>
                <w:sz w:val="17"/>
              </w:rPr>
              <w:t>3 779</w:t>
            </w:r>
          </w:p>
        </w:tc>
        <w:tc>
          <w:tcPr>
            <w:tcW w:w="1220" w:type="dxa"/>
            <w:vAlign w:val="bottom"/>
          </w:tcPr>
          <w:p w:rsidR="00000000" w:rsidRDefault="00000000">
            <w:pPr>
              <w:jc w:val="right"/>
              <w:rPr>
                <w:sz w:val="17"/>
              </w:rPr>
            </w:pPr>
            <w:r>
              <w:rPr>
                <w:sz w:val="17"/>
              </w:rPr>
              <w:t>62 326</w:t>
            </w:r>
          </w:p>
        </w:tc>
        <w:tc>
          <w:tcPr>
            <w:tcW w:w="1220" w:type="dxa"/>
            <w:vAlign w:val="bottom"/>
          </w:tcPr>
          <w:p w:rsidR="00000000" w:rsidRDefault="00000000">
            <w:pPr>
              <w:jc w:val="right"/>
              <w:rPr>
                <w:sz w:val="17"/>
              </w:rPr>
            </w:pPr>
            <w:r>
              <w:rPr>
                <w:sz w:val="17"/>
              </w:rPr>
              <w:t>54 143</w:t>
            </w:r>
          </w:p>
        </w:tc>
        <w:tc>
          <w:tcPr>
            <w:tcW w:w="1220" w:type="dxa"/>
            <w:vAlign w:val="bottom"/>
          </w:tcPr>
          <w:p w:rsidR="00000000" w:rsidRDefault="00000000">
            <w:pPr>
              <w:jc w:val="right"/>
              <w:rPr>
                <w:sz w:val="17"/>
              </w:rPr>
            </w:pPr>
            <w:r>
              <w:rPr>
                <w:sz w:val="17"/>
              </w:rPr>
              <w:t>116 469</w:t>
            </w:r>
          </w:p>
        </w:tc>
      </w:tr>
      <w:tr w:rsidR="00000000">
        <w:tblPrEx>
          <w:tblCellMar>
            <w:top w:w="0" w:type="dxa"/>
            <w:bottom w:w="0" w:type="dxa"/>
          </w:tblCellMar>
        </w:tblPrEx>
        <w:trPr>
          <w:jc w:val="center"/>
        </w:trPr>
        <w:tc>
          <w:tcPr>
            <w:tcW w:w="12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1997/98</w:t>
            </w:r>
          </w:p>
        </w:tc>
        <w:tc>
          <w:tcPr>
            <w:tcW w:w="1220" w:type="dxa"/>
            <w:vAlign w:val="bottom"/>
          </w:tcPr>
          <w:p w:rsidR="00000000" w:rsidRDefault="00000000">
            <w:pPr>
              <w:jc w:val="right"/>
              <w:rPr>
                <w:sz w:val="17"/>
              </w:rPr>
            </w:pPr>
            <w:r>
              <w:rPr>
                <w:sz w:val="17"/>
              </w:rPr>
              <w:t>321</w:t>
            </w:r>
          </w:p>
        </w:tc>
        <w:tc>
          <w:tcPr>
            <w:tcW w:w="1220" w:type="dxa"/>
            <w:vAlign w:val="bottom"/>
          </w:tcPr>
          <w:p w:rsidR="00000000" w:rsidRDefault="00000000">
            <w:pPr>
              <w:jc w:val="right"/>
              <w:rPr>
                <w:sz w:val="17"/>
              </w:rPr>
            </w:pPr>
            <w:r>
              <w:rPr>
                <w:sz w:val="17"/>
              </w:rPr>
              <w:t>3 960</w:t>
            </w:r>
          </w:p>
        </w:tc>
        <w:tc>
          <w:tcPr>
            <w:tcW w:w="1220" w:type="dxa"/>
            <w:vAlign w:val="bottom"/>
          </w:tcPr>
          <w:p w:rsidR="00000000" w:rsidRDefault="00000000">
            <w:pPr>
              <w:jc w:val="right"/>
              <w:rPr>
                <w:sz w:val="17"/>
              </w:rPr>
            </w:pPr>
            <w:r>
              <w:rPr>
                <w:sz w:val="17"/>
              </w:rPr>
              <w:t>64 559</w:t>
            </w:r>
          </w:p>
        </w:tc>
        <w:tc>
          <w:tcPr>
            <w:tcW w:w="1220" w:type="dxa"/>
            <w:vAlign w:val="bottom"/>
          </w:tcPr>
          <w:p w:rsidR="00000000" w:rsidRDefault="00000000">
            <w:pPr>
              <w:jc w:val="right"/>
              <w:rPr>
                <w:sz w:val="17"/>
              </w:rPr>
            </w:pPr>
            <w:r>
              <w:rPr>
                <w:sz w:val="17"/>
              </w:rPr>
              <w:t>56 023</w:t>
            </w:r>
          </w:p>
        </w:tc>
        <w:tc>
          <w:tcPr>
            <w:tcW w:w="1220" w:type="dxa"/>
            <w:vAlign w:val="bottom"/>
          </w:tcPr>
          <w:p w:rsidR="00000000" w:rsidRDefault="00000000">
            <w:pPr>
              <w:jc w:val="right"/>
              <w:rPr>
                <w:sz w:val="17"/>
              </w:rPr>
            </w:pPr>
            <w:r>
              <w:rPr>
                <w:sz w:val="17"/>
              </w:rPr>
              <w:t>120 582</w:t>
            </w:r>
          </w:p>
        </w:tc>
      </w:tr>
      <w:tr w:rsidR="00000000">
        <w:tblPrEx>
          <w:tblCellMar>
            <w:top w:w="0" w:type="dxa"/>
            <w:bottom w:w="0" w:type="dxa"/>
          </w:tblCellMar>
        </w:tblPrEx>
        <w:trPr>
          <w:jc w:val="center"/>
        </w:trPr>
        <w:tc>
          <w:tcPr>
            <w:tcW w:w="12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1998/99</w:t>
            </w:r>
          </w:p>
        </w:tc>
        <w:tc>
          <w:tcPr>
            <w:tcW w:w="1220" w:type="dxa"/>
            <w:tcBorders>
              <w:bottom w:val="single" w:sz="12" w:space="0" w:color="auto"/>
            </w:tcBorders>
            <w:vAlign w:val="bottom"/>
          </w:tcPr>
          <w:p w:rsidR="00000000" w:rsidRDefault="00000000">
            <w:pPr>
              <w:jc w:val="right"/>
              <w:rPr>
                <w:sz w:val="17"/>
              </w:rPr>
            </w:pPr>
            <w:r>
              <w:rPr>
                <w:sz w:val="17"/>
              </w:rPr>
              <w:t>322</w:t>
            </w:r>
          </w:p>
        </w:tc>
        <w:tc>
          <w:tcPr>
            <w:tcW w:w="1220" w:type="dxa"/>
            <w:tcBorders>
              <w:bottom w:val="single" w:sz="12" w:space="0" w:color="auto"/>
            </w:tcBorders>
            <w:vAlign w:val="bottom"/>
          </w:tcPr>
          <w:p w:rsidR="00000000" w:rsidRDefault="00000000">
            <w:pPr>
              <w:jc w:val="right"/>
              <w:rPr>
                <w:sz w:val="17"/>
              </w:rPr>
            </w:pPr>
            <w:r>
              <w:rPr>
                <w:sz w:val="17"/>
              </w:rPr>
              <w:t>4 093</w:t>
            </w:r>
          </w:p>
        </w:tc>
        <w:tc>
          <w:tcPr>
            <w:tcW w:w="1220" w:type="dxa"/>
            <w:tcBorders>
              <w:bottom w:val="single" w:sz="12" w:space="0" w:color="auto"/>
            </w:tcBorders>
            <w:vAlign w:val="bottom"/>
          </w:tcPr>
          <w:p w:rsidR="00000000" w:rsidRDefault="00000000">
            <w:pPr>
              <w:jc w:val="right"/>
              <w:rPr>
                <w:sz w:val="17"/>
              </w:rPr>
            </w:pPr>
            <w:r>
              <w:rPr>
                <w:sz w:val="17"/>
              </w:rPr>
              <w:t>65 719</w:t>
            </w:r>
          </w:p>
        </w:tc>
        <w:tc>
          <w:tcPr>
            <w:tcW w:w="1220" w:type="dxa"/>
            <w:tcBorders>
              <w:bottom w:val="single" w:sz="12" w:space="0" w:color="auto"/>
            </w:tcBorders>
            <w:vAlign w:val="bottom"/>
          </w:tcPr>
          <w:p w:rsidR="00000000" w:rsidRDefault="00000000">
            <w:pPr>
              <w:jc w:val="right"/>
              <w:rPr>
                <w:sz w:val="17"/>
              </w:rPr>
            </w:pPr>
            <w:r>
              <w:rPr>
                <w:sz w:val="17"/>
              </w:rPr>
              <w:t>56 550</w:t>
            </w:r>
          </w:p>
        </w:tc>
        <w:tc>
          <w:tcPr>
            <w:tcW w:w="1220" w:type="dxa"/>
            <w:tcBorders>
              <w:bottom w:val="single" w:sz="12" w:space="0" w:color="auto"/>
            </w:tcBorders>
            <w:vAlign w:val="bottom"/>
          </w:tcPr>
          <w:p w:rsidR="00000000" w:rsidRDefault="00000000">
            <w:pPr>
              <w:jc w:val="right"/>
              <w:rPr>
                <w:sz w:val="17"/>
              </w:rPr>
            </w:pPr>
            <w:r>
              <w:rPr>
                <w:sz w:val="17"/>
              </w:rPr>
              <w:t>122 269</w:t>
            </w:r>
          </w:p>
        </w:tc>
      </w:tr>
    </w:tbl>
    <w:p w:rsidR="00000000" w:rsidRDefault="00000000">
      <w:pPr>
        <w:pStyle w:val="SingleTxt"/>
        <w:jc w:val="center"/>
      </w:pPr>
    </w:p>
    <w:p w:rsidR="00000000" w:rsidRDefault="00000000">
      <w:pPr>
        <w:pStyle w:val="SingleTxt"/>
        <w:ind w:firstLine="475"/>
      </w:pPr>
      <w:r>
        <w:t>Además, las escuelas privadas están bajo la supervisión del Ministerio de Ed</w:t>
      </w:r>
      <w:r>
        <w:t>u</w:t>
      </w:r>
      <w:r>
        <w:t>cación, que estableció un Departamento de Educación Privada con arreglo a la O</w:t>
      </w:r>
      <w:r>
        <w:t>r</w:t>
      </w:r>
      <w:r>
        <w:t>denanza Ministerial N° 322, promulgada el 1° de septiembre de 1973. En este sector hay dos tipos de escuelas:</w:t>
      </w:r>
    </w:p>
    <w:p w:rsidR="00000000" w:rsidRDefault="00000000">
      <w:pPr>
        <w:pStyle w:val="SingleTxt"/>
        <w:numPr>
          <w:ilvl w:val="0"/>
          <w:numId w:val="39"/>
        </w:numPr>
        <w:tabs>
          <w:tab w:val="clear" w:pos="360"/>
          <w:tab w:val="num" w:pos="2102"/>
        </w:tabs>
        <w:ind w:left="2102"/>
      </w:pPr>
      <w:r>
        <w:t>Escuelas árabes, que deben aplicar los planes de estudio del Ministerio de Educación;</w:t>
      </w:r>
    </w:p>
    <w:p w:rsidR="00000000" w:rsidRDefault="00000000">
      <w:pPr>
        <w:pStyle w:val="SingleTxt"/>
        <w:numPr>
          <w:ilvl w:val="0"/>
          <w:numId w:val="39"/>
        </w:numPr>
        <w:tabs>
          <w:tab w:val="clear" w:pos="360"/>
          <w:tab w:val="num" w:pos="2102"/>
        </w:tabs>
        <w:ind w:left="2102"/>
      </w:pPr>
      <w:r>
        <w:t>Escuelas extranjeras establecidas para dar oportunidades a los hijos de las comunidades extranjeras residentes en Kuwait de conformidad con sus propios sistemas educacionales, que no son aplicados en las escuelas est</w:t>
      </w:r>
      <w:r>
        <w:t>a</w:t>
      </w:r>
      <w:r>
        <w:t>tales. Estas escuelas privadas están bajo la supervisión del Ministerio de Educación.</w:t>
      </w:r>
    </w:p>
    <w:p w:rsidR="00000000" w:rsidRDefault="00000000">
      <w:pPr>
        <w:pStyle w:val="SingleTxt"/>
        <w:ind w:firstLine="475"/>
      </w:pPr>
      <w:r>
        <w:t>Las tasas de ingreso de mujeres en la educación pública se han incrementado, como se indica en los cuadros siguientes:</w:t>
      </w:r>
    </w:p>
    <w:p w:rsidR="00000000" w:rsidRDefault="00000000">
      <w:pPr>
        <w:pStyle w:val="SingleTxt"/>
        <w:ind w:firstLine="475"/>
      </w:pPr>
    </w:p>
    <w:p w:rsidR="00000000" w:rsidRDefault="00000000">
      <w:pPr>
        <w:pStyle w:val="SingleTxt"/>
        <w:spacing w:after="0" w:line="120" w:lineRule="exact"/>
        <w:jc w:val="center"/>
        <w:rPr>
          <w:sz w:val="10"/>
        </w:rPr>
      </w:pPr>
    </w:p>
    <w:p w:rsidR="00000000" w:rsidRDefault="00000000">
      <w:pPr>
        <w:pStyle w:val="SingleTxt"/>
        <w:jc w:val="center"/>
      </w:pPr>
      <w:r>
        <w:t>Crecimiento de los porcentajes de mujeres en la educación pública de Kuwait</w:t>
      </w:r>
      <w:r>
        <w:br/>
        <w:t>en el período comprendido entre los años lectivos 1936/37 y 1998/99</w:t>
      </w:r>
    </w:p>
    <w:p w:rsidR="00000000" w:rsidRDefault="00000000">
      <w:pPr>
        <w:pStyle w:val="SingleTxt"/>
        <w:spacing w:after="0" w:line="120" w:lineRule="exact"/>
        <w:jc w:val="center"/>
        <w:rPr>
          <w:sz w:val="10"/>
        </w:rPr>
      </w:pPr>
    </w:p>
    <w:tbl>
      <w:tblPr>
        <w:tblW w:w="0" w:type="auto"/>
        <w:tblInd w:w="1154" w:type="dxa"/>
        <w:tblLayout w:type="fixed"/>
        <w:tblLook w:val="0000" w:firstRow="0" w:lastRow="0" w:firstColumn="0" w:lastColumn="0" w:noHBand="0" w:noVBand="0"/>
      </w:tblPr>
      <w:tblGrid>
        <w:gridCol w:w="1188"/>
        <w:gridCol w:w="1533"/>
        <w:gridCol w:w="1347"/>
        <w:gridCol w:w="1620"/>
        <w:gridCol w:w="1632"/>
      </w:tblGrid>
      <w:tr w:rsidR="00000000">
        <w:tblPrEx>
          <w:tblCellMar>
            <w:top w:w="0" w:type="dxa"/>
            <w:bottom w:w="0" w:type="dxa"/>
          </w:tblCellMar>
        </w:tblPrEx>
        <w:trPr>
          <w:tblHeader/>
        </w:trPr>
        <w:tc>
          <w:tcPr>
            <w:tcW w:w="1188" w:type="dxa"/>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Año lectivo</w:t>
            </w:r>
          </w:p>
        </w:tc>
        <w:tc>
          <w:tcPr>
            <w:tcW w:w="1533"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Total de estudiantes</w:t>
            </w:r>
          </w:p>
        </w:tc>
        <w:tc>
          <w:tcPr>
            <w:tcW w:w="1347"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Total de mujeres</w:t>
            </w:r>
          </w:p>
        </w:tc>
        <w:tc>
          <w:tcPr>
            <w:tcW w:w="162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Porcentaje de muj</w:t>
            </w:r>
            <w:r>
              <w:rPr>
                <w:i/>
                <w:sz w:val="14"/>
              </w:rPr>
              <w:t>e</w:t>
            </w:r>
            <w:r>
              <w:rPr>
                <w:i/>
                <w:sz w:val="14"/>
              </w:rPr>
              <w:t>res</w:t>
            </w:r>
          </w:p>
        </w:tc>
        <w:tc>
          <w:tcPr>
            <w:tcW w:w="1632"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Incremento del po</w:t>
            </w:r>
            <w:r>
              <w:rPr>
                <w:i/>
                <w:sz w:val="14"/>
              </w:rPr>
              <w:t>r</w:t>
            </w:r>
            <w:r>
              <w:rPr>
                <w:i/>
                <w:sz w:val="14"/>
              </w:rPr>
              <w:t>centaje de mujeres</w:t>
            </w:r>
          </w:p>
        </w:tc>
      </w:tr>
      <w:tr w:rsidR="00000000">
        <w:tblPrEx>
          <w:tblCellMar>
            <w:top w:w="0" w:type="dxa"/>
            <w:bottom w:w="0" w:type="dxa"/>
          </w:tblCellMar>
        </w:tblPrEx>
        <w:trPr>
          <w:trHeight w:hRule="exact" w:val="115"/>
          <w:tblHeader/>
        </w:trPr>
        <w:tc>
          <w:tcPr>
            <w:tcW w:w="1188"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1533"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34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6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63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1936/37</w:t>
            </w:r>
          </w:p>
        </w:tc>
        <w:tc>
          <w:tcPr>
            <w:tcW w:w="1533" w:type="dxa"/>
            <w:vAlign w:val="bottom"/>
          </w:tcPr>
          <w:p w:rsidR="00000000" w:rsidRDefault="00000000">
            <w:pPr>
              <w:autoSpaceDE w:val="0"/>
              <w:autoSpaceDN w:val="0"/>
              <w:adjustRightInd w:val="0"/>
              <w:jc w:val="right"/>
              <w:rPr>
                <w:lang w:val="en-US"/>
              </w:rPr>
            </w:pPr>
            <w:r>
              <w:rPr>
                <w:lang w:val="en-US"/>
              </w:rPr>
              <w:t>600</w:t>
            </w:r>
          </w:p>
        </w:tc>
        <w:tc>
          <w:tcPr>
            <w:tcW w:w="1347" w:type="dxa"/>
            <w:vAlign w:val="bottom"/>
          </w:tcPr>
          <w:p w:rsidR="00000000" w:rsidRDefault="00000000">
            <w:pPr>
              <w:autoSpaceDE w:val="0"/>
              <w:autoSpaceDN w:val="0"/>
              <w:adjustRightInd w:val="0"/>
              <w:jc w:val="right"/>
              <w:rPr>
                <w:lang w:val="en-US"/>
              </w:rPr>
            </w:pPr>
            <w:r>
              <w:rPr>
                <w:lang w:val="en-US"/>
              </w:rPr>
              <w:t>-</w:t>
            </w:r>
          </w:p>
        </w:tc>
        <w:tc>
          <w:tcPr>
            <w:tcW w:w="1620" w:type="dxa"/>
            <w:vAlign w:val="bottom"/>
          </w:tcPr>
          <w:p w:rsidR="00000000" w:rsidRDefault="00000000">
            <w:pPr>
              <w:autoSpaceDE w:val="0"/>
              <w:autoSpaceDN w:val="0"/>
              <w:adjustRightInd w:val="0"/>
              <w:jc w:val="right"/>
              <w:rPr>
                <w:lang w:val="en-US"/>
              </w:rPr>
            </w:pPr>
            <w:r>
              <w:rPr>
                <w:lang w:val="en-US"/>
              </w:rPr>
              <w:t>19,9</w:t>
            </w:r>
          </w:p>
        </w:tc>
        <w:tc>
          <w:tcPr>
            <w:tcW w:w="1632" w:type="dxa"/>
            <w:vAlign w:val="bottom"/>
          </w:tcPr>
          <w:p w:rsidR="00000000" w:rsidRDefault="00000000">
            <w:pPr>
              <w:autoSpaceDE w:val="0"/>
              <w:autoSpaceDN w:val="0"/>
              <w:adjustRightInd w:val="0"/>
              <w:jc w:val="right"/>
              <w:rPr>
                <w:lang w:val="en-US"/>
              </w:rPr>
            </w:pPr>
            <w:r>
              <w:rPr>
                <w:lang w:val="en-US"/>
              </w:rPr>
              <w:t>-</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1940/41</w:t>
            </w:r>
          </w:p>
        </w:tc>
        <w:tc>
          <w:tcPr>
            <w:tcW w:w="1533" w:type="dxa"/>
            <w:vAlign w:val="bottom"/>
          </w:tcPr>
          <w:p w:rsidR="00000000" w:rsidRDefault="00000000">
            <w:pPr>
              <w:autoSpaceDE w:val="0"/>
              <w:autoSpaceDN w:val="0"/>
              <w:adjustRightInd w:val="0"/>
              <w:jc w:val="right"/>
              <w:rPr>
                <w:lang w:val="en-US"/>
              </w:rPr>
            </w:pPr>
            <w:r>
              <w:rPr>
                <w:lang w:val="en-US"/>
              </w:rPr>
              <w:t>2 012</w:t>
            </w:r>
          </w:p>
        </w:tc>
        <w:tc>
          <w:tcPr>
            <w:tcW w:w="1347" w:type="dxa"/>
            <w:vAlign w:val="bottom"/>
          </w:tcPr>
          <w:p w:rsidR="00000000" w:rsidRDefault="00000000">
            <w:pPr>
              <w:autoSpaceDE w:val="0"/>
              <w:autoSpaceDN w:val="0"/>
              <w:adjustRightInd w:val="0"/>
              <w:jc w:val="right"/>
              <w:rPr>
                <w:lang w:val="en-US"/>
              </w:rPr>
            </w:pPr>
            <w:r>
              <w:rPr>
                <w:lang w:val="en-US"/>
              </w:rPr>
              <w:t>400</w:t>
            </w:r>
          </w:p>
        </w:tc>
        <w:tc>
          <w:tcPr>
            <w:tcW w:w="1620" w:type="dxa"/>
            <w:vAlign w:val="bottom"/>
          </w:tcPr>
          <w:p w:rsidR="00000000" w:rsidRDefault="00000000">
            <w:pPr>
              <w:autoSpaceDE w:val="0"/>
              <w:autoSpaceDN w:val="0"/>
              <w:adjustRightInd w:val="0"/>
              <w:jc w:val="right"/>
              <w:rPr>
                <w:lang w:val="en-US"/>
              </w:rPr>
            </w:pPr>
            <w:r>
              <w:rPr>
                <w:lang w:val="en-US"/>
              </w:rPr>
              <w:t>22,6</w:t>
            </w:r>
          </w:p>
        </w:tc>
        <w:tc>
          <w:tcPr>
            <w:tcW w:w="1632" w:type="dxa"/>
            <w:vAlign w:val="bottom"/>
          </w:tcPr>
          <w:p w:rsidR="00000000" w:rsidRDefault="00000000">
            <w:pPr>
              <w:autoSpaceDE w:val="0"/>
              <w:autoSpaceDN w:val="0"/>
              <w:adjustRightInd w:val="0"/>
              <w:jc w:val="right"/>
              <w:rPr>
                <w:lang w:val="en-US"/>
              </w:rPr>
            </w:pPr>
            <w:r>
              <w:rPr>
                <w:lang w:val="en-US"/>
              </w:rPr>
              <w:t>-</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1945/46</w:t>
            </w:r>
          </w:p>
        </w:tc>
        <w:tc>
          <w:tcPr>
            <w:tcW w:w="1533" w:type="dxa"/>
            <w:vAlign w:val="bottom"/>
          </w:tcPr>
          <w:p w:rsidR="00000000" w:rsidRDefault="00000000">
            <w:pPr>
              <w:autoSpaceDE w:val="0"/>
              <w:autoSpaceDN w:val="0"/>
              <w:adjustRightInd w:val="0"/>
              <w:jc w:val="right"/>
              <w:rPr>
                <w:lang w:val="en-US"/>
              </w:rPr>
            </w:pPr>
            <w:r>
              <w:rPr>
                <w:lang w:val="en-US"/>
              </w:rPr>
              <w:t>3 635</w:t>
            </w:r>
          </w:p>
        </w:tc>
        <w:tc>
          <w:tcPr>
            <w:tcW w:w="1347" w:type="dxa"/>
            <w:vAlign w:val="bottom"/>
          </w:tcPr>
          <w:p w:rsidR="00000000" w:rsidRDefault="00000000">
            <w:pPr>
              <w:autoSpaceDE w:val="0"/>
              <w:autoSpaceDN w:val="0"/>
              <w:adjustRightInd w:val="0"/>
              <w:jc w:val="right"/>
              <w:rPr>
                <w:lang w:val="en-US"/>
              </w:rPr>
            </w:pPr>
            <w:r>
              <w:rPr>
                <w:lang w:val="en-US"/>
              </w:rPr>
              <w:t>820</w:t>
            </w:r>
          </w:p>
        </w:tc>
        <w:tc>
          <w:tcPr>
            <w:tcW w:w="1620" w:type="dxa"/>
            <w:vAlign w:val="bottom"/>
          </w:tcPr>
          <w:p w:rsidR="00000000" w:rsidRDefault="00000000">
            <w:pPr>
              <w:autoSpaceDE w:val="0"/>
              <w:autoSpaceDN w:val="0"/>
              <w:adjustRightInd w:val="0"/>
              <w:jc w:val="right"/>
              <w:rPr>
                <w:lang w:val="en-US"/>
              </w:rPr>
            </w:pPr>
            <w:r>
              <w:rPr>
                <w:lang w:val="en-US"/>
              </w:rPr>
              <w:t>27,9</w:t>
            </w:r>
          </w:p>
        </w:tc>
        <w:tc>
          <w:tcPr>
            <w:tcW w:w="1632" w:type="dxa"/>
            <w:vAlign w:val="bottom"/>
          </w:tcPr>
          <w:p w:rsidR="00000000" w:rsidRDefault="00000000">
            <w:pPr>
              <w:autoSpaceDE w:val="0"/>
              <w:autoSpaceDN w:val="0"/>
              <w:adjustRightInd w:val="0"/>
              <w:jc w:val="right"/>
              <w:rPr>
                <w:lang w:val="en-US"/>
              </w:rPr>
            </w:pPr>
            <w:r>
              <w:rPr>
                <w:lang w:val="en-US"/>
              </w:rPr>
              <w:t>105</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1950/51</w:t>
            </w:r>
          </w:p>
        </w:tc>
        <w:tc>
          <w:tcPr>
            <w:tcW w:w="1533" w:type="dxa"/>
            <w:vAlign w:val="bottom"/>
          </w:tcPr>
          <w:p w:rsidR="00000000" w:rsidRDefault="00000000">
            <w:pPr>
              <w:autoSpaceDE w:val="0"/>
              <w:autoSpaceDN w:val="0"/>
              <w:adjustRightInd w:val="0"/>
              <w:jc w:val="right"/>
              <w:rPr>
                <w:lang w:val="en-US"/>
              </w:rPr>
            </w:pPr>
            <w:r>
              <w:rPr>
                <w:lang w:val="en-US"/>
              </w:rPr>
              <w:t>6 352</w:t>
            </w:r>
          </w:p>
        </w:tc>
        <w:tc>
          <w:tcPr>
            <w:tcW w:w="1347" w:type="dxa"/>
            <w:vAlign w:val="bottom"/>
          </w:tcPr>
          <w:p w:rsidR="00000000" w:rsidRDefault="00000000">
            <w:pPr>
              <w:autoSpaceDE w:val="0"/>
              <w:autoSpaceDN w:val="0"/>
              <w:adjustRightInd w:val="0"/>
              <w:jc w:val="right"/>
              <w:rPr>
                <w:lang w:val="en-US"/>
              </w:rPr>
            </w:pPr>
            <w:r>
              <w:rPr>
                <w:lang w:val="en-US"/>
              </w:rPr>
              <w:t>1 772</w:t>
            </w:r>
          </w:p>
        </w:tc>
        <w:tc>
          <w:tcPr>
            <w:tcW w:w="1620" w:type="dxa"/>
            <w:vAlign w:val="bottom"/>
          </w:tcPr>
          <w:p w:rsidR="00000000" w:rsidRDefault="00000000">
            <w:pPr>
              <w:autoSpaceDE w:val="0"/>
              <w:autoSpaceDN w:val="0"/>
              <w:adjustRightInd w:val="0"/>
              <w:jc w:val="right"/>
              <w:rPr>
                <w:lang w:val="en-US"/>
              </w:rPr>
            </w:pPr>
            <w:r>
              <w:rPr>
                <w:lang w:val="en-US"/>
              </w:rPr>
              <w:t>35,9</w:t>
            </w:r>
          </w:p>
        </w:tc>
        <w:tc>
          <w:tcPr>
            <w:tcW w:w="1632" w:type="dxa"/>
            <w:vAlign w:val="bottom"/>
          </w:tcPr>
          <w:p w:rsidR="00000000" w:rsidRDefault="00000000">
            <w:pPr>
              <w:autoSpaceDE w:val="0"/>
              <w:autoSpaceDN w:val="0"/>
              <w:adjustRightInd w:val="0"/>
              <w:jc w:val="right"/>
              <w:rPr>
                <w:lang w:val="en-US"/>
              </w:rPr>
            </w:pPr>
            <w:r>
              <w:rPr>
                <w:lang w:val="en-US"/>
              </w:rPr>
              <w:t>116,1</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1955/56</w:t>
            </w:r>
          </w:p>
        </w:tc>
        <w:tc>
          <w:tcPr>
            <w:tcW w:w="1533" w:type="dxa"/>
            <w:vAlign w:val="bottom"/>
          </w:tcPr>
          <w:p w:rsidR="00000000" w:rsidRDefault="00000000">
            <w:pPr>
              <w:autoSpaceDE w:val="0"/>
              <w:autoSpaceDN w:val="0"/>
              <w:adjustRightInd w:val="0"/>
              <w:jc w:val="right"/>
              <w:rPr>
                <w:lang w:val="en-US"/>
              </w:rPr>
            </w:pPr>
            <w:r>
              <w:rPr>
                <w:lang w:val="en-US"/>
              </w:rPr>
              <w:t>18 472</w:t>
            </w:r>
          </w:p>
        </w:tc>
        <w:tc>
          <w:tcPr>
            <w:tcW w:w="1347" w:type="dxa"/>
            <w:vAlign w:val="bottom"/>
          </w:tcPr>
          <w:p w:rsidR="00000000" w:rsidRDefault="00000000">
            <w:pPr>
              <w:autoSpaceDE w:val="0"/>
              <w:autoSpaceDN w:val="0"/>
              <w:adjustRightInd w:val="0"/>
              <w:jc w:val="right"/>
              <w:rPr>
                <w:lang w:val="en-US"/>
              </w:rPr>
            </w:pPr>
            <w:r>
              <w:rPr>
                <w:lang w:val="en-US"/>
              </w:rPr>
              <w:t>6 629</w:t>
            </w:r>
          </w:p>
        </w:tc>
        <w:tc>
          <w:tcPr>
            <w:tcW w:w="1620" w:type="dxa"/>
            <w:vAlign w:val="bottom"/>
          </w:tcPr>
          <w:p w:rsidR="00000000" w:rsidRDefault="00000000">
            <w:pPr>
              <w:autoSpaceDE w:val="0"/>
              <w:autoSpaceDN w:val="0"/>
              <w:adjustRightInd w:val="0"/>
              <w:jc w:val="right"/>
              <w:rPr>
                <w:lang w:val="en-US"/>
              </w:rPr>
            </w:pPr>
            <w:r>
              <w:rPr>
                <w:lang w:val="en-US"/>
              </w:rPr>
              <w:t>39,8</w:t>
            </w:r>
          </w:p>
        </w:tc>
        <w:tc>
          <w:tcPr>
            <w:tcW w:w="1632" w:type="dxa"/>
            <w:vAlign w:val="bottom"/>
          </w:tcPr>
          <w:p w:rsidR="00000000" w:rsidRDefault="00000000">
            <w:pPr>
              <w:autoSpaceDE w:val="0"/>
              <w:autoSpaceDN w:val="0"/>
              <w:adjustRightInd w:val="0"/>
              <w:jc w:val="right"/>
              <w:rPr>
                <w:lang w:val="en-US"/>
              </w:rPr>
            </w:pPr>
            <w:r>
              <w:rPr>
                <w:lang w:val="en-US"/>
              </w:rPr>
              <w:t>274,1</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1960/61</w:t>
            </w:r>
          </w:p>
        </w:tc>
        <w:tc>
          <w:tcPr>
            <w:tcW w:w="1533" w:type="dxa"/>
            <w:vAlign w:val="bottom"/>
          </w:tcPr>
          <w:p w:rsidR="00000000" w:rsidRDefault="00000000">
            <w:pPr>
              <w:autoSpaceDE w:val="0"/>
              <w:autoSpaceDN w:val="0"/>
              <w:adjustRightInd w:val="0"/>
              <w:jc w:val="right"/>
              <w:rPr>
                <w:lang w:val="en-US"/>
              </w:rPr>
            </w:pPr>
            <w:r>
              <w:rPr>
                <w:lang w:val="en-US"/>
              </w:rPr>
              <w:t>43 537</w:t>
            </w:r>
          </w:p>
        </w:tc>
        <w:tc>
          <w:tcPr>
            <w:tcW w:w="1347" w:type="dxa"/>
            <w:vAlign w:val="bottom"/>
          </w:tcPr>
          <w:p w:rsidR="00000000" w:rsidRDefault="00000000">
            <w:pPr>
              <w:autoSpaceDE w:val="0"/>
              <w:autoSpaceDN w:val="0"/>
              <w:adjustRightInd w:val="0"/>
              <w:jc w:val="right"/>
              <w:rPr>
                <w:lang w:val="en-US"/>
              </w:rPr>
            </w:pPr>
            <w:r>
              <w:rPr>
                <w:lang w:val="en-US"/>
              </w:rPr>
              <w:t>17 326</w:t>
            </w:r>
          </w:p>
        </w:tc>
        <w:tc>
          <w:tcPr>
            <w:tcW w:w="1620" w:type="dxa"/>
            <w:vAlign w:val="bottom"/>
          </w:tcPr>
          <w:p w:rsidR="00000000" w:rsidRDefault="00000000">
            <w:pPr>
              <w:autoSpaceDE w:val="0"/>
              <w:autoSpaceDN w:val="0"/>
              <w:adjustRightInd w:val="0"/>
              <w:jc w:val="right"/>
              <w:rPr>
                <w:lang w:val="en-US"/>
              </w:rPr>
            </w:pPr>
            <w:r>
              <w:rPr>
                <w:lang w:val="en-US"/>
              </w:rPr>
              <w:t>42,4</w:t>
            </w:r>
          </w:p>
        </w:tc>
        <w:tc>
          <w:tcPr>
            <w:tcW w:w="1632" w:type="dxa"/>
            <w:vAlign w:val="bottom"/>
          </w:tcPr>
          <w:p w:rsidR="00000000" w:rsidRDefault="00000000">
            <w:pPr>
              <w:autoSpaceDE w:val="0"/>
              <w:autoSpaceDN w:val="0"/>
              <w:adjustRightInd w:val="0"/>
              <w:jc w:val="right"/>
              <w:rPr>
                <w:lang w:val="en-US"/>
              </w:rPr>
            </w:pPr>
            <w:r>
              <w:rPr>
                <w:lang w:val="en-US"/>
              </w:rPr>
              <w:t>161,4</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1965/66</w:t>
            </w:r>
          </w:p>
        </w:tc>
        <w:tc>
          <w:tcPr>
            <w:tcW w:w="1533" w:type="dxa"/>
            <w:vAlign w:val="bottom"/>
          </w:tcPr>
          <w:p w:rsidR="00000000" w:rsidRDefault="00000000">
            <w:pPr>
              <w:autoSpaceDE w:val="0"/>
              <w:autoSpaceDN w:val="0"/>
              <w:adjustRightInd w:val="0"/>
              <w:jc w:val="right"/>
              <w:rPr>
                <w:lang w:val="en-US"/>
              </w:rPr>
            </w:pPr>
            <w:r>
              <w:rPr>
                <w:lang w:val="en-US"/>
              </w:rPr>
              <w:t>88 815</w:t>
            </w:r>
          </w:p>
        </w:tc>
        <w:tc>
          <w:tcPr>
            <w:tcW w:w="1347" w:type="dxa"/>
            <w:vAlign w:val="bottom"/>
          </w:tcPr>
          <w:p w:rsidR="00000000" w:rsidRDefault="00000000">
            <w:pPr>
              <w:autoSpaceDE w:val="0"/>
              <w:autoSpaceDN w:val="0"/>
              <w:adjustRightInd w:val="0"/>
              <w:jc w:val="right"/>
              <w:rPr>
                <w:lang w:val="en-US"/>
              </w:rPr>
            </w:pPr>
            <w:r>
              <w:rPr>
                <w:lang w:val="en-US"/>
              </w:rPr>
              <w:t>37 637</w:t>
            </w:r>
          </w:p>
        </w:tc>
        <w:tc>
          <w:tcPr>
            <w:tcW w:w="1620" w:type="dxa"/>
            <w:vAlign w:val="bottom"/>
          </w:tcPr>
          <w:p w:rsidR="00000000" w:rsidRDefault="00000000">
            <w:pPr>
              <w:autoSpaceDE w:val="0"/>
              <w:autoSpaceDN w:val="0"/>
              <w:adjustRightInd w:val="0"/>
              <w:jc w:val="right"/>
              <w:rPr>
                <w:lang w:val="en-US"/>
              </w:rPr>
            </w:pPr>
            <w:r>
              <w:rPr>
                <w:lang w:val="en-US"/>
              </w:rPr>
              <w:t>43,6</w:t>
            </w:r>
          </w:p>
        </w:tc>
        <w:tc>
          <w:tcPr>
            <w:tcW w:w="1632" w:type="dxa"/>
            <w:vAlign w:val="bottom"/>
          </w:tcPr>
          <w:p w:rsidR="00000000" w:rsidRDefault="00000000">
            <w:pPr>
              <w:autoSpaceDE w:val="0"/>
              <w:autoSpaceDN w:val="0"/>
              <w:adjustRightInd w:val="0"/>
              <w:jc w:val="right"/>
              <w:rPr>
                <w:lang w:val="en-US"/>
              </w:rPr>
            </w:pPr>
            <w:r>
              <w:rPr>
                <w:lang w:val="en-US"/>
              </w:rPr>
              <w:t>117,2</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1970/71</w:t>
            </w:r>
          </w:p>
        </w:tc>
        <w:tc>
          <w:tcPr>
            <w:tcW w:w="1533" w:type="dxa"/>
            <w:vAlign w:val="bottom"/>
          </w:tcPr>
          <w:p w:rsidR="00000000" w:rsidRDefault="00000000">
            <w:pPr>
              <w:autoSpaceDE w:val="0"/>
              <w:autoSpaceDN w:val="0"/>
              <w:adjustRightInd w:val="0"/>
              <w:jc w:val="right"/>
              <w:rPr>
                <w:lang w:val="en-US"/>
              </w:rPr>
            </w:pPr>
            <w:r>
              <w:rPr>
                <w:lang w:val="en-US"/>
              </w:rPr>
              <w:t>133 306</w:t>
            </w:r>
          </w:p>
        </w:tc>
        <w:tc>
          <w:tcPr>
            <w:tcW w:w="1347" w:type="dxa"/>
            <w:vAlign w:val="bottom"/>
          </w:tcPr>
          <w:p w:rsidR="00000000" w:rsidRDefault="00000000">
            <w:pPr>
              <w:autoSpaceDE w:val="0"/>
              <w:autoSpaceDN w:val="0"/>
              <w:adjustRightInd w:val="0"/>
              <w:jc w:val="right"/>
              <w:rPr>
                <w:lang w:val="en-US"/>
              </w:rPr>
            </w:pPr>
            <w:r>
              <w:rPr>
                <w:lang w:val="en-US"/>
              </w:rPr>
              <w:t>58 083</w:t>
            </w:r>
          </w:p>
        </w:tc>
        <w:tc>
          <w:tcPr>
            <w:tcW w:w="1620" w:type="dxa"/>
            <w:vAlign w:val="bottom"/>
          </w:tcPr>
          <w:p w:rsidR="00000000" w:rsidRDefault="00000000">
            <w:pPr>
              <w:autoSpaceDE w:val="0"/>
              <w:autoSpaceDN w:val="0"/>
              <w:adjustRightInd w:val="0"/>
              <w:jc w:val="right"/>
              <w:rPr>
                <w:lang w:val="en-US"/>
              </w:rPr>
            </w:pPr>
            <w:r>
              <w:rPr>
                <w:lang w:val="en-US"/>
              </w:rPr>
              <w:t>45,9</w:t>
            </w:r>
          </w:p>
        </w:tc>
        <w:tc>
          <w:tcPr>
            <w:tcW w:w="1632" w:type="dxa"/>
            <w:vAlign w:val="bottom"/>
          </w:tcPr>
          <w:p w:rsidR="00000000" w:rsidRDefault="00000000">
            <w:pPr>
              <w:autoSpaceDE w:val="0"/>
              <w:autoSpaceDN w:val="0"/>
              <w:adjustRightInd w:val="0"/>
              <w:jc w:val="right"/>
              <w:rPr>
                <w:lang w:val="en-US"/>
              </w:rPr>
            </w:pPr>
            <w:r>
              <w:rPr>
                <w:lang w:val="en-US"/>
              </w:rPr>
              <w:t>54,3</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1975/76</w:t>
            </w:r>
          </w:p>
        </w:tc>
        <w:tc>
          <w:tcPr>
            <w:tcW w:w="1533" w:type="dxa"/>
            <w:vAlign w:val="bottom"/>
          </w:tcPr>
          <w:p w:rsidR="00000000" w:rsidRDefault="00000000">
            <w:pPr>
              <w:autoSpaceDE w:val="0"/>
              <w:autoSpaceDN w:val="0"/>
              <w:adjustRightInd w:val="0"/>
              <w:jc w:val="right"/>
              <w:rPr>
                <w:lang w:val="en-US"/>
              </w:rPr>
            </w:pPr>
            <w:r>
              <w:rPr>
                <w:lang w:val="en-US"/>
              </w:rPr>
              <w:t>196 426</w:t>
            </w:r>
          </w:p>
        </w:tc>
        <w:tc>
          <w:tcPr>
            <w:tcW w:w="1347" w:type="dxa"/>
            <w:vAlign w:val="bottom"/>
          </w:tcPr>
          <w:p w:rsidR="00000000" w:rsidRDefault="00000000">
            <w:pPr>
              <w:autoSpaceDE w:val="0"/>
              <w:autoSpaceDN w:val="0"/>
              <w:adjustRightInd w:val="0"/>
              <w:jc w:val="right"/>
              <w:rPr>
                <w:lang w:val="en-US"/>
              </w:rPr>
            </w:pPr>
            <w:r>
              <w:rPr>
                <w:lang w:val="en-US"/>
              </w:rPr>
              <w:t>90 169</w:t>
            </w:r>
          </w:p>
        </w:tc>
        <w:tc>
          <w:tcPr>
            <w:tcW w:w="1620" w:type="dxa"/>
            <w:vAlign w:val="bottom"/>
          </w:tcPr>
          <w:p w:rsidR="00000000" w:rsidRDefault="00000000">
            <w:pPr>
              <w:autoSpaceDE w:val="0"/>
              <w:autoSpaceDN w:val="0"/>
              <w:adjustRightInd w:val="0"/>
              <w:jc w:val="right"/>
              <w:rPr>
                <w:lang w:val="en-US"/>
              </w:rPr>
            </w:pPr>
            <w:r>
              <w:rPr>
                <w:lang w:val="en-US"/>
              </w:rPr>
              <w:t>46,9</w:t>
            </w:r>
          </w:p>
        </w:tc>
        <w:tc>
          <w:tcPr>
            <w:tcW w:w="1632" w:type="dxa"/>
            <w:vAlign w:val="bottom"/>
          </w:tcPr>
          <w:p w:rsidR="00000000" w:rsidRDefault="00000000">
            <w:pPr>
              <w:autoSpaceDE w:val="0"/>
              <w:autoSpaceDN w:val="0"/>
              <w:adjustRightInd w:val="0"/>
              <w:jc w:val="right"/>
              <w:rPr>
                <w:lang w:val="en-US"/>
              </w:rPr>
            </w:pPr>
            <w:r>
              <w:rPr>
                <w:lang w:val="en-US"/>
              </w:rPr>
              <w:t>55,2</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1980/81</w:t>
            </w:r>
          </w:p>
        </w:tc>
        <w:tc>
          <w:tcPr>
            <w:tcW w:w="1533" w:type="dxa"/>
            <w:vAlign w:val="bottom"/>
          </w:tcPr>
          <w:p w:rsidR="00000000" w:rsidRDefault="00000000">
            <w:pPr>
              <w:autoSpaceDE w:val="0"/>
              <w:autoSpaceDN w:val="0"/>
              <w:adjustRightInd w:val="0"/>
              <w:jc w:val="right"/>
              <w:rPr>
                <w:lang w:val="en-US"/>
              </w:rPr>
            </w:pPr>
            <w:r>
              <w:rPr>
                <w:lang w:val="en-US"/>
              </w:rPr>
              <w:t>295 445</w:t>
            </w:r>
          </w:p>
        </w:tc>
        <w:tc>
          <w:tcPr>
            <w:tcW w:w="1347" w:type="dxa"/>
            <w:vAlign w:val="bottom"/>
          </w:tcPr>
          <w:p w:rsidR="00000000" w:rsidRDefault="00000000">
            <w:pPr>
              <w:autoSpaceDE w:val="0"/>
              <w:autoSpaceDN w:val="0"/>
              <w:adjustRightInd w:val="0"/>
              <w:jc w:val="right"/>
              <w:rPr>
                <w:lang w:val="en-US"/>
              </w:rPr>
            </w:pPr>
            <w:r>
              <w:rPr>
                <w:lang w:val="en-US"/>
              </w:rPr>
              <w:t>138 551</w:t>
            </w:r>
          </w:p>
        </w:tc>
        <w:tc>
          <w:tcPr>
            <w:tcW w:w="1620" w:type="dxa"/>
            <w:vAlign w:val="bottom"/>
          </w:tcPr>
          <w:p w:rsidR="00000000" w:rsidRDefault="00000000">
            <w:pPr>
              <w:autoSpaceDE w:val="0"/>
              <w:autoSpaceDN w:val="0"/>
              <w:adjustRightInd w:val="0"/>
              <w:jc w:val="right"/>
              <w:rPr>
                <w:lang w:val="en-US"/>
              </w:rPr>
            </w:pPr>
            <w:r>
              <w:rPr>
                <w:lang w:val="en-US"/>
              </w:rPr>
              <w:t>48,3</w:t>
            </w:r>
          </w:p>
        </w:tc>
        <w:tc>
          <w:tcPr>
            <w:tcW w:w="1632" w:type="dxa"/>
            <w:vAlign w:val="bottom"/>
          </w:tcPr>
          <w:p w:rsidR="00000000" w:rsidRDefault="00000000">
            <w:pPr>
              <w:autoSpaceDE w:val="0"/>
              <w:autoSpaceDN w:val="0"/>
              <w:adjustRightInd w:val="0"/>
              <w:jc w:val="right"/>
              <w:rPr>
                <w:lang w:val="en-US"/>
              </w:rPr>
            </w:pPr>
            <w:r>
              <w:rPr>
                <w:lang w:val="en-US"/>
              </w:rPr>
              <w:t>53,7</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1985/86</w:t>
            </w:r>
          </w:p>
        </w:tc>
        <w:tc>
          <w:tcPr>
            <w:tcW w:w="1533" w:type="dxa"/>
            <w:vAlign w:val="bottom"/>
          </w:tcPr>
          <w:p w:rsidR="00000000" w:rsidRDefault="00000000">
            <w:pPr>
              <w:autoSpaceDE w:val="0"/>
              <w:autoSpaceDN w:val="0"/>
              <w:adjustRightInd w:val="0"/>
              <w:jc w:val="right"/>
              <w:rPr>
                <w:lang w:val="en-US"/>
              </w:rPr>
            </w:pPr>
            <w:r>
              <w:rPr>
                <w:lang w:val="en-US"/>
              </w:rPr>
              <w:t>357 169</w:t>
            </w:r>
          </w:p>
        </w:tc>
        <w:tc>
          <w:tcPr>
            <w:tcW w:w="1347" w:type="dxa"/>
            <w:vAlign w:val="bottom"/>
          </w:tcPr>
          <w:p w:rsidR="00000000" w:rsidRDefault="00000000">
            <w:pPr>
              <w:autoSpaceDE w:val="0"/>
              <w:autoSpaceDN w:val="0"/>
              <w:adjustRightInd w:val="0"/>
              <w:jc w:val="right"/>
              <w:rPr>
                <w:lang w:val="en-US"/>
              </w:rPr>
            </w:pPr>
            <w:r>
              <w:rPr>
                <w:lang w:val="en-US"/>
              </w:rPr>
              <w:t>172 459</w:t>
            </w:r>
          </w:p>
        </w:tc>
        <w:tc>
          <w:tcPr>
            <w:tcW w:w="1620" w:type="dxa"/>
            <w:vAlign w:val="bottom"/>
          </w:tcPr>
          <w:p w:rsidR="00000000" w:rsidRDefault="00000000">
            <w:pPr>
              <w:autoSpaceDE w:val="0"/>
              <w:autoSpaceDN w:val="0"/>
              <w:adjustRightInd w:val="0"/>
              <w:jc w:val="right"/>
              <w:rPr>
                <w:lang w:val="en-US"/>
              </w:rPr>
            </w:pPr>
            <w:r>
              <w:rPr>
                <w:lang w:val="en-US"/>
              </w:rPr>
              <w:t xml:space="preserve">   -</w:t>
            </w:r>
          </w:p>
        </w:tc>
        <w:tc>
          <w:tcPr>
            <w:tcW w:w="1632" w:type="dxa"/>
            <w:vAlign w:val="bottom"/>
          </w:tcPr>
          <w:p w:rsidR="00000000" w:rsidRDefault="00000000">
            <w:pPr>
              <w:autoSpaceDE w:val="0"/>
              <w:autoSpaceDN w:val="0"/>
              <w:adjustRightInd w:val="0"/>
              <w:jc w:val="right"/>
              <w:rPr>
                <w:lang w:val="en-US"/>
              </w:rPr>
            </w:pPr>
            <w:r>
              <w:rPr>
                <w:lang w:val="en-US"/>
              </w:rPr>
              <w:t>24,5</w:t>
            </w:r>
          </w:p>
        </w:tc>
      </w:tr>
      <w:tr w:rsidR="00000000">
        <w:tblPrEx>
          <w:tblCellMar>
            <w:top w:w="0" w:type="dxa"/>
            <w:bottom w:w="0" w:type="dxa"/>
          </w:tblCellMar>
        </w:tblPrEx>
        <w:trPr>
          <w:cantSplit/>
        </w:trPr>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1990/91</w:t>
            </w:r>
          </w:p>
        </w:tc>
        <w:tc>
          <w:tcPr>
            <w:tcW w:w="6132" w:type="dxa"/>
            <w:gridSpan w:val="4"/>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Año de la invasión iraquí</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1995/96</w:t>
            </w:r>
          </w:p>
        </w:tc>
        <w:tc>
          <w:tcPr>
            <w:tcW w:w="1533" w:type="dxa"/>
            <w:vAlign w:val="bottom"/>
          </w:tcPr>
          <w:p w:rsidR="00000000" w:rsidRDefault="00000000">
            <w:pPr>
              <w:autoSpaceDE w:val="0"/>
              <w:autoSpaceDN w:val="0"/>
              <w:adjustRightInd w:val="0"/>
              <w:jc w:val="right"/>
              <w:rPr>
                <w:sz w:val="17"/>
                <w:lang w:val="en-US"/>
              </w:rPr>
            </w:pPr>
            <w:r>
              <w:rPr>
                <w:sz w:val="17"/>
                <w:lang w:val="en-US"/>
              </w:rPr>
              <w:t>280 709</w:t>
            </w:r>
          </w:p>
        </w:tc>
        <w:tc>
          <w:tcPr>
            <w:tcW w:w="1347" w:type="dxa"/>
            <w:vAlign w:val="bottom"/>
          </w:tcPr>
          <w:p w:rsidR="00000000" w:rsidRDefault="00000000">
            <w:pPr>
              <w:autoSpaceDE w:val="0"/>
              <w:autoSpaceDN w:val="0"/>
              <w:adjustRightInd w:val="0"/>
              <w:jc w:val="right"/>
              <w:rPr>
                <w:sz w:val="17"/>
                <w:lang w:val="en-US"/>
              </w:rPr>
            </w:pPr>
            <w:r>
              <w:rPr>
                <w:sz w:val="17"/>
                <w:lang w:val="en-US"/>
              </w:rPr>
              <w:t>140 979</w:t>
            </w:r>
          </w:p>
        </w:tc>
        <w:tc>
          <w:tcPr>
            <w:tcW w:w="1620" w:type="dxa"/>
            <w:vAlign w:val="bottom"/>
          </w:tcPr>
          <w:p w:rsidR="00000000" w:rsidRDefault="00000000">
            <w:pPr>
              <w:autoSpaceDE w:val="0"/>
              <w:autoSpaceDN w:val="0"/>
              <w:adjustRightInd w:val="0"/>
              <w:jc w:val="right"/>
              <w:rPr>
                <w:sz w:val="17"/>
                <w:lang w:val="en-US"/>
              </w:rPr>
            </w:pPr>
            <w:r>
              <w:rPr>
                <w:sz w:val="17"/>
                <w:lang w:val="en-US"/>
              </w:rPr>
              <w:t>50,2</w:t>
            </w:r>
          </w:p>
        </w:tc>
        <w:tc>
          <w:tcPr>
            <w:tcW w:w="1632" w:type="dxa"/>
            <w:vAlign w:val="bottom"/>
          </w:tcPr>
          <w:p w:rsidR="00000000" w:rsidRDefault="00000000">
            <w:pPr>
              <w:autoSpaceDE w:val="0"/>
              <w:autoSpaceDN w:val="0"/>
              <w:adjustRightInd w:val="0"/>
              <w:jc w:val="right"/>
              <w:rPr>
                <w:sz w:val="17"/>
                <w:lang w:val="en-US"/>
              </w:rPr>
            </w:pPr>
            <w:r>
              <w:rPr>
                <w:sz w:val="17"/>
                <w:lang w:val="en-US"/>
              </w:rPr>
              <w:t>-</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1996/97</w:t>
            </w:r>
          </w:p>
        </w:tc>
        <w:tc>
          <w:tcPr>
            <w:tcW w:w="1533" w:type="dxa"/>
            <w:vAlign w:val="bottom"/>
          </w:tcPr>
          <w:p w:rsidR="00000000" w:rsidRDefault="00000000">
            <w:pPr>
              <w:autoSpaceDE w:val="0"/>
              <w:autoSpaceDN w:val="0"/>
              <w:adjustRightInd w:val="0"/>
              <w:jc w:val="right"/>
              <w:rPr>
                <w:sz w:val="17"/>
                <w:lang w:val="en-US"/>
              </w:rPr>
            </w:pPr>
            <w:r>
              <w:rPr>
                <w:sz w:val="17"/>
                <w:lang w:val="en-US"/>
              </w:rPr>
              <w:t>288 755</w:t>
            </w:r>
          </w:p>
        </w:tc>
        <w:tc>
          <w:tcPr>
            <w:tcW w:w="1347" w:type="dxa"/>
            <w:vAlign w:val="bottom"/>
          </w:tcPr>
          <w:p w:rsidR="00000000" w:rsidRDefault="00000000">
            <w:pPr>
              <w:autoSpaceDE w:val="0"/>
              <w:autoSpaceDN w:val="0"/>
              <w:adjustRightInd w:val="0"/>
              <w:jc w:val="right"/>
              <w:rPr>
                <w:sz w:val="17"/>
                <w:lang w:val="en-US"/>
              </w:rPr>
            </w:pPr>
            <w:r>
              <w:rPr>
                <w:sz w:val="17"/>
                <w:lang w:val="en-US"/>
              </w:rPr>
              <w:t>145 069</w:t>
            </w:r>
          </w:p>
        </w:tc>
        <w:tc>
          <w:tcPr>
            <w:tcW w:w="1620" w:type="dxa"/>
            <w:vAlign w:val="bottom"/>
          </w:tcPr>
          <w:p w:rsidR="00000000" w:rsidRDefault="00000000">
            <w:pPr>
              <w:autoSpaceDE w:val="0"/>
              <w:autoSpaceDN w:val="0"/>
              <w:adjustRightInd w:val="0"/>
              <w:jc w:val="right"/>
              <w:rPr>
                <w:sz w:val="17"/>
                <w:lang w:val="en-US"/>
              </w:rPr>
            </w:pPr>
            <w:r>
              <w:rPr>
                <w:sz w:val="17"/>
                <w:lang w:val="en-US"/>
              </w:rPr>
              <w:t>50,2</w:t>
            </w:r>
          </w:p>
        </w:tc>
        <w:tc>
          <w:tcPr>
            <w:tcW w:w="1632" w:type="dxa"/>
            <w:vAlign w:val="bottom"/>
          </w:tcPr>
          <w:p w:rsidR="00000000" w:rsidRDefault="00000000">
            <w:pPr>
              <w:autoSpaceDE w:val="0"/>
              <w:autoSpaceDN w:val="0"/>
              <w:adjustRightInd w:val="0"/>
              <w:jc w:val="right"/>
              <w:rPr>
                <w:sz w:val="17"/>
                <w:lang w:val="en-US"/>
              </w:rPr>
            </w:pPr>
            <w:r>
              <w:rPr>
                <w:sz w:val="17"/>
                <w:lang w:val="en-US"/>
              </w:rPr>
              <w:t>2,9</w:t>
            </w:r>
          </w:p>
        </w:tc>
      </w:tr>
      <w:tr w:rsidR="00000000">
        <w:tblPrEx>
          <w:tblCellMar>
            <w:top w:w="0" w:type="dxa"/>
            <w:bottom w:w="0" w:type="dxa"/>
          </w:tblCellMar>
        </w:tblPrEx>
        <w:tc>
          <w:tcPr>
            <w:tcW w:w="118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1997/98</w:t>
            </w:r>
          </w:p>
        </w:tc>
        <w:tc>
          <w:tcPr>
            <w:tcW w:w="1533" w:type="dxa"/>
            <w:vAlign w:val="bottom"/>
          </w:tcPr>
          <w:p w:rsidR="00000000" w:rsidRDefault="00000000">
            <w:pPr>
              <w:autoSpaceDE w:val="0"/>
              <w:autoSpaceDN w:val="0"/>
              <w:adjustRightInd w:val="0"/>
              <w:jc w:val="right"/>
              <w:rPr>
                <w:sz w:val="17"/>
                <w:lang w:val="en-US"/>
              </w:rPr>
            </w:pPr>
            <w:r>
              <w:rPr>
                <w:sz w:val="17"/>
                <w:lang w:val="en-US"/>
              </w:rPr>
              <w:t>296 526</w:t>
            </w:r>
          </w:p>
        </w:tc>
        <w:tc>
          <w:tcPr>
            <w:tcW w:w="1347" w:type="dxa"/>
            <w:vAlign w:val="bottom"/>
          </w:tcPr>
          <w:p w:rsidR="00000000" w:rsidRDefault="00000000">
            <w:pPr>
              <w:autoSpaceDE w:val="0"/>
              <w:autoSpaceDN w:val="0"/>
              <w:adjustRightInd w:val="0"/>
              <w:jc w:val="right"/>
              <w:rPr>
                <w:sz w:val="17"/>
                <w:lang w:val="en-US"/>
              </w:rPr>
            </w:pPr>
            <w:r>
              <w:rPr>
                <w:sz w:val="17"/>
                <w:lang w:val="en-US"/>
              </w:rPr>
              <w:t>149 247</w:t>
            </w:r>
          </w:p>
        </w:tc>
        <w:tc>
          <w:tcPr>
            <w:tcW w:w="1620" w:type="dxa"/>
            <w:vAlign w:val="bottom"/>
          </w:tcPr>
          <w:p w:rsidR="00000000" w:rsidRDefault="00000000">
            <w:pPr>
              <w:autoSpaceDE w:val="0"/>
              <w:autoSpaceDN w:val="0"/>
              <w:adjustRightInd w:val="0"/>
              <w:jc w:val="right"/>
              <w:rPr>
                <w:sz w:val="17"/>
                <w:lang w:val="en-US"/>
              </w:rPr>
            </w:pPr>
            <w:r>
              <w:rPr>
                <w:sz w:val="17"/>
                <w:lang w:val="en-US"/>
              </w:rPr>
              <w:t>50,3</w:t>
            </w:r>
          </w:p>
        </w:tc>
        <w:tc>
          <w:tcPr>
            <w:tcW w:w="1632" w:type="dxa"/>
            <w:vAlign w:val="bottom"/>
          </w:tcPr>
          <w:p w:rsidR="00000000" w:rsidRDefault="00000000">
            <w:pPr>
              <w:autoSpaceDE w:val="0"/>
              <w:autoSpaceDN w:val="0"/>
              <w:adjustRightInd w:val="0"/>
              <w:jc w:val="right"/>
              <w:rPr>
                <w:sz w:val="17"/>
                <w:lang w:val="en-US"/>
              </w:rPr>
            </w:pPr>
            <w:r>
              <w:rPr>
                <w:sz w:val="17"/>
                <w:lang w:val="en-US"/>
              </w:rPr>
              <w:t>2,9</w:t>
            </w:r>
          </w:p>
        </w:tc>
      </w:tr>
      <w:tr w:rsidR="00000000">
        <w:tblPrEx>
          <w:tblCellMar>
            <w:top w:w="0" w:type="dxa"/>
            <w:bottom w:w="0" w:type="dxa"/>
          </w:tblCellMar>
        </w:tblPrEx>
        <w:tc>
          <w:tcPr>
            <w:tcW w:w="118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1998/99</w:t>
            </w:r>
          </w:p>
        </w:tc>
        <w:tc>
          <w:tcPr>
            <w:tcW w:w="1533" w:type="dxa"/>
            <w:tcBorders>
              <w:bottom w:val="single" w:sz="12" w:space="0" w:color="auto"/>
            </w:tcBorders>
            <w:vAlign w:val="bottom"/>
          </w:tcPr>
          <w:p w:rsidR="00000000" w:rsidRDefault="00000000">
            <w:pPr>
              <w:autoSpaceDE w:val="0"/>
              <w:autoSpaceDN w:val="0"/>
              <w:adjustRightInd w:val="0"/>
              <w:jc w:val="right"/>
              <w:rPr>
                <w:sz w:val="17"/>
                <w:lang w:val="en-US"/>
              </w:rPr>
            </w:pPr>
            <w:r>
              <w:rPr>
                <w:sz w:val="17"/>
                <w:lang w:val="en-US"/>
              </w:rPr>
              <w:t>304 481</w:t>
            </w:r>
          </w:p>
        </w:tc>
        <w:tc>
          <w:tcPr>
            <w:tcW w:w="1347" w:type="dxa"/>
            <w:tcBorders>
              <w:bottom w:val="single" w:sz="12" w:space="0" w:color="auto"/>
            </w:tcBorders>
            <w:vAlign w:val="bottom"/>
          </w:tcPr>
          <w:p w:rsidR="00000000" w:rsidRDefault="00000000">
            <w:pPr>
              <w:autoSpaceDE w:val="0"/>
              <w:autoSpaceDN w:val="0"/>
              <w:adjustRightInd w:val="0"/>
              <w:jc w:val="right"/>
              <w:rPr>
                <w:sz w:val="17"/>
                <w:lang w:val="en-US"/>
              </w:rPr>
            </w:pPr>
            <w:r>
              <w:rPr>
                <w:sz w:val="17"/>
                <w:lang w:val="en-US"/>
              </w:rPr>
              <w:t>153 698</w:t>
            </w:r>
          </w:p>
        </w:tc>
        <w:tc>
          <w:tcPr>
            <w:tcW w:w="1620" w:type="dxa"/>
            <w:tcBorders>
              <w:bottom w:val="single" w:sz="12" w:space="0" w:color="auto"/>
            </w:tcBorders>
            <w:vAlign w:val="bottom"/>
          </w:tcPr>
          <w:p w:rsidR="00000000" w:rsidRDefault="00000000">
            <w:pPr>
              <w:autoSpaceDE w:val="0"/>
              <w:autoSpaceDN w:val="0"/>
              <w:adjustRightInd w:val="0"/>
              <w:jc w:val="right"/>
              <w:rPr>
                <w:sz w:val="17"/>
                <w:lang w:val="en-US"/>
              </w:rPr>
            </w:pPr>
            <w:r>
              <w:rPr>
                <w:sz w:val="17"/>
                <w:lang w:val="en-US"/>
              </w:rPr>
              <w:t>50,5</w:t>
            </w:r>
          </w:p>
        </w:tc>
        <w:tc>
          <w:tcPr>
            <w:tcW w:w="1632" w:type="dxa"/>
            <w:tcBorders>
              <w:bottom w:val="single" w:sz="12" w:space="0" w:color="auto"/>
            </w:tcBorders>
            <w:vAlign w:val="bottom"/>
          </w:tcPr>
          <w:p w:rsidR="00000000" w:rsidRDefault="00000000">
            <w:pPr>
              <w:autoSpaceDE w:val="0"/>
              <w:autoSpaceDN w:val="0"/>
              <w:adjustRightInd w:val="0"/>
              <w:jc w:val="right"/>
              <w:rPr>
                <w:sz w:val="17"/>
                <w:lang w:val="en-US"/>
              </w:rPr>
            </w:pPr>
            <w:r>
              <w:rPr>
                <w:sz w:val="17"/>
                <w:lang w:val="en-US"/>
              </w:rPr>
              <w:t>3,0</w:t>
            </w:r>
          </w:p>
        </w:tc>
      </w:tr>
    </w:tbl>
    <w:p w:rsidR="00000000" w:rsidRDefault="00000000">
      <w:pPr>
        <w:pStyle w:val="SingleTxt"/>
        <w:jc w:val="center"/>
      </w:pPr>
    </w:p>
    <w:p w:rsidR="00000000" w:rsidRDefault="00000000">
      <w:pPr>
        <w:pStyle w:val="SingleTxt"/>
        <w:jc w:val="center"/>
      </w:pPr>
    </w:p>
    <w:p w:rsidR="00000000" w:rsidRDefault="00000000">
      <w:pPr>
        <w:pStyle w:val="SingleTxt"/>
        <w:jc w:val="center"/>
      </w:pPr>
      <w:r>
        <w:t>Cantidad de mujeres por tipo de educación</w:t>
      </w:r>
      <w:r>
        <w:br/>
        <w:t>en el año lectivo 1996/97</w:t>
      </w:r>
    </w:p>
    <w:p w:rsidR="00000000" w:rsidRDefault="00000000">
      <w:pPr>
        <w:pStyle w:val="SingleTxt"/>
        <w:spacing w:after="0" w:line="120" w:lineRule="exact"/>
        <w:jc w:val="center"/>
        <w:rPr>
          <w:sz w:val="10"/>
        </w:rPr>
      </w:pPr>
    </w:p>
    <w:tbl>
      <w:tblPr>
        <w:tblW w:w="0" w:type="auto"/>
        <w:jc w:val="center"/>
        <w:tblLayout w:type="fixed"/>
        <w:tblLook w:val="0000" w:firstRow="0" w:lastRow="0" w:firstColumn="0" w:lastColumn="0" w:noHBand="0" w:noVBand="0"/>
      </w:tblPr>
      <w:tblGrid>
        <w:gridCol w:w="3600"/>
        <w:gridCol w:w="1530"/>
        <w:gridCol w:w="1080"/>
      </w:tblGrid>
      <w:tr w:rsidR="00000000">
        <w:tblPrEx>
          <w:tblCellMar>
            <w:top w:w="0" w:type="dxa"/>
            <w:bottom w:w="0" w:type="dxa"/>
          </w:tblCellMar>
        </w:tblPrEx>
        <w:trPr>
          <w:tblHeader/>
          <w:jc w:val="center"/>
        </w:trPr>
        <w:tc>
          <w:tcPr>
            <w:tcW w:w="3600" w:type="dxa"/>
            <w:tcBorders>
              <w:top w:val="single" w:sz="4" w:space="0" w:color="auto"/>
            </w:tcBorders>
            <w:vAlign w:val="bottom"/>
          </w:tcPr>
          <w:p w:rsidR="00000000" w:rsidRDefault="00000000">
            <w:pPr>
              <w:pStyle w:val="SingleTxt"/>
              <w:spacing w:before="81" w:after="81" w:line="160" w:lineRule="exact"/>
              <w:ind w:left="0" w:right="40"/>
              <w:jc w:val="left"/>
              <w:rPr>
                <w:i/>
                <w:sz w:val="14"/>
              </w:rPr>
            </w:pPr>
            <w:r>
              <w:rPr>
                <w:i/>
                <w:sz w:val="14"/>
              </w:rPr>
              <w:t>Tipo de educación</w:t>
            </w:r>
          </w:p>
        </w:tc>
        <w:tc>
          <w:tcPr>
            <w:tcW w:w="153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Cantidad de mujeres</w:t>
            </w:r>
          </w:p>
        </w:tc>
        <w:tc>
          <w:tcPr>
            <w:tcW w:w="108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Porcentaje</w:t>
            </w:r>
          </w:p>
        </w:tc>
      </w:tr>
      <w:tr w:rsidR="00000000">
        <w:tblPrEx>
          <w:tblCellMar>
            <w:top w:w="0" w:type="dxa"/>
            <w:bottom w:w="0" w:type="dxa"/>
          </w:tblCellMar>
        </w:tblPrEx>
        <w:trPr>
          <w:trHeight w:hRule="exact" w:val="115"/>
          <w:tblHeader/>
          <w:jc w:val="center"/>
        </w:trPr>
        <w:tc>
          <w:tcPr>
            <w:tcW w:w="3600" w:type="dxa"/>
            <w:tcBorders>
              <w:top w:val="single" w:sz="12" w:space="0" w:color="auto"/>
            </w:tcBorders>
            <w:vAlign w:val="bottom"/>
          </w:tcPr>
          <w:p w:rsidR="00000000" w:rsidRDefault="00000000">
            <w:pPr>
              <w:pStyle w:val="SingleTxt"/>
              <w:spacing w:before="40" w:after="40" w:line="210" w:lineRule="exact"/>
              <w:ind w:left="0" w:right="40"/>
              <w:jc w:val="left"/>
              <w:rPr>
                <w:sz w:val="17"/>
              </w:rPr>
            </w:pPr>
          </w:p>
        </w:tc>
        <w:tc>
          <w:tcPr>
            <w:tcW w:w="153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8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jc w:val="center"/>
        </w:trPr>
        <w:tc>
          <w:tcPr>
            <w:tcW w:w="36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Educación pública</w:t>
            </w:r>
          </w:p>
        </w:tc>
        <w:tc>
          <w:tcPr>
            <w:tcW w:w="15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145 069</w:t>
            </w:r>
          </w:p>
        </w:tc>
        <w:tc>
          <w:tcPr>
            <w:tcW w:w="108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70,0</w:t>
            </w:r>
          </w:p>
        </w:tc>
      </w:tr>
      <w:tr w:rsidR="00000000">
        <w:tblPrEx>
          <w:tblCellMar>
            <w:top w:w="0" w:type="dxa"/>
            <w:bottom w:w="0" w:type="dxa"/>
          </w:tblCellMar>
        </w:tblPrEx>
        <w:trPr>
          <w:jc w:val="center"/>
        </w:trPr>
        <w:tc>
          <w:tcPr>
            <w:tcW w:w="36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Educación privada</w:t>
            </w:r>
          </w:p>
        </w:tc>
        <w:tc>
          <w:tcPr>
            <w:tcW w:w="15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54 143</w:t>
            </w:r>
          </w:p>
        </w:tc>
        <w:tc>
          <w:tcPr>
            <w:tcW w:w="108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26,1</w:t>
            </w:r>
          </w:p>
        </w:tc>
      </w:tr>
      <w:tr w:rsidR="00000000">
        <w:tblPrEx>
          <w:tblCellMar>
            <w:top w:w="0" w:type="dxa"/>
            <w:bottom w:w="0" w:type="dxa"/>
          </w:tblCellMar>
        </w:tblPrEx>
        <w:trPr>
          <w:jc w:val="center"/>
        </w:trPr>
        <w:tc>
          <w:tcPr>
            <w:tcW w:w="36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Educación especial</w:t>
            </w:r>
          </w:p>
        </w:tc>
        <w:tc>
          <w:tcPr>
            <w:tcW w:w="15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813</w:t>
            </w:r>
          </w:p>
        </w:tc>
        <w:tc>
          <w:tcPr>
            <w:tcW w:w="108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0,4</w:t>
            </w:r>
          </w:p>
        </w:tc>
      </w:tr>
      <w:tr w:rsidR="00000000">
        <w:tblPrEx>
          <w:tblCellMar>
            <w:top w:w="0" w:type="dxa"/>
            <w:bottom w:w="0" w:type="dxa"/>
          </w:tblCellMar>
        </w:tblPrEx>
        <w:trPr>
          <w:jc w:val="center"/>
        </w:trPr>
        <w:tc>
          <w:tcPr>
            <w:tcW w:w="36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Educación religiosa y estudiantes becados</w:t>
            </w:r>
          </w:p>
        </w:tc>
        <w:tc>
          <w:tcPr>
            <w:tcW w:w="15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702</w:t>
            </w:r>
          </w:p>
        </w:tc>
        <w:tc>
          <w:tcPr>
            <w:tcW w:w="108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0,3</w:t>
            </w:r>
          </w:p>
        </w:tc>
      </w:tr>
      <w:tr w:rsidR="00000000">
        <w:tblPrEx>
          <w:tblCellMar>
            <w:top w:w="0" w:type="dxa"/>
            <w:bottom w:w="0" w:type="dxa"/>
          </w:tblCellMar>
        </w:tblPrEx>
        <w:trPr>
          <w:jc w:val="center"/>
        </w:trPr>
        <w:tc>
          <w:tcPr>
            <w:tcW w:w="36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Educación de adultos y alfabetización</w:t>
            </w:r>
          </w:p>
        </w:tc>
        <w:tc>
          <w:tcPr>
            <w:tcW w:w="15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6 567</w:t>
            </w:r>
          </w:p>
        </w:tc>
        <w:tc>
          <w:tcPr>
            <w:tcW w:w="108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3,2</w:t>
            </w:r>
          </w:p>
        </w:tc>
      </w:tr>
      <w:tr w:rsidR="00000000">
        <w:tblPrEx>
          <w:tblCellMar>
            <w:top w:w="0" w:type="dxa"/>
            <w:bottom w:w="0" w:type="dxa"/>
          </w:tblCellMar>
        </w:tblPrEx>
        <w:trPr>
          <w:jc w:val="center"/>
        </w:trPr>
        <w:tc>
          <w:tcPr>
            <w:tcW w:w="360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b/>
                <w:sz w:val="17"/>
              </w:rPr>
            </w:pPr>
            <w:r>
              <w:rPr>
                <w:b/>
                <w:sz w:val="17"/>
              </w:rPr>
              <w:t>Total</w:t>
            </w:r>
          </w:p>
        </w:tc>
        <w:tc>
          <w:tcPr>
            <w:tcW w:w="153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207 294</w:t>
            </w:r>
          </w:p>
        </w:tc>
        <w:tc>
          <w:tcPr>
            <w:tcW w:w="108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100,0</w:t>
            </w:r>
          </w:p>
        </w:tc>
      </w:tr>
    </w:tbl>
    <w:p w:rsidR="00000000" w:rsidRDefault="00000000">
      <w:pPr>
        <w:pStyle w:val="SingleTxt"/>
        <w:jc w:val="center"/>
      </w:pPr>
    </w:p>
    <w:p w:rsidR="00000000" w:rsidRDefault="00000000">
      <w:pPr>
        <w:pStyle w:val="SingleTxt"/>
        <w:pageBreakBefore/>
        <w:jc w:val="center"/>
      </w:pPr>
      <w:r>
        <w:t>Cantidad de mujeres por tipo de educación</w:t>
      </w:r>
      <w:r>
        <w:br/>
        <w:t>en el año lectivo 1996/97</w:t>
      </w:r>
    </w:p>
    <w:p w:rsidR="00000000" w:rsidRDefault="00000000">
      <w:pPr>
        <w:pStyle w:val="SingleTxt"/>
        <w:spacing w:after="0" w:line="120" w:lineRule="exact"/>
        <w:jc w:val="center"/>
        <w:rPr>
          <w:sz w:val="10"/>
        </w:rPr>
      </w:pPr>
    </w:p>
    <w:tbl>
      <w:tblPr>
        <w:tblW w:w="0" w:type="auto"/>
        <w:jc w:val="center"/>
        <w:tblLayout w:type="fixed"/>
        <w:tblLook w:val="0000" w:firstRow="0" w:lastRow="0" w:firstColumn="0" w:lastColumn="0" w:noHBand="0" w:noVBand="0"/>
      </w:tblPr>
      <w:tblGrid>
        <w:gridCol w:w="3440"/>
        <w:gridCol w:w="1530"/>
      </w:tblGrid>
      <w:tr w:rsidR="00000000">
        <w:tblPrEx>
          <w:tblCellMar>
            <w:top w:w="0" w:type="dxa"/>
            <w:bottom w:w="0" w:type="dxa"/>
          </w:tblCellMar>
        </w:tblPrEx>
        <w:trPr>
          <w:tblHeader/>
          <w:jc w:val="center"/>
        </w:trPr>
        <w:tc>
          <w:tcPr>
            <w:tcW w:w="3440" w:type="dxa"/>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Tipo de educación</w:t>
            </w:r>
          </w:p>
        </w:tc>
        <w:tc>
          <w:tcPr>
            <w:tcW w:w="153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Cantidad de mujeres</w:t>
            </w:r>
          </w:p>
        </w:tc>
      </w:tr>
      <w:tr w:rsidR="00000000">
        <w:tblPrEx>
          <w:tblCellMar>
            <w:top w:w="0" w:type="dxa"/>
            <w:bottom w:w="0" w:type="dxa"/>
          </w:tblCellMar>
        </w:tblPrEx>
        <w:trPr>
          <w:trHeight w:hRule="exact" w:val="115"/>
          <w:tblHeader/>
          <w:jc w:val="center"/>
        </w:trPr>
        <w:tc>
          <w:tcPr>
            <w:tcW w:w="3440"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153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jc w:val="center"/>
        </w:trPr>
        <w:tc>
          <w:tcPr>
            <w:tcW w:w="344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Educación pública</w:t>
            </w:r>
          </w:p>
        </w:tc>
        <w:tc>
          <w:tcPr>
            <w:tcW w:w="15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175 612</w:t>
            </w:r>
          </w:p>
        </w:tc>
      </w:tr>
      <w:tr w:rsidR="00000000">
        <w:tblPrEx>
          <w:tblCellMar>
            <w:top w:w="0" w:type="dxa"/>
            <w:bottom w:w="0" w:type="dxa"/>
          </w:tblCellMar>
        </w:tblPrEx>
        <w:trPr>
          <w:jc w:val="center"/>
        </w:trPr>
        <w:tc>
          <w:tcPr>
            <w:tcW w:w="344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Educación privada</w:t>
            </w:r>
          </w:p>
        </w:tc>
        <w:tc>
          <w:tcPr>
            <w:tcW w:w="15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56 753</w:t>
            </w:r>
          </w:p>
        </w:tc>
      </w:tr>
      <w:tr w:rsidR="00000000">
        <w:tblPrEx>
          <w:tblCellMar>
            <w:top w:w="0" w:type="dxa"/>
            <w:bottom w:w="0" w:type="dxa"/>
          </w:tblCellMar>
        </w:tblPrEx>
        <w:trPr>
          <w:jc w:val="center"/>
        </w:trPr>
        <w:tc>
          <w:tcPr>
            <w:tcW w:w="344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Educación especial</w:t>
            </w:r>
          </w:p>
        </w:tc>
        <w:tc>
          <w:tcPr>
            <w:tcW w:w="15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895</w:t>
            </w:r>
          </w:p>
        </w:tc>
      </w:tr>
      <w:tr w:rsidR="00000000">
        <w:tblPrEx>
          <w:tblCellMar>
            <w:top w:w="0" w:type="dxa"/>
            <w:bottom w:w="0" w:type="dxa"/>
          </w:tblCellMar>
        </w:tblPrEx>
        <w:trPr>
          <w:jc w:val="center"/>
        </w:trPr>
        <w:tc>
          <w:tcPr>
            <w:tcW w:w="344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Educación religiosa y estudiantes becados</w:t>
            </w:r>
          </w:p>
        </w:tc>
        <w:tc>
          <w:tcPr>
            <w:tcW w:w="15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834</w:t>
            </w:r>
          </w:p>
        </w:tc>
      </w:tr>
      <w:tr w:rsidR="00000000">
        <w:tblPrEx>
          <w:tblCellMar>
            <w:top w:w="0" w:type="dxa"/>
            <w:bottom w:w="0" w:type="dxa"/>
          </w:tblCellMar>
        </w:tblPrEx>
        <w:trPr>
          <w:jc w:val="center"/>
        </w:trPr>
        <w:tc>
          <w:tcPr>
            <w:tcW w:w="344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Educación de adultos y alfabetización</w:t>
            </w:r>
          </w:p>
        </w:tc>
        <w:tc>
          <w:tcPr>
            <w:tcW w:w="153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6 983</w:t>
            </w:r>
          </w:p>
        </w:tc>
      </w:tr>
    </w:tbl>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papel de las mujeres kuwaitíes en la educación</w:t>
      </w:r>
    </w:p>
    <w:p w:rsidR="00000000" w:rsidRDefault="00000000">
      <w:pPr>
        <w:pStyle w:val="SingleTxt"/>
        <w:spacing w:after="0" w:line="120" w:lineRule="exact"/>
        <w:ind w:firstLine="475"/>
        <w:rPr>
          <w:sz w:val="10"/>
        </w:rPr>
      </w:pPr>
    </w:p>
    <w:p w:rsidR="00000000" w:rsidRDefault="00000000">
      <w:pPr>
        <w:pStyle w:val="SingleTxt"/>
        <w:ind w:firstLine="475"/>
      </w:pPr>
      <w:r>
        <w:t>Las mujeres desempeñan un papel de vanguardia de grandísima importancia en la sociedad kuwaití. Teniendo aseguradas las oportunidades de empleo en el sector de la educación, algunas de ellas trabajan como maestras y administradoras, mie</w:t>
      </w:r>
      <w:r>
        <w:t>n</w:t>
      </w:r>
      <w:r>
        <w:t>tras que otras progresan gradualmente hasta llegar al puesto de Secretaria de Estado Adjunta.</w:t>
      </w:r>
    </w:p>
    <w:p w:rsidR="00000000" w:rsidRDefault="00000000">
      <w:pPr>
        <w:pStyle w:val="SingleTxt"/>
        <w:ind w:firstLine="475"/>
      </w:pPr>
      <w:r>
        <w:t>Los datos estadísticos indican el crecimiento global de las cantidades de muj</w:t>
      </w:r>
      <w:r>
        <w:t>e</w:t>
      </w:r>
      <w:r>
        <w:t>res kuwaitíes que trabajan como maestras. En 1974/75, por ejemplo, dicha cantidad era de 7.223, y subió a 11.515 en 1979/80, 15.231 en 1985/86, 15.462 en 1995/96, 16.574 en 1996/97 y 16.712 en 1997/98. En abril de 2000, la proporción de mujeres maestras era de 95,3% en los jardines de infantes, 92,4% en el ciclo primario, 82,7 en el ciclo intermedio y 61,7% en el ciclo secundario.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superior</w:t>
      </w:r>
    </w:p>
    <w:p w:rsidR="00000000" w:rsidRDefault="00000000">
      <w:pPr>
        <w:pStyle w:val="SingleTxt"/>
        <w:spacing w:after="0" w:line="120" w:lineRule="exact"/>
        <w:ind w:firstLine="475"/>
        <w:rPr>
          <w:sz w:val="10"/>
        </w:rPr>
      </w:pPr>
    </w:p>
    <w:p w:rsidR="00000000" w:rsidRDefault="00000000">
      <w:pPr>
        <w:pStyle w:val="SingleTxt"/>
        <w:ind w:firstLine="475"/>
      </w:pPr>
      <w:r>
        <w:t>En Kuwait, la educación superior desempeña un importante papel en el des</w:t>
      </w:r>
      <w:r>
        <w:t>a</w:t>
      </w:r>
      <w:r>
        <w:t>rrollo económico y en el aporte a la promoción de las ideas, el progreso de la cie</w:t>
      </w:r>
      <w:r>
        <w:t>n</w:t>
      </w:r>
      <w:r>
        <w:t>cia, el desarrollo de los valores humanos y la formación de un cuerpo de especiali</w:t>
      </w:r>
      <w:r>
        <w:t>s</w:t>
      </w:r>
      <w:r>
        <w:t>tas, técnicos y expertos en todas las esferas en el país. La educación superior en Kuwait es brindada fundamentalmente por:</w:t>
      </w:r>
    </w:p>
    <w:p w:rsidR="00000000" w:rsidRDefault="00000000">
      <w:pPr>
        <w:pStyle w:val="SingleTxt"/>
        <w:ind w:firstLine="475"/>
      </w:pPr>
      <w:r>
        <w:t>–</w:t>
      </w:r>
      <w:r>
        <w:tab/>
        <w:t>El Ministerio de Educación Superior, que, en el contexto de su particip</w:t>
      </w:r>
      <w:r>
        <w:t>a</w:t>
      </w:r>
      <w:r>
        <w:t>ción en la educación de nivel universitario, arregla los intercambios con el extranj</w:t>
      </w:r>
      <w:r>
        <w:t>e</w:t>
      </w:r>
      <w:r>
        <w:t>ro para estudiantes de grado y de postgrado;</w:t>
      </w:r>
    </w:p>
    <w:p w:rsidR="00000000" w:rsidRDefault="00000000">
      <w:pPr>
        <w:pStyle w:val="SingleTxt"/>
        <w:ind w:firstLine="475"/>
      </w:pPr>
      <w:r>
        <w:t>–</w:t>
      </w:r>
      <w:r>
        <w:tab/>
        <w:t>La Universidad de Kuwait, cuya iniciación se produjo en octubre de 1966 con un presupuesto de KD 1.334.623. Cuando abrió sus puertas, tenía 418 estudia</w:t>
      </w:r>
      <w:r>
        <w:t>n</w:t>
      </w:r>
      <w:r>
        <w:t>tes y 31 integrantes del cuerpo docente. Merced a los esfuerzos realizados, fue cr</w:t>
      </w:r>
      <w:r>
        <w:t>e</w:t>
      </w:r>
      <w:r>
        <w:t>ciendo constantemente en sus dimensiones, de modo que en 1996/97 tenía 19.546 estudiantes y 920 integrantes del cuerpo docente. Sus graduados reciben un título universitario de licenciado; la Universidad comprende diversas facultades científicas y teóricas, algunas de las cuales brindan programas de postgrado de niveles de maestría y doctorado.</w:t>
      </w:r>
    </w:p>
    <w:p w:rsidR="00000000" w:rsidRDefault="00000000">
      <w:pPr>
        <w:pStyle w:val="SingleTxt"/>
        <w:keepNext/>
        <w:ind w:firstLine="475"/>
      </w:pPr>
      <w:r>
        <w:t>La Universidad se propone alcanzar los objetivos siguientes:</w:t>
      </w:r>
    </w:p>
    <w:p w:rsidR="00000000" w:rsidRDefault="00000000">
      <w:pPr>
        <w:pStyle w:val="SingleTxt"/>
        <w:keepNext/>
        <w:numPr>
          <w:ilvl w:val="0"/>
          <w:numId w:val="41"/>
        </w:numPr>
        <w:tabs>
          <w:tab w:val="clear" w:pos="360"/>
          <w:tab w:val="num" w:pos="2102"/>
        </w:tabs>
        <w:ind w:left="2102"/>
      </w:pPr>
      <w:r>
        <w:t>Capacitar y desarrollar los recursos humanos;</w:t>
      </w:r>
    </w:p>
    <w:p w:rsidR="00000000" w:rsidRDefault="00000000">
      <w:pPr>
        <w:pStyle w:val="SingleTxt"/>
        <w:keepNext/>
        <w:numPr>
          <w:ilvl w:val="0"/>
          <w:numId w:val="41"/>
        </w:numPr>
        <w:tabs>
          <w:tab w:val="clear" w:pos="360"/>
          <w:tab w:val="num" w:pos="2102"/>
        </w:tabs>
        <w:ind w:left="2102"/>
      </w:pPr>
      <w:r>
        <w:t>Realizar el seguimiento del progreso científico y promover dicho progreso mediante la investigación científica;</w:t>
      </w:r>
    </w:p>
    <w:p w:rsidR="00000000" w:rsidRDefault="00000000">
      <w:pPr>
        <w:pStyle w:val="SingleTxt"/>
        <w:numPr>
          <w:ilvl w:val="0"/>
          <w:numId w:val="41"/>
        </w:numPr>
        <w:tabs>
          <w:tab w:val="clear" w:pos="360"/>
          <w:tab w:val="num" w:pos="2102"/>
        </w:tabs>
        <w:ind w:left="2102"/>
      </w:pPr>
      <w:r>
        <w:t>Servir a la sociedad y propagar las ideas y la utilización de los modos científicos de pensamiento para resolver los problemas;</w:t>
      </w:r>
    </w:p>
    <w:p w:rsidR="00000000" w:rsidRDefault="00000000">
      <w:pPr>
        <w:pStyle w:val="SingleTxt"/>
        <w:numPr>
          <w:ilvl w:val="0"/>
          <w:numId w:val="41"/>
        </w:numPr>
        <w:tabs>
          <w:tab w:val="clear" w:pos="360"/>
          <w:tab w:val="num" w:pos="2102"/>
        </w:tabs>
        <w:ind w:left="2102"/>
      </w:pPr>
      <w:r>
        <w:t>Desarrollar la investigación científica en las diversas esferas de la ciencia, el arte y la literatura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personal docente</w:t>
      </w:r>
    </w:p>
    <w:p w:rsidR="00000000" w:rsidRDefault="00000000">
      <w:pPr>
        <w:pStyle w:val="SingleTxt"/>
        <w:spacing w:after="0" w:line="120" w:lineRule="exact"/>
        <w:ind w:firstLine="475"/>
        <w:rPr>
          <w:sz w:val="10"/>
        </w:rPr>
      </w:pPr>
    </w:p>
    <w:p w:rsidR="00000000" w:rsidRDefault="00000000">
      <w:pPr>
        <w:pStyle w:val="SingleTxt"/>
        <w:ind w:firstLine="475"/>
      </w:pPr>
      <w:r>
        <w:t>Merced a los esfuerzos realizados, la Universidad fue creciendo constant</w:t>
      </w:r>
      <w:r>
        <w:t>e</w:t>
      </w:r>
      <w:r>
        <w:t>mente en sus dimensiones, de modo que en 1996/97 tenía 19.546 estudiantes y 920 integrantes del cuerpo docente. Sus graduados reciben un título universitario de l</w:t>
      </w:r>
      <w:r>
        <w:t>i</w:t>
      </w:r>
      <w:r>
        <w:t>cenciado; la Universidad comprende diversas facultades científicas y teóricas, alg</w:t>
      </w:r>
      <w:r>
        <w:t>u</w:t>
      </w:r>
      <w:r>
        <w:t>nas de las cuales brindan programas de postgrado de niveles de maestría y doctor</w:t>
      </w:r>
      <w:r>
        <w:t>a</w:t>
      </w:r>
      <w:r>
        <w:t>do.</w:t>
      </w:r>
    </w:p>
    <w:p w:rsidR="00000000" w:rsidRDefault="00000000">
      <w:pPr>
        <w:pStyle w:val="SingleTxt"/>
        <w:ind w:firstLine="475"/>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SingleTxt"/>
        <w:spacing w:after="0" w:line="240" w:lineRule="auto"/>
        <w:rPr>
          <w:sz w:val="18"/>
        </w:rPr>
      </w:pPr>
      <w:r>
        <w:rPr>
          <w:sz w:val="18"/>
        </w:rPr>
        <w:t>Cuadro 1. Cantidad de estudiantes matriculados en el año lectivo 1996/97</w:t>
      </w:r>
    </w:p>
    <w:p w:rsidR="00000000" w:rsidRDefault="00000000">
      <w:pPr>
        <w:pStyle w:val="SingleTxt"/>
        <w:spacing w:after="0" w:line="240" w:lineRule="auto"/>
        <w:rPr>
          <w:sz w:val="10"/>
        </w:rPr>
      </w:pPr>
    </w:p>
    <w:tbl>
      <w:tblPr>
        <w:tblW w:w="0" w:type="auto"/>
        <w:tblInd w:w="68" w:type="dxa"/>
        <w:tblLayout w:type="fixed"/>
        <w:tblLook w:val="0000" w:firstRow="0" w:lastRow="0" w:firstColumn="0" w:lastColumn="0" w:noHBand="0" w:noVBand="0"/>
      </w:tblPr>
      <w:tblGrid>
        <w:gridCol w:w="1260"/>
        <w:gridCol w:w="810"/>
        <w:gridCol w:w="810"/>
        <w:gridCol w:w="744"/>
        <w:gridCol w:w="786"/>
        <w:gridCol w:w="810"/>
        <w:gridCol w:w="630"/>
        <w:gridCol w:w="720"/>
        <w:gridCol w:w="900"/>
        <w:gridCol w:w="810"/>
        <w:gridCol w:w="744"/>
        <w:gridCol w:w="810"/>
        <w:gridCol w:w="810"/>
        <w:gridCol w:w="630"/>
        <w:gridCol w:w="720"/>
      </w:tblGrid>
      <w:tr w:rsidR="00000000">
        <w:tblPrEx>
          <w:tblCellMar>
            <w:top w:w="0" w:type="dxa"/>
            <w:bottom w:w="0" w:type="dxa"/>
          </w:tblCellMar>
        </w:tblPrEx>
        <w:trPr>
          <w:cantSplit/>
          <w:tblHeader/>
        </w:trPr>
        <w:tc>
          <w:tcPr>
            <w:tcW w:w="1260" w:type="dxa"/>
            <w:vMerge w:val="restart"/>
            <w:tcBorders>
              <w:top w:val="single" w:sz="4" w:space="0" w:color="auto"/>
            </w:tcBorders>
            <w:vAlign w:val="bottom"/>
          </w:tcPr>
          <w:p w:rsidR="00000000" w:rsidRDefault="00000000">
            <w:pPr>
              <w:pStyle w:val="SingleTxt"/>
              <w:spacing w:after="40" w:line="160" w:lineRule="exact"/>
              <w:ind w:left="0" w:right="14"/>
              <w:rPr>
                <w:i/>
                <w:sz w:val="14"/>
              </w:rPr>
            </w:pPr>
            <w:r>
              <w:rPr>
                <w:i/>
                <w:sz w:val="14"/>
              </w:rPr>
              <w:t>Facultad</w:t>
            </w:r>
          </w:p>
        </w:tc>
        <w:tc>
          <w:tcPr>
            <w:tcW w:w="10734" w:type="dxa"/>
            <w:gridSpan w:val="14"/>
            <w:tcBorders>
              <w:top w:val="single" w:sz="4" w:space="0" w:color="auto"/>
            </w:tcBorders>
            <w:vAlign w:val="bottom"/>
          </w:tcPr>
          <w:p w:rsidR="00000000" w:rsidRDefault="00000000">
            <w:pPr>
              <w:pStyle w:val="SingleTxt"/>
              <w:spacing w:after="40" w:line="160" w:lineRule="exact"/>
              <w:ind w:left="0" w:right="14"/>
              <w:jc w:val="center"/>
              <w:rPr>
                <w:i/>
                <w:sz w:val="14"/>
              </w:rPr>
            </w:pPr>
            <w:r>
              <w:rPr>
                <w:i/>
                <w:sz w:val="14"/>
              </w:rPr>
              <w:t>Cantidad real</w:t>
            </w:r>
          </w:p>
        </w:tc>
      </w:tr>
      <w:tr w:rsidR="00000000">
        <w:tblPrEx>
          <w:tblCellMar>
            <w:top w:w="0" w:type="dxa"/>
            <w:bottom w:w="0" w:type="dxa"/>
          </w:tblCellMar>
        </w:tblPrEx>
        <w:trPr>
          <w:cantSplit/>
          <w:tblHeader/>
        </w:trPr>
        <w:tc>
          <w:tcPr>
            <w:tcW w:w="1260" w:type="dxa"/>
            <w:vMerge/>
            <w:vAlign w:val="bottom"/>
          </w:tcPr>
          <w:p w:rsidR="00000000" w:rsidRDefault="00000000">
            <w:pPr>
              <w:pStyle w:val="SingleTxt"/>
              <w:spacing w:after="40" w:line="160" w:lineRule="exact"/>
              <w:ind w:left="0" w:right="14"/>
              <w:rPr>
                <w:i/>
                <w:sz w:val="14"/>
              </w:rPr>
            </w:pPr>
          </w:p>
        </w:tc>
        <w:tc>
          <w:tcPr>
            <w:tcW w:w="5310" w:type="dxa"/>
            <w:gridSpan w:val="7"/>
            <w:tcBorders>
              <w:top w:val="single" w:sz="4" w:space="0" w:color="auto"/>
              <w:bottom w:val="single" w:sz="4" w:space="0" w:color="auto"/>
            </w:tcBorders>
            <w:vAlign w:val="bottom"/>
          </w:tcPr>
          <w:p w:rsidR="00000000" w:rsidRDefault="00000000">
            <w:pPr>
              <w:pStyle w:val="SingleTxt"/>
              <w:spacing w:after="40" w:line="160" w:lineRule="exact"/>
              <w:ind w:left="0" w:right="14"/>
              <w:jc w:val="center"/>
              <w:rPr>
                <w:i/>
                <w:sz w:val="14"/>
              </w:rPr>
            </w:pPr>
            <w:r>
              <w:rPr>
                <w:i/>
                <w:sz w:val="14"/>
              </w:rPr>
              <w:t>Primera clase</w:t>
            </w:r>
          </w:p>
        </w:tc>
        <w:tc>
          <w:tcPr>
            <w:tcW w:w="5424" w:type="dxa"/>
            <w:gridSpan w:val="7"/>
            <w:tcBorders>
              <w:top w:val="single" w:sz="4" w:space="0" w:color="auto"/>
              <w:bottom w:val="single" w:sz="4" w:space="0" w:color="auto"/>
            </w:tcBorders>
            <w:vAlign w:val="bottom"/>
          </w:tcPr>
          <w:p w:rsidR="00000000" w:rsidRDefault="00000000">
            <w:pPr>
              <w:pStyle w:val="SingleTxt"/>
              <w:spacing w:after="40" w:line="160" w:lineRule="exact"/>
              <w:ind w:left="0" w:right="14"/>
              <w:jc w:val="center"/>
              <w:rPr>
                <w:i/>
                <w:sz w:val="14"/>
              </w:rPr>
            </w:pPr>
            <w:r>
              <w:rPr>
                <w:i/>
                <w:sz w:val="14"/>
              </w:rPr>
              <w:t>Segunda clase</w:t>
            </w:r>
          </w:p>
        </w:tc>
      </w:tr>
      <w:tr w:rsidR="00000000">
        <w:tblPrEx>
          <w:tblCellMar>
            <w:top w:w="0" w:type="dxa"/>
            <w:bottom w:w="0" w:type="dxa"/>
          </w:tblCellMar>
        </w:tblPrEx>
        <w:trPr>
          <w:cantSplit/>
          <w:tblHeader/>
        </w:trPr>
        <w:tc>
          <w:tcPr>
            <w:tcW w:w="1260" w:type="dxa"/>
            <w:vMerge/>
            <w:tcBorders>
              <w:top w:val="single" w:sz="4" w:space="0" w:color="auto"/>
              <w:bottom w:val="single" w:sz="4" w:space="0" w:color="auto"/>
            </w:tcBorders>
            <w:vAlign w:val="bottom"/>
          </w:tcPr>
          <w:p w:rsidR="00000000" w:rsidRDefault="00000000">
            <w:pPr>
              <w:pStyle w:val="SingleTxt"/>
              <w:spacing w:after="40" w:line="160" w:lineRule="exact"/>
              <w:ind w:left="0" w:right="14"/>
              <w:rPr>
                <w:i/>
                <w:sz w:val="14"/>
              </w:rPr>
            </w:pPr>
          </w:p>
        </w:tc>
        <w:tc>
          <w:tcPr>
            <w:tcW w:w="2364" w:type="dxa"/>
            <w:gridSpan w:val="3"/>
            <w:tcBorders>
              <w:bottom w:val="single" w:sz="4" w:space="0" w:color="auto"/>
            </w:tcBorders>
            <w:vAlign w:val="bottom"/>
          </w:tcPr>
          <w:p w:rsidR="00000000" w:rsidRDefault="00000000">
            <w:pPr>
              <w:pStyle w:val="SingleTxt"/>
              <w:spacing w:after="40" w:line="160" w:lineRule="exact"/>
              <w:ind w:left="0" w:right="14"/>
              <w:jc w:val="center"/>
              <w:rPr>
                <w:i/>
                <w:sz w:val="14"/>
              </w:rPr>
            </w:pPr>
            <w:r>
              <w:rPr>
                <w:i/>
                <w:sz w:val="14"/>
              </w:rPr>
              <w:t>Kuwaitíes</w:t>
            </w:r>
          </w:p>
        </w:tc>
        <w:tc>
          <w:tcPr>
            <w:tcW w:w="2226" w:type="dxa"/>
            <w:gridSpan w:val="3"/>
            <w:tcBorders>
              <w:bottom w:val="single" w:sz="4" w:space="0" w:color="auto"/>
            </w:tcBorders>
            <w:vAlign w:val="bottom"/>
          </w:tcPr>
          <w:p w:rsidR="00000000" w:rsidRDefault="00000000">
            <w:pPr>
              <w:pStyle w:val="SingleTxt"/>
              <w:spacing w:after="40" w:line="160" w:lineRule="exact"/>
              <w:ind w:left="0" w:right="14"/>
              <w:jc w:val="center"/>
              <w:rPr>
                <w:i/>
                <w:sz w:val="14"/>
              </w:rPr>
            </w:pPr>
            <w:r>
              <w:rPr>
                <w:i/>
                <w:sz w:val="14"/>
              </w:rPr>
              <w:t>No kuwaitíes</w:t>
            </w:r>
          </w:p>
        </w:tc>
        <w:tc>
          <w:tcPr>
            <w:tcW w:w="720" w:type="dxa"/>
            <w:vAlign w:val="bottom"/>
          </w:tcPr>
          <w:p w:rsidR="00000000" w:rsidRDefault="00000000">
            <w:pPr>
              <w:pStyle w:val="SingleTxt"/>
              <w:spacing w:after="40" w:line="160" w:lineRule="exact"/>
              <w:ind w:left="0" w:right="14"/>
              <w:jc w:val="center"/>
              <w:rPr>
                <w:i/>
                <w:sz w:val="14"/>
              </w:rPr>
            </w:pPr>
          </w:p>
        </w:tc>
        <w:tc>
          <w:tcPr>
            <w:tcW w:w="2454" w:type="dxa"/>
            <w:gridSpan w:val="3"/>
            <w:tcBorders>
              <w:bottom w:val="single" w:sz="4" w:space="0" w:color="auto"/>
            </w:tcBorders>
            <w:vAlign w:val="bottom"/>
          </w:tcPr>
          <w:p w:rsidR="00000000" w:rsidRDefault="00000000">
            <w:pPr>
              <w:pStyle w:val="SingleTxt"/>
              <w:spacing w:after="40" w:line="160" w:lineRule="exact"/>
              <w:ind w:left="0" w:right="14"/>
              <w:jc w:val="center"/>
              <w:rPr>
                <w:i/>
                <w:sz w:val="14"/>
              </w:rPr>
            </w:pPr>
            <w:r>
              <w:rPr>
                <w:i/>
                <w:sz w:val="14"/>
              </w:rPr>
              <w:t>Kuwaitíes</w:t>
            </w:r>
          </w:p>
        </w:tc>
        <w:tc>
          <w:tcPr>
            <w:tcW w:w="2250" w:type="dxa"/>
            <w:gridSpan w:val="3"/>
            <w:tcBorders>
              <w:bottom w:val="single" w:sz="4" w:space="0" w:color="auto"/>
            </w:tcBorders>
            <w:vAlign w:val="bottom"/>
          </w:tcPr>
          <w:p w:rsidR="00000000" w:rsidRDefault="00000000">
            <w:pPr>
              <w:pStyle w:val="SingleTxt"/>
              <w:spacing w:after="40" w:line="160" w:lineRule="exact"/>
              <w:ind w:left="0" w:right="14"/>
              <w:jc w:val="center"/>
              <w:rPr>
                <w:i/>
                <w:sz w:val="14"/>
              </w:rPr>
            </w:pPr>
            <w:r>
              <w:rPr>
                <w:i/>
                <w:sz w:val="14"/>
              </w:rPr>
              <w:t>No kuwaitíes</w:t>
            </w:r>
          </w:p>
        </w:tc>
        <w:tc>
          <w:tcPr>
            <w:tcW w:w="720" w:type="dxa"/>
            <w:vMerge w:val="restart"/>
            <w:vAlign w:val="bottom"/>
          </w:tcPr>
          <w:p w:rsidR="00000000" w:rsidRDefault="00000000">
            <w:pPr>
              <w:pStyle w:val="SingleTxt"/>
              <w:spacing w:after="40" w:line="160" w:lineRule="exact"/>
              <w:ind w:left="0" w:right="14"/>
              <w:jc w:val="center"/>
              <w:rPr>
                <w:i/>
                <w:sz w:val="14"/>
              </w:rPr>
            </w:pPr>
            <w:r>
              <w:rPr>
                <w:i/>
                <w:sz w:val="14"/>
              </w:rPr>
              <w:t>Total</w:t>
            </w:r>
          </w:p>
        </w:tc>
      </w:tr>
      <w:tr w:rsidR="00000000">
        <w:tblPrEx>
          <w:tblCellMar>
            <w:top w:w="0" w:type="dxa"/>
            <w:bottom w:w="0" w:type="dxa"/>
          </w:tblCellMar>
        </w:tblPrEx>
        <w:trPr>
          <w:cantSplit/>
          <w:tblHeader/>
        </w:trPr>
        <w:tc>
          <w:tcPr>
            <w:tcW w:w="1260" w:type="dxa"/>
            <w:vMerge/>
            <w:vAlign w:val="bottom"/>
          </w:tcPr>
          <w:p w:rsidR="00000000" w:rsidRDefault="00000000">
            <w:pPr>
              <w:pStyle w:val="SingleTxt"/>
              <w:spacing w:after="40" w:line="160" w:lineRule="exact"/>
              <w:ind w:left="0" w:right="14"/>
              <w:rPr>
                <w:i/>
                <w:sz w:val="14"/>
              </w:rPr>
            </w:pPr>
          </w:p>
        </w:tc>
        <w:tc>
          <w:tcPr>
            <w:tcW w:w="810" w:type="dxa"/>
            <w:vAlign w:val="bottom"/>
          </w:tcPr>
          <w:p w:rsidR="00000000" w:rsidRDefault="00000000">
            <w:pPr>
              <w:pStyle w:val="SingleTxt"/>
              <w:spacing w:after="40" w:line="160" w:lineRule="exact"/>
              <w:ind w:left="0" w:right="14"/>
              <w:rPr>
                <w:i/>
                <w:sz w:val="14"/>
              </w:rPr>
            </w:pPr>
            <w:r>
              <w:rPr>
                <w:i/>
                <w:sz w:val="14"/>
              </w:rPr>
              <w:t>Hombres</w:t>
            </w:r>
          </w:p>
        </w:tc>
        <w:tc>
          <w:tcPr>
            <w:tcW w:w="810" w:type="dxa"/>
            <w:vAlign w:val="bottom"/>
          </w:tcPr>
          <w:p w:rsidR="00000000" w:rsidRDefault="00000000">
            <w:pPr>
              <w:pStyle w:val="SingleTxt"/>
              <w:spacing w:after="40" w:line="160" w:lineRule="exact"/>
              <w:ind w:left="0" w:right="14"/>
              <w:rPr>
                <w:i/>
                <w:sz w:val="14"/>
              </w:rPr>
            </w:pPr>
            <w:r>
              <w:rPr>
                <w:i/>
                <w:sz w:val="14"/>
              </w:rPr>
              <w:t>Mujeres</w:t>
            </w:r>
          </w:p>
        </w:tc>
        <w:tc>
          <w:tcPr>
            <w:tcW w:w="744" w:type="dxa"/>
            <w:vAlign w:val="bottom"/>
          </w:tcPr>
          <w:p w:rsidR="00000000" w:rsidRDefault="00000000">
            <w:pPr>
              <w:pStyle w:val="SingleTxt"/>
              <w:spacing w:after="40" w:line="160" w:lineRule="exact"/>
              <w:ind w:left="0" w:right="14"/>
              <w:rPr>
                <w:i/>
                <w:sz w:val="14"/>
              </w:rPr>
            </w:pPr>
            <w:r>
              <w:rPr>
                <w:i/>
                <w:sz w:val="14"/>
              </w:rPr>
              <w:t>Total</w:t>
            </w:r>
          </w:p>
        </w:tc>
        <w:tc>
          <w:tcPr>
            <w:tcW w:w="786" w:type="dxa"/>
            <w:vAlign w:val="bottom"/>
          </w:tcPr>
          <w:p w:rsidR="00000000" w:rsidRDefault="00000000">
            <w:pPr>
              <w:pStyle w:val="SingleTxt"/>
              <w:spacing w:after="40" w:line="160" w:lineRule="exact"/>
              <w:ind w:left="0" w:right="14"/>
              <w:rPr>
                <w:i/>
                <w:sz w:val="14"/>
              </w:rPr>
            </w:pPr>
            <w:r>
              <w:rPr>
                <w:i/>
                <w:sz w:val="14"/>
              </w:rPr>
              <w:t>Hombres</w:t>
            </w:r>
          </w:p>
        </w:tc>
        <w:tc>
          <w:tcPr>
            <w:tcW w:w="810" w:type="dxa"/>
            <w:vAlign w:val="bottom"/>
          </w:tcPr>
          <w:p w:rsidR="00000000" w:rsidRDefault="00000000">
            <w:pPr>
              <w:pStyle w:val="SingleTxt"/>
              <w:spacing w:after="40" w:line="160" w:lineRule="exact"/>
              <w:ind w:left="0" w:right="14"/>
              <w:rPr>
                <w:i/>
                <w:sz w:val="14"/>
              </w:rPr>
            </w:pPr>
            <w:r>
              <w:rPr>
                <w:i/>
                <w:sz w:val="14"/>
              </w:rPr>
              <w:t>Mujeres</w:t>
            </w:r>
          </w:p>
        </w:tc>
        <w:tc>
          <w:tcPr>
            <w:tcW w:w="630" w:type="dxa"/>
            <w:vAlign w:val="bottom"/>
          </w:tcPr>
          <w:p w:rsidR="00000000" w:rsidRDefault="00000000">
            <w:pPr>
              <w:pStyle w:val="SingleTxt"/>
              <w:spacing w:after="40" w:line="160" w:lineRule="exact"/>
              <w:ind w:left="0" w:right="14"/>
              <w:rPr>
                <w:i/>
                <w:sz w:val="14"/>
              </w:rPr>
            </w:pPr>
            <w:r>
              <w:rPr>
                <w:i/>
                <w:sz w:val="14"/>
              </w:rPr>
              <w:t>Total</w:t>
            </w:r>
          </w:p>
        </w:tc>
        <w:tc>
          <w:tcPr>
            <w:tcW w:w="720" w:type="dxa"/>
            <w:vAlign w:val="bottom"/>
          </w:tcPr>
          <w:p w:rsidR="00000000" w:rsidRDefault="00000000">
            <w:pPr>
              <w:pStyle w:val="SingleTxt"/>
              <w:spacing w:after="40" w:line="160" w:lineRule="exact"/>
              <w:ind w:left="0" w:right="14"/>
              <w:rPr>
                <w:i/>
                <w:sz w:val="14"/>
              </w:rPr>
            </w:pPr>
            <w:r>
              <w:rPr>
                <w:i/>
                <w:sz w:val="14"/>
              </w:rPr>
              <w:t>Total</w:t>
            </w:r>
          </w:p>
        </w:tc>
        <w:tc>
          <w:tcPr>
            <w:tcW w:w="900" w:type="dxa"/>
            <w:vAlign w:val="bottom"/>
          </w:tcPr>
          <w:p w:rsidR="00000000" w:rsidRDefault="00000000">
            <w:pPr>
              <w:pStyle w:val="SingleTxt"/>
              <w:spacing w:after="40" w:line="160" w:lineRule="exact"/>
              <w:ind w:left="0" w:right="14"/>
              <w:rPr>
                <w:i/>
                <w:sz w:val="14"/>
              </w:rPr>
            </w:pPr>
            <w:r>
              <w:rPr>
                <w:i/>
                <w:sz w:val="14"/>
              </w:rPr>
              <w:t>Hombres</w:t>
            </w:r>
          </w:p>
        </w:tc>
        <w:tc>
          <w:tcPr>
            <w:tcW w:w="810" w:type="dxa"/>
            <w:vAlign w:val="bottom"/>
          </w:tcPr>
          <w:p w:rsidR="00000000" w:rsidRDefault="00000000">
            <w:pPr>
              <w:pStyle w:val="SingleTxt"/>
              <w:spacing w:after="40" w:line="160" w:lineRule="exact"/>
              <w:ind w:left="0" w:right="14"/>
              <w:rPr>
                <w:i/>
                <w:sz w:val="14"/>
              </w:rPr>
            </w:pPr>
            <w:r>
              <w:rPr>
                <w:i/>
                <w:sz w:val="14"/>
              </w:rPr>
              <w:t>Mujeres</w:t>
            </w:r>
          </w:p>
        </w:tc>
        <w:tc>
          <w:tcPr>
            <w:tcW w:w="744" w:type="dxa"/>
            <w:vAlign w:val="bottom"/>
          </w:tcPr>
          <w:p w:rsidR="00000000" w:rsidRDefault="00000000">
            <w:pPr>
              <w:pStyle w:val="SingleTxt"/>
              <w:spacing w:after="40" w:line="160" w:lineRule="exact"/>
              <w:ind w:left="0" w:right="14"/>
              <w:rPr>
                <w:i/>
                <w:sz w:val="14"/>
              </w:rPr>
            </w:pPr>
            <w:r>
              <w:rPr>
                <w:i/>
                <w:sz w:val="14"/>
              </w:rPr>
              <w:t>Total</w:t>
            </w:r>
          </w:p>
        </w:tc>
        <w:tc>
          <w:tcPr>
            <w:tcW w:w="810" w:type="dxa"/>
            <w:vAlign w:val="bottom"/>
          </w:tcPr>
          <w:p w:rsidR="00000000" w:rsidRDefault="00000000">
            <w:pPr>
              <w:pStyle w:val="SingleTxt"/>
              <w:spacing w:after="40" w:line="160" w:lineRule="exact"/>
              <w:ind w:left="0" w:right="14"/>
              <w:rPr>
                <w:i/>
                <w:sz w:val="14"/>
              </w:rPr>
            </w:pPr>
            <w:r>
              <w:rPr>
                <w:i/>
                <w:sz w:val="14"/>
              </w:rPr>
              <w:t>Hombres</w:t>
            </w:r>
          </w:p>
        </w:tc>
        <w:tc>
          <w:tcPr>
            <w:tcW w:w="810" w:type="dxa"/>
            <w:vAlign w:val="bottom"/>
          </w:tcPr>
          <w:p w:rsidR="00000000" w:rsidRDefault="00000000">
            <w:pPr>
              <w:pStyle w:val="SingleTxt"/>
              <w:spacing w:after="40" w:line="160" w:lineRule="exact"/>
              <w:ind w:left="0" w:right="14"/>
              <w:rPr>
                <w:i/>
                <w:sz w:val="14"/>
              </w:rPr>
            </w:pPr>
            <w:r>
              <w:rPr>
                <w:i/>
                <w:sz w:val="14"/>
              </w:rPr>
              <w:t>Mujeres</w:t>
            </w:r>
          </w:p>
        </w:tc>
        <w:tc>
          <w:tcPr>
            <w:tcW w:w="630" w:type="dxa"/>
            <w:vAlign w:val="bottom"/>
          </w:tcPr>
          <w:p w:rsidR="00000000" w:rsidRDefault="00000000">
            <w:pPr>
              <w:pStyle w:val="SingleTxt"/>
              <w:spacing w:after="40" w:line="160" w:lineRule="exact"/>
              <w:ind w:left="0" w:right="14"/>
              <w:rPr>
                <w:i/>
                <w:sz w:val="14"/>
              </w:rPr>
            </w:pPr>
            <w:r>
              <w:rPr>
                <w:i/>
                <w:sz w:val="14"/>
              </w:rPr>
              <w:t>Total</w:t>
            </w:r>
          </w:p>
        </w:tc>
        <w:tc>
          <w:tcPr>
            <w:tcW w:w="720" w:type="dxa"/>
            <w:vMerge/>
            <w:vAlign w:val="bottom"/>
          </w:tcPr>
          <w:p w:rsidR="00000000" w:rsidRDefault="00000000">
            <w:pPr>
              <w:pStyle w:val="SingleTxt"/>
              <w:spacing w:after="40" w:line="160" w:lineRule="exact"/>
              <w:ind w:left="0" w:right="14"/>
              <w:rPr>
                <w:i/>
                <w:sz w:val="14"/>
              </w:rPr>
            </w:pP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pStyle w:val="SingleTxt"/>
              <w:spacing w:line="160" w:lineRule="exact"/>
              <w:ind w:left="14" w:right="14"/>
              <w:rPr>
                <w:sz w:val="17"/>
              </w:rPr>
            </w:pPr>
          </w:p>
        </w:tc>
        <w:tc>
          <w:tcPr>
            <w:tcW w:w="810" w:type="dxa"/>
            <w:tcBorders>
              <w:top w:val="single" w:sz="12" w:space="0" w:color="auto"/>
            </w:tcBorders>
            <w:vAlign w:val="bottom"/>
          </w:tcPr>
          <w:p w:rsidR="00000000" w:rsidRDefault="00000000">
            <w:pPr>
              <w:pStyle w:val="SingleTxt"/>
              <w:spacing w:line="160" w:lineRule="exact"/>
              <w:ind w:left="14" w:right="14"/>
              <w:rPr>
                <w:sz w:val="17"/>
              </w:rPr>
            </w:pPr>
          </w:p>
        </w:tc>
        <w:tc>
          <w:tcPr>
            <w:tcW w:w="810" w:type="dxa"/>
            <w:tcBorders>
              <w:top w:val="single" w:sz="12" w:space="0" w:color="auto"/>
            </w:tcBorders>
            <w:vAlign w:val="bottom"/>
          </w:tcPr>
          <w:p w:rsidR="00000000" w:rsidRDefault="00000000">
            <w:pPr>
              <w:pStyle w:val="SingleTxt"/>
              <w:spacing w:line="160" w:lineRule="exact"/>
              <w:ind w:left="14" w:right="14"/>
              <w:rPr>
                <w:sz w:val="17"/>
              </w:rPr>
            </w:pPr>
          </w:p>
        </w:tc>
        <w:tc>
          <w:tcPr>
            <w:tcW w:w="744" w:type="dxa"/>
            <w:tcBorders>
              <w:top w:val="single" w:sz="12" w:space="0" w:color="auto"/>
            </w:tcBorders>
            <w:vAlign w:val="bottom"/>
          </w:tcPr>
          <w:p w:rsidR="00000000" w:rsidRDefault="00000000">
            <w:pPr>
              <w:pStyle w:val="SingleTxt"/>
              <w:spacing w:line="160" w:lineRule="exact"/>
              <w:ind w:left="14" w:right="14"/>
              <w:rPr>
                <w:sz w:val="17"/>
              </w:rPr>
            </w:pPr>
          </w:p>
        </w:tc>
        <w:tc>
          <w:tcPr>
            <w:tcW w:w="786" w:type="dxa"/>
            <w:tcBorders>
              <w:top w:val="single" w:sz="12" w:space="0" w:color="auto"/>
            </w:tcBorders>
            <w:vAlign w:val="bottom"/>
          </w:tcPr>
          <w:p w:rsidR="00000000" w:rsidRDefault="00000000">
            <w:pPr>
              <w:pStyle w:val="SingleTxt"/>
              <w:spacing w:line="160" w:lineRule="exact"/>
              <w:ind w:left="14" w:right="14"/>
              <w:rPr>
                <w:sz w:val="17"/>
              </w:rPr>
            </w:pPr>
          </w:p>
        </w:tc>
        <w:tc>
          <w:tcPr>
            <w:tcW w:w="810" w:type="dxa"/>
            <w:tcBorders>
              <w:top w:val="single" w:sz="12" w:space="0" w:color="auto"/>
            </w:tcBorders>
            <w:vAlign w:val="bottom"/>
          </w:tcPr>
          <w:p w:rsidR="00000000" w:rsidRDefault="00000000">
            <w:pPr>
              <w:pStyle w:val="SingleTxt"/>
              <w:spacing w:line="160" w:lineRule="exact"/>
              <w:ind w:left="14" w:right="14"/>
              <w:rPr>
                <w:sz w:val="17"/>
              </w:rPr>
            </w:pPr>
          </w:p>
        </w:tc>
        <w:tc>
          <w:tcPr>
            <w:tcW w:w="630" w:type="dxa"/>
            <w:tcBorders>
              <w:top w:val="single" w:sz="12" w:space="0" w:color="auto"/>
            </w:tcBorders>
            <w:vAlign w:val="bottom"/>
          </w:tcPr>
          <w:p w:rsidR="00000000" w:rsidRDefault="00000000">
            <w:pPr>
              <w:pStyle w:val="SingleTxt"/>
              <w:spacing w:line="160" w:lineRule="exact"/>
              <w:ind w:left="14" w:right="14"/>
              <w:rPr>
                <w:sz w:val="17"/>
              </w:rPr>
            </w:pPr>
          </w:p>
        </w:tc>
        <w:tc>
          <w:tcPr>
            <w:tcW w:w="720" w:type="dxa"/>
            <w:tcBorders>
              <w:top w:val="single" w:sz="12" w:space="0" w:color="auto"/>
            </w:tcBorders>
            <w:vAlign w:val="bottom"/>
          </w:tcPr>
          <w:p w:rsidR="00000000" w:rsidRDefault="00000000">
            <w:pPr>
              <w:pStyle w:val="SingleTxt"/>
              <w:spacing w:line="160" w:lineRule="exact"/>
              <w:ind w:left="14" w:right="14"/>
              <w:rPr>
                <w:sz w:val="17"/>
              </w:rPr>
            </w:pPr>
          </w:p>
        </w:tc>
        <w:tc>
          <w:tcPr>
            <w:tcW w:w="900" w:type="dxa"/>
            <w:tcBorders>
              <w:top w:val="single" w:sz="12" w:space="0" w:color="auto"/>
            </w:tcBorders>
            <w:vAlign w:val="bottom"/>
          </w:tcPr>
          <w:p w:rsidR="00000000" w:rsidRDefault="00000000">
            <w:pPr>
              <w:pStyle w:val="SingleTxt"/>
              <w:spacing w:line="160" w:lineRule="exact"/>
              <w:ind w:left="14" w:right="14"/>
              <w:rPr>
                <w:sz w:val="17"/>
              </w:rPr>
            </w:pPr>
          </w:p>
        </w:tc>
        <w:tc>
          <w:tcPr>
            <w:tcW w:w="810" w:type="dxa"/>
            <w:tcBorders>
              <w:top w:val="single" w:sz="12" w:space="0" w:color="auto"/>
            </w:tcBorders>
            <w:vAlign w:val="bottom"/>
          </w:tcPr>
          <w:p w:rsidR="00000000" w:rsidRDefault="00000000">
            <w:pPr>
              <w:pStyle w:val="SingleTxt"/>
              <w:spacing w:line="160" w:lineRule="exact"/>
              <w:ind w:left="14" w:right="14"/>
              <w:rPr>
                <w:sz w:val="17"/>
              </w:rPr>
            </w:pPr>
          </w:p>
        </w:tc>
        <w:tc>
          <w:tcPr>
            <w:tcW w:w="744" w:type="dxa"/>
            <w:tcBorders>
              <w:top w:val="single" w:sz="12" w:space="0" w:color="auto"/>
            </w:tcBorders>
            <w:vAlign w:val="bottom"/>
          </w:tcPr>
          <w:p w:rsidR="00000000" w:rsidRDefault="00000000">
            <w:pPr>
              <w:pStyle w:val="SingleTxt"/>
              <w:spacing w:line="160" w:lineRule="exact"/>
              <w:ind w:left="14" w:right="14"/>
              <w:rPr>
                <w:sz w:val="17"/>
              </w:rPr>
            </w:pPr>
          </w:p>
        </w:tc>
        <w:tc>
          <w:tcPr>
            <w:tcW w:w="810" w:type="dxa"/>
            <w:tcBorders>
              <w:top w:val="single" w:sz="12" w:space="0" w:color="auto"/>
            </w:tcBorders>
            <w:vAlign w:val="bottom"/>
          </w:tcPr>
          <w:p w:rsidR="00000000" w:rsidRDefault="00000000">
            <w:pPr>
              <w:pStyle w:val="SingleTxt"/>
              <w:spacing w:line="160" w:lineRule="exact"/>
              <w:ind w:left="14" w:right="14"/>
              <w:rPr>
                <w:sz w:val="17"/>
              </w:rPr>
            </w:pPr>
          </w:p>
        </w:tc>
        <w:tc>
          <w:tcPr>
            <w:tcW w:w="810" w:type="dxa"/>
            <w:tcBorders>
              <w:top w:val="single" w:sz="12" w:space="0" w:color="auto"/>
            </w:tcBorders>
            <w:vAlign w:val="bottom"/>
          </w:tcPr>
          <w:p w:rsidR="00000000" w:rsidRDefault="00000000">
            <w:pPr>
              <w:pStyle w:val="SingleTxt"/>
              <w:spacing w:line="160" w:lineRule="exact"/>
              <w:ind w:left="14" w:right="14"/>
              <w:rPr>
                <w:sz w:val="17"/>
              </w:rPr>
            </w:pPr>
          </w:p>
        </w:tc>
        <w:tc>
          <w:tcPr>
            <w:tcW w:w="630" w:type="dxa"/>
            <w:tcBorders>
              <w:top w:val="single" w:sz="12" w:space="0" w:color="auto"/>
            </w:tcBorders>
            <w:vAlign w:val="bottom"/>
          </w:tcPr>
          <w:p w:rsidR="00000000" w:rsidRDefault="00000000">
            <w:pPr>
              <w:pStyle w:val="SingleTxt"/>
              <w:spacing w:line="160" w:lineRule="exact"/>
              <w:ind w:left="14" w:right="14"/>
              <w:rPr>
                <w:sz w:val="17"/>
              </w:rPr>
            </w:pPr>
          </w:p>
        </w:tc>
        <w:tc>
          <w:tcPr>
            <w:tcW w:w="720" w:type="dxa"/>
            <w:tcBorders>
              <w:top w:val="single" w:sz="12" w:space="0" w:color="auto"/>
            </w:tcBorders>
            <w:vAlign w:val="bottom"/>
          </w:tcPr>
          <w:p w:rsidR="00000000" w:rsidRDefault="00000000">
            <w:pPr>
              <w:pStyle w:val="SingleTxt"/>
              <w:spacing w:line="160" w:lineRule="exact"/>
              <w:ind w:left="14" w:right="14"/>
              <w:rPr>
                <w:sz w:val="17"/>
              </w:rPr>
            </w:pPr>
          </w:p>
        </w:tc>
      </w:tr>
      <w:tr w:rsidR="00000000">
        <w:tblPrEx>
          <w:tblCellMar>
            <w:top w:w="0" w:type="dxa"/>
            <w:bottom w:w="0" w:type="dxa"/>
          </w:tblCellMar>
        </w:tblPrEx>
        <w:tc>
          <w:tcPr>
            <w:tcW w:w="1260" w:type="dxa"/>
            <w:vAlign w:val="bottom"/>
          </w:tcPr>
          <w:p w:rsidR="00000000" w:rsidRDefault="00000000">
            <w:pPr>
              <w:pStyle w:val="SingleTxt"/>
              <w:spacing w:before="20" w:after="20" w:line="160" w:lineRule="exact"/>
              <w:ind w:left="0" w:right="43"/>
              <w:rPr>
                <w:sz w:val="14"/>
              </w:rPr>
            </w:pPr>
            <w:r>
              <w:rPr>
                <w:sz w:val="14"/>
              </w:rPr>
              <w:t>Comercio</w:t>
            </w:r>
          </w:p>
        </w:tc>
        <w:tc>
          <w:tcPr>
            <w:tcW w:w="810" w:type="dxa"/>
            <w:vAlign w:val="bottom"/>
          </w:tcPr>
          <w:p w:rsidR="00000000" w:rsidRDefault="00000000">
            <w:pPr>
              <w:pStyle w:val="SingleTxt"/>
              <w:spacing w:before="20" w:after="20" w:line="160" w:lineRule="exact"/>
              <w:ind w:left="0" w:right="43"/>
              <w:jc w:val="right"/>
              <w:rPr>
                <w:sz w:val="14"/>
              </w:rPr>
            </w:pPr>
            <w:r>
              <w:rPr>
                <w:sz w:val="14"/>
              </w:rPr>
              <w:t>961</w:t>
            </w:r>
          </w:p>
        </w:tc>
        <w:tc>
          <w:tcPr>
            <w:tcW w:w="810" w:type="dxa"/>
            <w:vAlign w:val="bottom"/>
          </w:tcPr>
          <w:p w:rsidR="00000000" w:rsidRDefault="00000000">
            <w:pPr>
              <w:pStyle w:val="SingleTxt"/>
              <w:spacing w:before="20" w:after="20" w:line="160" w:lineRule="exact"/>
              <w:ind w:left="0" w:right="43"/>
              <w:jc w:val="right"/>
              <w:rPr>
                <w:sz w:val="14"/>
              </w:rPr>
            </w:pPr>
            <w:r>
              <w:rPr>
                <w:sz w:val="14"/>
              </w:rPr>
              <w:t>1 170</w:t>
            </w:r>
          </w:p>
        </w:tc>
        <w:tc>
          <w:tcPr>
            <w:tcW w:w="744" w:type="dxa"/>
            <w:vAlign w:val="bottom"/>
          </w:tcPr>
          <w:p w:rsidR="00000000" w:rsidRDefault="00000000">
            <w:pPr>
              <w:pStyle w:val="SingleTxt"/>
              <w:spacing w:before="20" w:after="20" w:line="160" w:lineRule="exact"/>
              <w:ind w:left="0" w:right="43"/>
              <w:jc w:val="right"/>
              <w:rPr>
                <w:sz w:val="14"/>
              </w:rPr>
            </w:pPr>
            <w:r>
              <w:rPr>
                <w:sz w:val="14"/>
              </w:rPr>
              <w:t>2 131</w:t>
            </w:r>
          </w:p>
        </w:tc>
        <w:tc>
          <w:tcPr>
            <w:tcW w:w="786" w:type="dxa"/>
            <w:vAlign w:val="bottom"/>
          </w:tcPr>
          <w:p w:rsidR="00000000" w:rsidRDefault="00000000">
            <w:pPr>
              <w:pStyle w:val="SingleTxt"/>
              <w:spacing w:before="20" w:after="20" w:line="160" w:lineRule="exact"/>
              <w:ind w:left="0" w:right="43"/>
              <w:jc w:val="right"/>
              <w:rPr>
                <w:sz w:val="14"/>
              </w:rPr>
            </w:pPr>
            <w:r>
              <w:rPr>
                <w:sz w:val="14"/>
              </w:rPr>
              <w:t>95</w:t>
            </w:r>
          </w:p>
        </w:tc>
        <w:tc>
          <w:tcPr>
            <w:tcW w:w="810" w:type="dxa"/>
            <w:vAlign w:val="bottom"/>
          </w:tcPr>
          <w:p w:rsidR="00000000" w:rsidRDefault="00000000">
            <w:pPr>
              <w:pStyle w:val="SingleTxt"/>
              <w:spacing w:before="20" w:after="20" w:line="160" w:lineRule="exact"/>
              <w:ind w:left="0" w:right="43"/>
              <w:jc w:val="right"/>
              <w:rPr>
                <w:sz w:val="14"/>
              </w:rPr>
            </w:pPr>
            <w:r>
              <w:rPr>
                <w:sz w:val="14"/>
              </w:rPr>
              <w:t>58</w:t>
            </w:r>
          </w:p>
        </w:tc>
        <w:tc>
          <w:tcPr>
            <w:tcW w:w="630" w:type="dxa"/>
            <w:vAlign w:val="bottom"/>
          </w:tcPr>
          <w:p w:rsidR="00000000" w:rsidRDefault="00000000">
            <w:pPr>
              <w:pStyle w:val="SingleTxt"/>
              <w:spacing w:before="20" w:after="20" w:line="160" w:lineRule="exact"/>
              <w:ind w:left="0" w:right="43"/>
              <w:jc w:val="right"/>
              <w:rPr>
                <w:sz w:val="14"/>
              </w:rPr>
            </w:pPr>
            <w:r>
              <w:rPr>
                <w:sz w:val="14"/>
              </w:rPr>
              <w:t>153</w:t>
            </w:r>
          </w:p>
        </w:tc>
        <w:tc>
          <w:tcPr>
            <w:tcW w:w="720" w:type="dxa"/>
            <w:vAlign w:val="bottom"/>
          </w:tcPr>
          <w:p w:rsidR="00000000" w:rsidRDefault="00000000">
            <w:pPr>
              <w:pStyle w:val="SingleTxt"/>
              <w:spacing w:before="20" w:after="20" w:line="160" w:lineRule="exact"/>
              <w:ind w:left="0" w:right="43"/>
              <w:jc w:val="right"/>
              <w:rPr>
                <w:sz w:val="14"/>
              </w:rPr>
            </w:pPr>
            <w:r>
              <w:rPr>
                <w:sz w:val="14"/>
              </w:rPr>
              <w:t>2 284</w:t>
            </w:r>
          </w:p>
        </w:tc>
        <w:tc>
          <w:tcPr>
            <w:tcW w:w="900" w:type="dxa"/>
            <w:vAlign w:val="bottom"/>
          </w:tcPr>
          <w:p w:rsidR="00000000" w:rsidRDefault="00000000">
            <w:pPr>
              <w:pStyle w:val="SingleTxt"/>
              <w:spacing w:before="20" w:after="20" w:line="160" w:lineRule="exact"/>
              <w:ind w:left="0" w:right="43"/>
              <w:jc w:val="right"/>
              <w:rPr>
                <w:sz w:val="14"/>
              </w:rPr>
            </w:pPr>
            <w:r>
              <w:rPr>
                <w:sz w:val="14"/>
              </w:rPr>
              <w:t>822</w:t>
            </w:r>
          </w:p>
        </w:tc>
        <w:tc>
          <w:tcPr>
            <w:tcW w:w="810" w:type="dxa"/>
            <w:vAlign w:val="bottom"/>
          </w:tcPr>
          <w:p w:rsidR="00000000" w:rsidRDefault="00000000">
            <w:pPr>
              <w:pStyle w:val="SingleTxt"/>
              <w:spacing w:before="20" w:after="20" w:line="160" w:lineRule="exact"/>
              <w:ind w:left="0" w:right="43"/>
              <w:jc w:val="right"/>
              <w:rPr>
                <w:sz w:val="14"/>
              </w:rPr>
            </w:pPr>
            <w:r>
              <w:rPr>
                <w:sz w:val="14"/>
              </w:rPr>
              <w:t>975</w:t>
            </w:r>
          </w:p>
        </w:tc>
        <w:tc>
          <w:tcPr>
            <w:tcW w:w="744" w:type="dxa"/>
            <w:vAlign w:val="bottom"/>
          </w:tcPr>
          <w:p w:rsidR="00000000" w:rsidRDefault="00000000">
            <w:pPr>
              <w:pStyle w:val="SingleTxt"/>
              <w:spacing w:before="20" w:after="20" w:line="160" w:lineRule="exact"/>
              <w:ind w:left="0" w:right="43"/>
              <w:jc w:val="right"/>
              <w:rPr>
                <w:sz w:val="14"/>
              </w:rPr>
            </w:pPr>
            <w:r>
              <w:rPr>
                <w:sz w:val="14"/>
              </w:rPr>
              <w:t>1 797</w:t>
            </w:r>
          </w:p>
        </w:tc>
        <w:tc>
          <w:tcPr>
            <w:tcW w:w="810" w:type="dxa"/>
            <w:vAlign w:val="bottom"/>
          </w:tcPr>
          <w:p w:rsidR="00000000" w:rsidRDefault="00000000">
            <w:pPr>
              <w:pStyle w:val="SingleTxt"/>
              <w:spacing w:before="20" w:after="20" w:line="160" w:lineRule="exact"/>
              <w:ind w:left="0" w:right="43"/>
              <w:jc w:val="right"/>
              <w:rPr>
                <w:sz w:val="14"/>
              </w:rPr>
            </w:pPr>
            <w:r>
              <w:rPr>
                <w:sz w:val="14"/>
              </w:rPr>
              <w:t>84</w:t>
            </w:r>
          </w:p>
        </w:tc>
        <w:tc>
          <w:tcPr>
            <w:tcW w:w="810" w:type="dxa"/>
            <w:vAlign w:val="bottom"/>
          </w:tcPr>
          <w:p w:rsidR="00000000" w:rsidRDefault="00000000">
            <w:pPr>
              <w:pStyle w:val="SingleTxt"/>
              <w:spacing w:before="20" w:after="20" w:line="160" w:lineRule="exact"/>
              <w:ind w:left="0" w:right="43"/>
              <w:jc w:val="right"/>
              <w:rPr>
                <w:sz w:val="14"/>
              </w:rPr>
            </w:pPr>
            <w:r>
              <w:rPr>
                <w:sz w:val="14"/>
              </w:rPr>
              <w:t>55</w:t>
            </w:r>
          </w:p>
        </w:tc>
        <w:tc>
          <w:tcPr>
            <w:tcW w:w="630" w:type="dxa"/>
            <w:vAlign w:val="bottom"/>
          </w:tcPr>
          <w:p w:rsidR="00000000" w:rsidRDefault="00000000">
            <w:pPr>
              <w:pStyle w:val="SingleTxt"/>
              <w:spacing w:before="20" w:after="20" w:line="160" w:lineRule="exact"/>
              <w:ind w:left="0" w:right="43"/>
              <w:jc w:val="right"/>
              <w:rPr>
                <w:sz w:val="14"/>
              </w:rPr>
            </w:pPr>
            <w:r>
              <w:rPr>
                <w:sz w:val="14"/>
              </w:rPr>
              <w:t>139</w:t>
            </w:r>
          </w:p>
        </w:tc>
        <w:tc>
          <w:tcPr>
            <w:tcW w:w="720" w:type="dxa"/>
            <w:vAlign w:val="bottom"/>
          </w:tcPr>
          <w:p w:rsidR="00000000" w:rsidRDefault="00000000">
            <w:pPr>
              <w:pStyle w:val="SingleTxt"/>
              <w:spacing w:before="20" w:after="20" w:line="160" w:lineRule="exact"/>
              <w:ind w:left="0" w:right="43"/>
              <w:jc w:val="right"/>
              <w:rPr>
                <w:sz w:val="14"/>
              </w:rPr>
            </w:pPr>
            <w:r>
              <w:rPr>
                <w:sz w:val="14"/>
              </w:rPr>
              <w:t>1 936</w:t>
            </w:r>
          </w:p>
        </w:tc>
      </w:tr>
      <w:tr w:rsidR="00000000">
        <w:tblPrEx>
          <w:tblCellMar>
            <w:top w:w="0" w:type="dxa"/>
            <w:bottom w:w="0" w:type="dxa"/>
          </w:tblCellMar>
        </w:tblPrEx>
        <w:tc>
          <w:tcPr>
            <w:tcW w:w="1260" w:type="dxa"/>
            <w:vAlign w:val="bottom"/>
          </w:tcPr>
          <w:p w:rsidR="00000000" w:rsidRDefault="00000000">
            <w:pPr>
              <w:pStyle w:val="SingleTxt"/>
              <w:spacing w:before="20" w:after="20" w:line="160" w:lineRule="exact"/>
              <w:ind w:left="0" w:right="43"/>
              <w:rPr>
                <w:sz w:val="14"/>
              </w:rPr>
            </w:pPr>
            <w:r>
              <w:rPr>
                <w:sz w:val="14"/>
              </w:rPr>
              <w:t>Derecho</w:t>
            </w:r>
          </w:p>
        </w:tc>
        <w:tc>
          <w:tcPr>
            <w:tcW w:w="810" w:type="dxa"/>
            <w:vAlign w:val="bottom"/>
          </w:tcPr>
          <w:p w:rsidR="00000000" w:rsidRDefault="00000000">
            <w:pPr>
              <w:pStyle w:val="SingleTxt"/>
              <w:spacing w:before="20" w:after="20" w:line="160" w:lineRule="exact"/>
              <w:ind w:left="0" w:right="43"/>
              <w:jc w:val="right"/>
              <w:rPr>
                <w:sz w:val="14"/>
              </w:rPr>
            </w:pPr>
            <w:r>
              <w:rPr>
                <w:sz w:val="14"/>
              </w:rPr>
              <w:t>562</w:t>
            </w:r>
          </w:p>
        </w:tc>
        <w:tc>
          <w:tcPr>
            <w:tcW w:w="810" w:type="dxa"/>
            <w:vAlign w:val="bottom"/>
          </w:tcPr>
          <w:p w:rsidR="00000000" w:rsidRDefault="00000000">
            <w:pPr>
              <w:pStyle w:val="SingleTxt"/>
              <w:spacing w:before="20" w:after="20" w:line="160" w:lineRule="exact"/>
              <w:ind w:left="0" w:right="43"/>
              <w:jc w:val="right"/>
              <w:rPr>
                <w:sz w:val="14"/>
              </w:rPr>
            </w:pPr>
            <w:r>
              <w:rPr>
                <w:sz w:val="14"/>
              </w:rPr>
              <w:t>599</w:t>
            </w:r>
          </w:p>
        </w:tc>
        <w:tc>
          <w:tcPr>
            <w:tcW w:w="744" w:type="dxa"/>
            <w:vAlign w:val="bottom"/>
          </w:tcPr>
          <w:p w:rsidR="00000000" w:rsidRDefault="00000000">
            <w:pPr>
              <w:pStyle w:val="SingleTxt"/>
              <w:spacing w:before="20" w:after="20" w:line="160" w:lineRule="exact"/>
              <w:ind w:left="0" w:right="43"/>
              <w:jc w:val="right"/>
              <w:rPr>
                <w:sz w:val="14"/>
              </w:rPr>
            </w:pPr>
            <w:r>
              <w:rPr>
                <w:sz w:val="14"/>
              </w:rPr>
              <w:t>1 161</w:t>
            </w:r>
          </w:p>
        </w:tc>
        <w:tc>
          <w:tcPr>
            <w:tcW w:w="786" w:type="dxa"/>
            <w:vAlign w:val="bottom"/>
          </w:tcPr>
          <w:p w:rsidR="00000000" w:rsidRDefault="00000000">
            <w:pPr>
              <w:pStyle w:val="SingleTxt"/>
              <w:spacing w:before="20" w:after="20" w:line="160" w:lineRule="exact"/>
              <w:ind w:left="0" w:right="43"/>
              <w:jc w:val="right"/>
              <w:rPr>
                <w:sz w:val="14"/>
              </w:rPr>
            </w:pPr>
            <w:r>
              <w:rPr>
                <w:sz w:val="14"/>
              </w:rPr>
              <w:t>23</w:t>
            </w:r>
          </w:p>
        </w:tc>
        <w:tc>
          <w:tcPr>
            <w:tcW w:w="810" w:type="dxa"/>
            <w:vAlign w:val="bottom"/>
          </w:tcPr>
          <w:p w:rsidR="00000000" w:rsidRDefault="00000000">
            <w:pPr>
              <w:pStyle w:val="SingleTxt"/>
              <w:spacing w:before="20" w:after="20" w:line="160" w:lineRule="exact"/>
              <w:ind w:left="0" w:right="43"/>
              <w:jc w:val="right"/>
              <w:rPr>
                <w:sz w:val="14"/>
              </w:rPr>
            </w:pPr>
            <w:r>
              <w:rPr>
                <w:sz w:val="14"/>
              </w:rPr>
              <w:t>34</w:t>
            </w:r>
          </w:p>
        </w:tc>
        <w:tc>
          <w:tcPr>
            <w:tcW w:w="630" w:type="dxa"/>
            <w:vAlign w:val="bottom"/>
          </w:tcPr>
          <w:p w:rsidR="00000000" w:rsidRDefault="00000000">
            <w:pPr>
              <w:pStyle w:val="SingleTxt"/>
              <w:spacing w:before="20" w:after="20" w:line="160" w:lineRule="exact"/>
              <w:ind w:left="0" w:right="43"/>
              <w:jc w:val="right"/>
              <w:rPr>
                <w:sz w:val="14"/>
              </w:rPr>
            </w:pPr>
            <w:r>
              <w:rPr>
                <w:sz w:val="14"/>
              </w:rPr>
              <w:t>57</w:t>
            </w:r>
          </w:p>
        </w:tc>
        <w:tc>
          <w:tcPr>
            <w:tcW w:w="720" w:type="dxa"/>
            <w:vAlign w:val="bottom"/>
          </w:tcPr>
          <w:p w:rsidR="00000000" w:rsidRDefault="00000000">
            <w:pPr>
              <w:pStyle w:val="SingleTxt"/>
              <w:spacing w:before="20" w:after="20" w:line="160" w:lineRule="exact"/>
              <w:ind w:left="0" w:right="43"/>
              <w:jc w:val="right"/>
              <w:rPr>
                <w:sz w:val="14"/>
              </w:rPr>
            </w:pPr>
            <w:r>
              <w:rPr>
                <w:sz w:val="14"/>
              </w:rPr>
              <w:t>1 218</w:t>
            </w:r>
          </w:p>
        </w:tc>
        <w:tc>
          <w:tcPr>
            <w:tcW w:w="900" w:type="dxa"/>
            <w:vAlign w:val="bottom"/>
          </w:tcPr>
          <w:p w:rsidR="00000000" w:rsidRDefault="00000000">
            <w:pPr>
              <w:pStyle w:val="SingleTxt"/>
              <w:spacing w:before="20" w:after="20" w:line="160" w:lineRule="exact"/>
              <w:ind w:left="0" w:right="43"/>
              <w:jc w:val="right"/>
              <w:rPr>
                <w:sz w:val="14"/>
              </w:rPr>
            </w:pPr>
            <w:r>
              <w:rPr>
                <w:sz w:val="14"/>
              </w:rPr>
              <w:t>505</w:t>
            </w:r>
          </w:p>
        </w:tc>
        <w:tc>
          <w:tcPr>
            <w:tcW w:w="810" w:type="dxa"/>
            <w:vAlign w:val="bottom"/>
          </w:tcPr>
          <w:p w:rsidR="00000000" w:rsidRDefault="00000000">
            <w:pPr>
              <w:pStyle w:val="SingleTxt"/>
              <w:spacing w:before="20" w:after="20" w:line="160" w:lineRule="exact"/>
              <w:ind w:left="0" w:right="43"/>
              <w:jc w:val="right"/>
              <w:rPr>
                <w:sz w:val="14"/>
              </w:rPr>
            </w:pPr>
            <w:r>
              <w:rPr>
                <w:sz w:val="14"/>
              </w:rPr>
              <w:t>573</w:t>
            </w:r>
          </w:p>
        </w:tc>
        <w:tc>
          <w:tcPr>
            <w:tcW w:w="744" w:type="dxa"/>
            <w:vAlign w:val="bottom"/>
          </w:tcPr>
          <w:p w:rsidR="00000000" w:rsidRDefault="00000000">
            <w:pPr>
              <w:pStyle w:val="SingleTxt"/>
              <w:spacing w:before="20" w:after="20" w:line="160" w:lineRule="exact"/>
              <w:ind w:left="0" w:right="43"/>
              <w:jc w:val="right"/>
              <w:rPr>
                <w:sz w:val="14"/>
              </w:rPr>
            </w:pPr>
            <w:r>
              <w:rPr>
                <w:sz w:val="14"/>
              </w:rPr>
              <w:t>1 075</w:t>
            </w:r>
          </w:p>
        </w:tc>
        <w:tc>
          <w:tcPr>
            <w:tcW w:w="810" w:type="dxa"/>
            <w:vAlign w:val="bottom"/>
          </w:tcPr>
          <w:p w:rsidR="00000000" w:rsidRDefault="00000000">
            <w:pPr>
              <w:pStyle w:val="SingleTxt"/>
              <w:spacing w:before="20" w:after="20" w:line="160" w:lineRule="exact"/>
              <w:ind w:left="0" w:right="43"/>
              <w:jc w:val="right"/>
              <w:rPr>
                <w:sz w:val="14"/>
              </w:rPr>
            </w:pPr>
            <w:r>
              <w:rPr>
                <w:sz w:val="14"/>
              </w:rPr>
              <w:t>17</w:t>
            </w:r>
          </w:p>
        </w:tc>
        <w:tc>
          <w:tcPr>
            <w:tcW w:w="810" w:type="dxa"/>
            <w:vAlign w:val="bottom"/>
          </w:tcPr>
          <w:p w:rsidR="00000000" w:rsidRDefault="00000000">
            <w:pPr>
              <w:pStyle w:val="SingleTxt"/>
              <w:spacing w:before="20" w:after="20" w:line="160" w:lineRule="exact"/>
              <w:ind w:left="0" w:right="43"/>
              <w:jc w:val="right"/>
              <w:rPr>
                <w:sz w:val="14"/>
              </w:rPr>
            </w:pPr>
            <w:r>
              <w:rPr>
                <w:sz w:val="14"/>
              </w:rPr>
              <w:t>31</w:t>
            </w:r>
          </w:p>
        </w:tc>
        <w:tc>
          <w:tcPr>
            <w:tcW w:w="630" w:type="dxa"/>
            <w:vAlign w:val="bottom"/>
          </w:tcPr>
          <w:p w:rsidR="00000000" w:rsidRDefault="00000000">
            <w:pPr>
              <w:pStyle w:val="SingleTxt"/>
              <w:spacing w:before="20" w:after="20" w:line="160" w:lineRule="exact"/>
              <w:ind w:left="0" w:right="43"/>
              <w:jc w:val="right"/>
              <w:rPr>
                <w:sz w:val="14"/>
              </w:rPr>
            </w:pPr>
            <w:r>
              <w:rPr>
                <w:sz w:val="14"/>
              </w:rPr>
              <w:t>48</w:t>
            </w:r>
          </w:p>
        </w:tc>
        <w:tc>
          <w:tcPr>
            <w:tcW w:w="720" w:type="dxa"/>
            <w:vAlign w:val="bottom"/>
          </w:tcPr>
          <w:p w:rsidR="00000000" w:rsidRDefault="00000000">
            <w:pPr>
              <w:pStyle w:val="SingleTxt"/>
              <w:spacing w:before="20" w:after="20" w:line="160" w:lineRule="exact"/>
              <w:ind w:left="0" w:right="43"/>
              <w:jc w:val="right"/>
              <w:rPr>
                <w:sz w:val="14"/>
              </w:rPr>
            </w:pPr>
            <w:r>
              <w:rPr>
                <w:sz w:val="14"/>
              </w:rPr>
              <w:t>1 126</w:t>
            </w:r>
          </w:p>
        </w:tc>
      </w:tr>
      <w:tr w:rsidR="00000000">
        <w:tblPrEx>
          <w:tblCellMar>
            <w:top w:w="0" w:type="dxa"/>
            <w:bottom w:w="0" w:type="dxa"/>
          </w:tblCellMar>
        </w:tblPrEx>
        <w:tc>
          <w:tcPr>
            <w:tcW w:w="1260" w:type="dxa"/>
            <w:vAlign w:val="bottom"/>
          </w:tcPr>
          <w:p w:rsidR="00000000" w:rsidRDefault="00000000">
            <w:pPr>
              <w:pStyle w:val="SingleTxt"/>
              <w:spacing w:before="20" w:after="20" w:line="160" w:lineRule="exact"/>
              <w:ind w:left="0" w:right="43"/>
              <w:rPr>
                <w:sz w:val="14"/>
              </w:rPr>
            </w:pPr>
            <w:r>
              <w:rPr>
                <w:sz w:val="14"/>
              </w:rPr>
              <w:t>Humanidades</w:t>
            </w:r>
          </w:p>
        </w:tc>
        <w:tc>
          <w:tcPr>
            <w:tcW w:w="810" w:type="dxa"/>
            <w:vAlign w:val="bottom"/>
          </w:tcPr>
          <w:p w:rsidR="00000000" w:rsidRDefault="00000000">
            <w:pPr>
              <w:pStyle w:val="SingleTxt"/>
              <w:spacing w:before="20" w:after="20" w:line="160" w:lineRule="exact"/>
              <w:ind w:left="0" w:right="43"/>
              <w:jc w:val="right"/>
              <w:rPr>
                <w:sz w:val="14"/>
              </w:rPr>
            </w:pPr>
            <w:r>
              <w:rPr>
                <w:sz w:val="14"/>
              </w:rPr>
              <w:t>689</w:t>
            </w:r>
          </w:p>
        </w:tc>
        <w:tc>
          <w:tcPr>
            <w:tcW w:w="810" w:type="dxa"/>
            <w:vAlign w:val="bottom"/>
          </w:tcPr>
          <w:p w:rsidR="00000000" w:rsidRDefault="00000000">
            <w:pPr>
              <w:pStyle w:val="SingleTxt"/>
              <w:spacing w:before="20" w:after="20" w:line="160" w:lineRule="exact"/>
              <w:ind w:left="0" w:right="43"/>
              <w:jc w:val="right"/>
              <w:rPr>
                <w:sz w:val="14"/>
              </w:rPr>
            </w:pPr>
            <w:r>
              <w:rPr>
                <w:sz w:val="14"/>
              </w:rPr>
              <w:t>2 534</w:t>
            </w:r>
          </w:p>
        </w:tc>
        <w:tc>
          <w:tcPr>
            <w:tcW w:w="744" w:type="dxa"/>
            <w:vAlign w:val="bottom"/>
          </w:tcPr>
          <w:p w:rsidR="00000000" w:rsidRDefault="00000000">
            <w:pPr>
              <w:pStyle w:val="SingleTxt"/>
              <w:spacing w:before="20" w:after="20" w:line="160" w:lineRule="exact"/>
              <w:ind w:left="0" w:right="43"/>
              <w:jc w:val="right"/>
              <w:rPr>
                <w:sz w:val="14"/>
              </w:rPr>
            </w:pPr>
            <w:r>
              <w:rPr>
                <w:sz w:val="14"/>
              </w:rPr>
              <w:t>3 223</w:t>
            </w:r>
          </w:p>
        </w:tc>
        <w:tc>
          <w:tcPr>
            <w:tcW w:w="786" w:type="dxa"/>
            <w:vAlign w:val="bottom"/>
          </w:tcPr>
          <w:p w:rsidR="00000000" w:rsidRDefault="00000000">
            <w:pPr>
              <w:pStyle w:val="SingleTxt"/>
              <w:spacing w:before="20" w:after="20" w:line="160" w:lineRule="exact"/>
              <w:ind w:left="0" w:right="43"/>
              <w:jc w:val="right"/>
              <w:rPr>
                <w:sz w:val="14"/>
              </w:rPr>
            </w:pPr>
            <w:r>
              <w:rPr>
                <w:sz w:val="14"/>
              </w:rPr>
              <w:t>107</w:t>
            </w:r>
          </w:p>
        </w:tc>
        <w:tc>
          <w:tcPr>
            <w:tcW w:w="810" w:type="dxa"/>
            <w:vAlign w:val="bottom"/>
          </w:tcPr>
          <w:p w:rsidR="00000000" w:rsidRDefault="00000000">
            <w:pPr>
              <w:pStyle w:val="SingleTxt"/>
              <w:spacing w:before="20" w:after="20" w:line="160" w:lineRule="exact"/>
              <w:ind w:left="0" w:right="43"/>
              <w:jc w:val="right"/>
              <w:rPr>
                <w:sz w:val="14"/>
              </w:rPr>
            </w:pPr>
            <w:r>
              <w:rPr>
                <w:sz w:val="14"/>
              </w:rPr>
              <w:t>171</w:t>
            </w:r>
          </w:p>
        </w:tc>
        <w:tc>
          <w:tcPr>
            <w:tcW w:w="630" w:type="dxa"/>
            <w:vAlign w:val="bottom"/>
          </w:tcPr>
          <w:p w:rsidR="00000000" w:rsidRDefault="00000000">
            <w:pPr>
              <w:pStyle w:val="SingleTxt"/>
              <w:spacing w:before="20" w:after="20" w:line="160" w:lineRule="exact"/>
              <w:ind w:left="0" w:right="43"/>
              <w:jc w:val="right"/>
              <w:rPr>
                <w:sz w:val="14"/>
              </w:rPr>
            </w:pPr>
            <w:r>
              <w:rPr>
                <w:sz w:val="14"/>
              </w:rPr>
              <w:t>278</w:t>
            </w:r>
          </w:p>
        </w:tc>
        <w:tc>
          <w:tcPr>
            <w:tcW w:w="720" w:type="dxa"/>
            <w:vAlign w:val="bottom"/>
          </w:tcPr>
          <w:p w:rsidR="00000000" w:rsidRDefault="00000000">
            <w:pPr>
              <w:pStyle w:val="SingleTxt"/>
              <w:spacing w:before="20" w:after="20" w:line="160" w:lineRule="exact"/>
              <w:ind w:left="0" w:right="43"/>
              <w:jc w:val="right"/>
              <w:rPr>
                <w:sz w:val="14"/>
              </w:rPr>
            </w:pPr>
            <w:r>
              <w:rPr>
                <w:sz w:val="14"/>
              </w:rPr>
              <w:t>3 501</w:t>
            </w:r>
          </w:p>
        </w:tc>
        <w:tc>
          <w:tcPr>
            <w:tcW w:w="900" w:type="dxa"/>
            <w:vAlign w:val="bottom"/>
          </w:tcPr>
          <w:p w:rsidR="00000000" w:rsidRDefault="00000000">
            <w:pPr>
              <w:pStyle w:val="SingleTxt"/>
              <w:spacing w:before="20" w:after="20" w:line="160" w:lineRule="exact"/>
              <w:ind w:left="0" w:right="43"/>
              <w:jc w:val="right"/>
              <w:rPr>
                <w:sz w:val="14"/>
              </w:rPr>
            </w:pPr>
            <w:r>
              <w:rPr>
                <w:sz w:val="14"/>
              </w:rPr>
              <w:t>621</w:t>
            </w:r>
          </w:p>
        </w:tc>
        <w:tc>
          <w:tcPr>
            <w:tcW w:w="810" w:type="dxa"/>
            <w:vAlign w:val="bottom"/>
          </w:tcPr>
          <w:p w:rsidR="00000000" w:rsidRDefault="00000000">
            <w:pPr>
              <w:pStyle w:val="SingleTxt"/>
              <w:spacing w:before="20" w:after="20" w:line="160" w:lineRule="exact"/>
              <w:ind w:left="0" w:right="43"/>
              <w:jc w:val="right"/>
              <w:rPr>
                <w:sz w:val="14"/>
              </w:rPr>
            </w:pPr>
            <w:r>
              <w:rPr>
                <w:sz w:val="14"/>
              </w:rPr>
              <w:t>2 281</w:t>
            </w:r>
          </w:p>
        </w:tc>
        <w:tc>
          <w:tcPr>
            <w:tcW w:w="744" w:type="dxa"/>
            <w:vAlign w:val="bottom"/>
          </w:tcPr>
          <w:p w:rsidR="00000000" w:rsidRDefault="00000000">
            <w:pPr>
              <w:pStyle w:val="SingleTxt"/>
              <w:spacing w:before="20" w:after="20" w:line="160" w:lineRule="exact"/>
              <w:ind w:left="0" w:right="43"/>
              <w:jc w:val="right"/>
              <w:rPr>
                <w:sz w:val="14"/>
              </w:rPr>
            </w:pPr>
            <w:r>
              <w:rPr>
                <w:sz w:val="14"/>
              </w:rPr>
              <w:t>2 902</w:t>
            </w:r>
          </w:p>
        </w:tc>
        <w:tc>
          <w:tcPr>
            <w:tcW w:w="810" w:type="dxa"/>
            <w:vAlign w:val="bottom"/>
          </w:tcPr>
          <w:p w:rsidR="00000000" w:rsidRDefault="00000000">
            <w:pPr>
              <w:pStyle w:val="SingleTxt"/>
              <w:spacing w:before="20" w:after="20" w:line="160" w:lineRule="exact"/>
              <w:ind w:left="0" w:right="43"/>
              <w:jc w:val="right"/>
              <w:rPr>
                <w:sz w:val="14"/>
              </w:rPr>
            </w:pPr>
            <w:r>
              <w:rPr>
                <w:sz w:val="14"/>
              </w:rPr>
              <w:t>105</w:t>
            </w:r>
          </w:p>
        </w:tc>
        <w:tc>
          <w:tcPr>
            <w:tcW w:w="810" w:type="dxa"/>
            <w:vAlign w:val="bottom"/>
          </w:tcPr>
          <w:p w:rsidR="00000000" w:rsidRDefault="00000000">
            <w:pPr>
              <w:pStyle w:val="SingleTxt"/>
              <w:spacing w:before="20" w:after="20" w:line="160" w:lineRule="exact"/>
              <w:ind w:left="0" w:right="43"/>
              <w:jc w:val="right"/>
              <w:rPr>
                <w:sz w:val="14"/>
              </w:rPr>
            </w:pPr>
            <w:r>
              <w:rPr>
                <w:sz w:val="14"/>
              </w:rPr>
              <w:t>152</w:t>
            </w:r>
          </w:p>
        </w:tc>
        <w:tc>
          <w:tcPr>
            <w:tcW w:w="630" w:type="dxa"/>
            <w:vAlign w:val="bottom"/>
          </w:tcPr>
          <w:p w:rsidR="00000000" w:rsidRDefault="00000000">
            <w:pPr>
              <w:pStyle w:val="SingleTxt"/>
              <w:spacing w:before="20" w:after="20" w:line="160" w:lineRule="exact"/>
              <w:ind w:left="0" w:right="43"/>
              <w:jc w:val="right"/>
              <w:rPr>
                <w:sz w:val="14"/>
              </w:rPr>
            </w:pPr>
            <w:r>
              <w:rPr>
                <w:sz w:val="14"/>
              </w:rPr>
              <w:t>257</w:t>
            </w:r>
          </w:p>
        </w:tc>
        <w:tc>
          <w:tcPr>
            <w:tcW w:w="720" w:type="dxa"/>
            <w:vAlign w:val="bottom"/>
          </w:tcPr>
          <w:p w:rsidR="00000000" w:rsidRDefault="00000000">
            <w:pPr>
              <w:pStyle w:val="SingleTxt"/>
              <w:spacing w:before="20" w:after="20" w:line="160" w:lineRule="exact"/>
              <w:ind w:left="0" w:right="43"/>
              <w:jc w:val="right"/>
              <w:rPr>
                <w:sz w:val="14"/>
              </w:rPr>
            </w:pPr>
            <w:r>
              <w:rPr>
                <w:sz w:val="14"/>
              </w:rPr>
              <w:t>3 159</w:t>
            </w:r>
          </w:p>
        </w:tc>
      </w:tr>
      <w:tr w:rsidR="00000000">
        <w:tblPrEx>
          <w:tblCellMar>
            <w:top w:w="0" w:type="dxa"/>
            <w:bottom w:w="0" w:type="dxa"/>
          </w:tblCellMar>
        </w:tblPrEx>
        <w:tc>
          <w:tcPr>
            <w:tcW w:w="1260" w:type="dxa"/>
            <w:vAlign w:val="bottom"/>
          </w:tcPr>
          <w:p w:rsidR="00000000" w:rsidRDefault="00000000">
            <w:pPr>
              <w:pStyle w:val="SingleTxt"/>
              <w:spacing w:before="20" w:after="20" w:line="160" w:lineRule="exact"/>
              <w:ind w:left="0" w:right="43"/>
              <w:rPr>
                <w:sz w:val="14"/>
              </w:rPr>
            </w:pPr>
            <w:r>
              <w:rPr>
                <w:sz w:val="14"/>
              </w:rPr>
              <w:t>Ciencias</w:t>
            </w:r>
          </w:p>
        </w:tc>
        <w:tc>
          <w:tcPr>
            <w:tcW w:w="810" w:type="dxa"/>
            <w:vAlign w:val="bottom"/>
          </w:tcPr>
          <w:p w:rsidR="00000000" w:rsidRDefault="00000000">
            <w:pPr>
              <w:pStyle w:val="SingleTxt"/>
              <w:spacing w:before="20" w:after="20" w:line="160" w:lineRule="exact"/>
              <w:ind w:left="0" w:right="43"/>
              <w:jc w:val="right"/>
              <w:rPr>
                <w:sz w:val="14"/>
              </w:rPr>
            </w:pPr>
            <w:r>
              <w:rPr>
                <w:sz w:val="14"/>
              </w:rPr>
              <w:t>666</w:t>
            </w:r>
          </w:p>
        </w:tc>
        <w:tc>
          <w:tcPr>
            <w:tcW w:w="810" w:type="dxa"/>
            <w:vAlign w:val="bottom"/>
          </w:tcPr>
          <w:p w:rsidR="00000000" w:rsidRDefault="00000000">
            <w:pPr>
              <w:pStyle w:val="SingleTxt"/>
              <w:spacing w:before="20" w:after="20" w:line="160" w:lineRule="exact"/>
              <w:ind w:left="0" w:right="43"/>
              <w:jc w:val="right"/>
              <w:rPr>
                <w:sz w:val="14"/>
              </w:rPr>
            </w:pPr>
            <w:r>
              <w:rPr>
                <w:sz w:val="14"/>
              </w:rPr>
              <w:t>1 992</w:t>
            </w:r>
          </w:p>
        </w:tc>
        <w:tc>
          <w:tcPr>
            <w:tcW w:w="744" w:type="dxa"/>
            <w:vAlign w:val="bottom"/>
          </w:tcPr>
          <w:p w:rsidR="00000000" w:rsidRDefault="00000000">
            <w:pPr>
              <w:pStyle w:val="SingleTxt"/>
              <w:spacing w:before="20" w:after="20" w:line="160" w:lineRule="exact"/>
              <w:ind w:left="0" w:right="43"/>
              <w:jc w:val="right"/>
              <w:rPr>
                <w:sz w:val="14"/>
              </w:rPr>
            </w:pPr>
            <w:r>
              <w:rPr>
                <w:sz w:val="14"/>
              </w:rPr>
              <w:t>2 658</w:t>
            </w:r>
          </w:p>
        </w:tc>
        <w:tc>
          <w:tcPr>
            <w:tcW w:w="786" w:type="dxa"/>
            <w:vAlign w:val="bottom"/>
          </w:tcPr>
          <w:p w:rsidR="00000000" w:rsidRDefault="00000000">
            <w:pPr>
              <w:pStyle w:val="SingleTxt"/>
              <w:spacing w:before="20" w:after="20" w:line="160" w:lineRule="exact"/>
              <w:ind w:left="0" w:right="43"/>
              <w:jc w:val="right"/>
              <w:rPr>
                <w:sz w:val="14"/>
              </w:rPr>
            </w:pPr>
            <w:r>
              <w:rPr>
                <w:sz w:val="14"/>
              </w:rPr>
              <w:t>152</w:t>
            </w:r>
          </w:p>
        </w:tc>
        <w:tc>
          <w:tcPr>
            <w:tcW w:w="810" w:type="dxa"/>
            <w:vAlign w:val="bottom"/>
          </w:tcPr>
          <w:p w:rsidR="00000000" w:rsidRDefault="00000000">
            <w:pPr>
              <w:pStyle w:val="SingleTxt"/>
              <w:spacing w:before="20" w:after="20" w:line="160" w:lineRule="exact"/>
              <w:ind w:left="0" w:right="43"/>
              <w:jc w:val="right"/>
              <w:rPr>
                <w:sz w:val="14"/>
              </w:rPr>
            </w:pPr>
            <w:r>
              <w:rPr>
                <w:sz w:val="14"/>
              </w:rPr>
              <w:t>240</w:t>
            </w:r>
          </w:p>
        </w:tc>
        <w:tc>
          <w:tcPr>
            <w:tcW w:w="630" w:type="dxa"/>
            <w:vAlign w:val="bottom"/>
          </w:tcPr>
          <w:p w:rsidR="00000000" w:rsidRDefault="00000000">
            <w:pPr>
              <w:pStyle w:val="SingleTxt"/>
              <w:spacing w:before="20" w:after="20" w:line="160" w:lineRule="exact"/>
              <w:ind w:left="0" w:right="43"/>
              <w:jc w:val="right"/>
              <w:rPr>
                <w:sz w:val="14"/>
              </w:rPr>
            </w:pPr>
            <w:r>
              <w:rPr>
                <w:sz w:val="14"/>
              </w:rPr>
              <w:t>392</w:t>
            </w:r>
          </w:p>
        </w:tc>
        <w:tc>
          <w:tcPr>
            <w:tcW w:w="720" w:type="dxa"/>
            <w:vAlign w:val="bottom"/>
          </w:tcPr>
          <w:p w:rsidR="00000000" w:rsidRDefault="00000000">
            <w:pPr>
              <w:pStyle w:val="SingleTxt"/>
              <w:spacing w:before="20" w:after="20" w:line="160" w:lineRule="exact"/>
              <w:ind w:left="0" w:right="43"/>
              <w:jc w:val="right"/>
              <w:rPr>
                <w:sz w:val="14"/>
              </w:rPr>
            </w:pPr>
            <w:r>
              <w:rPr>
                <w:sz w:val="14"/>
              </w:rPr>
              <w:t>3 050</w:t>
            </w:r>
          </w:p>
        </w:tc>
        <w:tc>
          <w:tcPr>
            <w:tcW w:w="900" w:type="dxa"/>
            <w:vAlign w:val="bottom"/>
          </w:tcPr>
          <w:p w:rsidR="00000000" w:rsidRDefault="00000000">
            <w:pPr>
              <w:pStyle w:val="SingleTxt"/>
              <w:spacing w:before="20" w:after="20" w:line="160" w:lineRule="exact"/>
              <w:ind w:left="0" w:right="43"/>
              <w:jc w:val="right"/>
              <w:rPr>
                <w:sz w:val="14"/>
              </w:rPr>
            </w:pPr>
            <w:r>
              <w:rPr>
                <w:sz w:val="14"/>
              </w:rPr>
              <w:t>589</w:t>
            </w:r>
          </w:p>
        </w:tc>
        <w:tc>
          <w:tcPr>
            <w:tcW w:w="810" w:type="dxa"/>
            <w:vAlign w:val="bottom"/>
          </w:tcPr>
          <w:p w:rsidR="00000000" w:rsidRDefault="00000000">
            <w:pPr>
              <w:pStyle w:val="SingleTxt"/>
              <w:spacing w:before="20" w:after="20" w:line="160" w:lineRule="exact"/>
              <w:ind w:left="0" w:right="43"/>
              <w:jc w:val="right"/>
              <w:rPr>
                <w:sz w:val="14"/>
              </w:rPr>
            </w:pPr>
            <w:r>
              <w:rPr>
                <w:sz w:val="14"/>
              </w:rPr>
              <w:t>1 810</w:t>
            </w:r>
          </w:p>
        </w:tc>
        <w:tc>
          <w:tcPr>
            <w:tcW w:w="744" w:type="dxa"/>
            <w:vAlign w:val="bottom"/>
          </w:tcPr>
          <w:p w:rsidR="00000000" w:rsidRDefault="00000000">
            <w:pPr>
              <w:pStyle w:val="SingleTxt"/>
              <w:spacing w:before="20" w:after="20" w:line="160" w:lineRule="exact"/>
              <w:ind w:left="0" w:right="43"/>
              <w:jc w:val="right"/>
              <w:rPr>
                <w:sz w:val="14"/>
              </w:rPr>
            </w:pPr>
            <w:r>
              <w:rPr>
                <w:sz w:val="14"/>
              </w:rPr>
              <w:t>2 399</w:t>
            </w:r>
          </w:p>
        </w:tc>
        <w:tc>
          <w:tcPr>
            <w:tcW w:w="810" w:type="dxa"/>
            <w:vAlign w:val="bottom"/>
          </w:tcPr>
          <w:p w:rsidR="00000000" w:rsidRDefault="00000000">
            <w:pPr>
              <w:pStyle w:val="SingleTxt"/>
              <w:spacing w:before="20" w:after="20" w:line="160" w:lineRule="exact"/>
              <w:ind w:left="0" w:right="43"/>
              <w:jc w:val="right"/>
              <w:rPr>
                <w:sz w:val="14"/>
              </w:rPr>
            </w:pPr>
            <w:r>
              <w:rPr>
                <w:sz w:val="14"/>
              </w:rPr>
              <w:t>148</w:t>
            </w:r>
          </w:p>
        </w:tc>
        <w:tc>
          <w:tcPr>
            <w:tcW w:w="810" w:type="dxa"/>
            <w:vAlign w:val="bottom"/>
          </w:tcPr>
          <w:p w:rsidR="00000000" w:rsidRDefault="00000000">
            <w:pPr>
              <w:pStyle w:val="SingleTxt"/>
              <w:spacing w:before="20" w:after="20" w:line="160" w:lineRule="exact"/>
              <w:ind w:left="0" w:right="43"/>
              <w:jc w:val="right"/>
              <w:rPr>
                <w:sz w:val="14"/>
              </w:rPr>
            </w:pPr>
            <w:r>
              <w:rPr>
                <w:sz w:val="14"/>
              </w:rPr>
              <w:t>262</w:t>
            </w:r>
          </w:p>
        </w:tc>
        <w:tc>
          <w:tcPr>
            <w:tcW w:w="630" w:type="dxa"/>
            <w:vAlign w:val="bottom"/>
          </w:tcPr>
          <w:p w:rsidR="00000000" w:rsidRDefault="00000000">
            <w:pPr>
              <w:pStyle w:val="SingleTxt"/>
              <w:spacing w:before="20" w:after="20" w:line="160" w:lineRule="exact"/>
              <w:ind w:left="0" w:right="43"/>
              <w:jc w:val="right"/>
              <w:rPr>
                <w:sz w:val="14"/>
              </w:rPr>
            </w:pPr>
            <w:r>
              <w:rPr>
                <w:sz w:val="14"/>
              </w:rPr>
              <w:t>410</w:t>
            </w:r>
          </w:p>
        </w:tc>
        <w:tc>
          <w:tcPr>
            <w:tcW w:w="720" w:type="dxa"/>
            <w:vAlign w:val="bottom"/>
          </w:tcPr>
          <w:p w:rsidR="00000000" w:rsidRDefault="00000000">
            <w:pPr>
              <w:pStyle w:val="SingleTxt"/>
              <w:spacing w:before="20" w:after="20" w:line="160" w:lineRule="exact"/>
              <w:ind w:left="0" w:right="43"/>
              <w:jc w:val="right"/>
              <w:rPr>
                <w:sz w:val="14"/>
              </w:rPr>
            </w:pPr>
            <w:r>
              <w:rPr>
                <w:sz w:val="14"/>
              </w:rPr>
              <w:t>2 809</w:t>
            </w:r>
          </w:p>
        </w:tc>
      </w:tr>
      <w:tr w:rsidR="00000000">
        <w:tblPrEx>
          <w:tblCellMar>
            <w:top w:w="0" w:type="dxa"/>
            <w:bottom w:w="0" w:type="dxa"/>
          </w:tblCellMar>
        </w:tblPrEx>
        <w:tc>
          <w:tcPr>
            <w:tcW w:w="1260" w:type="dxa"/>
            <w:vAlign w:val="bottom"/>
          </w:tcPr>
          <w:p w:rsidR="00000000" w:rsidRDefault="00000000">
            <w:pPr>
              <w:pStyle w:val="SingleTxt"/>
              <w:spacing w:before="20" w:after="20" w:line="160" w:lineRule="exact"/>
              <w:ind w:left="0" w:right="43"/>
              <w:rPr>
                <w:sz w:val="14"/>
              </w:rPr>
            </w:pPr>
            <w:r>
              <w:rPr>
                <w:sz w:val="14"/>
              </w:rPr>
              <w:t>Medicina</w:t>
            </w:r>
          </w:p>
        </w:tc>
        <w:tc>
          <w:tcPr>
            <w:tcW w:w="810" w:type="dxa"/>
            <w:vAlign w:val="bottom"/>
          </w:tcPr>
          <w:p w:rsidR="00000000" w:rsidRDefault="00000000">
            <w:pPr>
              <w:pStyle w:val="SingleTxt"/>
              <w:spacing w:before="20" w:after="20" w:line="160" w:lineRule="exact"/>
              <w:ind w:left="0" w:right="43"/>
              <w:jc w:val="right"/>
              <w:rPr>
                <w:sz w:val="14"/>
              </w:rPr>
            </w:pPr>
            <w:r>
              <w:rPr>
                <w:sz w:val="14"/>
              </w:rPr>
              <w:t>230</w:t>
            </w:r>
          </w:p>
        </w:tc>
        <w:tc>
          <w:tcPr>
            <w:tcW w:w="810" w:type="dxa"/>
            <w:vAlign w:val="bottom"/>
          </w:tcPr>
          <w:p w:rsidR="00000000" w:rsidRDefault="00000000">
            <w:pPr>
              <w:pStyle w:val="SingleTxt"/>
              <w:spacing w:before="20" w:after="20" w:line="160" w:lineRule="exact"/>
              <w:ind w:left="0" w:right="43"/>
              <w:jc w:val="right"/>
              <w:rPr>
                <w:sz w:val="14"/>
              </w:rPr>
            </w:pPr>
            <w:r>
              <w:rPr>
                <w:sz w:val="14"/>
              </w:rPr>
              <w:t>275</w:t>
            </w:r>
          </w:p>
        </w:tc>
        <w:tc>
          <w:tcPr>
            <w:tcW w:w="744" w:type="dxa"/>
            <w:vAlign w:val="bottom"/>
          </w:tcPr>
          <w:p w:rsidR="00000000" w:rsidRDefault="00000000">
            <w:pPr>
              <w:pStyle w:val="SingleTxt"/>
              <w:spacing w:before="20" w:after="20" w:line="160" w:lineRule="exact"/>
              <w:ind w:left="0" w:right="43"/>
              <w:jc w:val="right"/>
              <w:rPr>
                <w:sz w:val="14"/>
              </w:rPr>
            </w:pPr>
            <w:r>
              <w:rPr>
                <w:sz w:val="14"/>
              </w:rPr>
              <w:t>505</w:t>
            </w:r>
          </w:p>
        </w:tc>
        <w:tc>
          <w:tcPr>
            <w:tcW w:w="786" w:type="dxa"/>
            <w:vAlign w:val="bottom"/>
          </w:tcPr>
          <w:p w:rsidR="00000000" w:rsidRDefault="00000000">
            <w:pPr>
              <w:pStyle w:val="SingleTxt"/>
              <w:spacing w:before="20" w:after="20" w:line="160" w:lineRule="exact"/>
              <w:ind w:left="0" w:right="43"/>
              <w:jc w:val="right"/>
              <w:rPr>
                <w:sz w:val="14"/>
              </w:rPr>
            </w:pPr>
            <w:r>
              <w:rPr>
                <w:sz w:val="14"/>
              </w:rPr>
              <w:t>9</w:t>
            </w:r>
          </w:p>
        </w:tc>
        <w:tc>
          <w:tcPr>
            <w:tcW w:w="810" w:type="dxa"/>
            <w:vAlign w:val="bottom"/>
          </w:tcPr>
          <w:p w:rsidR="00000000" w:rsidRDefault="00000000">
            <w:pPr>
              <w:pStyle w:val="SingleTxt"/>
              <w:spacing w:before="20" w:after="20" w:line="160" w:lineRule="exact"/>
              <w:ind w:left="0" w:right="43"/>
              <w:jc w:val="right"/>
              <w:rPr>
                <w:sz w:val="14"/>
              </w:rPr>
            </w:pPr>
            <w:r>
              <w:rPr>
                <w:sz w:val="14"/>
              </w:rPr>
              <w:t>8</w:t>
            </w:r>
          </w:p>
        </w:tc>
        <w:tc>
          <w:tcPr>
            <w:tcW w:w="630" w:type="dxa"/>
            <w:vAlign w:val="bottom"/>
          </w:tcPr>
          <w:p w:rsidR="00000000" w:rsidRDefault="00000000">
            <w:pPr>
              <w:pStyle w:val="SingleTxt"/>
              <w:spacing w:before="20" w:after="20" w:line="160" w:lineRule="exact"/>
              <w:ind w:left="0" w:right="43"/>
              <w:jc w:val="right"/>
              <w:rPr>
                <w:sz w:val="14"/>
              </w:rPr>
            </w:pPr>
            <w:r>
              <w:rPr>
                <w:sz w:val="14"/>
              </w:rPr>
              <w:t>17</w:t>
            </w:r>
          </w:p>
        </w:tc>
        <w:tc>
          <w:tcPr>
            <w:tcW w:w="720" w:type="dxa"/>
            <w:vAlign w:val="bottom"/>
          </w:tcPr>
          <w:p w:rsidR="00000000" w:rsidRDefault="00000000">
            <w:pPr>
              <w:pStyle w:val="SingleTxt"/>
              <w:spacing w:before="20" w:after="20" w:line="160" w:lineRule="exact"/>
              <w:ind w:left="0" w:right="43"/>
              <w:jc w:val="right"/>
              <w:rPr>
                <w:sz w:val="14"/>
              </w:rPr>
            </w:pPr>
            <w:r>
              <w:rPr>
                <w:sz w:val="14"/>
              </w:rPr>
              <w:t>522</w:t>
            </w:r>
          </w:p>
        </w:tc>
        <w:tc>
          <w:tcPr>
            <w:tcW w:w="900" w:type="dxa"/>
            <w:vAlign w:val="bottom"/>
          </w:tcPr>
          <w:p w:rsidR="00000000" w:rsidRDefault="00000000">
            <w:pPr>
              <w:pStyle w:val="SingleTxt"/>
              <w:spacing w:before="20" w:after="20" w:line="160" w:lineRule="exact"/>
              <w:ind w:left="0" w:right="43"/>
              <w:jc w:val="right"/>
              <w:rPr>
                <w:sz w:val="14"/>
              </w:rPr>
            </w:pPr>
            <w:r>
              <w:rPr>
                <w:sz w:val="14"/>
              </w:rPr>
              <w:t>239</w:t>
            </w:r>
          </w:p>
        </w:tc>
        <w:tc>
          <w:tcPr>
            <w:tcW w:w="810" w:type="dxa"/>
            <w:vAlign w:val="bottom"/>
          </w:tcPr>
          <w:p w:rsidR="00000000" w:rsidRDefault="00000000">
            <w:pPr>
              <w:pStyle w:val="SingleTxt"/>
              <w:spacing w:before="20" w:after="20" w:line="160" w:lineRule="exact"/>
              <w:ind w:left="0" w:right="43"/>
              <w:jc w:val="right"/>
              <w:rPr>
                <w:sz w:val="14"/>
              </w:rPr>
            </w:pPr>
            <w:r>
              <w:rPr>
                <w:sz w:val="14"/>
              </w:rPr>
              <w:t>289</w:t>
            </w:r>
          </w:p>
        </w:tc>
        <w:tc>
          <w:tcPr>
            <w:tcW w:w="744" w:type="dxa"/>
            <w:vAlign w:val="bottom"/>
          </w:tcPr>
          <w:p w:rsidR="00000000" w:rsidRDefault="00000000">
            <w:pPr>
              <w:pStyle w:val="SingleTxt"/>
              <w:spacing w:before="20" w:after="20" w:line="160" w:lineRule="exact"/>
              <w:ind w:left="0" w:right="43"/>
              <w:jc w:val="right"/>
              <w:rPr>
                <w:sz w:val="14"/>
              </w:rPr>
            </w:pPr>
            <w:r>
              <w:rPr>
                <w:sz w:val="14"/>
              </w:rPr>
              <w:t>528</w:t>
            </w:r>
          </w:p>
        </w:tc>
        <w:tc>
          <w:tcPr>
            <w:tcW w:w="810" w:type="dxa"/>
            <w:vAlign w:val="bottom"/>
          </w:tcPr>
          <w:p w:rsidR="00000000" w:rsidRDefault="00000000">
            <w:pPr>
              <w:pStyle w:val="SingleTxt"/>
              <w:spacing w:before="20" w:after="20" w:line="160" w:lineRule="exact"/>
              <w:ind w:left="0" w:right="43"/>
              <w:jc w:val="right"/>
              <w:rPr>
                <w:sz w:val="14"/>
              </w:rPr>
            </w:pPr>
            <w:r>
              <w:rPr>
                <w:sz w:val="14"/>
              </w:rPr>
              <w:t>8</w:t>
            </w:r>
          </w:p>
        </w:tc>
        <w:tc>
          <w:tcPr>
            <w:tcW w:w="810" w:type="dxa"/>
            <w:vAlign w:val="bottom"/>
          </w:tcPr>
          <w:p w:rsidR="00000000" w:rsidRDefault="00000000">
            <w:pPr>
              <w:pStyle w:val="SingleTxt"/>
              <w:spacing w:before="20" w:after="20" w:line="160" w:lineRule="exact"/>
              <w:ind w:left="0" w:right="43"/>
              <w:jc w:val="right"/>
              <w:rPr>
                <w:sz w:val="14"/>
              </w:rPr>
            </w:pPr>
            <w:r>
              <w:rPr>
                <w:sz w:val="14"/>
              </w:rPr>
              <w:t>9</w:t>
            </w:r>
          </w:p>
        </w:tc>
        <w:tc>
          <w:tcPr>
            <w:tcW w:w="630" w:type="dxa"/>
            <w:vAlign w:val="bottom"/>
          </w:tcPr>
          <w:p w:rsidR="00000000" w:rsidRDefault="00000000">
            <w:pPr>
              <w:pStyle w:val="SingleTxt"/>
              <w:spacing w:before="20" w:after="20" w:line="160" w:lineRule="exact"/>
              <w:ind w:left="0" w:right="43"/>
              <w:jc w:val="right"/>
              <w:rPr>
                <w:sz w:val="14"/>
              </w:rPr>
            </w:pPr>
            <w:r>
              <w:rPr>
                <w:sz w:val="14"/>
              </w:rPr>
              <w:t>17</w:t>
            </w:r>
          </w:p>
        </w:tc>
        <w:tc>
          <w:tcPr>
            <w:tcW w:w="720" w:type="dxa"/>
            <w:vAlign w:val="bottom"/>
          </w:tcPr>
          <w:p w:rsidR="00000000" w:rsidRDefault="00000000">
            <w:pPr>
              <w:pStyle w:val="SingleTxt"/>
              <w:spacing w:before="20" w:after="20" w:line="160" w:lineRule="exact"/>
              <w:ind w:left="0" w:right="43"/>
              <w:jc w:val="right"/>
              <w:rPr>
                <w:sz w:val="14"/>
              </w:rPr>
            </w:pPr>
            <w:r>
              <w:rPr>
                <w:sz w:val="14"/>
              </w:rPr>
              <w:t>545</w:t>
            </w:r>
          </w:p>
        </w:tc>
      </w:tr>
      <w:tr w:rsidR="00000000">
        <w:tblPrEx>
          <w:tblCellMar>
            <w:top w:w="0" w:type="dxa"/>
            <w:bottom w:w="0" w:type="dxa"/>
          </w:tblCellMar>
        </w:tblPrEx>
        <w:tc>
          <w:tcPr>
            <w:tcW w:w="1260" w:type="dxa"/>
            <w:vAlign w:val="bottom"/>
          </w:tcPr>
          <w:p w:rsidR="00000000" w:rsidRDefault="00000000">
            <w:pPr>
              <w:pStyle w:val="SingleTxt"/>
              <w:spacing w:before="20" w:after="20" w:line="160" w:lineRule="exact"/>
              <w:ind w:left="0" w:right="43"/>
              <w:rPr>
                <w:sz w:val="14"/>
              </w:rPr>
            </w:pPr>
            <w:r>
              <w:rPr>
                <w:sz w:val="14"/>
              </w:rPr>
              <w:t>Ingeniería</w:t>
            </w:r>
          </w:p>
        </w:tc>
        <w:tc>
          <w:tcPr>
            <w:tcW w:w="810" w:type="dxa"/>
            <w:vAlign w:val="bottom"/>
          </w:tcPr>
          <w:p w:rsidR="00000000" w:rsidRDefault="00000000">
            <w:pPr>
              <w:pStyle w:val="SingleTxt"/>
              <w:spacing w:before="20" w:after="20" w:line="160" w:lineRule="exact"/>
              <w:ind w:left="0" w:right="43"/>
              <w:jc w:val="right"/>
              <w:rPr>
                <w:sz w:val="14"/>
              </w:rPr>
            </w:pPr>
            <w:r>
              <w:rPr>
                <w:sz w:val="14"/>
              </w:rPr>
              <w:t>2 442</w:t>
            </w:r>
          </w:p>
        </w:tc>
        <w:tc>
          <w:tcPr>
            <w:tcW w:w="810" w:type="dxa"/>
            <w:vAlign w:val="bottom"/>
          </w:tcPr>
          <w:p w:rsidR="00000000" w:rsidRDefault="00000000">
            <w:pPr>
              <w:pStyle w:val="SingleTxt"/>
              <w:spacing w:before="20" w:after="20" w:line="160" w:lineRule="exact"/>
              <w:ind w:left="0" w:right="43"/>
              <w:jc w:val="right"/>
              <w:rPr>
                <w:sz w:val="14"/>
              </w:rPr>
            </w:pPr>
            <w:r>
              <w:rPr>
                <w:sz w:val="14"/>
              </w:rPr>
              <w:t>1 024</w:t>
            </w:r>
          </w:p>
        </w:tc>
        <w:tc>
          <w:tcPr>
            <w:tcW w:w="744" w:type="dxa"/>
            <w:vAlign w:val="bottom"/>
          </w:tcPr>
          <w:p w:rsidR="00000000" w:rsidRDefault="00000000">
            <w:pPr>
              <w:pStyle w:val="SingleTxt"/>
              <w:spacing w:before="20" w:after="20" w:line="160" w:lineRule="exact"/>
              <w:ind w:left="0" w:right="43"/>
              <w:jc w:val="right"/>
              <w:rPr>
                <w:sz w:val="14"/>
              </w:rPr>
            </w:pPr>
            <w:r>
              <w:rPr>
                <w:sz w:val="14"/>
              </w:rPr>
              <w:t>2 466</w:t>
            </w:r>
          </w:p>
        </w:tc>
        <w:tc>
          <w:tcPr>
            <w:tcW w:w="786" w:type="dxa"/>
            <w:vAlign w:val="bottom"/>
          </w:tcPr>
          <w:p w:rsidR="00000000" w:rsidRDefault="00000000">
            <w:pPr>
              <w:pStyle w:val="SingleTxt"/>
              <w:spacing w:before="20" w:after="20" w:line="160" w:lineRule="exact"/>
              <w:ind w:left="0" w:right="43"/>
              <w:jc w:val="right"/>
              <w:rPr>
                <w:sz w:val="14"/>
              </w:rPr>
            </w:pPr>
            <w:r>
              <w:rPr>
                <w:sz w:val="14"/>
              </w:rPr>
              <w:t>135</w:t>
            </w:r>
          </w:p>
        </w:tc>
        <w:tc>
          <w:tcPr>
            <w:tcW w:w="810" w:type="dxa"/>
            <w:vAlign w:val="bottom"/>
          </w:tcPr>
          <w:p w:rsidR="00000000" w:rsidRDefault="00000000">
            <w:pPr>
              <w:pStyle w:val="SingleTxt"/>
              <w:spacing w:before="20" w:after="20" w:line="160" w:lineRule="exact"/>
              <w:ind w:left="0" w:right="43"/>
              <w:jc w:val="right"/>
              <w:rPr>
                <w:sz w:val="14"/>
              </w:rPr>
            </w:pPr>
            <w:r>
              <w:rPr>
                <w:sz w:val="14"/>
              </w:rPr>
              <w:t>51</w:t>
            </w:r>
          </w:p>
        </w:tc>
        <w:tc>
          <w:tcPr>
            <w:tcW w:w="630" w:type="dxa"/>
            <w:vAlign w:val="bottom"/>
          </w:tcPr>
          <w:p w:rsidR="00000000" w:rsidRDefault="00000000">
            <w:pPr>
              <w:pStyle w:val="SingleTxt"/>
              <w:spacing w:before="20" w:after="20" w:line="160" w:lineRule="exact"/>
              <w:ind w:left="0" w:right="43"/>
              <w:jc w:val="right"/>
              <w:rPr>
                <w:sz w:val="14"/>
              </w:rPr>
            </w:pPr>
            <w:r>
              <w:rPr>
                <w:sz w:val="14"/>
              </w:rPr>
              <w:t>186</w:t>
            </w:r>
          </w:p>
        </w:tc>
        <w:tc>
          <w:tcPr>
            <w:tcW w:w="720" w:type="dxa"/>
            <w:vAlign w:val="bottom"/>
          </w:tcPr>
          <w:p w:rsidR="00000000" w:rsidRDefault="00000000">
            <w:pPr>
              <w:pStyle w:val="SingleTxt"/>
              <w:spacing w:before="20" w:after="20" w:line="160" w:lineRule="exact"/>
              <w:ind w:left="0" w:right="43"/>
              <w:jc w:val="right"/>
              <w:rPr>
                <w:sz w:val="14"/>
              </w:rPr>
            </w:pPr>
            <w:r>
              <w:rPr>
                <w:sz w:val="14"/>
              </w:rPr>
              <w:t>2 652</w:t>
            </w:r>
          </w:p>
        </w:tc>
        <w:tc>
          <w:tcPr>
            <w:tcW w:w="900" w:type="dxa"/>
            <w:vAlign w:val="bottom"/>
          </w:tcPr>
          <w:p w:rsidR="00000000" w:rsidRDefault="00000000">
            <w:pPr>
              <w:pStyle w:val="SingleTxt"/>
              <w:spacing w:before="20" w:after="20" w:line="160" w:lineRule="exact"/>
              <w:ind w:left="0" w:right="43"/>
              <w:jc w:val="right"/>
              <w:rPr>
                <w:sz w:val="14"/>
              </w:rPr>
            </w:pPr>
            <w:r>
              <w:rPr>
                <w:sz w:val="14"/>
              </w:rPr>
              <w:t>1 310</w:t>
            </w:r>
          </w:p>
        </w:tc>
        <w:tc>
          <w:tcPr>
            <w:tcW w:w="810" w:type="dxa"/>
            <w:vAlign w:val="bottom"/>
          </w:tcPr>
          <w:p w:rsidR="00000000" w:rsidRDefault="00000000">
            <w:pPr>
              <w:pStyle w:val="SingleTxt"/>
              <w:spacing w:before="20" w:after="20" w:line="160" w:lineRule="exact"/>
              <w:ind w:left="0" w:right="43"/>
              <w:jc w:val="right"/>
              <w:rPr>
                <w:sz w:val="14"/>
              </w:rPr>
            </w:pPr>
            <w:r>
              <w:rPr>
                <w:sz w:val="14"/>
              </w:rPr>
              <w:t>959</w:t>
            </w:r>
          </w:p>
        </w:tc>
        <w:tc>
          <w:tcPr>
            <w:tcW w:w="744" w:type="dxa"/>
            <w:vAlign w:val="bottom"/>
          </w:tcPr>
          <w:p w:rsidR="00000000" w:rsidRDefault="00000000">
            <w:pPr>
              <w:pStyle w:val="SingleTxt"/>
              <w:spacing w:before="20" w:after="20" w:line="160" w:lineRule="exact"/>
              <w:ind w:left="0" w:right="43"/>
              <w:jc w:val="right"/>
              <w:rPr>
                <w:sz w:val="14"/>
              </w:rPr>
            </w:pPr>
            <w:r>
              <w:rPr>
                <w:sz w:val="14"/>
              </w:rPr>
              <w:t>2 269</w:t>
            </w:r>
          </w:p>
        </w:tc>
        <w:tc>
          <w:tcPr>
            <w:tcW w:w="810" w:type="dxa"/>
            <w:vAlign w:val="bottom"/>
          </w:tcPr>
          <w:p w:rsidR="00000000" w:rsidRDefault="00000000">
            <w:pPr>
              <w:pStyle w:val="SingleTxt"/>
              <w:spacing w:before="20" w:after="20" w:line="160" w:lineRule="exact"/>
              <w:ind w:left="0" w:right="43"/>
              <w:jc w:val="right"/>
              <w:rPr>
                <w:sz w:val="14"/>
              </w:rPr>
            </w:pPr>
            <w:r>
              <w:rPr>
                <w:sz w:val="14"/>
              </w:rPr>
              <w:t>116</w:t>
            </w:r>
          </w:p>
        </w:tc>
        <w:tc>
          <w:tcPr>
            <w:tcW w:w="810" w:type="dxa"/>
            <w:vAlign w:val="bottom"/>
          </w:tcPr>
          <w:p w:rsidR="00000000" w:rsidRDefault="00000000">
            <w:pPr>
              <w:pStyle w:val="SingleTxt"/>
              <w:spacing w:before="20" w:after="20" w:line="160" w:lineRule="exact"/>
              <w:ind w:left="0" w:right="43"/>
              <w:jc w:val="right"/>
              <w:rPr>
                <w:sz w:val="14"/>
              </w:rPr>
            </w:pPr>
            <w:r>
              <w:rPr>
                <w:sz w:val="14"/>
              </w:rPr>
              <w:t>51</w:t>
            </w:r>
          </w:p>
        </w:tc>
        <w:tc>
          <w:tcPr>
            <w:tcW w:w="630" w:type="dxa"/>
            <w:vAlign w:val="bottom"/>
          </w:tcPr>
          <w:p w:rsidR="00000000" w:rsidRDefault="00000000">
            <w:pPr>
              <w:pStyle w:val="SingleTxt"/>
              <w:spacing w:before="20" w:after="20" w:line="160" w:lineRule="exact"/>
              <w:ind w:left="0" w:right="43"/>
              <w:jc w:val="right"/>
              <w:rPr>
                <w:sz w:val="14"/>
              </w:rPr>
            </w:pPr>
            <w:r>
              <w:rPr>
                <w:sz w:val="14"/>
              </w:rPr>
              <w:t>167</w:t>
            </w:r>
          </w:p>
        </w:tc>
        <w:tc>
          <w:tcPr>
            <w:tcW w:w="720" w:type="dxa"/>
            <w:vAlign w:val="bottom"/>
          </w:tcPr>
          <w:p w:rsidR="00000000" w:rsidRDefault="00000000">
            <w:pPr>
              <w:pStyle w:val="SingleTxt"/>
              <w:spacing w:before="20" w:after="20" w:line="160" w:lineRule="exact"/>
              <w:ind w:left="0" w:right="43"/>
              <w:jc w:val="right"/>
              <w:rPr>
                <w:sz w:val="14"/>
              </w:rPr>
            </w:pPr>
            <w:r>
              <w:rPr>
                <w:sz w:val="14"/>
              </w:rPr>
              <w:t>2 436</w:t>
            </w:r>
          </w:p>
        </w:tc>
      </w:tr>
      <w:tr w:rsidR="00000000">
        <w:tblPrEx>
          <w:tblCellMar>
            <w:top w:w="0" w:type="dxa"/>
            <w:bottom w:w="0" w:type="dxa"/>
          </w:tblCellMar>
        </w:tblPrEx>
        <w:tc>
          <w:tcPr>
            <w:tcW w:w="1260" w:type="dxa"/>
            <w:vAlign w:val="bottom"/>
          </w:tcPr>
          <w:p w:rsidR="00000000" w:rsidRDefault="00000000">
            <w:pPr>
              <w:pStyle w:val="SingleTxt"/>
              <w:spacing w:before="20" w:after="20" w:line="160" w:lineRule="exact"/>
              <w:ind w:left="0" w:right="43"/>
              <w:rPr>
                <w:sz w:val="14"/>
              </w:rPr>
            </w:pPr>
            <w:r>
              <w:rPr>
                <w:sz w:val="14"/>
              </w:rPr>
              <w:t>Ciencia Médica</w:t>
            </w:r>
          </w:p>
        </w:tc>
        <w:tc>
          <w:tcPr>
            <w:tcW w:w="810" w:type="dxa"/>
            <w:vAlign w:val="bottom"/>
          </w:tcPr>
          <w:p w:rsidR="00000000" w:rsidRDefault="00000000">
            <w:pPr>
              <w:pStyle w:val="SingleTxt"/>
              <w:spacing w:before="20" w:after="20" w:line="160" w:lineRule="exact"/>
              <w:ind w:left="0" w:right="43"/>
              <w:jc w:val="right"/>
              <w:rPr>
                <w:sz w:val="14"/>
              </w:rPr>
            </w:pPr>
            <w:r>
              <w:rPr>
                <w:sz w:val="14"/>
              </w:rPr>
              <w:t>61</w:t>
            </w:r>
          </w:p>
        </w:tc>
        <w:tc>
          <w:tcPr>
            <w:tcW w:w="810" w:type="dxa"/>
            <w:vAlign w:val="bottom"/>
          </w:tcPr>
          <w:p w:rsidR="00000000" w:rsidRDefault="00000000">
            <w:pPr>
              <w:pStyle w:val="SingleTxt"/>
              <w:spacing w:before="20" w:after="20" w:line="160" w:lineRule="exact"/>
              <w:ind w:left="0" w:right="43"/>
              <w:jc w:val="right"/>
              <w:rPr>
                <w:sz w:val="14"/>
              </w:rPr>
            </w:pPr>
            <w:r>
              <w:rPr>
                <w:sz w:val="14"/>
              </w:rPr>
              <w:t>320</w:t>
            </w:r>
          </w:p>
        </w:tc>
        <w:tc>
          <w:tcPr>
            <w:tcW w:w="744" w:type="dxa"/>
            <w:vAlign w:val="bottom"/>
          </w:tcPr>
          <w:p w:rsidR="00000000" w:rsidRDefault="00000000">
            <w:pPr>
              <w:pStyle w:val="SingleTxt"/>
              <w:spacing w:before="20" w:after="20" w:line="160" w:lineRule="exact"/>
              <w:ind w:left="0" w:right="43"/>
              <w:jc w:val="right"/>
              <w:rPr>
                <w:sz w:val="14"/>
              </w:rPr>
            </w:pPr>
            <w:r>
              <w:rPr>
                <w:sz w:val="14"/>
              </w:rPr>
              <w:t>381</w:t>
            </w:r>
          </w:p>
        </w:tc>
        <w:tc>
          <w:tcPr>
            <w:tcW w:w="786" w:type="dxa"/>
            <w:vAlign w:val="bottom"/>
          </w:tcPr>
          <w:p w:rsidR="00000000" w:rsidRDefault="00000000">
            <w:pPr>
              <w:pStyle w:val="SingleTxt"/>
              <w:spacing w:before="20" w:after="20" w:line="160" w:lineRule="exact"/>
              <w:ind w:left="0" w:right="43"/>
              <w:jc w:val="right"/>
              <w:rPr>
                <w:sz w:val="14"/>
              </w:rPr>
            </w:pPr>
            <w:r>
              <w:rPr>
                <w:sz w:val="14"/>
              </w:rPr>
              <w:t>39</w:t>
            </w:r>
          </w:p>
        </w:tc>
        <w:tc>
          <w:tcPr>
            <w:tcW w:w="810" w:type="dxa"/>
            <w:vAlign w:val="bottom"/>
          </w:tcPr>
          <w:p w:rsidR="00000000" w:rsidRDefault="00000000">
            <w:pPr>
              <w:pStyle w:val="SingleTxt"/>
              <w:spacing w:before="20" w:after="20" w:line="160" w:lineRule="exact"/>
              <w:ind w:left="0" w:right="43"/>
              <w:jc w:val="right"/>
              <w:rPr>
                <w:sz w:val="14"/>
              </w:rPr>
            </w:pPr>
            <w:r>
              <w:rPr>
                <w:sz w:val="14"/>
              </w:rPr>
              <w:t>97</w:t>
            </w:r>
          </w:p>
        </w:tc>
        <w:tc>
          <w:tcPr>
            <w:tcW w:w="630" w:type="dxa"/>
            <w:vAlign w:val="bottom"/>
          </w:tcPr>
          <w:p w:rsidR="00000000" w:rsidRDefault="00000000">
            <w:pPr>
              <w:pStyle w:val="SingleTxt"/>
              <w:spacing w:before="20" w:after="20" w:line="160" w:lineRule="exact"/>
              <w:ind w:left="0" w:right="43"/>
              <w:jc w:val="right"/>
              <w:rPr>
                <w:sz w:val="14"/>
              </w:rPr>
            </w:pPr>
            <w:r>
              <w:rPr>
                <w:sz w:val="14"/>
              </w:rPr>
              <w:t>136</w:t>
            </w:r>
          </w:p>
        </w:tc>
        <w:tc>
          <w:tcPr>
            <w:tcW w:w="720" w:type="dxa"/>
            <w:vAlign w:val="bottom"/>
          </w:tcPr>
          <w:p w:rsidR="00000000" w:rsidRDefault="00000000">
            <w:pPr>
              <w:pStyle w:val="SingleTxt"/>
              <w:spacing w:before="20" w:after="20" w:line="160" w:lineRule="exact"/>
              <w:ind w:left="0" w:right="43"/>
              <w:jc w:val="right"/>
              <w:rPr>
                <w:sz w:val="14"/>
              </w:rPr>
            </w:pPr>
            <w:r>
              <w:rPr>
                <w:sz w:val="14"/>
              </w:rPr>
              <w:t>517</w:t>
            </w:r>
          </w:p>
        </w:tc>
        <w:tc>
          <w:tcPr>
            <w:tcW w:w="900" w:type="dxa"/>
            <w:vAlign w:val="bottom"/>
          </w:tcPr>
          <w:p w:rsidR="00000000" w:rsidRDefault="00000000">
            <w:pPr>
              <w:pStyle w:val="SingleTxt"/>
              <w:spacing w:before="20" w:after="20" w:line="160" w:lineRule="exact"/>
              <w:ind w:left="0" w:right="43"/>
              <w:jc w:val="right"/>
              <w:rPr>
                <w:sz w:val="14"/>
              </w:rPr>
            </w:pPr>
            <w:r>
              <w:rPr>
                <w:sz w:val="14"/>
              </w:rPr>
              <w:t>53</w:t>
            </w:r>
          </w:p>
        </w:tc>
        <w:tc>
          <w:tcPr>
            <w:tcW w:w="810" w:type="dxa"/>
            <w:vAlign w:val="bottom"/>
          </w:tcPr>
          <w:p w:rsidR="00000000" w:rsidRDefault="00000000">
            <w:pPr>
              <w:pStyle w:val="SingleTxt"/>
              <w:spacing w:before="20" w:after="20" w:line="160" w:lineRule="exact"/>
              <w:ind w:left="0" w:right="43"/>
              <w:jc w:val="right"/>
              <w:rPr>
                <w:sz w:val="14"/>
              </w:rPr>
            </w:pPr>
            <w:r>
              <w:rPr>
                <w:sz w:val="14"/>
              </w:rPr>
              <w:t>299</w:t>
            </w:r>
          </w:p>
        </w:tc>
        <w:tc>
          <w:tcPr>
            <w:tcW w:w="744" w:type="dxa"/>
            <w:vAlign w:val="bottom"/>
          </w:tcPr>
          <w:p w:rsidR="00000000" w:rsidRDefault="00000000">
            <w:pPr>
              <w:pStyle w:val="SingleTxt"/>
              <w:spacing w:before="20" w:after="20" w:line="160" w:lineRule="exact"/>
              <w:ind w:left="0" w:right="43"/>
              <w:jc w:val="right"/>
              <w:rPr>
                <w:sz w:val="14"/>
              </w:rPr>
            </w:pPr>
            <w:r>
              <w:rPr>
                <w:sz w:val="14"/>
              </w:rPr>
              <w:t>352</w:t>
            </w:r>
          </w:p>
        </w:tc>
        <w:tc>
          <w:tcPr>
            <w:tcW w:w="810" w:type="dxa"/>
            <w:vAlign w:val="bottom"/>
          </w:tcPr>
          <w:p w:rsidR="00000000" w:rsidRDefault="00000000">
            <w:pPr>
              <w:pStyle w:val="SingleTxt"/>
              <w:spacing w:before="20" w:after="20" w:line="160" w:lineRule="exact"/>
              <w:ind w:left="0" w:right="43"/>
              <w:jc w:val="right"/>
              <w:rPr>
                <w:sz w:val="14"/>
              </w:rPr>
            </w:pPr>
            <w:r>
              <w:rPr>
                <w:sz w:val="14"/>
              </w:rPr>
              <w:t>28</w:t>
            </w:r>
          </w:p>
        </w:tc>
        <w:tc>
          <w:tcPr>
            <w:tcW w:w="810" w:type="dxa"/>
            <w:vAlign w:val="bottom"/>
          </w:tcPr>
          <w:p w:rsidR="00000000" w:rsidRDefault="00000000">
            <w:pPr>
              <w:pStyle w:val="SingleTxt"/>
              <w:spacing w:before="20" w:after="20" w:line="160" w:lineRule="exact"/>
              <w:ind w:left="0" w:right="43"/>
              <w:jc w:val="right"/>
              <w:rPr>
                <w:sz w:val="14"/>
              </w:rPr>
            </w:pPr>
            <w:r>
              <w:rPr>
                <w:sz w:val="14"/>
              </w:rPr>
              <w:t>80</w:t>
            </w:r>
          </w:p>
        </w:tc>
        <w:tc>
          <w:tcPr>
            <w:tcW w:w="630" w:type="dxa"/>
            <w:vAlign w:val="bottom"/>
          </w:tcPr>
          <w:p w:rsidR="00000000" w:rsidRDefault="00000000">
            <w:pPr>
              <w:pStyle w:val="SingleTxt"/>
              <w:spacing w:before="20" w:after="20" w:line="160" w:lineRule="exact"/>
              <w:ind w:left="0" w:right="43"/>
              <w:jc w:val="right"/>
              <w:rPr>
                <w:sz w:val="14"/>
              </w:rPr>
            </w:pPr>
            <w:r>
              <w:rPr>
                <w:sz w:val="14"/>
              </w:rPr>
              <w:t>108</w:t>
            </w:r>
          </w:p>
        </w:tc>
        <w:tc>
          <w:tcPr>
            <w:tcW w:w="720" w:type="dxa"/>
            <w:vAlign w:val="bottom"/>
          </w:tcPr>
          <w:p w:rsidR="00000000" w:rsidRDefault="00000000">
            <w:pPr>
              <w:pStyle w:val="SingleTxt"/>
              <w:spacing w:before="20" w:after="20" w:line="160" w:lineRule="exact"/>
              <w:ind w:left="0" w:right="43"/>
              <w:jc w:val="right"/>
              <w:rPr>
                <w:sz w:val="14"/>
              </w:rPr>
            </w:pPr>
            <w:r>
              <w:rPr>
                <w:sz w:val="14"/>
              </w:rPr>
              <w:t>460</w:t>
            </w:r>
          </w:p>
        </w:tc>
      </w:tr>
      <w:tr w:rsidR="00000000">
        <w:tblPrEx>
          <w:tblCellMar>
            <w:top w:w="0" w:type="dxa"/>
            <w:bottom w:w="0" w:type="dxa"/>
          </w:tblCellMar>
        </w:tblPrEx>
        <w:tc>
          <w:tcPr>
            <w:tcW w:w="1260" w:type="dxa"/>
            <w:vAlign w:val="bottom"/>
          </w:tcPr>
          <w:p w:rsidR="00000000" w:rsidRDefault="00000000">
            <w:pPr>
              <w:pStyle w:val="SingleTxt"/>
              <w:spacing w:before="20" w:after="20" w:line="160" w:lineRule="exact"/>
              <w:ind w:left="0" w:right="43"/>
              <w:rPr>
                <w:sz w:val="14"/>
              </w:rPr>
            </w:pPr>
            <w:r>
              <w:rPr>
                <w:sz w:val="14"/>
              </w:rPr>
              <w:t>Educación</w:t>
            </w:r>
          </w:p>
        </w:tc>
        <w:tc>
          <w:tcPr>
            <w:tcW w:w="810" w:type="dxa"/>
            <w:vAlign w:val="bottom"/>
          </w:tcPr>
          <w:p w:rsidR="00000000" w:rsidRDefault="00000000">
            <w:pPr>
              <w:pStyle w:val="SingleTxt"/>
              <w:spacing w:before="20" w:after="20" w:line="160" w:lineRule="exact"/>
              <w:ind w:left="0" w:right="43"/>
              <w:jc w:val="right"/>
              <w:rPr>
                <w:sz w:val="14"/>
              </w:rPr>
            </w:pPr>
            <w:r>
              <w:rPr>
                <w:sz w:val="14"/>
              </w:rPr>
              <w:t>502</w:t>
            </w:r>
          </w:p>
        </w:tc>
        <w:tc>
          <w:tcPr>
            <w:tcW w:w="810" w:type="dxa"/>
            <w:vAlign w:val="bottom"/>
          </w:tcPr>
          <w:p w:rsidR="00000000" w:rsidRDefault="00000000">
            <w:pPr>
              <w:pStyle w:val="SingleTxt"/>
              <w:spacing w:before="20" w:after="20" w:line="160" w:lineRule="exact"/>
              <w:ind w:left="0" w:right="43"/>
              <w:jc w:val="right"/>
              <w:rPr>
                <w:sz w:val="14"/>
              </w:rPr>
            </w:pPr>
            <w:r>
              <w:rPr>
                <w:sz w:val="14"/>
              </w:rPr>
              <w:t>2 637</w:t>
            </w:r>
          </w:p>
        </w:tc>
        <w:tc>
          <w:tcPr>
            <w:tcW w:w="744" w:type="dxa"/>
            <w:vAlign w:val="bottom"/>
          </w:tcPr>
          <w:p w:rsidR="00000000" w:rsidRDefault="00000000">
            <w:pPr>
              <w:pStyle w:val="SingleTxt"/>
              <w:spacing w:before="20" w:after="20" w:line="160" w:lineRule="exact"/>
              <w:ind w:left="0" w:right="43"/>
              <w:jc w:val="right"/>
              <w:rPr>
                <w:sz w:val="14"/>
              </w:rPr>
            </w:pPr>
            <w:r>
              <w:rPr>
                <w:sz w:val="14"/>
              </w:rPr>
              <w:t>3 139</w:t>
            </w:r>
          </w:p>
        </w:tc>
        <w:tc>
          <w:tcPr>
            <w:tcW w:w="786" w:type="dxa"/>
            <w:vAlign w:val="bottom"/>
          </w:tcPr>
          <w:p w:rsidR="00000000" w:rsidRDefault="00000000">
            <w:pPr>
              <w:pStyle w:val="SingleTxt"/>
              <w:spacing w:before="20" w:after="20" w:line="160" w:lineRule="exact"/>
              <w:ind w:left="0" w:right="43"/>
              <w:jc w:val="right"/>
              <w:rPr>
                <w:sz w:val="14"/>
              </w:rPr>
            </w:pPr>
            <w:r>
              <w:rPr>
                <w:sz w:val="14"/>
              </w:rPr>
              <w:t>117</w:t>
            </w:r>
          </w:p>
        </w:tc>
        <w:tc>
          <w:tcPr>
            <w:tcW w:w="810" w:type="dxa"/>
            <w:vAlign w:val="bottom"/>
          </w:tcPr>
          <w:p w:rsidR="00000000" w:rsidRDefault="00000000">
            <w:pPr>
              <w:pStyle w:val="SingleTxt"/>
              <w:spacing w:before="20" w:after="20" w:line="160" w:lineRule="exact"/>
              <w:ind w:left="0" w:right="43"/>
              <w:jc w:val="right"/>
              <w:rPr>
                <w:sz w:val="14"/>
              </w:rPr>
            </w:pPr>
            <w:r>
              <w:rPr>
                <w:sz w:val="14"/>
              </w:rPr>
              <w:t>303</w:t>
            </w:r>
          </w:p>
        </w:tc>
        <w:tc>
          <w:tcPr>
            <w:tcW w:w="630" w:type="dxa"/>
            <w:vAlign w:val="bottom"/>
          </w:tcPr>
          <w:p w:rsidR="00000000" w:rsidRDefault="00000000">
            <w:pPr>
              <w:pStyle w:val="SingleTxt"/>
              <w:spacing w:before="20" w:after="20" w:line="160" w:lineRule="exact"/>
              <w:ind w:left="0" w:right="43"/>
              <w:jc w:val="right"/>
              <w:rPr>
                <w:sz w:val="14"/>
              </w:rPr>
            </w:pPr>
            <w:r>
              <w:rPr>
                <w:sz w:val="14"/>
              </w:rPr>
              <w:t>420</w:t>
            </w:r>
          </w:p>
        </w:tc>
        <w:tc>
          <w:tcPr>
            <w:tcW w:w="720" w:type="dxa"/>
            <w:vAlign w:val="bottom"/>
          </w:tcPr>
          <w:p w:rsidR="00000000" w:rsidRDefault="00000000">
            <w:pPr>
              <w:pStyle w:val="SingleTxt"/>
              <w:spacing w:before="20" w:after="20" w:line="160" w:lineRule="exact"/>
              <w:ind w:left="0" w:right="43"/>
              <w:jc w:val="right"/>
              <w:rPr>
                <w:sz w:val="14"/>
              </w:rPr>
            </w:pPr>
            <w:r>
              <w:rPr>
                <w:sz w:val="14"/>
              </w:rPr>
              <w:t>3 559</w:t>
            </w:r>
          </w:p>
        </w:tc>
        <w:tc>
          <w:tcPr>
            <w:tcW w:w="900" w:type="dxa"/>
            <w:vAlign w:val="bottom"/>
          </w:tcPr>
          <w:p w:rsidR="00000000" w:rsidRDefault="00000000">
            <w:pPr>
              <w:pStyle w:val="SingleTxt"/>
              <w:spacing w:before="20" w:after="20" w:line="160" w:lineRule="exact"/>
              <w:ind w:left="0" w:right="43"/>
              <w:jc w:val="right"/>
              <w:rPr>
                <w:sz w:val="14"/>
              </w:rPr>
            </w:pPr>
            <w:r>
              <w:rPr>
                <w:sz w:val="14"/>
              </w:rPr>
              <w:t>487</w:t>
            </w:r>
          </w:p>
        </w:tc>
        <w:tc>
          <w:tcPr>
            <w:tcW w:w="810" w:type="dxa"/>
            <w:vAlign w:val="bottom"/>
          </w:tcPr>
          <w:p w:rsidR="00000000" w:rsidRDefault="00000000">
            <w:pPr>
              <w:pStyle w:val="SingleTxt"/>
              <w:spacing w:before="20" w:after="20" w:line="160" w:lineRule="exact"/>
              <w:ind w:left="0" w:right="43"/>
              <w:jc w:val="right"/>
              <w:rPr>
                <w:sz w:val="14"/>
              </w:rPr>
            </w:pPr>
            <w:r>
              <w:rPr>
                <w:sz w:val="14"/>
              </w:rPr>
              <w:t>2 383</w:t>
            </w:r>
          </w:p>
        </w:tc>
        <w:tc>
          <w:tcPr>
            <w:tcW w:w="744" w:type="dxa"/>
            <w:vAlign w:val="bottom"/>
          </w:tcPr>
          <w:p w:rsidR="00000000" w:rsidRDefault="00000000">
            <w:pPr>
              <w:pStyle w:val="SingleTxt"/>
              <w:spacing w:before="20" w:after="20" w:line="160" w:lineRule="exact"/>
              <w:ind w:left="0" w:right="43"/>
              <w:jc w:val="right"/>
              <w:rPr>
                <w:sz w:val="14"/>
              </w:rPr>
            </w:pPr>
            <w:r>
              <w:rPr>
                <w:sz w:val="14"/>
              </w:rPr>
              <w:t>2 870</w:t>
            </w:r>
          </w:p>
        </w:tc>
        <w:tc>
          <w:tcPr>
            <w:tcW w:w="810" w:type="dxa"/>
            <w:vAlign w:val="bottom"/>
          </w:tcPr>
          <w:p w:rsidR="00000000" w:rsidRDefault="00000000">
            <w:pPr>
              <w:pStyle w:val="SingleTxt"/>
              <w:spacing w:before="20" w:after="20" w:line="160" w:lineRule="exact"/>
              <w:ind w:left="0" w:right="43"/>
              <w:jc w:val="right"/>
              <w:rPr>
                <w:sz w:val="14"/>
              </w:rPr>
            </w:pPr>
            <w:r>
              <w:rPr>
                <w:sz w:val="14"/>
              </w:rPr>
              <w:t>109</w:t>
            </w:r>
          </w:p>
        </w:tc>
        <w:tc>
          <w:tcPr>
            <w:tcW w:w="810" w:type="dxa"/>
            <w:vAlign w:val="bottom"/>
          </w:tcPr>
          <w:p w:rsidR="00000000" w:rsidRDefault="00000000">
            <w:pPr>
              <w:pStyle w:val="SingleTxt"/>
              <w:spacing w:before="20" w:after="20" w:line="160" w:lineRule="exact"/>
              <w:ind w:left="0" w:right="43"/>
              <w:jc w:val="right"/>
              <w:rPr>
                <w:sz w:val="14"/>
              </w:rPr>
            </w:pPr>
            <w:r>
              <w:rPr>
                <w:sz w:val="14"/>
              </w:rPr>
              <w:t>299</w:t>
            </w:r>
          </w:p>
        </w:tc>
        <w:tc>
          <w:tcPr>
            <w:tcW w:w="630" w:type="dxa"/>
            <w:vAlign w:val="bottom"/>
          </w:tcPr>
          <w:p w:rsidR="00000000" w:rsidRDefault="00000000">
            <w:pPr>
              <w:pStyle w:val="SingleTxt"/>
              <w:spacing w:before="20" w:after="20" w:line="160" w:lineRule="exact"/>
              <w:ind w:left="0" w:right="43"/>
              <w:jc w:val="right"/>
              <w:rPr>
                <w:sz w:val="14"/>
              </w:rPr>
            </w:pPr>
            <w:r>
              <w:rPr>
                <w:sz w:val="14"/>
              </w:rPr>
              <w:t>408</w:t>
            </w:r>
          </w:p>
        </w:tc>
        <w:tc>
          <w:tcPr>
            <w:tcW w:w="720" w:type="dxa"/>
            <w:vAlign w:val="bottom"/>
          </w:tcPr>
          <w:p w:rsidR="00000000" w:rsidRDefault="00000000">
            <w:pPr>
              <w:pStyle w:val="SingleTxt"/>
              <w:spacing w:before="20" w:after="20" w:line="160" w:lineRule="exact"/>
              <w:ind w:left="0" w:right="43"/>
              <w:jc w:val="right"/>
              <w:rPr>
                <w:sz w:val="14"/>
              </w:rPr>
            </w:pPr>
            <w:r>
              <w:rPr>
                <w:sz w:val="14"/>
              </w:rPr>
              <w:t>3 278</w:t>
            </w:r>
          </w:p>
        </w:tc>
      </w:tr>
      <w:tr w:rsidR="00000000">
        <w:tblPrEx>
          <w:tblCellMar>
            <w:top w:w="0" w:type="dxa"/>
            <w:bottom w:w="0" w:type="dxa"/>
          </w:tblCellMar>
        </w:tblPrEx>
        <w:tc>
          <w:tcPr>
            <w:tcW w:w="1260" w:type="dxa"/>
            <w:vAlign w:val="bottom"/>
          </w:tcPr>
          <w:p w:rsidR="00000000" w:rsidRDefault="00000000">
            <w:pPr>
              <w:pStyle w:val="SingleTxt"/>
              <w:spacing w:before="20" w:after="20" w:line="160" w:lineRule="exact"/>
              <w:ind w:left="0" w:right="43"/>
              <w:rPr>
                <w:sz w:val="14"/>
              </w:rPr>
            </w:pPr>
            <w:r>
              <w:rPr>
                <w:sz w:val="14"/>
              </w:rPr>
              <w:t>Derecho Isl</w:t>
            </w:r>
            <w:r>
              <w:rPr>
                <w:sz w:val="14"/>
              </w:rPr>
              <w:t>á</w:t>
            </w:r>
            <w:r>
              <w:rPr>
                <w:sz w:val="14"/>
              </w:rPr>
              <w:t>mico</w:t>
            </w:r>
          </w:p>
        </w:tc>
        <w:tc>
          <w:tcPr>
            <w:tcW w:w="810" w:type="dxa"/>
            <w:vAlign w:val="bottom"/>
          </w:tcPr>
          <w:p w:rsidR="00000000" w:rsidRDefault="00000000">
            <w:pPr>
              <w:pStyle w:val="SingleTxt"/>
              <w:spacing w:before="20" w:after="20" w:line="160" w:lineRule="exact"/>
              <w:ind w:left="0" w:right="43"/>
              <w:jc w:val="right"/>
              <w:rPr>
                <w:sz w:val="14"/>
              </w:rPr>
            </w:pPr>
            <w:r>
              <w:rPr>
                <w:sz w:val="14"/>
              </w:rPr>
              <w:t>545</w:t>
            </w:r>
          </w:p>
        </w:tc>
        <w:tc>
          <w:tcPr>
            <w:tcW w:w="810" w:type="dxa"/>
            <w:vAlign w:val="bottom"/>
          </w:tcPr>
          <w:p w:rsidR="00000000" w:rsidRDefault="00000000">
            <w:pPr>
              <w:pStyle w:val="SingleTxt"/>
              <w:spacing w:before="20" w:after="20" w:line="160" w:lineRule="exact"/>
              <w:ind w:left="0" w:right="43"/>
              <w:jc w:val="right"/>
              <w:rPr>
                <w:sz w:val="14"/>
              </w:rPr>
            </w:pPr>
            <w:r>
              <w:rPr>
                <w:sz w:val="14"/>
              </w:rPr>
              <w:t>846</w:t>
            </w:r>
          </w:p>
        </w:tc>
        <w:tc>
          <w:tcPr>
            <w:tcW w:w="744" w:type="dxa"/>
            <w:vAlign w:val="bottom"/>
          </w:tcPr>
          <w:p w:rsidR="00000000" w:rsidRDefault="00000000">
            <w:pPr>
              <w:pStyle w:val="SingleTxt"/>
              <w:spacing w:before="20" w:after="20" w:line="160" w:lineRule="exact"/>
              <w:ind w:left="0" w:right="43"/>
              <w:jc w:val="right"/>
              <w:rPr>
                <w:sz w:val="14"/>
              </w:rPr>
            </w:pPr>
            <w:r>
              <w:rPr>
                <w:sz w:val="14"/>
              </w:rPr>
              <w:t>1 391</w:t>
            </w:r>
          </w:p>
        </w:tc>
        <w:tc>
          <w:tcPr>
            <w:tcW w:w="786" w:type="dxa"/>
            <w:vAlign w:val="bottom"/>
          </w:tcPr>
          <w:p w:rsidR="00000000" w:rsidRDefault="00000000">
            <w:pPr>
              <w:pStyle w:val="SingleTxt"/>
              <w:spacing w:before="20" w:after="20" w:line="160" w:lineRule="exact"/>
              <w:ind w:left="0" w:right="43"/>
              <w:jc w:val="right"/>
              <w:rPr>
                <w:sz w:val="14"/>
              </w:rPr>
            </w:pPr>
            <w:r>
              <w:rPr>
                <w:sz w:val="14"/>
              </w:rPr>
              <w:t>60</w:t>
            </w:r>
          </w:p>
        </w:tc>
        <w:tc>
          <w:tcPr>
            <w:tcW w:w="810" w:type="dxa"/>
            <w:vAlign w:val="bottom"/>
          </w:tcPr>
          <w:p w:rsidR="00000000" w:rsidRDefault="00000000">
            <w:pPr>
              <w:pStyle w:val="SingleTxt"/>
              <w:spacing w:before="20" w:after="20" w:line="160" w:lineRule="exact"/>
              <w:ind w:left="0" w:right="43"/>
              <w:jc w:val="right"/>
              <w:rPr>
                <w:sz w:val="14"/>
              </w:rPr>
            </w:pPr>
            <w:r>
              <w:rPr>
                <w:sz w:val="14"/>
              </w:rPr>
              <w:t>76</w:t>
            </w:r>
          </w:p>
        </w:tc>
        <w:tc>
          <w:tcPr>
            <w:tcW w:w="630" w:type="dxa"/>
            <w:vAlign w:val="bottom"/>
          </w:tcPr>
          <w:p w:rsidR="00000000" w:rsidRDefault="00000000">
            <w:pPr>
              <w:pStyle w:val="SingleTxt"/>
              <w:spacing w:before="20" w:after="20" w:line="160" w:lineRule="exact"/>
              <w:ind w:left="0" w:right="43"/>
              <w:jc w:val="right"/>
              <w:rPr>
                <w:sz w:val="14"/>
              </w:rPr>
            </w:pPr>
            <w:r>
              <w:rPr>
                <w:sz w:val="14"/>
              </w:rPr>
              <w:t>136</w:t>
            </w:r>
          </w:p>
        </w:tc>
        <w:tc>
          <w:tcPr>
            <w:tcW w:w="720" w:type="dxa"/>
            <w:vAlign w:val="bottom"/>
          </w:tcPr>
          <w:p w:rsidR="00000000" w:rsidRDefault="00000000">
            <w:pPr>
              <w:pStyle w:val="SingleTxt"/>
              <w:spacing w:before="20" w:after="20" w:line="160" w:lineRule="exact"/>
              <w:ind w:left="0" w:right="43"/>
              <w:jc w:val="right"/>
              <w:rPr>
                <w:sz w:val="14"/>
              </w:rPr>
            </w:pPr>
            <w:r>
              <w:rPr>
                <w:sz w:val="14"/>
              </w:rPr>
              <w:t>1 527</w:t>
            </w:r>
          </w:p>
        </w:tc>
        <w:tc>
          <w:tcPr>
            <w:tcW w:w="900" w:type="dxa"/>
            <w:vAlign w:val="bottom"/>
          </w:tcPr>
          <w:p w:rsidR="00000000" w:rsidRDefault="00000000">
            <w:pPr>
              <w:pStyle w:val="SingleTxt"/>
              <w:spacing w:before="20" w:after="20" w:line="160" w:lineRule="exact"/>
              <w:ind w:left="0" w:right="43"/>
              <w:jc w:val="right"/>
              <w:rPr>
                <w:sz w:val="14"/>
              </w:rPr>
            </w:pPr>
            <w:r>
              <w:rPr>
                <w:sz w:val="14"/>
              </w:rPr>
              <w:t>538</w:t>
            </w:r>
          </w:p>
        </w:tc>
        <w:tc>
          <w:tcPr>
            <w:tcW w:w="810" w:type="dxa"/>
            <w:vAlign w:val="bottom"/>
          </w:tcPr>
          <w:p w:rsidR="00000000" w:rsidRDefault="00000000">
            <w:pPr>
              <w:pStyle w:val="SingleTxt"/>
              <w:spacing w:before="20" w:after="20" w:line="160" w:lineRule="exact"/>
              <w:ind w:left="0" w:right="43"/>
              <w:jc w:val="right"/>
              <w:rPr>
                <w:sz w:val="14"/>
              </w:rPr>
            </w:pPr>
            <w:r>
              <w:rPr>
                <w:sz w:val="14"/>
              </w:rPr>
              <w:t>777</w:t>
            </w:r>
          </w:p>
        </w:tc>
        <w:tc>
          <w:tcPr>
            <w:tcW w:w="744" w:type="dxa"/>
            <w:vAlign w:val="bottom"/>
          </w:tcPr>
          <w:p w:rsidR="00000000" w:rsidRDefault="00000000">
            <w:pPr>
              <w:pStyle w:val="SingleTxt"/>
              <w:spacing w:before="20" w:after="20" w:line="160" w:lineRule="exact"/>
              <w:ind w:left="0" w:right="43"/>
              <w:jc w:val="right"/>
              <w:rPr>
                <w:sz w:val="14"/>
              </w:rPr>
            </w:pPr>
            <w:r>
              <w:rPr>
                <w:sz w:val="14"/>
              </w:rPr>
              <w:t>1 315</w:t>
            </w:r>
          </w:p>
        </w:tc>
        <w:tc>
          <w:tcPr>
            <w:tcW w:w="810" w:type="dxa"/>
            <w:vAlign w:val="bottom"/>
          </w:tcPr>
          <w:p w:rsidR="00000000" w:rsidRDefault="00000000">
            <w:pPr>
              <w:pStyle w:val="SingleTxt"/>
              <w:spacing w:before="20" w:after="20" w:line="160" w:lineRule="exact"/>
              <w:ind w:left="0" w:right="43"/>
              <w:jc w:val="right"/>
              <w:rPr>
                <w:sz w:val="14"/>
              </w:rPr>
            </w:pPr>
            <w:r>
              <w:rPr>
                <w:sz w:val="14"/>
              </w:rPr>
              <w:t>71</w:t>
            </w:r>
          </w:p>
        </w:tc>
        <w:tc>
          <w:tcPr>
            <w:tcW w:w="810" w:type="dxa"/>
            <w:vAlign w:val="bottom"/>
          </w:tcPr>
          <w:p w:rsidR="00000000" w:rsidRDefault="00000000">
            <w:pPr>
              <w:pStyle w:val="SingleTxt"/>
              <w:spacing w:before="20" w:after="20" w:line="160" w:lineRule="exact"/>
              <w:ind w:left="0" w:right="43"/>
              <w:jc w:val="right"/>
              <w:rPr>
                <w:sz w:val="14"/>
              </w:rPr>
            </w:pPr>
            <w:r>
              <w:rPr>
                <w:sz w:val="14"/>
              </w:rPr>
              <w:t>76</w:t>
            </w:r>
          </w:p>
        </w:tc>
        <w:tc>
          <w:tcPr>
            <w:tcW w:w="630" w:type="dxa"/>
            <w:vAlign w:val="bottom"/>
          </w:tcPr>
          <w:p w:rsidR="00000000" w:rsidRDefault="00000000">
            <w:pPr>
              <w:pStyle w:val="SingleTxt"/>
              <w:spacing w:before="20" w:after="20" w:line="160" w:lineRule="exact"/>
              <w:ind w:left="0" w:right="43"/>
              <w:jc w:val="right"/>
              <w:rPr>
                <w:sz w:val="14"/>
              </w:rPr>
            </w:pPr>
            <w:r>
              <w:rPr>
                <w:sz w:val="14"/>
              </w:rPr>
              <w:t>147</w:t>
            </w:r>
          </w:p>
        </w:tc>
        <w:tc>
          <w:tcPr>
            <w:tcW w:w="720" w:type="dxa"/>
            <w:vAlign w:val="bottom"/>
          </w:tcPr>
          <w:p w:rsidR="00000000" w:rsidRDefault="00000000">
            <w:pPr>
              <w:pStyle w:val="SingleTxt"/>
              <w:spacing w:before="20" w:after="20" w:line="160" w:lineRule="exact"/>
              <w:ind w:left="0" w:right="43"/>
              <w:jc w:val="right"/>
              <w:rPr>
                <w:sz w:val="14"/>
              </w:rPr>
            </w:pPr>
            <w:r>
              <w:rPr>
                <w:sz w:val="14"/>
              </w:rPr>
              <w:t>1 462</w:t>
            </w:r>
          </w:p>
        </w:tc>
      </w:tr>
      <w:tr w:rsidR="00000000">
        <w:tblPrEx>
          <w:tblCellMar>
            <w:top w:w="0" w:type="dxa"/>
            <w:bottom w:w="0" w:type="dxa"/>
          </w:tblCellMar>
        </w:tblPrEx>
        <w:tc>
          <w:tcPr>
            <w:tcW w:w="1260" w:type="dxa"/>
            <w:vAlign w:val="bottom"/>
          </w:tcPr>
          <w:p w:rsidR="00000000" w:rsidRDefault="00000000">
            <w:pPr>
              <w:pStyle w:val="SingleTxt"/>
              <w:spacing w:before="20" w:after="20" w:line="160" w:lineRule="exact"/>
              <w:ind w:left="0" w:right="43"/>
              <w:rPr>
                <w:sz w:val="14"/>
              </w:rPr>
            </w:pPr>
            <w:r>
              <w:rPr>
                <w:sz w:val="14"/>
              </w:rPr>
              <w:t>Ciencias Admi</w:t>
            </w:r>
            <w:r>
              <w:rPr>
                <w:sz w:val="14"/>
              </w:rPr>
              <w:br/>
              <w:t>nistrativas</w:t>
            </w:r>
          </w:p>
        </w:tc>
        <w:tc>
          <w:tcPr>
            <w:tcW w:w="810" w:type="dxa"/>
            <w:vAlign w:val="bottom"/>
          </w:tcPr>
          <w:p w:rsidR="00000000" w:rsidRDefault="00000000">
            <w:pPr>
              <w:pStyle w:val="SingleTxt"/>
              <w:spacing w:before="20" w:after="20" w:line="160" w:lineRule="exact"/>
              <w:ind w:left="0" w:right="43"/>
              <w:jc w:val="right"/>
              <w:rPr>
                <w:sz w:val="14"/>
              </w:rPr>
            </w:pPr>
            <w:r>
              <w:rPr>
                <w:sz w:val="14"/>
              </w:rPr>
              <w:t>178</w:t>
            </w:r>
          </w:p>
        </w:tc>
        <w:tc>
          <w:tcPr>
            <w:tcW w:w="810" w:type="dxa"/>
            <w:vAlign w:val="bottom"/>
          </w:tcPr>
          <w:p w:rsidR="00000000" w:rsidRDefault="00000000">
            <w:pPr>
              <w:pStyle w:val="SingleTxt"/>
              <w:spacing w:before="20" w:after="20" w:line="160" w:lineRule="exact"/>
              <w:ind w:left="0" w:right="43"/>
              <w:jc w:val="right"/>
              <w:rPr>
                <w:sz w:val="14"/>
              </w:rPr>
            </w:pPr>
            <w:r>
              <w:rPr>
                <w:sz w:val="14"/>
              </w:rPr>
              <w:t>402</w:t>
            </w:r>
          </w:p>
        </w:tc>
        <w:tc>
          <w:tcPr>
            <w:tcW w:w="744" w:type="dxa"/>
            <w:vAlign w:val="bottom"/>
          </w:tcPr>
          <w:p w:rsidR="00000000" w:rsidRDefault="00000000">
            <w:pPr>
              <w:pStyle w:val="SingleTxt"/>
              <w:spacing w:before="20" w:after="20" w:line="160" w:lineRule="exact"/>
              <w:ind w:left="0" w:right="43"/>
              <w:jc w:val="right"/>
              <w:rPr>
                <w:sz w:val="14"/>
              </w:rPr>
            </w:pPr>
            <w:r>
              <w:rPr>
                <w:sz w:val="14"/>
              </w:rPr>
              <w:t>580</w:t>
            </w:r>
          </w:p>
        </w:tc>
        <w:tc>
          <w:tcPr>
            <w:tcW w:w="786" w:type="dxa"/>
            <w:vAlign w:val="bottom"/>
          </w:tcPr>
          <w:p w:rsidR="00000000" w:rsidRDefault="00000000">
            <w:pPr>
              <w:pStyle w:val="SingleTxt"/>
              <w:spacing w:before="20" w:after="20" w:line="160" w:lineRule="exact"/>
              <w:ind w:left="0" w:right="43"/>
              <w:jc w:val="right"/>
              <w:rPr>
                <w:sz w:val="14"/>
              </w:rPr>
            </w:pPr>
            <w:r>
              <w:rPr>
                <w:sz w:val="14"/>
              </w:rPr>
              <w:t>21</w:t>
            </w:r>
          </w:p>
        </w:tc>
        <w:tc>
          <w:tcPr>
            <w:tcW w:w="810" w:type="dxa"/>
            <w:vAlign w:val="bottom"/>
          </w:tcPr>
          <w:p w:rsidR="00000000" w:rsidRDefault="00000000">
            <w:pPr>
              <w:pStyle w:val="SingleTxt"/>
              <w:spacing w:before="20" w:after="20" w:line="160" w:lineRule="exact"/>
              <w:ind w:left="0" w:right="43"/>
              <w:jc w:val="right"/>
              <w:rPr>
                <w:sz w:val="14"/>
              </w:rPr>
            </w:pPr>
            <w:r>
              <w:rPr>
                <w:sz w:val="14"/>
              </w:rPr>
              <w:t>25</w:t>
            </w:r>
          </w:p>
        </w:tc>
        <w:tc>
          <w:tcPr>
            <w:tcW w:w="630" w:type="dxa"/>
            <w:vAlign w:val="bottom"/>
          </w:tcPr>
          <w:p w:rsidR="00000000" w:rsidRDefault="00000000">
            <w:pPr>
              <w:pStyle w:val="SingleTxt"/>
              <w:spacing w:before="20" w:after="20" w:line="160" w:lineRule="exact"/>
              <w:ind w:left="0" w:right="43"/>
              <w:jc w:val="right"/>
              <w:rPr>
                <w:sz w:val="14"/>
              </w:rPr>
            </w:pPr>
            <w:r>
              <w:rPr>
                <w:sz w:val="14"/>
              </w:rPr>
              <w:t>46</w:t>
            </w:r>
          </w:p>
        </w:tc>
        <w:tc>
          <w:tcPr>
            <w:tcW w:w="720" w:type="dxa"/>
            <w:vAlign w:val="bottom"/>
          </w:tcPr>
          <w:p w:rsidR="00000000" w:rsidRDefault="00000000">
            <w:pPr>
              <w:pStyle w:val="SingleTxt"/>
              <w:spacing w:before="20" w:after="20" w:line="160" w:lineRule="exact"/>
              <w:ind w:left="0" w:right="43"/>
              <w:jc w:val="right"/>
              <w:rPr>
                <w:sz w:val="14"/>
              </w:rPr>
            </w:pPr>
            <w:r>
              <w:rPr>
                <w:sz w:val="14"/>
              </w:rPr>
              <w:t>626</w:t>
            </w:r>
          </w:p>
        </w:tc>
        <w:tc>
          <w:tcPr>
            <w:tcW w:w="900" w:type="dxa"/>
            <w:vAlign w:val="bottom"/>
          </w:tcPr>
          <w:p w:rsidR="00000000" w:rsidRDefault="00000000">
            <w:pPr>
              <w:pStyle w:val="SingleTxt"/>
              <w:spacing w:before="20" w:after="20" w:line="160" w:lineRule="exact"/>
              <w:ind w:left="0" w:right="43"/>
              <w:jc w:val="right"/>
              <w:rPr>
                <w:sz w:val="14"/>
              </w:rPr>
            </w:pPr>
            <w:r>
              <w:rPr>
                <w:sz w:val="14"/>
              </w:rPr>
              <w:t>213</w:t>
            </w:r>
          </w:p>
        </w:tc>
        <w:tc>
          <w:tcPr>
            <w:tcW w:w="810" w:type="dxa"/>
            <w:vAlign w:val="bottom"/>
          </w:tcPr>
          <w:p w:rsidR="00000000" w:rsidRDefault="00000000">
            <w:pPr>
              <w:pStyle w:val="SingleTxt"/>
              <w:spacing w:before="20" w:after="20" w:line="160" w:lineRule="exact"/>
              <w:ind w:left="0" w:right="43"/>
              <w:jc w:val="right"/>
              <w:rPr>
                <w:sz w:val="14"/>
              </w:rPr>
            </w:pPr>
            <w:r>
              <w:rPr>
                <w:sz w:val="14"/>
              </w:rPr>
              <w:t>427</w:t>
            </w:r>
          </w:p>
        </w:tc>
        <w:tc>
          <w:tcPr>
            <w:tcW w:w="744" w:type="dxa"/>
            <w:vAlign w:val="bottom"/>
          </w:tcPr>
          <w:p w:rsidR="00000000" w:rsidRDefault="00000000">
            <w:pPr>
              <w:pStyle w:val="SingleTxt"/>
              <w:spacing w:before="20" w:after="20" w:line="160" w:lineRule="exact"/>
              <w:ind w:left="0" w:right="43"/>
              <w:jc w:val="right"/>
              <w:rPr>
                <w:sz w:val="14"/>
              </w:rPr>
            </w:pPr>
            <w:r>
              <w:rPr>
                <w:sz w:val="14"/>
              </w:rPr>
              <w:t>640</w:t>
            </w:r>
          </w:p>
        </w:tc>
        <w:tc>
          <w:tcPr>
            <w:tcW w:w="810" w:type="dxa"/>
            <w:vAlign w:val="bottom"/>
          </w:tcPr>
          <w:p w:rsidR="00000000" w:rsidRDefault="00000000">
            <w:pPr>
              <w:pStyle w:val="SingleTxt"/>
              <w:spacing w:before="20" w:after="20" w:line="160" w:lineRule="exact"/>
              <w:ind w:left="0" w:right="43"/>
              <w:jc w:val="right"/>
              <w:rPr>
                <w:sz w:val="14"/>
              </w:rPr>
            </w:pPr>
            <w:r>
              <w:rPr>
                <w:sz w:val="14"/>
              </w:rPr>
              <w:t>26</w:t>
            </w:r>
          </w:p>
        </w:tc>
        <w:tc>
          <w:tcPr>
            <w:tcW w:w="810" w:type="dxa"/>
            <w:vAlign w:val="bottom"/>
          </w:tcPr>
          <w:p w:rsidR="00000000" w:rsidRDefault="00000000">
            <w:pPr>
              <w:pStyle w:val="SingleTxt"/>
              <w:spacing w:before="20" w:after="20" w:line="160" w:lineRule="exact"/>
              <w:ind w:left="0" w:right="43"/>
              <w:jc w:val="right"/>
              <w:rPr>
                <w:sz w:val="14"/>
              </w:rPr>
            </w:pPr>
            <w:r>
              <w:rPr>
                <w:sz w:val="14"/>
              </w:rPr>
              <w:t>26</w:t>
            </w:r>
          </w:p>
        </w:tc>
        <w:tc>
          <w:tcPr>
            <w:tcW w:w="630" w:type="dxa"/>
            <w:vAlign w:val="bottom"/>
          </w:tcPr>
          <w:p w:rsidR="00000000" w:rsidRDefault="00000000">
            <w:pPr>
              <w:pStyle w:val="SingleTxt"/>
              <w:spacing w:before="20" w:after="20" w:line="160" w:lineRule="exact"/>
              <w:ind w:left="0" w:right="43"/>
              <w:jc w:val="right"/>
              <w:rPr>
                <w:sz w:val="14"/>
              </w:rPr>
            </w:pPr>
            <w:r>
              <w:rPr>
                <w:sz w:val="14"/>
              </w:rPr>
              <w:t>52</w:t>
            </w:r>
          </w:p>
        </w:tc>
        <w:tc>
          <w:tcPr>
            <w:tcW w:w="720" w:type="dxa"/>
            <w:vAlign w:val="bottom"/>
          </w:tcPr>
          <w:p w:rsidR="00000000" w:rsidRDefault="00000000">
            <w:pPr>
              <w:pStyle w:val="SingleTxt"/>
              <w:spacing w:before="20" w:after="20" w:line="160" w:lineRule="exact"/>
              <w:ind w:left="0" w:right="43"/>
              <w:jc w:val="right"/>
              <w:rPr>
                <w:sz w:val="14"/>
              </w:rPr>
            </w:pPr>
            <w:r>
              <w:rPr>
                <w:sz w:val="14"/>
              </w:rPr>
              <w:t>692</w:t>
            </w:r>
          </w:p>
        </w:tc>
      </w:tr>
      <w:tr w:rsidR="00000000">
        <w:tblPrEx>
          <w:tblCellMar>
            <w:top w:w="0" w:type="dxa"/>
            <w:bottom w:w="0" w:type="dxa"/>
          </w:tblCellMar>
        </w:tblPrEx>
        <w:tc>
          <w:tcPr>
            <w:tcW w:w="1260"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rPr>
                <w:b/>
                <w:sz w:val="14"/>
              </w:rPr>
            </w:pPr>
            <w:r>
              <w:rPr>
                <w:b/>
                <w:sz w:val="14"/>
              </w:rPr>
              <w:t>Total</w:t>
            </w:r>
          </w:p>
        </w:tc>
        <w:tc>
          <w:tcPr>
            <w:tcW w:w="810"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5 836</w:t>
            </w:r>
          </w:p>
        </w:tc>
        <w:tc>
          <w:tcPr>
            <w:tcW w:w="810"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11 799</w:t>
            </w:r>
          </w:p>
        </w:tc>
        <w:tc>
          <w:tcPr>
            <w:tcW w:w="744"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17 635</w:t>
            </w:r>
          </w:p>
        </w:tc>
        <w:tc>
          <w:tcPr>
            <w:tcW w:w="786"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758</w:t>
            </w:r>
          </w:p>
        </w:tc>
        <w:tc>
          <w:tcPr>
            <w:tcW w:w="810"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1 063</w:t>
            </w:r>
          </w:p>
        </w:tc>
        <w:tc>
          <w:tcPr>
            <w:tcW w:w="630"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1 821</w:t>
            </w:r>
          </w:p>
        </w:tc>
        <w:tc>
          <w:tcPr>
            <w:tcW w:w="720"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19 456</w:t>
            </w:r>
          </w:p>
        </w:tc>
        <w:tc>
          <w:tcPr>
            <w:tcW w:w="900"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5 377</w:t>
            </w:r>
          </w:p>
        </w:tc>
        <w:tc>
          <w:tcPr>
            <w:tcW w:w="810"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10 773</w:t>
            </w:r>
          </w:p>
        </w:tc>
        <w:tc>
          <w:tcPr>
            <w:tcW w:w="744"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16 150</w:t>
            </w:r>
          </w:p>
        </w:tc>
        <w:tc>
          <w:tcPr>
            <w:tcW w:w="810"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712</w:t>
            </w:r>
          </w:p>
        </w:tc>
        <w:tc>
          <w:tcPr>
            <w:tcW w:w="810"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1 041</w:t>
            </w:r>
          </w:p>
        </w:tc>
        <w:tc>
          <w:tcPr>
            <w:tcW w:w="630"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1 753</w:t>
            </w:r>
          </w:p>
        </w:tc>
        <w:tc>
          <w:tcPr>
            <w:tcW w:w="720" w:type="dxa"/>
            <w:tcBorders>
              <w:top w:val="single" w:sz="4" w:space="0" w:color="auto"/>
              <w:bottom w:val="single" w:sz="12" w:space="0" w:color="auto"/>
            </w:tcBorders>
            <w:vAlign w:val="bottom"/>
          </w:tcPr>
          <w:p w:rsidR="00000000" w:rsidRDefault="00000000">
            <w:pPr>
              <w:pStyle w:val="SingleTxt"/>
              <w:spacing w:before="20" w:after="20" w:line="160" w:lineRule="exact"/>
              <w:ind w:left="0" w:right="43"/>
              <w:jc w:val="right"/>
              <w:rPr>
                <w:b/>
                <w:sz w:val="14"/>
              </w:rPr>
            </w:pPr>
            <w:r>
              <w:rPr>
                <w:b/>
                <w:sz w:val="14"/>
              </w:rPr>
              <w:t>17 903</w:t>
            </w:r>
          </w:p>
        </w:tc>
      </w:tr>
    </w:tbl>
    <w:p w:rsidR="00000000" w:rsidRDefault="00000000">
      <w:pPr>
        <w:pStyle w:val="SingleTxt"/>
        <w:spacing w:after="0" w:line="120" w:lineRule="exact"/>
        <w:rPr>
          <w:sz w:val="10"/>
        </w:rPr>
      </w:pPr>
    </w:p>
    <w:p w:rsidR="00000000" w:rsidRDefault="00000000">
      <w:pPr>
        <w:pStyle w:val="SingleTxt"/>
        <w:spacing w:after="0" w:line="240" w:lineRule="auto"/>
      </w:pPr>
    </w:p>
    <w:p w:rsidR="00000000" w:rsidRDefault="00000000">
      <w:pPr>
        <w:pStyle w:val="SingleTxt"/>
        <w:spacing w:after="0" w:line="240" w:lineRule="auto"/>
      </w:pPr>
    </w:p>
    <w:p w:rsidR="00000000" w:rsidRDefault="00000000">
      <w:pPr>
        <w:pStyle w:val="SingleTxt"/>
        <w:spacing w:after="0" w:line="240" w:lineRule="auto"/>
        <w:rPr>
          <w:sz w:val="18"/>
        </w:rPr>
      </w:pPr>
      <w:r>
        <w:rPr>
          <w:sz w:val="18"/>
        </w:rPr>
        <w:t>Cuadro 2. Cantidad de integrantes del cuerpo docente en el año lectivo 1996/97</w:t>
      </w:r>
    </w:p>
    <w:p w:rsidR="00000000" w:rsidRDefault="00000000">
      <w:pPr>
        <w:pStyle w:val="SingleTxt"/>
        <w:spacing w:after="0" w:line="240" w:lineRule="auto"/>
        <w:rPr>
          <w:sz w:val="10"/>
        </w:rPr>
      </w:pPr>
    </w:p>
    <w:tbl>
      <w:tblPr>
        <w:tblW w:w="0" w:type="auto"/>
        <w:jc w:val="center"/>
        <w:tblLayout w:type="fixed"/>
        <w:tblLook w:val="0000" w:firstRow="0" w:lastRow="0" w:firstColumn="0" w:lastColumn="0" w:noHBand="0" w:noVBand="0"/>
      </w:tblPr>
      <w:tblGrid>
        <w:gridCol w:w="1260"/>
        <w:gridCol w:w="876"/>
        <w:gridCol w:w="744"/>
        <w:gridCol w:w="696"/>
        <w:gridCol w:w="900"/>
        <w:gridCol w:w="810"/>
        <w:gridCol w:w="662"/>
        <w:gridCol w:w="688"/>
        <w:gridCol w:w="900"/>
        <w:gridCol w:w="810"/>
        <w:gridCol w:w="630"/>
        <w:gridCol w:w="810"/>
        <w:gridCol w:w="810"/>
        <w:gridCol w:w="630"/>
        <w:gridCol w:w="630"/>
      </w:tblGrid>
      <w:tr w:rsidR="00000000">
        <w:tblPrEx>
          <w:tblCellMar>
            <w:top w:w="0" w:type="dxa"/>
            <w:bottom w:w="0" w:type="dxa"/>
          </w:tblCellMar>
        </w:tblPrEx>
        <w:trPr>
          <w:cantSplit/>
          <w:tblHeader/>
          <w:jc w:val="center"/>
        </w:trPr>
        <w:tc>
          <w:tcPr>
            <w:tcW w:w="1260" w:type="dxa"/>
            <w:vMerge w:val="restart"/>
            <w:tcBorders>
              <w:top w:val="single" w:sz="4" w:space="0" w:color="auto"/>
            </w:tcBorders>
            <w:vAlign w:val="bottom"/>
          </w:tcPr>
          <w:p w:rsidR="00000000" w:rsidRDefault="00000000">
            <w:pPr>
              <w:pStyle w:val="SingleTxt"/>
              <w:spacing w:before="40" w:after="40" w:line="160" w:lineRule="exact"/>
              <w:ind w:left="0" w:right="14"/>
              <w:rPr>
                <w:i/>
                <w:sz w:val="14"/>
              </w:rPr>
            </w:pPr>
            <w:r>
              <w:rPr>
                <w:i/>
                <w:sz w:val="14"/>
              </w:rPr>
              <w:t>Facultad</w:t>
            </w:r>
          </w:p>
        </w:tc>
        <w:tc>
          <w:tcPr>
            <w:tcW w:w="10596" w:type="dxa"/>
            <w:gridSpan w:val="14"/>
            <w:tcBorders>
              <w:top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Cantidad real</w:t>
            </w:r>
          </w:p>
        </w:tc>
      </w:tr>
      <w:tr w:rsidR="00000000">
        <w:tblPrEx>
          <w:tblCellMar>
            <w:top w:w="0" w:type="dxa"/>
            <w:bottom w:w="0" w:type="dxa"/>
          </w:tblCellMar>
        </w:tblPrEx>
        <w:trPr>
          <w:cantSplit/>
          <w:tblHeader/>
          <w:jc w:val="center"/>
        </w:trPr>
        <w:tc>
          <w:tcPr>
            <w:tcW w:w="1260" w:type="dxa"/>
            <w:vMerge/>
            <w:tcBorders>
              <w:top w:val="single" w:sz="4" w:space="0" w:color="auto"/>
            </w:tcBorders>
            <w:vAlign w:val="bottom"/>
          </w:tcPr>
          <w:p w:rsidR="00000000" w:rsidRDefault="00000000">
            <w:pPr>
              <w:pStyle w:val="SingleTxt"/>
              <w:spacing w:before="40" w:after="40" w:line="160" w:lineRule="exact"/>
              <w:ind w:left="0" w:right="14"/>
              <w:jc w:val="center"/>
              <w:rPr>
                <w:i/>
                <w:sz w:val="14"/>
              </w:rPr>
            </w:pPr>
          </w:p>
        </w:tc>
        <w:tc>
          <w:tcPr>
            <w:tcW w:w="5376" w:type="dxa"/>
            <w:gridSpan w:val="7"/>
            <w:tcBorders>
              <w:top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Primera clase</w:t>
            </w:r>
          </w:p>
        </w:tc>
        <w:tc>
          <w:tcPr>
            <w:tcW w:w="5220" w:type="dxa"/>
            <w:gridSpan w:val="7"/>
            <w:tcBorders>
              <w:top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Segunda clase</w:t>
            </w:r>
          </w:p>
        </w:tc>
      </w:tr>
      <w:tr w:rsidR="00000000">
        <w:tblPrEx>
          <w:tblCellMar>
            <w:top w:w="0" w:type="dxa"/>
            <w:bottom w:w="0" w:type="dxa"/>
          </w:tblCellMar>
        </w:tblPrEx>
        <w:trPr>
          <w:cantSplit/>
          <w:tblHeader/>
          <w:jc w:val="center"/>
        </w:trPr>
        <w:tc>
          <w:tcPr>
            <w:tcW w:w="1260" w:type="dxa"/>
            <w:vMerge/>
            <w:tcBorders>
              <w:top w:val="single" w:sz="4" w:space="0" w:color="auto"/>
            </w:tcBorders>
            <w:vAlign w:val="bottom"/>
          </w:tcPr>
          <w:p w:rsidR="00000000" w:rsidRDefault="00000000">
            <w:pPr>
              <w:pStyle w:val="SingleTxt"/>
              <w:spacing w:before="40" w:after="40" w:line="160" w:lineRule="exact"/>
              <w:ind w:left="0" w:right="14"/>
              <w:jc w:val="center"/>
              <w:rPr>
                <w:i/>
                <w:sz w:val="14"/>
              </w:rPr>
            </w:pPr>
          </w:p>
        </w:tc>
        <w:tc>
          <w:tcPr>
            <w:tcW w:w="2316" w:type="dxa"/>
            <w:gridSpan w:val="3"/>
            <w:tcBorders>
              <w:top w:val="single" w:sz="4" w:space="0" w:color="auto"/>
              <w:bottom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Kuwaitíes</w:t>
            </w:r>
          </w:p>
        </w:tc>
        <w:tc>
          <w:tcPr>
            <w:tcW w:w="2372" w:type="dxa"/>
            <w:gridSpan w:val="3"/>
            <w:tcBorders>
              <w:top w:val="single" w:sz="4" w:space="0" w:color="auto"/>
              <w:bottom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No kuwaitíes</w:t>
            </w:r>
          </w:p>
        </w:tc>
        <w:tc>
          <w:tcPr>
            <w:tcW w:w="688" w:type="dxa"/>
            <w:tcBorders>
              <w:top w:val="single" w:sz="4" w:space="0" w:color="auto"/>
            </w:tcBorders>
            <w:vAlign w:val="bottom"/>
          </w:tcPr>
          <w:p w:rsidR="00000000" w:rsidRDefault="00000000">
            <w:pPr>
              <w:pStyle w:val="SingleTxt"/>
              <w:spacing w:before="40" w:after="40" w:line="160" w:lineRule="exact"/>
              <w:ind w:left="0" w:right="14"/>
              <w:jc w:val="center"/>
              <w:rPr>
                <w:i/>
                <w:sz w:val="14"/>
              </w:rPr>
            </w:pPr>
          </w:p>
        </w:tc>
        <w:tc>
          <w:tcPr>
            <w:tcW w:w="2340" w:type="dxa"/>
            <w:gridSpan w:val="3"/>
            <w:tcBorders>
              <w:top w:val="single" w:sz="4" w:space="0" w:color="auto"/>
              <w:bottom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Kuwaitíes</w:t>
            </w:r>
          </w:p>
        </w:tc>
        <w:tc>
          <w:tcPr>
            <w:tcW w:w="2250" w:type="dxa"/>
            <w:gridSpan w:val="3"/>
            <w:tcBorders>
              <w:top w:val="single" w:sz="4" w:space="0" w:color="auto"/>
              <w:bottom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No kuwaitíes</w:t>
            </w:r>
          </w:p>
        </w:tc>
        <w:tc>
          <w:tcPr>
            <w:tcW w:w="630" w:type="dxa"/>
            <w:vMerge w:val="restart"/>
            <w:tcBorders>
              <w:top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Total</w:t>
            </w:r>
          </w:p>
        </w:tc>
      </w:tr>
      <w:tr w:rsidR="00000000">
        <w:tblPrEx>
          <w:tblCellMar>
            <w:top w:w="0" w:type="dxa"/>
            <w:bottom w:w="0" w:type="dxa"/>
          </w:tblCellMar>
        </w:tblPrEx>
        <w:trPr>
          <w:cantSplit/>
          <w:tblHeader/>
          <w:jc w:val="center"/>
        </w:trPr>
        <w:tc>
          <w:tcPr>
            <w:tcW w:w="1260" w:type="dxa"/>
            <w:vMerge/>
            <w:vAlign w:val="bottom"/>
          </w:tcPr>
          <w:p w:rsidR="00000000" w:rsidRDefault="00000000">
            <w:pPr>
              <w:pStyle w:val="SingleTxt"/>
              <w:spacing w:before="40" w:after="40" w:line="160" w:lineRule="exact"/>
              <w:ind w:left="0" w:right="14"/>
              <w:jc w:val="center"/>
              <w:rPr>
                <w:i/>
                <w:sz w:val="14"/>
              </w:rPr>
            </w:pPr>
          </w:p>
        </w:tc>
        <w:tc>
          <w:tcPr>
            <w:tcW w:w="876" w:type="dxa"/>
            <w:tcBorders>
              <w:bottom w:val="single" w:sz="12" w:space="0" w:color="auto"/>
            </w:tcBorders>
            <w:vAlign w:val="bottom"/>
          </w:tcPr>
          <w:p w:rsidR="00000000" w:rsidRDefault="00000000">
            <w:pPr>
              <w:pStyle w:val="SingleTxt"/>
              <w:spacing w:before="40" w:after="40" w:line="160" w:lineRule="exact"/>
              <w:ind w:left="0" w:right="14"/>
              <w:jc w:val="center"/>
              <w:rPr>
                <w:i/>
                <w:sz w:val="14"/>
              </w:rPr>
            </w:pPr>
            <w:r>
              <w:rPr>
                <w:i/>
                <w:sz w:val="14"/>
              </w:rPr>
              <w:t>Hombres</w:t>
            </w:r>
          </w:p>
        </w:tc>
        <w:tc>
          <w:tcPr>
            <w:tcW w:w="744" w:type="dxa"/>
            <w:tcBorders>
              <w:bottom w:val="single" w:sz="12" w:space="0" w:color="auto"/>
            </w:tcBorders>
            <w:vAlign w:val="bottom"/>
          </w:tcPr>
          <w:p w:rsidR="00000000" w:rsidRDefault="00000000">
            <w:pPr>
              <w:pStyle w:val="SingleTxt"/>
              <w:spacing w:before="40" w:after="40" w:line="160" w:lineRule="exact"/>
              <w:ind w:left="0" w:right="14"/>
              <w:jc w:val="center"/>
              <w:rPr>
                <w:i/>
                <w:sz w:val="14"/>
              </w:rPr>
            </w:pPr>
            <w:r>
              <w:rPr>
                <w:i/>
                <w:sz w:val="14"/>
              </w:rPr>
              <w:t>Mujeres</w:t>
            </w:r>
          </w:p>
        </w:tc>
        <w:tc>
          <w:tcPr>
            <w:tcW w:w="696" w:type="dxa"/>
            <w:tcBorders>
              <w:bottom w:val="single" w:sz="12" w:space="0" w:color="auto"/>
            </w:tcBorders>
            <w:vAlign w:val="bottom"/>
          </w:tcPr>
          <w:p w:rsidR="00000000" w:rsidRDefault="00000000">
            <w:pPr>
              <w:pStyle w:val="SingleTxt"/>
              <w:spacing w:before="40" w:after="40" w:line="160" w:lineRule="exact"/>
              <w:ind w:left="0" w:right="14"/>
              <w:jc w:val="center"/>
              <w:rPr>
                <w:i/>
                <w:sz w:val="14"/>
              </w:rPr>
            </w:pPr>
            <w:r>
              <w:rPr>
                <w:i/>
                <w:sz w:val="14"/>
              </w:rPr>
              <w:t>Total</w:t>
            </w:r>
          </w:p>
        </w:tc>
        <w:tc>
          <w:tcPr>
            <w:tcW w:w="900" w:type="dxa"/>
            <w:tcBorders>
              <w:bottom w:val="single" w:sz="12" w:space="0" w:color="auto"/>
            </w:tcBorders>
            <w:vAlign w:val="bottom"/>
          </w:tcPr>
          <w:p w:rsidR="00000000" w:rsidRDefault="00000000">
            <w:pPr>
              <w:pStyle w:val="SingleTxt"/>
              <w:spacing w:before="40" w:after="40" w:line="160" w:lineRule="exact"/>
              <w:ind w:left="0" w:right="14"/>
              <w:jc w:val="center"/>
              <w:rPr>
                <w:i/>
                <w:sz w:val="14"/>
              </w:rPr>
            </w:pPr>
            <w:r>
              <w:rPr>
                <w:i/>
                <w:sz w:val="14"/>
              </w:rPr>
              <w:t>Hombres</w:t>
            </w:r>
          </w:p>
        </w:tc>
        <w:tc>
          <w:tcPr>
            <w:tcW w:w="810" w:type="dxa"/>
            <w:tcBorders>
              <w:bottom w:val="single" w:sz="12" w:space="0" w:color="auto"/>
            </w:tcBorders>
            <w:vAlign w:val="bottom"/>
          </w:tcPr>
          <w:p w:rsidR="00000000" w:rsidRDefault="00000000">
            <w:pPr>
              <w:pStyle w:val="SingleTxt"/>
              <w:spacing w:before="40" w:after="40" w:line="160" w:lineRule="exact"/>
              <w:ind w:left="0" w:right="14"/>
              <w:jc w:val="center"/>
              <w:rPr>
                <w:i/>
                <w:sz w:val="14"/>
              </w:rPr>
            </w:pPr>
            <w:r>
              <w:rPr>
                <w:i/>
                <w:sz w:val="14"/>
              </w:rPr>
              <w:t>Mujeres</w:t>
            </w:r>
          </w:p>
        </w:tc>
        <w:tc>
          <w:tcPr>
            <w:tcW w:w="662" w:type="dxa"/>
            <w:tcBorders>
              <w:bottom w:val="single" w:sz="12" w:space="0" w:color="auto"/>
            </w:tcBorders>
            <w:vAlign w:val="bottom"/>
          </w:tcPr>
          <w:p w:rsidR="00000000" w:rsidRDefault="00000000">
            <w:pPr>
              <w:pStyle w:val="SingleTxt"/>
              <w:spacing w:before="40" w:after="40" w:line="160" w:lineRule="exact"/>
              <w:ind w:left="0" w:right="14"/>
              <w:jc w:val="center"/>
              <w:rPr>
                <w:i/>
                <w:sz w:val="14"/>
              </w:rPr>
            </w:pPr>
            <w:r>
              <w:rPr>
                <w:i/>
                <w:sz w:val="14"/>
              </w:rPr>
              <w:t>Total</w:t>
            </w:r>
          </w:p>
        </w:tc>
        <w:tc>
          <w:tcPr>
            <w:tcW w:w="688" w:type="dxa"/>
            <w:vAlign w:val="bottom"/>
          </w:tcPr>
          <w:p w:rsidR="00000000" w:rsidRDefault="00000000">
            <w:pPr>
              <w:pStyle w:val="SingleTxt"/>
              <w:spacing w:before="40" w:after="40" w:line="160" w:lineRule="exact"/>
              <w:ind w:left="0" w:right="14"/>
              <w:jc w:val="center"/>
              <w:rPr>
                <w:i/>
                <w:sz w:val="14"/>
              </w:rPr>
            </w:pPr>
            <w:r>
              <w:rPr>
                <w:i/>
                <w:sz w:val="14"/>
              </w:rPr>
              <w:t>Total</w:t>
            </w:r>
          </w:p>
        </w:tc>
        <w:tc>
          <w:tcPr>
            <w:tcW w:w="900" w:type="dxa"/>
            <w:vAlign w:val="bottom"/>
          </w:tcPr>
          <w:p w:rsidR="00000000" w:rsidRDefault="00000000">
            <w:pPr>
              <w:pStyle w:val="SingleTxt"/>
              <w:spacing w:before="40" w:after="40" w:line="160" w:lineRule="exact"/>
              <w:ind w:left="0" w:right="14"/>
              <w:jc w:val="center"/>
              <w:rPr>
                <w:i/>
                <w:sz w:val="14"/>
              </w:rPr>
            </w:pPr>
            <w:r>
              <w:rPr>
                <w:i/>
                <w:sz w:val="14"/>
              </w:rPr>
              <w:t>Hombres</w:t>
            </w:r>
          </w:p>
        </w:tc>
        <w:tc>
          <w:tcPr>
            <w:tcW w:w="810" w:type="dxa"/>
            <w:vAlign w:val="bottom"/>
          </w:tcPr>
          <w:p w:rsidR="00000000" w:rsidRDefault="00000000">
            <w:pPr>
              <w:pStyle w:val="SingleTxt"/>
              <w:spacing w:before="40" w:after="40" w:line="160" w:lineRule="exact"/>
              <w:ind w:left="0" w:right="14"/>
              <w:jc w:val="center"/>
              <w:rPr>
                <w:i/>
                <w:sz w:val="14"/>
              </w:rPr>
            </w:pPr>
            <w:r>
              <w:rPr>
                <w:i/>
                <w:sz w:val="14"/>
              </w:rPr>
              <w:t>Mujeres</w:t>
            </w:r>
          </w:p>
        </w:tc>
        <w:tc>
          <w:tcPr>
            <w:tcW w:w="630" w:type="dxa"/>
            <w:vAlign w:val="bottom"/>
          </w:tcPr>
          <w:p w:rsidR="00000000" w:rsidRDefault="00000000">
            <w:pPr>
              <w:pStyle w:val="SingleTxt"/>
              <w:spacing w:before="40" w:after="40" w:line="160" w:lineRule="exact"/>
              <w:ind w:left="0" w:right="14"/>
              <w:jc w:val="center"/>
              <w:rPr>
                <w:i/>
                <w:sz w:val="14"/>
              </w:rPr>
            </w:pPr>
            <w:r>
              <w:rPr>
                <w:i/>
                <w:sz w:val="14"/>
              </w:rPr>
              <w:t>Total</w:t>
            </w:r>
          </w:p>
        </w:tc>
        <w:tc>
          <w:tcPr>
            <w:tcW w:w="810" w:type="dxa"/>
            <w:vAlign w:val="bottom"/>
          </w:tcPr>
          <w:p w:rsidR="00000000" w:rsidRDefault="00000000">
            <w:pPr>
              <w:pStyle w:val="SingleTxt"/>
              <w:spacing w:before="40" w:after="40" w:line="160" w:lineRule="exact"/>
              <w:ind w:left="0" w:right="14"/>
              <w:jc w:val="center"/>
              <w:rPr>
                <w:i/>
                <w:sz w:val="14"/>
              </w:rPr>
            </w:pPr>
            <w:r>
              <w:rPr>
                <w:i/>
                <w:sz w:val="14"/>
              </w:rPr>
              <w:t>Hombres</w:t>
            </w:r>
          </w:p>
        </w:tc>
        <w:tc>
          <w:tcPr>
            <w:tcW w:w="810" w:type="dxa"/>
            <w:vAlign w:val="bottom"/>
          </w:tcPr>
          <w:p w:rsidR="00000000" w:rsidRDefault="00000000">
            <w:pPr>
              <w:pStyle w:val="SingleTxt"/>
              <w:spacing w:before="40" w:after="40" w:line="160" w:lineRule="exact"/>
              <w:ind w:left="0" w:right="14"/>
              <w:jc w:val="center"/>
              <w:rPr>
                <w:i/>
                <w:sz w:val="14"/>
              </w:rPr>
            </w:pPr>
            <w:r>
              <w:rPr>
                <w:i/>
                <w:sz w:val="14"/>
              </w:rPr>
              <w:t>Mujeres</w:t>
            </w:r>
          </w:p>
        </w:tc>
        <w:tc>
          <w:tcPr>
            <w:tcW w:w="630" w:type="dxa"/>
            <w:vAlign w:val="bottom"/>
          </w:tcPr>
          <w:p w:rsidR="00000000" w:rsidRDefault="00000000">
            <w:pPr>
              <w:pStyle w:val="SingleTxt"/>
              <w:spacing w:before="40" w:after="40" w:line="160" w:lineRule="exact"/>
              <w:ind w:left="0" w:right="14"/>
              <w:jc w:val="center"/>
              <w:rPr>
                <w:i/>
                <w:sz w:val="14"/>
              </w:rPr>
            </w:pPr>
            <w:r>
              <w:rPr>
                <w:i/>
                <w:sz w:val="14"/>
              </w:rPr>
              <w:t>Total</w:t>
            </w:r>
          </w:p>
        </w:tc>
        <w:tc>
          <w:tcPr>
            <w:tcW w:w="630" w:type="dxa"/>
            <w:vMerge/>
            <w:vAlign w:val="bottom"/>
          </w:tcPr>
          <w:p w:rsidR="00000000" w:rsidRDefault="00000000">
            <w:pPr>
              <w:pStyle w:val="SingleTxt"/>
              <w:spacing w:before="40" w:after="40" w:line="160" w:lineRule="exact"/>
              <w:ind w:left="0" w:right="14"/>
              <w:jc w:val="center"/>
              <w:rPr>
                <w:i/>
                <w:sz w:val="14"/>
              </w:rPr>
            </w:pPr>
          </w:p>
        </w:tc>
      </w:tr>
      <w:tr w:rsidR="00000000">
        <w:tblPrEx>
          <w:tblCellMar>
            <w:top w:w="0" w:type="dxa"/>
            <w:bottom w:w="0" w:type="dxa"/>
          </w:tblCellMar>
        </w:tblPrEx>
        <w:trPr>
          <w:trHeight w:hRule="exact" w:val="115"/>
          <w:tblHeader/>
          <w:jc w:val="center"/>
        </w:trPr>
        <w:tc>
          <w:tcPr>
            <w:tcW w:w="1260" w:type="dxa"/>
            <w:tcBorders>
              <w:top w:val="single" w:sz="12" w:space="0" w:color="auto"/>
            </w:tcBorders>
            <w:vAlign w:val="bottom"/>
          </w:tcPr>
          <w:p w:rsidR="00000000" w:rsidRDefault="00000000">
            <w:pPr>
              <w:pStyle w:val="SingleTxt"/>
              <w:spacing w:before="40" w:after="40" w:line="160" w:lineRule="exact"/>
              <w:ind w:left="0" w:right="14"/>
              <w:rPr>
                <w:sz w:val="17"/>
              </w:rPr>
            </w:pPr>
          </w:p>
        </w:tc>
        <w:tc>
          <w:tcPr>
            <w:tcW w:w="876" w:type="dxa"/>
            <w:vAlign w:val="bottom"/>
          </w:tcPr>
          <w:p w:rsidR="00000000" w:rsidRDefault="00000000">
            <w:pPr>
              <w:pStyle w:val="SingleTxt"/>
              <w:spacing w:before="40" w:after="40" w:line="160" w:lineRule="exact"/>
              <w:ind w:left="0" w:right="14"/>
              <w:rPr>
                <w:sz w:val="17"/>
              </w:rPr>
            </w:pPr>
          </w:p>
        </w:tc>
        <w:tc>
          <w:tcPr>
            <w:tcW w:w="744" w:type="dxa"/>
            <w:vAlign w:val="bottom"/>
          </w:tcPr>
          <w:p w:rsidR="00000000" w:rsidRDefault="00000000">
            <w:pPr>
              <w:pStyle w:val="SingleTxt"/>
              <w:spacing w:before="40" w:after="40" w:line="160" w:lineRule="exact"/>
              <w:ind w:left="0" w:right="14"/>
              <w:rPr>
                <w:sz w:val="17"/>
              </w:rPr>
            </w:pPr>
          </w:p>
        </w:tc>
        <w:tc>
          <w:tcPr>
            <w:tcW w:w="696" w:type="dxa"/>
            <w:vAlign w:val="bottom"/>
          </w:tcPr>
          <w:p w:rsidR="00000000" w:rsidRDefault="00000000">
            <w:pPr>
              <w:pStyle w:val="SingleTxt"/>
              <w:spacing w:before="40" w:after="40" w:line="160" w:lineRule="exact"/>
              <w:ind w:left="0" w:right="14"/>
              <w:rPr>
                <w:sz w:val="17"/>
              </w:rPr>
            </w:pPr>
          </w:p>
        </w:tc>
        <w:tc>
          <w:tcPr>
            <w:tcW w:w="900" w:type="dxa"/>
            <w:vAlign w:val="bottom"/>
          </w:tcPr>
          <w:p w:rsidR="00000000" w:rsidRDefault="00000000">
            <w:pPr>
              <w:pStyle w:val="SingleTxt"/>
              <w:spacing w:before="40" w:after="40" w:line="160" w:lineRule="exact"/>
              <w:ind w:left="0" w:right="14"/>
              <w:rPr>
                <w:sz w:val="17"/>
              </w:rPr>
            </w:pPr>
          </w:p>
        </w:tc>
        <w:tc>
          <w:tcPr>
            <w:tcW w:w="810" w:type="dxa"/>
            <w:vAlign w:val="bottom"/>
          </w:tcPr>
          <w:p w:rsidR="00000000" w:rsidRDefault="00000000">
            <w:pPr>
              <w:pStyle w:val="SingleTxt"/>
              <w:spacing w:before="40" w:after="40" w:line="160" w:lineRule="exact"/>
              <w:ind w:left="0" w:right="14"/>
              <w:rPr>
                <w:sz w:val="17"/>
              </w:rPr>
            </w:pPr>
          </w:p>
        </w:tc>
        <w:tc>
          <w:tcPr>
            <w:tcW w:w="662" w:type="dxa"/>
            <w:vAlign w:val="bottom"/>
          </w:tcPr>
          <w:p w:rsidR="00000000" w:rsidRDefault="00000000">
            <w:pPr>
              <w:pStyle w:val="SingleTxt"/>
              <w:spacing w:before="40" w:after="40" w:line="160" w:lineRule="exact"/>
              <w:ind w:left="0" w:right="14"/>
              <w:rPr>
                <w:sz w:val="17"/>
              </w:rPr>
            </w:pPr>
          </w:p>
        </w:tc>
        <w:tc>
          <w:tcPr>
            <w:tcW w:w="688" w:type="dxa"/>
            <w:tcBorders>
              <w:top w:val="single" w:sz="12" w:space="0" w:color="auto"/>
            </w:tcBorders>
            <w:vAlign w:val="bottom"/>
          </w:tcPr>
          <w:p w:rsidR="00000000" w:rsidRDefault="00000000">
            <w:pPr>
              <w:pStyle w:val="SingleTxt"/>
              <w:spacing w:before="40" w:after="40" w:line="160" w:lineRule="exact"/>
              <w:ind w:left="0" w:right="14"/>
              <w:rPr>
                <w:sz w:val="17"/>
              </w:rPr>
            </w:pPr>
          </w:p>
        </w:tc>
        <w:tc>
          <w:tcPr>
            <w:tcW w:w="900" w:type="dxa"/>
            <w:tcBorders>
              <w:top w:val="single" w:sz="12" w:space="0" w:color="auto"/>
            </w:tcBorders>
            <w:vAlign w:val="bottom"/>
          </w:tcPr>
          <w:p w:rsidR="00000000" w:rsidRDefault="00000000">
            <w:pPr>
              <w:pStyle w:val="SingleTxt"/>
              <w:spacing w:before="40" w:after="40" w:line="160" w:lineRule="exact"/>
              <w:ind w:left="0" w:right="14"/>
              <w:rPr>
                <w:sz w:val="17"/>
              </w:rPr>
            </w:pPr>
          </w:p>
        </w:tc>
        <w:tc>
          <w:tcPr>
            <w:tcW w:w="810" w:type="dxa"/>
            <w:tcBorders>
              <w:top w:val="single" w:sz="12" w:space="0" w:color="auto"/>
            </w:tcBorders>
            <w:vAlign w:val="bottom"/>
          </w:tcPr>
          <w:p w:rsidR="00000000" w:rsidRDefault="00000000">
            <w:pPr>
              <w:pStyle w:val="SingleTxt"/>
              <w:spacing w:before="40" w:after="40" w:line="160" w:lineRule="exact"/>
              <w:ind w:left="0" w:right="14"/>
              <w:rPr>
                <w:sz w:val="17"/>
              </w:rPr>
            </w:pPr>
          </w:p>
        </w:tc>
        <w:tc>
          <w:tcPr>
            <w:tcW w:w="630" w:type="dxa"/>
            <w:tcBorders>
              <w:top w:val="single" w:sz="12" w:space="0" w:color="auto"/>
            </w:tcBorders>
            <w:vAlign w:val="bottom"/>
          </w:tcPr>
          <w:p w:rsidR="00000000" w:rsidRDefault="00000000">
            <w:pPr>
              <w:pStyle w:val="SingleTxt"/>
              <w:spacing w:before="40" w:after="40" w:line="160" w:lineRule="exact"/>
              <w:ind w:left="0" w:right="14"/>
              <w:rPr>
                <w:sz w:val="17"/>
              </w:rPr>
            </w:pPr>
          </w:p>
        </w:tc>
        <w:tc>
          <w:tcPr>
            <w:tcW w:w="810" w:type="dxa"/>
            <w:tcBorders>
              <w:top w:val="single" w:sz="12" w:space="0" w:color="auto"/>
            </w:tcBorders>
            <w:vAlign w:val="bottom"/>
          </w:tcPr>
          <w:p w:rsidR="00000000" w:rsidRDefault="00000000">
            <w:pPr>
              <w:pStyle w:val="SingleTxt"/>
              <w:spacing w:before="40" w:after="40" w:line="160" w:lineRule="exact"/>
              <w:ind w:left="0" w:right="14"/>
              <w:rPr>
                <w:sz w:val="17"/>
              </w:rPr>
            </w:pPr>
          </w:p>
        </w:tc>
        <w:tc>
          <w:tcPr>
            <w:tcW w:w="810" w:type="dxa"/>
            <w:tcBorders>
              <w:top w:val="single" w:sz="12" w:space="0" w:color="auto"/>
            </w:tcBorders>
            <w:vAlign w:val="bottom"/>
          </w:tcPr>
          <w:p w:rsidR="00000000" w:rsidRDefault="00000000">
            <w:pPr>
              <w:pStyle w:val="SingleTxt"/>
              <w:spacing w:before="40" w:after="40" w:line="160" w:lineRule="exact"/>
              <w:ind w:left="0" w:right="14"/>
              <w:rPr>
                <w:sz w:val="17"/>
              </w:rPr>
            </w:pPr>
          </w:p>
        </w:tc>
        <w:tc>
          <w:tcPr>
            <w:tcW w:w="630" w:type="dxa"/>
            <w:tcBorders>
              <w:top w:val="single" w:sz="12" w:space="0" w:color="auto"/>
            </w:tcBorders>
            <w:vAlign w:val="bottom"/>
          </w:tcPr>
          <w:p w:rsidR="00000000" w:rsidRDefault="00000000">
            <w:pPr>
              <w:pStyle w:val="SingleTxt"/>
              <w:spacing w:before="40" w:after="40" w:line="160" w:lineRule="exact"/>
              <w:ind w:left="0" w:right="14"/>
              <w:rPr>
                <w:sz w:val="17"/>
              </w:rPr>
            </w:pPr>
          </w:p>
        </w:tc>
        <w:tc>
          <w:tcPr>
            <w:tcW w:w="630" w:type="dxa"/>
            <w:tcBorders>
              <w:top w:val="single" w:sz="12" w:space="0" w:color="auto"/>
            </w:tcBorders>
            <w:vAlign w:val="bottom"/>
          </w:tcPr>
          <w:p w:rsidR="00000000" w:rsidRDefault="00000000">
            <w:pPr>
              <w:pStyle w:val="SingleTxt"/>
              <w:spacing w:before="40" w:after="40" w:line="160" w:lineRule="exact"/>
              <w:ind w:left="0" w:right="14"/>
              <w:rPr>
                <w:sz w:val="17"/>
              </w:rPr>
            </w:pPr>
          </w:p>
        </w:tc>
      </w:tr>
      <w:tr w:rsidR="00000000">
        <w:tblPrEx>
          <w:tblCellMar>
            <w:top w:w="0" w:type="dxa"/>
            <w:bottom w:w="0" w:type="dxa"/>
          </w:tblCellMar>
        </w:tblPrEx>
        <w:trPr>
          <w:trHeight w:val="371"/>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Derecho</w:t>
            </w:r>
          </w:p>
        </w:tc>
        <w:tc>
          <w:tcPr>
            <w:tcW w:w="876" w:type="dxa"/>
            <w:vAlign w:val="bottom"/>
          </w:tcPr>
          <w:p w:rsidR="00000000" w:rsidRDefault="00000000">
            <w:pPr>
              <w:pStyle w:val="SingleTxt"/>
              <w:spacing w:before="20" w:after="20" w:line="160" w:lineRule="exact"/>
              <w:ind w:left="0" w:right="14"/>
              <w:jc w:val="right"/>
              <w:rPr>
                <w:sz w:val="14"/>
              </w:rPr>
            </w:pPr>
            <w:r>
              <w:rPr>
                <w:sz w:val="14"/>
              </w:rPr>
              <w:t>25</w:t>
            </w:r>
          </w:p>
        </w:tc>
        <w:tc>
          <w:tcPr>
            <w:tcW w:w="744" w:type="dxa"/>
            <w:vAlign w:val="bottom"/>
          </w:tcPr>
          <w:p w:rsidR="00000000" w:rsidRDefault="00000000">
            <w:pPr>
              <w:pStyle w:val="SingleTxt"/>
              <w:spacing w:before="20" w:after="20" w:line="160" w:lineRule="exact"/>
              <w:ind w:left="0" w:right="14"/>
              <w:jc w:val="right"/>
              <w:rPr>
                <w:sz w:val="14"/>
              </w:rPr>
            </w:pPr>
            <w:r>
              <w:rPr>
                <w:sz w:val="14"/>
              </w:rPr>
              <w:t>1</w:t>
            </w:r>
          </w:p>
        </w:tc>
        <w:tc>
          <w:tcPr>
            <w:tcW w:w="696" w:type="dxa"/>
            <w:vAlign w:val="bottom"/>
          </w:tcPr>
          <w:p w:rsidR="00000000" w:rsidRDefault="00000000">
            <w:pPr>
              <w:pStyle w:val="SingleTxt"/>
              <w:spacing w:before="20" w:after="20" w:line="160" w:lineRule="exact"/>
              <w:ind w:left="0" w:right="14"/>
              <w:jc w:val="right"/>
              <w:rPr>
                <w:sz w:val="14"/>
              </w:rPr>
            </w:pPr>
            <w:r>
              <w:rPr>
                <w:sz w:val="14"/>
              </w:rPr>
              <w:t>26</w:t>
            </w:r>
          </w:p>
        </w:tc>
        <w:tc>
          <w:tcPr>
            <w:tcW w:w="900" w:type="dxa"/>
            <w:vAlign w:val="bottom"/>
          </w:tcPr>
          <w:p w:rsidR="00000000" w:rsidRDefault="00000000">
            <w:pPr>
              <w:pStyle w:val="SingleTxt"/>
              <w:spacing w:before="20" w:after="20" w:line="160" w:lineRule="exact"/>
              <w:ind w:left="0" w:right="14"/>
              <w:jc w:val="right"/>
              <w:rPr>
                <w:sz w:val="14"/>
              </w:rPr>
            </w:pPr>
            <w:r>
              <w:rPr>
                <w:sz w:val="14"/>
              </w:rPr>
              <w:t>17</w:t>
            </w:r>
          </w:p>
        </w:tc>
        <w:tc>
          <w:tcPr>
            <w:tcW w:w="810" w:type="dxa"/>
            <w:vAlign w:val="bottom"/>
          </w:tcPr>
          <w:p w:rsidR="00000000" w:rsidRDefault="00000000">
            <w:pPr>
              <w:pStyle w:val="SingleTxt"/>
              <w:spacing w:before="20" w:after="20" w:line="160" w:lineRule="exact"/>
              <w:ind w:left="0" w:right="14"/>
              <w:jc w:val="right"/>
              <w:rPr>
                <w:sz w:val="14"/>
              </w:rPr>
            </w:pPr>
            <w:r>
              <w:rPr>
                <w:sz w:val="14"/>
              </w:rPr>
              <w:t>1</w:t>
            </w:r>
          </w:p>
        </w:tc>
        <w:tc>
          <w:tcPr>
            <w:tcW w:w="662" w:type="dxa"/>
            <w:vAlign w:val="bottom"/>
          </w:tcPr>
          <w:p w:rsidR="00000000" w:rsidRDefault="00000000">
            <w:pPr>
              <w:pStyle w:val="SingleTxt"/>
              <w:spacing w:before="20" w:after="20" w:line="160" w:lineRule="exact"/>
              <w:ind w:left="0" w:right="14"/>
              <w:jc w:val="right"/>
              <w:rPr>
                <w:sz w:val="14"/>
              </w:rPr>
            </w:pPr>
            <w:r>
              <w:rPr>
                <w:sz w:val="14"/>
              </w:rPr>
              <w:t>18</w:t>
            </w:r>
          </w:p>
        </w:tc>
        <w:tc>
          <w:tcPr>
            <w:tcW w:w="688" w:type="dxa"/>
            <w:vAlign w:val="bottom"/>
          </w:tcPr>
          <w:p w:rsidR="00000000" w:rsidRDefault="00000000">
            <w:pPr>
              <w:pStyle w:val="SingleTxt"/>
              <w:spacing w:before="20" w:after="20" w:line="160" w:lineRule="exact"/>
              <w:ind w:left="0" w:right="14"/>
              <w:jc w:val="right"/>
              <w:rPr>
                <w:sz w:val="14"/>
              </w:rPr>
            </w:pPr>
            <w:r>
              <w:rPr>
                <w:sz w:val="14"/>
              </w:rPr>
              <w:t>44</w:t>
            </w:r>
          </w:p>
        </w:tc>
        <w:tc>
          <w:tcPr>
            <w:tcW w:w="900" w:type="dxa"/>
            <w:vAlign w:val="bottom"/>
          </w:tcPr>
          <w:p w:rsidR="00000000" w:rsidRDefault="00000000">
            <w:pPr>
              <w:pStyle w:val="SingleTxt"/>
              <w:spacing w:before="20" w:after="20" w:line="160" w:lineRule="exact"/>
              <w:ind w:left="0" w:right="14"/>
              <w:jc w:val="right"/>
              <w:rPr>
                <w:sz w:val="14"/>
              </w:rPr>
            </w:pPr>
            <w:r>
              <w:rPr>
                <w:sz w:val="14"/>
              </w:rPr>
              <w:t>26</w:t>
            </w:r>
          </w:p>
        </w:tc>
        <w:tc>
          <w:tcPr>
            <w:tcW w:w="810" w:type="dxa"/>
            <w:vAlign w:val="bottom"/>
          </w:tcPr>
          <w:p w:rsidR="00000000" w:rsidRDefault="00000000">
            <w:pPr>
              <w:pStyle w:val="SingleTxt"/>
              <w:spacing w:before="20" w:after="20" w:line="160" w:lineRule="exact"/>
              <w:ind w:left="0" w:right="14"/>
              <w:jc w:val="right"/>
              <w:rPr>
                <w:sz w:val="14"/>
              </w:rPr>
            </w:pPr>
            <w:r>
              <w:rPr>
                <w:sz w:val="14"/>
              </w:rPr>
              <w:t>1</w:t>
            </w:r>
          </w:p>
        </w:tc>
        <w:tc>
          <w:tcPr>
            <w:tcW w:w="630" w:type="dxa"/>
            <w:vAlign w:val="bottom"/>
          </w:tcPr>
          <w:p w:rsidR="00000000" w:rsidRDefault="00000000">
            <w:pPr>
              <w:pStyle w:val="SingleTxt"/>
              <w:spacing w:before="20" w:after="20" w:line="160" w:lineRule="exact"/>
              <w:ind w:left="0" w:right="14"/>
              <w:jc w:val="right"/>
              <w:rPr>
                <w:sz w:val="14"/>
              </w:rPr>
            </w:pPr>
            <w:r>
              <w:rPr>
                <w:sz w:val="14"/>
              </w:rPr>
              <w:t>27</w:t>
            </w:r>
          </w:p>
        </w:tc>
        <w:tc>
          <w:tcPr>
            <w:tcW w:w="810" w:type="dxa"/>
            <w:vAlign w:val="bottom"/>
          </w:tcPr>
          <w:p w:rsidR="00000000" w:rsidRDefault="00000000">
            <w:pPr>
              <w:pStyle w:val="SingleTxt"/>
              <w:spacing w:before="20" w:after="20" w:line="160" w:lineRule="exact"/>
              <w:ind w:left="0" w:right="14"/>
              <w:jc w:val="right"/>
              <w:rPr>
                <w:sz w:val="14"/>
              </w:rPr>
            </w:pPr>
            <w:r>
              <w:rPr>
                <w:sz w:val="14"/>
              </w:rPr>
              <w:t>17</w:t>
            </w:r>
          </w:p>
        </w:tc>
        <w:tc>
          <w:tcPr>
            <w:tcW w:w="810" w:type="dxa"/>
            <w:vAlign w:val="bottom"/>
          </w:tcPr>
          <w:p w:rsidR="00000000" w:rsidRDefault="00000000">
            <w:pPr>
              <w:pStyle w:val="SingleTxt"/>
              <w:spacing w:before="20" w:after="20" w:line="160" w:lineRule="exact"/>
              <w:ind w:left="0" w:right="14"/>
              <w:jc w:val="right"/>
              <w:rPr>
                <w:sz w:val="14"/>
              </w:rPr>
            </w:pPr>
            <w:r>
              <w:rPr>
                <w:sz w:val="14"/>
              </w:rPr>
              <w:t>1</w:t>
            </w:r>
          </w:p>
        </w:tc>
        <w:tc>
          <w:tcPr>
            <w:tcW w:w="630" w:type="dxa"/>
            <w:vAlign w:val="bottom"/>
          </w:tcPr>
          <w:p w:rsidR="00000000" w:rsidRDefault="00000000">
            <w:pPr>
              <w:pStyle w:val="SingleTxt"/>
              <w:spacing w:before="20" w:after="20" w:line="160" w:lineRule="exact"/>
              <w:ind w:left="0" w:right="14"/>
              <w:jc w:val="right"/>
              <w:rPr>
                <w:sz w:val="14"/>
              </w:rPr>
            </w:pPr>
            <w:r>
              <w:rPr>
                <w:sz w:val="14"/>
              </w:rPr>
              <w:t>18</w:t>
            </w:r>
          </w:p>
        </w:tc>
        <w:tc>
          <w:tcPr>
            <w:tcW w:w="630" w:type="dxa"/>
            <w:vAlign w:val="bottom"/>
          </w:tcPr>
          <w:p w:rsidR="00000000" w:rsidRDefault="00000000">
            <w:pPr>
              <w:pStyle w:val="SingleTxt"/>
              <w:spacing w:before="20" w:after="20" w:line="160" w:lineRule="exact"/>
              <w:ind w:left="0" w:right="14"/>
              <w:jc w:val="right"/>
              <w:rPr>
                <w:sz w:val="14"/>
              </w:rPr>
            </w:pPr>
            <w:r>
              <w:rPr>
                <w:sz w:val="14"/>
              </w:rPr>
              <w:t>45</w:t>
            </w:r>
          </w:p>
        </w:tc>
      </w:tr>
      <w:tr w:rsidR="00000000">
        <w:tblPrEx>
          <w:tblCellMar>
            <w:top w:w="0" w:type="dxa"/>
            <w:bottom w:w="0" w:type="dxa"/>
          </w:tblCellMar>
        </w:tblPrEx>
        <w:trPr>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Humanidades</w:t>
            </w:r>
          </w:p>
        </w:tc>
        <w:tc>
          <w:tcPr>
            <w:tcW w:w="876" w:type="dxa"/>
            <w:vAlign w:val="bottom"/>
          </w:tcPr>
          <w:p w:rsidR="00000000" w:rsidRDefault="00000000">
            <w:pPr>
              <w:pStyle w:val="SingleTxt"/>
              <w:spacing w:before="20" w:after="20" w:line="160" w:lineRule="exact"/>
              <w:ind w:left="0" w:right="14"/>
              <w:jc w:val="right"/>
              <w:rPr>
                <w:sz w:val="14"/>
              </w:rPr>
            </w:pPr>
            <w:r>
              <w:rPr>
                <w:sz w:val="14"/>
              </w:rPr>
              <w:t>67</w:t>
            </w:r>
          </w:p>
        </w:tc>
        <w:tc>
          <w:tcPr>
            <w:tcW w:w="744" w:type="dxa"/>
            <w:vAlign w:val="bottom"/>
          </w:tcPr>
          <w:p w:rsidR="00000000" w:rsidRDefault="00000000">
            <w:pPr>
              <w:pStyle w:val="SingleTxt"/>
              <w:spacing w:before="20" w:after="20" w:line="160" w:lineRule="exact"/>
              <w:ind w:left="0" w:right="14"/>
              <w:jc w:val="right"/>
              <w:rPr>
                <w:sz w:val="14"/>
              </w:rPr>
            </w:pPr>
            <w:r>
              <w:rPr>
                <w:sz w:val="14"/>
              </w:rPr>
              <w:t>35</w:t>
            </w:r>
          </w:p>
        </w:tc>
        <w:tc>
          <w:tcPr>
            <w:tcW w:w="696" w:type="dxa"/>
            <w:vAlign w:val="bottom"/>
          </w:tcPr>
          <w:p w:rsidR="00000000" w:rsidRDefault="00000000">
            <w:pPr>
              <w:pStyle w:val="SingleTxt"/>
              <w:spacing w:before="20" w:after="20" w:line="160" w:lineRule="exact"/>
              <w:ind w:left="0" w:right="14"/>
              <w:jc w:val="right"/>
              <w:rPr>
                <w:sz w:val="14"/>
              </w:rPr>
            </w:pPr>
            <w:r>
              <w:rPr>
                <w:sz w:val="14"/>
              </w:rPr>
              <w:t>102</w:t>
            </w:r>
          </w:p>
        </w:tc>
        <w:tc>
          <w:tcPr>
            <w:tcW w:w="900" w:type="dxa"/>
            <w:vAlign w:val="bottom"/>
          </w:tcPr>
          <w:p w:rsidR="00000000" w:rsidRDefault="00000000">
            <w:pPr>
              <w:pStyle w:val="SingleTxt"/>
              <w:spacing w:before="20" w:after="20" w:line="160" w:lineRule="exact"/>
              <w:ind w:left="0" w:right="14"/>
              <w:jc w:val="right"/>
              <w:rPr>
                <w:sz w:val="14"/>
              </w:rPr>
            </w:pPr>
            <w:r>
              <w:rPr>
                <w:sz w:val="14"/>
              </w:rPr>
              <w:t>45</w:t>
            </w:r>
          </w:p>
        </w:tc>
        <w:tc>
          <w:tcPr>
            <w:tcW w:w="810" w:type="dxa"/>
            <w:vAlign w:val="bottom"/>
          </w:tcPr>
          <w:p w:rsidR="00000000" w:rsidRDefault="00000000">
            <w:pPr>
              <w:pStyle w:val="SingleTxt"/>
              <w:spacing w:before="20" w:after="20" w:line="160" w:lineRule="exact"/>
              <w:ind w:left="0" w:right="14"/>
              <w:jc w:val="right"/>
              <w:rPr>
                <w:sz w:val="14"/>
              </w:rPr>
            </w:pPr>
            <w:r>
              <w:rPr>
                <w:sz w:val="14"/>
              </w:rPr>
              <w:t>2</w:t>
            </w:r>
          </w:p>
        </w:tc>
        <w:tc>
          <w:tcPr>
            <w:tcW w:w="662" w:type="dxa"/>
            <w:vAlign w:val="bottom"/>
          </w:tcPr>
          <w:p w:rsidR="00000000" w:rsidRDefault="00000000">
            <w:pPr>
              <w:pStyle w:val="SingleTxt"/>
              <w:spacing w:before="20" w:after="20" w:line="160" w:lineRule="exact"/>
              <w:ind w:left="0" w:right="14"/>
              <w:jc w:val="right"/>
              <w:rPr>
                <w:sz w:val="14"/>
              </w:rPr>
            </w:pPr>
            <w:r>
              <w:rPr>
                <w:sz w:val="14"/>
              </w:rPr>
              <w:t>50</w:t>
            </w:r>
          </w:p>
        </w:tc>
        <w:tc>
          <w:tcPr>
            <w:tcW w:w="688" w:type="dxa"/>
            <w:vAlign w:val="bottom"/>
          </w:tcPr>
          <w:p w:rsidR="00000000" w:rsidRDefault="00000000">
            <w:pPr>
              <w:pStyle w:val="SingleTxt"/>
              <w:spacing w:before="20" w:after="20" w:line="160" w:lineRule="exact"/>
              <w:ind w:left="0" w:right="14"/>
              <w:jc w:val="right"/>
              <w:rPr>
                <w:sz w:val="14"/>
              </w:rPr>
            </w:pPr>
            <w:r>
              <w:rPr>
                <w:sz w:val="14"/>
              </w:rPr>
              <w:t>152</w:t>
            </w:r>
          </w:p>
        </w:tc>
        <w:tc>
          <w:tcPr>
            <w:tcW w:w="900" w:type="dxa"/>
            <w:vAlign w:val="bottom"/>
          </w:tcPr>
          <w:p w:rsidR="00000000" w:rsidRDefault="00000000">
            <w:pPr>
              <w:pStyle w:val="SingleTxt"/>
              <w:spacing w:before="20" w:after="20" w:line="160" w:lineRule="exact"/>
              <w:ind w:left="0" w:right="14"/>
              <w:jc w:val="right"/>
              <w:rPr>
                <w:sz w:val="14"/>
              </w:rPr>
            </w:pPr>
            <w:r>
              <w:rPr>
                <w:sz w:val="14"/>
              </w:rPr>
              <w:t>67</w:t>
            </w:r>
          </w:p>
        </w:tc>
        <w:tc>
          <w:tcPr>
            <w:tcW w:w="810" w:type="dxa"/>
            <w:vAlign w:val="bottom"/>
          </w:tcPr>
          <w:p w:rsidR="00000000" w:rsidRDefault="00000000">
            <w:pPr>
              <w:pStyle w:val="SingleTxt"/>
              <w:spacing w:before="20" w:after="20" w:line="160" w:lineRule="exact"/>
              <w:ind w:left="0" w:right="14"/>
              <w:jc w:val="right"/>
              <w:rPr>
                <w:sz w:val="14"/>
              </w:rPr>
            </w:pPr>
            <w:r>
              <w:rPr>
                <w:sz w:val="14"/>
              </w:rPr>
              <w:t>35</w:t>
            </w:r>
          </w:p>
        </w:tc>
        <w:tc>
          <w:tcPr>
            <w:tcW w:w="630" w:type="dxa"/>
            <w:vAlign w:val="bottom"/>
          </w:tcPr>
          <w:p w:rsidR="00000000" w:rsidRDefault="00000000">
            <w:pPr>
              <w:pStyle w:val="SingleTxt"/>
              <w:spacing w:before="20" w:after="20" w:line="160" w:lineRule="exact"/>
              <w:ind w:left="0" w:right="14"/>
              <w:jc w:val="right"/>
              <w:rPr>
                <w:sz w:val="14"/>
              </w:rPr>
            </w:pPr>
            <w:r>
              <w:rPr>
                <w:sz w:val="14"/>
              </w:rPr>
              <w:t>102</w:t>
            </w:r>
          </w:p>
        </w:tc>
        <w:tc>
          <w:tcPr>
            <w:tcW w:w="810" w:type="dxa"/>
            <w:vAlign w:val="bottom"/>
          </w:tcPr>
          <w:p w:rsidR="00000000" w:rsidRDefault="00000000">
            <w:pPr>
              <w:pStyle w:val="SingleTxt"/>
              <w:spacing w:before="20" w:after="20" w:line="160" w:lineRule="exact"/>
              <w:ind w:left="0" w:right="14"/>
              <w:jc w:val="right"/>
              <w:rPr>
                <w:sz w:val="14"/>
              </w:rPr>
            </w:pPr>
            <w:r>
              <w:rPr>
                <w:sz w:val="14"/>
              </w:rPr>
              <w:t>44</w:t>
            </w:r>
          </w:p>
        </w:tc>
        <w:tc>
          <w:tcPr>
            <w:tcW w:w="810" w:type="dxa"/>
            <w:vAlign w:val="bottom"/>
          </w:tcPr>
          <w:p w:rsidR="00000000" w:rsidRDefault="00000000">
            <w:pPr>
              <w:pStyle w:val="SingleTxt"/>
              <w:spacing w:before="20" w:after="20" w:line="160" w:lineRule="exact"/>
              <w:ind w:left="0" w:right="14"/>
              <w:jc w:val="right"/>
              <w:rPr>
                <w:sz w:val="14"/>
              </w:rPr>
            </w:pPr>
            <w:r>
              <w:rPr>
                <w:sz w:val="14"/>
              </w:rPr>
              <w:t>4</w:t>
            </w:r>
          </w:p>
        </w:tc>
        <w:tc>
          <w:tcPr>
            <w:tcW w:w="630" w:type="dxa"/>
            <w:vAlign w:val="bottom"/>
          </w:tcPr>
          <w:p w:rsidR="00000000" w:rsidRDefault="00000000">
            <w:pPr>
              <w:pStyle w:val="SingleTxt"/>
              <w:spacing w:before="20" w:after="20" w:line="160" w:lineRule="exact"/>
              <w:ind w:left="0" w:right="14"/>
              <w:jc w:val="right"/>
              <w:rPr>
                <w:sz w:val="14"/>
              </w:rPr>
            </w:pPr>
            <w:r>
              <w:rPr>
                <w:sz w:val="14"/>
              </w:rPr>
              <w:t>48</w:t>
            </w:r>
          </w:p>
        </w:tc>
        <w:tc>
          <w:tcPr>
            <w:tcW w:w="630" w:type="dxa"/>
            <w:vAlign w:val="bottom"/>
          </w:tcPr>
          <w:p w:rsidR="00000000" w:rsidRDefault="00000000">
            <w:pPr>
              <w:pStyle w:val="SingleTxt"/>
              <w:spacing w:before="20" w:after="20" w:line="160" w:lineRule="exact"/>
              <w:ind w:left="0" w:right="14"/>
              <w:jc w:val="right"/>
              <w:rPr>
                <w:sz w:val="14"/>
              </w:rPr>
            </w:pPr>
            <w:r>
              <w:rPr>
                <w:sz w:val="14"/>
              </w:rPr>
              <w:t>150</w:t>
            </w:r>
          </w:p>
        </w:tc>
      </w:tr>
      <w:tr w:rsidR="00000000">
        <w:tblPrEx>
          <w:tblCellMar>
            <w:top w:w="0" w:type="dxa"/>
            <w:bottom w:w="0" w:type="dxa"/>
          </w:tblCellMar>
        </w:tblPrEx>
        <w:trPr>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Ciencias</w:t>
            </w:r>
          </w:p>
        </w:tc>
        <w:tc>
          <w:tcPr>
            <w:tcW w:w="876" w:type="dxa"/>
            <w:vAlign w:val="bottom"/>
          </w:tcPr>
          <w:p w:rsidR="00000000" w:rsidRDefault="00000000">
            <w:pPr>
              <w:pStyle w:val="SingleTxt"/>
              <w:spacing w:before="20" w:after="20" w:line="160" w:lineRule="exact"/>
              <w:ind w:left="0" w:right="14"/>
              <w:jc w:val="right"/>
              <w:rPr>
                <w:sz w:val="14"/>
              </w:rPr>
            </w:pPr>
            <w:r>
              <w:rPr>
                <w:sz w:val="14"/>
              </w:rPr>
              <w:t>14</w:t>
            </w:r>
          </w:p>
        </w:tc>
        <w:tc>
          <w:tcPr>
            <w:tcW w:w="744" w:type="dxa"/>
            <w:vAlign w:val="bottom"/>
          </w:tcPr>
          <w:p w:rsidR="00000000" w:rsidRDefault="00000000">
            <w:pPr>
              <w:pStyle w:val="SingleTxt"/>
              <w:spacing w:before="20" w:after="20" w:line="160" w:lineRule="exact"/>
              <w:ind w:left="0" w:right="14"/>
              <w:jc w:val="right"/>
              <w:rPr>
                <w:sz w:val="14"/>
              </w:rPr>
            </w:pPr>
            <w:r>
              <w:rPr>
                <w:sz w:val="14"/>
              </w:rPr>
              <w:t>31</w:t>
            </w:r>
          </w:p>
        </w:tc>
        <w:tc>
          <w:tcPr>
            <w:tcW w:w="696" w:type="dxa"/>
            <w:vAlign w:val="bottom"/>
          </w:tcPr>
          <w:p w:rsidR="00000000" w:rsidRDefault="00000000">
            <w:pPr>
              <w:pStyle w:val="SingleTxt"/>
              <w:spacing w:before="20" w:after="20" w:line="160" w:lineRule="exact"/>
              <w:ind w:left="0" w:right="14"/>
              <w:jc w:val="right"/>
              <w:rPr>
                <w:sz w:val="14"/>
              </w:rPr>
            </w:pPr>
            <w:r>
              <w:rPr>
                <w:sz w:val="14"/>
              </w:rPr>
              <w:t>72</w:t>
            </w:r>
          </w:p>
        </w:tc>
        <w:tc>
          <w:tcPr>
            <w:tcW w:w="900" w:type="dxa"/>
            <w:vAlign w:val="bottom"/>
          </w:tcPr>
          <w:p w:rsidR="00000000" w:rsidRDefault="00000000">
            <w:pPr>
              <w:pStyle w:val="SingleTxt"/>
              <w:spacing w:before="20" w:after="20" w:line="160" w:lineRule="exact"/>
              <w:ind w:left="0" w:right="14"/>
              <w:jc w:val="right"/>
              <w:rPr>
                <w:sz w:val="14"/>
              </w:rPr>
            </w:pPr>
            <w:r>
              <w:rPr>
                <w:sz w:val="14"/>
              </w:rPr>
              <w:t>107</w:t>
            </w:r>
          </w:p>
        </w:tc>
        <w:tc>
          <w:tcPr>
            <w:tcW w:w="810" w:type="dxa"/>
            <w:vAlign w:val="bottom"/>
          </w:tcPr>
          <w:p w:rsidR="00000000" w:rsidRDefault="00000000">
            <w:pPr>
              <w:pStyle w:val="SingleTxt"/>
              <w:spacing w:before="20" w:after="20" w:line="160" w:lineRule="exact"/>
              <w:ind w:left="0" w:right="14"/>
              <w:jc w:val="right"/>
              <w:rPr>
                <w:sz w:val="14"/>
              </w:rPr>
            </w:pPr>
            <w:r>
              <w:rPr>
                <w:sz w:val="14"/>
              </w:rPr>
              <w:t>3</w:t>
            </w:r>
          </w:p>
        </w:tc>
        <w:tc>
          <w:tcPr>
            <w:tcW w:w="662" w:type="dxa"/>
            <w:vAlign w:val="bottom"/>
          </w:tcPr>
          <w:p w:rsidR="00000000" w:rsidRDefault="00000000">
            <w:pPr>
              <w:pStyle w:val="SingleTxt"/>
              <w:spacing w:before="20" w:after="20" w:line="160" w:lineRule="exact"/>
              <w:ind w:left="0" w:right="14"/>
              <w:jc w:val="right"/>
              <w:rPr>
                <w:sz w:val="14"/>
              </w:rPr>
            </w:pPr>
            <w:r>
              <w:rPr>
                <w:sz w:val="14"/>
              </w:rPr>
              <w:t>110</w:t>
            </w:r>
          </w:p>
        </w:tc>
        <w:tc>
          <w:tcPr>
            <w:tcW w:w="688" w:type="dxa"/>
            <w:vAlign w:val="bottom"/>
          </w:tcPr>
          <w:p w:rsidR="00000000" w:rsidRDefault="00000000">
            <w:pPr>
              <w:pStyle w:val="SingleTxt"/>
              <w:spacing w:before="20" w:after="20" w:line="160" w:lineRule="exact"/>
              <w:ind w:left="0" w:right="14"/>
              <w:jc w:val="right"/>
              <w:rPr>
                <w:sz w:val="14"/>
              </w:rPr>
            </w:pPr>
            <w:r>
              <w:rPr>
                <w:sz w:val="14"/>
              </w:rPr>
              <w:t>182</w:t>
            </w:r>
          </w:p>
        </w:tc>
        <w:tc>
          <w:tcPr>
            <w:tcW w:w="900" w:type="dxa"/>
            <w:vAlign w:val="bottom"/>
          </w:tcPr>
          <w:p w:rsidR="00000000" w:rsidRDefault="00000000">
            <w:pPr>
              <w:pStyle w:val="SingleTxt"/>
              <w:spacing w:before="20" w:after="20" w:line="160" w:lineRule="exact"/>
              <w:ind w:left="0" w:right="14"/>
              <w:jc w:val="right"/>
              <w:rPr>
                <w:sz w:val="14"/>
              </w:rPr>
            </w:pPr>
            <w:r>
              <w:rPr>
                <w:sz w:val="14"/>
              </w:rPr>
              <w:t>41</w:t>
            </w:r>
          </w:p>
        </w:tc>
        <w:tc>
          <w:tcPr>
            <w:tcW w:w="810" w:type="dxa"/>
            <w:vAlign w:val="bottom"/>
          </w:tcPr>
          <w:p w:rsidR="00000000" w:rsidRDefault="00000000">
            <w:pPr>
              <w:pStyle w:val="SingleTxt"/>
              <w:spacing w:before="20" w:after="20" w:line="160" w:lineRule="exact"/>
              <w:ind w:left="0" w:right="14"/>
              <w:jc w:val="right"/>
              <w:rPr>
                <w:sz w:val="14"/>
              </w:rPr>
            </w:pPr>
            <w:r>
              <w:rPr>
                <w:sz w:val="14"/>
              </w:rPr>
              <w:t>33</w:t>
            </w:r>
          </w:p>
        </w:tc>
        <w:tc>
          <w:tcPr>
            <w:tcW w:w="630" w:type="dxa"/>
            <w:vAlign w:val="bottom"/>
          </w:tcPr>
          <w:p w:rsidR="00000000" w:rsidRDefault="00000000">
            <w:pPr>
              <w:pStyle w:val="SingleTxt"/>
              <w:spacing w:before="20" w:after="20" w:line="160" w:lineRule="exact"/>
              <w:ind w:left="0" w:right="14"/>
              <w:jc w:val="right"/>
              <w:rPr>
                <w:sz w:val="14"/>
              </w:rPr>
            </w:pPr>
            <w:r>
              <w:rPr>
                <w:sz w:val="14"/>
              </w:rPr>
              <w:t>74</w:t>
            </w:r>
          </w:p>
        </w:tc>
        <w:tc>
          <w:tcPr>
            <w:tcW w:w="810" w:type="dxa"/>
            <w:vAlign w:val="bottom"/>
          </w:tcPr>
          <w:p w:rsidR="00000000" w:rsidRDefault="00000000">
            <w:pPr>
              <w:pStyle w:val="SingleTxt"/>
              <w:spacing w:before="20" w:after="20" w:line="160" w:lineRule="exact"/>
              <w:ind w:left="0" w:right="14"/>
              <w:jc w:val="right"/>
              <w:rPr>
                <w:sz w:val="14"/>
              </w:rPr>
            </w:pPr>
            <w:r>
              <w:rPr>
                <w:sz w:val="14"/>
              </w:rPr>
              <w:t>110</w:t>
            </w:r>
          </w:p>
        </w:tc>
        <w:tc>
          <w:tcPr>
            <w:tcW w:w="810" w:type="dxa"/>
            <w:vAlign w:val="bottom"/>
          </w:tcPr>
          <w:p w:rsidR="00000000" w:rsidRDefault="00000000">
            <w:pPr>
              <w:pStyle w:val="SingleTxt"/>
              <w:spacing w:before="20" w:after="20" w:line="160" w:lineRule="exact"/>
              <w:ind w:left="0" w:right="14"/>
              <w:jc w:val="right"/>
              <w:rPr>
                <w:sz w:val="14"/>
              </w:rPr>
            </w:pPr>
            <w:r>
              <w:rPr>
                <w:sz w:val="14"/>
              </w:rPr>
              <w:t>3</w:t>
            </w:r>
          </w:p>
        </w:tc>
        <w:tc>
          <w:tcPr>
            <w:tcW w:w="630" w:type="dxa"/>
            <w:vAlign w:val="bottom"/>
          </w:tcPr>
          <w:p w:rsidR="00000000" w:rsidRDefault="00000000">
            <w:pPr>
              <w:pStyle w:val="SingleTxt"/>
              <w:spacing w:before="20" w:after="20" w:line="160" w:lineRule="exact"/>
              <w:ind w:left="0" w:right="14"/>
              <w:jc w:val="right"/>
              <w:rPr>
                <w:sz w:val="14"/>
              </w:rPr>
            </w:pPr>
            <w:r>
              <w:rPr>
                <w:sz w:val="14"/>
              </w:rPr>
              <w:t>113</w:t>
            </w:r>
          </w:p>
        </w:tc>
        <w:tc>
          <w:tcPr>
            <w:tcW w:w="630" w:type="dxa"/>
            <w:vAlign w:val="bottom"/>
          </w:tcPr>
          <w:p w:rsidR="00000000" w:rsidRDefault="00000000">
            <w:pPr>
              <w:pStyle w:val="SingleTxt"/>
              <w:spacing w:before="20" w:after="20" w:line="160" w:lineRule="exact"/>
              <w:ind w:left="0" w:right="14"/>
              <w:jc w:val="right"/>
              <w:rPr>
                <w:sz w:val="14"/>
              </w:rPr>
            </w:pPr>
            <w:r>
              <w:rPr>
                <w:sz w:val="14"/>
              </w:rPr>
              <w:t>187</w:t>
            </w:r>
          </w:p>
        </w:tc>
      </w:tr>
      <w:tr w:rsidR="00000000">
        <w:tblPrEx>
          <w:tblCellMar>
            <w:top w:w="0" w:type="dxa"/>
            <w:bottom w:w="0" w:type="dxa"/>
          </w:tblCellMar>
        </w:tblPrEx>
        <w:trPr>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Medicina</w:t>
            </w:r>
          </w:p>
        </w:tc>
        <w:tc>
          <w:tcPr>
            <w:tcW w:w="876" w:type="dxa"/>
            <w:vAlign w:val="bottom"/>
          </w:tcPr>
          <w:p w:rsidR="00000000" w:rsidRDefault="00000000">
            <w:pPr>
              <w:pStyle w:val="SingleTxt"/>
              <w:spacing w:before="20" w:after="20" w:line="160" w:lineRule="exact"/>
              <w:ind w:left="0" w:right="14"/>
              <w:jc w:val="right"/>
              <w:rPr>
                <w:sz w:val="14"/>
              </w:rPr>
            </w:pPr>
            <w:r>
              <w:rPr>
                <w:sz w:val="14"/>
              </w:rPr>
              <w:t>26</w:t>
            </w:r>
          </w:p>
        </w:tc>
        <w:tc>
          <w:tcPr>
            <w:tcW w:w="744" w:type="dxa"/>
            <w:vAlign w:val="bottom"/>
          </w:tcPr>
          <w:p w:rsidR="00000000" w:rsidRDefault="00000000">
            <w:pPr>
              <w:pStyle w:val="SingleTxt"/>
              <w:spacing w:before="20" w:after="20" w:line="160" w:lineRule="exact"/>
              <w:ind w:left="0" w:right="14"/>
              <w:jc w:val="right"/>
              <w:rPr>
                <w:sz w:val="14"/>
              </w:rPr>
            </w:pPr>
            <w:r>
              <w:rPr>
                <w:sz w:val="14"/>
              </w:rPr>
              <w:t>7</w:t>
            </w:r>
          </w:p>
        </w:tc>
        <w:tc>
          <w:tcPr>
            <w:tcW w:w="696" w:type="dxa"/>
            <w:vAlign w:val="bottom"/>
          </w:tcPr>
          <w:p w:rsidR="00000000" w:rsidRDefault="00000000">
            <w:pPr>
              <w:pStyle w:val="SingleTxt"/>
              <w:spacing w:before="20" w:after="20" w:line="160" w:lineRule="exact"/>
              <w:ind w:left="0" w:right="14"/>
              <w:jc w:val="right"/>
              <w:rPr>
                <w:sz w:val="14"/>
              </w:rPr>
            </w:pPr>
            <w:r>
              <w:rPr>
                <w:sz w:val="14"/>
              </w:rPr>
              <w:t>33</w:t>
            </w:r>
          </w:p>
        </w:tc>
        <w:tc>
          <w:tcPr>
            <w:tcW w:w="900" w:type="dxa"/>
            <w:vAlign w:val="bottom"/>
          </w:tcPr>
          <w:p w:rsidR="00000000" w:rsidRDefault="00000000">
            <w:pPr>
              <w:pStyle w:val="SingleTxt"/>
              <w:spacing w:before="20" w:after="20" w:line="160" w:lineRule="exact"/>
              <w:ind w:left="0" w:right="14"/>
              <w:jc w:val="right"/>
              <w:rPr>
                <w:sz w:val="14"/>
              </w:rPr>
            </w:pPr>
            <w:r>
              <w:rPr>
                <w:sz w:val="14"/>
              </w:rPr>
              <w:t>87</w:t>
            </w:r>
          </w:p>
        </w:tc>
        <w:tc>
          <w:tcPr>
            <w:tcW w:w="810" w:type="dxa"/>
            <w:vAlign w:val="bottom"/>
          </w:tcPr>
          <w:p w:rsidR="00000000" w:rsidRDefault="00000000">
            <w:pPr>
              <w:pStyle w:val="SingleTxt"/>
              <w:spacing w:before="20" w:after="20" w:line="160" w:lineRule="exact"/>
              <w:ind w:left="0" w:right="14"/>
              <w:jc w:val="right"/>
              <w:rPr>
                <w:sz w:val="14"/>
              </w:rPr>
            </w:pPr>
            <w:r>
              <w:rPr>
                <w:sz w:val="14"/>
              </w:rPr>
              <w:t>12</w:t>
            </w:r>
          </w:p>
        </w:tc>
        <w:tc>
          <w:tcPr>
            <w:tcW w:w="662" w:type="dxa"/>
            <w:vAlign w:val="bottom"/>
          </w:tcPr>
          <w:p w:rsidR="00000000" w:rsidRDefault="00000000">
            <w:pPr>
              <w:pStyle w:val="SingleTxt"/>
              <w:spacing w:before="20" w:after="20" w:line="160" w:lineRule="exact"/>
              <w:ind w:left="0" w:right="14"/>
              <w:jc w:val="right"/>
              <w:rPr>
                <w:sz w:val="14"/>
              </w:rPr>
            </w:pPr>
            <w:r>
              <w:rPr>
                <w:sz w:val="14"/>
              </w:rPr>
              <w:t>99</w:t>
            </w:r>
          </w:p>
        </w:tc>
        <w:tc>
          <w:tcPr>
            <w:tcW w:w="688" w:type="dxa"/>
            <w:vAlign w:val="bottom"/>
          </w:tcPr>
          <w:p w:rsidR="00000000" w:rsidRDefault="00000000">
            <w:pPr>
              <w:pStyle w:val="SingleTxt"/>
              <w:spacing w:before="20" w:after="20" w:line="160" w:lineRule="exact"/>
              <w:ind w:left="0" w:right="14"/>
              <w:jc w:val="right"/>
              <w:rPr>
                <w:sz w:val="14"/>
              </w:rPr>
            </w:pPr>
            <w:r>
              <w:rPr>
                <w:sz w:val="14"/>
              </w:rPr>
              <w:t>132</w:t>
            </w:r>
          </w:p>
        </w:tc>
        <w:tc>
          <w:tcPr>
            <w:tcW w:w="900" w:type="dxa"/>
            <w:vAlign w:val="bottom"/>
          </w:tcPr>
          <w:p w:rsidR="00000000" w:rsidRDefault="00000000">
            <w:pPr>
              <w:pStyle w:val="SingleTxt"/>
              <w:spacing w:before="20" w:after="20" w:line="160" w:lineRule="exact"/>
              <w:ind w:left="0" w:right="14"/>
              <w:jc w:val="right"/>
              <w:rPr>
                <w:sz w:val="14"/>
              </w:rPr>
            </w:pPr>
            <w:r>
              <w:rPr>
                <w:sz w:val="14"/>
              </w:rPr>
              <w:t>35</w:t>
            </w:r>
          </w:p>
        </w:tc>
        <w:tc>
          <w:tcPr>
            <w:tcW w:w="810" w:type="dxa"/>
            <w:vAlign w:val="bottom"/>
          </w:tcPr>
          <w:p w:rsidR="00000000" w:rsidRDefault="00000000">
            <w:pPr>
              <w:pStyle w:val="SingleTxt"/>
              <w:spacing w:before="20" w:after="20" w:line="160" w:lineRule="exact"/>
              <w:ind w:left="0" w:right="14"/>
              <w:jc w:val="right"/>
              <w:rPr>
                <w:sz w:val="14"/>
              </w:rPr>
            </w:pPr>
            <w:r>
              <w:rPr>
                <w:sz w:val="14"/>
              </w:rPr>
              <w:t>7</w:t>
            </w:r>
          </w:p>
        </w:tc>
        <w:tc>
          <w:tcPr>
            <w:tcW w:w="630" w:type="dxa"/>
            <w:vAlign w:val="bottom"/>
          </w:tcPr>
          <w:p w:rsidR="00000000" w:rsidRDefault="00000000">
            <w:pPr>
              <w:pStyle w:val="SingleTxt"/>
              <w:spacing w:before="20" w:after="20" w:line="160" w:lineRule="exact"/>
              <w:ind w:left="0" w:right="14"/>
              <w:jc w:val="right"/>
              <w:rPr>
                <w:sz w:val="14"/>
              </w:rPr>
            </w:pPr>
            <w:r>
              <w:rPr>
                <w:sz w:val="14"/>
              </w:rPr>
              <w:t>42</w:t>
            </w:r>
          </w:p>
        </w:tc>
        <w:tc>
          <w:tcPr>
            <w:tcW w:w="810" w:type="dxa"/>
            <w:vAlign w:val="bottom"/>
          </w:tcPr>
          <w:p w:rsidR="00000000" w:rsidRDefault="00000000">
            <w:pPr>
              <w:pStyle w:val="SingleTxt"/>
              <w:spacing w:before="20" w:after="20" w:line="160" w:lineRule="exact"/>
              <w:ind w:left="0" w:right="14"/>
              <w:jc w:val="right"/>
              <w:rPr>
                <w:sz w:val="14"/>
              </w:rPr>
            </w:pPr>
            <w:r>
              <w:rPr>
                <w:sz w:val="14"/>
              </w:rPr>
              <w:t>86</w:t>
            </w:r>
          </w:p>
        </w:tc>
        <w:tc>
          <w:tcPr>
            <w:tcW w:w="810" w:type="dxa"/>
            <w:vAlign w:val="bottom"/>
          </w:tcPr>
          <w:p w:rsidR="00000000" w:rsidRDefault="00000000">
            <w:pPr>
              <w:pStyle w:val="SingleTxt"/>
              <w:spacing w:before="20" w:after="20" w:line="160" w:lineRule="exact"/>
              <w:ind w:left="0" w:right="14"/>
              <w:jc w:val="right"/>
              <w:rPr>
                <w:sz w:val="14"/>
              </w:rPr>
            </w:pPr>
            <w:r>
              <w:rPr>
                <w:sz w:val="14"/>
              </w:rPr>
              <w:t>16</w:t>
            </w:r>
          </w:p>
        </w:tc>
        <w:tc>
          <w:tcPr>
            <w:tcW w:w="630" w:type="dxa"/>
            <w:vAlign w:val="bottom"/>
          </w:tcPr>
          <w:p w:rsidR="00000000" w:rsidRDefault="00000000">
            <w:pPr>
              <w:pStyle w:val="SingleTxt"/>
              <w:spacing w:before="20" w:after="20" w:line="160" w:lineRule="exact"/>
              <w:ind w:left="0" w:right="14"/>
              <w:jc w:val="right"/>
              <w:rPr>
                <w:sz w:val="14"/>
              </w:rPr>
            </w:pPr>
            <w:r>
              <w:rPr>
                <w:sz w:val="14"/>
              </w:rPr>
              <w:t>102</w:t>
            </w:r>
          </w:p>
        </w:tc>
        <w:tc>
          <w:tcPr>
            <w:tcW w:w="630" w:type="dxa"/>
            <w:vAlign w:val="bottom"/>
          </w:tcPr>
          <w:p w:rsidR="00000000" w:rsidRDefault="00000000">
            <w:pPr>
              <w:pStyle w:val="SingleTxt"/>
              <w:spacing w:before="20" w:after="20" w:line="160" w:lineRule="exact"/>
              <w:ind w:left="0" w:right="14"/>
              <w:jc w:val="right"/>
              <w:rPr>
                <w:sz w:val="14"/>
              </w:rPr>
            </w:pPr>
            <w:r>
              <w:rPr>
                <w:sz w:val="14"/>
              </w:rPr>
              <w:t>144</w:t>
            </w:r>
          </w:p>
        </w:tc>
      </w:tr>
      <w:tr w:rsidR="00000000">
        <w:tblPrEx>
          <w:tblCellMar>
            <w:top w:w="0" w:type="dxa"/>
            <w:bottom w:w="0" w:type="dxa"/>
          </w:tblCellMar>
        </w:tblPrEx>
        <w:trPr>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Ingeniería</w:t>
            </w:r>
          </w:p>
        </w:tc>
        <w:tc>
          <w:tcPr>
            <w:tcW w:w="876" w:type="dxa"/>
            <w:vAlign w:val="bottom"/>
          </w:tcPr>
          <w:p w:rsidR="00000000" w:rsidRDefault="00000000">
            <w:pPr>
              <w:pStyle w:val="SingleTxt"/>
              <w:spacing w:before="20" w:after="20" w:line="160" w:lineRule="exact"/>
              <w:ind w:left="0" w:right="14"/>
              <w:jc w:val="right"/>
              <w:rPr>
                <w:sz w:val="14"/>
              </w:rPr>
            </w:pPr>
            <w:r>
              <w:rPr>
                <w:sz w:val="14"/>
              </w:rPr>
              <w:t>62</w:t>
            </w:r>
          </w:p>
        </w:tc>
        <w:tc>
          <w:tcPr>
            <w:tcW w:w="744" w:type="dxa"/>
            <w:vAlign w:val="bottom"/>
          </w:tcPr>
          <w:p w:rsidR="00000000" w:rsidRDefault="00000000">
            <w:pPr>
              <w:pStyle w:val="SingleTxt"/>
              <w:spacing w:before="20" w:after="20" w:line="160" w:lineRule="exact"/>
              <w:ind w:left="0" w:right="14"/>
              <w:jc w:val="right"/>
              <w:rPr>
                <w:sz w:val="14"/>
              </w:rPr>
            </w:pPr>
            <w:r>
              <w:rPr>
                <w:sz w:val="14"/>
              </w:rPr>
              <w:t>2</w:t>
            </w:r>
          </w:p>
        </w:tc>
        <w:tc>
          <w:tcPr>
            <w:tcW w:w="696" w:type="dxa"/>
            <w:vAlign w:val="bottom"/>
          </w:tcPr>
          <w:p w:rsidR="00000000" w:rsidRDefault="00000000">
            <w:pPr>
              <w:pStyle w:val="SingleTxt"/>
              <w:spacing w:before="20" w:after="20" w:line="160" w:lineRule="exact"/>
              <w:ind w:left="0" w:right="14"/>
              <w:jc w:val="right"/>
              <w:rPr>
                <w:sz w:val="14"/>
              </w:rPr>
            </w:pPr>
            <w:r>
              <w:rPr>
                <w:sz w:val="14"/>
              </w:rPr>
              <w:t>64</w:t>
            </w:r>
          </w:p>
        </w:tc>
        <w:tc>
          <w:tcPr>
            <w:tcW w:w="900" w:type="dxa"/>
            <w:vAlign w:val="bottom"/>
          </w:tcPr>
          <w:p w:rsidR="00000000" w:rsidRDefault="00000000">
            <w:pPr>
              <w:pStyle w:val="SingleTxt"/>
              <w:spacing w:before="20" w:after="20" w:line="160" w:lineRule="exact"/>
              <w:ind w:left="0" w:right="14"/>
              <w:jc w:val="right"/>
              <w:rPr>
                <w:sz w:val="14"/>
              </w:rPr>
            </w:pPr>
            <w:r>
              <w:rPr>
                <w:sz w:val="14"/>
              </w:rPr>
              <w:t>72</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62" w:type="dxa"/>
            <w:vAlign w:val="bottom"/>
          </w:tcPr>
          <w:p w:rsidR="00000000" w:rsidRDefault="00000000">
            <w:pPr>
              <w:pStyle w:val="SingleTxt"/>
              <w:spacing w:before="20" w:after="20" w:line="160" w:lineRule="exact"/>
              <w:ind w:left="0" w:right="14"/>
              <w:jc w:val="right"/>
              <w:rPr>
                <w:sz w:val="14"/>
              </w:rPr>
            </w:pPr>
            <w:r>
              <w:rPr>
                <w:sz w:val="14"/>
              </w:rPr>
              <w:t>72</w:t>
            </w:r>
          </w:p>
        </w:tc>
        <w:tc>
          <w:tcPr>
            <w:tcW w:w="688" w:type="dxa"/>
            <w:vAlign w:val="bottom"/>
          </w:tcPr>
          <w:p w:rsidR="00000000" w:rsidRDefault="00000000">
            <w:pPr>
              <w:pStyle w:val="SingleTxt"/>
              <w:spacing w:before="20" w:after="20" w:line="160" w:lineRule="exact"/>
              <w:ind w:left="0" w:right="14"/>
              <w:jc w:val="right"/>
              <w:rPr>
                <w:sz w:val="14"/>
              </w:rPr>
            </w:pPr>
            <w:r>
              <w:rPr>
                <w:sz w:val="14"/>
              </w:rPr>
              <w:t>135</w:t>
            </w:r>
          </w:p>
        </w:tc>
        <w:tc>
          <w:tcPr>
            <w:tcW w:w="900" w:type="dxa"/>
            <w:vAlign w:val="bottom"/>
          </w:tcPr>
          <w:p w:rsidR="00000000" w:rsidRDefault="00000000">
            <w:pPr>
              <w:pStyle w:val="SingleTxt"/>
              <w:spacing w:before="20" w:after="20" w:line="160" w:lineRule="exact"/>
              <w:ind w:left="0" w:right="14"/>
              <w:jc w:val="right"/>
              <w:rPr>
                <w:sz w:val="14"/>
              </w:rPr>
            </w:pPr>
            <w:r>
              <w:rPr>
                <w:sz w:val="14"/>
              </w:rPr>
              <w:t>63</w:t>
            </w:r>
          </w:p>
        </w:tc>
        <w:tc>
          <w:tcPr>
            <w:tcW w:w="810" w:type="dxa"/>
            <w:vAlign w:val="bottom"/>
          </w:tcPr>
          <w:p w:rsidR="00000000" w:rsidRDefault="00000000">
            <w:pPr>
              <w:pStyle w:val="SingleTxt"/>
              <w:spacing w:before="20" w:after="20" w:line="160" w:lineRule="exact"/>
              <w:ind w:left="0" w:right="14"/>
              <w:jc w:val="right"/>
              <w:rPr>
                <w:sz w:val="14"/>
              </w:rPr>
            </w:pPr>
            <w:r>
              <w:rPr>
                <w:sz w:val="14"/>
              </w:rPr>
              <w:t>3</w:t>
            </w:r>
          </w:p>
        </w:tc>
        <w:tc>
          <w:tcPr>
            <w:tcW w:w="630" w:type="dxa"/>
            <w:vAlign w:val="bottom"/>
          </w:tcPr>
          <w:p w:rsidR="00000000" w:rsidRDefault="00000000">
            <w:pPr>
              <w:pStyle w:val="SingleTxt"/>
              <w:spacing w:before="20" w:after="20" w:line="160" w:lineRule="exact"/>
              <w:ind w:left="0" w:right="14"/>
              <w:jc w:val="right"/>
              <w:rPr>
                <w:sz w:val="14"/>
              </w:rPr>
            </w:pPr>
            <w:r>
              <w:rPr>
                <w:sz w:val="14"/>
              </w:rPr>
              <w:t>66</w:t>
            </w:r>
          </w:p>
        </w:tc>
        <w:tc>
          <w:tcPr>
            <w:tcW w:w="810" w:type="dxa"/>
            <w:vAlign w:val="bottom"/>
          </w:tcPr>
          <w:p w:rsidR="00000000" w:rsidRDefault="00000000">
            <w:pPr>
              <w:pStyle w:val="SingleTxt"/>
              <w:spacing w:before="20" w:after="20" w:line="160" w:lineRule="exact"/>
              <w:ind w:left="0" w:right="14"/>
              <w:jc w:val="right"/>
              <w:rPr>
                <w:sz w:val="14"/>
              </w:rPr>
            </w:pPr>
            <w:r>
              <w:rPr>
                <w:sz w:val="14"/>
              </w:rPr>
              <w:t>72</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30" w:type="dxa"/>
            <w:vAlign w:val="bottom"/>
          </w:tcPr>
          <w:p w:rsidR="00000000" w:rsidRDefault="00000000">
            <w:pPr>
              <w:pStyle w:val="SingleTxt"/>
              <w:spacing w:before="20" w:after="20" w:line="160" w:lineRule="exact"/>
              <w:ind w:left="0" w:right="14"/>
              <w:jc w:val="right"/>
              <w:rPr>
                <w:sz w:val="14"/>
              </w:rPr>
            </w:pPr>
            <w:r>
              <w:rPr>
                <w:sz w:val="14"/>
              </w:rPr>
              <w:t>72</w:t>
            </w:r>
          </w:p>
        </w:tc>
        <w:tc>
          <w:tcPr>
            <w:tcW w:w="630" w:type="dxa"/>
            <w:vAlign w:val="bottom"/>
          </w:tcPr>
          <w:p w:rsidR="00000000" w:rsidRDefault="00000000">
            <w:pPr>
              <w:pStyle w:val="SingleTxt"/>
              <w:spacing w:before="20" w:after="20" w:line="160" w:lineRule="exact"/>
              <w:ind w:left="0" w:right="14"/>
              <w:jc w:val="right"/>
              <w:rPr>
                <w:sz w:val="14"/>
              </w:rPr>
            </w:pPr>
            <w:r>
              <w:rPr>
                <w:sz w:val="14"/>
              </w:rPr>
              <w:t>138</w:t>
            </w:r>
          </w:p>
        </w:tc>
      </w:tr>
      <w:tr w:rsidR="00000000">
        <w:tblPrEx>
          <w:tblCellMar>
            <w:top w:w="0" w:type="dxa"/>
            <w:bottom w:w="0" w:type="dxa"/>
          </w:tblCellMar>
        </w:tblPrEx>
        <w:trPr>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Ciencia Médica</w:t>
            </w:r>
          </w:p>
        </w:tc>
        <w:tc>
          <w:tcPr>
            <w:tcW w:w="876" w:type="dxa"/>
            <w:vAlign w:val="bottom"/>
          </w:tcPr>
          <w:p w:rsidR="00000000" w:rsidRDefault="00000000">
            <w:pPr>
              <w:pStyle w:val="SingleTxt"/>
              <w:spacing w:before="20" w:after="20" w:line="160" w:lineRule="exact"/>
              <w:ind w:left="0" w:right="14"/>
              <w:jc w:val="right"/>
              <w:rPr>
                <w:sz w:val="14"/>
              </w:rPr>
            </w:pPr>
            <w:r>
              <w:rPr>
                <w:sz w:val="14"/>
              </w:rPr>
              <w:t>1</w:t>
            </w:r>
          </w:p>
        </w:tc>
        <w:tc>
          <w:tcPr>
            <w:tcW w:w="744" w:type="dxa"/>
            <w:vAlign w:val="bottom"/>
          </w:tcPr>
          <w:p w:rsidR="00000000" w:rsidRDefault="00000000">
            <w:pPr>
              <w:pStyle w:val="SingleTxt"/>
              <w:spacing w:before="20" w:after="20" w:line="160" w:lineRule="exact"/>
              <w:ind w:left="0" w:right="14"/>
              <w:jc w:val="right"/>
              <w:rPr>
                <w:sz w:val="14"/>
              </w:rPr>
            </w:pPr>
            <w:r>
              <w:rPr>
                <w:sz w:val="14"/>
              </w:rPr>
              <w:t>0</w:t>
            </w:r>
          </w:p>
        </w:tc>
        <w:tc>
          <w:tcPr>
            <w:tcW w:w="696" w:type="dxa"/>
            <w:vAlign w:val="bottom"/>
          </w:tcPr>
          <w:p w:rsidR="00000000" w:rsidRDefault="00000000">
            <w:pPr>
              <w:pStyle w:val="SingleTxt"/>
              <w:spacing w:before="20" w:after="20" w:line="160" w:lineRule="exact"/>
              <w:ind w:left="0" w:right="14"/>
              <w:jc w:val="right"/>
              <w:rPr>
                <w:sz w:val="14"/>
              </w:rPr>
            </w:pPr>
            <w:r>
              <w:rPr>
                <w:sz w:val="14"/>
              </w:rPr>
              <w:t>1</w:t>
            </w:r>
          </w:p>
        </w:tc>
        <w:tc>
          <w:tcPr>
            <w:tcW w:w="900" w:type="dxa"/>
            <w:vAlign w:val="bottom"/>
          </w:tcPr>
          <w:p w:rsidR="00000000" w:rsidRDefault="00000000">
            <w:pPr>
              <w:pStyle w:val="SingleTxt"/>
              <w:spacing w:before="20" w:after="20" w:line="160" w:lineRule="exact"/>
              <w:ind w:left="0" w:right="14"/>
              <w:jc w:val="right"/>
              <w:rPr>
                <w:sz w:val="14"/>
              </w:rPr>
            </w:pPr>
            <w:r>
              <w:rPr>
                <w:sz w:val="14"/>
              </w:rPr>
              <w:t>13</w:t>
            </w:r>
          </w:p>
        </w:tc>
        <w:tc>
          <w:tcPr>
            <w:tcW w:w="810" w:type="dxa"/>
            <w:vAlign w:val="bottom"/>
          </w:tcPr>
          <w:p w:rsidR="00000000" w:rsidRDefault="00000000">
            <w:pPr>
              <w:pStyle w:val="SingleTxt"/>
              <w:spacing w:before="20" w:after="20" w:line="160" w:lineRule="exact"/>
              <w:ind w:left="0" w:right="14"/>
              <w:jc w:val="right"/>
              <w:rPr>
                <w:sz w:val="14"/>
              </w:rPr>
            </w:pPr>
            <w:r>
              <w:rPr>
                <w:sz w:val="14"/>
              </w:rPr>
              <w:t>3</w:t>
            </w:r>
          </w:p>
        </w:tc>
        <w:tc>
          <w:tcPr>
            <w:tcW w:w="662" w:type="dxa"/>
            <w:vAlign w:val="bottom"/>
          </w:tcPr>
          <w:p w:rsidR="00000000" w:rsidRDefault="00000000">
            <w:pPr>
              <w:pStyle w:val="SingleTxt"/>
              <w:spacing w:before="20" w:after="20" w:line="160" w:lineRule="exact"/>
              <w:ind w:left="0" w:right="14"/>
              <w:jc w:val="right"/>
              <w:rPr>
                <w:sz w:val="14"/>
              </w:rPr>
            </w:pPr>
            <w:r>
              <w:rPr>
                <w:sz w:val="14"/>
              </w:rPr>
              <w:t>16</w:t>
            </w:r>
          </w:p>
        </w:tc>
        <w:tc>
          <w:tcPr>
            <w:tcW w:w="688" w:type="dxa"/>
            <w:vAlign w:val="bottom"/>
          </w:tcPr>
          <w:p w:rsidR="00000000" w:rsidRDefault="00000000">
            <w:pPr>
              <w:pStyle w:val="SingleTxt"/>
              <w:spacing w:before="20" w:after="20" w:line="160" w:lineRule="exact"/>
              <w:ind w:left="0" w:right="14"/>
              <w:jc w:val="right"/>
              <w:rPr>
                <w:sz w:val="14"/>
              </w:rPr>
            </w:pPr>
            <w:r>
              <w:rPr>
                <w:sz w:val="14"/>
              </w:rPr>
              <w:t>17</w:t>
            </w:r>
          </w:p>
        </w:tc>
        <w:tc>
          <w:tcPr>
            <w:tcW w:w="900" w:type="dxa"/>
            <w:vAlign w:val="bottom"/>
          </w:tcPr>
          <w:p w:rsidR="00000000" w:rsidRDefault="00000000">
            <w:pPr>
              <w:pStyle w:val="SingleTxt"/>
              <w:spacing w:before="20" w:after="20" w:line="160" w:lineRule="exact"/>
              <w:ind w:left="0" w:right="14"/>
              <w:jc w:val="right"/>
              <w:rPr>
                <w:sz w:val="14"/>
              </w:rPr>
            </w:pPr>
            <w:r>
              <w:rPr>
                <w:sz w:val="14"/>
              </w:rPr>
              <w:t>1</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30" w:type="dxa"/>
            <w:vAlign w:val="bottom"/>
          </w:tcPr>
          <w:p w:rsidR="00000000" w:rsidRDefault="00000000">
            <w:pPr>
              <w:pStyle w:val="SingleTxt"/>
              <w:spacing w:before="20" w:after="20" w:line="160" w:lineRule="exact"/>
              <w:ind w:left="0" w:right="14"/>
              <w:jc w:val="right"/>
              <w:rPr>
                <w:sz w:val="14"/>
              </w:rPr>
            </w:pPr>
            <w:r>
              <w:rPr>
                <w:sz w:val="14"/>
              </w:rPr>
              <w:t>1</w:t>
            </w:r>
          </w:p>
        </w:tc>
        <w:tc>
          <w:tcPr>
            <w:tcW w:w="810" w:type="dxa"/>
            <w:vAlign w:val="bottom"/>
          </w:tcPr>
          <w:p w:rsidR="00000000" w:rsidRDefault="00000000">
            <w:pPr>
              <w:pStyle w:val="SingleTxt"/>
              <w:spacing w:before="20" w:after="20" w:line="160" w:lineRule="exact"/>
              <w:ind w:left="0" w:right="14"/>
              <w:jc w:val="right"/>
              <w:rPr>
                <w:sz w:val="14"/>
              </w:rPr>
            </w:pPr>
            <w:r>
              <w:rPr>
                <w:sz w:val="14"/>
              </w:rPr>
              <w:t>13</w:t>
            </w:r>
          </w:p>
        </w:tc>
        <w:tc>
          <w:tcPr>
            <w:tcW w:w="810" w:type="dxa"/>
            <w:vAlign w:val="bottom"/>
          </w:tcPr>
          <w:p w:rsidR="00000000" w:rsidRDefault="00000000">
            <w:pPr>
              <w:pStyle w:val="SingleTxt"/>
              <w:spacing w:before="20" w:after="20" w:line="160" w:lineRule="exact"/>
              <w:ind w:left="0" w:right="14"/>
              <w:jc w:val="right"/>
              <w:rPr>
                <w:sz w:val="14"/>
              </w:rPr>
            </w:pPr>
            <w:r>
              <w:rPr>
                <w:sz w:val="14"/>
              </w:rPr>
              <w:t>3</w:t>
            </w:r>
          </w:p>
        </w:tc>
        <w:tc>
          <w:tcPr>
            <w:tcW w:w="630" w:type="dxa"/>
            <w:vAlign w:val="bottom"/>
          </w:tcPr>
          <w:p w:rsidR="00000000" w:rsidRDefault="00000000">
            <w:pPr>
              <w:pStyle w:val="SingleTxt"/>
              <w:spacing w:before="20" w:after="20" w:line="160" w:lineRule="exact"/>
              <w:ind w:left="0" w:right="14"/>
              <w:jc w:val="right"/>
              <w:rPr>
                <w:sz w:val="14"/>
              </w:rPr>
            </w:pPr>
            <w:r>
              <w:rPr>
                <w:sz w:val="14"/>
              </w:rPr>
              <w:t>16</w:t>
            </w:r>
          </w:p>
        </w:tc>
        <w:tc>
          <w:tcPr>
            <w:tcW w:w="630" w:type="dxa"/>
            <w:vAlign w:val="bottom"/>
          </w:tcPr>
          <w:p w:rsidR="00000000" w:rsidRDefault="00000000">
            <w:pPr>
              <w:pStyle w:val="SingleTxt"/>
              <w:spacing w:before="20" w:after="20" w:line="160" w:lineRule="exact"/>
              <w:ind w:left="0" w:right="14"/>
              <w:jc w:val="right"/>
              <w:rPr>
                <w:sz w:val="14"/>
              </w:rPr>
            </w:pPr>
            <w:r>
              <w:rPr>
                <w:sz w:val="14"/>
              </w:rPr>
              <w:t>17</w:t>
            </w:r>
          </w:p>
        </w:tc>
      </w:tr>
      <w:tr w:rsidR="00000000">
        <w:tblPrEx>
          <w:tblCellMar>
            <w:top w:w="0" w:type="dxa"/>
            <w:bottom w:w="0" w:type="dxa"/>
          </w:tblCellMar>
        </w:tblPrEx>
        <w:trPr>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Educación</w:t>
            </w:r>
          </w:p>
        </w:tc>
        <w:tc>
          <w:tcPr>
            <w:tcW w:w="876" w:type="dxa"/>
            <w:vAlign w:val="bottom"/>
          </w:tcPr>
          <w:p w:rsidR="00000000" w:rsidRDefault="00000000">
            <w:pPr>
              <w:pStyle w:val="SingleTxt"/>
              <w:spacing w:before="20" w:after="20" w:line="160" w:lineRule="exact"/>
              <w:ind w:left="0" w:right="14"/>
              <w:jc w:val="right"/>
              <w:rPr>
                <w:sz w:val="14"/>
              </w:rPr>
            </w:pPr>
            <w:r>
              <w:rPr>
                <w:sz w:val="14"/>
              </w:rPr>
              <w:t>41</w:t>
            </w:r>
          </w:p>
        </w:tc>
        <w:tc>
          <w:tcPr>
            <w:tcW w:w="744" w:type="dxa"/>
            <w:vAlign w:val="bottom"/>
          </w:tcPr>
          <w:p w:rsidR="00000000" w:rsidRDefault="00000000">
            <w:pPr>
              <w:pStyle w:val="SingleTxt"/>
              <w:spacing w:before="20" w:after="20" w:line="160" w:lineRule="exact"/>
              <w:ind w:left="0" w:right="14"/>
              <w:jc w:val="right"/>
              <w:rPr>
                <w:sz w:val="14"/>
              </w:rPr>
            </w:pPr>
            <w:r>
              <w:rPr>
                <w:sz w:val="14"/>
              </w:rPr>
              <w:t>19</w:t>
            </w:r>
          </w:p>
        </w:tc>
        <w:tc>
          <w:tcPr>
            <w:tcW w:w="696" w:type="dxa"/>
            <w:vAlign w:val="bottom"/>
          </w:tcPr>
          <w:p w:rsidR="00000000" w:rsidRDefault="00000000">
            <w:pPr>
              <w:pStyle w:val="SingleTxt"/>
              <w:spacing w:before="20" w:after="20" w:line="160" w:lineRule="exact"/>
              <w:ind w:left="0" w:right="14"/>
              <w:jc w:val="right"/>
              <w:rPr>
                <w:sz w:val="14"/>
              </w:rPr>
            </w:pPr>
            <w:r>
              <w:rPr>
                <w:sz w:val="14"/>
              </w:rPr>
              <w:t>60</w:t>
            </w:r>
          </w:p>
        </w:tc>
        <w:tc>
          <w:tcPr>
            <w:tcW w:w="900" w:type="dxa"/>
            <w:vAlign w:val="bottom"/>
          </w:tcPr>
          <w:p w:rsidR="00000000" w:rsidRDefault="00000000">
            <w:pPr>
              <w:pStyle w:val="SingleTxt"/>
              <w:spacing w:before="20" w:after="20" w:line="160" w:lineRule="exact"/>
              <w:ind w:left="0" w:right="14"/>
              <w:jc w:val="right"/>
              <w:rPr>
                <w:sz w:val="14"/>
              </w:rPr>
            </w:pPr>
            <w:r>
              <w:rPr>
                <w:sz w:val="14"/>
              </w:rPr>
              <w:t>17</w:t>
            </w:r>
          </w:p>
        </w:tc>
        <w:tc>
          <w:tcPr>
            <w:tcW w:w="810" w:type="dxa"/>
            <w:vAlign w:val="bottom"/>
          </w:tcPr>
          <w:p w:rsidR="00000000" w:rsidRDefault="00000000">
            <w:pPr>
              <w:pStyle w:val="SingleTxt"/>
              <w:spacing w:before="20" w:after="20" w:line="160" w:lineRule="exact"/>
              <w:ind w:left="0" w:right="14"/>
              <w:jc w:val="right"/>
              <w:rPr>
                <w:sz w:val="14"/>
              </w:rPr>
            </w:pPr>
            <w:r>
              <w:rPr>
                <w:sz w:val="14"/>
              </w:rPr>
              <w:t>2</w:t>
            </w:r>
          </w:p>
        </w:tc>
        <w:tc>
          <w:tcPr>
            <w:tcW w:w="662" w:type="dxa"/>
            <w:vAlign w:val="bottom"/>
          </w:tcPr>
          <w:p w:rsidR="00000000" w:rsidRDefault="00000000">
            <w:pPr>
              <w:pStyle w:val="SingleTxt"/>
              <w:spacing w:before="20" w:after="20" w:line="160" w:lineRule="exact"/>
              <w:ind w:left="0" w:right="14"/>
              <w:jc w:val="right"/>
              <w:rPr>
                <w:sz w:val="14"/>
              </w:rPr>
            </w:pPr>
            <w:r>
              <w:rPr>
                <w:sz w:val="14"/>
              </w:rPr>
              <w:t>19</w:t>
            </w:r>
          </w:p>
        </w:tc>
        <w:tc>
          <w:tcPr>
            <w:tcW w:w="688" w:type="dxa"/>
            <w:vAlign w:val="bottom"/>
          </w:tcPr>
          <w:p w:rsidR="00000000" w:rsidRDefault="00000000">
            <w:pPr>
              <w:pStyle w:val="SingleTxt"/>
              <w:spacing w:before="20" w:after="20" w:line="160" w:lineRule="exact"/>
              <w:ind w:left="0" w:right="14"/>
              <w:jc w:val="right"/>
              <w:rPr>
                <w:sz w:val="14"/>
              </w:rPr>
            </w:pPr>
            <w:r>
              <w:rPr>
                <w:sz w:val="14"/>
              </w:rPr>
              <w:t>79</w:t>
            </w:r>
          </w:p>
        </w:tc>
        <w:tc>
          <w:tcPr>
            <w:tcW w:w="900" w:type="dxa"/>
            <w:vAlign w:val="bottom"/>
          </w:tcPr>
          <w:p w:rsidR="00000000" w:rsidRDefault="00000000">
            <w:pPr>
              <w:pStyle w:val="SingleTxt"/>
              <w:spacing w:before="20" w:after="20" w:line="160" w:lineRule="exact"/>
              <w:ind w:left="0" w:right="14"/>
              <w:jc w:val="right"/>
              <w:rPr>
                <w:sz w:val="14"/>
              </w:rPr>
            </w:pPr>
            <w:r>
              <w:rPr>
                <w:sz w:val="14"/>
              </w:rPr>
              <w:t>41</w:t>
            </w:r>
          </w:p>
        </w:tc>
        <w:tc>
          <w:tcPr>
            <w:tcW w:w="810" w:type="dxa"/>
            <w:vAlign w:val="bottom"/>
          </w:tcPr>
          <w:p w:rsidR="00000000" w:rsidRDefault="00000000">
            <w:pPr>
              <w:pStyle w:val="SingleTxt"/>
              <w:spacing w:before="20" w:after="20" w:line="160" w:lineRule="exact"/>
              <w:ind w:left="0" w:right="14"/>
              <w:jc w:val="right"/>
              <w:rPr>
                <w:sz w:val="14"/>
              </w:rPr>
            </w:pPr>
            <w:r>
              <w:rPr>
                <w:sz w:val="14"/>
              </w:rPr>
              <w:t>19</w:t>
            </w:r>
          </w:p>
        </w:tc>
        <w:tc>
          <w:tcPr>
            <w:tcW w:w="630" w:type="dxa"/>
            <w:vAlign w:val="bottom"/>
          </w:tcPr>
          <w:p w:rsidR="00000000" w:rsidRDefault="00000000">
            <w:pPr>
              <w:pStyle w:val="SingleTxt"/>
              <w:spacing w:before="20" w:after="20" w:line="160" w:lineRule="exact"/>
              <w:ind w:left="0" w:right="14"/>
              <w:jc w:val="right"/>
              <w:rPr>
                <w:sz w:val="14"/>
              </w:rPr>
            </w:pPr>
            <w:r>
              <w:rPr>
                <w:sz w:val="14"/>
              </w:rPr>
              <w:t>60</w:t>
            </w:r>
          </w:p>
        </w:tc>
        <w:tc>
          <w:tcPr>
            <w:tcW w:w="810" w:type="dxa"/>
            <w:vAlign w:val="bottom"/>
          </w:tcPr>
          <w:p w:rsidR="00000000" w:rsidRDefault="00000000">
            <w:pPr>
              <w:pStyle w:val="SingleTxt"/>
              <w:spacing w:before="20" w:after="20" w:line="160" w:lineRule="exact"/>
              <w:ind w:left="0" w:right="14"/>
              <w:jc w:val="right"/>
              <w:rPr>
                <w:sz w:val="14"/>
              </w:rPr>
            </w:pPr>
            <w:r>
              <w:rPr>
                <w:sz w:val="14"/>
              </w:rPr>
              <w:t>17</w:t>
            </w:r>
          </w:p>
        </w:tc>
        <w:tc>
          <w:tcPr>
            <w:tcW w:w="810" w:type="dxa"/>
            <w:vAlign w:val="bottom"/>
          </w:tcPr>
          <w:p w:rsidR="00000000" w:rsidRDefault="00000000">
            <w:pPr>
              <w:pStyle w:val="SingleTxt"/>
              <w:spacing w:before="20" w:after="20" w:line="160" w:lineRule="exact"/>
              <w:ind w:left="0" w:right="14"/>
              <w:jc w:val="right"/>
              <w:rPr>
                <w:sz w:val="14"/>
              </w:rPr>
            </w:pPr>
            <w:r>
              <w:rPr>
                <w:sz w:val="14"/>
              </w:rPr>
              <w:t>2</w:t>
            </w:r>
          </w:p>
        </w:tc>
        <w:tc>
          <w:tcPr>
            <w:tcW w:w="630" w:type="dxa"/>
            <w:vAlign w:val="bottom"/>
          </w:tcPr>
          <w:p w:rsidR="00000000" w:rsidRDefault="00000000">
            <w:pPr>
              <w:pStyle w:val="SingleTxt"/>
              <w:spacing w:before="20" w:after="20" w:line="160" w:lineRule="exact"/>
              <w:ind w:left="0" w:right="14"/>
              <w:jc w:val="right"/>
              <w:rPr>
                <w:sz w:val="14"/>
              </w:rPr>
            </w:pPr>
            <w:r>
              <w:rPr>
                <w:sz w:val="14"/>
              </w:rPr>
              <w:t>19</w:t>
            </w:r>
          </w:p>
        </w:tc>
        <w:tc>
          <w:tcPr>
            <w:tcW w:w="630" w:type="dxa"/>
            <w:vAlign w:val="bottom"/>
          </w:tcPr>
          <w:p w:rsidR="00000000" w:rsidRDefault="00000000">
            <w:pPr>
              <w:pStyle w:val="SingleTxt"/>
              <w:spacing w:before="20" w:after="20" w:line="160" w:lineRule="exact"/>
              <w:ind w:left="0" w:right="14"/>
              <w:jc w:val="right"/>
              <w:rPr>
                <w:sz w:val="14"/>
              </w:rPr>
            </w:pPr>
            <w:r>
              <w:rPr>
                <w:sz w:val="14"/>
              </w:rPr>
              <w:t>79</w:t>
            </w:r>
          </w:p>
        </w:tc>
      </w:tr>
      <w:tr w:rsidR="00000000">
        <w:tblPrEx>
          <w:tblCellMar>
            <w:top w:w="0" w:type="dxa"/>
            <w:bottom w:w="0" w:type="dxa"/>
          </w:tblCellMar>
        </w:tblPrEx>
        <w:trPr>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Derecho Islám</w:t>
            </w:r>
            <w:r>
              <w:rPr>
                <w:sz w:val="14"/>
              </w:rPr>
              <w:t>i</w:t>
            </w:r>
            <w:r>
              <w:rPr>
                <w:sz w:val="14"/>
              </w:rPr>
              <w:t>co</w:t>
            </w:r>
          </w:p>
        </w:tc>
        <w:tc>
          <w:tcPr>
            <w:tcW w:w="876" w:type="dxa"/>
            <w:vAlign w:val="bottom"/>
          </w:tcPr>
          <w:p w:rsidR="00000000" w:rsidRDefault="00000000">
            <w:pPr>
              <w:pStyle w:val="SingleTxt"/>
              <w:spacing w:before="20" w:after="20" w:line="160" w:lineRule="exact"/>
              <w:ind w:left="0" w:right="14"/>
              <w:jc w:val="right"/>
              <w:rPr>
                <w:sz w:val="14"/>
              </w:rPr>
            </w:pPr>
            <w:r>
              <w:rPr>
                <w:sz w:val="14"/>
              </w:rPr>
              <w:t>12</w:t>
            </w:r>
          </w:p>
        </w:tc>
        <w:tc>
          <w:tcPr>
            <w:tcW w:w="744" w:type="dxa"/>
            <w:vAlign w:val="bottom"/>
          </w:tcPr>
          <w:p w:rsidR="00000000" w:rsidRDefault="00000000">
            <w:pPr>
              <w:pStyle w:val="SingleTxt"/>
              <w:spacing w:before="20" w:after="20" w:line="160" w:lineRule="exact"/>
              <w:ind w:left="0" w:right="14"/>
              <w:jc w:val="right"/>
              <w:rPr>
                <w:sz w:val="14"/>
              </w:rPr>
            </w:pPr>
            <w:r>
              <w:rPr>
                <w:sz w:val="14"/>
              </w:rPr>
              <w:t>0</w:t>
            </w:r>
          </w:p>
        </w:tc>
        <w:tc>
          <w:tcPr>
            <w:tcW w:w="696" w:type="dxa"/>
            <w:vAlign w:val="bottom"/>
          </w:tcPr>
          <w:p w:rsidR="00000000" w:rsidRDefault="00000000">
            <w:pPr>
              <w:pStyle w:val="SingleTxt"/>
              <w:spacing w:before="20" w:after="20" w:line="160" w:lineRule="exact"/>
              <w:ind w:left="0" w:right="14"/>
              <w:jc w:val="right"/>
              <w:rPr>
                <w:sz w:val="14"/>
              </w:rPr>
            </w:pPr>
            <w:r>
              <w:rPr>
                <w:sz w:val="14"/>
              </w:rPr>
              <w:t>12</w:t>
            </w:r>
          </w:p>
        </w:tc>
        <w:tc>
          <w:tcPr>
            <w:tcW w:w="900" w:type="dxa"/>
            <w:vAlign w:val="bottom"/>
          </w:tcPr>
          <w:p w:rsidR="00000000" w:rsidRDefault="00000000">
            <w:pPr>
              <w:pStyle w:val="SingleTxt"/>
              <w:spacing w:before="20" w:after="20" w:line="160" w:lineRule="exact"/>
              <w:ind w:left="0" w:right="14"/>
              <w:jc w:val="right"/>
              <w:rPr>
                <w:sz w:val="14"/>
              </w:rPr>
            </w:pPr>
            <w:r>
              <w:rPr>
                <w:sz w:val="14"/>
              </w:rPr>
              <w:t>33</w:t>
            </w:r>
          </w:p>
        </w:tc>
        <w:tc>
          <w:tcPr>
            <w:tcW w:w="810" w:type="dxa"/>
            <w:vAlign w:val="bottom"/>
          </w:tcPr>
          <w:p w:rsidR="00000000" w:rsidRDefault="00000000">
            <w:pPr>
              <w:pStyle w:val="SingleTxt"/>
              <w:spacing w:before="20" w:after="20" w:line="160" w:lineRule="exact"/>
              <w:ind w:left="0" w:right="14"/>
              <w:jc w:val="right"/>
              <w:rPr>
                <w:sz w:val="14"/>
              </w:rPr>
            </w:pPr>
            <w:r>
              <w:rPr>
                <w:sz w:val="14"/>
              </w:rPr>
              <w:t>2</w:t>
            </w:r>
          </w:p>
        </w:tc>
        <w:tc>
          <w:tcPr>
            <w:tcW w:w="662" w:type="dxa"/>
            <w:vAlign w:val="bottom"/>
          </w:tcPr>
          <w:p w:rsidR="00000000" w:rsidRDefault="00000000">
            <w:pPr>
              <w:pStyle w:val="SingleTxt"/>
              <w:spacing w:before="20" w:after="20" w:line="160" w:lineRule="exact"/>
              <w:ind w:left="0" w:right="14"/>
              <w:jc w:val="right"/>
              <w:rPr>
                <w:sz w:val="14"/>
              </w:rPr>
            </w:pPr>
            <w:r>
              <w:rPr>
                <w:sz w:val="14"/>
              </w:rPr>
              <w:t>35</w:t>
            </w:r>
          </w:p>
        </w:tc>
        <w:tc>
          <w:tcPr>
            <w:tcW w:w="688" w:type="dxa"/>
            <w:vAlign w:val="bottom"/>
          </w:tcPr>
          <w:p w:rsidR="00000000" w:rsidRDefault="00000000">
            <w:pPr>
              <w:pStyle w:val="SingleTxt"/>
              <w:spacing w:before="20" w:after="20" w:line="160" w:lineRule="exact"/>
              <w:ind w:left="0" w:right="14"/>
              <w:jc w:val="right"/>
              <w:rPr>
                <w:sz w:val="14"/>
              </w:rPr>
            </w:pPr>
            <w:r>
              <w:rPr>
                <w:sz w:val="14"/>
              </w:rPr>
              <w:t>47</w:t>
            </w:r>
          </w:p>
        </w:tc>
        <w:tc>
          <w:tcPr>
            <w:tcW w:w="900" w:type="dxa"/>
            <w:vAlign w:val="bottom"/>
          </w:tcPr>
          <w:p w:rsidR="00000000" w:rsidRDefault="00000000">
            <w:pPr>
              <w:pStyle w:val="SingleTxt"/>
              <w:spacing w:before="20" w:after="20" w:line="160" w:lineRule="exact"/>
              <w:ind w:left="0" w:right="14"/>
              <w:jc w:val="right"/>
              <w:rPr>
                <w:sz w:val="14"/>
              </w:rPr>
            </w:pPr>
            <w:r>
              <w:rPr>
                <w:sz w:val="14"/>
              </w:rPr>
              <w:t>13</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30" w:type="dxa"/>
            <w:vAlign w:val="bottom"/>
          </w:tcPr>
          <w:p w:rsidR="00000000" w:rsidRDefault="00000000">
            <w:pPr>
              <w:pStyle w:val="SingleTxt"/>
              <w:spacing w:before="20" w:after="20" w:line="160" w:lineRule="exact"/>
              <w:ind w:left="0" w:right="14"/>
              <w:jc w:val="right"/>
              <w:rPr>
                <w:sz w:val="14"/>
              </w:rPr>
            </w:pPr>
            <w:r>
              <w:rPr>
                <w:sz w:val="14"/>
              </w:rPr>
              <w:t>13</w:t>
            </w:r>
          </w:p>
        </w:tc>
        <w:tc>
          <w:tcPr>
            <w:tcW w:w="810" w:type="dxa"/>
            <w:vAlign w:val="bottom"/>
          </w:tcPr>
          <w:p w:rsidR="00000000" w:rsidRDefault="00000000">
            <w:pPr>
              <w:pStyle w:val="SingleTxt"/>
              <w:spacing w:before="20" w:after="20" w:line="160" w:lineRule="exact"/>
              <w:ind w:left="0" w:right="14"/>
              <w:jc w:val="right"/>
              <w:rPr>
                <w:sz w:val="14"/>
              </w:rPr>
            </w:pPr>
            <w:r>
              <w:rPr>
                <w:sz w:val="14"/>
              </w:rPr>
              <w:t>33</w:t>
            </w:r>
          </w:p>
        </w:tc>
        <w:tc>
          <w:tcPr>
            <w:tcW w:w="810" w:type="dxa"/>
            <w:vAlign w:val="bottom"/>
          </w:tcPr>
          <w:p w:rsidR="00000000" w:rsidRDefault="00000000">
            <w:pPr>
              <w:pStyle w:val="SingleTxt"/>
              <w:spacing w:before="20" w:after="20" w:line="160" w:lineRule="exact"/>
              <w:ind w:left="0" w:right="14"/>
              <w:jc w:val="right"/>
              <w:rPr>
                <w:sz w:val="14"/>
              </w:rPr>
            </w:pPr>
            <w:r>
              <w:rPr>
                <w:sz w:val="14"/>
              </w:rPr>
              <w:t>2</w:t>
            </w:r>
          </w:p>
        </w:tc>
        <w:tc>
          <w:tcPr>
            <w:tcW w:w="630" w:type="dxa"/>
            <w:vAlign w:val="bottom"/>
          </w:tcPr>
          <w:p w:rsidR="00000000" w:rsidRDefault="00000000">
            <w:pPr>
              <w:pStyle w:val="SingleTxt"/>
              <w:spacing w:before="20" w:after="20" w:line="160" w:lineRule="exact"/>
              <w:ind w:left="0" w:right="14"/>
              <w:jc w:val="right"/>
              <w:rPr>
                <w:sz w:val="14"/>
              </w:rPr>
            </w:pPr>
            <w:r>
              <w:rPr>
                <w:sz w:val="14"/>
              </w:rPr>
              <w:t>35</w:t>
            </w:r>
          </w:p>
        </w:tc>
        <w:tc>
          <w:tcPr>
            <w:tcW w:w="630" w:type="dxa"/>
            <w:vAlign w:val="bottom"/>
          </w:tcPr>
          <w:p w:rsidR="00000000" w:rsidRDefault="00000000">
            <w:pPr>
              <w:pStyle w:val="SingleTxt"/>
              <w:spacing w:before="20" w:after="20" w:line="160" w:lineRule="exact"/>
              <w:ind w:left="0" w:right="14"/>
              <w:jc w:val="right"/>
              <w:rPr>
                <w:sz w:val="14"/>
              </w:rPr>
            </w:pPr>
            <w:r>
              <w:rPr>
                <w:sz w:val="14"/>
              </w:rPr>
              <w:t>48</w:t>
            </w:r>
          </w:p>
        </w:tc>
      </w:tr>
      <w:tr w:rsidR="00000000">
        <w:tblPrEx>
          <w:tblCellMar>
            <w:top w:w="0" w:type="dxa"/>
            <w:bottom w:w="0" w:type="dxa"/>
          </w:tblCellMar>
        </w:tblPrEx>
        <w:trPr>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Ciencias Admi</w:t>
            </w:r>
            <w:r>
              <w:rPr>
                <w:sz w:val="14"/>
              </w:rPr>
              <w:br/>
              <w:t>nistrativas</w:t>
            </w:r>
          </w:p>
        </w:tc>
        <w:tc>
          <w:tcPr>
            <w:tcW w:w="876" w:type="dxa"/>
            <w:vAlign w:val="bottom"/>
          </w:tcPr>
          <w:p w:rsidR="00000000" w:rsidRDefault="00000000">
            <w:pPr>
              <w:pStyle w:val="SingleTxt"/>
              <w:spacing w:before="20" w:after="20" w:line="160" w:lineRule="exact"/>
              <w:ind w:left="0" w:right="14"/>
              <w:jc w:val="right"/>
              <w:rPr>
                <w:sz w:val="14"/>
              </w:rPr>
            </w:pPr>
            <w:r>
              <w:rPr>
                <w:sz w:val="14"/>
              </w:rPr>
              <w:t>62</w:t>
            </w:r>
          </w:p>
        </w:tc>
        <w:tc>
          <w:tcPr>
            <w:tcW w:w="744" w:type="dxa"/>
            <w:vAlign w:val="bottom"/>
          </w:tcPr>
          <w:p w:rsidR="00000000" w:rsidRDefault="00000000">
            <w:pPr>
              <w:pStyle w:val="SingleTxt"/>
              <w:spacing w:before="20" w:after="20" w:line="160" w:lineRule="exact"/>
              <w:ind w:left="0" w:right="14"/>
              <w:jc w:val="right"/>
              <w:rPr>
                <w:sz w:val="14"/>
              </w:rPr>
            </w:pPr>
            <w:r>
              <w:rPr>
                <w:sz w:val="14"/>
              </w:rPr>
              <w:t>9</w:t>
            </w:r>
          </w:p>
        </w:tc>
        <w:tc>
          <w:tcPr>
            <w:tcW w:w="696" w:type="dxa"/>
            <w:vAlign w:val="bottom"/>
          </w:tcPr>
          <w:p w:rsidR="00000000" w:rsidRDefault="00000000">
            <w:pPr>
              <w:pStyle w:val="SingleTxt"/>
              <w:spacing w:before="20" w:after="20" w:line="160" w:lineRule="exact"/>
              <w:ind w:left="0" w:right="14"/>
              <w:jc w:val="right"/>
              <w:rPr>
                <w:sz w:val="14"/>
              </w:rPr>
            </w:pPr>
            <w:r>
              <w:rPr>
                <w:sz w:val="14"/>
              </w:rPr>
              <w:t>71</w:t>
            </w:r>
          </w:p>
        </w:tc>
        <w:tc>
          <w:tcPr>
            <w:tcW w:w="900" w:type="dxa"/>
            <w:vAlign w:val="bottom"/>
          </w:tcPr>
          <w:p w:rsidR="00000000" w:rsidRDefault="00000000">
            <w:pPr>
              <w:pStyle w:val="SingleTxt"/>
              <w:spacing w:before="20" w:after="20" w:line="160" w:lineRule="exact"/>
              <w:ind w:left="0" w:right="14"/>
              <w:jc w:val="right"/>
              <w:rPr>
                <w:sz w:val="14"/>
              </w:rPr>
            </w:pPr>
            <w:r>
              <w:rPr>
                <w:sz w:val="14"/>
              </w:rPr>
              <w:t>34</w:t>
            </w:r>
          </w:p>
        </w:tc>
        <w:tc>
          <w:tcPr>
            <w:tcW w:w="810" w:type="dxa"/>
            <w:vAlign w:val="bottom"/>
          </w:tcPr>
          <w:p w:rsidR="00000000" w:rsidRDefault="00000000">
            <w:pPr>
              <w:pStyle w:val="SingleTxt"/>
              <w:spacing w:before="20" w:after="20" w:line="160" w:lineRule="exact"/>
              <w:ind w:left="0" w:right="14"/>
              <w:jc w:val="right"/>
              <w:rPr>
                <w:sz w:val="14"/>
              </w:rPr>
            </w:pPr>
            <w:r>
              <w:rPr>
                <w:sz w:val="14"/>
              </w:rPr>
              <w:t>1</w:t>
            </w:r>
          </w:p>
        </w:tc>
        <w:tc>
          <w:tcPr>
            <w:tcW w:w="662" w:type="dxa"/>
            <w:vAlign w:val="bottom"/>
          </w:tcPr>
          <w:p w:rsidR="00000000" w:rsidRDefault="00000000">
            <w:pPr>
              <w:pStyle w:val="SingleTxt"/>
              <w:spacing w:before="20" w:after="20" w:line="160" w:lineRule="exact"/>
              <w:ind w:left="0" w:right="14"/>
              <w:jc w:val="right"/>
              <w:rPr>
                <w:sz w:val="14"/>
              </w:rPr>
            </w:pPr>
            <w:r>
              <w:rPr>
                <w:sz w:val="14"/>
              </w:rPr>
              <w:t>35</w:t>
            </w:r>
          </w:p>
        </w:tc>
        <w:tc>
          <w:tcPr>
            <w:tcW w:w="688" w:type="dxa"/>
            <w:vAlign w:val="bottom"/>
          </w:tcPr>
          <w:p w:rsidR="00000000" w:rsidRDefault="00000000">
            <w:pPr>
              <w:pStyle w:val="SingleTxt"/>
              <w:spacing w:before="20" w:after="20" w:line="160" w:lineRule="exact"/>
              <w:ind w:left="0" w:right="14"/>
              <w:jc w:val="right"/>
              <w:rPr>
                <w:sz w:val="14"/>
              </w:rPr>
            </w:pPr>
            <w:r>
              <w:rPr>
                <w:sz w:val="14"/>
              </w:rPr>
              <w:t>106</w:t>
            </w:r>
          </w:p>
        </w:tc>
        <w:tc>
          <w:tcPr>
            <w:tcW w:w="900" w:type="dxa"/>
            <w:vAlign w:val="bottom"/>
          </w:tcPr>
          <w:p w:rsidR="00000000" w:rsidRDefault="00000000">
            <w:pPr>
              <w:pStyle w:val="SingleTxt"/>
              <w:spacing w:before="20" w:after="20" w:line="160" w:lineRule="exact"/>
              <w:ind w:left="0" w:right="14"/>
              <w:jc w:val="right"/>
              <w:rPr>
                <w:sz w:val="14"/>
              </w:rPr>
            </w:pPr>
            <w:r>
              <w:rPr>
                <w:sz w:val="14"/>
              </w:rPr>
              <w:t>62</w:t>
            </w:r>
          </w:p>
        </w:tc>
        <w:tc>
          <w:tcPr>
            <w:tcW w:w="810" w:type="dxa"/>
            <w:vAlign w:val="bottom"/>
          </w:tcPr>
          <w:p w:rsidR="00000000" w:rsidRDefault="00000000">
            <w:pPr>
              <w:pStyle w:val="SingleTxt"/>
              <w:spacing w:before="20" w:after="20" w:line="160" w:lineRule="exact"/>
              <w:ind w:left="0" w:right="14"/>
              <w:jc w:val="right"/>
              <w:rPr>
                <w:sz w:val="14"/>
              </w:rPr>
            </w:pPr>
            <w:r>
              <w:rPr>
                <w:sz w:val="14"/>
              </w:rPr>
              <w:t>9</w:t>
            </w:r>
          </w:p>
        </w:tc>
        <w:tc>
          <w:tcPr>
            <w:tcW w:w="630" w:type="dxa"/>
            <w:vAlign w:val="bottom"/>
          </w:tcPr>
          <w:p w:rsidR="00000000" w:rsidRDefault="00000000">
            <w:pPr>
              <w:pStyle w:val="SingleTxt"/>
              <w:spacing w:before="20" w:after="20" w:line="160" w:lineRule="exact"/>
              <w:ind w:left="0" w:right="14"/>
              <w:jc w:val="right"/>
              <w:rPr>
                <w:sz w:val="14"/>
              </w:rPr>
            </w:pPr>
            <w:r>
              <w:rPr>
                <w:sz w:val="14"/>
              </w:rPr>
              <w:t>71</w:t>
            </w:r>
          </w:p>
        </w:tc>
        <w:tc>
          <w:tcPr>
            <w:tcW w:w="810" w:type="dxa"/>
            <w:vAlign w:val="bottom"/>
          </w:tcPr>
          <w:p w:rsidR="00000000" w:rsidRDefault="00000000">
            <w:pPr>
              <w:pStyle w:val="SingleTxt"/>
              <w:spacing w:before="20" w:after="20" w:line="160" w:lineRule="exact"/>
              <w:ind w:left="0" w:right="14"/>
              <w:jc w:val="right"/>
              <w:rPr>
                <w:sz w:val="14"/>
              </w:rPr>
            </w:pPr>
            <w:r>
              <w:rPr>
                <w:sz w:val="14"/>
              </w:rPr>
              <w:t>34</w:t>
            </w:r>
          </w:p>
        </w:tc>
        <w:tc>
          <w:tcPr>
            <w:tcW w:w="810" w:type="dxa"/>
            <w:vAlign w:val="bottom"/>
          </w:tcPr>
          <w:p w:rsidR="00000000" w:rsidRDefault="00000000">
            <w:pPr>
              <w:pStyle w:val="SingleTxt"/>
              <w:spacing w:before="20" w:after="20" w:line="160" w:lineRule="exact"/>
              <w:ind w:left="0" w:right="14"/>
              <w:jc w:val="right"/>
              <w:rPr>
                <w:sz w:val="14"/>
              </w:rPr>
            </w:pPr>
            <w:r>
              <w:rPr>
                <w:sz w:val="14"/>
              </w:rPr>
              <w:t>1</w:t>
            </w:r>
          </w:p>
        </w:tc>
        <w:tc>
          <w:tcPr>
            <w:tcW w:w="630" w:type="dxa"/>
            <w:vAlign w:val="bottom"/>
          </w:tcPr>
          <w:p w:rsidR="00000000" w:rsidRDefault="00000000">
            <w:pPr>
              <w:pStyle w:val="SingleTxt"/>
              <w:spacing w:before="20" w:after="20" w:line="160" w:lineRule="exact"/>
              <w:ind w:left="0" w:right="14"/>
              <w:jc w:val="right"/>
              <w:rPr>
                <w:sz w:val="14"/>
              </w:rPr>
            </w:pPr>
            <w:r>
              <w:rPr>
                <w:sz w:val="14"/>
              </w:rPr>
              <w:t>35</w:t>
            </w:r>
          </w:p>
        </w:tc>
        <w:tc>
          <w:tcPr>
            <w:tcW w:w="630" w:type="dxa"/>
            <w:vAlign w:val="bottom"/>
          </w:tcPr>
          <w:p w:rsidR="00000000" w:rsidRDefault="00000000">
            <w:pPr>
              <w:pStyle w:val="SingleTxt"/>
              <w:spacing w:before="20" w:after="20" w:line="160" w:lineRule="exact"/>
              <w:ind w:left="0" w:right="14"/>
              <w:jc w:val="right"/>
              <w:rPr>
                <w:sz w:val="14"/>
              </w:rPr>
            </w:pPr>
            <w:r>
              <w:rPr>
                <w:sz w:val="14"/>
              </w:rPr>
              <w:t>106</w:t>
            </w:r>
          </w:p>
        </w:tc>
      </w:tr>
      <w:tr w:rsidR="00000000">
        <w:tblPrEx>
          <w:tblCellMar>
            <w:top w:w="0" w:type="dxa"/>
            <w:bottom w:w="0" w:type="dxa"/>
          </w:tblCellMar>
        </w:tblPrEx>
        <w:trPr>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Farmacología</w:t>
            </w:r>
          </w:p>
        </w:tc>
        <w:tc>
          <w:tcPr>
            <w:tcW w:w="876" w:type="dxa"/>
            <w:vAlign w:val="bottom"/>
          </w:tcPr>
          <w:p w:rsidR="00000000" w:rsidRDefault="00000000">
            <w:pPr>
              <w:pStyle w:val="SingleTxt"/>
              <w:spacing w:before="20" w:after="20" w:line="160" w:lineRule="exact"/>
              <w:ind w:left="0" w:right="14"/>
              <w:jc w:val="right"/>
              <w:rPr>
                <w:sz w:val="14"/>
              </w:rPr>
            </w:pPr>
            <w:r>
              <w:rPr>
                <w:sz w:val="14"/>
              </w:rPr>
              <w:t>0</w:t>
            </w:r>
          </w:p>
        </w:tc>
        <w:tc>
          <w:tcPr>
            <w:tcW w:w="744" w:type="dxa"/>
            <w:vAlign w:val="bottom"/>
          </w:tcPr>
          <w:p w:rsidR="00000000" w:rsidRDefault="00000000">
            <w:pPr>
              <w:pStyle w:val="SingleTxt"/>
              <w:spacing w:before="20" w:after="20" w:line="160" w:lineRule="exact"/>
              <w:ind w:left="0" w:right="14"/>
              <w:jc w:val="right"/>
              <w:rPr>
                <w:sz w:val="14"/>
              </w:rPr>
            </w:pPr>
            <w:r>
              <w:rPr>
                <w:sz w:val="14"/>
              </w:rPr>
              <w:t>0</w:t>
            </w:r>
          </w:p>
        </w:tc>
        <w:tc>
          <w:tcPr>
            <w:tcW w:w="696" w:type="dxa"/>
            <w:vAlign w:val="bottom"/>
          </w:tcPr>
          <w:p w:rsidR="00000000" w:rsidRDefault="00000000">
            <w:pPr>
              <w:pStyle w:val="SingleTxt"/>
              <w:spacing w:before="20" w:after="20" w:line="160" w:lineRule="exact"/>
              <w:ind w:left="0" w:right="14"/>
              <w:jc w:val="right"/>
              <w:rPr>
                <w:sz w:val="14"/>
              </w:rPr>
            </w:pPr>
            <w:r>
              <w:rPr>
                <w:sz w:val="14"/>
              </w:rPr>
              <w:t>0</w:t>
            </w:r>
          </w:p>
        </w:tc>
        <w:tc>
          <w:tcPr>
            <w:tcW w:w="900" w:type="dxa"/>
            <w:vAlign w:val="bottom"/>
          </w:tcPr>
          <w:p w:rsidR="00000000" w:rsidRDefault="00000000">
            <w:pPr>
              <w:pStyle w:val="SingleTxt"/>
              <w:spacing w:before="20" w:after="20" w:line="160" w:lineRule="exact"/>
              <w:ind w:left="0" w:right="14"/>
              <w:jc w:val="right"/>
              <w:rPr>
                <w:sz w:val="14"/>
              </w:rPr>
            </w:pPr>
            <w:r>
              <w:rPr>
                <w:sz w:val="14"/>
              </w:rPr>
              <w:t>1</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62" w:type="dxa"/>
            <w:vAlign w:val="bottom"/>
          </w:tcPr>
          <w:p w:rsidR="00000000" w:rsidRDefault="00000000">
            <w:pPr>
              <w:pStyle w:val="SingleTxt"/>
              <w:spacing w:before="20" w:after="20" w:line="160" w:lineRule="exact"/>
              <w:ind w:left="0" w:right="14"/>
              <w:jc w:val="right"/>
              <w:rPr>
                <w:sz w:val="14"/>
              </w:rPr>
            </w:pPr>
            <w:r>
              <w:rPr>
                <w:sz w:val="14"/>
              </w:rPr>
              <w:t>1</w:t>
            </w:r>
          </w:p>
        </w:tc>
        <w:tc>
          <w:tcPr>
            <w:tcW w:w="688" w:type="dxa"/>
            <w:vAlign w:val="bottom"/>
          </w:tcPr>
          <w:p w:rsidR="00000000" w:rsidRDefault="00000000">
            <w:pPr>
              <w:pStyle w:val="SingleTxt"/>
              <w:spacing w:before="20" w:after="20" w:line="160" w:lineRule="exact"/>
              <w:ind w:left="0" w:right="14"/>
              <w:jc w:val="right"/>
              <w:rPr>
                <w:sz w:val="14"/>
              </w:rPr>
            </w:pPr>
            <w:r>
              <w:rPr>
                <w:sz w:val="14"/>
              </w:rPr>
              <w:t>1</w:t>
            </w:r>
          </w:p>
        </w:tc>
        <w:tc>
          <w:tcPr>
            <w:tcW w:w="900" w:type="dxa"/>
            <w:vAlign w:val="bottom"/>
          </w:tcPr>
          <w:p w:rsidR="00000000" w:rsidRDefault="00000000">
            <w:pPr>
              <w:pStyle w:val="SingleTxt"/>
              <w:spacing w:before="20" w:after="20" w:line="160" w:lineRule="exact"/>
              <w:ind w:left="0" w:right="14"/>
              <w:jc w:val="right"/>
              <w:rPr>
                <w:sz w:val="14"/>
              </w:rPr>
            </w:pPr>
            <w:r>
              <w:rPr>
                <w:sz w:val="14"/>
              </w:rPr>
              <w:t>0</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30" w:type="dxa"/>
            <w:vAlign w:val="bottom"/>
          </w:tcPr>
          <w:p w:rsidR="00000000" w:rsidRDefault="00000000">
            <w:pPr>
              <w:pStyle w:val="SingleTxt"/>
              <w:spacing w:before="20" w:after="20" w:line="160" w:lineRule="exact"/>
              <w:ind w:left="0" w:right="14"/>
              <w:jc w:val="right"/>
              <w:rPr>
                <w:sz w:val="14"/>
              </w:rPr>
            </w:pPr>
            <w:r>
              <w:rPr>
                <w:sz w:val="14"/>
              </w:rPr>
              <w:t>0</w:t>
            </w:r>
          </w:p>
        </w:tc>
        <w:tc>
          <w:tcPr>
            <w:tcW w:w="810" w:type="dxa"/>
            <w:vAlign w:val="bottom"/>
          </w:tcPr>
          <w:p w:rsidR="00000000" w:rsidRDefault="00000000">
            <w:pPr>
              <w:pStyle w:val="SingleTxt"/>
              <w:spacing w:before="20" w:after="20" w:line="160" w:lineRule="exact"/>
              <w:ind w:left="0" w:right="14"/>
              <w:jc w:val="right"/>
              <w:rPr>
                <w:sz w:val="14"/>
              </w:rPr>
            </w:pPr>
            <w:r>
              <w:rPr>
                <w:sz w:val="14"/>
              </w:rPr>
              <w:t>1</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30" w:type="dxa"/>
            <w:vAlign w:val="bottom"/>
          </w:tcPr>
          <w:p w:rsidR="00000000" w:rsidRDefault="00000000">
            <w:pPr>
              <w:pStyle w:val="SingleTxt"/>
              <w:spacing w:before="20" w:after="20" w:line="160" w:lineRule="exact"/>
              <w:ind w:left="0" w:right="14"/>
              <w:jc w:val="right"/>
              <w:rPr>
                <w:sz w:val="14"/>
              </w:rPr>
            </w:pPr>
            <w:r>
              <w:rPr>
                <w:sz w:val="14"/>
              </w:rPr>
              <w:t>1</w:t>
            </w:r>
          </w:p>
        </w:tc>
        <w:tc>
          <w:tcPr>
            <w:tcW w:w="630" w:type="dxa"/>
            <w:vAlign w:val="bottom"/>
          </w:tcPr>
          <w:p w:rsidR="00000000" w:rsidRDefault="00000000">
            <w:pPr>
              <w:pStyle w:val="SingleTxt"/>
              <w:spacing w:before="20" w:after="20" w:line="160" w:lineRule="exact"/>
              <w:ind w:left="0" w:right="14"/>
              <w:jc w:val="right"/>
              <w:rPr>
                <w:sz w:val="14"/>
              </w:rPr>
            </w:pPr>
            <w:r>
              <w:rPr>
                <w:sz w:val="14"/>
              </w:rPr>
              <w:t>1</w:t>
            </w:r>
          </w:p>
        </w:tc>
      </w:tr>
      <w:tr w:rsidR="00000000">
        <w:tblPrEx>
          <w:tblCellMar>
            <w:top w:w="0" w:type="dxa"/>
            <w:bottom w:w="0" w:type="dxa"/>
          </w:tblCellMar>
        </w:tblPrEx>
        <w:trPr>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Odontología</w:t>
            </w:r>
          </w:p>
        </w:tc>
        <w:tc>
          <w:tcPr>
            <w:tcW w:w="876" w:type="dxa"/>
            <w:vAlign w:val="bottom"/>
          </w:tcPr>
          <w:p w:rsidR="00000000" w:rsidRDefault="00000000">
            <w:pPr>
              <w:pStyle w:val="SingleTxt"/>
              <w:spacing w:before="20" w:after="20" w:line="160" w:lineRule="exact"/>
              <w:ind w:left="0" w:right="14"/>
              <w:jc w:val="right"/>
              <w:rPr>
                <w:sz w:val="14"/>
              </w:rPr>
            </w:pPr>
            <w:r>
              <w:rPr>
                <w:sz w:val="14"/>
              </w:rPr>
              <w:t>0</w:t>
            </w:r>
          </w:p>
        </w:tc>
        <w:tc>
          <w:tcPr>
            <w:tcW w:w="744" w:type="dxa"/>
            <w:vAlign w:val="bottom"/>
          </w:tcPr>
          <w:p w:rsidR="00000000" w:rsidRDefault="00000000">
            <w:pPr>
              <w:pStyle w:val="SingleTxt"/>
              <w:spacing w:before="20" w:after="20" w:line="160" w:lineRule="exact"/>
              <w:ind w:left="0" w:right="14"/>
              <w:jc w:val="right"/>
              <w:rPr>
                <w:sz w:val="14"/>
              </w:rPr>
            </w:pPr>
            <w:r>
              <w:rPr>
                <w:sz w:val="14"/>
              </w:rPr>
              <w:t>0</w:t>
            </w:r>
          </w:p>
        </w:tc>
        <w:tc>
          <w:tcPr>
            <w:tcW w:w="696" w:type="dxa"/>
            <w:vAlign w:val="bottom"/>
          </w:tcPr>
          <w:p w:rsidR="00000000" w:rsidRDefault="00000000">
            <w:pPr>
              <w:pStyle w:val="SingleTxt"/>
              <w:spacing w:before="20" w:after="20" w:line="160" w:lineRule="exact"/>
              <w:ind w:left="0" w:right="14"/>
              <w:jc w:val="right"/>
              <w:rPr>
                <w:sz w:val="14"/>
              </w:rPr>
            </w:pPr>
            <w:r>
              <w:rPr>
                <w:sz w:val="14"/>
              </w:rPr>
              <w:t>0</w:t>
            </w:r>
          </w:p>
        </w:tc>
        <w:tc>
          <w:tcPr>
            <w:tcW w:w="900" w:type="dxa"/>
            <w:vAlign w:val="bottom"/>
          </w:tcPr>
          <w:p w:rsidR="00000000" w:rsidRDefault="00000000">
            <w:pPr>
              <w:pStyle w:val="SingleTxt"/>
              <w:spacing w:before="20" w:after="20" w:line="160" w:lineRule="exact"/>
              <w:ind w:left="0" w:right="14"/>
              <w:jc w:val="right"/>
              <w:rPr>
                <w:sz w:val="14"/>
              </w:rPr>
            </w:pPr>
            <w:r>
              <w:rPr>
                <w:sz w:val="14"/>
              </w:rPr>
              <w:t>1</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62" w:type="dxa"/>
            <w:vAlign w:val="bottom"/>
          </w:tcPr>
          <w:p w:rsidR="00000000" w:rsidRDefault="00000000">
            <w:pPr>
              <w:pStyle w:val="SingleTxt"/>
              <w:spacing w:before="20" w:after="20" w:line="160" w:lineRule="exact"/>
              <w:ind w:left="0" w:right="14"/>
              <w:jc w:val="right"/>
              <w:rPr>
                <w:sz w:val="14"/>
              </w:rPr>
            </w:pPr>
            <w:r>
              <w:rPr>
                <w:sz w:val="14"/>
              </w:rPr>
              <w:t>1</w:t>
            </w:r>
          </w:p>
        </w:tc>
        <w:tc>
          <w:tcPr>
            <w:tcW w:w="688" w:type="dxa"/>
            <w:vAlign w:val="bottom"/>
          </w:tcPr>
          <w:p w:rsidR="00000000" w:rsidRDefault="00000000">
            <w:pPr>
              <w:pStyle w:val="SingleTxt"/>
              <w:spacing w:before="20" w:after="20" w:line="160" w:lineRule="exact"/>
              <w:ind w:left="0" w:right="14"/>
              <w:jc w:val="right"/>
              <w:rPr>
                <w:sz w:val="14"/>
              </w:rPr>
            </w:pPr>
            <w:r>
              <w:rPr>
                <w:sz w:val="14"/>
              </w:rPr>
              <w:t>1</w:t>
            </w:r>
          </w:p>
        </w:tc>
        <w:tc>
          <w:tcPr>
            <w:tcW w:w="900" w:type="dxa"/>
            <w:vAlign w:val="bottom"/>
          </w:tcPr>
          <w:p w:rsidR="00000000" w:rsidRDefault="00000000">
            <w:pPr>
              <w:pStyle w:val="SingleTxt"/>
              <w:spacing w:before="20" w:after="20" w:line="160" w:lineRule="exact"/>
              <w:ind w:left="0" w:right="14"/>
              <w:jc w:val="right"/>
              <w:rPr>
                <w:sz w:val="14"/>
              </w:rPr>
            </w:pPr>
            <w:r>
              <w:rPr>
                <w:sz w:val="14"/>
              </w:rPr>
              <w:t>0</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30" w:type="dxa"/>
            <w:vAlign w:val="bottom"/>
          </w:tcPr>
          <w:p w:rsidR="00000000" w:rsidRDefault="00000000">
            <w:pPr>
              <w:pStyle w:val="SingleTxt"/>
              <w:spacing w:before="20" w:after="20" w:line="160" w:lineRule="exact"/>
              <w:ind w:left="0" w:right="14"/>
              <w:jc w:val="right"/>
              <w:rPr>
                <w:sz w:val="14"/>
              </w:rPr>
            </w:pPr>
            <w:r>
              <w:rPr>
                <w:sz w:val="14"/>
              </w:rPr>
              <w:t>0</w:t>
            </w:r>
          </w:p>
        </w:tc>
        <w:tc>
          <w:tcPr>
            <w:tcW w:w="810" w:type="dxa"/>
            <w:vAlign w:val="bottom"/>
          </w:tcPr>
          <w:p w:rsidR="00000000" w:rsidRDefault="00000000">
            <w:pPr>
              <w:pStyle w:val="SingleTxt"/>
              <w:spacing w:before="20" w:after="20" w:line="160" w:lineRule="exact"/>
              <w:ind w:left="0" w:right="14"/>
              <w:jc w:val="right"/>
              <w:rPr>
                <w:sz w:val="14"/>
              </w:rPr>
            </w:pPr>
            <w:r>
              <w:rPr>
                <w:sz w:val="14"/>
              </w:rPr>
              <w:t>1</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30" w:type="dxa"/>
            <w:vAlign w:val="bottom"/>
          </w:tcPr>
          <w:p w:rsidR="00000000" w:rsidRDefault="00000000">
            <w:pPr>
              <w:pStyle w:val="SingleTxt"/>
              <w:spacing w:before="20" w:after="20" w:line="160" w:lineRule="exact"/>
              <w:ind w:left="0" w:right="14"/>
              <w:jc w:val="right"/>
              <w:rPr>
                <w:sz w:val="14"/>
              </w:rPr>
            </w:pPr>
            <w:r>
              <w:rPr>
                <w:sz w:val="14"/>
              </w:rPr>
              <w:t>1</w:t>
            </w:r>
          </w:p>
        </w:tc>
        <w:tc>
          <w:tcPr>
            <w:tcW w:w="630" w:type="dxa"/>
            <w:vAlign w:val="bottom"/>
          </w:tcPr>
          <w:p w:rsidR="00000000" w:rsidRDefault="00000000">
            <w:pPr>
              <w:pStyle w:val="SingleTxt"/>
              <w:spacing w:before="20" w:after="20" w:line="160" w:lineRule="exact"/>
              <w:ind w:left="0" w:right="14"/>
              <w:jc w:val="right"/>
              <w:rPr>
                <w:sz w:val="14"/>
              </w:rPr>
            </w:pPr>
            <w:r>
              <w:rPr>
                <w:sz w:val="14"/>
              </w:rPr>
              <w:t>1</w:t>
            </w:r>
          </w:p>
        </w:tc>
      </w:tr>
      <w:tr w:rsidR="00000000">
        <w:tblPrEx>
          <w:tblCellMar>
            <w:top w:w="0" w:type="dxa"/>
            <w:bottom w:w="0" w:type="dxa"/>
          </w:tblCellMar>
        </w:tblPrEx>
        <w:trPr>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Centro de Idi</w:t>
            </w:r>
            <w:r>
              <w:rPr>
                <w:sz w:val="14"/>
              </w:rPr>
              <w:t>o</w:t>
            </w:r>
            <w:r>
              <w:rPr>
                <w:sz w:val="14"/>
              </w:rPr>
              <w:t>mas</w:t>
            </w:r>
          </w:p>
        </w:tc>
        <w:tc>
          <w:tcPr>
            <w:tcW w:w="876" w:type="dxa"/>
            <w:vAlign w:val="bottom"/>
          </w:tcPr>
          <w:p w:rsidR="00000000" w:rsidRDefault="00000000">
            <w:pPr>
              <w:pStyle w:val="SingleTxt"/>
              <w:spacing w:before="20" w:after="20" w:line="160" w:lineRule="exact"/>
              <w:ind w:left="0" w:right="14"/>
              <w:jc w:val="right"/>
              <w:rPr>
                <w:sz w:val="14"/>
              </w:rPr>
            </w:pPr>
            <w:r>
              <w:rPr>
                <w:sz w:val="14"/>
              </w:rPr>
              <w:t>0</w:t>
            </w:r>
          </w:p>
        </w:tc>
        <w:tc>
          <w:tcPr>
            <w:tcW w:w="744" w:type="dxa"/>
            <w:vAlign w:val="bottom"/>
          </w:tcPr>
          <w:p w:rsidR="00000000" w:rsidRDefault="00000000">
            <w:pPr>
              <w:pStyle w:val="SingleTxt"/>
              <w:spacing w:before="20" w:after="20" w:line="160" w:lineRule="exact"/>
              <w:ind w:left="0" w:right="14"/>
              <w:jc w:val="right"/>
              <w:rPr>
                <w:sz w:val="14"/>
              </w:rPr>
            </w:pPr>
            <w:r>
              <w:rPr>
                <w:sz w:val="14"/>
              </w:rPr>
              <w:t>0</w:t>
            </w:r>
          </w:p>
        </w:tc>
        <w:tc>
          <w:tcPr>
            <w:tcW w:w="696" w:type="dxa"/>
            <w:vAlign w:val="bottom"/>
          </w:tcPr>
          <w:p w:rsidR="00000000" w:rsidRDefault="00000000">
            <w:pPr>
              <w:pStyle w:val="SingleTxt"/>
              <w:spacing w:before="20" w:after="20" w:line="160" w:lineRule="exact"/>
              <w:ind w:left="0" w:right="14"/>
              <w:jc w:val="right"/>
              <w:rPr>
                <w:sz w:val="14"/>
              </w:rPr>
            </w:pPr>
            <w:r>
              <w:rPr>
                <w:sz w:val="14"/>
              </w:rPr>
              <w:t>0</w:t>
            </w:r>
          </w:p>
        </w:tc>
        <w:tc>
          <w:tcPr>
            <w:tcW w:w="900" w:type="dxa"/>
            <w:vAlign w:val="bottom"/>
          </w:tcPr>
          <w:p w:rsidR="00000000" w:rsidRDefault="00000000">
            <w:pPr>
              <w:pStyle w:val="SingleTxt"/>
              <w:spacing w:before="20" w:after="20" w:line="160" w:lineRule="exact"/>
              <w:ind w:left="0" w:right="14"/>
              <w:jc w:val="right"/>
              <w:rPr>
                <w:sz w:val="14"/>
              </w:rPr>
            </w:pPr>
            <w:r>
              <w:rPr>
                <w:sz w:val="14"/>
              </w:rPr>
              <w:t>1</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62" w:type="dxa"/>
            <w:vAlign w:val="bottom"/>
          </w:tcPr>
          <w:p w:rsidR="00000000" w:rsidRDefault="00000000">
            <w:pPr>
              <w:pStyle w:val="SingleTxt"/>
              <w:spacing w:before="20" w:after="20" w:line="160" w:lineRule="exact"/>
              <w:ind w:left="0" w:right="14"/>
              <w:jc w:val="right"/>
              <w:rPr>
                <w:sz w:val="14"/>
              </w:rPr>
            </w:pPr>
            <w:r>
              <w:rPr>
                <w:sz w:val="14"/>
              </w:rPr>
              <w:t>1</w:t>
            </w:r>
          </w:p>
        </w:tc>
        <w:tc>
          <w:tcPr>
            <w:tcW w:w="688" w:type="dxa"/>
            <w:vAlign w:val="bottom"/>
          </w:tcPr>
          <w:p w:rsidR="00000000" w:rsidRDefault="00000000">
            <w:pPr>
              <w:pStyle w:val="SingleTxt"/>
              <w:spacing w:before="20" w:after="20" w:line="160" w:lineRule="exact"/>
              <w:ind w:left="0" w:right="14"/>
              <w:jc w:val="right"/>
              <w:rPr>
                <w:sz w:val="14"/>
              </w:rPr>
            </w:pPr>
            <w:r>
              <w:rPr>
                <w:sz w:val="14"/>
              </w:rPr>
              <w:t>1</w:t>
            </w:r>
          </w:p>
        </w:tc>
        <w:tc>
          <w:tcPr>
            <w:tcW w:w="900" w:type="dxa"/>
            <w:vAlign w:val="bottom"/>
          </w:tcPr>
          <w:p w:rsidR="00000000" w:rsidRDefault="00000000">
            <w:pPr>
              <w:pStyle w:val="SingleTxt"/>
              <w:spacing w:before="20" w:after="20" w:line="160" w:lineRule="exact"/>
              <w:ind w:left="0" w:right="14"/>
              <w:jc w:val="right"/>
              <w:rPr>
                <w:sz w:val="14"/>
              </w:rPr>
            </w:pPr>
            <w:r>
              <w:rPr>
                <w:sz w:val="14"/>
              </w:rPr>
              <w:t>0</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30" w:type="dxa"/>
            <w:vAlign w:val="bottom"/>
          </w:tcPr>
          <w:p w:rsidR="00000000" w:rsidRDefault="00000000">
            <w:pPr>
              <w:pStyle w:val="SingleTxt"/>
              <w:spacing w:before="20" w:after="20" w:line="160" w:lineRule="exact"/>
              <w:ind w:left="0" w:right="14"/>
              <w:jc w:val="right"/>
              <w:rPr>
                <w:sz w:val="14"/>
              </w:rPr>
            </w:pPr>
            <w:r>
              <w:rPr>
                <w:sz w:val="14"/>
              </w:rPr>
              <w:t>0</w:t>
            </w:r>
          </w:p>
        </w:tc>
        <w:tc>
          <w:tcPr>
            <w:tcW w:w="810" w:type="dxa"/>
            <w:vAlign w:val="bottom"/>
          </w:tcPr>
          <w:p w:rsidR="00000000" w:rsidRDefault="00000000">
            <w:pPr>
              <w:pStyle w:val="SingleTxt"/>
              <w:spacing w:before="20" w:after="20" w:line="160" w:lineRule="exact"/>
              <w:ind w:left="0" w:right="14"/>
              <w:jc w:val="right"/>
              <w:rPr>
                <w:sz w:val="14"/>
              </w:rPr>
            </w:pPr>
            <w:r>
              <w:rPr>
                <w:sz w:val="14"/>
              </w:rPr>
              <w:t>1</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30" w:type="dxa"/>
            <w:vAlign w:val="bottom"/>
          </w:tcPr>
          <w:p w:rsidR="00000000" w:rsidRDefault="00000000">
            <w:pPr>
              <w:pStyle w:val="SingleTxt"/>
              <w:spacing w:before="20" w:after="20" w:line="160" w:lineRule="exact"/>
              <w:ind w:left="0" w:right="14"/>
              <w:jc w:val="right"/>
              <w:rPr>
                <w:sz w:val="14"/>
              </w:rPr>
            </w:pPr>
            <w:r>
              <w:rPr>
                <w:sz w:val="14"/>
              </w:rPr>
              <w:t>1</w:t>
            </w:r>
          </w:p>
        </w:tc>
        <w:tc>
          <w:tcPr>
            <w:tcW w:w="630" w:type="dxa"/>
            <w:vAlign w:val="bottom"/>
          </w:tcPr>
          <w:p w:rsidR="00000000" w:rsidRDefault="00000000">
            <w:pPr>
              <w:pStyle w:val="SingleTxt"/>
              <w:spacing w:before="20" w:after="20" w:line="160" w:lineRule="exact"/>
              <w:ind w:left="0" w:right="14"/>
              <w:jc w:val="right"/>
              <w:rPr>
                <w:sz w:val="14"/>
              </w:rPr>
            </w:pPr>
            <w:r>
              <w:rPr>
                <w:sz w:val="14"/>
              </w:rPr>
              <w:t>1</w:t>
            </w:r>
          </w:p>
        </w:tc>
      </w:tr>
      <w:tr w:rsidR="00000000">
        <w:tblPrEx>
          <w:tblCellMar>
            <w:top w:w="0" w:type="dxa"/>
            <w:bottom w:w="0" w:type="dxa"/>
          </w:tblCellMar>
        </w:tblPrEx>
        <w:trPr>
          <w:jc w:val="center"/>
        </w:trPr>
        <w:tc>
          <w:tcPr>
            <w:tcW w:w="1260" w:type="dxa"/>
            <w:vAlign w:val="bottom"/>
          </w:tcPr>
          <w:p w:rsidR="00000000" w:rsidRDefault="00000000">
            <w:pPr>
              <w:pStyle w:val="SingleTxt"/>
              <w:spacing w:before="20" w:after="20" w:line="160" w:lineRule="exact"/>
              <w:ind w:left="0" w:right="14"/>
              <w:jc w:val="left"/>
              <w:rPr>
                <w:sz w:val="14"/>
              </w:rPr>
            </w:pPr>
            <w:r>
              <w:rPr>
                <w:sz w:val="14"/>
              </w:rPr>
              <w:t>Estudios sup</w:t>
            </w:r>
            <w:r>
              <w:rPr>
                <w:sz w:val="14"/>
              </w:rPr>
              <w:t>e</w:t>
            </w:r>
            <w:r>
              <w:rPr>
                <w:sz w:val="14"/>
              </w:rPr>
              <w:t>riores</w:t>
            </w:r>
          </w:p>
        </w:tc>
        <w:tc>
          <w:tcPr>
            <w:tcW w:w="876" w:type="dxa"/>
            <w:vAlign w:val="bottom"/>
          </w:tcPr>
          <w:p w:rsidR="00000000" w:rsidRDefault="00000000">
            <w:pPr>
              <w:pStyle w:val="SingleTxt"/>
              <w:spacing w:before="20" w:after="20" w:line="160" w:lineRule="exact"/>
              <w:ind w:left="0" w:right="14"/>
              <w:jc w:val="right"/>
              <w:rPr>
                <w:sz w:val="14"/>
              </w:rPr>
            </w:pPr>
            <w:r>
              <w:rPr>
                <w:sz w:val="14"/>
              </w:rPr>
              <w:t>1</w:t>
            </w:r>
          </w:p>
        </w:tc>
        <w:tc>
          <w:tcPr>
            <w:tcW w:w="744" w:type="dxa"/>
            <w:vAlign w:val="bottom"/>
          </w:tcPr>
          <w:p w:rsidR="00000000" w:rsidRDefault="00000000">
            <w:pPr>
              <w:pStyle w:val="SingleTxt"/>
              <w:spacing w:before="20" w:after="20" w:line="160" w:lineRule="exact"/>
              <w:ind w:left="0" w:right="14"/>
              <w:jc w:val="right"/>
              <w:rPr>
                <w:sz w:val="14"/>
              </w:rPr>
            </w:pPr>
            <w:r>
              <w:rPr>
                <w:sz w:val="14"/>
              </w:rPr>
              <w:t>1</w:t>
            </w:r>
          </w:p>
        </w:tc>
        <w:tc>
          <w:tcPr>
            <w:tcW w:w="696" w:type="dxa"/>
            <w:vAlign w:val="bottom"/>
          </w:tcPr>
          <w:p w:rsidR="00000000" w:rsidRDefault="00000000">
            <w:pPr>
              <w:pStyle w:val="SingleTxt"/>
              <w:spacing w:before="20" w:after="20" w:line="160" w:lineRule="exact"/>
              <w:ind w:left="0" w:right="14"/>
              <w:jc w:val="right"/>
              <w:rPr>
                <w:sz w:val="14"/>
              </w:rPr>
            </w:pPr>
            <w:r>
              <w:rPr>
                <w:sz w:val="14"/>
              </w:rPr>
              <w:t>2</w:t>
            </w:r>
          </w:p>
        </w:tc>
        <w:tc>
          <w:tcPr>
            <w:tcW w:w="900" w:type="dxa"/>
            <w:vAlign w:val="bottom"/>
          </w:tcPr>
          <w:p w:rsidR="00000000" w:rsidRDefault="00000000">
            <w:pPr>
              <w:pStyle w:val="SingleTxt"/>
              <w:spacing w:before="20" w:after="20" w:line="160" w:lineRule="exact"/>
              <w:ind w:left="0" w:right="14"/>
              <w:jc w:val="right"/>
              <w:rPr>
                <w:sz w:val="14"/>
              </w:rPr>
            </w:pPr>
            <w:r>
              <w:rPr>
                <w:sz w:val="14"/>
              </w:rPr>
              <w:t>1</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62" w:type="dxa"/>
            <w:vAlign w:val="bottom"/>
          </w:tcPr>
          <w:p w:rsidR="00000000" w:rsidRDefault="00000000">
            <w:pPr>
              <w:pStyle w:val="SingleTxt"/>
              <w:spacing w:before="20" w:after="20" w:line="160" w:lineRule="exact"/>
              <w:ind w:left="0" w:right="14"/>
              <w:jc w:val="right"/>
              <w:rPr>
                <w:sz w:val="14"/>
              </w:rPr>
            </w:pPr>
            <w:r>
              <w:rPr>
                <w:sz w:val="14"/>
              </w:rPr>
              <w:t>1</w:t>
            </w:r>
          </w:p>
        </w:tc>
        <w:tc>
          <w:tcPr>
            <w:tcW w:w="688" w:type="dxa"/>
            <w:vAlign w:val="bottom"/>
          </w:tcPr>
          <w:p w:rsidR="00000000" w:rsidRDefault="00000000">
            <w:pPr>
              <w:pStyle w:val="SingleTxt"/>
              <w:spacing w:before="20" w:after="20" w:line="160" w:lineRule="exact"/>
              <w:ind w:left="0" w:right="14"/>
              <w:jc w:val="right"/>
              <w:rPr>
                <w:sz w:val="14"/>
              </w:rPr>
            </w:pPr>
            <w:r>
              <w:rPr>
                <w:sz w:val="14"/>
              </w:rPr>
              <w:t>3</w:t>
            </w:r>
          </w:p>
        </w:tc>
        <w:tc>
          <w:tcPr>
            <w:tcW w:w="900" w:type="dxa"/>
            <w:vAlign w:val="bottom"/>
          </w:tcPr>
          <w:p w:rsidR="00000000" w:rsidRDefault="00000000">
            <w:pPr>
              <w:pStyle w:val="SingleTxt"/>
              <w:spacing w:before="20" w:after="20" w:line="160" w:lineRule="exact"/>
              <w:ind w:left="0" w:right="14"/>
              <w:jc w:val="right"/>
              <w:rPr>
                <w:sz w:val="14"/>
              </w:rPr>
            </w:pPr>
            <w:r>
              <w:rPr>
                <w:sz w:val="14"/>
              </w:rPr>
              <w:t>1</w:t>
            </w:r>
          </w:p>
        </w:tc>
        <w:tc>
          <w:tcPr>
            <w:tcW w:w="810" w:type="dxa"/>
            <w:vAlign w:val="bottom"/>
          </w:tcPr>
          <w:p w:rsidR="00000000" w:rsidRDefault="00000000">
            <w:pPr>
              <w:pStyle w:val="SingleTxt"/>
              <w:spacing w:before="20" w:after="20" w:line="160" w:lineRule="exact"/>
              <w:ind w:left="0" w:right="14"/>
              <w:jc w:val="right"/>
              <w:rPr>
                <w:sz w:val="14"/>
              </w:rPr>
            </w:pPr>
            <w:r>
              <w:rPr>
                <w:sz w:val="14"/>
              </w:rPr>
              <w:t>1</w:t>
            </w:r>
          </w:p>
        </w:tc>
        <w:tc>
          <w:tcPr>
            <w:tcW w:w="630" w:type="dxa"/>
            <w:vAlign w:val="bottom"/>
          </w:tcPr>
          <w:p w:rsidR="00000000" w:rsidRDefault="00000000">
            <w:pPr>
              <w:pStyle w:val="SingleTxt"/>
              <w:spacing w:before="20" w:after="20" w:line="160" w:lineRule="exact"/>
              <w:ind w:left="0" w:right="14"/>
              <w:jc w:val="right"/>
              <w:rPr>
                <w:sz w:val="14"/>
              </w:rPr>
            </w:pPr>
            <w:r>
              <w:rPr>
                <w:sz w:val="14"/>
              </w:rPr>
              <w:t>2</w:t>
            </w:r>
          </w:p>
        </w:tc>
        <w:tc>
          <w:tcPr>
            <w:tcW w:w="810" w:type="dxa"/>
            <w:vAlign w:val="bottom"/>
          </w:tcPr>
          <w:p w:rsidR="00000000" w:rsidRDefault="00000000">
            <w:pPr>
              <w:pStyle w:val="SingleTxt"/>
              <w:spacing w:before="20" w:after="20" w:line="160" w:lineRule="exact"/>
              <w:ind w:left="0" w:right="14"/>
              <w:jc w:val="right"/>
              <w:rPr>
                <w:sz w:val="14"/>
              </w:rPr>
            </w:pPr>
            <w:r>
              <w:rPr>
                <w:sz w:val="14"/>
              </w:rPr>
              <w:t>1</w:t>
            </w:r>
          </w:p>
        </w:tc>
        <w:tc>
          <w:tcPr>
            <w:tcW w:w="810" w:type="dxa"/>
            <w:vAlign w:val="bottom"/>
          </w:tcPr>
          <w:p w:rsidR="00000000" w:rsidRDefault="00000000">
            <w:pPr>
              <w:pStyle w:val="SingleTxt"/>
              <w:spacing w:before="20" w:after="20" w:line="160" w:lineRule="exact"/>
              <w:ind w:left="0" w:right="14"/>
              <w:jc w:val="right"/>
              <w:rPr>
                <w:sz w:val="14"/>
              </w:rPr>
            </w:pPr>
            <w:r>
              <w:rPr>
                <w:sz w:val="14"/>
              </w:rPr>
              <w:t>0</w:t>
            </w:r>
          </w:p>
        </w:tc>
        <w:tc>
          <w:tcPr>
            <w:tcW w:w="630" w:type="dxa"/>
            <w:vAlign w:val="bottom"/>
          </w:tcPr>
          <w:p w:rsidR="00000000" w:rsidRDefault="00000000">
            <w:pPr>
              <w:pStyle w:val="SingleTxt"/>
              <w:spacing w:before="20" w:after="20" w:line="160" w:lineRule="exact"/>
              <w:ind w:left="0" w:right="14"/>
              <w:jc w:val="right"/>
              <w:rPr>
                <w:sz w:val="14"/>
              </w:rPr>
            </w:pPr>
            <w:r>
              <w:rPr>
                <w:sz w:val="14"/>
              </w:rPr>
              <w:t>1</w:t>
            </w:r>
          </w:p>
        </w:tc>
        <w:tc>
          <w:tcPr>
            <w:tcW w:w="630" w:type="dxa"/>
            <w:vAlign w:val="bottom"/>
          </w:tcPr>
          <w:p w:rsidR="00000000" w:rsidRDefault="00000000">
            <w:pPr>
              <w:pStyle w:val="SingleTxt"/>
              <w:spacing w:before="20" w:after="20" w:line="160" w:lineRule="exact"/>
              <w:ind w:left="0" w:right="14"/>
              <w:jc w:val="right"/>
              <w:rPr>
                <w:sz w:val="14"/>
              </w:rPr>
            </w:pPr>
            <w:r>
              <w:rPr>
                <w:sz w:val="14"/>
              </w:rPr>
              <w:t>3</w:t>
            </w:r>
          </w:p>
        </w:tc>
      </w:tr>
      <w:tr w:rsidR="00000000">
        <w:tblPrEx>
          <w:tblCellMar>
            <w:top w:w="0" w:type="dxa"/>
            <w:bottom w:w="0" w:type="dxa"/>
          </w:tblCellMar>
        </w:tblPrEx>
        <w:trPr>
          <w:jc w:val="center"/>
        </w:trPr>
        <w:tc>
          <w:tcPr>
            <w:tcW w:w="1260"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rPr>
                <w:b/>
                <w:sz w:val="14"/>
              </w:rPr>
            </w:pPr>
            <w:r>
              <w:rPr>
                <w:b/>
                <w:sz w:val="14"/>
              </w:rPr>
              <w:t>Total</w:t>
            </w:r>
          </w:p>
        </w:tc>
        <w:tc>
          <w:tcPr>
            <w:tcW w:w="876"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338</w:t>
            </w:r>
          </w:p>
        </w:tc>
        <w:tc>
          <w:tcPr>
            <w:tcW w:w="744"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105</w:t>
            </w:r>
          </w:p>
        </w:tc>
        <w:tc>
          <w:tcPr>
            <w:tcW w:w="696"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443</w:t>
            </w:r>
          </w:p>
        </w:tc>
        <w:tc>
          <w:tcPr>
            <w:tcW w:w="900"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429</w:t>
            </w:r>
          </w:p>
        </w:tc>
        <w:tc>
          <w:tcPr>
            <w:tcW w:w="810"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29</w:t>
            </w:r>
          </w:p>
        </w:tc>
        <w:tc>
          <w:tcPr>
            <w:tcW w:w="662"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458</w:t>
            </w:r>
          </w:p>
        </w:tc>
        <w:tc>
          <w:tcPr>
            <w:tcW w:w="688"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901</w:t>
            </w:r>
          </w:p>
        </w:tc>
        <w:tc>
          <w:tcPr>
            <w:tcW w:w="900"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350</w:t>
            </w:r>
          </w:p>
        </w:tc>
        <w:tc>
          <w:tcPr>
            <w:tcW w:w="810"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108</w:t>
            </w:r>
          </w:p>
        </w:tc>
        <w:tc>
          <w:tcPr>
            <w:tcW w:w="630"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458</w:t>
            </w:r>
          </w:p>
        </w:tc>
        <w:tc>
          <w:tcPr>
            <w:tcW w:w="810"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430</w:t>
            </w:r>
          </w:p>
        </w:tc>
        <w:tc>
          <w:tcPr>
            <w:tcW w:w="810"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32</w:t>
            </w:r>
          </w:p>
        </w:tc>
        <w:tc>
          <w:tcPr>
            <w:tcW w:w="630"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462</w:t>
            </w:r>
          </w:p>
        </w:tc>
        <w:tc>
          <w:tcPr>
            <w:tcW w:w="630" w:type="dxa"/>
            <w:tcBorders>
              <w:top w:val="single" w:sz="4" w:space="0" w:color="auto"/>
              <w:bottom w:val="single" w:sz="12" w:space="0" w:color="auto"/>
            </w:tcBorders>
            <w:vAlign w:val="bottom"/>
          </w:tcPr>
          <w:p w:rsidR="00000000" w:rsidRDefault="00000000">
            <w:pPr>
              <w:pStyle w:val="SingleTxt"/>
              <w:spacing w:before="20" w:after="20" w:line="160" w:lineRule="exact"/>
              <w:ind w:left="0" w:right="14"/>
              <w:jc w:val="right"/>
              <w:rPr>
                <w:b/>
                <w:sz w:val="14"/>
              </w:rPr>
            </w:pPr>
            <w:r>
              <w:rPr>
                <w:b/>
                <w:sz w:val="14"/>
              </w:rPr>
              <w:t>920</w:t>
            </w:r>
          </w:p>
        </w:tc>
      </w:tr>
    </w:tbl>
    <w:p w:rsidR="00000000" w:rsidRDefault="00000000">
      <w:pPr>
        <w:pStyle w:val="SingleTxt"/>
        <w:sectPr w:rsidR="00000000">
          <w:headerReference w:type="even" r:id="rId14"/>
          <w:headerReference w:type="default" r:id="rId15"/>
          <w:footerReference w:type="even" r:id="rId16"/>
          <w:footerReference w:type="default" r:id="rId17"/>
          <w:pgSz w:w="15840" w:h="12240" w:orient="landscape" w:code="1"/>
          <w:pgMar w:top="1195" w:right="1742" w:bottom="1195" w:left="1898" w:header="0" w:footer="0" w:gutter="0"/>
          <w:cols w:space="720"/>
          <w:noEndnote/>
        </w:sectPr>
      </w:pPr>
    </w:p>
    <w:p w:rsidR="00000000" w:rsidRDefault="00000000">
      <w:pPr>
        <w:pStyle w:val="SingleTxt"/>
        <w:rPr>
          <w:sz w:val="18"/>
        </w:rPr>
      </w:pPr>
      <w:r>
        <w:rPr>
          <w:sz w:val="18"/>
        </w:rPr>
        <w:t>Cuadro 3. Crecimiento de la cantidad de ingresos de estudiantes en la Universidad de Kuwait, entre 1992/93 y 1996/97</w:t>
      </w:r>
    </w:p>
    <w:tbl>
      <w:tblPr>
        <w:tblW w:w="0" w:type="auto"/>
        <w:jc w:val="center"/>
        <w:tblLayout w:type="fixed"/>
        <w:tblLook w:val="0000" w:firstRow="0" w:lastRow="0" w:firstColumn="0" w:lastColumn="0" w:noHBand="0" w:noVBand="0"/>
      </w:tblPr>
      <w:tblGrid>
        <w:gridCol w:w="965"/>
        <w:gridCol w:w="655"/>
        <w:gridCol w:w="771"/>
        <w:gridCol w:w="810"/>
        <w:gridCol w:w="596"/>
        <w:gridCol w:w="844"/>
        <w:gridCol w:w="810"/>
        <w:gridCol w:w="630"/>
        <w:gridCol w:w="810"/>
        <w:gridCol w:w="734"/>
        <w:gridCol w:w="630"/>
        <w:gridCol w:w="810"/>
        <w:gridCol w:w="810"/>
        <w:gridCol w:w="630"/>
        <w:gridCol w:w="720"/>
        <w:gridCol w:w="720"/>
        <w:gridCol w:w="612"/>
      </w:tblGrid>
      <w:tr w:rsidR="00000000">
        <w:tblPrEx>
          <w:tblCellMar>
            <w:top w:w="0" w:type="dxa"/>
            <w:bottom w:w="0" w:type="dxa"/>
          </w:tblCellMar>
        </w:tblPrEx>
        <w:trPr>
          <w:cantSplit/>
          <w:tblHeader/>
          <w:jc w:val="center"/>
        </w:trPr>
        <w:tc>
          <w:tcPr>
            <w:tcW w:w="965" w:type="dxa"/>
            <w:vMerge w:val="restart"/>
            <w:tcBorders>
              <w:top w:val="single" w:sz="4" w:space="0" w:color="auto"/>
            </w:tcBorders>
            <w:vAlign w:val="bottom"/>
          </w:tcPr>
          <w:p w:rsidR="00000000" w:rsidRDefault="00000000">
            <w:pPr>
              <w:pStyle w:val="SingleTxt"/>
              <w:spacing w:before="40" w:after="40" w:line="160" w:lineRule="exact"/>
              <w:ind w:left="0" w:right="14"/>
              <w:rPr>
                <w:i/>
                <w:sz w:val="12"/>
              </w:rPr>
            </w:pPr>
            <w:r>
              <w:rPr>
                <w:i/>
                <w:sz w:val="12"/>
              </w:rPr>
              <w:t>Facultad</w:t>
            </w:r>
          </w:p>
        </w:tc>
        <w:tc>
          <w:tcPr>
            <w:tcW w:w="655" w:type="dxa"/>
            <w:vMerge w:val="restart"/>
            <w:tcBorders>
              <w:top w:val="single" w:sz="4" w:space="0" w:color="auto"/>
            </w:tcBorders>
            <w:vAlign w:val="bottom"/>
          </w:tcPr>
          <w:p w:rsidR="00000000" w:rsidRDefault="00000000">
            <w:pPr>
              <w:pStyle w:val="SingleTxt"/>
              <w:spacing w:before="40" w:after="40" w:line="160" w:lineRule="exact"/>
              <w:ind w:left="0" w:right="14"/>
              <w:jc w:val="right"/>
              <w:rPr>
                <w:i/>
                <w:sz w:val="12"/>
              </w:rPr>
            </w:pPr>
            <w:r>
              <w:rPr>
                <w:i/>
                <w:sz w:val="12"/>
              </w:rPr>
              <w:t>Sexo</w:t>
            </w:r>
          </w:p>
        </w:tc>
        <w:tc>
          <w:tcPr>
            <w:tcW w:w="10937" w:type="dxa"/>
            <w:gridSpan w:val="15"/>
            <w:tcBorders>
              <w:top w:val="single" w:sz="4" w:space="0" w:color="auto"/>
              <w:bottom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Año</w:t>
            </w:r>
          </w:p>
        </w:tc>
      </w:tr>
      <w:tr w:rsidR="00000000">
        <w:tblPrEx>
          <w:tblCellMar>
            <w:top w:w="0" w:type="dxa"/>
            <w:bottom w:w="0" w:type="dxa"/>
          </w:tblCellMar>
        </w:tblPrEx>
        <w:trPr>
          <w:cantSplit/>
          <w:tblHeader/>
          <w:jc w:val="center"/>
        </w:trPr>
        <w:tc>
          <w:tcPr>
            <w:tcW w:w="965" w:type="dxa"/>
            <w:vMerge/>
            <w:tcBorders>
              <w:bottom w:val="single" w:sz="4" w:space="0" w:color="auto"/>
            </w:tcBorders>
            <w:vAlign w:val="bottom"/>
          </w:tcPr>
          <w:p w:rsidR="00000000" w:rsidRDefault="00000000">
            <w:pPr>
              <w:pStyle w:val="SingleTxt"/>
              <w:spacing w:before="40" w:after="40" w:line="160" w:lineRule="exact"/>
              <w:ind w:left="0" w:right="14"/>
              <w:rPr>
                <w:i/>
                <w:sz w:val="14"/>
              </w:rPr>
            </w:pPr>
          </w:p>
        </w:tc>
        <w:tc>
          <w:tcPr>
            <w:tcW w:w="655" w:type="dxa"/>
            <w:vMerge/>
            <w:tcBorders>
              <w:bottom w:val="single" w:sz="4" w:space="0" w:color="auto"/>
            </w:tcBorders>
            <w:vAlign w:val="bottom"/>
          </w:tcPr>
          <w:p w:rsidR="00000000" w:rsidRDefault="00000000">
            <w:pPr>
              <w:pStyle w:val="SingleTxt"/>
              <w:spacing w:before="40" w:after="40" w:line="160" w:lineRule="exact"/>
              <w:ind w:left="0" w:right="14"/>
              <w:jc w:val="right"/>
              <w:rPr>
                <w:i/>
                <w:sz w:val="14"/>
              </w:rPr>
            </w:pPr>
          </w:p>
        </w:tc>
        <w:tc>
          <w:tcPr>
            <w:tcW w:w="2177" w:type="dxa"/>
            <w:gridSpan w:val="3"/>
            <w:tcBorders>
              <w:bottom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1992/93</w:t>
            </w:r>
          </w:p>
        </w:tc>
        <w:tc>
          <w:tcPr>
            <w:tcW w:w="2284" w:type="dxa"/>
            <w:gridSpan w:val="3"/>
            <w:tcBorders>
              <w:bottom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1993/94</w:t>
            </w:r>
          </w:p>
        </w:tc>
        <w:tc>
          <w:tcPr>
            <w:tcW w:w="2174" w:type="dxa"/>
            <w:gridSpan w:val="3"/>
            <w:tcBorders>
              <w:bottom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1994/95</w:t>
            </w:r>
          </w:p>
        </w:tc>
        <w:tc>
          <w:tcPr>
            <w:tcW w:w="2250" w:type="dxa"/>
            <w:gridSpan w:val="3"/>
            <w:tcBorders>
              <w:bottom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1995/96</w:t>
            </w:r>
          </w:p>
        </w:tc>
        <w:tc>
          <w:tcPr>
            <w:tcW w:w="2052" w:type="dxa"/>
            <w:gridSpan w:val="3"/>
            <w:tcBorders>
              <w:bottom w:val="single" w:sz="4" w:space="0" w:color="auto"/>
            </w:tcBorders>
            <w:vAlign w:val="bottom"/>
          </w:tcPr>
          <w:p w:rsidR="00000000" w:rsidRDefault="00000000">
            <w:pPr>
              <w:pStyle w:val="SingleTxt"/>
              <w:spacing w:before="40" w:after="40" w:line="160" w:lineRule="exact"/>
              <w:ind w:left="0" w:right="14"/>
              <w:jc w:val="center"/>
              <w:rPr>
                <w:i/>
                <w:sz w:val="14"/>
              </w:rPr>
            </w:pPr>
            <w:r>
              <w:rPr>
                <w:i/>
                <w:sz w:val="14"/>
              </w:rPr>
              <w:t>1996/97</w:t>
            </w:r>
          </w:p>
        </w:tc>
      </w:tr>
      <w:tr w:rsidR="00000000">
        <w:tblPrEx>
          <w:tblCellMar>
            <w:top w:w="0" w:type="dxa"/>
            <w:bottom w:w="0" w:type="dxa"/>
          </w:tblCellMar>
        </w:tblPrEx>
        <w:trPr>
          <w:cantSplit/>
          <w:tblHeader/>
          <w:jc w:val="center"/>
        </w:trPr>
        <w:tc>
          <w:tcPr>
            <w:tcW w:w="965" w:type="dxa"/>
            <w:vMerge/>
            <w:vAlign w:val="bottom"/>
          </w:tcPr>
          <w:p w:rsidR="00000000" w:rsidRDefault="00000000">
            <w:pPr>
              <w:pStyle w:val="SingleTxt"/>
              <w:spacing w:before="40" w:after="40" w:line="160" w:lineRule="exact"/>
              <w:ind w:left="0" w:right="14"/>
              <w:rPr>
                <w:i/>
                <w:sz w:val="14"/>
              </w:rPr>
            </w:pPr>
          </w:p>
        </w:tc>
        <w:tc>
          <w:tcPr>
            <w:tcW w:w="655" w:type="dxa"/>
            <w:vMerge/>
            <w:vAlign w:val="bottom"/>
          </w:tcPr>
          <w:p w:rsidR="00000000" w:rsidRDefault="00000000">
            <w:pPr>
              <w:pStyle w:val="SingleTxt"/>
              <w:spacing w:before="40" w:after="40" w:line="160" w:lineRule="exact"/>
              <w:ind w:left="0" w:right="14"/>
              <w:jc w:val="right"/>
              <w:rPr>
                <w:i/>
                <w:sz w:val="14"/>
              </w:rPr>
            </w:pPr>
          </w:p>
        </w:tc>
        <w:tc>
          <w:tcPr>
            <w:tcW w:w="771" w:type="dxa"/>
            <w:vAlign w:val="bottom"/>
          </w:tcPr>
          <w:p w:rsidR="00000000" w:rsidRDefault="00000000">
            <w:pPr>
              <w:pStyle w:val="SingleTxt"/>
              <w:spacing w:before="40" w:after="40" w:line="160" w:lineRule="exact"/>
              <w:ind w:left="0" w:right="14"/>
              <w:jc w:val="right"/>
              <w:rPr>
                <w:i/>
                <w:sz w:val="12"/>
              </w:rPr>
            </w:pPr>
            <w:r>
              <w:rPr>
                <w:i/>
                <w:sz w:val="12"/>
              </w:rPr>
              <w:t>Kuwaitíes</w:t>
            </w:r>
          </w:p>
        </w:tc>
        <w:tc>
          <w:tcPr>
            <w:tcW w:w="810" w:type="dxa"/>
            <w:vAlign w:val="bottom"/>
          </w:tcPr>
          <w:p w:rsidR="00000000" w:rsidRDefault="00000000">
            <w:pPr>
              <w:pStyle w:val="SingleTxt"/>
              <w:spacing w:before="40" w:after="40" w:line="160" w:lineRule="exact"/>
              <w:ind w:left="0" w:right="14"/>
              <w:jc w:val="right"/>
              <w:rPr>
                <w:i/>
                <w:sz w:val="12"/>
              </w:rPr>
            </w:pPr>
            <w:r>
              <w:rPr>
                <w:i/>
                <w:sz w:val="12"/>
              </w:rPr>
              <w:t>No kuwa</w:t>
            </w:r>
            <w:r>
              <w:rPr>
                <w:i/>
                <w:sz w:val="12"/>
              </w:rPr>
              <w:t>i</w:t>
            </w:r>
            <w:r>
              <w:rPr>
                <w:i/>
                <w:sz w:val="12"/>
              </w:rPr>
              <w:t>tíes</w:t>
            </w:r>
          </w:p>
        </w:tc>
        <w:tc>
          <w:tcPr>
            <w:tcW w:w="596" w:type="dxa"/>
            <w:vAlign w:val="bottom"/>
          </w:tcPr>
          <w:p w:rsidR="00000000" w:rsidRDefault="00000000">
            <w:pPr>
              <w:pStyle w:val="SingleTxt"/>
              <w:spacing w:before="40" w:after="40" w:line="160" w:lineRule="exact"/>
              <w:ind w:left="0" w:right="14"/>
              <w:jc w:val="right"/>
              <w:rPr>
                <w:i/>
                <w:sz w:val="12"/>
              </w:rPr>
            </w:pPr>
            <w:r>
              <w:rPr>
                <w:i/>
                <w:sz w:val="12"/>
              </w:rPr>
              <w:t>Total</w:t>
            </w:r>
          </w:p>
        </w:tc>
        <w:tc>
          <w:tcPr>
            <w:tcW w:w="844" w:type="dxa"/>
            <w:vAlign w:val="bottom"/>
          </w:tcPr>
          <w:p w:rsidR="00000000" w:rsidRDefault="00000000">
            <w:pPr>
              <w:pStyle w:val="SingleTxt"/>
              <w:spacing w:before="40" w:after="40" w:line="160" w:lineRule="exact"/>
              <w:ind w:left="0" w:right="14"/>
              <w:jc w:val="right"/>
              <w:rPr>
                <w:i/>
                <w:sz w:val="12"/>
              </w:rPr>
            </w:pPr>
            <w:r>
              <w:rPr>
                <w:i/>
                <w:sz w:val="12"/>
              </w:rPr>
              <w:t>Kuwaitíes</w:t>
            </w:r>
          </w:p>
        </w:tc>
        <w:tc>
          <w:tcPr>
            <w:tcW w:w="810" w:type="dxa"/>
            <w:vAlign w:val="bottom"/>
          </w:tcPr>
          <w:p w:rsidR="00000000" w:rsidRDefault="00000000">
            <w:pPr>
              <w:pStyle w:val="SingleTxt"/>
              <w:spacing w:before="40" w:after="40" w:line="160" w:lineRule="exact"/>
              <w:ind w:left="0" w:right="14"/>
              <w:jc w:val="right"/>
              <w:rPr>
                <w:i/>
                <w:sz w:val="12"/>
              </w:rPr>
            </w:pPr>
            <w:r>
              <w:rPr>
                <w:i/>
                <w:sz w:val="12"/>
              </w:rPr>
              <w:t>No kuwa</w:t>
            </w:r>
            <w:r>
              <w:rPr>
                <w:i/>
                <w:sz w:val="12"/>
              </w:rPr>
              <w:t>i</w:t>
            </w:r>
            <w:r>
              <w:rPr>
                <w:i/>
                <w:sz w:val="12"/>
              </w:rPr>
              <w:t>tíes</w:t>
            </w:r>
          </w:p>
        </w:tc>
        <w:tc>
          <w:tcPr>
            <w:tcW w:w="630" w:type="dxa"/>
            <w:vAlign w:val="bottom"/>
          </w:tcPr>
          <w:p w:rsidR="00000000" w:rsidRDefault="00000000">
            <w:pPr>
              <w:pStyle w:val="SingleTxt"/>
              <w:spacing w:before="40" w:after="40" w:line="160" w:lineRule="exact"/>
              <w:ind w:left="0" w:right="14"/>
              <w:jc w:val="right"/>
              <w:rPr>
                <w:i/>
                <w:sz w:val="12"/>
              </w:rPr>
            </w:pPr>
            <w:r>
              <w:rPr>
                <w:i/>
                <w:sz w:val="12"/>
              </w:rPr>
              <w:t>Total</w:t>
            </w:r>
          </w:p>
        </w:tc>
        <w:tc>
          <w:tcPr>
            <w:tcW w:w="810" w:type="dxa"/>
            <w:vAlign w:val="bottom"/>
          </w:tcPr>
          <w:p w:rsidR="00000000" w:rsidRDefault="00000000">
            <w:pPr>
              <w:pStyle w:val="SingleTxt"/>
              <w:spacing w:before="40" w:after="40" w:line="160" w:lineRule="exact"/>
              <w:ind w:left="0" w:right="14"/>
              <w:jc w:val="right"/>
              <w:rPr>
                <w:i/>
                <w:sz w:val="12"/>
              </w:rPr>
            </w:pPr>
            <w:r>
              <w:rPr>
                <w:i/>
                <w:sz w:val="12"/>
              </w:rPr>
              <w:t>Kuwaitíes</w:t>
            </w:r>
          </w:p>
        </w:tc>
        <w:tc>
          <w:tcPr>
            <w:tcW w:w="734" w:type="dxa"/>
            <w:vAlign w:val="bottom"/>
          </w:tcPr>
          <w:p w:rsidR="00000000" w:rsidRDefault="00000000">
            <w:pPr>
              <w:pStyle w:val="SingleTxt"/>
              <w:spacing w:before="40" w:after="40" w:line="160" w:lineRule="exact"/>
              <w:ind w:left="0" w:right="14"/>
              <w:jc w:val="right"/>
              <w:rPr>
                <w:i/>
                <w:sz w:val="12"/>
              </w:rPr>
            </w:pPr>
            <w:r>
              <w:rPr>
                <w:i/>
                <w:sz w:val="12"/>
              </w:rPr>
              <w:t>No k</w:t>
            </w:r>
            <w:r>
              <w:rPr>
                <w:i/>
                <w:sz w:val="12"/>
              </w:rPr>
              <w:t>u</w:t>
            </w:r>
            <w:r>
              <w:rPr>
                <w:i/>
                <w:sz w:val="12"/>
              </w:rPr>
              <w:t>waitíes</w:t>
            </w:r>
          </w:p>
        </w:tc>
        <w:tc>
          <w:tcPr>
            <w:tcW w:w="630" w:type="dxa"/>
            <w:vAlign w:val="bottom"/>
          </w:tcPr>
          <w:p w:rsidR="00000000" w:rsidRDefault="00000000">
            <w:pPr>
              <w:pStyle w:val="SingleTxt"/>
              <w:spacing w:before="40" w:after="40" w:line="160" w:lineRule="exact"/>
              <w:ind w:left="0" w:right="14"/>
              <w:jc w:val="right"/>
              <w:rPr>
                <w:i/>
                <w:sz w:val="12"/>
              </w:rPr>
            </w:pPr>
            <w:r>
              <w:rPr>
                <w:i/>
                <w:sz w:val="12"/>
              </w:rPr>
              <w:t>Total</w:t>
            </w:r>
          </w:p>
        </w:tc>
        <w:tc>
          <w:tcPr>
            <w:tcW w:w="810" w:type="dxa"/>
            <w:vAlign w:val="bottom"/>
          </w:tcPr>
          <w:p w:rsidR="00000000" w:rsidRDefault="00000000">
            <w:pPr>
              <w:pStyle w:val="SingleTxt"/>
              <w:spacing w:before="40" w:after="40" w:line="160" w:lineRule="exact"/>
              <w:ind w:left="0" w:right="14"/>
              <w:jc w:val="right"/>
              <w:rPr>
                <w:i/>
                <w:sz w:val="12"/>
              </w:rPr>
            </w:pPr>
            <w:r>
              <w:rPr>
                <w:i/>
                <w:sz w:val="12"/>
              </w:rPr>
              <w:t>Kuwaitíes</w:t>
            </w:r>
          </w:p>
        </w:tc>
        <w:tc>
          <w:tcPr>
            <w:tcW w:w="810" w:type="dxa"/>
            <w:vAlign w:val="bottom"/>
          </w:tcPr>
          <w:p w:rsidR="00000000" w:rsidRDefault="00000000">
            <w:pPr>
              <w:pStyle w:val="SingleTxt"/>
              <w:spacing w:before="40" w:after="40" w:line="160" w:lineRule="exact"/>
              <w:ind w:left="0" w:right="14"/>
              <w:jc w:val="right"/>
              <w:rPr>
                <w:i/>
                <w:sz w:val="12"/>
              </w:rPr>
            </w:pPr>
            <w:r>
              <w:rPr>
                <w:i/>
                <w:sz w:val="12"/>
              </w:rPr>
              <w:t>No kuwa</w:t>
            </w:r>
            <w:r>
              <w:rPr>
                <w:i/>
                <w:sz w:val="12"/>
              </w:rPr>
              <w:t>i</w:t>
            </w:r>
            <w:r>
              <w:rPr>
                <w:i/>
                <w:sz w:val="12"/>
              </w:rPr>
              <w:t>tíes</w:t>
            </w:r>
          </w:p>
        </w:tc>
        <w:tc>
          <w:tcPr>
            <w:tcW w:w="630" w:type="dxa"/>
            <w:vAlign w:val="bottom"/>
          </w:tcPr>
          <w:p w:rsidR="00000000" w:rsidRDefault="00000000">
            <w:pPr>
              <w:pStyle w:val="SingleTxt"/>
              <w:spacing w:before="40" w:after="40" w:line="160" w:lineRule="exact"/>
              <w:ind w:left="0" w:right="14"/>
              <w:jc w:val="right"/>
              <w:rPr>
                <w:i/>
                <w:sz w:val="12"/>
              </w:rPr>
            </w:pPr>
            <w:r>
              <w:rPr>
                <w:i/>
                <w:sz w:val="12"/>
              </w:rPr>
              <w:t>Total</w:t>
            </w:r>
          </w:p>
        </w:tc>
        <w:tc>
          <w:tcPr>
            <w:tcW w:w="720" w:type="dxa"/>
            <w:vAlign w:val="bottom"/>
          </w:tcPr>
          <w:p w:rsidR="00000000" w:rsidRDefault="00000000">
            <w:pPr>
              <w:pStyle w:val="SingleTxt"/>
              <w:spacing w:before="40" w:after="40" w:line="160" w:lineRule="exact"/>
              <w:ind w:left="0" w:right="14"/>
              <w:jc w:val="right"/>
              <w:rPr>
                <w:i/>
                <w:sz w:val="12"/>
              </w:rPr>
            </w:pPr>
            <w:r>
              <w:rPr>
                <w:i/>
                <w:sz w:val="12"/>
              </w:rPr>
              <w:t>Kuwa</w:t>
            </w:r>
            <w:r>
              <w:rPr>
                <w:i/>
                <w:sz w:val="12"/>
              </w:rPr>
              <w:t>i</w:t>
            </w:r>
            <w:r>
              <w:rPr>
                <w:i/>
                <w:sz w:val="12"/>
              </w:rPr>
              <w:t>tíes</w:t>
            </w:r>
          </w:p>
        </w:tc>
        <w:tc>
          <w:tcPr>
            <w:tcW w:w="720" w:type="dxa"/>
            <w:vAlign w:val="bottom"/>
          </w:tcPr>
          <w:p w:rsidR="00000000" w:rsidRDefault="00000000">
            <w:pPr>
              <w:pStyle w:val="SingleTxt"/>
              <w:spacing w:before="40" w:after="40" w:line="160" w:lineRule="exact"/>
              <w:ind w:left="0" w:right="14"/>
              <w:jc w:val="right"/>
              <w:rPr>
                <w:i/>
                <w:sz w:val="12"/>
              </w:rPr>
            </w:pPr>
            <w:r>
              <w:rPr>
                <w:i/>
                <w:sz w:val="12"/>
              </w:rPr>
              <w:t>No k</w:t>
            </w:r>
            <w:r>
              <w:rPr>
                <w:i/>
                <w:sz w:val="12"/>
              </w:rPr>
              <w:t>u</w:t>
            </w:r>
            <w:r>
              <w:rPr>
                <w:i/>
                <w:sz w:val="12"/>
              </w:rPr>
              <w:t>waitíes</w:t>
            </w:r>
          </w:p>
        </w:tc>
        <w:tc>
          <w:tcPr>
            <w:tcW w:w="612" w:type="dxa"/>
            <w:vAlign w:val="bottom"/>
          </w:tcPr>
          <w:p w:rsidR="00000000" w:rsidRDefault="00000000">
            <w:pPr>
              <w:pStyle w:val="SingleTxt"/>
              <w:spacing w:before="40" w:after="40" w:line="160" w:lineRule="exact"/>
              <w:ind w:left="0" w:right="14"/>
              <w:jc w:val="right"/>
              <w:rPr>
                <w:i/>
                <w:sz w:val="12"/>
              </w:rPr>
            </w:pPr>
            <w:r>
              <w:rPr>
                <w:i/>
                <w:sz w:val="12"/>
              </w:rPr>
              <w:t>Total</w:t>
            </w:r>
          </w:p>
        </w:tc>
      </w:tr>
      <w:tr w:rsidR="00000000">
        <w:tblPrEx>
          <w:tblCellMar>
            <w:top w:w="0" w:type="dxa"/>
            <w:bottom w:w="0" w:type="dxa"/>
          </w:tblCellMar>
        </w:tblPrEx>
        <w:trPr>
          <w:cantSplit/>
          <w:trHeight w:hRule="exact" w:val="120"/>
          <w:tblHeader/>
          <w:jc w:val="center"/>
        </w:trPr>
        <w:tc>
          <w:tcPr>
            <w:tcW w:w="965" w:type="dxa"/>
            <w:tcBorders>
              <w:top w:val="single" w:sz="12" w:space="0" w:color="auto"/>
            </w:tcBorders>
            <w:vAlign w:val="bottom"/>
          </w:tcPr>
          <w:p w:rsidR="00000000" w:rsidRDefault="00000000">
            <w:pPr>
              <w:pStyle w:val="SingleTxt"/>
              <w:spacing w:before="40" w:after="40" w:line="160" w:lineRule="exact"/>
              <w:ind w:left="0" w:right="14"/>
              <w:rPr>
                <w:sz w:val="17"/>
              </w:rPr>
            </w:pPr>
          </w:p>
        </w:tc>
        <w:tc>
          <w:tcPr>
            <w:tcW w:w="655"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771"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810"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596"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844"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810"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630"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810"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734"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630"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810"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810"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630"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720"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720"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c>
          <w:tcPr>
            <w:tcW w:w="612" w:type="dxa"/>
            <w:tcBorders>
              <w:top w:val="single" w:sz="12" w:space="0" w:color="auto"/>
            </w:tcBorders>
            <w:vAlign w:val="bottom"/>
          </w:tcPr>
          <w:p w:rsidR="00000000" w:rsidRDefault="00000000">
            <w:pPr>
              <w:pStyle w:val="SingleTxt"/>
              <w:spacing w:before="40" w:after="40" w:line="160" w:lineRule="exact"/>
              <w:ind w:left="0" w:right="14"/>
              <w:jc w:val="right"/>
              <w:rPr>
                <w:sz w:val="17"/>
              </w:rPr>
            </w:pPr>
          </w:p>
        </w:tc>
      </w:tr>
      <w:tr w:rsidR="00000000">
        <w:tblPrEx>
          <w:tblCellMar>
            <w:top w:w="0" w:type="dxa"/>
            <w:bottom w:w="0" w:type="dxa"/>
          </w:tblCellMar>
        </w:tblPrEx>
        <w:trPr>
          <w:cantSplit/>
          <w:jc w:val="center"/>
        </w:trPr>
        <w:tc>
          <w:tcPr>
            <w:tcW w:w="965" w:type="dxa"/>
            <w:vAlign w:val="bottom"/>
          </w:tcPr>
          <w:p w:rsidR="00000000" w:rsidRDefault="00000000">
            <w:pPr>
              <w:pStyle w:val="SingleTxt"/>
              <w:spacing w:before="20" w:after="20" w:line="150" w:lineRule="exact"/>
              <w:ind w:left="0" w:right="43"/>
              <w:rPr>
                <w:sz w:val="14"/>
              </w:rPr>
            </w:pPr>
            <w:r>
              <w:rPr>
                <w:sz w:val="14"/>
              </w:rPr>
              <w:t>Comercio</w:t>
            </w: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H</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562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38</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600</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355</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56</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411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396</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41</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437</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74</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75</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76</w:t>
            </w:r>
          </w:p>
        </w:tc>
      </w:tr>
      <w:tr w:rsidR="00000000">
        <w:tblPrEx>
          <w:tblCellMar>
            <w:top w:w="0" w:type="dxa"/>
            <w:bottom w:w="0" w:type="dxa"/>
          </w:tblCellMar>
        </w:tblPrEx>
        <w:trPr>
          <w:cantSplit/>
          <w:jc w:val="center"/>
        </w:trPr>
        <w:tc>
          <w:tcPr>
            <w:tcW w:w="965" w:type="dxa"/>
            <w:vAlign w:val="bottom"/>
          </w:tcPr>
          <w:p w:rsidR="00000000" w:rsidRDefault="00000000">
            <w:pPr>
              <w:pStyle w:val="SingleTxt"/>
              <w:spacing w:before="20" w:after="20" w:line="150" w:lineRule="exact"/>
              <w:ind w:left="0" w:right="43"/>
              <w:rPr>
                <w:sz w:val="14"/>
              </w:rPr>
            </w:pP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M</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603</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32</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635</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364</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29</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393</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406</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33</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439</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106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107</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87</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86</w:t>
            </w:r>
          </w:p>
        </w:tc>
      </w:tr>
      <w:tr w:rsidR="00000000">
        <w:tblPrEx>
          <w:tblCellMar>
            <w:top w:w="0" w:type="dxa"/>
            <w:bottom w:w="0" w:type="dxa"/>
          </w:tblCellMar>
        </w:tblPrEx>
        <w:trPr>
          <w:cantSplit/>
          <w:jc w:val="center"/>
        </w:trPr>
        <w:tc>
          <w:tcPr>
            <w:tcW w:w="965" w:type="dxa"/>
            <w:tcBorders>
              <w:bottom w:val="single" w:sz="4" w:space="0" w:color="auto"/>
            </w:tcBorders>
            <w:vAlign w:val="bottom"/>
          </w:tcPr>
          <w:p w:rsidR="00000000" w:rsidRDefault="00000000">
            <w:pPr>
              <w:pStyle w:val="SingleTxt"/>
              <w:spacing w:before="20" w:after="20" w:line="150" w:lineRule="exact"/>
              <w:ind w:left="0" w:right="43"/>
              <w:rPr>
                <w:sz w:val="14"/>
              </w:rPr>
            </w:pPr>
          </w:p>
        </w:tc>
        <w:tc>
          <w:tcPr>
            <w:tcW w:w="65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Total</w:t>
            </w:r>
          </w:p>
        </w:tc>
        <w:tc>
          <w:tcPr>
            <w:tcW w:w="771"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1 165</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70</w:t>
            </w:r>
          </w:p>
        </w:tc>
        <w:tc>
          <w:tcPr>
            <w:tcW w:w="59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1 235</w:t>
            </w:r>
          </w:p>
        </w:tc>
        <w:tc>
          <w:tcPr>
            <w:tcW w:w="8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719</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85</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804</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802</w:t>
            </w:r>
          </w:p>
        </w:tc>
        <w:tc>
          <w:tcPr>
            <w:tcW w:w="73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74</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876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168</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181</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162</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61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163</w:t>
            </w:r>
          </w:p>
        </w:tc>
      </w:tr>
      <w:tr w:rsidR="00000000">
        <w:tblPrEx>
          <w:tblCellMar>
            <w:top w:w="0" w:type="dxa"/>
            <w:bottom w:w="0" w:type="dxa"/>
          </w:tblCellMar>
        </w:tblPrEx>
        <w:trPr>
          <w:cantSplit/>
          <w:jc w:val="center"/>
        </w:trPr>
        <w:tc>
          <w:tcPr>
            <w:tcW w:w="965" w:type="dxa"/>
            <w:vAlign w:val="bottom"/>
          </w:tcPr>
          <w:p w:rsidR="00000000" w:rsidRDefault="00000000">
            <w:pPr>
              <w:pStyle w:val="SingleTxt"/>
              <w:spacing w:before="20" w:after="20" w:line="150" w:lineRule="exact"/>
              <w:ind w:left="0" w:right="43"/>
              <w:rPr>
                <w:sz w:val="14"/>
              </w:rPr>
            </w:pPr>
            <w:r>
              <w:rPr>
                <w:sz w:val="14"/>
              </w:rPr>
              <w:t>Derecho</w:t>
            </w: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H</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153</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104</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146</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140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143</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123</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131</w:t>
            </w:r>
          </w:p>
        </w:tc>
      </w:tr>
      <w:tr w:rsidR="00000000">
        <w:tblPrEx>
          <w:tblCellMar>
            <w:top w:w="0" w:type="dxa"/>
            <w:bottom w:w="0" w:type="dxa"/>
          </w:tblCellMar>
        </w:tblPrEx>
        <w:trPr>
          <w:cantSplit/>
          <w:jc w:val="center"/>
        </w:trPr>
        <w:tc>
          <w:tcPr>
            <w:tcW w:w="965" w:type="dxa"/>
            <w:vAlign w:val="bottom"/>
          </w:tcPr>
          <w:p w:rsidR="00000000" w:rsidRDefault="00000000">
            <w:pPr>
              <w:pStyle w:val="SingleTxt"/>
              <w:spacing w:before="20" w:after="20" w:line="150" w:lineRule="exact"/>
              <w:ind w:left="0" w:right="43"/>
              <w:rPr>
                <w:sz w:val="14"/>
              </w:rPr>
            </w:pP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M</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136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141</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93</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87</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94</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164</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149</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158</w:t>
            </w:r>
          </w:p>
        </w:tc>
      </w:tr>
      <w:tr w:rsidR="00000000">
        <w:tblPrEx>
          <w:tblCellMar>
            <w:top w:w="0" w:type="dxa"/>
            <w:bottom w:w="0" w:type="dxa"/>
          </w:tblCellMar>
        </w:tblPrEx>
        <w:trPr>
          <w:cantSplit/>
          <w:jc w:val="center"/>
        </w:trPr>
        <w:tc>
          <w:tcPr>
            <w:tcW w:w="965" w:type="dxa"/>
            <w:tcBorders>
              <w:bottom w:val="single" w:sz="4" w:space="0" w:color="auto"/>
            </w:tcBorders>
            <w:vAlign w:val="bottom"/>
          </w:tcPr>
          <w:p w:rsidR="00000000" w:rsidRDefault="00000000">
            <w:pPr>
              <w:pStyle w:val="SingleTxt"/>
              <w:spacing w:before="20" w:after="20" w:line="150" w:lineRule="exact"/>
              <w:ind w:left="0" w:right="43"/>
              <w:rPr>
                <w:sz w:val="14"/>
              </w:rPr>
            </w:pPr>
          </w:p>
        </w:tc>
        <w:tc>
          <w:tcPr>
            <w:tcW w:w="65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Total</w:t>
            </w:r>
          </w:p>
        </w:tc>
        <w:tc>
          <w:tcPr>
            <w:tcW w:w="771"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287</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w:t>
            </w:r>
          </w:p>
        </w:tc>
        <w:tc>
          <w:tcPr>
            <w:tcW w:w="59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294</w:t>
            </w:r>
          </w:p>
        </w:tc>
        <w:tc>
          <w:tcPr>
            <w:tcW w:w="8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182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197</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233</w:t>
            </w:r>
          </w:p>
        </w:tc>
        <w:tc>
          <w:tcPr>
            <w:tcW w:w="73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13</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246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296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11</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307</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272</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17</w:t>
            </w:r>
          </w:p>
        </w:tc>
        <w:tc>
          <w:tcPr>
            <w:tcW w:w="61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289</w:t>
            </w:r>
          </w:p>
        </w:tc>
      </w:tr>
      <w:tr w:rsidR="00000000">
        <w:tblPrEx>
          <w:tblCellMar>
            <w:top w:w="0" w:type="dxa"/>
            <w:bottom w:w="0" w:type="dxa"/>
          </w:tblCellMar>
        </w:tblPrEx>
        <w:trPr>
          <w:cantSplit/>
          <w:jc w:val="center"/>
        </w:trPr>
        <w:tc>
          <w:tcPr>
            <w:tcW w:w="965" w:type="dxa"/>
            <w:vMerge w:val="restart"/>
            <w:vAlign w:val="bottom"/>
          </w:tcPr>
          <w:p w:rsidR="00000000" w:rsidRDefault="00000000">
            <w:pPr>
              <w:pStyle w:val="SingleTxt"/>
              <w:spacing w:before="20" w:after="20" w:line="150" w:lineRule="exact"/>
              <w:ind w:left="0" w:right="43"/>
              <w:rPr>
                <w:sz w:val="14"/>
              </w:rPr>
            </w:pPr>
            <w:r>
              <w:rPr>
                <w:sz w:val="14"/>
              </w:rPr>
              <w:t>Humanida-des</w:t>
            </w: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H</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198</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17</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215</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134</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27</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122</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27</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149</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187</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24</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211</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166</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26</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192</w:t>
            </w:r>
          </w:p>
        </w:tc>
      </w:tr>
      <w:tr w:rsidR="00000000">
        <w:tblPrEx>
          <w:tblCellMar>
            <w:top w:w="0" w:type="dxa"/>
            <w:bottom w:w="0" w:type="dxa"/>
          </w:tblCellMar>
        </w:tblPrEx>
        <w:trPr>
          <w:cantSplit/>
          <w:jc w:val="center"/>
        </w:trPr>
        <w:tc>
          <w:tcPr>
            <w:tcW w:w="965" w:type="dxa"/>
            <w:vMerge/>
            <w:vAlign w:val="bottom"/>
          </w:tcPr>
          <w:p w:rsidR="00000000" w:rsidRDefault="00000000">
            <w:pPr>
              <w:pStyle w:val="SingleTxt"/>
              <w:spacing w:before="20" w:after="20" w:line="150" w:lineRule="exact"/>
              <w:ind w:left="0" w:right="43"/>
              <w:rPr>
                <w:sz w:val="14"/>
              </w:rPr>
            </w:pP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M</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732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56</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788</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527</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54</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572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542</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28</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570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535</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575</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516</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38</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554</w:t>
            </w:r>
          </w:p>
        </w:tc>
      </w:tr>
      <w:tr w:rsidR="00000000">
        <w:tblPrEx>
          <w:tblCellMar>
            <w:top w:w="0" w:type="dxa"/>
            <w:bottom w:w="0" w:type="dxa"/>
          </w:tblCellMar>
        </w:tblPrEx>
        <w:trPr>
          <w:cantSplit/>
          <w:jc w:val="center"/>
        </w:trPr>
        <w:tc>
          <w:tcPr>
            <w:tcW w:w="965" w:type="dxa"/>
            <w:tcBorders>
              <w:bottom w:val="single" w:sz="4" w:space="0" w:color="auto"/>
            </w:tcBorders>
            <w:vAlign w:val="bottom"/>
          </w:tcPr>
          <w:p w:rsidR="00000000" w:rsidRDefault="00000000">
            <w:pPr>
              <w:pStyle w:val="SingleTxt"/>
              <w:spacing w:before="20" w:after="20" w:line="150" w:lineRule="exact"/>
              <w:ind w:left="0" w:right="43"/>
              <w:rPr>
                <w:sz w:val="14"/>
              </w:rPr>
            </w:pPr>
          </w:p>
        </w:tc>
        <w:tc>
          <w:tcPr>
            <w:tcW w:w="65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Total</w:t>
            </w:r>
          </w:p>
        </w:tc>
        <w:tc>
          <w:tcPr>
            <w:tcW w:w="771"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930</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37</w:t>
            </w:r>
          </w:p>
        </w:tc>
        <w:tc>
          <w:tcPr>
            <w:tcW w:w="59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1 003</w:t>
            </w:r>
          </w:p>
        </w:tc>
        <w:tc>
          <w:tcPr>
            <w:tcW w:w="8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616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72</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733</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664</w:t>
            </w:r>
          </w:p>
        </w:tc>
        <w:tc>
          <w:tcPr>
            <w:tcW w:w="73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55</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719</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722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64</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786</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682</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64</w:t>
            </w:r>
          </w:p>
        </w:tc>
        <w:tc>
          <w:tcPr>
            <w:tcW w:w="61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746</w:t>
            </w:r>
          </w:p>
        </w:tc>
      </w:tr>
      <w:tr w:rsidR="00000000">
        <w:tblPrEx>
          <w:tblCellMar>
            <w:top w:w="0" w:type="dxa"/>
            <w:bottom w:w="0" w:type="dxa"/>
          </w:tblCellMar>
        </w:tblPrEx>
        <w:trPr>
          <w:cantSplit/>
          <w:jc w:val="center"/>
        </w:trPr>
        <w:tc>
          <w:tcPr>
            <w:tcW w:w="965" w:type="dxa"/>
            <w:vAlign w:val="bottom"/>
          </w:tcPr>
          <w:p w:rsidR="00000000" w:rsidRDefault="00000000">
            <w:pPr>
              <w:pStyle w:val="SingleTxt"/>
              <w:spacing w:before="20" w:after="20" w:line="150" w:lineRule="exact"/>
              <w:ind w:left="0" w:right="43"/>
              <w:rPr>
                <w:sz w:val="14"/>
              </w:rPr>
            </w:pPr>
            <w:r>
              <w:rPr>
                <w:sz w:val="14"/>
              </w:rPr>
              <w:t>Ciencias</w:t>
            </w: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H</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252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40</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292</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157</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197</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214</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56</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270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183</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42</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225</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197</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45</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242</w:t>
            </w:r>
          </w:p>
        </w:tc>
      </w:tr>
      <w:tr w:rsidR="00000000">
        <w:tblPrEx>
          <w:tblCellMar>
            <w:top w:w="0" w:type="dxa"/>
            <w:bottom w:w="0" w:type="dxa"/>
          </w:tblCellMar>
        </w:tblPrEx>
        <w:trPr>
          <w:cantSplit/>
          <w:jc w:val="center"/>
        </w:trPr>
        <w:tc>
          <w:tcPr>
            <w:tcW w:w="965" w:type="dxa"/>
            <w:vAlign w:val="bottom"/>
          </w:tcPr>
          <w:p w:rsidR="00000000" w:rsidRDefault="00000000">
            <w:pPr>
              <w:pStyle w:val="SingleTxt"/>
              <w:spacing w:before="20" w:after="20" w:line="150" w:lineRule="exact"/>
              <w:ind w:left="0" w:right="43"/>
              <w:rPr>
                <w:sz w:val="14"/>
              </w:rPr>
            </w:pP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M</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350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74</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424</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371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54</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425</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394</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44</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438</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423</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493</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487</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66</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575</w:t>
            </w:r>
          </w:p>
        </w:tc>
      </w:tr>
      <w:tr w:rsidR="00000000">
        <w:tblPrEx>
          <w:tblCellMar>
            <w:top w:w="0" w:type="dxa"/>
            <w:bottom w:w="0" w:type="dxa"/>
          </w:tblCellMar>
        </w:tblPrEx>
        <w:trPr>
          <w:cantSplit/>
          <w:jc w:val="center"/>
        </w:trPr>
        <w:tc>
          <w:tcPr>
            <w:tcW w:w="965"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Total</w:t>
            </w:r>
          </w:p>
        </w:tc>
        <w:tc>
          <w:tcPr>
            <w:tcW w:w="771"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602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114</w:t>
            </w:r>
          </w:p>
        </w:tc>
        <w:tc>
          <w:tcPr>
            <w:tcW w:w="59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716</w:t>
            </w:r>
          </w:p>
        </w:tc>
        <w:tc>
          <w:tcPr>
            <w:tcW w:w="8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528</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94</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622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608</w:t>
            </w:r>
          </w:p>
        </w:tc>
        <w:tc>
          <w:tcPr>
            <w:tcW w:w="73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100</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708</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606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112</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718</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684</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133</w:t>
            </w:r>
          </w:p>
        </w:tc>
        <w:tc>
          <w:tcPr>
            <w:tcW w:w="61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817</w:t>
            </w:r>
          </w:p>
        </w:tc>
      </w:tr>
      <w:tr w:rsidR="00000000">
        <w:tblPrEx>
          <w:tblCellMar>
            <w:top w:w="0" w:type="dxa"/>
            <w:bottom w:w="0" w:type="dxa"/>
          </w:tblCellMar>
        </w:tblPrEx>
        <w:trPr>
          <w:cantSplit/>
          <w:jc w:val="center"/>
        </w:trPr>
        <w:tc>
          <w:tcPr>
            <w:tcW w:w="965" w:type="dxa"/>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r>
              <w:rPr>
                <w:sz w:val="14"/>
              </w:rPr>
              <w:t>Medicina</w:t>
            </w: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H</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37</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38</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37</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42</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38</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40</w:t>
            </w:r>
          </w:p>
        </w:tc>
      </w:tr>
      <w:tr w:rsidR="00000000">
        <w:tblPrEx>
          <w:tblCellMar>
            <w:top w:w="0" w:type="dxa"/>
            <w:bottom w:w="0" w:type="dxa"/>
          </w:tblCellMar>
        </w:tblPrEx>
        <w:trPr>
          <w:cantSplit/>
          <w:jc w:val="center"/>
        </w:trPr>
        <w:tc>
          <w:tcPr>
            <w:tcW w:w="965" w:type="dxa"/>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M</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43</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39</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43</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56</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57</w:t>
            </w:r>
          </w:p>
        </w:tc>
      </w:tr>
      <w:tr w:rsidR="00000000">
        <w:tblPrEx>
          <w:tblCellMar>
            <w:top w:w="0" w:type="dxa"/>
            <w:bottom w:w="0" w:type="dxa"/>
          </w:tblCellMar>
        </w:tblPrEx>
        <w:trPr>
          <w:cantSplit/>
          <w:jc w:val="center"/>
        </w:trPr>
        <w:tc>
          <w:tcPr>
            <w:tcW w:w="965"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Total</w:t>
            </w:r>
          </w:p>
        </w:tc>
        <w:tc>
          <w:tcPr>
            <w:tcW w:w="771"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78</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w:t>
            </w:r>
          </w:p>
        </w:tc>
        <w:tc>
          <w:tcPr>
            <w:tcW w:w="59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81</w:t>
            </w:r>
          </w:p>
        </w:tc>
        <w:tc>
          <w:tcPr>
            <w:tcW w:w="8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76</w:t>
            </w:r>
          </w:p>
        </w:tc>
        <w:tc>
          <w:tcPr>
            <w:tcW w:w="73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81</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85</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94</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w:t>
            </w:r>
          </w:p>
        </w:tc>
        <w:tc>
          <w:tcPr>
            <w:tcW w:w="61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97</w:t>
            </w:r>
          </w:p>
        </w:tc>
      </w:tr>
      <w:tr w:rsidR="00000000">
        <w:tblPrEx>
          <w:tblCellMar>
            <w:top w:w="0" w:type="dxa"/>
            <w:bottom w:w="0" w:type="dxa"/>
          </w:tblCellMar>
        </w:tblPrEx>
        <w:trPr>
          <w:cantSplit/>
          <w:jc w:val="center"/>
        </w:trPr>
        <w:tc>
          <w:tcPr>
            <w:tcW w:w="965" w:type="dxa"/>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r>
              <w:rPr>
                <w:sz w:val="14"/>
              </w:rPr>
              <w:t>Ingeniería</w:t>
            </w: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H</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426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69</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495</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324</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74</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398</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336</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351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326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22</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348</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362</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22</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384</w:t>
            </w:r>
          </w:p>
        </w:tc>
      </w:tr>
      <w:tr w:rsidR="00000000">
        <w:tblPrEx>
          <w:tblCellMar>
            <w:top w:w="0" w:type="dxa"/>
            <w:bottom w:w="0" w:type="dxa"/>
          </w:tblCellMar>
        </w:tblPrEx>
        <w:trPr>
          <w:cantSplit/>
          <w:jc w:val="center"/>
        </w:trPr>
        <w:tc>
          <w:tcPr>
            <w:tcW w:w="965" w:type="dxa"/>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M</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256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18</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274</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186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18</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204</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169</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179</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204</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211</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185</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12</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197</w:t>
            </w:r>
          </w:p>
        </w:tc>
      </w:tr>
      <w:tr w:rsidR="00000000">
        <w:tblPrEx>
          <w:tblCellMar>
            <w:top w:w="0" w:type="dxa"/>
            <w:bottom w:w="0" w:type="dxa"/>
          </w:tblCellMar>
        </w:tblPrEx>
        <w:trPr>
          <w:cantSplit/>
          <w:jc w:val="center"/>
        </w:trPr>
        <w:tc>
          <w:tcPr>
            <w:tcW w:w="965"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Total</w:t>
            </w:r>
          </w:p>
        </w:tc>
        <w:tc>
          <w:tcPr>
            <w:tcW w:w="771"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682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87</w:t>
            </w:r>
          </w:p>
        </w:tc>
        <w:tc>
          <w:tcPr>
            <w:tcW w:w="59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769</w:t>
            </w:r>
          </w:p>
        </w:tc>
        <w:tc>
          <w:tcPr>
            <w:tcW w:w="8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510</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92</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602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505</w:t>
            </w:r>
          </w:p>
        </w:tc>
        <w:tc>
          <w:tcPr>
            <w:tcW w:w="73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25</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530</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530</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29</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559</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547</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34</w:t>
            </w:r>
          </w:p>
        </w:tc>
        <w:tc>
          <w:tcPr>
            <w:tcW w:w="61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581</w:t>
            </w:r>
          </w:p>
        </w:tc>
      </w:tr>
      <w:tr w:rsidR="00000000">
        <w:tblPrEx>
          <w:tblCellMar>
            <w:top w:w="0" w:type="dxa"/>
            <w:bottom w:w="0" w:type="dxa"/>
          </w:tblCellMar>
        </w:tblPrEx>
        <w:trPr>
          <w:cantSplit/>
          <w:jc w:val="center"/>
        </w:trPr>
        <w:tc>
          <w:tcPr>
            <w:tcW w:w="965" w:type="dxa"/>
            <w:vMerge w:val="restart"/>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r>
              <w:rPr>
                <w:sz w:val="14"/>
              </w:rPr>
              <w:t>Ciencias Méd. Aux.</w:t>
            </w: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H</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24</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39</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13</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21</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27</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35</w:t>
            </w:r>
          </w:p>
        </w:tc>
      </w:tr>
      <w:tr w:rsidR="00000000">
        <w:tblPrEx>
          <w:tblCellMar>
            <w:top w:w="0" w:type="dxa"/>
            <w:bottom w:w="0" w:type="dxa"/>
          </w:tblCellMar>
        </w:tblPrEx>
        <w:trPr>
          <w:cantSplit/>
          <w:jc w:val="center"/>
        </w:trPr>
        <w:tc>
          <w:tcPr>
            <w:tcW w:w="965" w:type="dxa"/>
            <w:vMerge/>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M</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64</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14</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78</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11</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55</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37</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68</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88</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92</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27</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119</w:t>
            </w:r>
          </w:p>
        </w:tc>
      </w:tr>
      <w:tr w:rsidR="00000000">
        <w:tblPrEx>
          <w:tblCellMar>
            <w:top w:w="0" w:type="dxa"/>
            <w:bottom w:w="0" w:type="dxa"/>
          </w:tblCellMar>
        </w:tblPrEx>
        <w:trPr>
          <w:cantSplit/>
          <w:jc w:val="center"/>
        </w:trPr>
        <w:tc>
          <w:tcPr>
            <w:tcW w:w="965"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Total</w:t>
            </w:r>
          </w:p>
        </w:tc>
        <w:tc>
          <w:tcPr>
            <w:tcW w:w="771"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74</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20</w:t>
            </w:r>
          </w:p>
        </w:tc>
        <w:tc>
          <w:tcPr>
            <w:tcW w:w="59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94</w:t>
            </w:r>
          </w:p>
        </w:tc>
        <w:tc>
          <w:tcPr>
            <w:tcW w:w="8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71</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70</w:t>
            </w:r>
          </w:p>
        </w:tc>
        <w:tc>
          <w:tcPr>
            <w:tcW w:w="73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61</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131</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33</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109</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119</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35</w:t>
            </w:r>
          </w:p>
        </w:tc>
        <w:tc>
          <w:tcPr>
            <w:tcW w:w="61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154</w:t>
            </w:r>
          </w:p>
        </w:tc>
      </w:tr>
      <w:tr w:rsidR="00000000">
        <w:tblPrEx>
          <w:tblCellMar>
            <w:top w:w="0" w:type="dxa"/>
            <w:bottom w:w="0" w:type="dxa"/>
          </w:tblCellMar>
        </w:tblPrEx>
        <w:trPr>
          <w:cantSplit/>
          <w:jc w:val="center"/>
        </w:trPr>
        <w:tc>
          <w:tcPr>
            <w:tcW w:w="965" w:type="dxa"/>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r>
              <w:rPr>
                <w:sz w:val="14"/>
              </w:rPr>
              <w:t>Educación</w:t>
            </w: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H</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175</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33</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208</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43</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139</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132</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22</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174</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139</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32</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171</w:t>
            </w:r>
          </w:p>
        </w:tc>
      </w:tr>
      <w:tr w:rsidR="00000000">
        <w:tblPrEx>
          <w:tblCellMar>
            <w:top w:w="0" w:type="dxa"/>
            <w:bottom w:w="0" w:type="dxa"/>
          </w:tblCellMar>
        </w:tblPrEx>
        <w:trPr>
          <w:cantSplit/>
          <w:jc w:val="center"/>
        </w:trPr>
        <w:tc>
          <w:tcPr>
            <w:tcW w:w="965" w:type="dxa"/>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M</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668</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67</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735</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451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72</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523</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565</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655</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737</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807</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567</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67</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634</w:t>
            </w:r>
          </w:p>
        </w:tc>
      </w:tr>
      <w:tr w:rsidR="00000000">
        <w:tblPrEx>
          <w:tblCellMar>
            <w:top w:w="0" w:type="dxa"/>
            <w:bottom w:w="0" w:type="dxa"/>
          </w:tblCellMar>
        </w:tblPrEx>
        <w:trPr>
          <w:cantSplit/>
          <w:jc w:val="center"/>
        </w:trPr>
        <w:tc>
          <w:tcPr>
            <w:tcW w:w="965"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Total</w:t>
            </w:r>
          </w:p>
        </w:tc>
        <w:tc>
          <w:tcPr>
            <w:tcW w:w="771"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843</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100</w:t>
            </w:r>
          </w:p>
        </w:tc>
        <w:tc>
          <w:tcPr>
            <w:tcW w:w="59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943</w:t>
            </w:r>
          </w:p>
        </w:tc>
        <w:tc>
          <w:tcPr>
            <w:tcW w:w="8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547</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115</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662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697</w:t>
            </w:r>
          </w:p>
        </w:tc>
        <w:tc>
          <w:tcPr>
            <w:tcW w:w="73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110</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807</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889</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92</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981</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706</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99</w:t>
            </w:r>
          </w:p>
        </w:tc>
        <w:tc>
          <w:tcPr>
            <w:tcW w:w="61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805</w:t>
            </w:r>
          </w:p>
        </w:tc>
      </w:tr>
      <w:tr w:rsidR="00000000">
        <w:tblPrEx>
          <w:tblCellMar>
            <w:top w:w="0" w:type="dxa"/>
            <w:bottom w:w="0" w:type="dxa"/>
          </w:tblCellMar>
        </w:tblPrEx>
        <w:trPr>
          <w:cantSplit/>
          <w:jc w:val="center"/>
        </w:trPr>
        <w:tc>
          <w:tcPr>
            <w:tcW w:w="965" w:type="dxa"/>
            <w:vMerge w:val="restart"/>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r>
              <w:rPr>
                <w:sz w:val="14"/>
              </w:rPr>
              <w:t>Derecho Islámico</w:t>
            </w: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H</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117</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10</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127</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96</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14</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110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39</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12</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105</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172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18</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190</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146</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19</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165</w:t>
            </w:r>
          </w:p>
        </w:tc>
      </w:tr>
      <w:tr w:rsidR="00000000">
        <w:tblPrEx>
          <w:tblCellMar>
            <w:top w:w="0" w:type="dxa"/>
            <w:bottom w:w="0" w:type="dxa"/>
          </w:tblCellMar>
        </w:tblPrEx>
        <w:trPr>
          <w:cantSplit/>
          <w:jc w:val="center"/>
        </w:trPr>
        <w:tc>
          <w:tcPr>
            <w:tcW w:w="965" w:type="dxa"/>
            <w:vMerge/>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M</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232</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20</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252</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155</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171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173</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17</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190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231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247</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163</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16</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179</w:t>
            </w:r>
          </w:p>
        </w:tc>
      </w:tr>
      <w:tr w:rsidR="00000000">
        <w:tblPrEx>
          <w:tblCellMar>
            <w:top w:w="0" w:type="dxa"/>
            <w:bottom w:w="0" w:type="dxa"/>
          </w:tblCellMar>
        </w:tblPrEx>
        <w:trPr>
          <w:cantSplit/>
          <w:jc w:val="center"/>
        </w:trPr>
        <w:tc>
          <w:tcPr>
            <w:tcW w:w="965"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Total</w:t>
            </w:r>
          </w:p>
        </w:tc>
        <w:tc>
          <w:tcPr>
            <w:tcW w:w="771"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349</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30</w:t>
            </w:r>
          </w:p>
        </w:tc>
        <w:tc>
          <w:tcPr>
            <w:tcW w:w="59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379</w:t>
            </w:r>
          </w:p>
        </w:tc>
        <w:tc>
          <w:tcPr>
            <w:tcW w:w="8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251</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30</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281</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266</w:t>
            </w:r>
          </w:p>
        </w:tc>
        <w:tc>
          <w:tcPr>
            <w:tcW w:w="73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29</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295</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403</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34</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437</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309</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35</w:t>
            </w:r>
          </w:p>
        </w:tc>
        <w:tc>
          <w:tcPr>
            <w:tcW w:w="61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344</w:t>
            </w:r>
          </w:p>
        </w:tc>
      </w:tr>
      <w:tr w:rsidR="00000000">
        <w:tblPrEx>
          <w:tblCellMar>
            <w:top w:w="0" w:type="dxa"/>
            <w:bottom w:w="0" w:type="dxa"/>
          </w:tblCellMar>
        </w:tblPrEx>
        <w:trPr>
          <w:cantSplit/>
          <w:jc w:val="center"/>
        </w:trPr>
        <w:tc>
          <w:tcPr>
            <w:tcW w:w="965" w:type="dxa"/>
            <w:vMerge w:val="restart"/>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r>
              <w:rPr>
                <w:sz w:val="14"/>
              </w:rPr>
              <w:t>Ciencias Administr.</w:t>
            </w: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H</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103</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11</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114</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106</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14</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120</w:t>
            </w:r>
          </w:p>
        </w:tc>
      </w:tr>
      <w:tr w:rsidR="00000000">
        <w:tblPrEx>
          <w:tblCellMar>
            <w:top w:w="0" w:type="dxa"/>
            <w:bottom w:w="0" w:type="dxa"/>
          </w:tblCellMar>
        </w:tblPrEx>
        <w:trPr>
          <w:cantSplit/>
          <w:jc w:val="center"/>
        </w:trPr>
        <w:tc>
          <w:tcPr>
            <w:tcW w:w="965" w:type="dxa"/>
            <w:vMerge/>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M</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198</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8</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206</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201</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20</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221</w:t>
            </w:r>
          </w:p>
        </w:tc>
      </w:tr>
      <w:tr w:rsidR="00000000">
        <w:tblPrEx>
          <w:tblCellMar>
            <w:top w:w="0" w:type="dxa"/>
            <w:bottom w:w="0" w:type="dxa"/>
          </w:tblCellMar>
        </w:tblPrEx>
        <w:trPr>
          <w:cantSplit/>
          <w:jc w:val="center"/>
        </w:trPr>
        <w:tc>
          <w:tcPr>
            <w:tcW w:w="965"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rPr>
                <w:sz w:val="17"/>
              </w:rPr>
            </w:pPr>
          </w:p>
        </w:tc>
        <w:tc>
          <w:tcPr>
            <w:tcW w:w="655"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Total</w:t>
            </w:r>
          </w:p>
        </w:tc>
        <w:tc>
          <w:tcPr>
            <w:tcW w:w="771"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59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8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w:t>
            </w:r>
          </w:p>
        </w:tc>
        <w:tc>
          <w:tcPr>
            <w:tcW w:w="73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0</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301</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19</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320</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307</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34</w:t>
            </w:r>
          </w:p>
        </w:tc>
        <w:tc>
          <w:tcPr>
            <w:tcW w:w="61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sz w:val="14"/>
              </w:rPr>
            </w:pPr>
            <w:r>
              <w:rPr>
                <w:sz w:val="14"/>
              </w:rPr>
              <w:t>341</w:t>
            </w:r>
          </w:p>
        </w:tc>
      </w:tr>
      <w:tr w:rsidR="00000000">
        <w:tblPrEx>
          <w:tblCellMar>
            <w:top w:w="0" w:type="dxa"/>
            <w:bottom w:w="0" w:type="dxa"/>
          </w:tblCellMar>
        </w:tblPrEx>
        <w:trPr>
          <w:cantSplit/>
          <w:jc w:val="center"/>
        </w:trPr>
        <w:tc>
          <w:tcPr>
            <w:tcW w:w="965" w:type="dxa"/>
            <w:vAlign w:val="bottom"/>
          </w:tcPr>
          <w:p w:rsidR="00000000" w:rsidRDefault="00000000">
            <w:pPr>
              <w:pStyle w:val="SingleTxt"/>
              <w:tabs>
                <w:tab w:val="left" w:pos="288"/>
                <w:tab w:val="left" w:pos="576"/>
                <w:tab w:val="left" w:pos="864"/>
                <w:tab w:val="left" w:pos="1152"/>
              </w:tabs>
              <w:spacing w:before="20" w:after="20" w:line="160" w:lineRule="exact"/>
              <w:ind w:left="0" w:right="14"/>
              <w:rPr>
                <w:b/>
                <w:sz w:val="14"/>
              </w:rPr>
            </w:pPr>
            <w:r>
              <w:rPr>
                <w:b/>
                <w:sz w:val="14"/>
              </w:rPr>
              <w:t>Total</w:t>
            </w: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H</w:t>
            </w:r>
          </w:p>
        </w:tc>
        <w:tc>
          <w:tcPr>
            <w:tcW w:w="771"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1 929</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216</w:t>
            </w:r>
          </w:p>
        </w:tc>
        <w:tc>
          <w:tcPr>
            <w:tcW w:w="596"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2 145</w:t>
            </w:r>
          </w:p>
        </w:tc>
        <w:tc>
          <w:tcPr>
            <w:tcW w:w="84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1 299</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266</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1 565</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1 492</w:t>
            </w:r>
          </w:p>
        </w:tc>
        <w:tc>
          <w:tcPr>
            <w:tcW w:w="734"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205</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1 697</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1 385</w:t>
            </w:r>
          </w:p>
        </w:tc>
        <w:tc>
          <w:tcPr>
            <w:tcW w:w="81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157</w:t>
            </w:r>
          </w:p>
        </w:tc>
        <w:tc>
          <w:tcPr>
            <w:tcW w:w="63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1 542</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1 379</w:t>
            </w:r>
          </w:p>
        </w:tc>
        <w:tc>
          <w:tcPr>
            <w:tcW w:w="720"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177</w:t>
            </w:r>
          </w:p>
        </w:tc>
        <w:tc>
          <w:tcPr>
            <w:tcW w:w="612"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1 556</w:t>
            </w:r>
          </w:p>
        </w:tc>
      </w:tr>
      <w:tr w:rsidR="00000000">
        <w:tblPrEx>
          <w:tblCellMar>
            <w:top w:w="0" w:type="dxa"/>
            <w:bottom w:w="0" w:type="dxa"/>
          </w:tblCellMar>
        </w:tblPrEx>
        <w:trPr>
          <w:cantSplit/>
          <w:jc w:val="center"/>
        </w:trPr>
        <w:tc>
          <w:tcPr>
            <w:tcW w:w="965" w:type="dxa"/>
            <w:vAlign w:val="bottom"/>
          </w:tcPr>
          <w:p w:rsidR="00000000" w:rsidRDefault="00000000">
            <w:pPr>
              <w:pStyle w:val="SingleTxt"/>
              <w:tabs>
                <w:tab w:val="left" w:pos="288"/>
                <w:tab w:val="left" w:pos="576"/>
                <w:tab w:val="left" w:pos="864"/>
                <w:tab w:val="left" w:pos="1152"/>
              </w:tabs>
              <w:spacing w:before="40" w:after="40" w:line="160" w:lineRule="exact"/>
              <w:ind w:left="0" w:right="14"/>
              <w:rPr>
                <w:b/>
                <w:sz w:val="17"/>
              </w:rPr>
            </w:pPr>
          </w:p>
        </w:tc>
        <w:tc>
          <w:tcPr>
            <w:tcW w:w="655" w:type="dxa"/>
            <w:vAlign w:val="bottom"/>
          </w:tcPr>
          <w:p w:rsidR="00000000" w:rsidRDefault="00000000">
            <w:pPr>
              <w:pStyle w:val="SingleTxt"/>
              <w:tabs>
                <w:tab w:val="left" w:pos="288"/>
                <w:tab w:val="left" w:pos="576"/>
                <w:tab w:val="left" w:pos="864"/>
                <w:tab w:val="left" w:pos="1152"/>
              </w:tabs>
              <w:spacing w:before="20" w:after="20" w:line="160" w:lineRule="exact"/>
              <w:ind w:left="0" w:right="14"/>
              <w:jc w:val="right"/>
              <w:rPr>
                <w:b/>
                <w:sz w:val="14"/>
              </w:rPr>
            </w:pPr>
            <w:r>
              <w:rPr>
                <w:b/>
                <w:sz w:val="14"/>
              </w:rPr>
              <w:t>M</w:t>
            </w:r>
          </w:p>
        </w:tc>
        <w:tc>
          <w:tcPr>
            <w:tcW w:w="771"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3 082</w:t>
            </w:r>
          </w:p>
        </w:tc>
        <w:tc>
          <w:tcPr>
            <w:tcW w:w="810"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288</w:t>
            </w:r>
          </w:p>
        </w:tc>
        <w:tc>
          <w:tcPr>
            <w:tcW w:w="596"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3 370</w:t>
            </w:r>
          </w:p>
        </w:tc>
        <w:tc>
          <w:tcPr>
            <w:tcW w:w="844"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2 231|</w:t>
            </w:r>
          </w:p>
        </w:tc>
        <w:tc>
          <w:tcPr>
            <w:tcW w:w="810"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253</w:t>
            </w:r>
          </w:p>
        </w:tc>
        <w:tc>
          <w:tcPr>
            <w:tcW w:w="630"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2 484</w:t>
            </w:r>
          </w:p>
        </w:tc>
        <w:tc>
          <w:tcPr>
            <w:tcW w:w="810"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2 431</w:t>
            </w:r>
          </w:p>
        </w:tc>
        <w:tc>
          <w:tcPr>
            <w:tcW w:w="734"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267</w:t>
            </w:r>
          </w:p>
        </w:tc>
        <w:tc>
          <w:tcPr>
            <w:tcW w:w="630"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2 698</w:t>
            </w:r>
          </w:p>
        </w:tc>
        <w:tc>
          <w:tcPr>
            <w:tcW w:w="810"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2 698</w:t>
            </w:r>
          </w:p>
        </w:tc>
        <w:tc>
          <w:tcPr>
            <w:tcW w:w="810"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243</w:t>
            </w:r>
          </w:p>
        </w:tc>
        <w:tc>
          <w:tcPr>
            <w:tcW w:w="630"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2 941</w:t>
            </w:r>
          </w:p>
        </w:tc>
        <w:tc>
          <w:tcPr>
            <w:tcW w:w="720"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2 503</w:t>
            </w:r>
          </w:p>
        </w:tc>
        <w:tc>
          <w:tcPr>
            <w:tcW w:w="720"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278</w:t>
            </w:r>
          </w:p>
        </w:tc>
        <w:tc>
          <w:tcPr>
            <w:tcW w:w="612" w:type="dxa"/>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2 781</w:t>
            </w:r>
          </w:p>
        </w:tc>
      </w:tr>
      <w:tr w:rsidR="00000000">
        <w:tblPrEx>
          <w:tblCellMar>
            <w:top w:w="0" w:type="dxa"/>
            <w:bottom w:w="0" w:type="dxa"/>
          </w:tblCellMar>
        </w:tblPrEx>
        <w:trPr>
          <w:cantSplit/>
          <w:jc w:val="center"/>
        </w:trPr>
        <w:tc>
          <w:tcPr>
            <w:tcW w:w="965"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rPr>
                <w:b/>
                <w:sz w:val="17"/>
              </w:rPr>
            </w:pPr>
          </w:p>
        </w:tc>
        <w:tc>
          <w:tcPr>
            <w:tcW w:w="655"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Total</w:t>
            </w:r>
          </w:p>
        </w:tc>
        <w:tc>
          <w:tcPr>
            <w:tcW w:w="771"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5 011</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504</w:t>
            </w:r>
          </w:p>
        </w:tc>
        <w:tc>
          <w:tcPr>
            <w:tcW w:w="596"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5 515</w:t>
            </w:r>
          </w:p>
        </w:tc>
        <w:tc>
          <w:tcPr>
            <w:tcW w:w="844"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3 530</w:t>
            </w:r>
          </w:p>
        </w:tc>
        <w:tc>
          <w:tcPr>
            <w:tcW w:w="810"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519</w:t>
            </w:r>
          </w:p>
        </w:tc>
        <w:tc>
          <w:tcPr>
            <w:tcW w:w="630"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4 049</w:t>
            </w:r>
          </w:p>
        </w:tc>
        <w:tc>
          <w:tcPr>
            <w:tcW w:w="810"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3 923</w:t>
            </w:r>
          </w:p>
        </w:tc>
        <w:tc>
          <w:tcPr>
            <w:tcW w:w="734"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272</w:t>
            </w:r>
          </w:p>
        </w:tc>
        <w:tc>
          <w:tcPr>
            <w:tcW w:w="630"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4 395</w:t>
            </w:r>
          </w:p>
        </w:tc>
        <w:tc>
          <w:tcPr>
            <w:tcW w:w="810"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4 083</w:t>
            </w:r>
          </w:p>
        </w:tc>
        <w:tc>
          <w:tcPr>
            <w:tcW w:w="810"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400</w:t>
            </w:r>
          </w:p>
        </w:tc>
        <w:tc>
          <w:tcPr>
            <w:tcW w:w="630"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4 483</w:t>
            </w:r>
          </w:p>
        </w:tc>
        <w:tc>
          <w:tcPr>
            <w:tcW w:w="720"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3 882</w:t>
            </w:r>
          </w:p>
        </w:tc>
        <w:tc>
          <w:tcPr>
            <w:tcW w:w="720"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455</w:t>
            </w:r>
          </w:p>
        </w:tc>
        <w:tc>
          <w:tcPr>
            <w:tcW w:w="612"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60" w:lineRule="exact"/>
              <w:ind w:left="0" w:right="14"/>
              <w:jc w:val="right"/>
              <w:rPr>
                <w:b/>
                <w:sz w:val="14"/>
              </w:rPr>
            </w:pPr>
            <w:r>
              <w:rPr>
                <w:b/>
                <w:sz w:val="14"/>
              </w:rPr>
              <w:t>4 337</w:t>
            </w:r>
          </w:p>
        </w:tc>
      </w:tr>
    </w:tbl>
    <w:p w:rsidR="00000000" w:rsidRDefault="00000000">
      <w:pPr>
        <w:pStyle w:val="SingleTxt"/>
        <w:sectPr w:rsidR="00000000">
          <w:pgSz w:w="15840" w:h="12240" w:orient="landscape" w:code="1"/>
          <w:pgMar w:top="1195" w:right="1742" w:bottom="1195" w:left="1898" w:header="0" w:footer="0" w:gutter="0"/>
          <w:cols w:space="720"/>
          <w:noEndnote/>
        </w:sectPr>
      </w:pPr>
    </w:p>
    <w:p w:rsidR="00000000" w:rsidRDefault="00000000">
      <w:pPr>
        <w:pStyle w:val="SingleTxt"/>
      </w:pPr>
    </w:p>
    <w:p w:rsidR="00000000" w:rsidRDefault="00000000">
      <w:pPr>
        <w:pStyle w:val="SingleTxt"/>
      </w:pPr>
      <w:r>
        <w:t xml:space="preserve">Cuadro 4. </w:t>
      </w:r>
      <w:r>
        <w:rPr>
          <w:sz w:val="18"/>
        </w:rPr>
        <w:t>Crecimiento de la cantidad de graduados de la Universidad de Kuwait, entre 1992/93 y 1996/97</w:t>
      </w:r>
    </w:p>
    <w:tbl>
      <w:tblPr>
        <w:tblW w:w="0" w:type="auto"/>
        <w:jc w:val="center"/>
        <w:tblLayout w:type="fixed"/>
        <w:tblLook w:val="0000" w:firstRow="0" w:lastRow="0" w:firstColumn="0" w:lastColumn="0" w:noHBand="0" w:noVBand="0"/>
      </w:tblPr>
      <w:tblGrid>
        <w:gridCol w:w="1170"/>
        <w:gridCol w:w="630"/>
        <w:gridCol w:w="810"/>
        <w:gridCol w:w="720"/>
        <w:gridCol w:w="606"/>
        <w:gridCol w:w="810"/>
        <w:gridCol w:w="810"/>
        <w:gridCol w:w="630"/>
        <w:gridCol w:w="810"/>
        <w:gridCol w:w="744"/>
        <w:gridCol w:w="630"/>
        <w:gridCol w:w="810"/>
        <w:gridCol w:w="720"/>
        <w:gridCol w:w="606"/>
        <w:gridCol w:w="744"/>
        <w:gridCol w:w="720"/>
        <w:gridCol w:w="602"/>
      </w:tblGrid>
      <w:tr w:rsidR="00000000">
        <w:tblPrEx>
          <w:tblCellMar>
            <w:top w:w="0" w:type="dxa"/>
            <w:bottom w:w="0" w:type="dxa"/>
          </w:tblCellMar>
        </w:tblPrEx>
        <w:trPr>
          <w:cantSplit/>
          <w:tblHeader/>
          <w:jc w:val="center"/>
        </w:trPr>
        <w:tc>
          <w:tcPr>
            <w:tcW w:w="1170" w:type="dxa"/>
            <w:vMerge w:val="restart"/>
            <w:tcBorders>
              <w:top w:val="single" w:sz="4" w:space="0" w:color="auto"/>
            </w:tcBorders>
            <w:vAlign w:val="bottom"/>
          </w:tcPr>
          <w:p w:rsidR="00000000" w:rsidRDefault="00000000">
            <w:pPr>
              <w:pStyle w:val="SingleTxt"/>
              <w:spacing w:before="81" w:after="81" w:line="160" w:lineRule="exact"/>
              <w:ind w:left="0" w:right="40"/>
              <w:rPr>
                <w:i/>
                <w:sz w:val="14"/>
              </w:rPr>
            </w:pPr>
            <w:r>
              <w:rPr>
                <w:i/>
                <w:sz w:val="14"/>
              </w:rPr>
              <w:t>Facultad</w:t>
            </w:r>
          </w:p>
        </w:tc>
        <w:tc>
          <w:tcPr>
            <w:tcW w:w="630" w:type="dxa"/>
            <w:vMerge w:val="restart"/>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Sexo</w:t>
            </w:r>
          </w:p>
        </w:tc>
        <w:tc>
          <w:tcPr>
            <w:tcW w:w="10772" w:type="dxa"/>
            <w:gridSpan w:val="15"/>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Año</w:t>
            </w:r>
          </w:p>
        </w:tc>
      </w:tr>
      <w:tr w:rsidR="00000000">
        <w:tblPrEx>
          <w:tblCellMar>
            <w:top w:w="0" w:type="dxa"/>
            <w:bottom w:w="0" w:type="dxa"/>
          </w:tblCellMar>
        </w:tblPrEx>
        <w:trPr>
          <w:cantSplit/>
          <w:tblHeader/>
          <w:jc w:val="center"/>
        </w:trPr>
        <w:tc>
          <w:tcPr>
            <w:tcW w:w="1170" w:type="dxa"/>
            <w:vMerge/>
            <w:vAlign w:val="bottom"/>
          </w:tcPr>
          <w:p w:rsidR="00000000" w:rsidRDefault="00000000">
            <w:pPr>
              <w:pStyle w:val="SingleTxt"/>
              <w:spacing w:after="81" w:line="160" w:lineRule="exact"/>
              <w:ind w:left="0" w:right="40"/>
              <w:rPr>
                <w:i/>
                <w:sz w:val="14"/>
              </w:rPr>
            </w:pPr>
          </w:p>
        </w:tc>
        <w:tc>
          <w:tcPr>
            <w:tcW w:w="630" w:type="dxa"/>
            <w:vMerge/>
            <w:vAlign w:val="bottom"/>
          </w:tcPr>
          <w:p w:rsidR="00000000" w:rsidRDefault="00000000">
            <w:pPr>
              <w:pStyle w:val="SingleTxt"/>
              <w:spacing w:after="81" w:line="160" w:lineRule="exact"/>
              <w:ind w:left="0" w:right="40"/>
              <w:jc w:val="right"/>
              <w:rPr>
                <w:i/>
                <w:sz w:val="14"/>
              </w:rPr>
            </w:pPr>
          </w:p>
        </w:tc>
        <w:tc>
          <w:tcPr>
            <w:tcW w:w="2136" w:type="dxa"/>
            <w:gridSpan w:val="3"/>
            <w:tcBorders>
              <w:top w:val="single" w:sz="4" w:space="0" w:color="auto"/>
              <w:bottom w:val="single" w:sz="4" w:space="0" w:color="auto"/>
            </w:tcBorders>
            <w:vAlign w:val="bottom"/>
          </w:tcPr>
          <w:p w:rsidR="00000000" w:rsidRDefault="00000000">
            <w:pPr>
              <w:pStyle w:val="SingleTxt"/>
              <w:spacing w:after="81" w:line="160" w:lineRule="exact"/>
              <w:ind w:left="0" w:right="40"/>
              <w:jc w:val="center"/>
              <w:rPr>
                <w:i/>
                <w:sz w:val="14"/>
              </w:rPr>
            </w:pPr>
            <w:r>
              <w:rPr>
                <w:i/>
                <w:sz w:val="14"/>
              </w:rPr>
              <w:t>1992/93</w:t>
            </w:r>
          </w:p>
        </w:tc>
        <w:tc>
          <w:tcPr>
            <w:tcW w:w="2250" w:type="dxa"/>
            <w:gridSpan w:val="3"/>
            <w:tcBorders>
              <w:top w:val="single" w:sz="4" w:space="0" w:color="auto"/>
              <w:bottom w:val="single" w:sz="4" w:space="0" w:color="auto"/>
            </w:tcBorders>
            <w:vAlign w:val="bottom"/>
          </w:tcPr>
          <w:p w:rsidR="00000000" w:rsidRDefault="00000000">
            <w:pPr>
              <w:pStyle w:val="SingleTxt"/>
              <w:spacing w:after="81" w:line="160" w:lineRule="exact"/>
              <w:ind w:left="0" w:right="40"/>
              <w:jc w:val="center"/>
              <w:rPr>
                <w:i/>
                <w:sz w:val="14"/>
              </w:rPr>
            </w:pPr>
            <w:r>
              <w:rPr>
                <w:i/>
                <w:sz w:val="14"/>
              </w:rPr>
              <w:t>1993/94</w:t>
            </w:r>
          </w:p>
        </w:tc>
        <w:tc>
          <w:tcPr>
            <w:tcW w:w="2184" w:type="dxa"/>
            <w:gridSpan w:val="3"/>
            <w:tcBorders>
              <w:top w:val="single" w:sz="4" w:space="0" w:color="auto"/>
              <w:bottom w:val="single" w:sz="4" w:space="0" w:color="auto"/>
            </w:tcBorders>
            <w:vAlign w:val="bottom"/>
          </w:tcPr>
          <w:p w:rsidR="00000000" w:rsidRDefault="00000000">
            <w:pPr>
              <w:pStyle w:val="SingleTxt"/>
              <w:spacing w:after="81" w:line="160" w:lineRule="exact"/>
              <w:ind w:left="0" w:right="40"/>
              <w:jc w:val="center"/>
              <w:rPr>
                <w:i/>
                <w:sz w:val="14"/>
              </w:rPr>
            </w:pPr>
            <w:r>
              <w:rPr>
                <w:i/>
                <w:sz w:val="14"/>
              </w:rPr>
              <w:t>1994/95</w:t>
            </w:r>
          </w:p>
        </w:tc>
        <w:tc>
          <w:tcPr>
            <w:tcW w:w="2136" w:type="dxa"/>
            <w:gridSpan w:val="3"/>
            <w:tcBorders>
              <w:top w:val="single" w:sz="4" w:space="0" w:color="auto"/>
              <w:bottom w:val="single" w:sz="4" w:space="0" w:color="auto"/>
            </w:tcBorders>
            <w:vAlign w:val="bottom"/>
          </w:tcPr>
          <w:p w:rsidR="00000000" w:rsidRDefault="00000000">
            <w:pPr>
              <w:pStyle w:val="SingleTxt"/>
              <w:spacing w:after="81" w:line="160" w:lineRule="exact"/>
              <w:ind w:left="0" w:right="40"/>
              <w:jc w:val="center"/>
              <w:rPr>
                <w:i/>
                <w:sz w:val="14"/>
              </w:rPr>
            </w:pPr>
            <w:r>
              <w:rPr>
                <w:i/>
                <w:sz w:val="14"/>
              </w:rPr>
              <w:t>1995/96</w:t>
            </w:r>
          </w:p>
        </w:tc>
        <w:tc>
          <w:tcPr>
            <w:tcW w:w="2066" w:type="dxa"/>
            <w:gridSpan w:val="3"/>
            <w:tcBorders>
              <w:top w:val="single" w:sz="4" w:space="0" w:color="auto"/>
              <w:bottom w:val="single" w:sz="4" w:space="0" w:color="auto"/>
            </w:tcBorders>
            <w:vAlign w:val="bottom"/>
          </w:tcPr>
          <w:p w:rsidR="00000000" w:rsidRDefault="00000000">
            <w:pPr>
              <w:pStyle w:val="SingleTxt"/>
              <w:spacing w:after="81" w:line="160" w:lineRule="exact"/>
              <w:ind w:left="0" w:right="40"/>
              <w:jc w:val="center"/>
              <w:rPr>
                <w:i/>
                <w:sz w:val="14"/>
              </w:rPr>
            </w:pPr>
            <w:r>
              <w:rPr>
                <w:i/>
                <w:sz w:val="14"/>
              </w:rPr>
              <w:t>1996/97</w:t>
            </w:r>
          </w:p>
        </w:tc>
      </w:tr>
      <w:tr w:rsidR="00000000">
        <w:tblPrEx>
          <w:tblCellMar>
            <w:top w:w="0" w:type="dxa"/>
            <w:bottom w:w="0" w:type="dxa"/>
          </w:tblCellMar>
        </w:tblPrEx>
        <w:trPr>
          <w:cantSplit/>
          <w:tblHeader/>
          <w:jc w:val="center"/>
        </w:trPr>
        <w:tc>
          <w:tcPr>
            <w:tcW w:w="1170" w:type="dxa"/>
            <w:vMerge/>
            <w:vAlign w:val="bottom"/>
          </w:tcPr>
          <w:p w:rsidR="00000000" w:rsidRDefault="00000000">
            <w:pPr>
              <w:pStyle w:val="SingleTxt"/>
              <w:spacing w:after="81" w:line="160" w:lineRule="exact"/>
              <w:ind w:left="0" w:right="40"/>
              <w:rPr>
                <w:i/>
                <w:sz w:val="14"/>
              </w:rPr>
            </w:pPr>
          </w:p>
        </w:tc>
        <w:tc>
          <w:tcPr>
            <w:tcW w:w="630" w:type="dxa"/>
            <w:vMerge/>
            <w:vAlign w:val="bottom"/>
          </w:tcPr>
          <w:p w:rsidR="00000000" w:rsidRDefault="00000000">
            <w:pPr>
              <w:pStyle w:val="SingleTxt"/>
              <w:spacing w:after="81" w:line="160" w:lineRule="exact"/>
              <w:ind w:left="0" w:right="40"/>
              <w:jc w:val="right"/>
              <w:rPr>
                <w:i/>
                <w:sz w:val="14"/>
              </w:rPr>
            </w:pPr>
          </w:p>
        </w:tc>
        <w:tc>
          <w:tcPr>
            <w:tcW w:w="810" w:type="dxa"/>
            <w:vAlign w:val="bottom"/>
          </w:tcPr>
          <w:p w:rsidR="00000000" w:rsidRDefault="00000000">
            <w:pPr>
              <w:pStyle w:val="SingleTxt"/>
              <w:spacing w:after="81" w:line="160" w:lineRule="exact"/>
              <w:ind w:left="0" w:right="0"/>
              <w:jc w:val="right"/>
              <w:rPr>
                <w:i/>
                <w:sz w:val="12"/>
              </w:rPr>
            </w:pPr>
            <w:r>
              <w:rPr>
                <w:i/>
                <w:sz w:val="12"/>
              </w:rPr>
              <w:t>Kuwaitíes</w:t>
            </w:r>
          </w:p>
        </w:tc>
        <w:tc>
          <w:tcPr>
            <w:tcW w:w="720" w:type="dxa"/>
            <w:vAlign w:val="bottom"/>
          </w:tcPr>
          <w:p w:rsidR="00000000" w:rsidRDefault="00000000">
            <w:pPr>
              <w:pStyle w:val="SingleTxt"/>
              <w:spacing w:after="81" w:line="160" w:lineRule="exact"/>
              <w:ind w:left="0" w:right="0"/>
              <w:jc w:val="right"/>
              <w:rPr>
                <w:i/>
                <w:sz w:val="12"/>
              </w:rPr>
            </w:pPr>
            <w:r>
              <w:rPr>
                <w:i/>
                <w:sz w:val="12"/>
              </w:rPr>
              <w:t>No k</w:t>
            </w:r>
            <w:r>
              <w:rPr>
                <w:i/>
                <w:sz w:val="12"/>
              </w:rPr>
              <w:t>u</w:t>
            </w:r>
            <w:r>
              <w:rPr>
                <w:i/>
                <w:sz w:val="12"/>
              </w:rPr>
              <w:t>waitíes</w:t>
            </w:r>
          </w:p>
        </w:tc>
        <w:tc>
          <w:tcPr>
            <w:tcW w:w="606" w:type="dxa"/>
            <w:vAlign w:val="bottom"/>
          </w:tcPr>
          <w:p w:rsidR="00000000" w:rsidRDefault="00000000">
            <w:pPr>
              <w:pStyle w:val="SingleTxt"/>
              <w:spacing w:after="81" w:line="160" w:lineRule="exact"/>
              <w:ind w:left="0" w:right="0"/>
              <w:jc w:val="right"/>
              <w:rPr>
                <w:i/>
                <w:sz w:val="12"/>
              </w:rPr>
            </w:pPr>
            <w:r>
              <w:rPr>
                <w:i/>
                <w:sz w:val="12"/>
              </w:rPr>
              <w:t>Total</w:t>
            </w:r>
          </w:p>
        </w:tc>
        <w:tc>
          <w:tcPr>
            <w:tcW w:w="810" w:type="dxa"/>
            <w:vAlign w:val="bottom"/>
          </w:tcPr>
          <w:p w:rsidR="00000000" w:rsidRDefault="00000000">
            <w:pPr>
              <w:pStyle w:val="SingleTxt"/>
              <w:spacing w:after="81" w:line="160" w:lineRule="exact"/>
              <w:ind w:left="0" w:right="0"/>
              <w:jc w:val="right"/>
              <w:rPr>
                <w:i/>
                <w:sz w:val="12"/>
              </w:rPr>
            </w:pPr>
            <w:r>
              <w:rPr>
                <w:i/>
                <w:sz w:val="12"/>
              </w:rPr>
              <w:t>Kuwaitíes</w:t>
            </w:r>
          </w:p>
        </w:tc>
        <w:tc>
          <w:tcPr>
            <w:tcW w:w="810" w:type="dxa"/>
            <w:vAlign w:val="bottom"/>
          </w:tcPr>
          <w:p w:rsidR="00000000" w:rsidRDefault="00000000">
            <w:pPr>
              <w:pStyle w:val="SingleTxt"/>
              <w:spacing w:after="81" w:line="160" w:lineRule="exact"/>
              <w:ind w:left="0" w:right="0"/>
              <w:jc w:val="right"/>
              <w:rPr>
                <w:i/>
                <w:sz w:val="12"/>
              </w:rPr>
            </w:pPr>
            <w:r>
              <w:rPr>
                <w:i/>
                <w:sz w:val="12"/>
              </w:rPr>
              <w:t>No kuwa</w:t>
            </w:r>
            <w:r>
              <w:rPr>
                <w:i/>
                <w:sz w:val="12"/>
              </w:rPr>
              <w:t>i</w:t>
            </w:r>
            <w:r>
              <w:rPr>
                <w:i/>
                <w:sz w:val="12"/>
              </w:rPr>
              <w:t>tíes</w:t>
            </w:r>
          </w:p>
        </w:tc>
        <w:tc>
          <w:tcPr>
            <w:tcW w:w="630" w:type="dxa"/>
            <w:vAlign w:val="bottom"/>
          </w:tcPr>
          <w:p w:rsidR="00000000" w:rsidRDefault="00000000">
            <w:pPr>
              <w:pStyle w:val="SingleTxt"/>
              <w:spacing w:after="81" w:line="160" w:lineRule="exact"/>
              <w:ind w:left="0" w:right="0"/>
              <w:jc w:val="right"/>
              <w:rPr>
                <w:i/>
                <w:sz w:val="12"/>
              </w:rPr>
            </w:pPr>
            <w:r>
              <w:rPr>
                <w:i/>
                <w:sz w:val="12"/>
              </w:rPr>
              <w:t>Total</w:t>
            </w:r>
          </w:p>
        </w:tc>
        <w:tc>
          <w:tcPr>
            <w:tcW w:w="810" w:type="dxa"/>
            <w:vAlign w:val="bottom"/>
          </w:tcPr>
          <w:p w:rsidR="00000000" w:rsidRDefault="00000000">
            <w:pPr>
              <w:pStyle w:val="SingleTxt"/>
              <w:spacing w:after="81" w:line="160" w:lineRule="exact"/>
              <w:ind w:left="0" w:right="0"/>
              <w:jc w:val="right"/>
              <w:rPr>
                <w:i/>
                <w:sz w:val="12"/>
              </w:rPr>
            </w:pPr>
            <w:r>
              <w:rPr>
                <w:i/>
                <w:sz w:val="12"/>
              </w:rPr>
              <w:t>Kuwaitíes</w:t>
            </w:r>
          </w:p>
        </w:tc>
        <w:tc>
          <w:tcPr>
            <w:tcW w:w="744" w:type="dxa"/>
            <w:vAlign w:val="bottom"/>
          </w:tcPr>
          <w:p w:rsidR="00000000" w:rsidRDefault="00000000">
            <w:pPr>
              <w:pStyle w:val="SingleTxt"/>
              <w:spacing w:after="81" w:line="160" w:lineRule="exact"/>
              <w:ind w:left="0" w:right="0"/>
              <w:jc w:val="right"/>
              <w:rPr>
                <w:i/>
                <w:sz w:val="12"/>
              </w:rPr>
            </w:pPr>
            <w:r>
              <w:rPr>
                <w:i/>
                <w:sz w:val="12"/>
              </w:rPr>
              <w:t>No k</w:t>
            </w:r>
            <w:r>
              <w:rPr>
                <w:i/>
                <w:sz w:val="12"/>
              </w:rPr>
              <w:t>u</w:t>
            </w:r>
            <w:r>
              <w:rPr>
                <w:i/>
                <w:sz w:val="12"/>
              </w:rPr>
              <w:t>waitíes</w:t>
            </w:r>
          </w:p>
        </w:tc>
        <w:tc>
          <w:tcPr>
            <w:tcW w:w="630" w:type="dxa"/>
            <w:vAlign w:val="bottom"/>
          </w:tcPr>
          <w:p w:rsidR="00000000" w:rsidRDefault="00000000">
            <w:pPr>
              <w:pStyle w:val="SingleTxt"/>
              <w:spacing w:after="81" w:line="160" w:lineRule="exact"/>
              <w:ind w:left="0" w:right="0"/>
              <w:jc w:val="right"/>
              <w:rPr>
                <w:i/>
                <w:sz w:val="12"/>
              </w:rPr>
            </w:pPr>
            <w:r>
              <w:rPr>
                <w:i/>
                <w:sz w:val="12"/>
              </w:rPr>
              <w:t>Total</w:t>
            </w:r>
          </w:p>
        </w:tc>
        <w:tc>
          <w:tcPr>
            <w:tcW w:w="810" w:type="dxa"/>
            <w:vAlign w:val="bottom"/>
          </w:tcPr>
          <w:p w:rsidR="00000000" w:rsidRDefault="00000000">
            <w:pPr>
              <w:pStyle w:val="SingleTxt"/>
              <w:spacing w:after="81" w:line="160" w:lineRule="exact"/>
              <w:ind w:left="0" w:right="0"/>
              <w:jc w:val="right"/>
              <w:rPr>
                <w:i/>
                <w:sz w:val="12"/>
              </w:rPr>
            </w:pPr>
            <w:r>
              <w:rPr>
                <w:i/>
                <w:sz w:val="12"/>
              </w:rPr>
              <w:t>Kuwaitíes</w:t>
            </w:r>
          </w:p>
        </w:tc>
        <w:tc>
          <w:tcPr>
            <w:tcW w:w="720" w:type="dxa"/>
            <w:vAlign w:val="bottom"/>
          </w:tcPr>
          <w:p w:rsidR="00000000" w:rsidRDefault="00000000">
            <w:pPr>
              <w:pStyle w:val="SingleTxt"/>
              <w:spacing w:after="81" w:line="160" w:lineRule="exact"/>
              <w:ind w:left="0" w:right="0"/>
              <w:jc w:val="right"/>
              <w:rPr>
                <w:i/>
                <w:sz w:val="12"/>
              </w:rPr>
            </w:pPr>
            <w:r>
              <w:rPr>
                <w:i/>
                <w:sz w:val="12"/>
              </w:rPr>
              <w:t>No k</w:t>
            </w:r>
            <w:r>
              <w:rPr>
                <w:i/>
                <w:sz w:val="12"/>
              </w:rPr>
              <w:t>u</w:t>
            </w:r>
            <w:r>
              <w:rPr>
                <w:i/>
                <w:sz w:val="12"/>
              </w:rPr>
              <w:t>waitíes</w:t>
            </w:r>
          </w:p>
        </w:tc>
        <w:tc>
          <w:tcPr>
            <w:tcW w:w="606" w:type="dxa"/>
            <w:vAlign w:val="bottom"/>
          </w:tcPr>
          <w:p w:rsidR="00000000" w:rsidRDefault="00000000">
            <w:pPr>
              <w:pStyle w:val="SingleTxt"/>
              <w:spacing w:after="81" w:line="160" w:lineRule="exact"/>
              <w:ind w:left="0" w:right="0"/>
              <w:jc w:val="right"/>
              <w:rPr>
                <w:i/>
                <w:sz w:val="12"/>
              </w:rPr>
            </w:pPr>
            <w:r>
              <w:rPr>
                <w:i/>
                <w:sz w:val="12"/>
              </w:rPr>
              <w:t>Total</w:t>
            </w:r>
          </w:p>
        </w:tc>
        <w:tc>
          <w:tcPr>
            <w:tcW w:w="744" w:type="dxa"/>
            <w:vAlign w:val="bottom"/>
          </w:tcPr>
          <w:p w:rsidR="00000000" w:rsidRDefault="00000000">
            <w:pPr>
              <w:pStyle w:val="SingleTxt"/>
              <w:spacing w:after="81" w:line="160" w:lineRule="exact"/>
              <w:ind w:left="0" w:right="0"/>
              <w:jc w:val="right"/>
              <w:rPr>
                <w:i/>
                <w:sz w:val="12"/>
              </w:rPr>
            </w:pPr>
            <w:r>
              <w:rPr>
                <w:i/>
                <w:sz w:val="12"/>
              </w:rPr>
              <w:t>Kuwa</w:t>
            </w:r>
            <w:r>
              <w:rPr>
                <w:i/>
                <w:sz w:val="12"/>
              </w:rPr>
              <w:t>i</w:t>
            </w:r>
            <w:r>
              <w:rPr>
                <w:i/>
                <w:sz w:val="12"/>
              </w:rPr>
              <w:t>tíes</w:t>
            </w:r>
          </w:p>
        </w:tc>
        <w:tc>
          <w:tcPr>
            <w:tcW w:w="720" w:type="dxa"/>
            <w:vAlign w:val="bottom"/>
          </w:tcPr>
          <w:p w:rsidR="00000000" w:rsidRDefault="00000000">
            <w:pPr>
              <w:pStyle w:val="SingleTxt"/>
              <w:spacing w:after="81" w:line="160" w:lineRule="exact"/>
              <w:ind w:left="0" w:right="0"/>
              <w:jc w:val="right"/>
              <w:rPr>
                <w:i/>
                <w:sz w:val="12"/>
              </w:rPr>
            </w:pPr>
            <w:r>
              <w:rPr>
                <w:i/>
                <w:sz w:val="12"/>
              </w:rPr>
              <w:t>No k</w:t>
            </w:r>
            <w:r>
              <w:rPr>
                <w:i/>
                <w:sz w:val="12"/>
              </w:rPr>
              <w:t>u</w:t>
            </w:r>
            <w:r>
              <w:rPr>
                <w:i/>
                <w:sz w:val="12"/>
              </w:rPr>
              <w:t>waitíes</w:t>
            </w:r>
          </w:p>
        </w:tc>
        <w:tc>
          <w:tcPr>
            <w:tcW w:w="602" w:type="dxa"/>
            <w:vAlign w:val="bottom"/>
          </w:tcPr>
          <w:p w:rsidR="00000000" w:rsidRDefault="00000000">
            <w:pPr>
              <w:pStyle w:val="SingleTxt"/>
              <w:spacing w:after="81" w:line="160" w:lineRule="exact"/>
              <w:ind w:left="0" w:right="0"/>
              <w:jc w:val="right"/>
              <w:rPr>
                <w:i/>
                <w:sz w:val="12"/>
              </w:rPr>
            </w:pPr>
            <w:r>
              <w:rPr>
                <w:i/>
                <w:sz w:val="12"/>
              </w:rPr>
              <w:t>Total</w:t>
            </w:r>
          </w:p>
        </w:tc>
      </w:tr>
      <w:tr w:rsidR="00000000">
        <w:tblPrEx>
          <w:tblCellMar>
            <w:top w:w="0" w:type="dxa"/>
            <w:bottom w:w="0" w:type="dxa"/>
          </w:tblCellMar>
        </w:tblPrEx>
        <w:trPr>
          <w:cantSplit/>
          <w:tblHeader/>
          <w:jc w:val="center"/>
        </w:trPr>
        <w:tc>
          <w:tcPr>
            <w:tcW w:w="1170"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63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1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606"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1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1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63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1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4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63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1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606"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4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60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r>
              <w:rPr>
                <w:sz w:val="14"/>
              </w:rPr>
              <w:t>Comercio</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H</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100</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11</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111</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107</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14</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121</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165</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175</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266</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20</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286</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240</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30</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270</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M</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188</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24</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212</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216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20</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236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297</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20</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317</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398</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20</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418</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331</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14</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345</w:t>
            </w:r>
          </w:p>
        </w:tc>
      </w:tr>
      <w:tr w:rsidR="00000000">
        <w:tblPrEx>
          <w:tblCellMar>
            <w:top w:w="0" w:type="dxa"/>
            <w:bottom w:w="0" w:type="dxa"/>
          </w:tblCellMar>
        </w:tblPrEx>
        <w:trPr>
          <w:cantSplit/>
          <w:jc w:val="center"/>
        </w:trPr>
        <w:tc>
          <w:tcPr>
            <w:tcW w:w="117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Total</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288</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35</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323</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323</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34</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357</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462</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30</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492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664</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40</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704</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571</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44</w:t>
            </w:r>
          </w:p>
        </w:tc>
        <w:tc>
          <w:tcPr>
            <w:tcW w:w="6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615</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r>
              <w:rPr>
                <w:sz w:val="14"/>
              </w:rPr>
              <w:t>Derecho</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H</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76</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78</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58</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63</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56</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58</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71</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0</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71</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75</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78</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M</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52</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60</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73</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40</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42</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67</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68</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65</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70</w:t>
            </w:r>
          </w:p>
        </w:tc>
      </w:tr>
      <w:tr w:rsidR="00000000">
        <w:tblPrEx>
          <w:tblCellMar>
            <w:top w:w="0" w:type="dxa"/>
            <w:bottom w:w="0" w:type="dxa"/>
          </w:tblCellMar>
        </w:tblPrEx>
        <w:trPr>
          <w:cantSplit/>
          <w:jc w:val="center"/>
        </w:trPr>
        <w:tc>
          <w:tcPr>
            <w:tcW w:w="117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Total</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128</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138</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131</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139</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96</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100</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138</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139</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140</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w:t>
            </w:r>
          </w:p>
        </w:tc>
        <w:tc>
          <w:tcPr>
            <w:tcW w:w="6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148</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r>
              <w:rPr>
                <w:sz w:val="14"/>
              </w:rPr>
              <w:t>Humanidades</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H</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36</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43</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30</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35</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24</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65</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71</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106</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13</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119</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M</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158</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16</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201</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232</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242</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294</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13</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307</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403</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23</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426</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471</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35</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506</w:t>
            </w:r>
          </w:p>
        </w:tc>
      </w:tr>
      <w:tr w:rsidR="00000000">
        <w:tblPrEx>
          <w:tblCellMar>
            <w:top w:w="0" w:type="dxa"/>
            <w:bottom w:w="0" w:type="dxa"/>
          </w:tblCellMar>
        </w:tblPrEx>
        <w:trPr>
          <w:cantSplit/>
          <w:jc w:val="center"/>
        </w:trPr>
        <w:tc>
          <w:tcPr>
            <w:tcW w:w="117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Total</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221</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23</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244</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262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15</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277</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318</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15</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333</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468</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29</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497</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577</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48</w:t>
            </w:r>
          </w:p>
        </w:tc>
        <w:tc>
          <w:tcPr>
            <w:tcW w:w="6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625</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r>
              <w:rPr>
                <w:sz w:val="14"/>
              </w:rPr>
              <w:t>Ciencias</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H</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33</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17</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50</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44</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54</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32</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11</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43</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28</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11</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39</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35</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17</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52</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M</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178</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32</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210</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150</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22</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172</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171</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13</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184</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197</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25</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222</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180</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23</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203</w:t>
            </w:r>
          </w:p>
        </w:tc>
      </w:tr>
      <w:tr w:rsidR="00000000">
        <w:tblPrEx>
          <w:tblCellMar>
            <w:top w:w="0" w:type="dxa"/>
            <w:bottom w:w="0" w:type="dxa"/>
          </w:tblCellMar>
        </w:tblPrEx>
        <w:trPr>
          <w:cantSplit/>
          <w:jc w:val="center"/>
        </w:trPr>
        <w:tc>
          <w:tcPr>
            <w:tcW w:w="117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Total</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211</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49</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260</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194</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32</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226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203</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24</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227</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225</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36</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261</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215</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40</w:t>
            </w:r>
          </w:p>
        </w:tc>
        <w:tc>
          <w:tcPr>
            <w:tcW w:w="6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255</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r>
              <w:rPr>
                <w:sz w:val="14"/>
              </w:rPr>
              <w:t>Medicina</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H</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20</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0</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20</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29</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25</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0</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25</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25</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0</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25</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50</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51</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M</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25</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20</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22</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20</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22</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25</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26</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52</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54</w:t>
            </w:r>
          </w:p>
        </w:tc>
      </w:tr>
      <w:tr w:rsidR="00000000">
        <w:tblPrEx>
          <w:tblCellMar>
            <w:top w:w="0" w:type="dxa"/>
            <w:bottom w:w="0" w:type="dxa"/>
          </w:tblCellMar>
        </w:tblPrEx>
        <w:trPr>
          <w:cantSplit/>
          <w:jc w:val="center"/>
        </w:trPr>
        <w:tc>
          <w:tcPr>
            <w:tcW w:w="117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Total</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45</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51</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45</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47</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50</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51</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102</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w:t>
            </w:r>
          </w:p>
        </w:tc>
        <w:tc>
          <w:tcPr>
            <w:tcW w:w="6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105</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r>
              <w:rPr>
                <w:sz w:val="14"/>
              </w:rPr>
              <w:t>Ingeniería</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H</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52</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60</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73</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40</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42</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67</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68</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65</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70</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M</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54</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12</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69</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77</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93</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99</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137</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141</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126</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134</w:t>
            </w:r>
          </w:p>
        </w:tc>
      </w:tr>
      <w:tr w:rsidR="00000000">
        <w:tblPrEx>
          <w:tblCellMar>
            <w:top w:w="0" w:type="dxa"/>
            <w:bottom w:w="0" w:type="dxa"/>
          </w:tblCellMar>
        </w:tblPrEx>
        <w:trPr>
          <w:cantSplit/>
          <w:jc w:val="center"/>
        </w:trPr>
        <w:tc>
          <w:tcPr>
            <w:tcW w:w="117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Total</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106</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39</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145</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152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170</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166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23</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189</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231</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23</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254</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244</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19</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263</w:t>
            </w:r>
          </w:p>
        </w:tc>
        <w:tc>
          <w:tcPr>
            <w:tcW w:w="6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p>
        </w:tc>
      </w:tr>
      <w:tr w:rsidR="00000000">
        <w:tblPrEx>
          <w:tblCellMar>
            <w:top w:w="0" w:type="dxa"/>
            <w:bottom w:w="0" w:type="dxa"/>
          </w:tblCellMar>
        </w:tblPrEx>
        <w:trPr>
          <w:cantSplit/>
          <w:jc w:val="center"/>
        </w:trPr>
        <w:tc>
          <w:tcPr>
            <w:tcW w:w="1170" w:type="dxa"/>
            <w:vMerge w:val="restart"/>
          </w:tcPr>
          <w:p w:rsidR="00000000" w:rsidRDefault="00000000">
            <w:pPr>
              <w:pStyle w:val="SingleTxt"/>
              <w:tabs>
                <w:tab w:val="left" w:pos="288"/>
                <w:tab w:val="left" w:pos="576"/>
                <w:tab w:val="left" w:pos="864"/>
                <w:tab w:val="left" w:pos="1152"/>
              </w:tabs>
              <w:spacing w:before="20" w:after="20" w:line="170" w:lineRule="exact"/>
              <w:ind w:left="0" w:right="40"/>
              <w:rPr>
                <w:sz w:val="14"/>
              </w:rPr>
            </w:pPr>
            <w:r>
              <w:rPr>
                <w:sz w:val="14"/>
              </w:rPr>
              <w:t>Ciencias M</w:t>
            </w:r>
            <w:r>
              <w:rPr>
                <w:sz w:val="14"/>
              </w:rPr>
              <w:t>é</w:t>
            </w:r>
            <w:r>
              <w:rPr>
                <w:sz w:val="14"/>
              </w:rPr>
              <w:t>dicas Aux.</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H</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12</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w:t>
            </w:r>
          </w:p>
        </w:tc>
      </w:tr>
      <w:tr w:rsidR="00000000">
        <w:tblPrEx>
          <w:tblCellMar>
            <w:top w:w="0" w:type="dxa"/>
            <w:bottom w:w="0" w:type="dxa"/>
          </w:tblCellMar>
        </w:tblPrEx>
        <w:trPr>
          <w:cantSplit/>
          <w:jc w:val="center"/>
        </w:trPr>
        <w:tc>
          <w:tcPr>
            <w:tcW w:w="1170" w:type="dxa"/>
            <w:vMerge/>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M</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23</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9</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42</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30</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24</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30</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32</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37</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38</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9</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47</w:t>
            </w:r>
          </w:p>
        </w:tc>
      </w:tr>
      <w:tr w:rsidR="00000000">
        <w:tblPrEx>
          <w:tblCellMar>
            <w:top w:w="0" w:type="dxa"/>
            <w:bottom w:w="0" w:type="dxa"/>
          </w:tblCellMar>
        </w:tblPrEx>
        <w:trPr>
          <w:cantSplit/>
          <w:jc w:val="center"/>
        </w:trPr>
        <w:tc>
          <w:tcPr>
            <w:tcW w:w="1170" w:type="dxa"/>
            <w:tcBorders>
              <w:top w:val="nil"/>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Total</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34</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13</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47</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34</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14</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48</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27</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35</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33</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41</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40</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12</w:t>
            </w:r>
          </w:p>
        </w:tc>
        <w:tc>
          <w:tcPr>
            <w:tcW w:w="6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52</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r>
              <w:rPr>
                <w:sz w:val="14"/>
              </w:rPr>
              <w:t>Educación</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H</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44</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51</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34</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26</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12</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68</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77</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22</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99</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82</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27</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109</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M</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391</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40</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431</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336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22</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358</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454</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20</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474</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571</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36</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607</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509</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55</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564</w:t>
            </w:r>
          </w:p>
        </w:tc>
      </w:tr>
      <w:tr w:rsidR="00000000">
        <w:tblPrEx>
          <w:tblCellMar>
            <w:top w:w="0" w:type="dxa"/>
            <w:bottom w:w="0" w:type="dxa"/>
          </w:tblCellMar>
        </w:tblPrEx>
        <w:trPr>
          <w:cantSplit/>
          <w:jc w:val="center"/>
        </w:trPr>
        <w:tc>
          <w:tcPr>
            <w:tcW w:w="117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Total</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435</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47</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482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362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30</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392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510</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32</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542</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648</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85</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607</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591</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82</w:t>
            </w:r>
          </w:p>
        </w:tc>
        <w:tc>
          <w:tcPr>
            <w:tcW w:w="6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673</w:t>
            </w:r>
          </w:p>
        </w:tc>
      </w:tr>
      <w:tr w:rsidR="00000000">
        <w:tblPrEx>
          <w:tblCellMar>
            <w:top w:w="0" w:type="dxa"/>
            <w:bottom w:w="0" w:type="dxa"/>
          </w:tblCellMar>
        </w:tblPrEx>
        <w:trPr>
          <w:cantSplit/>
          <w:jc w:val="center"/>
        </w:trPr>
        <w:tc>
          <w:tcPr>
            <w:tcW w:w="1170" w:type="dxa"/>
            <w:vMerge w:val="restart"/>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r>
              <w:rPr>
                <w:sz w:val="14"/>
              </w:rPr>
              <w:t>Derecho Isl</w:t>
            </w:r>
            <w:r>
              <w:rPr>
                <w:sz w:val="14"/>
              </w:rPr>
              <w:t>á</w:t>
            </w:r>
            <w:r>
              <w:rPr>
                <w:sz w:val="14"/>
              </w:rPr>
              <w:t>mico</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H</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9</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18</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21</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29</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33</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47</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49</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81</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85</w:t>
            </w:r>
          </w:p>
        </w:tc>
      </w:tr>
      <w:tr w:rsidR="00000000">
        <w:tblPrEx>
          <w:tblCellMar>
            <w:top w:w="0" w:type="dxa"/>
            <w:bottom w:w="0" w:type="dxa"/>
          </w:tblCellMar>
        </w:tblPrEx>
        <w:trPr>
          <w:cantSplit/>
          <w:jc w:val="center"/>
        </w:trPr>
        <w:tc>
          <w:tcPr>
            <w:tcW w:w="1170" w:type="dxa"/>
            <w:vMerge/>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M</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37</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47</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25</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29</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64</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6</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70</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119</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3</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122</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154</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14</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168</w:t>
            </w:r>
          </w:p>
        </w:tc>
      </w:tr>
      <w:tr w:rsidR="00000000">
        <w:tblPrEx>
          <w:tblCellMar>
            <w:top w:w="0" w:type="dxa"/>
            <w:bottom w:w="0" w:type="dxa"/>
          </w:tblCellMar>
        </w:tblPrEx>
        <w:trPr>
          <w:cantSplit/>
          <w:jc w:val="center"/>
        </w:trPr>
        <w:tc>
          <w:tcPr>
            <w:tcW w:w="117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rPr>
                <w:sz w:val="14"/>
              </w:rPr>
            </w:pP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sz w:val="14"/>
              </w:rPr>
            </w:pPr>
            <w:r>
              <w:rPr>
                <w:sz w:val="14"/>
              </w:rPr>
              <w:t>Total</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42</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14</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56</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43</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7</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50</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93</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w:t>
            </w:r>
          </w:p>
        </w:tc>
        <w:tc>
          <w:tcPr>
            <w:tcW w:w="63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103</w:t>
            </w:r>
          </w:p>
        </w:tc>
        <w:tc>
          <w:tcPr>
            <w:tcW w:w="81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166</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5</w:t>
            </w:r>
          </w:p>
        </w:tc>
        <w:tc>
          <w:tcPr>
            <w:tcW w:w="60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171</w:t>
            </w:r>
          </w:p>
        </w:tc>
        <w:tc>
          <w:tcPr>
            <w:tcW w:w="744"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235</w:t>
            </w:r>
          </w:p>
        </w:tc>
        <w:tc>
          <w:tcPr>
            <w:tcW w:w="72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18</w:t>
            </w:r>
          </w:p>
        </w:tc>
        <w:tc>
          <w:tcPr>
            <w:tcW w:w="602"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sz w:val="14"/>
              </w:rPr>
            </w:pPr>
            <w:r>
              <w:rPr>
                <w:sz w:val="14"/>
              </w:rPr>
              <w:t>253</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b/>
                <w:sz w:val="14"/>
              </w:rPr>
            </w:pPr>
            <w:r>
              <w:rPr>
                <w:b/>
                <w:sz w:val="14"/>
              </w:rPr>
              <w:t>Total</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b/>
                <w:sz w:val="14"/>
              </w:rPr>
            </w:pPr>
            <w:r>
              <w:rPr>
                <w:b/>
                <w:sz w:val="14"/>
              </w:rPr>
              <w:t>H</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367</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79</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446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396</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66</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462</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463</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60</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523</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674</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83</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757</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789</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109</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898</w:t>
            </w:r>
          </w:p>
        </w:tc>
      </w:tr>
      <w:tr w:rsidR="00000000">
        <w:tblPrEx>
          <w:tblCellMar>
            <w:top w:w="0" w:type="dxa"/>
            <w:bottom w:w="0" w:type="dxa"/>
          </w:tblCellMar>
        </w:tblPrEx>
        <w:trPr>
          <w:cantSplit/>
          <w:jc w:val="center"/>
        </w:trPr>
        <w:tc>
          <w:tcPr>
            <w:tcW w:w="1170" w:type="dxa"/>
            <w:vAlign w:val="bottom"/>
          </w:tcPr>
          <w:p w:rsidR="00000000" w:rsidRDefault="00000000">
            <w:pPr>
              <w:pStyle w:val="SingleTxt"/>
              <w:tabs>
                <w:tab w:val="left" w:pos="288"/>
                <w:tab w:val="left" w:pos="576"/>
                <w:tab w:val="left" w:pos="864"/>
                <w:tab w:val="left" w:pos="1152"/>
              </w:tabs>
              <w:spacing w:before="20" w:after="20" w:line="170" w:lineRule="exact"/>
              <w:ind w:left="0" w:right="40"/>
              <w:rPr>
                <w:b/>
                <w:sz w:val="14"/>
              </w:rPr>
            </w:pP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b/>
                <w:sz w:val="14"/>
              </w:rPr>
            </w:pPr>
            <w:r>
              <w:rPr>
                <w:b/>
                <w:sz w:val="14"/>
              </w:rPr>
              <w:t>M</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1 143</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153</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1 295</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1 151</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97</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1 248</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1 457</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88</w:t>
            </w:r>
          </w:p>
        </w:tc>
        <w:tc>
          <w:tcPr>
            <w:tcW w:w="63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1 545</w:t>
            </w:r>
          </w:p>
        </w:tc>
        <w:tc>
          <w:tcPr>
            <w:tcW w:w="81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1 949</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118</w:t>
            </w:r>
          </w:p>
        </w:tc>
        <w:tc>
          <w:tcPr>
            <w:tcW w:w="606"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2 067</w:t>
            </w:r>
          </w:p>
        </w:tc>
        <w:tc>
          <w:tcPr>
            <w:tcW w:w="744"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1 926</w:t>
            </w:r>
          </w:p>
        </w:tc>
        <w:tc>
          <w:tcPr>
            <w:tcW w:w="720"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165</w:t>
            </w:r>
          </w:p>
        </w:tc>
        <w:tc>
          <w:tcPr>
            <w:tcW w:w="602" w:type="dxa"/>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2 989</w:t>
            </w:r>
          </w:p>
        </w:tc>
      </w:tr>
      <w:tr w:rsidR="00000000">
        <w:tblPrEx>
          <w:tblCellMar>
            <w:top w:w="0" w:type="dxa"/>
            <w:bottom w:w="0" w:type="dxa"/>
          </w:tblCellMar>
        </w:tblPrEx>
        <w:trPr>
          <w:cantSplit/>
          <w:jc w:val="center"/>
        </w:trPr>
        <w:tc>
          <w:tcPr>
            <w:tcW w:w="117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rPr>
                <w:b/>
                <w:sz w:val="14"/>
              </w:rPr>
            </w:pP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14"/>
              <w:jc w:val="right"/>
              <w:rPr>
                <w:b/>
                <w:sz w:val="14"/>
              </w:rPr>
            </w:pPr>
            <w:r>
              <w:rPr>
                <w:b/>
                <w:sz w:val="14"/>
              </w:rPr>
              <w:t>Total</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1 510</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231</w:t>
            </w:r>
          </w:p>
        </w:tc>
        <w:tc>
          <w:tcPr>
            <w:tcW w:w="60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1 741</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1 547</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163</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1 710</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1 920</w:t>
            </w:r>
          </w:p>
        </w:tc>
        <w:tc>
          <w:tcPr>
            <w:tcW w:w="74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148</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2 068</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2 623</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201</w:t>
            </w:r>
          </w:p>
        </w:tc>
        <w:tc>
          <w:tcPr>
            <w:tcW w:w="60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2 824</w:t>
            </w:r>
          </w:p>
        </w:tc>
        <w:tc>
          <w:tcPr>
            <w:tcW w:w="74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2 715</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274</w:t>
            </w:r>
          </w:p>
        </w:tc>
        <w:tc>
          <w:tcPr>
            <w:tcW w:w="60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20" w:after="20" w:line="170" w:lineRule="exact"/>
              <w:ind w:left="0" w:right="40"/>
              <w:jc w:val="right"/>
              <w:rPr>
                <w:b/>
                <w:sz w:val="14"/>
              </w:rPr>
            </w:pPr>
            <w:r>
              <w:rPr>
                <w:b/>
                <w:sz w:val="14"/>
              </w:rPr>
              <w:t>2 989</w:t>
            </w:r>
          </w:p>
        </w:tc>
      </w:tr>
    </w:tbl>
    <w:p w:rsidR="00000000" w:rsidRDefault="00000000">
      <w:pPr>
        <w:pStyle w:val="SingleTxt"/>
      </w:pPr>
    </w:p>
    <w:p w:rsidR="00000000" w:rsidRDefault="00000000">
      <w:pPr>
        <w:pStyle w:val="SingleTxt"/>
        <w:sectPr w:rsidR="00000000">
          <w:pgSz w:w="15840" w:h="12240" w:orient="landscape" w:code="1"/>
          <w:pgMar w:top="1195" w:right="1742" w:bottom="1195" w:left="1898" w:header="0" w:footer="0" w:gutter="0"/>
          <w:cols w:space="720"/>
          <w:noEndnote/>
        </w:sect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Autoridad Pública de Educación Aplicada</w:t>
      </w:r>
    </w:p>
    <w:p w:rsidR="00000000" w:rsidRDefault="00000000">
      <w:pPr>
        <w:pStyle w:val="SingleTxt"/>
        <w:spacing w:after="0" w:line="120" w:lineRule="exact"/>
        <w:ind w:firstLine="475"/>
        <w:rPr>
          <w:sz w:val="10"/>
        </w:rPr>
      </w:pPr>
    </w:p>
    <w:p w:rsidR="00000000" w:rsidRDefault="00000000">
      <w:pPr>
        <w:pStyle w:val="SingleTxt"/>
        <w:ind w:firstLine="475"/>
      </w:pPr>
      <w:r>
        <w:t>Esta Autoridad fue establecida con arreglo a la Ley N° 63 de 1982 a fin de formar y desarrollar la fuerza de trabajo nacional con miras a suplir la insuficiente cantidad de personal técnico y satisfacer las necesidades de desarrollo del país. Ti</w:t>
      </w:r>
      <w:r>
        <w:t>e</w:t>
      </w:r>
      <w:r>
        <w:t>ne una división de educación aplicada y una división de capacitación y dicta cursos científicos y vocacionales de dos años de duración a nivel postsecundario y un curso de cuatro años de estudios en el Colegio de Educación Básica, que culmina con un grado de licenciado en educación. La Autoridad desempeña una función en el i</w:t>
      </w:r>
      <w:r>
        <w:t>n</w:t>
      </w:r>
      <w:r>
        <w:t>cremento de la participación de las mujeres kuwaitíes en la fuerza de trabajo naci</w:t>
      </w:r>
      <w:r>
        <w:t>o</w:t>
      </w:r>
      <w:r>
        <w:t>nal, en las formas siguientes:</w:t>
      </w:r>
    </w:p>
    <w:p w:rsidR="00000000" w:rsidRDefault="00000000">
      <w:pPr>
        <w:pStyle w:val="SingleTxt"/>
        <w:numPr>
          <w:ilvl w:val="0"/>
          <w:numId w:val="17"/>
        </w:numPr>
        <w:tabs>
          <w:tab w:val="clear" w:pos="360"/>
          <w:tab w:val="num" w:pos="2102"/>
        </w:tabs>
        <w:ind w:left="2102"/>
      </w:pPr>
      <w:r>
        <w:t>Prepara, planifica y ejecuta proyectos a corto y largo plazo para el ad</w:t>
      </w:r>
      <w:r>
        <w:t>e</w:t>
      </w:r>
      <w:r>
        <w:t>lanto de las mujeres kuwaitíes;</w:t>
      </w:r>
    </w:p>
    <w:p w:rsidR="00000000" w:rsidRDefault="00000000">
      <w:pPr>
        <w:pStyle w:val="SingleTxt"/>
        <w:numPr>
          <w:ilvl w:val="0"/>
          <w:numId w:val="17"/>
        </w:numPr>
        <w:tabs>
          <w:tab w:val="clear" w:pos="360"/>
          <w:tab w:val="num" w:pos="2102"/>
        </w:tabs>
        <w:ind w:left="2102"/>
      </w:pPr>
      <w:r>
        <w:t>Brinda a las mujeres kuwaitíes oportunidades para ingresar en los sectores vocacionales, en los que los hombres ocupan la mayoría de los cargos, alentándolas a elegir especializaciones prácticas que se adapten a sus pr</w:t>
      </w:r>
      <w:r>
        <w:t>e</w:t>
      </w:r>
      <w:r>
        <w:t>ferencias y aptitudes;</w:t>
      </w:r>
    </w:p>
    <w:p w:rsidR="00000000" w:rsidRDefault="00000000">
      <w:pPr>
        <w:pStyle w:val="SingleTxt"/>
        <w:numPr>
          <w:ilvl w:val="0"/>
          <w:numId w:val="17"/>
        </w:numPr>
        <w:tabs>
          <w:tab w:val="clear" w:pos="360"/>
          <w:tab w:val="num" w:pos="2102"/>
        </w:tabs>
        <w:ind w:left="2102"/>
      </w:pPr>
      <w:r>
        <w:t>Ofrece especializaciones técnicas en la esfera de servicios médicos aux</w:t>
      </w:r>
      <w:r>
        <w:t>i</w:t>
      </w:r>
      <w:r>
        <w:t>liares, en los que a las mujeres les resulta más fácil combinar sus vidas l</w:t>
      </w:r>
      <w:r>
        <w:t>a</w:t>
      </w:r>
      <w:r>
        <w:t>boral y doméstica;</w:t>
      </w:r>
    </w:p>
    <w:p w:rsidR="00000000" w:rsidRDefault="00000000">
      <w:pPr>
        <w:pStyle w:val="SingleTxt"/>
        <w:numPr>
          <w:ilvl w:val="0"/>
          <w:numId w:val="17"/>
        </w:numPr>
        <w:tabs>
          <w:tab w:val="clear" w:pos="360"/>
          <w:tab w:val="num" w:pos="2102"/>
        </w:tabs>
        <w:ind w:left="2102"/>
      </w:pPr>
      <w:r>
        <w:t>Ofrece especializaciones y programas adaptados a la función que dese</w:t>
      </w:r>
      <w:r>
        <w:t>m</w:t>
      </w:r>
      <w:r>
        <w:t>peñan las mujeres en su contribución a las actividades de desarrollo del país.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ind w:firstLine="475"/>
        <w:rPr>
          <w:sz w:val="10"/>
        </w:rPr>
      </w:pPr>
    </w:p>
    <w:p w:rsidR="00000000" w:rsidRDefault="00000000">
      <w:pPr>
        <w:pStyle w:val="SingleTxt"/>
        <w:ind w:firstLine="475"/>
      </w:pPr>
      <w:r>
        <w:t>El artículo 41 de la Constitución de Kuwait dispone lo siguiente: “Todo k</w:t>
      </w:r>
      <w:r>
        <w:t>u</w:t>
      </w:r>
      <w:r>
        <w:t>waití tiene derecho al trabajo y a elegir el tipo de su trabajo. El trabajo es un deber que incumbe a todos los ciudadanos, impuesto por su dignidad personal y el interés p</w:t>
      </w:r>
      <w:r>
        <w:t>ú</w:t>
      </w:r>
      <w:r>
        <w:t>blico. El Estado tratará de brindar trabajo en condiciones equitativas.”</w:t>
      </w:r>
    </w:p>
    <w:p w:rsidR="00000000" w:rsidRDefault="00000000">
      <w:pPr>
        <w:pStyle w:val="SingleTxt"/>
        <w:ind w:firstLine="475"/>
      </w:pPr>
      <w:r>
        <w:t>El artículo 42 dispone lo siguiente: “Nadie será obligado a realizar trabajos forzosos, salvo en las circunstancias previstas por la ley en casos de emergencia n</w:t>
      </w:r>
      <w:r>
        <w:t>a</w:t>
      </w:r>
      <w:r>
        <w:t>cional y a cambio de una justa remuneración.”</w:t>
      </w:r>
    </w:p>
    <w:p w:rsidR="00000000" w:rsidRDefault="00000000">
      <w:pPr>
        <w:pStyle w:val="SingleTxt"/>
        <w:ind w:firstLine="475"/>
      </w:pPr>
      <w:r>
        <w:t>El artículo 26 dispone lo siguiente: “Los cargos públicos constituyen un serv</w:t>
      </w:r>
      <w:r>
        <w:t>i</w:t>
      </w:r>
      <w:r>
        <w:t>cio nacional encomendado a quienes los desempeñen. Los funcionarios públicos d</w:t>
      </w:r>
      <w:r>
        <w:t>e</w:t>
      </w:r>
      <w:r>
        <w:t>sempeñarán sus funciones con el fin de satisfacer el interés público.”.</w:t>
      </w:r>
    </w:p>
    <w:p w:rsidR="00000000" w:rsidRDefault="00000000">
      <w:pPr>
        <w:pStyle w:val="SingleTxt"/>
        <w:ind w:firstLine="475"/>
      </w:pPr>
      <w:r>
        <w:t>El artículo 8 dispone que “el Estado garantizará la igualdad de oportunidades a sus ciudadanos...”, y el artículo 11 dispone lo siguiente: “El Estado se compromete a ayudar a los ciudadanos en los casos de enfermedad o incapacidad para trabajar m</w:t>
      </w:r>
      <w:r>
        <w:t>e</w:t>
      </w:r>
      <w:r>
        <w:t>diante la prestación de servicios de seguridad social, asistencia social y atención de la salud.”</w:t>
      </w:r>
    </w:p>
    <w:p w:rsidR="00000000" w:rsidRDefault="00000000">
      <w:pPr>
        <w:pStyle w:val="SingleTxt"/>
        <w:ind w:firstLine="475"/>
      </w:pPr>
      <w:r>
        <w:t>El artículo 9 dispone lo siguiente: “La familia, que se basa en la religión, la moralidad y el patriotismo, es la piedra fundamental de la sociedad. La ley preserv</w:t>
      </w:r>
      <w:r>
        <w:t>a</w:t>
      </w:r>
      <w:r>
        <w:t>rá la integridad de la familia, fortalecerá sus vínculos y protegerá a las madres y los niños dentro de su marco.”</w:t>
      </w:r>
    </w:p>
    <w:p w:rsidR="00000000" w:rsidRDefault="00000000">
      <w:pPr>
        <w:pStyle w:val="SingleTxt"/>
        <w:ind w:firstLine="475"/>
      </w:pPr>
      <w:r>
        <w:t>De lo que antecede surge con claridad que la Constitución de Kuwait garantiza el derecho al trabajo, a la libre elección del trabajo y a la igualdad de oportunidades de empleo. Además, todos los ciudadanos tienen derecho a ocupar cargos públicos. Cabe señalar que la Constitución de Kuwait garantiza esos derechos en forma igu</w:t>
      </w:r>
      <w:r>
        <w:t>a</w:t>
      </w:r>
      <w:r>
        <w:t>litaria a todos los hombres y las mujeres.</w:t>
      </w:r>
    </w:p>
    <w:p w:rsidR="00000000" w:rsidRDefault="00000000">
      <w:pPr>
        <w:pStyle w:val="SingleTxt"/>
        <w:ind w:firstLine="475"/>
      </w:pPr>
      <w:r>
        <w:t>Sobre la base de los principios constitucionales indicados, el Estado ha pr</w:t>
      </w:r>
      <w:r>
        <w:t>o</w:t>
      </w:r>
      <w:r>
        <w:t>mulgado varias leyes con el objetivo de reglamentar los asuntos relacionados con el empleo y la asunción de cargos públicos. Consiguientemente, contienen disposici</w:t>
      </w:r>
      <w:r>
        <w:t>o</w:t>
      </w:r>
      <w:r>
        <w:t>nes que protegen a las trabajadoras y les garantizan la igualdad con los hombres que realizan el mismo trabajo. Asimismo tienen disposiciones que garantizan a la mujer la posibilidad de conciliar su trabajo con sus obligaciones familiares.</w:t>
      </w:r>
    </w:p>
    <w:p w:rsidR="00000000" w:rsidRDefault="00000000">
      <w:pPr>
        <w:pStyle w:val="SingleTxt"/>
        <w:ind w:firstLine="475"/>
      </w:pPr>
      <w:r>
        <w:t>Cabe mencionar que en Kuwait el empleo se divide en dos sectores princip</w:t>
      </w:r>
      <w:r>
        <w:t>a</w:t>
      </w:r>
      <w:r>
        <w:t>les, a saber, el sector gubernamental y el sector privado. Cada uno de esos sectores está reglamentado por una ley separada que tiene en cuenta los derechos y las obl</w:t>
      </w:r>
      <w:r>
        <w:t>i</w:t>
      </w:r>
      <w:r>
        <w:t>gaciones de sus trabajadores. Se trata de las leyes siguientes: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La Ley N° 38 de 1964 sobre el empleo en el sector privado</w:t>
      </w:r>
    </w:p>
    <w:p w:rsidR="00000000" w:rsidRDefault="00000000">
      <w:pPr>
        <w:pStyle w:val="SingleTxt"/>
        <w:spacing w:after="0" w:line="120" w:lineRule="exact"/>
        <w:ind w:firstLine="475"/>
        <w:rPr>
          <w:sz w:val="10"/>
        </w:rPr>
      </w:pPr>
    </w:p>
    <w:p w:rsidR="00000000" w:rsidRDefault="00000000">
      <w:pPr>
        <w:pStyle w:val="SingleTxt"/>
        <w:ind w:firstLine="475"/>
      </w:pPr>
      <w:r>
        <w:t>Esta Ley regula el empleo en el sector privado y la legislatura incluyó en ella varias disposiciones con la finalidad de brindar protección jurídica a los trabajadores comprendidos dentro de la Ley. Estas disposiciones, que se refieren a los contratos de empleo, la remuneración, la licencia, la compensación y las indemnizaciones por terminación del servicio, fueron redactadas con el fin de proteger a los trabajadores y garantizar relaciones estables con los empleadores. Todas ellas son disposiciones generales que no hacen distinción alguna por motivos de sexo. Además, esta Ley g</w:t>
      </w:r>
      <w:r>
        <w:t>a</w:t>
      </w:r>
      <w:r>
        <w:t>rantiza los derechos del empleador frente a sus trabajadores en relación con las m</w:t>
      </w:r>
      <w:r>
        <w:t>e</w:t>
      </w:r>
      <w:r>
        <w:t>didas que adopte para elevar al máximo la producción y asegurar el orden en el lugar de trabajo.</w:t>
      </w:r>
    </w:p>
    <w:p w:rsidR="00000000" w:rsidRDefault="00000000">
      <w:pPr>
        <w:pStyle w:val="SingleTxt"/>
        <w:ind w:firstLine="475"/>
      </w:pPr>
      <w:r>
        <w:t>El artículo 1 de la Ley contiene una definición de los términos “trabajador” y “empleador”. A los efectos de la Ley, el término “trabajador” comprende a todo tr</w:t>
      </w:r>
      <w:r>
        <w:t>a</w:t>
      </w:r>
      <w:r>
        <w:t>bajador o sirviente, hombre o mujer, que realice trabajos físicos o mentales a cambio de una remuneración y bajo la supervisión de un empleador o a la orden de éste. El término “empleador” comprende a toda persona física o jurídica que se dedique al trabajo que realiza con carácter habitual o profesional y emplee trabajadores a ca</w:t>
      </w:r>
      <w:r>
        <w:t>m</w:t>
      </w:r>
      <w:r>
        <w:t>bio de una remuneración.</w:t>
      </w:r>
    </w:p>
    <w:p w:rsidR="00000000" w:rsidRDefault="00000000">
      <w:pPr>
        <w:pStyle w:val="SingleTxt"/>
        <w:ind w:firstLine="475"/>
      </w:pPr>
      <w:r>
        <w:t>La sección 6 de la Ley se dedica a los temas relativos al empleo de la mujer y contiene disposiciones establecidas en interés de las mujeres trabajadoras. La legi</w:t>
      </w:r>
      <w:r>
        <w:t>s</w:t>
      </w:r>
      <w:r>
        <w:t>latura se ha preocupado por asegurar que las disposiciones contenidas en esta se</w:t>
      </w:r>
      <w:r>
        <w:t>c</w:t>
      </w:r>
      <w:r>
        <w:t>ción se adapten al medio ambiente, las tradiciones y las costumbres vigentes. A fin de prestar mayor atención y cuidado a las trabajadoras, la Ley garantiza los medios de ayudarlas a conciliar sus responsabilidades en el trabajo y en el hogar. Un método de protección que brinda esta Ley, en su artículo 23, es la prohibición del empleo de las mujeres de noche. Las excepciones a esta norma se refieren a las empresas pr</w:t>
      </w:r>
      <w:r>
        <w:t>i</w:t>
      </w:r>
      <w:r>
        <w:t>vadas y demás instituciones en las que el empleo está regulado por ordenanza del Ministerio de Asuntos Sociales y Trabajo. Se trata de las siguientes instituciones, según se especifica en la Ordenanza Ministerial N° 58 de 1985;</w:t>
      </w:r>
    </w:p>
    <w:p w:rsidR="00000000" w:rsidRDefault="00000000">
      <w:pPr>
        <w:pStyle w:val="SingleTxt"/>
        <w:numPr>
          <w:ilvl w:val="0"/>
          <w:numId w:val="18"/>
        </w:numPr>
        <w:tabs>
          <w:tab w:val="clear" w:pos="360"/>
          <w:tab w:val="num" w:pos="2102"/>
        </w:tabs>
        <w:ind w:left="2102"/>
      </w:pPr>
      <w:r>
        <w:t>Farmacias;</w:t>
      </w:r>
    </w:p>
    <w:p w:rsidR="00000000" w:rsidRDefault="00000000">
      <w:pPr>
        <w:pStyle w:val="SingleTxt"/>
        <w:numPr>
          <w:ilvl w:val="0"/>
          <w:numId w:val="18"/>
        </w:numPr>
        <w:tabs>
          <w:tab w:val="clear" w:pos="360"/>
          <w:tab w:val="num" w:pos="2102"/>
        </w:tabs>
        <w:ind w:left="2102"/>
      </w:pPr>
      <w:r>
        <w:t>Hoteles;</w:t>
      </w:r>
    </w:p>
    <w:p w:rsidR="00000000" w:rsidRDefault="00000000">
      <w:pPr>
        <w:pStyle w:val="SingleTxt"/>
        <w:numPr>
          <w:ilvl w:val="0"/>
          <w:numId w:val="18"/>
        </w:numPr>
        <w:tabs>
          <w:tab w:val="clear" w:pos="360"/>
          <w:tab w:val="num" w:pos="2102"/>
        </w:tabs>
        <w:ind w:left="2102"/>
      </w:pPr>
      <w:r>
        <w:t>Hogares de guarda de niños y hogares para discapacitados;</w:t>
      </w:r>
    </w:p>
    <w:p w:rsidR="00000000" w:rsidRDefault="00000000">
      <w:pPr>
        <w:pStyle w:val="SingleTxt"/>
        <w:numPr>
          <w:ilvl w:val="0"/>
          <w:numId w:val="18"/>
        </w:numPr>
        <w:tabs>
          <w:tab w:val="clear" w:pos="360"/>
          <w:tab w:val="num" w:pos="2102"/>
        </w:tabs>
        <w:ind w:left="2102"/>
      </w:pPr>
      <w:r>
        <w:t>Teatros;</w:t>
      </w:r>
    </w:p>
    <w:p w:rsidR="00000000" w:rsidRDefault="00000000">
      <w:pPr>
        <w:pStyle w:val="SingleTxt"/>
        <w:numPr>
          <w:ilvl w:val="0"/>
          <w:numId w:val="18"/>
        </w:numPr>
        <w:tabs>
          <w:tab w:val="clear" w:pos="360"/>
          <w:tab w:val="num" w:pos="2102"/>
        </w:tabs>
        <w:ind w:left="2102"/>
      </w:pPr>
      <w:r>
        <w:t>Ciudad de la Diversión;</w:t>
      </w:r>
    </w:p>
    <w:p w:rsidR="00000000" w:rsidRDefault="00000000">
      <w:pPr>
        <w:pStyle w:val="SingleTxt"/>
        <w:numPr>
          <w:ilvl w:val="0"/>
          <w:numId w:val="18"/>
        </w:numPr>
        <w:tabs>
          <w:tab w:val="clear" w:pos="360"/>
          <w:tab w:val="num" w:pos="2102"/>
        </w:tabs>
        <w:ind w:left="2102"/>
      </w:pPr>
      <w:r>
        <w:t>Aerolíneas y oficinas de turismo.</w:t>
      </w:r>
    </w:p>
    <w:p w:rsidR="00000000" w:rsidRDefault="00000000">
      <w:pPr>
        <w:pStyle w:val="SingleTxt"/>
        <w:ind w:firstLine="475"/>
      </w:pPr>
      <w:r>
        <w:t>Esta Ley también permite que las mujeres trabajen hasta la medianoche en los lugares siguientes;</w:t>
      </w:r>
    </w:p>
    <w:p w:rsidR="00000000" w:rsidRDefault="00000000">
      <w:pPr>
        <w:pStyle w:val="SingleTxt"/>
        <w:numPr>
          <w:ilvl w:val="0"/>
          <w:numId w:val="19"/>
        </w:numPr>
        <w:tabs>
          <w:tab w:val="clear" w:pos="360"/>
          <w:tab w:val="num" w:pos="2102"/>
        </w:tabs>
        <w:ind w:left="2102"/>
      </w:pPr>
      <w:r>
        <w:t>Sociedades cooperativas y asociaciones de interés público;</w:t>
      </w:r>
    </w:p>
    <w:p w:rsidR="00000000" w:rsidRDefault="00000000">
      <w:pPr>
        <w:pStyle w:val="SingleTxt"/>
        <w:numPr>
          <w:ilvl w:val="0"/>
          <w:numId w:val="19"/>
        </w:numPr>
        <w:tabs>
          <w:tab w:val="clear" w:pos="360"/>
          <w:tab w:val="num" w:pos="2102"/>
        </w:tabs>
        <w:ind w:left="2102"/>
      </w:pPr>
      <w:r>
        <w:t>Clínicas médicas;</w:t>
      </w:r>
    </w:p>
    <w:p w:rsidR="00000000" w:rsidRDefault="00000000">
      <w:pPr>
        <w:pStyle w:val="SingleTxt"/>
        <w:numPr>
          <w:ilvl w:val="0"/>
          <w:numId w:val="19"/>
        </w:numPr>
        <w:tabs>
          <w:tab w:val="clear" w:pos="360"/>
          <w:tab w:val="num" w:pos="2102"/>
        </w:tabs>
        <w:ind w:left="2102"/>
      </w:pPr>
      <w:r>
        <w:t>Sociedades, tiendas y bancos comerciales;</w:t>
      </w:r>
    </w:p>
    <w:p w:rsidR="00000000" w:rsidRDefault="00000000">
      <w:pPr>
        <w:pStyle w:val="SingleTxt"/>
        <w:numPr>
          <w:ilvl w:val="0"/>
          <w:numId w:val="19"/>
        </w:numPr>
        <w:tabs>
          <w:tab w:val="clear" w:pos="360"/>
          <w:tab w:val="num" w:pos="2102"/>
        </w:tabs>
        <w:ind w:left="2102"/>
      </w:pPr>
      <w:r>
        <w:t>Restaurantes.</w:t>
      </w:r>
    </w:p>
    <w:p w:rsidR="00000000" w:rsidRDefault="00000000">
      <w:pPr>
        <w:pStyle w:val="SingleTxt"/>
        <w:ind w:firstLine="475"/>
      </w:pPr>
      <w:r>
        <w:t>El artículo 24 prohíbe el empleo de mujeres en industrias peligrosas y ocup</w:t>
      </w:r>
      <w:r>
        <w:t>a</w:t>
      </w:r>
      <w:r>
        <w:t>ciones nocivas para la salud y respecto de las cuales el Ministerio de Asuntos S</w:t>
      </w:r>
      <w:r>
        <w:t>o</w:t>
      </w:r>
      <w:r>
        <w:t>ciales y Trabajo haya promulgado una ordenanza.</w:t>
      </w:r>
    </w:p>
    <w:p w:rsidR="00000000" w:rsidRDefault="00000000">
      <w:pPr>
        <w:pStyle w:val="SingleTxt"/>
        <w:ind w:firstLine="475"/>
      </w:pPr>
      <w:r>
        <w:t>El artículo 25 otorga a las mujeres embarazadas el derecho a tomar una lice</w:t>
      </w:r>
      <w:r>
        <w:t>n</w:t>
      </w:r>
      <w:r>
        <w:t>cia máxima de 30 días antes del parto y 40 días después de él, con remuneración completa.</w:t>
      </w:r>
    </w:p>
    <w:p w:rsidR="00000000" w:rsidRDefault="00000000">
      <w:pPr>
        <w:pStyle w:val="SingleTxt"/>
        <w:ind w:firstLine="475"/>
      </w:pPr>
      <w:r>
        <w:t>El artículo 27 establece la igualdad de remuneración de hombres y mujeres al estipular que las trabajadoras recibirán una remuneración comparable a la que rec</w:t>
      </w:r>
      <w:r>
        <w:t>i</w:t>
      </w:r>
      <w:r>
        <w:t>ban los hombres que realicen el mismo trabajo, y el artículo 56, relativo a las i</w:t>
      </w:r>
      <w:r>
        <w:t>n</w:t>
      </w:r>
      <w:r>
        <w:t>demnizaciones por terminación del servicio estipula que, en todas las circunstancias, las trabajadoras tendrán, en ocasión de su matrimonio, derecho a reclamar el pago completo por sus servicios si dejan el trabajo dentro de los seis meses siguientes al matrimonio. Este artículo garantiza el derecho indicado exclusivamente a las muj</w:t>
      </w:r>
      <w:r>
        <w:t>e</w:t>
      </w:r>
      <w:r>
        <w:t>res.</w:t>
      </w:r>
    </w:p>
    <w:p w:rsidR="00000000" w:rsidRDefault="00000000">
      <w:pPr>
        <w:pStyle w:val="H4"/>
        <w:tabs>
          <w:tab w:val="clear" w:pos="360"/>
          <w:tab w:val="left" w:pos="1260"/>
          <w:tab w:val="left" w:pos="1742"/>
          <w:tab w:val="left" w:pos="2218"/>
          <w:tab w:val="left" w:pos="2693"/>
          <w:tab w:val="left" w:pos="3182"/>
          <w:tab w:val="left" w:pos="3658"/>
          <w:tab w:val="left" w:pos="4133"/>
          <w:tab w:val="left" w:pos="4622"/>
          <w:tab w:val="left" w:pos="5098"/>
          <w:tab w:val="left" w:pos="5573"/>
          <w:tab w:val="left" w:pos="6048"/>
        </w:tabs>
        <w:ind w:left="1714" w:right="1267" w:hanging="1714"/>
      </w:pPr>
      <w:r>
        <w:tab/>
        <w:t>b)</w:t>
      </w:r>
      <w:r>
        <w:tab/>
      </w:r>
      <w:r>
        <w:tab/>
        <w:t>Decreto Legislativo N° 15 de 1979 sobre la Función Pública y Ordenanza Especial relativa a los Estatutos de los funcionarios públicos</w:t>
      </w:r>
    </w:p>
    <w:p w:rsidR="00000000" w:rsidRDefault="00000000">
      <w:pPr>
        <w:pStyle w:val="SingleTxt"/>
        <w:keepNext/>
        <w:spacing w:after="0" w:line="120" w:lineRule="exact"/>
        <w:ind w:firstLine="475"/>
        <w:rPr>
          <w:sz w:val="10"/>
        </w:rPr>
      </w:pPr>
    </w:p>
    <w:p w:rsidR="00000000" w:rsidRDefault="00000000">
      <w:pPr>
        <w:pStyle w:val="SingleTxt"/>
        <w:ind w:firstLine="475"/>
      </w:pPr>
      <w:r>
        <w:t>El Estado dedica particular atención a las funciones pública cumplidas por el aparato administrativo en Kuwait, sin escatimar esfuerzos por modernizar y perfe</w:t>
      </w:r>
      <w:r>
        <w:t>c</w:t>
      </w:r>
      <w:r>
        <w:t>cionar la eficiencia de dicho aparato para que pueda mantenerse a la par de los pr</w:t>
      </w:r>
      <w:r>
        <w:t>o</w:t>
      </w:r>
      <w:r>
        <w:t>gresos que constantemente se producen en las diversas esferas de la administración pública que son esenciales para los ciudadanos.</w:t>
      </w:r>
    </w:p>
    <w:p w:rsidR="00000000" w:rsidRDefault="00000000">
      <w:pPr>
        <w:pStyle w:val="SingleTxt"/>
        <w:ind w:firstLine="475"/>
      </w:pPr>
      <w:r>
        <w:t>A la luz de la experiencia administrativa y la aplicación práctica de las leyes en vigor desde comienzos del decenio de 1960, se adoptó el criterio de que la adm</w:t>
      </w:r>
      <w:r>
        <w:t>i</w:t>
      </w:r>
      <w:r>
        <w:t>nistración pública debía regirse por una ley que comprendiera los principios básicos y las disposiciones generales de carácter estable. En cambio, los procedimientos y normas más detallados que requieren flexibilidad para que puedan enmendarse cuando las circunstancias lo exijan, se promulgan mediante ordenanza, según se e</w:t>
      </w:r>
      <w:r>
        <w:t>s</w:t>
      </w:r>
      <w:r>
        <w:t>tipula en el artículo 1 de la Ley N° 15.</w:t>
      </w:r>
    </w:p>
    <w:p w:rsidR="00000000" w:rsidRDefault="00000000">
      <w:pPr>
        <w:pStyle w:val="SingleTxt"/>
        <w:ind w:firstLine="475"/>
      </w:pPr>
      <w:r>
        <w:t>Las disposiciones de la Ley N° 15 sobre la Función Pública son generales y no hacen distinción alguna por motivos de sexo, pues la legislatura de Kuwait ha tenido el cuidado de aplicar el principio de la igualdad en el empleo, sin discriminación por razones de sexo, religión u origen, aun cuando algunas de las disposiciones han sido concebidas en interés de las funcionarias mujeres.</w:t>
      </w:r>
    </w:p>
    <w:p w:rsidR="00000000" w:rsidRDefault="00000000">
      <w:pPr>
        <w:pStyle w:val="SingleTxt"/>
        <w:ind w:firstLine="475"/>
      </w:pPr>
      <w:r>
        <w:t>A los efectos de la Ley, por “funcionario público” se entiende lo siguiente: “Toda persona que ocupe un cargo de la administración pública en un organismo g</w:t>
      </w:r>
      <w:r>
        <w:t>u</w:t>
      </w:r>
      <w:r>
        <w:t>bernamental, cualquiera sea la naturaleza de su trabajo o su título funcional.” De conformidad con la Ley, por “organismo gubernamental” se entiende lo siguiente: “Todo ministerio, departamento o dependencia administrativa cuyo presupuesto forme parte del presupuesto general del Estado o dependa de dicho presupuesto.” El artículo 4 dispone la creación de una Comisión de Administración Pública cuyo mandato comprende, entre otras cosas, la modernización de la administración gen</w:t>
      </w:r>
      <w:r>
        <w:t>e</w:t>
      </w:r>
      <w:r>
        <w:t>ral, la elaboración de los Estatutos de los funcionarios públicos y el fortalecimiento de la eficiencia de las personas empleadas en organismos gubernamentales.</w:t>
      </w:r>
    </w:p>
    <w:p w:rsidR="00000000" w:rsidRDefault="00000000">
      <w:pPr>
        <w:pStyle w:val="SingleTxt"/>
        <w:ind w:firstLine="475"/>
      </w:pPr>
      <w:r>
        <w:t>En los artículos 11 a 17 se definen las funciones públicas, se las clasifica en distintos grupos y se determina el método por el cual se asumen. El artículo 11 est</w:t>
      </w:r>
      <w:r>
        <w:t>a</w:t>
      </w:r>
      <w:r>
        <w:t>blece el concepto exacto de función pública, que, con arreglo a la Constitución, es un deber nacional encomendado a quienes la desempeñan. El artículo 12 clasifica a las funciones públicas en cuatro grupos principales y el artículo 16 establece crit</w:t>
      </w:r>
      <w:r>
        <w:t>e</w:t>
      </w:r>
      <w:r>
        <w:t>rios específicos para determinar los niveles de nombramiento y el sueldo correspo</w:t>
      </w:r>
      <w:r>
        <w:t>n</w:t>
      </w:r>
      <w:r>
        <w:t>diente, que varía según el tipo de función, las calidades requeridas y la experiencia especial o práctica necesaria. Los artículos 18 a 26 se dedican a los derechos y obl</w:t>
      </w:r>
      <w:r>
        <w:t>i</w:t>
      </w:r>
      <w:r>
        <w:t>gaciones de los empleados y comprenden disposiciones relacionadas con el sueldo, las prestaciones y la licencia periódica para estudios. Las disposiciones de los art</w:t>
      </w:r>
      <w:r>
        <w:t>í</w:t>
      </w:r>
      <w:r>
        <w:t>culos 27 a 31 se refieren a la materia disciplinaria.</w:t>
      </w:r>
    </w:p>
    <w:p w:rsidR="00000000" w:rsidRDefault="00000000">
      <w:pPr>
        <w:pStyle w:val="SingleTxt"/>
        <w:ind w:firstLine="475"/>
      </w:pPr>
      <w:r>
        <w:t>Las disposiciones de la Ordenanza Especial relativa a los Estatutos de los fu</w:t>
      </w:r>
      <w:r>
        <w:t>n</w:t>
      </w:r>
      <w:r>
        <w:t>cionarios públicos regulan de manera relativamente detallada los nombramientos gubernamentales, las prestaciones, los ascensos, los traslados, la delegación, la ad</w:t>
      </w:r>
      <w:r>
        <w:t>s</w:t>
      </w:r>
      <w:r>
        <w:t>cripción, la disciplina y la terminación del servicio.</w:t>
      </w:r>
    </w:p>
    <w:p w:rsidR="00000000" w:rsidRDefault="00000000">
      <w:pPr>
        <w:pStyle w:val="SingleTxt"/>
        <w:ind w:firstLine="475"/>
      </w:pPr>
      <w:r>
        <w:t>Mediante las leyes indicadas, el Estado ha procurado establecer condiciones justas para alentar a las mujeres kuwaitíes a trabajar en distintas esferas y activid</w:t>
      </w:r>
      <w:r>
        <w:t>a</w:t>
      </w:r>
      <w:r>
        <w:t>des en una forma que no colida con su función principal a los ojos de la sociedad en calidad de madres y encargadas del cuidado de los jóvenes. Al aplicar dichas leyes, las políticas del Estado a este respecto se basan en los aspectos siguientes:</w:t>
      </w:r>
    </w:p>
    <w:p w:rsidR="00000000" w:rsidRDefault="00000000">
      <w:pPr>
        <w:pStyle w:val="SingleTxt"/>
        <w:ind w:firstLine="475"/>
      </w:pPr>
      <w:r>
        <w:t>–</w:t>
      </w:r>
      <w:r>
        <w:tab/>
        <w:t>Toda mujer que trabaje en el sector gubernamental tendrá derecho a l</w:t>
      </w:r>
      <w:r>
        <w:t>i</w:t>
      </w:r>
      <w:r>
        <w:t>cencia extraordinaria de maternidad con remuneración completa por un período de dos meses, sin límites respecto de la cantidad de veces que se repita durante su vida laboral, de conformidad con el artículo 47 de la Ordenanza Especial relativa a los Estatutos de los funcionarios públicos, que estipula lo siguiente: “Las funcionarias tendrán derecho a licencia extraordinaria de maternidad con remuneración completa por un período de dos meses, no deducible de sus demás períodos de licencia, sie</w:t>
      </w:r>
      <w:r>
        <w:t>m</w:t>
      </w:r>
      <w:r>
        <w:t>pre que den a luz dentro de dicho período.”</w:t>
      </w:r>
    </w:p>
    <w:p w:rsidR="00000000" w:rsidRDefault="00000000">
      <w:pPr>
        <w:pStyle w:val="SingleTxt"/>
        <w:ind w:firstLine="475"/>
      </w:pPr>
      <w:r>
        <w:t>–</w:t>
      </w:r>
      <w:r>
        <w:tab/>
        <w:t>Toda mujer podrá obtener licencia extraordinaria con la mitad de la r</w:t>
      </w:r>
      <w:r>
        <w:t>e</w:t>
      </w:r>
      <w:r>
        <w:t>muneración durante un período de cuatro meses posterior a su licencia de matern</w:t>
      </w:r>
      <w:r>
        <w:t>i</w:t>
      </w:r>
      <w:r>
        <w:t>dad (Ordenanza N° 1 de 1993 de la Comisión de Administración Pública). Sin e</w:t>
      </w:r>
      <w:r>
        <w:t>m</w:t>
      </w:r>
      <w:r>
        <w:t>bargo, este tipo de licencia no es obligatorio, pues el empleador tiene discrecional</w:t>
      </w:r>
      <w:r>
        <w:t>i</w:t>
      </w:r>
      <w:r>
        <w:t>dad para otorgarla o negarla.</w:t>
      </w:r>
    </w:p>
    <w:p w:rsidR="00000000" w:rsidRDefault="00000000">
      <w:pPr>
        <w:pStyle w:val="SingleTxt"/>
        <w:ind w:firstLine="475"/>
      </w:pPr>
      <w:r>
        <w:t>–</w:t>
      </w:r>
      <w:r>
        <w:tab/>
        <w:t>Toda mujer tiene derecho a licencia con remuneración completa para el cuidado de sus hijos si tiene un hijo enfermo en un hospital cuya condición haga n</w:t>
      </w:r>
      <w:r>
        <w:t>e</w:t>
      </w:r>
      <w:r>
        <w:t>cesaria su presencia (Ordenanza N° 1 de 1993 de la Comisión de Administración Pública).</w:t>
      </w:r>
    </w:p>
    <w:p w:rsidR="00000000" w:rsidRDefault="00000000">
      <w:pPr>
        <w:pStyle w:val="SingleTxt"/>
        <w:ind w:firstLine="475"/>
      </w:pPr>
      <w:r>
        <w:t>–</w:t>
      </w:r>
      <w:r>
        <w:tab/>
        <w:t>Toda funcionaria pública que tenga precedencia como madre o esposa de una persona cautiva o desaparecida tiene derecho a licencia con remuneración co</w:t>
      </w:r>
      <w:r>
        <w:t>m</w:t>
      </w:r>
      <w:r>
        <w:t>pleta para el cuidado de la familia durante un período de un año íntegro, que podrá prorrogarse, o durante los 15 días siguientes al retorno de la persona cautiva o des</w:t>
      </w:r>
      <w:r>
        <w:t>a</w:t>
      </w:r>
      <w:r>
        <w:t>parecida.</w:t>
      </w:r>
    </w:p>
    <w:p w:rsidR="00000000" w:rsidRDefault="00000000">
      <w:pPr>
        <w:pStyle w:val="SingleTxt"/>
        <w:ind w:firstLine="475"/>
      </w:pPr>
      <w:r>
        <w:t>–</w:t>
      </w:r>
      <w:r>
        <w:tab/>
        <w:t>Toda funcionaria pública tendrá derecho a licencia sin remuneración en los dos casos siguientes:</w:t>
      </w:r>
    </w:p>
    <w:p w:rsidR="00000000" w:rsidRDefault="00000000">
      <w:pPr>
        <w:pStyle w:val="SingleTxt"/>
        <w:numPr>
          <w:ilvl w:val="0"/>
          <w:numId w:val="20"/>
        </w:numPr>
        <w:tabs>
          <w:tab w:val="clear" w:pos="360"/>
          <w:tab w:val="num" w:pos="2578"/>
        </w:tabs>
        <w:ind w:left="2578"/>
      </w:pPr>
      <w:r>
        <w:t>Cuando acompañe a su marido funcionario público al extranjero, de conformidad con el artículo 49, que especifica las condiciones en las que se podrá otorgar tal licencia a una funcionaria pública, en los términos siguientes: “El Ministro podrá otorgar a una funcionaria l</w:t>
      </w:r>
      <w:r>
        <w:t>i</w:t>
      </w:r>
      <w:r>
        <w:t>cencia extraordinaria sin remuneración para que acompañe a su m</w:t>
      </w:r>
      <w:r>
        <w:t>a</w:t>
      </w:r>
      <w:r>
        <w:t>rido funcionario público al extranjero, si éste es trasladado o enviado en intercambio científico, licencia de estudios, misión oficial o ad</w:t>
      </w:r>
      <w:r>
        <w:t>s</w:t>
      </w:r>
      <w:r>
        <w:t>cri</w:t>
      </w:r>
      <w:r>
        <w:t>p</w:t>
      </w:r>
      <w:r>
        <w:t>ción.”</w:t>
      </w:r>
    </w:p>
    <w:p w:rsidR="00000000" w:rsidRDefault="00000000">
      <w:pPr>
        <w:pStyle w:val="SingleTxt"/>
        <w:numPr>
          <w:ilvl w:val="0"/>
          <w:numId w:val="20"/>
        </w:numPr>
        <w:tabs>
          <w:tab w:val="clear" w:pos="360"/>
          <w:tab w:val="num" w:pos="2578"/>
        </w:tabs>
        <w:ind w:left="2578"/>
      </w:pPr>
      <w:r>
        <w:t>Cuando se le otorgue licencia extraordinaria sin remuneración para atención de la familia, con arreglo a la Ordenanza N° 13 de 1979 de la Comisión de Administración Pública, de 29 de agosto de 1979, que determina las normas y reglamentaciones relativas a dicho tipo de l</w:t>
      </w:r>
      <w:r>
        <w:t>i</w:t>
      </w:r>
      <w:r>
        <w:t>cencia y estipula lo siguiente en su artículo 1: “Mediante ordenanza del Ministro, toda funcionaria pública casada, viuda o divorciada con hijos podrá tomar licencia extraordinaria por un período de entre seis meses y cuatro años por razones de atención a la familia, maternidad o cuidado de los hijos.” Dicha Ordenanza fue enmendada por la O</w:t>
      </w:r>
      <w:r>
        <w:t>r</w:t>
      </w:r>
      <w:r>
        <w:t>denanza N° 10 de 1981, promulgada el 17 de diciembre de 1981, con arreglo a la cual toda funcionaria pública podrá tomar licencia e</w:t>
      </w:r>
      <w:r>
        <w:t>x</w:t>
      </w:r>
      <w:r>
        <w:t>traordinaria por un período de entre seis meses y cuatro años si es una mujer kuwaití casada, una mujer no kuwaití casada con un k</w:t>
      </w:r>
      <w:r>
        <w:t>u</w:t>
      </w:r>
      <w:r>
        <w:t>waití, o una viuda o divorciada kuwaití o no kuwaití con hijos. M</w:t>
      </w:r>
      <w:r>
        <w:t>e</w:t>
      </w:r>
      <w:r>
        <w:t>diante esa enmienda, la legislatura de Kuwait ha tratado de ampliar la disposición que permite otorgar licencia extraordinaria a fin de i</w:t>
      </w:r>
      <w:r>
        <w:t>n</w:t>
      </w:r>
      <w:r>
        <w:t>cluir a nuevas categorías, además de las que estaban incluidas con arreglo a la Ordenanza N° 13 de 1979.</w:t>
      </w:r>
    </w:p>
    <w:p w:rsidR="00000000" w:rsidRDefault="00000000">
      <w:pPr>
        <w:pStyle w:val="SingleTxt"/>
        <w:ind w:firstLine="475"/>
      </w:pPr>
      <w:r>
        <w:t>–</w:t>
      </w:r>
      <w:r>
        <w:tab/>
        <w:t>Toda funcionaria pública musulmana cuyo marido fallezca tiene derecho a licencia extraordinaria con remuneración completa durante un período de un mes y 10 días a partir de la fecha de su fallecimiento (artículo 48).</w:t>
      </w:r>
    </w:p>
    <w:p w:rsidR="00000000" w:rsidRDefault="00000000">
      <w:pPr>
        <w:pStyle w:val="SingleTxt"/>
        <w:ind w:firstLine="475"/>
      </w:pPr>
      <w:r>
        <w:t>–</w:t>
      </w:r>
      <w:r>
        <w:tab/>
        <w:t>Toda mujer embarazada que trabaje en el sector gubernamental tiene d</w:t>
      </w:r>
      <w:r>
        <w:t>e</w:t>
      </w:r>
      <w:r>
        <w:t>recho a licencia con remuneración completa antes y después del parto, con arreglo al artículo 25 de la Ley N° 38 de 1964, que dispone que las trabajadoras embarazadas tienen derecho a licencia con remuneración completa por un máximo de 30 días a</w:t>
      </w:r>
      <w:r>
        <w:t>n</w:t>
      </w:r>
      <w:r>
        <w:t>tes del parto y 40 días después, y que después de ese período pueden permanecer a</w:t>
      </w:r>
      <w:r>
        <w:t>u</w:t>
      </w:r>
      <w:r>
        <w:t>sentes del trabajo, sin remuneración, por un máximo de 100 días consecutivos o no consecutivos por causa de enfermedad causada por el embarazo o el parto, según certificación médica.</w:t>
      </w:r>
    </w:p>
    <w:p w:rsidR="00000000" w:rsidRDefault="00000000">
      <w:pPr>
        <w:pStyle w:val="SingleTxt"/>
        <w:ind w:firstLine="475"/>
      </w:pPr>
      <w:r>
        <w:t>–</w:t>
      </w:r>
      <w:r>
        <w:tab/>
        <w:t>En todos los casos, toda funcionaria pública casada con una persona que no sea funcionario público en un organismo gubernamental tiene derecho a la pre</w:t>
      </w:r>
      <w:r>
        <w:t>s</w:t>
      </w:r>
      <w:r>
        <w:t>tación de persona sola y queda excluida de la categoría de personas casadas si ha estado recibiendo prestaciones sociales desde antes del 1° de julio de 1979.</w:t>
      </w:r>
    </w:p>
    <w:p w:rsidR="00000000" w:rsidRDefault="00000000">
      <w:pPr>
        <w:pStyle w:val="SingleTxt"/>
        <w:ind w:firstLine="475"/>
      </w:pPr>
      <w:r>
        <w:t>–</w:t>
      </w:r>
      <w:r>
        <w:tab/>
        <w:t>Toda funcionaria pública tiene derecho a prestación social para sus hijos si el padre de ellos fallece o está incapacitado para trabajar o ganarse la vida, sie</w:t>
      </w:r>
      <w:r>
        <w:t>m</w:t>
      </w:r>
      <w:r>
        <w:t>pre que no reciba remuneración ni asistencia del Tesoro Público, o si está mant</w:t>
      </w:r>
      <w:r>
        <w:t>e</w:t>
      </w:r>
      <w:r>
        <w:t>niendo a sus hijos y no recibe pensión alimenticia de la persona responsable de su mantenimiento (Ordenanza N° 1 de 1979 de la Comisión de Administración Pública) (véase el anexo).</w:t>
      </w:r>
    </w:p>
    <w:p w:rsidR="00000000" w:rsidRDefault="00000000">
      <w:pPr>
        <w:pStyle w:val="SingleTxt"/>
        <w:ind w:right="1264"/>
        <w:rPr>
          <w:i/>
        </w:rPr>
      </w:pPr>
      <w:r>
        <w:rPr>
          <w:i/>
        </w:rPr>
        <w:t>Participación de las mujeres en la fuerza de trabajo</w:t>
      </w:r>
    </w:p>
    <w:p w:rsidR="00000000" w:rsidRDefault="00000000">
      <w:pPr>
        <w:pStyle w:val="SingleTxt"/>
        <w:ind w:firstLine="475"/>
      </w:pPr>
      <w:r>
        <w:t>Los datos indican que, al 30 de junio de 1999, la tasa de participación de las mujeres en la fuerza de trabajo ascendía al 31,2%, cifra que se elevó al 36% en 2001.</w:t>
      </w:r>
    </w:p>
    <w:p w:rsidR="00000000" w:rsidRDefault="00000000">
      <w:pPr>
        <w:pStyle w:val="SingleTxt"/>
        <w:ind w:firstLine="475"/>
      </w:pPr>
      <w:r>
        <w:t>Las tasas de participación en la actividad económica por género y por grupo de edad al 30 de junio de 1999 brindan indicadores específicos sobre las pautas de la participación de las mujeres en la fuerza de trabajo. El porcentaje era bajo en el gr</w:t>
      </w:r>
      <w:r>
        <w:t>u</w:t>
      </w:r>
      <w:r>
        <w:t>po de edad de 15 a 19 años y llegaba al máximo en el grupo de edad de 35 a 39 años, en el que la tasa de participación era del 69,77%. En el cuadro siguiente se i</w:t>
      </w:r>
      <w:r>
        <w:t>n</w:t>
      </w:r>
      <w:r>
        <w:t>dican esas tasas:</w:t>
      </w:r>
    </w:p>
    <w:p w:rsidR="00000000" w:rsidRDefault="00000000">
      <w:pPr>
        <w:pStyle w:val="SingleTxt"/>
        <w:spacing w:after="0" w:line="120" w:lineRule="exact"/>
        <w:ind w:firstLine="475"/>
        <w:rPr>
          <w:sz w:val="10"/>
        </w:rPr>
      </w:pPr>
    </w:p>
    <w:tbl>
      <w:tblPr>
        <w:tblW w:w="0" w:type="auto"/>
        <w:jc w:val="center"/>
        <w:tblLayout w:type="fixed"/>
        <w:tblLook w:val="0000" w:firstRow="0" w:lastRow="0" w:firstColumn="0" w:lastColumn="0" w:noHBand="0" w:noVBand="0"/>
      </w:tblPr>
      <w:tblGrid>
        <w:gridCol w:w="1278"/>
        <w:gridCol w:w="1260"/>
        <w:gridCol w:w="1530"/>
        <w:gridCol w:w="1530"/>
      </w:tblGrid>
      <w:tr w:rsidR="00000000">
        <w:tblPrEx>
          <w:tblCellMar>
            <w:top w:w="0" w:type="dxa"/>
            <w:bottom w:w="0" w:type="dxa"/>
          </w:tblCellMar>
        </w:tblPrEx>
        <w:trPr>
          <w:tblHeader/>
          <w:jc w:val="center"/>
        </w:trPr>
        <w:tc>
          <w:tcPr>
            <w:tcW w:w="1278" w:type="dxa"/>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Grupo de edad</w:t>
            </w:r>
          </w:p>
        </w:tc>
        <w:tc>
          <w:tcPr>
            <w:tcW w:w="126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Población</w:t>
            </w:r>
          </w:p>
        </w:tc>
        <w:tc>
          <w:tcPr>
            <w:tcW w:w="153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Fuerza de trabajo</w:t>
            </w:r>
          </w:p>
        </w:tc>
        <w:tc>
          <w:tcPr>
            <w:tcW w:w="153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Tasas de particip</w:t>
            </w:r>
            <w:r>
              <w:rPr>
                <w:i/>
                <w:sz w:val="14"/>
              </w:rPr>
              <w:t>a</w:t>
            </w:r>
            <w:r>
              <w:rPr>
                <w:i/>
                <w:sz w:val="14"/>
              </w:rPr>
              <w:t>ción</w:t>
            </w:r>
          </w:p>
        </w:tc>
      </w:tr>
      <w:tr w:rsidR="00000000">
        <w:tblPrEx>
          <w:tblCellMar>
            <w:top w:w="0" w:type="dxa"/>
            <w:bottom w:w="0" w:type="dxa"/>
          </w:tblCellMar>
        </w:tblPrEx>
        <w:trPr>
          <w:trHeight w:hRule="exact" w:val="115"/>
          <w:tblHeader/>
          <w:jc w:val="center"/>
        </w:trPr>
        <w:tc>
          <w:tcPr>
            <w:tcW w:w="1278"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126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53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53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jc w:val="center"/>
        </w:trPr>
        <w:tc>
          <w:tcPr>
            <w:tcW w:w="1278" w:type="dxa"/>
            <w:vAlign w:val="bottom"/>
          </w:tcPr>
          <w:p w:rsidR="00000000" w:rsidRDefault="00000000">
            <w:pPr>
              <w:rPr>
                <w:sz w:val="17"/>
              </w:rPr>
            </w:pPr>
            <w:r>
              <w:rPr>
                <w:sz w:val="17"/>
              </w:rPr>
              <w:t>15 a 19</w:t>
            </w:r>
          </w:p>
        </w:tc>
        <w:tc>
          <w:tcPr>
            <w:tcW w:w="1260" w:type="dxa"/>
            <w:vAlign w:val="bottom"/>
          </w:tcPr>
          <w:p w:rsidR="00000000" w:rsidRDefault="00000000">
            <w:pPr>
              <w:jc w:val="right"/>
              <w:rPr>
                <w:sz w:val="17"/>
              </w:rPr>
            </w:pPr>
            <w:r>
              <w:rPr>
                <w:sz w:val="17"/>
              </w:rPr>
              <w:t>72 420</w:t>
            </w:r>
          </w:p>
        </w:tc>
        <w:tc>
          <w:tcPr>
            <w:tcW w:w="1530" w:type="dxa"/>
            <w:vAlign w:val="bottom"/>
          </w:tcPr>
          <w:p w:rsidR="00000000" w:rsidRDefault="00000000">
            <w:pPr>
              <w:jc w:val="right"/>
              <w:rPr>
                <w:sz w:val="17"/>
              </w:rPr>
            </w:pPr>
            <w:r>
              <w:rPr>
                <w:sz w:val="17"/>
              </w:rPr>
              <w:t>387</w:t>
            </w:r>
          </w:p>
        </w:tc>
        <w:tc>
          <w:tcPr>
            <w:tcW w:w="1530" w:type="dxa"/>
            <w:vAlign w:val="bottom"/>
          </w:tcPr>
          <w:p w:rsidR="00000000" w:rsidRDefault="00000000">
            <w:pPr>
              <w:jc w:val="right"/>
              <w:rPr>
                <w:sz w:val="17"/>
              </w:rPr>
            </w:pPr>
            <w:r>
              <w:rPr>
                <w:sz w:val="17"/>
              </w:rPr>
              <w:t>0,53</w:t>
            </w:r>
          </w:p>
        </w:tc>
      </w:tr>
      <w:tr w:rsidR="00000000">
        <w:tblPrEx>
          <w:tblCellMar>
            <w:top w:w="0" w:type="dxa"/>
            <w:bottom w:w="0" w:type="dxa"/>
          </w:tblCellMar>
        </w:tblPrEx>
        <w:trPr>
          <w:jc w:val="center"/>
        </w:trPr>
        <w:tc>
          <w:tcPr>
            <w:tcW w:w="1278" w:type="dxa"/>
            <w:vAlign w:val="bottom"/>
          </w:tcPr>
          <w:p w:rsidR="00000000" w:rsidRDefault="00000000">
            <w:pPr>
              <w:rPr>
                <w:sz w:val="17"/>
              </w:rPr>
            </w:pPr>
            <w:r>
              <w:rPr>
                <w:sz w:val="17"/>
              </w:rPr>
              <w:t>20 a 24</w:t>
            </w:r>
          </w:p>
        </w:tc>
        <w:tc>
          <w:tcPr>
            <w:tcW w:w="1260" w:type="dxa"/>
            <w:vAlign w:val="bottom"/>
          </w:tcPr>
          <w:p w:rsidR="00000000" w:rsidRDefault="00000000">
            <w:pPr>
              <w:jc w:val="right"/>
              <w:rPr>
                <w:sz w:val="17"/>
              </w:rPr>
            </w:pPr>
            <w:r>
              <w:rPr>
                <w:sz w:val="17"/>
              </w:rPr>
              <w:t>79 938</w:t>
            </w:r>
          </w:p>
        </w:tc>
        <w:tc>
          <w:tcPr>
            <w:tcW w:w="1530" w:type="dxa"/>
            <w:vAlign w:val="bottom"/>
          </w:tcPr>
          <w:p w:rsidR="00000000" w:rsidRDefault="00000000">
            <w:pPr>
              <w:jc w:val="right"/>
              <w:rPr>
                <w:sz w:val="17"/>
              </w:rPr>
            </w:pPr>
            <w:r>
              <w:rPr>
                <w:sz w:val="17"/>
              </w:rPr>
              <w:t>26 160</w:t>
            </w:r>
          </w:p>
        </w:tc>
        <w:tc>
          <w:tcPr>
            <w:tcW w:w="1530" w:type="dxa"/>
            <w:vAlign w:val="bottom"/>
          </w:tcPr>
          <w:p w:rsidR="00000000" w:rsidRDefault="00000000">
            <w:pPr>
              <w:jc w:val="right"/>
              <w:rPr>
                <w:sz w:val="17"/>
              </w:rPr>
            </w:pPr>
            <w:r>
              <w:rPr>
                <w:sz w:val="17"/>
              </w:rPr>
              <w:t>32,73</w:t>
            </w:r>
          </w:p>
        </w:tc>
      </w:tr>
      <w:tr w:rsidR="00000000">
        <w:tblPrEx>
          <w:tblCellMar>
            <w:top w:w="0" w:type="dxa"/>
            <w:bottom w:w="0" w:type="dxa"/>
          </w:tblCellMar>
        </w:tblPrEx>
        <w:trPr>
          <w:jc w:val="center"/>
        </w:trPr>
        <w:tc>
          <w:tcPr>
            <w:tcW w:w="1278" w:type="dxa"/>
            <w:vAlign w:val="bottom"/>
          </w:tcPr>
          <w:p w:rsidR="00000000" w:rsidRDefault="00000000">
            <w:pPr>
              <w:rPr>
                <w:sz w:val="17"/>
              </w:rPr>
            </w:pPr>
            <w:r>
              <w:rPr>
                <w:sz w:val="17"/>
              </w:rPr>
              <w:t>25 a 29</w:t>
            </w:r>
          </w:p>
        </w:tc>
        <w:tc>
          <w:tcPr>
            <w:tcW w:w="1260" w:type="dxa"/>
            <w:vAlign w:val="bottom"/>
          </w:tcPr>
          <w:p w:rsidR="00000000" w:rsidRDefault="00000000">
            <w:pPr>
              <w:jc w:val="right"/>
              <w:rPr>
                <w:sz w:val="17"/>
              </w:rPr>
            </w:pPr>
            <w:r>
              <w:rPr>
                <w:sz w:val="17"/>
              </w:rPr>
              <w:t>98 463</w:t>
            </w:r>
          </w:p>
        </w:tc>
        <w:tc>
          <w:tcPr>
            <w:tcW w:w="1530" w:type="dxa"/>
            <w:vAlign w:val="bottom"/>
          </w:tcPr>
          <w:p w:rsidR="00000000" w:rsidRDefault="00000000">
            <w:pPr>
              <w:jc w:val="right"/>
              <w:rPr>
                <w:sz w:val="17"/>
              </w:rPr>
            </w:pPr>
            <w:r>
              <w:rPr>
                <w:sz w:val="17"/>
              </w:rPr>
              <w:t>60 594</w:t>
            </w:r>
          </w:p>
        </w:tc>
        <w:tc>
          <w:tcPr>
            <w:tcW w:w="1530" w:type="dxa"/>
            <w:vAlign w:val="bottom"/>
          </w:tcPr>
          <w:p w:rsidR="00000000" w:rsidRDefault="00000000">
            <w:pPr>
              <w:jc w:val="right"/>
              <w:rPr>
                <w:sz w:val="17"/>
              </w:rPr>
            </w:pPr>
            <w:r>
              <w:rPr>
                <w:sz w:val="17"/>
              </w:rPr>
              <w:t>61,54</w:t>
            </w:r>
          </w:p>
        </w:tc>
      </w:tr>
      <w:tr w:rsidR="00000000">
        <w:tblPrEx>
          <w:tblCellMar>
            <w:top w:w="0" w:type="dxa"/>
            <w:bottom w:w="0" w:type="dxa"/>
          </w:tblCellMar>
        </w:tblPrEx>
        <w:trPr>
          <w:jc w:val="center"/>
        </w:trPr>
        <w:tc>
          <w:tcPr>
            <w:tcW w:w="1278" w:type="dxa"/>
            <w:vAlign w:val="bottom"/>
          </w:tcPr>
          <w:p w:rsidR="00000000" w:rsidRDefault="00000000">
            <w:pPr>
              <w:rPr>
                <w:sz w:val="17"/>
              </w:rPr>
            </w:pPr>
            <w:r>
              <w:rPr>
                <w:sz w:val="17"/>
              </w:rPr>
              <w:t>30 a 34</w:t>
            </w:r>
          </w:p>
        </w:tc>
        <w:tc>
          <w:tcPr>
            <w:tcW w:w="1260" w:type="dxa"/>
            <w:vAlign w:val="bottom"/>
          </w:tcPr>
          <w:p w:rsidR="00000000" w:rsidRDefault="00000000">
            <w:pPr>
              <w:jc w:val="right"/>
              <w:rPr>
                <w:sz w:val="17"/>
              </w:rPr>
            </w:pPr>
            <w:r>
              <w:rPr>
                <w:sz w:val="17"/>
              </w:rPr>
              <w:t>100 781</w:t>
            </w:r>
          </w:p>
        </w:tc>
        <w:tc>
          <w:tcPr>
            <w:tcW w:w="1530" w:type="dxa"/>
            <w:vAlign w:val="bottom"/>
          </w:tcPr>
          <w:p w:rsidR="00000000" w:rsidRDefault="00000000">
            <w:pPr>
              <w:jc w:val="right"/>
              <w:rPr>
                <w:sz w:val="17"/>
              </w:rPr>
            </w:pPr>
            <w:r>
              <w:rPr>
                <w:sz w:val="17"/>
              </w:rPr>
              <w:t>68 650</w:t>
            </w:r>
          </w:p>
        </w:tc>
        <w:tc>
          <w:tcPr>
            <w:tcW w:w="1530" w:type="dxa"/>
            <w:vAlign w:val="bottom"/>
          </w:tcPr>
          <w:p w:rsidR="00000000" w:rsidRDefault="00000000">
            <w:pPr>
              <w:jc w:val="right"/>
              <w:rPr>
                <w:sz w:val="17"/>
              </w:rPr>
            </w:pPr>
            <w:r>
              <w:rPr>
                <w:sz w:val="17"/>
              </w:rPr>
              <w:t>68,12</w:t>
            </w:r>
          </w:p>
        </w:tc>
      </w:tr>
      <w:tr w:rsidR="00000000">
        <w:tblPrEx>
          <w:tblCellMar>
            <w:top w:w="0" w:type="dxa"/>
            <w:bottom w:w="0" w:type="dxa"/>
          </w:tblCellMar>
        </w:tblPrEx>
        <w:trPr>
          <w:jc w:val="center"/>
        </w:trPr>
        <w:tc>
          <w:tcPr>
            <w:tcW w:w="1278" w:type="dxa"/>
            <w:vAlign w:val="bottom"/>
          </w:tcPr>
          <w:p w:rsidR="00000000" w:rsidRDefault="00000000">
            <w:pPr>
              <w:rPr>
                <w:sz w:val="17"/>
              </w:rPr>
            </w:pPr>
            <w:r>
              <w:rPr>
                <w:sz w:val="17"/>
              </w:rPr>
              <w:t>35 a 39</w:t>
            </w:r>
          </w:p>
        </w:tc>
        <w:tc>
          <w:tcPr>
            <w:tcW w:w="1260" w:type="dxa"/>
            <w:vAlign w:val="bottom"/>
          </w:tcPr>
          <w:p w:rsidR="00000000" w:rsidRDefault="00000000">
            <w:pPr>
              <w:jc w:val="right"/>
              <w:rPr>
                <w:sz w:val="17"/>
              </w:rPr>
            </w:pPr>
            <w:r>
              <w:rPr>
                <w:sz w:val="17"/>
              </w:rPr>
              <w:t>86 527</w:t>
            </w:r>
          </w:p>
        </w:tc>
        <w:tc>
          <w:tcPr>
            <w:tcW w:w="1530" w:type="dxa"/>
            <w:vAlign w:val="bottom"/>
          </w:tcPr>
          <w:p w:rsidR="00000000" w:rsidRDefault="00000000">
            <w:pPr>
              <w:jc w:val="right"/>
              <w:rPr>
                <w:sz w:val="17"/>
              </w:rPr>
            </w:pPr>
            <w:r>
              <w:rPr>
                <w:sz w:val="17"/>
              </w:rPr>
              <w:t>60 374</w:t>
            </w:r>
          </w:p>
        </w:tc>
        <w:tc>
          <w:tcPr>
            <w:tcW w:w="1530" w:type="dxa"/>
            <w:vAlign w:val="bottom"/>
          </w:tcPr>
          <w:p w:rsidR="00000000" w:rsidRDefault="00000000">
            <w:pPr>
              <w:jc w:val="right"/>
              <w:rPr>
                <w:sz w:val="17"/>
              </w:rPr>
            </w:pPr>
            <w:r>
              <w:rPr>
                <w:sz w:val="17"/>
              </w:rPr>
              <w:t>69,77</w:t>
            </w:r>
          </w:p>
        </w:tc>
      </w:tr>
      <w:tr w:rsidR="00000000">
        <w:tblPrEx>
          <w:tblCellMar>
            <w:top w:w="0" w:type="dxa"/>
            <w:bottom w:w="0" w:type="dxa"/>
          </w:tblCellMar>
        </w:tblPrEx>
        <w:trPr>
          <w:jc w:val="center"/>
        </w:trPr>
        <w:tc>
          <w:tcPr>
            <w:tcW w:w="1278" w:type="dxa"/>
            <w:vAlign w:val="bottom"/>
          </w:tcPr>
          <w:p w:rsidR="00000000" w:rsidRDefault="00000000">
            <w:pPr>
              <w:rPr>
                <w:sz w:val="17"/>
              </w:rPr>
            </w:pPr>
            <w:r>
              <w:rPr>
                <w:sz w:val="17"/>
              </w:rPr>
              <w:t>40 a 44</w:t>
            </w:r>
          </w:p>
        </w:tc>
        <w:tc>
          <w:tcPr>
            <w:tcW w:w="1260" w:type="dxa"/>
            <w:vAlign w:val="bottom"/>
          </w:tcPr>
          <w:p w:rsidR="00000000" w:rsidRDefault="00000000">
            <w:pPr>
              <w:jc w:val="right"/>
              <w:rPr>
                <w:sz w:val="17"/>
              </w:rPr>
            </w:pPr>
            <w:r>
              <w:rPr>
                <w:sz w:val="17"/>
              </w:rPr>
              <w:t>61 912</w:t>
            </w:r>
          </w:p>
        </w:tc>
        <w:tc>
          <w:tcPr>
            <w:tcW w:w="1530" w:type="dxa"/>
            <w:vAlign w:val="bottom"/>
          </w:tcPr>
          <w:p w:rsidR="00000000" w:rsidRDefault="00000000">
            <w:pPr>
              <w:jc w:val="right"/>
              <w:rPr>
                <w:sz w:val="17"/>
              </w:rPr>
            </w:pPr>
            <w:r>
              <w:rPr>
                <w:sz w:val="17"/>
              </w:rPr>
              <w:t>40 309</w:t>
            </w:r>
          </w:p>
        </w:tc>
        <w:tc>
          <w:tcPr>
            <w:tcW w:w="1530" w:type="dxa"/>
            <w:vAlign w:val="bottom"/>
          </w:tcPr>
          <w:p w:rsidR="00000000" w:rsidRDefault="00000000">
            <w:pPr>
              <w:jc w:val="right"/>
              <w:rPr>
                <w:sz w:val="17"/>
              </w:rPr>
            </w:pPr>
            <w:r>
              <w:rPr>
                <w:sz w:val="17"/>
              </w:rPr>
              <w:t>65,11</w:t>
            </w:r>
          </w:p>
        </w:tc>
      </w:tr>
      <w:tr w:rsidR="00000000">
        <w:tblPrEx>
          <w:tblCellMar>
            <w:top w:w="0" w:type="dxa"/>
            <w:bottom w:w="0" w:type="dxa"/>
          </w:tblCellMar>
        </w:tblPrEx>
        <w:trPr>
          <w:jc w:val="center"/>
        </w:trPr>
        <w:tc>
          <w:tcPr>
            <w:tcW w:w="1278" w:type="dxa"/>
            <w:vAlign w:val="bottom"/>
          </w:tcPr>
          <w:p w:rsidR="00000000" w:rsidRDefault="00000000">
            <w:pPr>
              <w:rPr>
                <w:sz w:val="17"/>
              </w:rPr>
            </w:pPr>
            <w:r>
              <w:rPr>
                <w:sz w:val="17"/>
              </w:rPr>
              <w:t>45 a 49</w:t>
            </w:r>
          </w:p>
        </w:tc>
        <w:tc>
          <w:tcPr>
            <w:tcW w:w="1260" w:type="dxa"/>
            <w:vAlign w:val="bottom"/>
          </w:tcPr>
          <w:p w:rsidR="00000000" w:rsidRDefault="00000000">
            <w:pPr>
              <w:jc w:val="right"/>
              <w:rPr>
                <w:sz w:val="17"/>
              </w:rPr>
            </w:pPr>
            <w:r>
              <w:rPr>
                <w:sz w:val="17"/>
              </w:rPr>
              <w:t>37 571</w:t>
            </w:r>
          </w:p>
        </w:tc>
        <w:tc>
          <w:tcPr>
            <w:tcW w:w="1530" w:type="dxa"/>
            <w:vAlign w:val="bottom"/>
          </w:tcPr>
          <w:p w:rsidR="00000000" w:rsidRDefault="00000000">
            <w:pPr>
              <w:jc w:val="right"/>
              <w:rPr>
                <w:sz w:val="17"/>
              </w:rPr>
            </w:pPr>
            <w:r>
              <w:rPr>
                <w:sz w:val="17"/>
              </w:rPr>
              <w:t>20 297</w:t>
            </w:r>
          </w:p>
        </w:tc>
        <w:tc>
          <w:tcPr>
            <w:tcW w:w="1530" w:type="dxa"/>
            <w:vAlign w:val="bottom"/>
          </w:tcPr>
          <w:p w:rsidR="00000000" w:rsidRDefault="00000000">
            <w:pPr>
              <w:jc w:val="right"/>
              <w:rPr>
                <w:sz w:val="17"/>
              </w:rPr>
            </w:pPr>
            <w:r>
              <w:rPr>
                <w:sz w:val="17"/>
              </w:rPr>
              <w:t>53,99</w:t>
            </w:r>
          </w:p>
        </w:tc>
      </w:tr>
      <w:tr w:rsidR="00000000">
        <w:tblPrEx>
          <w:tblCellMar>
            <w:top w:w="0" w:type="dxa"/>
            <w:bottom w:w="0" w:type="dxa"/>
          </w:tblCellMar>
        </w:tblPrEx>
        <w:trPr>
          <w:jc w:val="center"/>
        </w:trPr>
        <w:tc>
          <w:tcPr>
            <w:tcW w:w="1278" w:type="dxa"/>
            <w:vAlign w:val="bottom"/>
          </w:tcPr>
          <w:p w:rsidR="00000000" w:rsidRDefault="00000000">
            <w:pPr>
              <w:rPr>
                <w:sz w:val="17"/>
              </w:rPr>
            </w:pPr>
            <w:r>
              <w:rPr>
                <w:sz w:val="17"/>
              </w:rPr>
              <w:t>50 a 54</w:t>
            </w:r>
          </w:p>
        </w:tc>
        <w:tc>
          <w:tcPr>
            <w:tcW w:w="1260" w:type="dxa"/>
            <w:vAlign w:val="bottom"/>
          </w:tcPr>
          <w:p w:rsidR="00000000" w:rsidRDefault="00000000">
            <w:pPr>
              <w:jc w:val="right"/>
              <w:rPr>
                <w:sz w:val="17"/>
              </w:rPr>
            </w:pPr>
            <w:r>
              <w:rPr>
                <w:sz w:val="17"/>
              </w:rPr>
              <w:t>23 300</w:t>
            </w:r>
          </w:p>
        </w:tc>
        <w:tc>
          <w:tcPr>
            <w:tcW w:w="1530" w:type="dxa"/>
            <w:vAlign w:val="bottom"/>
          </w:tcPr>
          <w:p w:rsidR="00000000" w:rsidRDefault="00000000">
            <w:pPr>
              <w:jc w:val="right"/>
              <w:rPr>
                <w:sz w:val="17"/>
              </w:rPr>
            </w:pPr>
            <w:r>
              <w:rPr>
                <w:sz w:val="17"/>
              </w:rPr>
              <w:t>8 616</w:t>
            </w:r>
          </w:p>
        </w:tc>
        <w:tc>
          <w:tcPr>
            <w:tcW w:w="1530" w:type="dxa"/>
            <w:vAlign w:val="bottom"/>
          </w:tcPr>
          <w:p w:rsidR="00000000" w:rsidRDefault="00000000">
            <w:pPr>
              <w:jc w:val="right"/>
              <w:rPr>
                <w:sz w:val="17"/>
              </w:rPr>
            </w:pPr>
            <w:r>
              <w:rPr>
                <w:sz w:val="17"/>
              </w:rPr>
              <w:t>36,98</w:t>
            </w:r>
          </w:p>
        </w:tc>
      </w:tr>
      <w:tr w:rsidR="00000000">
        <w:tblPrEx>
          <w:tblCellMar>
            <w:top w:w="0" w:type="dxa"/>
            <w:bottom w:w="0" w:type="dxa"/>
          </w:tblCellMar>
        </w:tblPrEx>
        <w:trPr>
          <w:jc w:val="center"/>
        </w:trPr>
        <w:tc>
          <w:tcPr>
            <w:tcW w:w="1278" w:type="dxa"/>
            <w:vAlign w:val="bottom"/>
          </w:tcPr>
          <w:p w:rsidR="00000000" w:rsidRDefault="00000000">
            <w:pPr>
              <w:rPr>
                <w:sz w:val="17"/>
              </w:rPr>
            </w:pPr>
            <w:r>
              <w:rPr>
                <w:sz w:val="17"/>
              </w:rPr>
              <w:t>55 a 59</w:t>
            </w:r>
          </w:p>
        </w:tc>
        <w:tc>
          <w:tcPr>
            <w:tcW w:w="1260" w:type="dxa"/>
            <w:vAlign w:val="bottom"/>
          </w:tcPr>
          <w:p w:rsidR="00000000" w:rsidRDefault="00000000">
            <w:pPr>
              <w:jc w:val="right"/>
              <w:rPr>
                <w:sz w:val="17"/>
              </w:rPr>
            </w:pPr>
            <w:r>
              <w:rPr>
                <w:sz w:val="17"/>
              </w:rPr>
              <w:t>14 754</w:t>
            </w:r>
          </w:p>
        </w:tc>
        <w:tc>
          <w:tcPr>
            <w:tcW w:w="1530" w:type="dxa"/>
            <w:vAlign w:val="bottom"/>
          </w:tcPr>
          <w:p w:rsidR="00000000" w:rsidRDefault="00000000">
            <w:pPr>
              <w:jc w:val="right"/>
              <w:rPr>
                <w:sz w:val="17"/>
              </w:rPr>
            </w:pPr>
            <w:r>
              <w:rPr>
                <w:sz w:val="17"/>
              </w:rPr>
              <w:t>3 094</w:t>
            </w:r>
          </w:p>
        </w:tc>
        <w:tc>
          <w:tcPr>
            <w:tcW w:w="1530" w:type="dxa"/>
            <w:vAlign w:val="bottom"/>
          </w:tcPr>
          <w:p w:rsidR="00000000" w:rsidRDefault="00000000">
            <w:pPr>
              <w:jc w:val="right"/>
              <w:rPr>
                <w:sz w:val="17"/>
              </w:rPr>
            </w:pPr>
            <w:r>
              <w:rPr>
                <w:sz w:val="17"/>
              </w:rPr>
              <w:t>20,97</w:t>
            </w:r>
          </w:p>
        </w:tc>
      </w:tr>
      <w:tr w:rsidR="00000000">
        <w:tblPrEx>
          <w:tblCellMar>
            <w:top w:w="0" w:type="dxa"/>
            <w:bottom w:w="0" w:type="dxa"/>
          </w:tblCellMar>
        </w:tblPrEx>
        <w:trPr>
          <w:jc w:val="center"/>
        </w:trPr>
        <w:tc>
          <w:tcPr>
            <w:tcW w:w="1278" w:type="dxa"/>
            <w:vAlign w:val="bottom"/>
          </w:tcPr>
          <w:p w:rsidR="00000000" w:rsidRDefault="00000000">
            <w:pPr>
              <w:rPr>
                <w:sz w:val="17"/>
              </w:rPr>
            </w:pPr>
            <w:r>
              <w:rPr>
                <w:sz w:val="17"/>
              </w:rPr>
              <w:t>60 a 64</w:t>
            </w:r>
          </w:p>
        </w:tc>
        <w:tc>
          <w:tcPr>
            <w:tcW w:w="1260" w:type="dxa"/>
            <w:vAlign w:val="bottom"/>
          </w:tcPr>
          <w:p w:rsidR="00000000" w:rsidRDefault="00000000">
            <w:pPr>
              <w:jc w:val="right"/>
              <w:rPr>
                <w:sz w:val="17"/>
              </w:rPr>
            </w:pPr>
            <w:r>
              <w:rPr>
                <w:sz w:val="17"/>
              </w:rPr>
              <w:t>10 182</w:t>
            </w:r>
          </w:p>
        </w:tc>
        <w:tc>
          <w:tcPr>
            <w:tcW w:w="1530" w:type="dxa"/>
            <w:vAlign w:val="bottom"/>
          </w:tcPr>
          <w:p w:rsidR="00000000" w:rsidRDefault="00000000">
            <w:pPr>
              <w:jc w:val="right"/>
              <w:rPr>
                <w:sz w:val="17"/>
              </w:rPr>
            </w:pPr>
            <w:r>
              <w:rPr>
                <w:sz w:val="17"/>
              </w:rPr>
              <w:t>1 289</w:t>
            </w:r>
          </w:p>
        </w:tc>
        <w:tc>
          <w:tcPr>
            <w:tcW w:w="1530" w:type="dxa"/>
            <w:vAlign w:val="bottom"/>
          </w:tcPr>
          <w:p w:rsidR="00000000" w:rsidRDefault="00000000">
            <w:pPr>
              <w:jc w:val="right"/>
              <w:rPr>
                <w:sz w:val="17"/>
              </w:rPr>
            </w:pPr>
            <w:r>
              <w:rPr>
                <w:sz w:val="17"/>
              </w:rPr>
              <w:t>12,66</w:t>
            </w:r>
          </w:p>
        </w:tc>
      </w:tr>
      <w:tr w:rsidR="00000000">
        <w:tblPrEx>
          <w:tblCellMar>
            <w:top w:w="0" w:type="dxa"/>
            <w:bottom w:w="0" w:type="dxa"/>
          </w:tblCellMar>
        </w:tblPrEx>
        <w:trPr>
          <w:jc w:val="center"/>
        </w:trPr>
        <w:tc>
          <w:tcPr>
            <w:tcW w:w="1278" w:type="dxa"/>
            <w:tcBorders>
              <w:bottom w:val="single" w:sz="12" w:space="0" w:color="auto"/>
            </w:tcBorders>
            <w:vAlign w:val="bottom"/>
          </w:tcPr>
          <w:p w:rsidR="00000000" w:rsidRDefault="00000000">
            <w:pPr>
              <w:rPr>
                <w:sz w:val="17"/>
              </w:rPr>
            </w:pPr>
            <w:r>
              <w:rPr>
                <w:sz w:val="17"/>
              </w:rPr>
              <w:t>65 o más</w:t>
            </w:r>
          </w:p>
        </w:tc>
        <w:tc>
          <w:tcPr>
            <w:tcW w:w="1260" w:type="dxa"/>
            <w:tcBorders>
              <w:bottom w:val="single" w:sz="12" w:space="0" w:color="auto"/>
            </w:tcBorders>
            <w:vAlign w:val="bottom"/>
          </w:tcPr>
          <w:p w:rsidR="00000000" w:rsidRDefault="00000000">
            <w:pPr>
              <w:jc w:val="right"/>
              <w:rPr>
                <w:sz w:val="17"/>
              </w:rPr>
            </w:pPr>
            <w:r>
              <w:rPr>
                <w:sz w:val="17"/>
              </w:rPr>
              <w:t>14 548</w:t>
            </w:r>
          </w:p>
        </w:tc>
        <w:tc>
          <w:tcPr>
            <w:tcW w:w="1530" w:type="dxa"/>
            <w:tcBorders>
              <w:bottom w:val="single" w:sz="12" w:space="0" w:color="auto"/>
            </w:tcBorders>
            <w:vAlign w:val="bottom"/>
          </w:tcPr>
          <w:p w:rsidR="00000000" w:rsidRDefault="00000000">
            <w:pPr>
              <w:jc w:val="right"/>
              <w:rPr>
                <w:sz w:val="17"/>
              </w:rPr>
            </w:pPr>
            <w:r>
              <w:rPr>
                <w:sz w:val="17"/>
              </w:rPr>
              <w:t>795</w:t>
            </w:r>
          </w:p>
        </w:tc>
        <w:tc>
          <w:tcPr>
            <w:tcW w:w="1530" w:type="dxa"/>
            <w:tcBorders>
              <w:bottom w:val="single" w:sz="12" w:space="0" w:color="auto"/>
            </w:tcBorders>
            <w:vAlign w:val="bottom"/>
          </w:tcPr>
          <w:p w:rsidR="00000000" w:rsidRDefault="00000000">
            <w:pPr>
              <w:jc w:val="right"/>
              <w:rPr>
                <w:sz w:val="17"/>
              </w:rPr>
            </w:pPr>
            <w:r>
              <w:rPr>
                <w:sz w:val="17"/>
              </w:rPr>
              <w:t>5,46</w:t>
            </w:r>
          </w:p>
        </w:tc>
      </w:tr>
    </w:tbl>
    <w:p w:rsidR="00000000" w:rsidRDefault="00000000">
      <w:pPr>
        <w:pStyle w:val="SingleTxt"/>
        <w:jc w:val="center"/>
      </w:pPr>
    </w:p>
    <w:p w:rsidR="00000000" w:rsidRDefault="00000000">
      <w:pPr>
        <w:pStyle w:val="SingleTxt"/>
        <w:ind w:firstLine="475"/>
      </w:pPr>
      <w:r>
        <w:t>En relación con lo dispuesto en el apartado e) del párrafo 1 del artículo 11 de la Convención, relativo al derecho de la mujer a la seguridad social, en particular en casos de jubilación, enfermedad, invalidez, vejez u otra incapacidad para trabajar, cabe mencionar que Kuwait aplica el sistema de seguridad social, que se considera un importante elemento de la estabilidad social y económica. Ello queda reafirmado en la Constitución de Kuwait, cuyo artículo 11 estipula lo siguiente: “El Estado se compromete a ayudar a los ciudadanos en los casos de enfermedad o incapacidad p</w:t>
      </w:r>
      <w:r>
        <w:t>a</w:t>
      </w:r>
      <w:r>
        <w:t>ra trabajar mediante la prestación de servicios de seguridad social, asistencia social y atención de la salud.” Por consiguiente, el Estado ha promulgado las normas l</w:t>
      </w:r>
      <w:r>
        <w:t>e</w:t>
      </w:r>
      <w:r>
        <w:t>gislativas siguientes con el fin de poner en práctica la disposición constitucional c</w:t>
      </w:r>
      <w:r>
        <w:t>i</w:t>
      </w:r>
      <w:r>
        <w:t>tada:</w:t>
      </w:r>
    </w:p>
    <w:p w:rsidR="00000000" w:rsidRDefault="00000000">
      <w:pPr>
        <w:pStyle w:val="SingleTxt"/>
        <w:ind w:firstLine="475"/>
      </w:pPr>
      <w:r>
        <w:t>–</w:t>
      </w:r>
      <w:r>
        <w:tab/>
        <w:t>Decreto del Emir N° 61, de 2 de septiembre de 1976, por el que se pr</w:t>
      </w:r>
      <w:r>
        <w:t>o</w:t>
      </w:r>
      <w:r>
        <w:t>mulgó la Ley sobre Seguridad social, que abarca a todos los kuwaitíes que trabajen en cualquiera de los sectores de empleo de Kuwait. Esta Ley se caracteriza por la amplitud de su aplicabilidad y la vasta gama de riesgos contra los que brinda prote</w:t>
      </w:r>
      <w:r>
        <w:t>c</w:t>
      </w:r>
      <w:r>
        <w:t>ción. Además de los seguros de vida y las pensiones de vejez, sus disposiciones comprenden también a la enfermedad y la invalidez, así como a algunas categorías de kuwaitíes que no trabajan para un empleador (empleadores, trabajadores ind</w:t>
      </w:r>
      <w:r>
        <w:t>e</w:t>
      </w:r>
      <w:r>
        <w:t>pendientes, profesionales liberales, miembros de la Asamblea Nacional o los co</w:t>
      </w:r>
      <w:r>
        <w:t>n</w:t>
      </w:r>
      <w:r>
        <w:t>sejos municipales y alcaldes de distrito y otras categorías a las que se permite ben</w:t>
      </w:r>
      <w:r>
        <w:t>e</w:t>
      </w:r>
      <w:r>
        <w:t>ficiarse de sus disposiciones), a quienes se da la oportunidad de incorporarse al plan de seguridad en forma voluntaria. Asimismo especifica las normas relativas a las contribuciones y los solicitantes.</w:t>
      </w:r>
    </w:p>
    <w:p w:rsidR="00000000" w:rsidRDefault="00000000">
      <w:pPr>
        <w:pStyle w:val="SingleTxt"/>
        <w:ind w:firstLine="475"/>
      </w:pPr>
      <w:r>
        <w:t>Uno de los principios básicos del sistema de seguridad social de Kuwait es el de la igualdad entre todas las categorías de ciudadanos. Consiguientemente, no hay distinciones por motivos de sexo, aunque se tienen debidamente en cuenta a ciertos casos que requieren atención especial, como las mujeres.</w:t>
      </w:r>
    </w:p>
    <w:p w:rsidR="00000000" w:rsidRDefault="00000000">
      <w:pPr>
        <w:pStyle w:val="SingleTxt"/>
        <w:ind w:firstLine="475"/>
      </w:pPr>
      <w:r>
        <w:t>Con arreglo a lo dispuesto en esta Ley, el Estado estableció la Organización General de Seguros Sociales, a la que incumbe el cometido de aplicar la Ley.</w:t>
      </w:r>
    </w:p>
    <w:p w:rsidR="00000000" w:rsidRDefault="00000000">
      <w:pPr>
        <w:pStyle w:val="SingleTxt"/>
        <w:ind w:firstLine="475"/>
      </w:pPr>
      <w:r>
        <w:t>Las categorías a las que se aplica la Ley mencionada son las siguientes:</w:t>
      </w:r>
    </w:p>
    <w:p w:rsidR="00000000" w:rsidRDefault="00000000">
      <w:pPr>
        <w:pStyle w:val="SingleTxt"/>
        <w:ind w:firstLine="475"/>
      </w:pPr>
      <w:r>
        <w:t>–</w:t>
      </w:r>
      <w:r>
        <w:tab/>
        <w:t>Los kuwaitíes que trabajan para un empleador y los miembros de la Asamblea Nacional, en relación con lo cual toda aquél que esté vinculado por un contrato de aprendizaje que exija que el empleador le dé empleo o que el aprendiz trabaje para el empleador si termina con éxito el período de aprendizaje será cons</w:t>
      </w:r>
      <w:r>
        <w:t>i</w:t>
      </w:r>
      <w:r>
        <w:t>derado trabajador y será obligatorio asegurarlo (artículo 334 de la Ley sobre Segur</w:t>
      </w:r>
      <w:r>
        <w:t>i</w:t>
      </w:r>
      <w:r>
        <w:t>dad Social).</w:t>
      </w:r>
    </w:p>
    <w:p w:rsidR="00000000" w:rsidRDefault="00000000">
      <w:pPr>
        <w:pStyle w:val="SingleTxt"/>
        <w:ind w:firstLine="475"/>
      </w:pPr>
      <w:r>
        <w:t>–</w:t>
      </w:r>
      <w:r>
        <w:tab/>
        <w:t>Los kuwaitíes asegurados a que se refiere el artículo 53 de la Ley.</w:t>
      </w:r>
    </w:p>
    <w:p w:rsidR="00000000" w:rsidRDefault="00000000">
      <w:pPr>
        <w:pStyle w:val="SingleTxt"/>
        <w:ind w:firstLine="475"/>
      </w:pPr>
      <w:r>
        <w:t>“Empleador”, según la definición de la Ley, es toda persona física o jurídica que emplee trabajadores y se dedique a un oficio o profesión, así como los órganos, organismos y organizaciones gubernamentales, independientemente de si sus pres</w:t>
      </w:r>
      <w:r>
        <w:t>u</w:t>
      </w:r>
      <w:r>
        <w:t>puestos son independientes o dependen del presupuesto del Estado, y las demás a</w:t>
      </w:r>
      <w:r>
        <w:t>u</w:t>
      </w:r>
      <w:r>
        <w:t>toridades públicas.</w:t>
      </w:r>
    </w:p>
    <w:p w:rsidR="00000000" w:rsidRDefault="00000000">
      <w:pPr>
        <w:pStyle w:val="SingleTxt"/>
        <w:ind w:firstLine="475"/>
      </w:pPr>
      <w:r>
        <w:t>A los efectos de la Ley, la palabra “kuwaitíes”, mencionada anteriormente, comprende tanto a los hombres como a las mujeres.</w:t>
      </w:r>
    </w:p>
    <w:p w:rsidR="00000000" w:rsidRDefault="00000000">
      <w:pPr>
        <w:pStyle w:val="SingleTxt"/>
        <w:ind w:firstLine="475"/>
      </w:pPr>
      <w:r>
        <w:t>En lo tocante al derecho a pensiones de vejez, invalidez, enfermedad y muerte, los trabajadores de los sectores gubernamental, privado y petrolero tienen derecho a pensiones de jubilación en los casos siguientes.</w:t>
      </w:r>
    </w:p>
    <w:p w:rsidR="00000000" w:rsidRDefault="00000000">
      <w:pPr>
        <w:pStyle w:val="SingleTxt"/>
        <w:numPr>
          <w:ilvl w:val="0"/>
          <w:numId w:val="73"/>
        </w:numPr>
        <w:tabs>
          <w:tab w:val="clear" w:pos="360"/>
          <w:tab w:val="clear" w:pos="2218"/>
          <w:tab w:val="num" w:pos="2102"/>
          <w:tab w:val="left" w:pos="2340"/>
        </w:tabs>
        <w:ind w:left="2102"/>
      </w:pPr>
      <w:r>
        <w:t>Si la persona asegurada llega a los 65 años de edad en el caso de los ho</w:t>
      </w:r>
      <w:r>
        <w:t>m</w:t>
      </w:r>
      <w:r>
        <w:t>bres, o, en el caso de las mujeres, a los 15 años de servicios si son casadas y a los 25 si son solteras;</w:t>
      </w:r>
    </w:p>
    <w:p w:rsidR="00000000" w:rsidRDefault="00000000">
      <w:pPr>
        <w:pStyle w:val="SingleTxt"/>
        <w:numPr>
          <w:ilvl w:val="0"/>
          <w:numId w:val="73"/>
        </w:numPr>
        <w:tabs>
          <w:tab w:val="clear" w:pos="360"/>
          <w:tab w:val="clear" w:pos="2218"/>
          <w:tab w:val="num" w:pos="2102"/>
          <w:tab w:val="left" w:pos="2340"/>
        </w:tabs>
        <w:ind w:left="2102"/>
      </w:pPr>
      <w:r>
        <w:t>Si la persona asegurada fallece o se incapacita totalmente;</w:t>
      </w:r>
    </w:p>
    <w:p w:rsidR="00000000" w:rsidRDefault="00000000">
      <w:pPr>
        <w:pStyle w:val="SingleTxt"/>
        <w:numPr>
          <w:ilvl w:val="0"/>
          <w:numId w:val="73"/>
        </w:numPr>
        <w:tabs>
          <w:tab w:val="clear" w:pos="360"/>
          <w:tab w:val="clear" w:pos="2218"/>
          <w:tab w:val="num" w:pos="2102"/>
          <w:tab w:val="left" w:pos="2340"/>
        </w:tabs>
        <w:ind w:left="2102"/>
      </w:pPr>
      <w:r>
        <w:t>Si se termina la relación de servicio de una persona asegurada por razones de salud que pondrían en peligro su vida si continuara trabajando;</w:t>
      </w:r>
    </w:p>
    <w:p w:rsidR="00000000" w:rsidRDefault="00000000">
      <w:pPr>
        <w:pStyle w:val="SingleTxt"/>
        <w:numPr>
          <w:ilvl w:val="0"/>
          <w:numId w:val="73"/>
        </w:numPr>
        <w:tabs>
          <w:tab w:val="clear" w:pos="360"/>
          <w:tab w:val="clear" w:pos="2218"/>
          <w:tab w:val="num" w:pos="2102"/>
          <w:tab w:val="left" w:pos="2340"/>
        </w:tabs>
        <w:ind w:left="2102"/>
      </w:pPr>
      <w:r>
        <w:t>Si se termina por razones distintas a las indicadas la relación de servicio de una mujer asegurada casada, viuda o divorciada que tenga hijos y haya contribuido al plan de seguro social durante un período de 15 años, en c</w:t>
      </w:r>
      <w:r>
        <w:t>u</w:t>
      </w:r>
      <w:r>
        <w:t>yo caso su pensión no estará sujeta a la reducción prescrita en el artículo 20 de la Ley, que estipula que la pensión de jubilación se reducirá en caso de r</w:t>
      </w:r>
      <w:r>
        <w:t>e</w:t>
      </w:r>
      <w:r>
        <w:t>nuncia;</w:t>
      </w:r>
    </w:p>
    <w:p w:rsidR="00000000" w:rsidRDefault="00000000">
      <w:pPr>
        <w:pStyle w:val="SingleTxt"/>
        <w:numPr>
          <w:ilvl w:val="0"/>
          <w:numId w:val="73"/>
        </w:numPr>
        <w:tabs>
          <w:tab w:val="clear" w:pos="360"/>
          <w:tab w:val="clear" w:pos="2218"/>
          <w:tab w:val="num" w:pos="2102"/>
          <w:tab w:val="left" w:pos="2340"/>
        </w:tabs>
        <w:ind w:left="2102"/>
      </w:pPr>
      <w:r>
        <w:t>Si se termina la relación de servicio de una persona asegurada que realiza trabajos nocivos, extenuantes o peligrosos.</w:t>
      </w:r>
    </w:p>
    <w:p w:rsidR="00000000" w:rsidRDefault="00000000">
      <w:pPr>
        <w:pStyle w:val="SingleTxt"/>
        <w:ind w:firstLine="475"/>
      </w:pPr>
      <w:r>
        <w:t>Un ejemplo de los principios humanos que animan a la Ley es la disposición que figura en su artículo 25, que estipula que una persona asegurada cuya relación de servicio se termine y no tenga derecho a una pensión de jubilación, tendrá der</w:t>
      </w:r>
      <w:r>
        <w:t>e</w:t>
      </w:r>
      <w:r>
        <w:t>cho a una compensación pensionaria, que se pagará de conformidad con los términos y condiciones anunciados mediante ordenanza del ministro competente.</w:t>
      </w:r>
    </w:p>
    <w:p w:rsidR="00000000" w:rsidRDefault="00000000">
      <w:pPr>
        <w:pStyle w:val="SingleTxt"/>
        <w:ind w:firstLine="475"/>
      </w:pPr>
      <w:r>
        <w:t>Además de beneficiarse de las disposiciones de esta Ley, las mujeres también se benefician en la medida en que figuran entre las personas con derecho a solicitar las prestaciones correspondientes a un asegurado o pensionista, que según determina el artículo 63 son las siguientes:</w:t>
      </w:r>
    </w:p>
    <w:p w:rsidR="00000000" w:rsidRDefault="00000000">
      <w:pPr>
        <w:pStyle w:val="SingleTxt"/>
        <w:ind w:firstLine="475"/>
      </w:pPr>
      <w:r>
        <w:t>–</w:t>
      </w:r>
      <w:r>
        <w:tab/>
        <w:t>Sus hermanos y hermanas;</w:t>
      </w:r>
    </w:p>
    <w:p w:rsidR="00000000" w:rsidRDefault="00000000">
      <w:pPr>
        <w:pStyle w:val="SingleTxt"/>
        <w:ind w:firstLine="475"/>
      </w:pPr>
      <w:r>
        <w:t>–</w:t>
      </w:r>
      <w:r>
        <w:tab/>
        <w:t>Su cónyuge o viuda;</w:t>
      </w:r>
    </w:p>
    <w:p w:rsidR="00000000" w:rsidRDefault="00000000">
      <w:pPr>
        <w:pStyle w:val="SingleTxt"/>
        <w:ind w:firstLine="475"/>
      </w:pPr>
      <w:r>
        <w:t>–</w:t>
      </w:r>
      <w:r>
        <w:tab/>
        <w:t>Sus hijos;</w:t>
      </w:r>
    </w:p>
    <w:p w:rsidR="00000000" w:rsidRDefault="00000000">
      <w:pPr>
        <w:pStyle w:val="SingleTxt"/>
        <w:ind w:firstLine="475"/>
      </w:pPr>
      <w:r>
        <w:t>–</w:t>
      </w:r>
      <w:r>
        <w:tab/>
        <w:t>Su padre o madre;</w:t>
      </w:r>
    </w:p>
    <w:p w:rsidR="00000000" w:rsidRDefault="00000000">
      <w:pPr>
        <w:pStyle w:val="SingleTxt"/>
        <w:ind w:firstLine="475"/>
      </w:pPr>
      <w:r>
        <w:t>–</w:t>
      </w:r>
      <w:r>
        <w:tab/>
        <w:t>Sus nietos.</w:t>
      </w:r>
    </w:p>
    <w:p w:rsidR="00000000" w:rsidRDefault="00000000">
      <w:pPr>
        <w:pStyle w:val="SingleTxt"/>
        <w:ind w:firstLine="475"/>
      </w:pPr>
      <w:r>
        <w:t>El artículo 73 estipula que la hija, hermana o madre de un asegurado o pensi</w:t>
      </w:r>
      <w:r>
        <w:t>o</w:t>
      </w:r>
      <w:r>
        <w:t>nista que se haya divorciado o haya enviudado por primera vez, o el hijo o hermano de dicho asegurado o pensionista que esté incapacitado para ganarse el sustento lu</w:t>
      </w:r>
      <w:r>
        <w:t>e</w:t>
      </w:r>
      <w:r>
        <w:t>go de la muerte del asegurado o pensionista, tendrán derecho a recibir la cuota parte de la pensión que les corresponda.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Servicios sociales</w:t>
      </w:r>
      <w:r>
        <w:rPr>
          <w:i w:val="0"/>
        </w:rPr>
        <w:t xml:space="preserve"> (apartado c) del párrafo 2 del artículo 11 de la Convención)</w:t>
      </w:r>
    </w:p>
    <w:p w:rsidR="00000000" w:rsidRDefault="00000000">
      <w:pPr>
        <w:pStyle w:val="SingleTxt"/>
        <w:spacing w:after="0" w:line="120" w:lineRule="exact"/>
        <w:ind w:firstLine="475"/>
        <w:rPr>
          <w:sz w:val="10"/>
        </w:rPr>
      </w:pPr>
    </w:p>
    <w:p w:rsidR="00000000" w:rsidRDefault="00000000">
      <w:pPr>
        <w:pStyle w:val="SingleTxt"/>
        <w:ind w:firstLine="475"/>
      </w:pPr>
      <w:r>
        <w:t xml:space="preserve">En lo tocante a los servicios sociales mencionados en este párrafo, el Estado desea facilitar el empleo de la mujer y brindar condiciones propicias para tal fin. Asimismo se esfuerza por permitir que las mujeres </w:t>
      </w:r>
      <w:r>
        <w:rPr>
          <w:lang w:val="es-ES_tradnl"/>
        </w:rPr>
        <w:t>combinen las obligaciones para con la familia con las responsabilidades del trabajo y la participación en la vida p</w:t>
      </w:r>
      <w:r>
        <w:rPr>
          <w:lang w:val="es-ES_tradnl"/>
        </w:rPr>
        <w:t>ú</w:t>
      </w:r>
      <w:r>
        <w:rPr>
          <w:lang w:val="es-ES_tradnl"/>
        </w:rPr>
        <w:t>blica. Por consiguiente, procura alentar a las sociedades cooperativas y asociaciones de mujeres a establecer guarderías que brinden programas apropiados para los hijos de trabajadoras. Las guarderías son importantes medios de ayudar a las trabajadoras a asegurar que sus hijos pasen los días bajo el seguro cuidado de supervisores calif</w:t>
      </w:r>
      <w:r>
        <w:rPr>
          <w:lang w:val="es-ES_tradnl"/>
        </w:rPr>
        <w:t>i</w:t>
      </w:r>
      <w:r>
        <w:rPr>
          <w:lang w:val="es-ES_tradnl"/>
        </w:rPr>
        <w:t>cados que les ayuden a desarrollar las capacidades de los niños que cuidan y a pr</w:t>
      </w:r>
      <w:r>
        <w:rPr>
          <w:lang w:val="es-ES_tradnl"/>
        </w:rPr>
        <w:t>e</w:t>
      </w:r>
      <w:r>
        <w:rPr>
          <w:lang w:val="es-ES_tradnl"/>
        </w:rPr>
        <w:t>pararlos mental y socialmente para la etapa de jardín de infantes. Las guarderías e</w:t>
      </w:r>
      <w:r>
        <w:rPr>
          <w:lang w:val="es-ES_tradnl"/>
        </w:rPr>
        <w:t>s</w:t>
      </w:r>
      <w:r>
        <w:rPr>
          <w:lang w:val="es-ES_tradnl"/>
        </w:rPr>
        <w:t>tán sometidas a la supervisión del Ministerio de Asuntos Sociales y Trabajo, que realiza inspecciones periódicas para cerciorarse de que cumplan las normas y regl</w:t>
      </w:r>
      <w:r>
        <w:rPr>
          <w:lang w:val="es-ES_tradnl"/>
        </w:rPr>
        <w:t>a</w:t>
      </w:r>
      <w:r>
        <w:rPr>
          <w:lang w:val="es-ES_tradnl"/>
        </w:rPr>
        <w:t>mentaciones aplicables a dichos establecimientos.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Capacitación</w:t>
      </w:r>
    </w:p>
    <w:p w:rsidR="00000000" w:rsidRDefault="00000000">
      <w:pPr>
        <w:pStyle w:val="SingleTxt"/>
        <w:spacing w:after="0" w:line="120" w:lineRule="exact"/>
        <w:ind w:firstLine="475"/>
        <w:rPr>
          <w:sz w:val="10"/>
        </w:rPr>
      </w:pPr>
    </w:p>
    <w:p w:rsidR="00000000" w:rsidRDefault="00000000">
      <w:pPr>
        <w:pStyle w:val="SingleTxt"/>
        <w:ind w:firstLine="475"/>
      </w:pPr>
      <w:r>
        <w:t>El Estado se encarga de la capacitación, el aprendizaje de oficios y la form</w:t>
      </w:r>
      <w:r>
        <w:t>a</w:t>
      </w:r>
      <w:r>
        <w:t>ción profesional mediante la educación paralela, cuyo objetivo es crear una fuerza de trabajo nacional. Este tipo de educación se funda en los procesos de capacitación e instrucción, que se combinan para crear una base de trabajo nacional calificada y capacitada.</w:t>
      </w:r>
    </w:p>
    <w:p w:rsidR="00000000" w:rsidRDefault="00000000">
      <w:pPr>
        <w:pStyle w:val="SingleTxt"/>
        <w:ind w:firstLine="475"/>
      </w:pPr>
      <w:r>
        <w:t>La educación paralela difiere de la educación técnica porque imparte educ</w:t>
      </w:r>
      <w:r>
        <w:t>a</w:t>
      </w:r>
      <w:r>
        <w:t>ción técnica y profesional mediante programas de capacitación práctica, técnica y teórica especialmente diseñados para centrarse en las aptitudes y capacidades práct</w:t>
      </w:r>
      <w:r>
        <w:t>i</w:t>
      </w:r>
      <w:r>
        <w:t>cas que los estudiantes necesitan adquirir. Asimismo brinda a los estudiantes la oportunidad de adquirir otros tipos de conocimiento e información. El curso de est</w:t>
      </w:r>
      <w:r>
        <w:t>u</w:t>
      </w:r>
      <w:r>
        <w:t>dios es de cuatro años, durante los cuales los estudiantes reciben un subsidio fina</w:t>
      </w:r>
      <w:r>
        <w:t>n</w:t>
      </w:r>
      <w:r>
        <w:t>ciero anual. Este tipo de educación está abierto tanto a hombres como a mujeres.</w:t>
      </w:r>
    </w:p>
    <w:p w:rsidR="00000000" w:rsidRDefault="00000000">
      <w:pPr>
        <w:pStyle w:val="SingleTxt"/>
        <w:ind w:firstLine="475"/>
      </w:pPr>
      <w:r>
        <w:t>Mediante departamentos especializados que emplean a expertos en capacit</w:t>
      </w:r>
      <w:r>
        <w:t>a</w:t>
      </w:r>
      <w:r>
        <w:t>ción y desarrollo, el Estado también se esfuerza por organizar programas y cursos regulares para las personas que trabajan en las instituciones gubernamentales, así como cursos y programas encaminados a despertar el interés de las mujeres kuwa</w:t>
      </w:r>
      <w:r>
        <w:t>i</w:t>
      </w:r>
      <w:r>
        <w:t>tíes en trabajar en ocupaciones adecuadas a la naturaleza femenina, como la enfe</w:t>
      </w:r>
      <w:r>
        <w:t>r</w:t>
      </w:r>
      <w:r>
        <w:t>mería, que experimentan problemas a causa de su bajo nivel de aceptación entre las mujeres kuwaitíes. Dichos programas y cursos han significado una tremenda ayuda para incrementar la contribución de las mujeres a la fuerza de trabajo.</w:t>
      </w:r>
    </w:p>
    <w:p w:rsidR="00000000" w:rsidRDefault="00000000">
      <w:pPr>
        <w:pStyle w:val="SingleTxt"/>
        <w:ind w:firstLine="475"/>
      </w:pPr>
      <w:r>
        <w:t>En relación con los derechos a que se refieren los apartados d) y f) del párrafo 1 del artículo 11 de la Convención, Kuwait se esfuerza por lograr que las trabajad</w:t>
      </w:r>
      <w:r>
        <w:t>o</w:t>
      </w:r>
      <w:r>
        <w:t>ras perciban una remuneración equivalente a la que perciben los hombres que real</w:t>
      </w:r>
      <w:r>
        <w:t>i</w:t>
      </w:r>
      <w:r>
        <w:t>zan el mismo trabajo. Ello armoniza con el principio constitucional mencionado a</w:t>
      </w:r>
      <w:r>
        <w:t>n</w:t>
      </w:r>
      <w:r>
        <w:t>teriormente, con arreglo al cual todas las personas son iguales en dignidad humana e iguales ante la ley en lo tocante a sus derechos y obligaciones públicos, sin disti</w:t>
      </w:r>
      <w:r>
        <w:t>n</w:t>
      </w:r>
      <w:r>
        <w:t>ción alguna por razones de sexo, origen, idi</w:t>
      </w:r>
      <w:r>
        <w:t>o</w:t>
      </w:r>
      <w:r>
        <w:t>ma o religión.</w:t>
      </w:r>
    </w:p>
    <w:p w:rsidR="00000000" w:rsidRDefault="00000000">
      <w:pPr>
        <w:pStyle w:val="SingleTxt"/>
        <w:ind w:firstLine="475"/>
      </w:pPr>
      <w:r>
        <w:t>Con respecto a los trabajadores del sector gubernamental, la Comisión de la Función Pública determina el grado del nombramiento y el sueldo aplicable, tenie</w:t>
      </w:r>
      <w:r>
        <w:t>n</w:t>
      </w:r>
      <w:r>
        <w:t>do presente el tipo y el nivel del cargo, el tipo de calificación, experiencia o capac</w:t>
      </w:r>
      <w:r>
        <w:t>i</w:t>
      </w:r>
      <w:r>
        <w:t>tación requerido, en particular si es inusual, y la cantidad de años de estudio.</w:t>
      </w:r>
    </w:p>
    <w:p w:rsidR="00000000" w:rsidRDefault="00000000">
      <w:pPr>
        <w:pStyle w:val="SingleTxt"/>
        <w:ind w:firstLine="475"/>
      </w:pPr>
      <w:r>
        <w:t>Además de la remuneración, puede otorgarse a los empleados una gratificación como incentivo, con arreglo a una ordenanza del ministro competente y de confo</w:t>
      </w:r>
      <w:r>
        <w:t>r</w:t>
      </w:r>
      <w:r>
        <w:t>midad con las condiciones prescritas en la ley. En los cuadros siguientes se indican los grados y los sueldos mensuales de los empleados de los organismos gubern</w:t>
      </w:r>
      <w:r>
        <w:t>a</w:t>
      </w:r>
      <w:r>
        <w:t>ment</w:t>
      </w:r>
      <w:r>
        <w:t>a</w:t>
      </w:r>
      <w:r>
        <w:t>les y las prestaciones sociales que perciben.</w:t>
      </w:r>
    </w:p>
    <w:p w:rsidR="00000000" w:rsidRDefault="00000000">
      <w:pPr>
        <w:pStyle w:val="SingleTxt"/>
        <w:ind w:firstLine="475"/>
      </w:pPr>
      <w:r>
        <w:t>En lo tocante a la Ley sobre el empleo en el sector privado, su artículo 27 est</w:t>
      </w:r>
      <w:r>
        <w:t>i</w:t>
      </w:r>
      <w:r>
        <w:t>pula que las trabajadoras deben percibir una remuneración equivalente a la que pe</w:t>
      </w:r>
      <w:r>
        <w:t>r</w:t>
      </w:r>
      <w:r>
        <w:t>ciben los hombres que realizan el mismo trabajo. Por consiguiente, la legislatura ha tenido cuidado de dar una clara e inequívoca definición de la remuneración del tr</w:t>
      </w:r>
      <w:r>
        <w:t>a</w:t>
      </w:r>
      <w:r>
        <w:t>bajador, pues la protección del salario es un principio fundamental de toda legisl</w:t>
      </w:r>
      <w:r>
        <w:t>a</w:t>
      </w:r>
      <w:r>
        <w:t>ción laboral que se proponga establecer relaciones normales entre empleadores y trabajadores.</w:t>
      </w:r>
    </w:p>
    <w:p w:rsidR="00000000" w:rsidRDefault="00000000">
      <w:pPr>
        <w:pStyle w:val="SingleTxt"/>
        <w:ind w:firstLine="475"/>
      </w:pPr>
      <w:r>
        <w:t>De conformidad con el artículo 28 de esta Ley, por “remuneración” se entiende toda remuneración básica percibida por un trabajador, así como las prestaciones, gratificaciones, comisiones, subsidios o donaciones de carácter ordinario.</w:t>
      </w:r>
    </w:p>
    <w:p w:rsidR="00000000" w:rsidRDefault="00000000">
      <w:pPr>
        <w:pStyle w:val="SingleTxt"/>
        <w:ind w:firstLine="475"/>
      </w:pPr>
      <w:r>
        <w:t>La legislatura ha procurado proteger los salarios y evitar que se erosionen, e</w:t>
      </w:r>
      <w:r>
        <w:t>s</w:t>
      </w:r>
      <w:r>
        <w:t>tableciendo con tal fin disposiciones expresas según las cuales no se puede embargar ni retener más del 25% del salario, ni reducirlo en más de un 10%, para el pago de deudas o préstamos frente al empleador.</w:t>
      </w:r>
    </w:p>
    <w:p w:rsidR="00000000" w:rsidRDefault="00000000">
      <w:pPr>
        <w:pStyle w:val="SingleTxt"/>
        <w:ind w:firstLine="475"/>
      </w:pPr>
      <w:r>
        <w:t>En lo tocante al derecho a la protección de la salud y la seguridad en las cond</w:t>
      </w:r>
      <w:r>
        <w:t>i</w:t>
      </w:r>
      <w:r>
        <w:t>ciones de trabajo, la ley protege el derecho de los trabajadores a trabajar en cond</w:t>
      </w:r>
      <w:r>
        <w:t>i</w:t>
      </w:r>
      <w:r>
        <w:t>ciones seguras y justas. Por ejemplo, la sección 9 de la Ley sobre el trabajo contiene disposiciones en las que se estipulan las obligaciones de los empleadores para con sus trabajadores con el fin de asegurar su protección, y se regula todo lo conce</w:t>
      </w:r>
      <w:r>
        <w:t>r</w:t>
      </w:r>
      <w:r>
        <w:t>niente a la vivienda, el agua potable, el suministro de alimentos y el transporte para las pe</w:t>
      </w:r>
      <w:r>
        <w:t>r</w:t>
      </w:r>
      <w:r>
        <w:t>sonas que trabajan fuera de las zonas urbanas.</w:t>
      </w:r>
    </w:p>
    <w:p w:rsidR="00000000" w:rsidRDefault="00000000">
      <w:pPr>
        <w:pStyle w:val="SingleTxt"/>
        <w:ind w:firstLine="475"/>
      </w:pPr>
      <w:r>
        <w:t>Los empleadores también deben hacer que sus trabajadores pasen por un ex</w:t>
      </w:r>
      <w:r>
        <w:t>a</w:t>
      </w:r>
      <w:r>
        <w:t>men médico después de iniciar el trabajo y brindarles atención médica. El cumpl</w:t>
      </w:r>
      <w:r>
        <w:t>i</w:t>
      </w:r>
      <w:r>
        <w:t>miento de las reglamentaciones sobre salud y seguridad también es fiscalizado por inspectores de seguridad del Departamento de Inspección del Trabajo del Ministerio de Asuntos Sociales y Trabajo, cuyas facultades derivan de las disposiciones de la mencionada Ley sobre el trabajo. Más concretamente, con arreglo al artículo 95 se otorga a los funcionarios del Ministerio la facultad de realizar inspecciones en la i</w:t>
      </w:r>
      <w:r>
        <w:t>n</w:t>
      </w:r>
      <w:r>
        <w:t>dustria y fiscalizar el cumplimiento de la Ley y las decisiones y reglamentaciones dictadas para su aplicación.</w:t>
      </w:r>
    </w:p>
    <w:p w:rsidR="00000000" w:rsidRDefault="00000000">
      <w:pPr>
        <w:pStyle w:val="SingleTxt"/>
        <w:ind w:firstLine="475"/>
      </w:pPr>
      <w:r>
        <w:t>Con respecto a la igualdad de oportunidades de ascenso para todos, los asce</w:t>
      </w:r>
      <w:r>
        <w:t>n</w:t>
      </w:r>
      <w:r>
        <w:t>sos sólo se otorgan sobre la base de la eficiencia y sin distinción alguna. Todos los organismos gubernamentales y privados tienen una autoridad administrativa enca</w:t>
      </w:r>
      <w:r>
        <w:t>r</w:t>
      </w:r>
      <w:r>
        <w:t>gada de hacer cumplir la política de personal y aplicar las normas y reglamentaci</w:t>
      </w:r>
      <w:r>
        <w:t>o</w:t>
      </w:r>
      <w:r>
        <w:t>nes prescritas por la ley. Dichas autoridades también están obligadas a aplicar los principios y criterios establecidos por la Oficina de la Función Pública en relación con el nombramiento, el ascenso, la terminación de los servicios y demás asuntos relacionados con la función pública.</w:t>
      </w:r>
    </w:p>
    <w:p w:rsidR="00000000" w:rsidRDefault="00000000">
      <w:pPr>
        <w:pStyle w:val="SingleTxt"/>
        <w:ind w:firstLine="475"/>
      </w:pPr>
      <w:r>
        <w:t>Cabe señalar que los principios jurídicos mencionados se aplican igualmente a hombres y mujeres, sin distinción alguna.</w:t>
      </w:r>
    </w:p>
    <w:p w:rsidR="00000000" w:rsidRDefault="00000000">
      <w:pPr>
        <w:pStyle w:val="SingleTxt"/>
        <w:ind w:firstLine="475"/>
      </w:pPr>
      <w:r>
        <w:t>Además de lo expuesto, en su deseo de brindar una mayor protección a los tr</w:t>
      </w:r>
      <w:r>
        <w:t>a</w:t>
      </w:r>
      <w:r>
        <w:t>bajadores y salvaguardar sus derechos, Kuwait ha ratificado 15 convenios intern</w:t>
      </w:r>
      <w:r>
        <w:t>a</w:t>
      </w:r>
      <w:r>
        <w:t>cionales de la Organización Internacional del Trabajo, entre los que figuran los s</w:t>
      </w:r>
      <w:r>
        <w:t>i</w:t>
      </w:r>
      <w:r>
        <w:t>guientes:</w:t>
      </w:r>
    </w:p>
    <w:p w:rsidR="00000000" w:rsidRDefault="00000000">
      <w:pPr>
        <w:pStyle w:val="SingleTxt"/>
        <w:numPr>
          <w:ilvl w:val="0"/>
          <w:numId w:val="45"/>
        </w:numPr>
      </w:pPr>
      <w:r>
        <w:t>El Convenio por el que se limitan las horas de trabajo;</w:t>
      </w:r>
    </w:p>
    <w:p w:rsidR="00000000" w:rsidRDefault="00000000">
      <w:pPr>
        <w:pStyle w:val="SingleTxt"/>
        <w:numPr>
          <w:ilvl w:val="0"/>
          <w:numId w:val="45"/>
        </w:numPr>
      </w:pPr>
      <w:r>
        <w:t>El Convenio relativo a la discriminación en materia de empleo y ocup</w:t>
      </w:r>
      <w:r>
        <w:t>a</w:t>
      </w:r>
      <w:r>
        <w:t>ción (Convenio N° 111);</w:t>
      </w:r>
    </w:p>
    <w:p w:rsidR="00000000" w:rsidRDefault="00000000">
      <w:pPr>
        <w:pStyle w:val="SingleTxt"/>
        <w:numPr>
          <w:ilvl w:val="0"/>
          <w:numId w:val="45"/>
        </w:numPr>
      </w:pPr>
      <w:r>
        <w:t>El Convenio por el que se limitan las horas de trabajo en las empresas i</w:t>
      </w:r>
      <w:r>
        <w:t>n</w:t>
      </w:r>
      <w:r>
        <w:t>dustriales a ocho horas diarias y cuarenta y ocho semanales (Convenio N° 1):</w:t>
      </w:r>
    </w:p>
    <w:p w:rsidR="00000000" w:rsidRDefault="00000000">
      <w:pPr>
        <w:pStyle w:val="SingleTxt"/>
        <w:numPr>
          <w:ilvl w:val="0"/>
          <w:numId w:val="45"/>
        </w:numPr>
      </w:pPr>
      <w:r>
        <w:t>El Convenio relativo al trabajo nocturno de las mujeres empleadas en la industria (Convenio N° 89);</w:t>
      </w:r>
    </w:p>
    <w:p w:rsidR="00000000" w:rsidRDefault="00000000">
      <w:pPr>
        <w:pStyle w:val="SingleTxt"/>
        <w:numPr>
          <w:ilvl w:val="0"/>
          <w:numId w:val="45"/>
        </w:numPr>
      </w:pPr>
      <w:r>
        <w:t>El Convenio relativo a la inspección del trabajo en la industria y el come</w:t>
      </w:r>
      <w:r>
        <w:t>r</w:t>
      </w:r>
      <w:r>
        <w:t>cio (Co</w:t>
      </w:r>
      <w:r>
        <w:t>n</w:t>
      </w:r>
      <w:r>
        <w:t>venio N° 81);</w:t>
      </w:r>
    </w:p>
    <w:p w:rsidR="00000000" w:rsidRDefault="00000000">
      <w:pPr>
        <w:pStyle w:val="SingleTxt"/>
        <w:numPr>
          <w:ilvl w:val="0"/>
          <w:numId w:val="45"/>
        </w:numPr>
      </w:pPr>
      <w:r>
        <w:t>El Convenio relativo a las vacaciones anuales pagadas (Convenio N° 52);</w:t>
      </w:r>
    </w:p>
    <w:p w:rsidR="00000000" w:rsidRDefault="00000000">
      <w:pPr>
        <w:pStyle w:val="SingleTxt"/>
        <w:numPr>
          <w:ilvl w:val="0"/>
          <w:numId w:val="45"/>
        </w:numPr>
      </w:pPr>
      <w:r>
        <w:t>El Convenio relativo a las normas y objetivos básicos de la política social (Co</w:t>
      </w:r>
      <w:r>
        <w:t>n</w:t>
      </w:r>
      <w:r>
        <w:t>venio N° 117);</w:t>
      </w:r>
    </w:p>
    <w:p w:rsidR="00000000" w:rsidRDefault="00000000">
      <w:pPr>
        <w:pStyle w:val="SingleTxt"/>
        <w:numPr>
          <w:ilvl w:val="0"/>
          <w:numId w:val="45"/>
        </w:numPr>
      </w:pPr>
      <w:r>
        <w:t>El Convenio sobre la prohibición de las peores formas de trabajo infantil y la acción inmediata para su eliminación (Co</w:t>
      </w:r>
      <w:r>
        <w:t>n</w:t>
      </w:r>
      <w:r>
        <w:t>venio N° 182);</w:t>
      </w:r>
    </w:p>
    <w:p w:rsidR="00000000" w:rsidRDefault="00000000">
      <w:pPr>
        <w:pStyle w:val="SingleTxt"/>
        <w:ind w:firstLine="475"/>
      </w:pPr>
      <w:r>
        <w:t>Actualmente Kuwait también ha puesto en marcha el proceso de ratificación del Convenio de 1951 relativo a la igualdad de remuneración entre la mano de obra masculina y la mano de obra femenina por un trabajo de igual valor (Convenio N° 100).</w:t>
      </w:r>
    </w:p>
    <w:p w:rsidR="00000000" w:rsidRDefault="00000000">
      <w:pPr>
        <w:pStyle w:val="SingleTxt"/>
        <w:ind w:firstLine="475"/>
      </w:pPr>
      <w:r>
        <w:t>Con arreglo al artículo 70 de la Constitución de Kuwait, esos convenios tienen valor de leyes nacionales y tienen igual grado de obligatoriedad.</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ind w:firstLine="475"/>
        <w:rPr>
          <w:sz w:val="10"/>
        </w:rPr>
      </w:pPr>
    </w:p>
    <w:p w:rsidR="00000000" w:rsidRDefault="00000000">
      <w:pPr>
        <w:pStyle w:val="SingleTxt"/>
        <w:ind w:firstLine="475"/>
      </w:pPr>
      <w:r>
        <w:t>Este artículo dispone que los Estados Partes adoptarán todas las medidas apr</w:t>
      </w:r>
      <w:r>
        <w:t>o</w:t>
      </w:r>
      <w:r>
        <w:t>piadas para eliminar la discriminación contra la mujer en la esfera de la atención médica a fin de asegurar, en condiciones de igualdad entre hombres y mujeres, el acceso a servicios de atención médica, inclusive los que se refieren a la planific</w:t>
      </w:r>
      <w:r>
        <w:t>a</w:t>
      </w:r>
      <w:r>
        <w:t>ción de la familia</w:t>
      </w:r>
    </w:p>
    <w:p w:rsidR="00000000" w:rsidRDefault="00000000">
      <w:pPr>
        <w:pStyle w:val="SingleTxt"/>
        <w:ind w:firstLine="475"/>
      </w:pPr>
      <w:r>
        <w:t>Las mujeres kuwaitíes reciben una atención de salud especial por conducto de los avanzados servicios de maternidad y salud infantil prestados por el Estado, tanto en hospitales administrados por el gobierno como en los centros de salud distribu</w:t>
      </w:r>
      <w:r>
        <w:t>i</w:t>
      </w:r>
      <w:r>
        <w:t>dos en todo el país.</w:t>
      </w:r>
    </w:p>
    <w:p w:rsidR="00000000" w:rsidRDefault="00000000">
      <w:pPr>
        <w:pStyle w:val="SingleTxt"/>
        <w:ind w:firstLine="475"/>
      </w:pPr>
      <w:r>
        <w:t>La atención de la salud es uno de los servicios que la Constitución garantiza a todos los individuos que integran la sociedad kuwaití y figura entre los elementos constitutivos fundamentales de la sociedad kuwaití. Este derecho está consagrado en el artículo 15 de la Constitución, que estipula lo siguiente: “El Estado se ocupará de la salud pública y de las formas de prevenir y tratar las enfermedades y las epid</w:t>
      </w:r>
      <w:r>
        <w:t>e</w:t>
      </w:r>
      <w:r>
        <w:t>mias.”</w:t>
      </w:r>
    </w:p>
    <w:p w:rsidR="00000000" w:rsidRDefault="00000000">
      <w:pPr>
        <w:pStyle w:val="SingleTxt"/>
        <w:ind w:firstLine="475"/>
      </w:pPr>
      <w:r>
        <w:t>El artículo 9 estipula lo siguiente: “La familia, que se basa en la religión, la moralidad y el patriotismo, es la piedra fundamental de la sociedad. La ley preserv</w:t>
      </w:r>
      <w:r>
        <w:t>a</w:t>
      </w:r>
      <w:r>
        <w:t>rá la integridad de la familia, fortalecerá sus vínculos y protegerá a las madres y los niños dentro de su marco.”</w:t>
      </w:r>
    </w:p>
    <w:p w:rsidR="00000000" w:rsidRDefault="00000000">
      <w:pPr>
        <w:pStyle w:val="SingleTxt"/>
        <w:ind w:firstLine="475"/>
      </w:pPr>
      <w:r>
        <w:t>El artículo 10 estipula lo siguiente: “El Estado velará por el bienestar de los jóvenes, a quienes protegerá de la explotación y del abandono moral, físico y esp</w:t>
      </w:r>
      <w:r>
        <w:t>i</w:t>
      </w:r>
      <w:r>
        <w:t>ritual.”</w:t>
      </w:r>
    </w:p>
    <w:p w:rsidR="00000000" w:rsidRDefault="00000000">
      <w:pPr>
        <w:pStyle w:val="SingleTxt"/>
        <w:ind w:firstLine="475"/>
      </w:pPr>
      <w:r>
        <w:t>Asimismo, el artículo 11 estipula lo siguiente: “El Estado se compromete a ayudar a los ciudadanos en los casos de enfermedad o incapacidad para trabajar m</w:t>
      </w:r>
      <w:r>
        <w:t>e</w:t>
      </w:r>
      <w:r>
        <w:t>diante la prestación de servicios de seguridad social, asistencia social y atención de la salud."</w:t>
      </w:r>
    </w:p>
    <w:p w:rsidR="00000000" w:rsidRDefault="00000000">
      <w:pPr>
        <w:pStyle w:val="SingleTxt"/>
        <w:ind w:firstLine="475"/>
      </w:pPr>
      <w:r>
        <w:t>Cabe mencionar que las leyes sobre la salud pública comprenden a todos los ciudadanos y garantizan a todos el derecho de acceso a dichos servicios, sin discr</w:t>
      </w:r>
      <w:r>
        <w:t>i</w:t>
      </w:r>
      <w:r>
        <w:t>minación ni distinción alguna por motivos de sexo, idioma, origen o religión, y además de ello las mujeres se beneficien de excelentes servicios de salud en materia de emb</w:t>
      </w:r>
      <w:r>
        <w:t>a</w:t>
      </w:r>
      <w:r>
        <w:t>razo, parto y atención de los hijos.</w:t>
      </w:r>
    </w:p>
    <w:p w:rsidR="00000000" w:rsidRDefault="00000000">
      <w:pPr>
        <w:pStyle w:val="SingleTxt"/>
        <w:ind w:firstLine="475"/>
      </w:pPr>
      <w:r>
        <w:t>El Ministerio de Salud Pública de Kuwait es la autoridad encargada de ocupa</w:t>
      </w:r>
      <w:r>
        <w:t>r</w:t>
      </w:r>
      <w:r>
        <w:t>se del ambiente de salud del país y de la atención de la salud de sus ciudadanos. Las políticas de salud se han centrado en la satisfacción de las necesidades generales de la población en materia de salud y el esfuerzo por ampliar y complementar los serv</w:t>
      </w:r>
      <w:r>
        <w:t>i</w:t>
      </w:r>
      <w:r>
        <w:t>cios existentes de carácter preventivo y terapéutico y de rehabilitación. Asimismo procuran lograr que los servicios de salud estén distribuidos equitativamente en todo el país y alcancen a todos los habitantes, ciudadanos y residentes, sin discriminación alguna.</w:t>
      </w:r>
    </w:p>
    <w:p w:rsidR="00000000" w:rsidRDefault="00000000">
      <w:pPr>
        <w:pStyle w:val="SingleTxt"/>
        <w:ind w:firstLine="475"/>
      </w:pPr>
      <w:r>
        <w:t>Las políticas de salud pública de Kuwait se fundan en un conjunto de princ</w:t>
      </w:r>
      <w:r>
        <w:t>i</w:t>
      </w:r>
      <w:r>
        <w:t>pios que pueden articularse en la forma siguiente:</w:t>
      </w:r>
    </w:p>
    <w:p w:rsidR="00000000" w:rsidRDefault="00000000">
      <w:pPr>
        <w:pStyle w:val="SingleTxt"/>
        <w:numPr>
          <w:ilvl w:val="0"/>
          <w:numId w:val="47"/>
        </w:numPr>
      </w:pPr>
      <w:r>
        <w:t>Todo individuo tiene derecho de acceso a servicios de salud que le perm</w:t>
      </w:r>
      <w:r>
        <w:t>i</w:t>
      </w:r>
      <w:r>
        <w:t>tan ser una persona productiva desde los puntos de vista social y económ</w:t>
      </w:r>
      <w:r>
        <w:t>i</w:t>
      </w:r>
      <w:r>
        <w:t>co;</w:t>
      </w:r>
    </w:p>
    <w:p w:rsidR="00000000" w:rsidRDefault="00000000">
      <w:pPr>
        <w:pStyle w:val="SingleTxt"/>
        <w:numPr>
          <w:ilvl w:val="0"/>
          <w:numId w:val="47"/>
        </w:numPr>
      </w:pPr>
      <w:r>
        <w:t>El acceso a los servicios de salud debe ser fácil para todos, sin discrimin</w:t>
      </w:r>
      <w:r>
        <w:t>a</w:t>
      </w:r>
      <w:r>
        <w:t>ción ni distinción alguna por motivos de sexo o nacionalidad;</w:t>
      </w:r>
    </w:p>
    <w:p w:rsidR="00000000" w:rsidRDefault="00000000">
      <w:pPr>
        <w:pStyle w:val="SingleTxt"/>
        <w:numPr>
          <w:ilvl w:val="0"/>
          <w:numId w:val="47"/>
        </w:numPr>
      </w:pPr>
      <w:r>
        <w:t>La prestación de servicios de salud debe centrarse en los grupos más vu</w:t>
      </w:r>
      <w:r>
        <w:t>l</w:t>
      </w:r>
      <w:r>
        <w:t>nerables de la sociedad, como los discapacitados, las madres y las personas de edad;</w:t>
      </w:r>
    </w:p>
    <w:p w:rsidR="00000000" w:rsidRDefault="00000000">
      <w:pPr>
        <w:pStyle w:val="SingleTxt"/>
        <w:numPr>
          <w:ilvl w:val="0"/>
          <w:numId w:val="47"/>
        </w:numPr>
      </w:pPr>
      <w:r>
        <w:t>Los servicios de salud deben comprender actividades de educación sobre salud y elevación del nivel de conciencia en la materia, así como servicios maternoinfantiles, vacunas contra las enfermedades transmisibles y ate</w:t>
      </w:r>
      <w:r>
        <w:t>n</w:t>
      </w:r>
      <w:r>
        <w:t>ción prenatal.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de la salud de la mujer</w:t>
      </w:r>
    </w:p>
    <w:p w:rsidR="00000000" w:rsidRDefault="00000000">
      <w:pPr>
        <w:pStyle w:val="SingleTxt"/>
        <w:spacing w:after="0" w:line="120" w:lineRule="exact"/>
        <w:ind w:firstLine="475"/>
        <w:rPr>
          <w:sz w:val="10"/>
        </w:rPr>
      </w:pPr>
    </w:p>
    <w:p w:rsidR="00000000" w:rsidRDefault="00000000">
      <w:pPr>
        <w:pStyle w:val="SingleTxt"/>
        <w:ind w:firstLine="475"/>
      </w:pPr>
      <w:r>
        <w:t>Por conducto del Ministerio de Salud Pública, el Estado presta servicios de salud a las mujeres como miembros de la sociedad, según el detalle siguiente:</w:t>
      </w:r>
    </w:p>
    <w:p w:rsidR="00000000" w:rsidRDefault="00000000">
      <w:pPr>
        <w:pStyle w:val="SingleTxt"/>
        <w:numPr>
          <w:ilvl w:val="0"/>
          <w:numId w:val="55"/>
        </w:numPr>
        <w:tabs>
          <w:tab w:val="clear" w:pos="2218"/>
          <w:tab w:val="clear" w:pos="2462"/>
          <w:tab w:val="clear" w:pos="2693"/>
          <w:tab w:val="left" w:pos="2268"/>
        </w:tabs>
        <w:ind w:left="2268" w:hanging="567"/>
      </w:pPr>
      <w:r>
        <w:t>Las mujeres kuwaitíes reciben gratuitamente una completa atención de la salud de carácter pr</w:t>
      </w:r>
      <w:r>
        <w:t>e</w:t>
      </w:r>
      <w:r>
        <w:t>ventivo, educacional y terapéutico;</w:t>
      </w:r>
    </w:p>
    <w:p w:rsidR="00000000" w:rsidRDefault="00000000">
      <w:pPr>
        <w:pStyle w:val="SingleTxt"/>
        <w:numPr>
          <w:ilvl w:val="0"/>
          <w:numId w:val="55"/>
        </w:numPr>
        <w:tabs>
          <w:tab w:val="clear" w:pos="2218"/>
          <w:tab w:val="clear" w:pos="2462"/>
          <w:tab w:val="clear" w:pos="2693"/>
          <w:tab w:val="left" w:pos="2268"/>
        </w:tabs>
        <w:ind w:left="2268" w:hanging="567"/>
      </w:pPr>
      <w:r>
        <w:t>La atención prenatal es prestada por conducto de centros maternoinfa</w:t>
      </w:r>
      <w:r>
        <w:t>n</w:t>
      </w:r>
      <w:r>
        <w:t>tiles, hospitales de maternidad y servicios de maternidad de los hospit</w:t>
      </w:r>
      <w:r>
        <w:t>a</w:t>
      </w:r>
      <w:r>
        <w:t>les de di</w:t>
      </w:r>
      <w:r>
        <w:t>s</w:t>
      </w:r>
      <w:r>
        <w:t>trito;</w:t>
      </w:r>
    </w:p>
    <w:p w:rsidR="00000000" w:rsidRDefault="00000000">
      <w:pPr>
        <w:pStyle w:val="SingleTxt"/>
        <w:numPr>
          <w:ilvl w:val="0"/>
          <w:numId w:val="55"/>
        </w:numPr>
        <w:tabs>
          <w:tab w:val="clear" w:pos="2218"/>
          <w:tab w:val="clear" w:pos="2462"/>
          <w:tab w:val="clear" w:pos="2693"/>
          <w:tab w:val="left" w:pos="2268"/>
        </w:tabs>
        <w:ind w:left="2268" w:hanging="567"/>
      </w:pPr>
      <w:r>
        <w:t>Las vacunas esenciales en la infancia, por ejemplo contra la poliomiel</w:t>
      </w:r>
      <w:r>
        <w:t>i</w:t>
      </w:r>
      <w:r>
        <w:t>tis, la tuberculosis, el sarampión, otras enfermedades contagiosas y el tétanos, se suministran durante el embarazo y después del parto a fin de proteger al feto y al recién nacido; todas esas vacunas son obligatorias a fin de salvaguardar la salud pública;</w:t>
      </w:r>
    </w:p>
    <w:p w:rsidR="00000000" w:rsidRDefault="00000000">
      <w:pPr>
        <w:pStyle w:val="SingleTxt"/>
        <w:numPr>
          <w:ilvl w:val="0"/>
          <w:numId w:val="55"/>
        </w:numPr>
        <w:tabs>
          <w:tab w:val="clear" w:pos="2218"/>
          <w:tab w:val="clear" w:pos="2462"/>
          <w:tab w:val="clear" w:pos="2693"/>
          <w:tab w:val="left" w:pos="2268"/>
        </w:tabs>
        <w:ind w:left="2268" w:hanging="567"/>
      </w:pPr>
      <w:r>
        <w:t>Se informa a las pacientes mujeres sobre los efectos secundarios de las medicinas terapéuticas que les recete su médico tratante;</w:t>
      </w:r>
    </w:p>
    <w:p w:rsidR="00000000" w:rsidRDefault="00000000">
      <w:pPr>
        <w:pStyle w:val="SingleTxt"/>
        <w:numPr>
          <w:ilvl w:val="0"/>
          <w:numId w:val="55"/>
        </w:numPr>
        <w:tabs>
          <w:tab w:val="clear" w:pos="2218"/>
          <w:tab w:val="clear" w:pos="2462"/>
          <w:tab w:val="clear" w:pos="2693"/>
          <w:tab w:val="left" w:pos="2268"/>
        </w:tabs>
        <w:ind w:left="2268" w:hanging="567"/>
      </w:pPr>
      <w:r>
        <w:t>Se informa a las pacientes mujeres sobre los efectos negativos de toda operación quirúrgica proyectada antes de solicitar su consentimiento p</w:t>
      </w:r>
      <w:r>
        <w:t>a</w:t>
      </w:r>
      <w:r>
        <w:t>ra la operación;</w:t>
      </w:r>
    </w:p>
    <w:p w:rsidR="00000000" w:rsidRDefault="00000000">
      <w:pPr>
        <w:pStyle w:val="SingleTxt"/>
        <w:numPr>
          <w:ilvl w:val="0"/>
          <w:numId w:val="55"/>
        </w:numPr>
        <w:tabs>
          <w:tab w:val="clear" w:pos="2218"/>
          <w:tab w:val="clear" w:pos="2462"/>
          <w:tab w:val="clear" w:pos="2693"/>
          <w:tab w:val="left" w:pos="2268"/>
        </w:tabs>
        <w:ind w:left="2268" w:hanging="567"/>
      </w:pPr>
      <w:r>
        <w:t>Debe obtenerse el consentimiento de la mujer embarazada antes de pra</w:t>
      </w:r>
      <w:r>
        <w:t>c</w:t>
      </w:r>
      <w:r>
        <w:t>ticar una operación cesárea programada en el curso del parto.</w:t>
      </w:r>
    </w:p>
    <w:p w:rsidR="00000000" w:rsidRDefault="00000000">
      <w:pPr>
        <w:pStyle w:val="SingleTxt"/>
        <w:ind w:firstLine="475"/>
      </w:pPr>
      <w:r>
        <w:t>Cabe señalar que la atención a las madres y los niños forma parte de la estrat</w:t>
      </w:r>
      <w:r>
        <w:t>e</w:t>
      </w:r>
      <w:r>
        <w:t>gia de atención primaria de la salud de Kuwait, cuyo objetivo es asegurar que las mujeres reciban una atención de la salud prenatal, perinatal y postnatal que co</w:t>
      </w:r>
      <w:r>
        <w:t>m</w:t>
      </w:r>
      <w:r>
        <w:t>prenda, en particular, los aspectos siguientes:</w:t>
      </w:r>
    </w:p>
    <w:p w:rsidR="00000000" w:rsidRDefault="00000000">
      <w:pPr>
        <w:pStyle w:val="SingleTxt"/>
        <w:numPr>
          <w:ilvl w:val="0"/>
          <w:numId w:val="52"/>
        </w:numPr>
      </w:pPr>
      <w:r>
        <w:t>Atención orientación y seguimiento desde el comienzo del embarazo hasta su fin, comprendiendo todos los exámenes necesarios;</w:t>
      </w:r>
    </w:p>
    <w:p w:rsidR="00000000" w:rsidRDefault="00000000">
      <w:pPr>
        <w:pStyle w:val="SingleTxt"/>
        <w:numPr>
          <w:ilvl w:val="0"/>
          <w:numId w:val="52"/>
        </w:numPr>
      </w:pPr>
      <w:r>
        <w:t>Atención prenatal y postnatal y transferencia a los servicios ginecológicos y obstétricos de los hospitales especializados en caso de que se necesite atención especial;</w:t>
      </w:r>
    </w:p>
    <w:p w:rsidR="00000000" w:rsidRDefault="00000000">
      <w:pPr>
        <w:pStyle w:val="SingleTxt"/>
        <w:numPr>
          <w:ilvl w:val="0"/>
          <w:numId w:val="52"/>
        </w:numPr>
      </w:pPr>
      <w:r>
        <w:t>Servicios preventivos, terapéuticos y de asesoramiento para los niños de</w:t>
      </w:r>
      <w:r>
        <w:t>s</w:t>
      </w:r>
      <w:r>
        <w:t>de su nacimiento;</w:t>
      </w:r>
    </w:p>
    <w:p w:rsidR="00000000" w:rsidRDefault="00000000">
      <w:pPr>
        <w:pStyle w:val="SingleTxt"/>
        <w:numPr>
          <w:ilvl w:val="0"/>
          <w:numId w:val="52"/>
        </w:numPr>
      </w:pPr>
      <w:r>
        <w:t>Vacunas contra las enfermedades contagiosas y exámenes de desarrollo f</w:t>
      </w:r>
      <w:r>
        <w:t>í</w:t>
      </w:r>
      <w:r>
        <w:t>sico, mental y psicológico para los niños.</w:t>
      </w:r>
    </w:p>
    <w:p w:rsidR="00000000" w:rsidRDefault="00000000">
      <w:pPr>
        <w:pStyle w:val="SingleTxt"/>
        <w:ind w:firstLine="475"/>
      </w:pPr>
      <w:r>
        <w:t>Merced a esa estrategia, en 1998 la tasa de mortalidad femenina de Kuwait era de 958 por 12.590 nacidos vivos. Ese logro se debe a los excelentes servicios pre</w:t>
      </w:r>
      <w:r>
        <w:t>s</w:t>
      </w:r>
      <w:r>
        <w:t>tados por el Estado por conducto del hospital especializado de maternidad establec</w:t>
      </w:r>
      <w:r>
        <w:t>i</w:t>
      </w:r>
      <w:r>
        <w:t>do en 1968 y los tres servicios ginecológicos y obstétricos de los hospitales de las gobernaciones. También se prestan servicios de maternidad en 25 centros de salud, en los que trabajan 60 médicos, hombres y mujeres. Dichos centros trabajan en fo</w:t>
      </w:r>
      <w:r>
        <w:t>r</w:t>
      </w:r>
      <w:r>
        <w:t>ma cooperativa y coordinada con los servicios ginecológicos y obstétricos de los hosp</w:t>
      </w:r>
      <w:r>
        <w:t>i</w:t>
      </w:r>
      <w:r>
        <w:t>tales.</w:t>
      </w:r>
    </w:p>
    <w:p w:rsidR="00000000" w:rsidRDefault="00000000">
      <w:pPr>
        <w:pStyle w:val="SingleTxt"/>
        <w:ind w:firstLine="475"/>
      </w:pPr>
      <w:r>
        <w:t>En lo tocante a las clínicas infantiles, los centros de salud de Kuwait, que eran 73 en 1999, prestan servicios de salud para niños en clínicas especializadas o clín</w:t>
      </w:r>
      <w:r>
        <w:t>i</w:t>
      </w:r>
      <w:r>
        <w:t>cas a cargo de médicos generales o médicos de familia.</w:t>
      </w:r>
    </w:p>
    <w:p w:rsidR="00000000" w:rsidRDefault="00000000">
      <w:pPr>
        <w:pStyle w:val="SingleTxt"/>
        <w:ind w:firstLine="475"/>
      </w:pPr>
      <w:r>
        <w:t>Los centros de salud también tienen clínicas ginecológicas y obstétricas esp</w:t>
      </w:r>
      <w:r>
        <w:t>e</w:t>
      </w:r>
      <w:r>
        <w:t>cializadas supervisadas por ginecólogos del hospital de maternidad. A este respecto, cabe decir que en Kuwait el 99% de los partos se llevan a cabo bajo supervisión m</w:t>
      </w:r>
      <w:r>
        <w:t>é</w:t>
      </w:r>
      <w:r>
        <w:t>dica en hospitales estatales y privados. Hay algunos partos en el hogar, pero también dichos partos se llevan a cabo bajo supervisión médica y los casos se transfieren a los hospitales cuando resulte necesario.</w:t>
      </w:r>
    </w:p>
    <w:p w:rsidR="00000000" w:rsidRDefault="00000000">
      <w:pPr>
        <w:pStyle w:val="SingleTxt"/>
        <w:ind w:firstLine="475"/>
      </w:pPr>
      <w:r>
        <w:t>En 1999, esas clínicas recibieron un total de 373.865 visitas de mujeres. Las clínicas para niños que brindan servicios de salud infantil recibieron un total de 3.209.919 visitas de niños de 0 a 10 años, de los cuales 2.2502.215 fueron de k</w:t>
      </w:r>
      <w:r>
        <w:t>u</w:t>
      </w:r>
      <w:r>
        <w:t>waitíes (69% del total) y 1.004.704 de no kuwa</w:t>
      </w:r>
      <w:r>
        <w:t>i</w:t>
      </w:r>
      <w:r>
        <w:t>tíes (31% del total),</w:t>
      </w:r>
    </w:p>
    <w:p w:rsidR="00000000" w:rsidRDefault="00000000">
      <w:pPr>
        <w:pStyle w:val="SingleTxt"/>
        <w:ind w:firstLine="475"/>
      </w:pPr>
      <w:r>
        <w:t>Convencido de que la inversión en los seres humanos es una de las piedras fundamentales del desarrollo comprensivo de la salud, el Estado estableció en 1994 el Instituto de Medicina Especializada de Kuwait, que puso en marcha un programa que culmina con el otorgamiento de un diploma en ginecología y obstetricia a fin de respaldar los programas maternoinfantiles de los centros de atención primaria de la salud. El objetivo del programa es lograr que los médicos adquieran las destrezas, la experiencia y la información actualizada necesaria para atender a las mujeres d</w:t>
      </w:r>
      <w:r>
        <w:t>u</w:t>
      </w:r>
      <w:r>
        <w:t>rante el embarazo y supervisar los partos en los centros maternoinfantiles.</w:t>
      </w:r>
    </w:p>
    <w:p w:rsidR="00000000" w:rsidRDefault="00000000">
      <w:pPr>
        <w:pStyle w:val="SingleTxt"/>
        <w:ind w:firstLine="475"/>
      </w:pPr>
      <w:r>
        <w:t>Además de los servicios indicados, que prestan las instituciones médicas, se brindan muchos otros servicios a los ciudadanos y residentes, entre los que figuran los siguientes;</w:t>
      </w:r>
    </w:p>
    <w:p w:rsidR="00000000" w:rsidRDefault="00000000">
      <w:pPr>
        <w:pStyle w:val="SingleTxt"/>
        <w:numPr>
          <w:ilvl w:val="0"/>
          <w:numId w:val="53"/>
        </w:numPr>
      </w:pPr>
      <w:r>
        <w:t>Tratamiento para la diabetes;</w:t>
      </w:r>
    </w:p>
    <w:p w:rsidR="00000000" w:rsidRDefault="00000000">
      <w:pPr>
        <w:pStyle w:val="SingleTxt"/>
        <w:numPr>
          <w:ilvl w:val="0"/>
          <w:numId w:val="53"/>
        </w:numPr>
      </w:pPr>
      <w:r>
        <w:t>Odontología;</w:t>
      </w:r>
    </w:p>
    <w:p w:rsidR="00000000" w:rsidRDefault="00000000">
      <w:pPr>
        <w:pStyle w:val="SingleTxt"/>
        <w:numPr>
          <w:ilvl w:val="0"/>
          <w:numId w:val="53"/>
        </w:numPr>
      </w:pPr>
      <w:r>
        <w:t>Programa de salud preescolar;</w:t>
      </w:r>
    </w:p>
    <w:p w:rsidR="00000000" w:rsidRDefault="00000000">
      <w:pPr>
        <w:pStyle w:val="SingleTxt"/>
        <w:numPr>
          <w:ilvl w:val="0"/>
          <w:numId w:val="53"/>
        </w:numPr>
      </w:pPr>
      <w:r>
        <w:t>Análisis de laboratorio y radiografías.</w:t>
      </w:r>
    </w:p>
    <w:p w:rsidR="00000000" w:rsidRDefault="00000000">
      <w:pPr>
        <w:pStyle w:val="SingleTxt"/>
        <w:ind w:firstLine="475"/>
      </w:pPr>
      <w:r>
        <w:t>En lo tocante al costo de la atención de la salud, cabe mencionar que en 1999 los gastos del Ministerio de Salud Pública ascendieron a KD 277.149.</w:t>
      </w:r>
    </w:p>
    <w:p w:rsidR="00000000" w:rsidRDefault="00000000">
      <w:pPr>
        <w:pStyle w:val="SingleTxt"/>
        <w:ind w:firstLine="475"/>
      </w:pPr>
      <w:r>
        <w:t>En el cuadro siguiente se indica la cantidad de hospitales, camas y personal médico que trabajaba en el sector gubernamental (1996-1998);</w:t>
      </w:r>
    </w:p>
    <w:p w:rsidR="00000000" w:rsidRDefault="00000000">
      <w:pPr>
        <w:pStyle w:val="SingleTxt"/>
        <w:spacing w:after="0" w:line="120" w:lineRule="exact"/>
        <w:ind w:firstLine="475"/>
        <w:rPr>
          <w:sz w:val="10"/>
        </w:rPr>
      </w:pPr>
    </w:p>
    <w:tbl>
      <w:tblPr>
        <w:tblW w:w="0" w:type="auto"/>
        <w:jc w:val="center"/>
        <w:tblLayout w:type="fixed"/>
        <w:tblLook w:val="0000" w:firstRow="0" w:lastRow="0" w:firstColumn="0" w:lastColumn="0" w:noHBand="0" w:noVBand="0"/>
      </w:tblPr>
      <w:tblGrid>
        <w:gridCol w:w="3708"/>
        <w:gridCol w:w="840"/>
        <w:gridCol w:w="840"/>
        <w:gridCol w:w="840"/>
      </w:tblGrid>
      <w:tr w:rsidR="00000000">
        <w:tblPrEx>
          <w:tblCellMar>
            <w:top w:w="0" w:type="dxa"/>
            <w:bottom w:w="0" w:type="dxa"/>
          </w:tblCellMar>
        </w:tblPrEx>
        <w:trPr>
          <w:tblHeader/>
          <w:jc w:val="center"/>
        </w:trPr>
        <w:tc>
          <w:tcPr>
            <w:tcW w:w="3708" w:type="dxa"/>
            <w:tcBorders>
              <w:top w:val="single" w:sz="4" w:space="0" w:color="auto"/>
            </w:tcBorders>
            <w:vAlign w:val="bottom"/>
          </w:tcPr>
          <w:p w:rsidR="00000000" w:rsidRDefault="00000000">
            <w:pPr>
              <w:pStyle w:val="SingleTxt"/>
              <w:spacing w:before="81" w:after="81" w:line="160" w:lineRule="exact"/>
              <w:ind w:left="0" w:right="40"/>
              <w:jc w:val="left"/>
              <w:rPr>
                <w:i/>
                <w:sz w:val="14"/>
              </w:rPr>
            </w:pPr>
          </w:p>
        </w:tc>
        <w:tc>
          <w:tcPr>
            <w:tcW w:w="84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1996</w:t>
            </w:r>
          </w:p>
        </w:tc>
        <w:tc>
          <w:tcPr>
            <w:tcW w:w="84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1997</w:t>
            </w:r>
          </w:p>
        </w:tc>
        <w:tc>
          <w:tcPr>
            <w:tcW w:w="84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1998</w:t>
            </w:r>
          </w:p>
        </w:tc>
      </w:tr>
      <w:tr w:rsidR="00000000">
        <w:tblPrEx>
          <w:tblCellMar>
            <w:top w:w="0" w:type="dxa"/>
            <w:bottom w:w="0" w:type="dxa"/>
          </w:tblCellMar>
        </w:tblPrEx>
        <w:trPr>
          <w:trHeight w:hRule="exact" w:val="115"/>
          <w:tblHeader/>
          <w:jc w:val="center"/>
        </w:trPr>
        <w:tc>
          <w:tcPr>
            <w:tcW w:w="3708" w:type="dxa"/>
            <w:tcBorders>
              <w:top w:val="single" w:sz="12" w:space="0" w:color="auto"/>
            </w:tcBorders>
            <w:vAlign w:val="bottom"/>
          </w:tcPr>
          <w:p w:rsidR="00000000" w:rsidRDefault="00000000">
            <w:pPr>
              <w:pStyle w:val="SingleTxt"/>
              <w:spacing w:before="40" w:after="40" w:line="210" w:lineRule="exact"/>
              <w:ind w:left="0" w:right="40"/>
              <w:jc w:val="left"/>
              <w:rPr>
                <w:sz w:val="17"/>
              </w:rPr>
            </w:pPr>
          </w:p>
        </w:tc>
        <w:tc>
          <w:tcPr>
            <w:tcW w:w="84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4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4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jc w:val="center"/>
        </w:trPr>
        <w:tc>
          <w:tcPr>
            <w:tcW w:w="370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Cantidad de hospitales y sanatorios</w:t>
            </w:r>
          </w:p>
        </w:tc>
        <w:tc>
          <w:tcPr>
            <w:tcW w:w="840" w:type="dxa"/>
            <w:vAlign w:val="bottom"/>
          </w:tcPr>
          <w:p w:rsidR="00000000" w:rsidRDefault="00000000">
            <w:pPr>
              <w:jc w:val="right"/>
              <w:rPr>
                <w:sz w:val="17"/>
              </w:rPr>
            </w:pPr>
            <w:r>
              <w:rPr>
                <w:sz w:val="17"/>
              </w:rPr>
              <w:t>15</w:t>
            </w:r>
          </w:p>
        </w:tc>
        <w:tc>
          <w:tcPr>
            <w:tcW w:w="840" w:type="dxa"/>
            <w:vAlign w:val="bottom"/>
          </w:tcPr>
          <w:p w:rsidR="00000000" w:rsidRDefault="00000000">
            <w:pPr>
              <w:jc w:val="right"/>
              <w:rPr>
                <w:sz w:val="17"/>
              </w:rPr>
            </w:pPr>
            <w:r>
              <w:rPr>
                <w:sz w:val="17"/>
              </w:rPr>
              <w:t>15</w:t>
            </w:r>
          </w:p>
        </w:tc>
        <w:tc>
          <w:tcPr>
            <w:tcW w:w="840" w:type="dxa"/>
            <w:vAlign w:val="bottom"/>
          </w:tcPr>
          <w:p w:rsidR="00000000" w:rsidRDefault="00000000">
            <w:pPr>
              <w:jc w:val="right"/>
              <w:rPr>
                <w:sz w:val="17"/>
              </w:rPr>
            </w:pPr>
            <w:r>
              <w:rPr>
                <w:sz w:val="17"/>
              </w:rPr>
              <w:t>15</w:t>
            </w:r>
          </w:p>
        </w:tc>
      </w:tr>
      <w:tr w:rsidR="00000000">
        <w:tblPrEx>
          <w:tblCellMar>
            <w:top w:w="0" w:type="dxa"/>
            <w:bottom w:w="0" w:type="dxa"/>
          </w:tblCellMar>
        </w:tblPrEx>
        <w:trPr>
          <w:jc w:val="center"/>
        </w:trPr>
        <w:tc>
          <w:tcPr>
            <w:tcW w:w="370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Cantidad de centros y unidades de salud</w:t>
            </w:r>
          </w:p>
        </w:tc>
        <w:tc>
          <w:tcPr>
            <w:tcW w:w="840" w:type="dxa"/>
            <w:vAlign w:val="bottom"/>
          </w:tcPr>
          <w:p w:rsidR="00000000" w:rsidRDefault="00000000">
            <w:pPr>
              <w:jc w:val="right"/>
              <w:rPr>
                <w:sz w:val="17"/>
              </w:rPr>
            </w:pPr>
            <w:r>
              <w:rPr>
                <w:sz w:val="17"/>
              </w:rPr>
              <w:t>70</w:t>
            </w:r>
          </w:p>
        </w:tc>
        <w:tc>
          <w:tcPr>
            <w:tcW w:w="840" w:type="dxa"/>
            <w:vAlign w:val="bottom"/>
          </w:tcPr>
          <w:p w:rsidR="00000000" w:rsidRDefault="00000000">
            <w:pPr>
              <w:jc w:val="right"/>
              <w:rPr>
                <w:sz w:val="17"/>
              </w:rPr>
            </w:pPr>
            <w:r>
              <w:rPr>
                <w:sz w:val="17"/>
              </w:rPr>
              <w:t>70</w:t>
            </w:r>
          </w:p>
        </w:tc>
        <w:tc>
          <w:tcPr>
            <w:tcW w:w="840" w:type="dxa"/>
            <w:vAlign w:val="bottom"/>
          </w:tcPr>
          <w:p w:rsidR="00000000" w:rsidRDefault="00000000">
            <w:pPr>
              <w:jc w:val="right"/>
              <w:rPr>
                <w:sz w:val="17"/>
              </w:rPr>
            </w:pPr>
            <w:r>
              <w:rPr>
                <w:sz w:val="17"/>
              </w:rPr>
              <w:t>70</w:t>
            </w:r>
          </w:p>
        </w:tc>
      </w:tr>
      <w:tr w:rsidR="00000000">
        <w:tblPrEx>
          <w:tblCellMar>
            <w:top w:w="0" w:type="dxa"/>
            <w:bottom w:w="0" w:type="dxa"/>
          </w:tblCellMar>
        </w:tblPrEx>
        <w:trPr>
          <w:jc w:val="center"/>
        </w:trPr>
        <w:tc>
          <w:tcPr>
            <w:tcW w:w="370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Cantidad de camas en los hospitales estatales</w:t>
            </w:r>
          </w:p>
        </w:tc>
        <w:tc>
          <w:tcPr>
            <w:tcW w:w="840" w:type="dxa"/>
            <w:vAlign w:val="bottom"/>
          </w:tcPr>
          <w:p w:rsidR="00000000" w:rsidRDefault="00000000">
            <w:pPr>
              <w:jc w:val="right"/>
              <w:rPr>
                <w:sz w:val="17"/>
              </w:rPr>
            </w:pPr>
            <w:r>
              <w:rPr>
                <w:sz w:val="17"/>
              </w:rPr>
              <w:t>4 425</w:t>
            </w:r>
          </w:p>
        </w:tc>
        <w:tc>
          <w:tcPr>
            <w:tcW w:w="840" w:type="dxa"/>
            <w:vAlign w:val="bottom"/>
          </w:tcPr>
          <w:p w:rsidR="00000000" w:rsidRDefault="00000000">
            <w:pPr>
              <w:jc w:val="right"/>
              <w:rPr>
                <w:sz w:val="17"/>
              </w:rPr>
            </w:pPr>
            <w:r>
              <w:rPr>
                <w:sz w:val="17"/>
              </w:rPr>
              <w:t>4 449</w:t>
            </w:r>
          </w:p>
        </w:tc>
        <w:tc>
          <w:tcPr>
            <w:tcW w:w="840" w:type="dxa"/>
            <w:vAlign w:val="bottom"/>
          </w:tcPr>
          <w:p w:rsidR="00000000" w:rsidRDefault="00000000">
            <w:pPr>
              <w:jc w:val="right"/>
              <w:rPr>
                <w:sz w:val="17"/>
              </w:rPr>
            </w:pPr>
            <w:r>
              <w:rPr>
                <w:sz w:val="17"/>
              </w:rPr>
              <w:t>4 401</w:t>
            </w:r>
          </w:p>
        </w:tc>
      </w:tr>
      <w:tr w:rsidR="00000000">
        <w:tblPrEx>
          <w:tblCellMar>
            <w:top w:w="0" w:type="dxa"/>
            <w:bottom w:w="0" w:type="dxa"/>
          </w:tblCellMar>
        </w:tblPrEx>
        <w:trPr>
          <w:jc w:val="center"/>
        </w:trPr>
        <w:tc>
          <w:tcPr>
            <w:tcW w:w="370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Cantidad de habitantes por cama</w:t>
            </w:r>
          </w:p>
        </w:tc>
        <w:tc>
          <w:tcPr>
            <w:tcW w:w="840" w:type="dxa"/>
            <w:vAlign w:val="bottom"/>
          </w:tcPr>
          <w:p w:rsidR="00000000" w:rsidRDefault="00000000">
            <w:pPr>
              <w:jc w:val="right"/>
              <w:rPr>
                <w:sz w:val="17"/>
              </w:rPr>
            </w:pPr>
            <w:r>
              <w:rPr>
                <w:sz w:val="17"/>
              </w:rPr>
              <w:t>473</w:t>
            </w:r>
          </w:p>
        </w:tc>
        <w:tc>
          <w:tcPr>
            <w:tcW w:w="840" w:type="dxa"/>
            <w:vAlign w:val="bottom"/>
          </w:tcPr>
          <w:p w:rsidR="00000000" w:rsidRDefault="00000000">
            <w:pPr>
              <w:jc w:val="right"/>
              <w:rPr>
                <w:sz w:val="17"/>
              </w:rPr>
            </w:pPr>
            <w:r>
              <w:rPr>
                <w:sz w:val="17"/>
              </w:rPr>
              <w:t>496</w:t>
            </w:r>
          </w:p>
        </w:tc>
        <w:tc>
          <w:tcPr>
            <w:tcW w:w="840" w:type="dxa"/>
            <w:vAlign w:val="bottom"/>
          </w:tcPr>
          <w:p w:rsidR="00000000" w:rsidRDefault="00000000">
            <w:pPr>
              <w:jc w:val="right"/>
              <w:rPr>
                <w:sz w:val="17"/>
              </w:rPr>
            </w:pPr>
            <w:r>
              <w:rPr>
                <w:sz w:val="17"/>
              </w:rPr>
              <w:t>516</w:t>
            </w:r>
          </w:p>
        </w:tc>
      </w:tr>
      <w:tr w:rsidR="00000000">
        <w:tblPrEx>
          <w:tblCellMar>
            <w:top w:w="0" w:type="dxa"/>
            <w:bottom w:w="0" w:type="dxa"/>
          </w:tblCellMar>
        </w:tblPrEx>
        <w:trPr>
          <w:jc w:val="center"/>
        </w:trPr>
        <w:tc>
          <w:tcPr>
            <w:tcW w:w="370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Cantidad de médicos en ejercicio</w:t>
            </w:r>
          </w:p>
        </w:tc>
        <w:tc>
          <w:tcPr>
            <w:tcW w:w="840" w:type="dxa"/>
            <w:vAlign w:val="bottom"/>
          </w:tcPr>
          <w:p w:rsidR="00000000" w:rsidRDefault="00000000">
            <w:pPr>
              <w:jc w:val="right"/>
              <w:rPr>
                <w:sz w:val="17"/>
              </w:rPr>
            </w:pPr>
            <w:r>
              <w:rPr>
                <w:sz w:val="17"/>
              </w:rPr>
              <w:t>2 938</w:t>
            </w:r>
          </w:p>
        </w:tc>
        <w:tc>
          <w:tcPr>
            <w:tcW w:w="840" w:type="dxa"/>
            <w:vAlign w:val="bottom"/>
          </w:tcPr>
          <w:p w:rsidR="00000000" w:rsidRDefault="00000000">
            <w:pPr>
              <w:jc w:val="right"/>
              <w:rPr>
                <w:sz w:val="17"/>
              </w:rPr>
            </w:pPr>
            <w:r>
              <w:rPr>
                <w:sz w:val="17"/>
              </w:rPr>
              <w:t>3 041</w:t>
            </w:r>
          </w:p>
        </w:tc>
        <w:tc>
          <w:tcPr>
            <w:tcW w:w="840" w:type="dxa"/>
            <w:vAlign w:val="bottom"/>
          </w:tcPr>
          <w:p w:rsidR="00000000" w:rsidRDefault="00000000">
            <w:pPr>
              <w:jc w:val="right"/>
              <w:rPr>
                <w:sz w:val="17"/>
              </w:rPr>
            </w:pPr>
            <w:r>
              <w:rPr>
                <w:sz w:val="17"/>
              </w:rPr>
              <w:t>3 117</w:t>
            </w:r>
          </w:p>
        </w:tc>
      </w:tr>
      <w:tr w:rsidR="00000000">
        <w:tblPrEx>
          <w:tblCellMar>
            <w:top w:w="0" w:type="dxa"/>
            <w:bottom w:w="0" w:type="dxa"/>
          </w:tblCellMar>
        </w:tblPrEx>
        <w:trPr>
          <w:jc w:val="center"/>
        </w:trPr>
        <w:tc>
          <w:tcPr>
            <w:tcW w:w="370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Cantidad de odontólogos</w:t>
            </w:r>
          </w:p>
        </w:tc>
        <w:tc>
          <w:tcPr>
            <w:tcW w:w="840" w:type="dxa"/>
            <w:vAlign w:val="bottom"/>
          </w:tcPr>
          <w:p w:rsidR="00000000" w:rsidRDefault="00000000">
            <w:pPr>
              <w:jc w:val="right"/>
              <w:rPr>
                <w:sz w:val="17"/>
              </w:rPr>
            </w:pPr>
            <w:r>
              <w:rPr>
                <w:sz w:val="17"/>
              </w:rPr>
              <w:t>437</w:t>
            </w:r>
          </w:p>
        </w:tc>
        <w:tc>
          <w:tcPr>
            <w:tcW w:w="840" w:type="dxa"/>
            <w:vAlign w:val="bottom"/>
          </w:tcPr>
          <w:p w:rsidR="00000000" w:rsidRDefault="00000000">
            <w:pPr>
              <w:jc w:val="right"/>
              <w:rPr>
                <w:sz w:val="17"/>
              </w:rPr>
            </w:pPr>
            <w:r>
              <w:rPr>
                <w:sz w:val="17"/>
              </w:rPr>
              <w:t>407</w:t>
            </w:r>
          </w:p>
        </w:tc>
        <w:tc>
          <w:tcPr>
            <w:tcW w:w="840" w:type="dxa"/>
            <w:vAlign w:val="bottom"/>
          </w:tcPr>
          <w:p w:rsidR="00000000" w:rsidRDefault="00000000">
            <w:pPr>
              <w:jc w:val="right"/>
              <w:rPr>
                <w:sz w:val="17"/>
              </w:rPr>
            </w:pPr>
            <w:r>
              <w:rPr>
                <w:sz w:val="17"/>
              </w:rPr>
              <w:t>425</w:t>
            </w:r>
          </w:p>
        </w:tc>
      </w:tr>
      <w:tr w:rsidR="00000000">
        <w:tblPrEx>
          <w:tblCellMar>
            <w:top w:w="0" w:type="dxa"/>
            <w:bottom w:w="0" w:type="dxa"/>
          </w:tblCellMar>
        </w:tblPrEx>
        <w:trPr>
          <w:jc w:val="center"/>
        </w:trPr>
        <w:tc>
          <w:tcPr>
            <w:tcW w:w="370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Cantidad de habitantes por médico</w:t>
            </w:r>
          </w:p>
        </w:tc>
        <w:tc>
          <w:tcPr>
            <w:tcW w:w="840" w:type="dxa"/>
            <w:tcBorders>
              <w:bottom w:val="single" w:sz="12" w:space="0" w:color="auto"/>
            </w:tcBorders>
            <w:vAlign w:val="bottom"/>
          </w:tcPr>
          <w:p w:rsidR="00000000" w:rsidRDefault="00000000">
            <w:pPr>
              <w:jc w:val="right"/>
              <w:rPr>
                <w:sz w:val="17"/>
              </w:rPr>
            </w:pPr>
            <w:r>
              <w:rPr>
                <w:sz w:val="17"/>
              </w:rPr>
              <w:t>620</w:t>
            </w:r>
          </w:p>
        </w:tc>
        <w:tc>
          <w:tcPr>
            <w:tcW w:w="840" w:type="dxa"/>
            <w:tcBorders>
              <w:bottom w:val="single" w:sz="12" w:space="0" w:color="auto"/>
            </w:tcBorders>
            <w:vAlign w:val="bottom"/>
          </w:tcPr>
          <w:p w:rsidR="00000000" w:rsidRDefault="00000000">
            <w:pPr>
              <w:jc w:val="right"/>
              <w:rPr>
                <w:sz w:val="17"/>
              </w:rPr>
            </w:pPr>
            <w:r>
              <w:rPr>
                <w:sz w:val="17"/>
              </w:rPr>
              <w:t>646</w:t>
            </w:r>
          </w:p>
        </w:tc>
        <w:tc>
          <w:tcPr>
            <w:tcW w:w="840" w:type="dxa"/>
            <w:tcBorders>
              <w:bottom w:val="single" w:sz="12" w:space="0" w:color="auto"/>
            </w:tcBorders>
            <w:vAlign w:val="bottom"/>
          </w:tcPr>
          <w:p w:rsidR="00000000" w:rsidRDefault="00000000">
            <w:pPr>
              <w:jc w:val="right"/>
              <w:rPr>
                <w:sz w:val="17"/>
              </w:rPr>
            </w:pPr>
            <w:r>
              <w:rPr>
                <w:sz w:val="17"/>
              </w:rPr>
              <w:t>641</w:t>
            </w:r>
          </w:p>
        </w:tc>
      </w:tr>
    </w:tbl>
    <w:p w:rsidR="00000000" w:rsidRDefault="00000000">
      <w:pPr>
        <w:pStyle w:val="SingleTxt"/>
        <w:jc w:val="cente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w:t>
      </w:r>
    </w:p>
    <w:p w:rsidR="00000000" w:rsidRDefault="00000000">
      <w:pPr>
        <w:pStyle w:val="SingleTxt"/>
        <w:spacing w:after="0" w:line="120" w:lineRule="exact"/>
        <w:ind w:firstLine="475"/>
        <w:rPr>
          <w:sz w:val="10"/>
        </w:rPr>
      </w:pPr>
    </w:p>
    <w:p w:rsidR="00000000" w:rsidRDefault="00000000">
      <w:pPr>
        <w:pStyle w:val="SingleTxt"/>
        <w:ind w:firstLine="475"/>
      </w:pPr>
      <w:r>
        <w:t>La ley protege el derecho a la vida y castiga a toda persona que viole ese der</w:t>
      </w:r>
      <w:r>
        <w:t>e</w:t>
      </w:r>
      <w:r>
        <w:t>cho. Consiguientemente, el Código Penal de Kuwait tipifica al aborto como delito punible, con arreglo al artículo 159, que estipula lo siguiente: “Toda mujer que del</w:t>
      </w:r>
      <w:r>
        <w:t>i</w:t>
      </w:r>
      <w:r>
        <w:t>beradamente mate a su hijo recién nacido a fin de evitar el deshonor será castigada con pena de prisión hasta por cinco años o multa de hasta 5.000 rupias, o con ambas penas.”</w:t>
      </w:r>
    </w:p>
    <w:p w:rsidR="00000000" w:rsidRDefault="00000000">
      <w:pPr>
        <w:pStyle w:val="SingleTxt"/>
        <w:ind w:firstLine="475"/>
      </w:pPr>
      <w:r>
        <w:t>El artículo 174 estipula lo siguiente: ”Todo aquel que suministre, o colabore en suministrar a una mujer embarazada o no embarazada drogas u otras sustancias n</w:t>
      </w:r>
      <w:r>
        <w:t>o</w:t>
      </w:r>
      <w:r>
        <w:t>civas, con su consentimiento o sin él, o que utilice la fuerza u otro medio con el fin de inducir un aborto, será castigado con pena de prisión hasta por diez años, a la que podrá añadirse una multa de hasta 1.000 dinares. Si el infractor es un médico, un farmacéutico, una partera o una persona que trabaje en una de las profesiones aux</w:t>
      </w:r>
      <w:r>
        <w:t>i</w:t>
      </w:r>
      <w:r>
        <w:t>liares de la medicina o la farmacia, la pena será de prisión hasta por quince años, a la que podrá añadirse una mu</w:t>
      </w:r>
      <w:r>
        <w:t>l</w:t>
      </w:r>
      <w:r>
        <w:t>ta de hasta 2.000 dinares.”</w:t>
      </w:r>
    </w:p>
    <w:p w:rsidR="00000000" w:rsidRDefault="00000000">
      <w:pPr>
        <w:pStyle w:val="SingleTxt"/>
        <w:ind w:firstLine="475"/>
      </w:pPr>
      <w:r>
        <w:t>El artículo 176 estipula lo siguiente: “Toda mujer que logre inducir un aborto absorbiendo drogas u otras sustancias nocivas, utilizando la fuerza o otros medios cualesquiera o permitiendo que otras personas provoquen el aborto en la forma me</w:t>
      </w:r>
      <w:r>
        <w:t>n</w:t>
      </w:r>
      <w:r>
        <w:t>cionada, será castigada con pena de prisión hasta por cinco años o multa de hasta 5.000 rupias, o ambas penas.”</w:t>
      </w:r>
    </w:p>
    <w:p w:rsidR="00000000" w:rsidRDefault="00000000">
      <w:pPr>
        <w:pStyle w:val="SingleTxt"/>
        <w:ind w:firstLine="475"/>
      </w:pPr>
      <w:r>
        <w:t>El Código también impone una pena de prisión hasta por tres años o multa de hasta 3.000 rupias, o ambas penas, a todo aquel que a sabiendas prepare, venda, ofrezca para la venta o de cualquier manera suministre sustancias utilizadas para i</w:t>
      </w:r>
      <w:r>
        <w:t>n</w:t>
      </w:r>
      <w:r>
        <w:t>ducir un aborto.</w:t>
      </w:r>
    </w:p>
    <w:p w:rsidR="00000000" w:rsidRDefault="00000000">
      <w:pPr>
        <w:pStyle w:val="SingleTxt"/>
        <w:ind w:firstLine="475"/>
      </w:pPr>
      <w:r>
        <w:t>Sin embargo, el artículo 175 del Código establece una excepción para la pe</w:t>
      </w:r>
      <w:r>
        <w:t>r</w:t>
      </w:r>
      <w:r>
        <w:t>sona dotada de la experiencia necesaria que induzca un aborto con la sincera convi</w:t>
      </w:r>
      <w:r>
        <w:t>c</w:t>
      </w:r>
      <w:r>
        <w:t>ción de que es esencial para preservar la vida de la mujer embarazada.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Circuncisión femenina</w:t>
      </w:r>
    </w:p>
    <w:p w:rsidR="00000000" w:rsidRDefault="00000000">
      <w:pPr>
        <w:pStyle w:val="SingleTxt"/>
        <w:spacing w:after="0" w:line="120" w:lineRule="exact"/>
        <w:ind w:firstLine="475"/>
        <w:rPr>
          <w:sz w:val="10"/>
        </w:rPr>
      </w:pPr>
    </w:p>
    <w:p w:rsidR="00000000" w:rsidRDefault="00000000">
      <w:pPr>
        <w:pStyle w:val="SingleTxt"/>
        <w:ind w:firstLine="475"/>
      </w:pPr>
      <w:r>
        <w:t>En relación con la Recomendación general N° 14 (noveno período de sesiones, 1990) relativa a la circuncisión femenina, cabe señalar que esas prácticas tradici</w:t>
      </w:r>
      <w:r>
        <w:t>o</w:t>
      </w:r>
      <w:r>
        <w:t>nales nocivas para la salud de las mujeres son desconocidas en Kuwait. Una de las razones de la ausencia de dichas prácticas en Kuwait radica en que las profesiones médicas están reglamentadas por leyes y disposiciones legislativas sumamente avanzadas, que han establecido minuciosamente las normas que regulan dichas pr</w:t>
      </w:r>
      <w:r>
        <w:t>o</w:t>
      </w:r>
      <w:r>
        <w:t>fesiones de modo que no quedan posibilidades de que se apliquen esas prácticas.</w:t>
      </w:r>
    </w:p>
    <w:p w:rsidR="00000000" w:rsidRDefault="00000000">
      <w:pPr>
        <w:pStyle w:val="SingleTxt"/>
        <w:ind w:firstLine="475"/>
      </w:pPr>
      <w:r>
        <w:t>Además, el Gobierno de Kuwait, por conducto de sus autoridades de salud, brinda gratuitamente atención y servicios de salud a las mujeres y los niños (como ya se indicó) y asimismo se preocupa por elevar el nivel de conciencia acerca de la salud, por conducto de los centros de salud distribuidos en todo el país. Dichos ce</w:t>
      </w:r>
      <w:r>
        <w:t>n</w:t>
      </w:r>
      <w:r>
        <w:t>tros no escatiman esfuerzos por difundir esa conciencia entre los ciudadanos y los residentes, sin distinción, los orientan hacia clínicas de salud seguras y les conve</w:t>
      </w:r>
      <w:r>
        <w:t>n</w:t>
      </w:r>
      <w:r>
        <w:t>cen de que es preciso evitar todo tipo de prácticas tradicionales nocivas. Para ello emplean todos los medios posibles, en particular la prensa escrita y audiovisual.</w:t>
      </w:r>
    </w:p>
    <w:p w:rsidR="00000000" w:rsidRDefault="00000000">
      <w:pPr>
        <w:pStyle w:val="SingleTxt"/>
        <w:ind w:firstLine="475"/>
      </w:pPr>
      <w:r>
        <w:t>Lo antedicho se añade a los esfuerzos del Ministerio de Salud Pública a este respecto. Las asociaciones de interés público y las asociaciones de mujeres en part</w:t>
      </w:r>
      <w:r>
        <w:t>i</w:t>
      </w:r>
      <w:r>
        <w:t>cular también desempeñan un destacado papel en esta esfera y dedican parte de sus actividades a la elevación del nivel de conciencia y la difusión de información sobre salud mediante programas de salud y seminarios organizados con tal fin. Entre esos organismos figura la Secretaría General de Fondos de Dotación Religiosos, que e</w:t>
      </w:r>
      <w:r>
        <w:t>s</w:t>
      </w:r>
      <w:r>
        <w:t>tableció el Fondo de Dotación para el Desarrollo de la Salud con miras a fortalecer el potencial de las instituciones de salud y ambientales y utilizar la función de las organizaciones de base y del sector privado para convertir en realidad la consigna de “salud para todos”. Uno de los logros de ese Fondo es su contribución al suministro de equipo médico a algunos hospitales y centros de salud de Kuwait. El Fondo ta</w:t>
      </w:r>
      <w:r>
        <w:t>m</w:t>
      </w:r>
      <w:r>
        <w:t>bién hace contribuciones en las esferas del medio ambiente y la atención de los di</w:t>
      </w:r>
      <w:r>
        <w:t>s</w:t>
      </w:r>
      <w:r>
        <w:t>capacitados y de categorías especiales; ha comprado equipos especiales para los di</w:t>
      </w:r>
      <w:r>
        <w:t>s</w:t>
      </w:r>
      <w:r>
        <w:t>capacitados a fin de subsanar las insuficiencias en esa esfera, y asimismo presta apoyo al proyecto de clases especiales para niños desfavorecidos.</w:t>
      </w:r>
    </w:p>
    <w:p w:rsidR="00000000" w:rsidRDefault="00000000">
      <w:pPr>
        <w:pStyle w:val="SingleTxt"/>
        <w:ind w:firstLine="475"/>
      </w:pPr>
      <w:r>
        <w:t>Asimismo, Kuwait se apresuró a ratificar la Convención sobre los Derechos del Niño, cuyas disposiciones prohíben tales actos y prácticas. Luego de su ratific</w:t>
      </w:r>
      <w:r>
        <w:t>a</w:t>
      </w:r>
      <w:r>
        <w:t>ción, la Convención se ha convertido en ley nacional y consiguientemente es aplic</w:t>
      </w:r>
      <w:r>
        <w:t>a</w:t>
      </w:r>
      <w:r>
        <w:t>ble.</w:t>
      </w:r>
    </w:p>
    <w:p w:rsidR="00000000" w:rsidRDefault="00000000">
      <w:pPr>
        <w:pStyle w:val="SingleTxt"/>
        <w:ind w:firstLine="475"/>
      </w:pPr>
      <w:r>
        <w:t>En relación con la Recomendación general N° 15 (noveno período de sesiones, 1990), relativa a la necesidad de evitar la discriminación contra la mujer en las e</w:t>
      </w:r>
      <w:r>
        <w:t>s</w:t>
      </w:r>
      <w:r>
        <w:t>trategias nacionales de acción preventiva y lucha contra el síndrome de inmunodef</w:t>
      </w:r>
      <w:r>
        <w:t>i</w:t>
      </w:r>
      <w:r>
        <w:t>ciencia adquirida (SIDA), Kuwait, fundándose en su convicción de que la educación en materia de salud puede cumplir una eficaz función en la lucha contra el SIDA, ha dedicado la atención de sus diversas instituciones de salud a la lucha contra esa gr</w:t>
      </w:r>
      <w:r>
        <w:t>a</w:t>
      </w:r>
      <w:r>
        <w:t>ve enfermedad y a prevenir los riesgos que plantea para la sociedad. Con tal fin, ut</w:t>
      </w:r>
      <w:r>
        <w:t>i</w:t>
      </w:r>
      <w:r>
        <w:t>liza diversos mecanismos para impartir educación en materia de salud a fin de ale</w:t>
      </w:r>
      <w:r>
        <w:t>r</w:t>
      </w:r>
      <w:r>
        <w:t>tar a todos los sectores de la sociedad respecto de esos riesgos y de las formas por las que se contrae el SIDA, para instarlos a que ayuden a prevenir su difusión y s</w:t>
      </w:r>
      <w:r>
        <w:t>u</w:t>
      </w:r>
      <w:r>
        <w:t>ministrar información sobre los métodos de protección contra el SIDA, cosa que h</w:t>
      </w:r>
      <w:r>
        <w:t>a</w:t>
      </w:r>
      <w:r>
        <w:t>ce recurriendo a los medios de comunicación, organizando seminarios sobre salud, publicando folletos, carteles y otros materiales impresos y realizando exposiciones con destinatarios precisos. Los mecanismos mencionados son los siguientes:</w:t>
      </w:r>
    </w:p>
    <w:p w:rsidR="00000000" w:rsidRDefault="00000000">
      <w:pPr>
        <w:pStyle w:val="SingleTxt"/>
        <w:numPr>
          <w:ilvl w:val="0"/>
          <w:numId w:val="60"/>
        </w:numPr>
        <w:tabs>
          <w:tab w:val="clear" w:pos="1742"/>
          <w:tab w:val="clear" w:pos="2218"/>
          <w:tab w:val="clear" w:pos="2693"/>
          <w:tab w:val="left" w:pos="1701"/>
          <w:tab w:val="left" w:pos="2268"/>
        </w:tabs>
      </w:pPr>
      <w:r>
        <w:t>La División de Educación sobre Salud, que eleva el nivel de conciencia mediante programas encaminados a educar a los distintos sectores de la sociedad, utilizando diversos métodos de educación sobre salud, en pa</w:t>
      </w:r>
      <w:r>
        <w:t>r</w:t>
      </w:r>
      <w:r>
        <w:t>ticular:</w:t>
      </w:r>
    </w:p>
    <w:p w:rsidR="00000000" w:rsidRDefault="00000000">
      <w:pPr>
        <w:pStyle w:val="SingleTxt"/>
        <w:numPr>
          <w:ilvl w:val="0"/>
          <w:numId w:val="23"/>
        </w:numPr>
        <w:tabs>
          <w:tab w:val="clear" w:pos="360"/>
          <w:tab w:val="clear" w:pos="2218"/>
          <w:tab w:val="num" w:pos="2520"/>
        </w:tabs>
        <w:ind w:left="2520"/>
      </w:pPr>
      <w:r>
        <w:t>El método de campo, en el cual el instructor de salud tiene contacto directo con los pacientes y en televisores ubicados en las salas de e</w:t>
      </w:r>
      <w:r>
        <w:t>s</w:t>
      </w:r>
      <w:r>
        <w:t>pera de las consultas de los centros de salud se exhiben programas e</w:t>
      </w:r>
      <w:r>
        <w:t>s</w:t>
      </w:r>
      <w:r>
        <w:t>pecialmente orientados sobre todas las cuestiones relacionadas con la salud, inclusive la sensibilización re</w:t>
      </w:r>
      <w:r>
        <w:t>s</w:t>
      </w:r>
      <w:r>
        <w:t>pecto del SIDA;</w:t>
      </w:r>
    </w:p>
    <w:p w:rsidR="00000000" w:rsidRDefault="00000000">
      <w:pPr>
        <w:pStyle w:val="SingleTxt"/>
        <w:numPr>
          <w:ilvl w:val="0"/>
          <w:numId w:val="23"/>
        </w:numPr>
        <w:tabs>
          <w:tab w:val="clear" w:pos="360"/>
          <w:tab w:val="clear" w:pos="2218"/>
          <w:tab w:val="num" w:pos="2520"/>
        </w:tabs>
        <w:ind w:left="2520"/>
      </w:pPr>
      <w:r>
        <w:t>Los medios de comunicación, en particular los que tienen influencia en el público, como la radio y la televisión, que transmiten programas educacionales dirigidos a todos los sectores de la sociedad y asimi</w:t>
      </w:r>
      <w:r>
        <w:t>s</w:t>
      </w:r>
      <w:r>
        <w:t>mo utilizan otros métodos para elevar el nivel de conciencia;</w:t>
      </w:r>
    </w:p>
    <w:p w:rsidR="00000000" w:rsidRDefault="00000000">
      <w:pPr>
        <w:pStyle w:val="SingleTxt"/>
        <w:numPr>
          <w:ilvl w:val="0"/>
          <w:numId w:val="23"/>
        </w:numPr>
        <w:tabs>
          <w:tab w:val="clear" w:pos="360"/>
          <w:tab w:val="clear" w:pos="2218"/>
          <w:tab w:val="num" w:pos="2520"/>
        </w:tabs>
        <w:ind w:left="2520"/>
      </w:pPr>
      <w:r>
        <w:t>La publicación de folletos y materiales impresos con el fin de incr</w:t>
      </w:r>
      <w:r>
        <w:t>e</w:t>
      </w:r>
      <w:r>
        <w:t>mentar el conocimiento de los ciudadanos respecto de los temas rel</w:t>
      </w:r>
      <w:r>
        <w:t>a</w:t>
      </w:r>
      <w:r>
        <w:t>cionados con la salud;</w:t>
      </w:r>
    </w:p>
    <w:p w:rsidR="00000000" w:rsidRDefault="00000000">
      <w:pPr>
        <w:pStyle w:val="SingleTxt"/>
        <w:numPr>
          <w:ilvl w:val="0"/>
          <w:numId w:val="60"/>
        </w:numPr>
        <w:tabs>
          <w:tab w:val="clear" w:pos="1742"/>
          <w:tab w:val="clear" w:pos="2218"/>
          <w:tab w:val="clear" w:pos="2693"/>
          <w:tab w:val="left" w:pos="1701"/>
          <w:tab w:val="left" w:pos="2268"/>
        </w:tabs>
      </w:pPr>
      <w:r>
        <w:t>La División de Salud Escolar, que tiene el cometido de elevar el nivel de co</w:t>
      </w:r>
      <w:r>
        <w:t>n</w:t>
      </w:r>
      <w:r>
        <w:t>ciencia de los estudiantes de ambos sexos y de sus padres o tutores;</w:t>
      </w:r>
    </w:p>
    <w:p w:rsidR="00000000" w:rsidRDefault="00000000">
      <w:pPr>
        <w:pStyle w:val="SingleTxt"/>
        <w:numPr>
          <w:ilvl w:val="0"/>
          <w:numId w:val="60"/>
        </w:numPr>
        <w:tabs>
          <w:tab w:val="clear" w:pos="1742"/>
          <w:tab w:val="clear" w:pos="2218"/>
          <w:tab w:val="clear" w:pos="2693"/>
          <w:tab w:val="left" w:pos="1701"/>
          <w:tab w:val="left" w:pos="2268"/>
        </w:tabs>
      </w:pPr>
      <w:r>
        <w:t>Los hospitales y centros de salud, que procuran educar a los consultantes y pacientes y a las personas que acompañan a éstos a sus consultas para el tratamiento en dichos centros;</w:t>
      </w:r>
    </w:p>
    <w:p w:rsidR="00000000" w:rsidRDefault="00000000">
      <w:pPr>
        <w:pStyle w:val="SingleTxt"/>
        <w:numPr>
          <w:ilvl w:val="0"/>
          <w:numId w:val="60"/>
        </w:numPr>
        <w:tabs>
          <w:tab w:val="clear" w:pos="1742"/>
          <w:tab w:val="clear" w:pos="2218"/>
          <w:tab w:val="clear" w:pos="2693"/>
          <w:tab w:val="left" w:pos="1701"/>
          <w:tab w:val="left" w:pos="2268"/>
        </w:tabs>
      </w:pPr>
      <w:r>
        <w:t>La División de Planificación de la Familia, cuyo cometido principal es elevar el nivel de conciencia de las parejas que están por contraer matr</w:t>
      </w:r>
      <w:r>
        <w:t>i</w:t>
      </w:r>
      <w:r>
        <w:t>monio y determinar si éste entraña riesgos o plantea la posibilidad de e</w:t>
      </w:r>
      <w:r>
        <w:t>n</w:t>
      </w:r>
      <w:r>
        <w:t>fermedades hereditarias que puedan existir en la familia de uno u otro de los contrayentes. Dicho cometido se lleva a cabo con la cooperación de la pareja a fin de salvaguardar la salud de la mujer y controlar su estado durante el embarazo y el parto. La División también eleva el nivel de conciencia acerca de los temas del matrimonio precoz y los embarazos frecuentes;</w:t>
      </w:r>
    </w:p>
    <w:p w:rsidR="00000000" w:rsidRDefault="00000000">
      <w:pPr>
        <w:pStyle w:val="SingleTxt"/>
        <w:numPr>
          <w:ilvl w:val="0"/>
          <w:numId w:val="60"/>
        </w:numPr>
        <w:tabs>
          <w:tab w:val="clear" w:pos="1742"/>
          <w:tab w:val="clear" w:pos="2218"/>
          <w:tab w:val="clear" w:pos="2693"/>
          <w:tab w:val="left" w:pos="1701"/>
          <w:tab w:val="left" w:pos="2268"/>
        </w:tabs>
      </w:pPr>
      <w:r>
        <w:t>El Comité Nacional de Lucha contra el SIDA. Kuwait, que fue uno de los primeros países en reconocer la gravedad del SIDA, se ha preocup</w:t>
      </w:r>
      <w:r>
        <w:t>a</w:t>
      </w:r>
      <w:r>
        <w:t>do por evitar que el SIDA se difunda en el país, y consiguientemente sancionó la Ley N° 62 de 1992 sobre la protección contra las enfermed</w:t>
      </w:r>
      <w:r>
        <w:t>a</w:t>
      </w:r>
      <w:r>
        <w:t>des relacionadas con el SIDA, que garantiza un tratamiento humano para los pacientes con SIDA protegiendo sus derechos y obligaciones, gara</w:t>
      </w:r>
      <w:r>
        <w:t>n</w:t>
      </w:r>
      <w:r>
        <w:t>tizando la confidencialidad del tratamiento y dando seguridades de que la infección no se transmitirá a ninguna otra persona,</w:t>
      </w:r>
    </w:p>
    <w:p w:rsidR="00000000" w:rsidRDefault="00000000">
      <w:pPr>
        <w:pStyle w:val="SingleTxt"/>
        <w:ind w:firstLine="475"/>
      </w:pPr>
      <w:r>
        <w:t>En su preocupación por luchar contra esta enfermedad, en 1992 el Ministerio de Salud Pública formó un comité nacional permanente de lucha contra el SIDA. Dicho órgano, denominado Comité Nacional de Lucha contra el SIDA, tiene, entre otros, los cometidos siguientes:</w:t>
      </w:r>
    </w:p>
    <w:p w:rsidR="00000000" w:rsidRDefault="00000000">
      <w:pPr>
        <w:pStyle w:val="SingleTxt"/>
        <w:numPr>
          <w:ilvl w:val="2"/>
          <w:numId w:val="60"/>
        </w:numPr>
        <w:tabs>
          <w:tab w:val="clear" w:pos="1267"/>
          <w:tab w:val="clear" w:pos="1742"/>
          <w:tab w:val="clear" w:pos="2218"/>
          <w:tab w:val="clear" w:pos="2693"/>
          <w:tab w:val="clear" w:pos="2940"/>
          <w:tab w:val="left" w:pos="1418"/>
          <w:tab w:val="left" w:pos="1701"/>
          <w:tab w:val="num" w:pos="2127"/>
        </w:tabs>
        <w:ind w:left="2127" w:hanging="284"/>
      </w:pPr>
      <w:r>
        <w:t>Elaboración de la política general para la prevención y el tratamiento de esta e</w:t>
      </w:r>
      <w:r>
        <w:t>n</w:t>
      </w:r>
      <w:r>
        <w:t>fermedad en Kuwait;</w:t>
      </w:r>
    </w:p>
    <w:p w:rsidR="00000000" w:rsidRDefault="00000000">
      <w:pPr>
        <w:pStyle w:val="SingleTxt"/>
        <w:numPr>
          <w:ilvl w:val="2"/>
          <w:numId w:val="60"/>
        </w:numPr>
        <w:tabs>
          <w:tab w:val="clear" w:pos="1267"/>
          <w:tab w:val="clear" w:pos="1742"/>
          <w:tab w:val="clear" w:pos="2218"/>
          <w:tab w:val="clear" w:pos="2693"/>
          <w:tab w:val="clear" w:pos="2940"/>
          <w:tab w:val="left" w:pos="1418"/>
          <w:tab w:val="left" w:pos="1701"/>
          <w:tab w:val="num" w:pos="2127"/>
        </w:tabs>
        <w:ind w:left="2127" w:hanging="284"/>
      </w:pPr>
      <w:r>
        <w:t>Preparación de los programas y planes de acción necesarios para proteger a los ciudadanos contra esta enfermedad e investigación sobre los métodos de tratamiento para las personas que viven con SIDA o están afectadas por dicho síndrome;</w:t>
      </w:r>
    </w:p>
    <w:p w:rsidR="00000000" w:rsidRDefault="00000000">
      <w:pPr>
        <w:pStyle w:val="SingleTxt"/>
        <w:numPr>
          <w:ilvl w:val="2"/>
          <w:numId w:val="60"/>
        </w:numPr>
        <w:tabs>
          <w:tab w:val="clear" w:pos="1267"/>
          <w:tab w:val="clear" w:pos="1742"/>
          <w:tab w:val="clear" w:pos="2218"/>
          <w:tab w:val="clear" w:pos="2693"/>
          <w:tab w:val="clear" w:pos="2940"/>
          <w:tab w:val="left" w:pos="1418"/>
          <w:tab w:val="left" w:pos="1701"/>
          <w:tab w:val="num" w:pos="2127"/>
        </w:tabs>
        <w:ind w:left="2127" w:hanging="284"/>
      </w:pPr>
      <w:r>
        <w:t>Formulación de un plan para elevar el nivel de conciencia de todos los sectores de la sociedad, en particular los jóvenes, en relación con los m</w:t>
      </w:r>
      <w:r>
        <w:t>é</w:t>
      </w:r>
      <w:r>
        <w:t>todos de protección y tratamiento, teniendo en cuenta los valores y pautas sociales y culturales, junto con las costumbres sociales;</w:t>
      </w:r>
    </w:p>
    <w:p w:rsidR="00000000" w:rsidRDefault="00000000">
      <w:pPr>
        <w:pStyle w:val="SingleTxt"/>
        <w:numPr>
          <w:ilvl w:val="2"/>
          <w:numId w:val="60"/>
        </w:numPr>
        <w:tabs>
          <w:tab w:val="clear" w:pos="1267"/>
          <w:tab w:val="clear" w:pos="1742"/>
          <w:tab w:val="clear" w:pos="2218"/>
          <w:tab w:val="clear" w:pos="2693"/>
          <w:tab w:val="clear" w:pos="2940"/>
          <w:tab w:val="left" w:pos="1418"/>
          <w:tab w:val="left" w:pos="1701"/>
          <w:tab w:val="num" w:pos="2127"/>
        </w:tabs>
        <w:ind w:left="2127" w:hanging="284"/>
      </w:pPr>
      <w:r>
        <w:t>Creación de normas y reglamentaciones sobre el intercambio de inform</w:t>
      </w:r>
      <w:r>
        <w:t>a</w:t>
      </w:r>
      <w:r>
        <w:t>ción a fin de lograr el acceso a los datos científicos sobre el VIH/SIDA y los métodos de protección;</w:t>
      </w:r>
    </w:p>
    <w:p w:rsidR="00000000" w:rsidRDefault="00000000">
      <w:pPr>
        <w:pStyle w:val="SingleTxt"/>
        <w:numPr>
          <w:ilvl w:val="2"/>
          <w:numId w:val="60"/>
        </w:numPr>
        <w:tabs>
          <w:tab w:val="clear" w:pos="1267"/>
          <w:tab w:val="clear" w:pos="1742"/>
          <w:tab w:val="clear" w:pos="2218"/>
          <w:tab w:val="clear" w:pos="2693"/>
          <w:tab w:val="clear" w:pos="2940"/>
          <w:tab w:val="left" w:pos="1418"/>
          <w:tab w:val="left" w:pos="1701"/>
          <w:tab w:val="num" w:pos="2127"/>
        </w:tabs>
        <w:ind w:left="2127" w:hanging="284"/>
      </w:pPr>
      <w:r>
        <w:t>Formulación de principios para el relacionamiento con otros países y de procedimientos para la deportación de personas que ingresen;</w:t>
      </w:r>
    </w:p>
    <w:p w:rsidR="00000000" w:rsidRDefault="00000000">
      <w:pPr>
        <w:pStyle w:val="SingleTxt"/>
        <w:numPr>
          <w:ilvl w:val="2"/>
          <w:numId w:val="60"/>
        </w:numPr>
        <w:tabs>
          <w:tab w:val="clear" w:pos="1267"/>
          <w:tab w:val="clear" w:pos="1742"/>
          <w:tab w:val="clear" w:pos="2218"/>
          <w:tab w:val="clear" w:pos="2693"/>
          <w:tab w:val="clear" w:pos="2940"/>
          <w:tab w:val="left" w:pos="1418"/>
          <w:tab w:val="left" w:pos="1701"/>
          <w:tab w:val="num" w:pos="2127"/>
        </w:tabs>
        <w:ind w:left="2127" w:hanging="284"/>
      </w:pPr>
      <w:r>
        <w:t>Evaluación periódica de la difusión de la enfermedad en los planos inte</w:t>
      </w:r>
      <w:r>
        <w:t>r</w:t>
      </w:r>
      <w:r>
        <w:t>nacional e interno y de las medidas de lucha contra el SIDA adoptadas en ambos planos.</w:t>
      </w:r>
    </w:p>
    <w:p w:rsidR="00000000" w:rsidRDefault="00000000">
      <w:pPr>
        <w:pStyle w:val="SingleTxt"/>
        <w:tabs>
          <w:tab w:val="clear" w:pos="1267"/>
          <w:tab w:val="clear" w:pos="1742"/>
          <w:tab w:val="clear" w:pos="2218"/>
          <w:tab w:val="clear" w:pos="2693"/>
          <w:tab w:val="left" w:pos="1418"/>
          <w:tab w:val="left" w:pos="1843"/>
        </w:tabs>
        <w:ind w:left="1423" w:right="1264" w:firstLine="420"/>
      </w:pPr>
      <w:r>
        <w:t>El Comité ha elaborado seis programas de lucha y protección contra esta e</w:t>
      </w:r>
      <w:r>
        <w:t>n</w:t>
      </w:r>
      <w:r>
        <w:t>fermedad, que se ind</w:t>
      </w:r>
      <w:r>
        <w:t>i</w:t>
      </w:r>
      <w:r>
        <w:t>can a continuación</w:t>
      </w:r>
    </w:p>
    <w:p w:rsidR="00000000" w:rsidRDefault="00000000">
      <w:pPr>
        <w:pStyle w:val="SingleTxt"/>
        <w:numPr>
          <w:ilvl w:val="2"/>
          <w:numId w:val="60"/>
        </w:numPr>
        <w:tabs>
          <w:tab w:val="clear" w:pos="1267"/>
          <w:tab w:val="clear" w:pos="1742"/>
          <w:tab w:val="clear" w:pos="2218"/>
          <w:tab w:val="clear" w:pos="2693"/>
          <w:tab w:val="clear" w:pos="2940"/>
          <w:tab w:val="left" w:pos="1418"/>
          <w:tab w:val="left" w:pos="1701"/>
          <w:tab w:val="num" w:pos="2127"/>
        </w:tabs>
        <w:ind w:left="2127" w:hanging="284"/>
      </w:pPr>
      <w:r>
        <w:t>El primer programa se refiere a la seguridad de la sangre y tiene la final</w:t>
      </w:r>
      <w:r>
        <w:t>i</w:t>
      </w:r>
      <w:r>
        <w:t>dad de garantizar que la transfusión de sangre o sus derivados no sea un medio de infección;</w:t>
      </w:r>
    </w:p>
    <w:p w:rsidR="00000000" w:rsidRDefault="00000000">
      <w:pPr>
        <w:pStyle w:val="SingleTxt"/>
        <w:numPr>
          <w:ilvl w:val="2"/>
          <w:numId w:val="60"/>
        </w:numPr>
        <w:tabs>
          <w:tab w:val="clear" w:pos="1267"/>
          <w:tab w:val="clear" w:pos="1742"/>
          <w:tab w:val="clear" w:pos="2218"/>
          <w:tab w:val="clear" w:pos="2693"/>
          <w:tab w:val="clear" w:pos="2940"/>
          <w:tab w:val="left" w:pos="1418"/>
          <w:tab w:val="left" w:pos="1701"/>
          <w:tab w:val="num" w:pos="2127"/>
        </w:tabs>
        <w:ind w:left="2127" w:hanging="284"/>
      </w:pPr>
      <w:r>
        <w:t>El segundo programa se refiere a los análisis de SIDA para limitar los p</w:t>
      </w:r>
      <w:r>
        <w:t>o</w:t>
      </w:r>
      <w:r>
        <w:t>sibles lugares de epidemia. Determina los lugares en que se realizarán los análisis, como el banco central de sangre, el laboratorio de virus del D</w:t>
      </w:r>
      <w:r>
        <w:t>e</w:t>
      </w:r>
      <w:r>
        <w:t>partamento de Salud Pública y el laboratorio de la Facultad de Medicina de la Universidad de Kuwait. Asimismo determina los grupos y muestras que se analizarán. Entre ellos figuran los donantes de sangre, los pacientes que reciben reiteradas transfusiones de sangre, los candidatos a empleos en los departamentos gubernamentales, los componentes de sangre i</w:t>
      </w:r>
      <w:r>
        <w:t>m</w:t>
      </w:r>
      <w:r>
        <w:t>portados y los grupos de alto riesgo, como los pacientes con enfermedades de transmisión sexual, los reclusos en las prisiones y las personas acus</w:t>
      </w:r>
      <w:r>
        <w:t>a</w:t>
      </w:r>
      <w:r>
        <w:t>das de delitos contra las buenas costumbres;</w:t>
      </w:r>
    </w:p>
    <w:p w:rsidR="00000000" w:rsidRDefault="00000000">
      <w:pPr>
        <w:pStyle w:val="SingleTxt"/>
        <w:numPr>
          <w:ilvl w:val="2"/>
          <w:numId w:val="60"/>
        </w:numPr>
        <w:tabs>
          <w:tab w:val="clear" w:pos="1267"/>
          <w:tab w:val="clear" w:pos="1742"/>
          <w:tab w:val="clear" w:pos="2218"/>
          <w:tab w:val="clear" w:pos="2693"/>
          <w:tab w:val="clear" w:pos="2940"/>
          <w:tab w:val="left" w:pos="1418"/>
          <w:tab w:val="left" w:pos="1701"/>
          <w:tab w:val="num" w:pos="2127"/>
        </w:tabs>
        <w:ind w:left="2127" w:hanging="284"/>
      </w:pPr>
      <w:r>
        <w:t>El tercer programa se refiere a los casos HIV positivos;</w:t>
      </w:r>
    </w:p>
    <w:p w:rsidR="00000000" w:rsidRDefault="00000000">
      <w:pPr>
        <w:pStyle w:val="SingleTxt"/>
        <w:numPr>
          <w:ilvl w:val="2"/>
          <w:numId w:val="60"/>
        </w:numPr>
        <w:tabs>
          <w:tab w:val="clear" w:pos="1267"/>
          <w:tab w:val="clear" w:pos="1742"/>
          <w:tab w:val="clear" w:pos="2218"/>
          <w:tab w:val="clear" w:pos="2693"/>
          <w:tab w:val="clear" w:pos="2940"/>
          <w:tab w:val="left" w:pos="1418"/>
          <w:tab w:val="left" w:pos="1701"/>
          <w:tab w:val="num" w:pos="2127"/>
        </w:tabs>
        <w:ind w:left="2127" w:hanging="284"/>
      </w:pPr>
      <w:r>
        <w:t>El cuarto programa se refiere a la elevación del nivel de conciencia y ha formulado programas que se están aplicando con el fin de elevar el nivel de conciencia en las escuelas y asegurar que en los planes de estudio e</w:t>
      </w:r>
      <w:r>
        <w:t>s</w:t>
      </w:r>
      <w:r>
        <w:t>colares se incluya información sobre el SIDA y sobre las medidas de lucha contra el SIDA. El programa de elevación del nivel de conciencia en las escuelas secundarias se aplica durante todo el año. También se han elab</w:t>
      </w:r>
      <w:r>
        <w:t>o</w:t>
      </w:r>
      <w:r>
        <w:t>rado programas para elevar el nivel de conciencia de los jóvenes en la universidad y en los clubes juveniles, los centros de educación de adultos y los centros de alfabetización, así como para brindar información médica y materiales didácticos para los miembros de las profesiones médicas.</w:t>
      </w:r>
    </w:p>
    <w:p w:rsidR="00000000" w:rsidRDefault="00000000">
      <w:pPr>
        <w:pStyle w:val="SingleTxt"/>
        <w:numPr>
          <w:ilvl w:val="2"/>
          <w:numId w:val="60"/>
        </w:numPr>
        <w:tabs>
          <w:tab w:val="clear" w:pos="1267"/>
          <w:tab w:val="clear" w:pos="1742"/>
          <w:tab w:val="clear" w:pos="2218"/>
          <w:tab w:val="clear" w:pos="2693"/>
          <w:tab w:val="clear" w:pos="2940"/>
          <w:tab w:val="left" w:pos="1418"/>
          <w:tab w:val="left" w:pos="1701"/>
          <w:tab w:val="num" w:pos="2127"/>
        </w:tabs>
        <w:ind w:left="2127" w:hanging="284"/>
      </w:pPr>
      <w:r>
        <w:t>Un programa de capacitación para profesionales médicos, que comprende actividades de preparación y capacitación para las personas que trabajan en laboratorios y bancos de sangre, así como de capacitación para méd</w:t>
      </w:r>
      <w:r>
        <w:t>i</w:t>
      </w:r>
      <w:r>
        <w:t>cos, personal de enfermería, trabajadores sociales y psicólogos, y se lleva a cabo junto con la Organización Mundial de la Salud (OMS)</w:t>
      </w:r>
    </w:p>
    <w:p w:rsidR="00000000" w:rsidRDefault="00000000">
      <w:pPr>
        <w:pStyle w:val="SingleTxt"/>
        <w:ind w:firstLine="475"/>
      </w:pPr>
      <w:r>
        <w:t>Cabe mencionar que los funcionarios del Ministerio de Salud Pública monit</w:t>
      </w:r>
      <w:r>
        <w:t>o</w:t>
      </w:r>
      <w:r>
        <w:t>rean constantemente la epidemiología mundial y regional de la enfermedad, coop</w:t>
      </w:r>
      <w:r>
        <w:t>e</w:t>
      </w:r>
      <w:r>
        <w:t>rando estrechamente con la OMS y otras organizaciones internacionales dedicadas a la lucha contra el SIDA.</w:t>
      </w:r>
    </w:p>
    <w:p w:rsidR="00000000" w:rsidRDefault="00000000">
      <w:pPr>
        <w:pStyle w:val="SingleTxt"/>
        <w:ind w:firstLine="475"/>
      </w:pPr>
      <w:r>
        <w:t>Kuwait ha sido precursor en relación con las conferencias internacionales s</w:t>
      </w:r>
      <w:r>
        <w:t>o</w:t>
      </w:r>
      <w:r>
        <w:t>bre el SIDA, y fue convocante de cinco de ellas, a las que asistieron numerosos científicos y expertos en materia de investigación sobre el SIDA.</w:t>
      </w:r>
    </w:p>
    <w:p w:rsidR="00000000" w:rsidRDefault="00000000">
      <w:pPr>
        <w:pStyle w:val="SingleTxt"/>
        <w:ind w:firstLine="475"/>
      </w:pPr>
      <w:r>
        <w:t>El Ministerio de Salud Pública también conmemora el Día Mundial de la L</w:t>
      </w:r>
      <w:r>
        <w:t>u</w:t>
      </w:r>
      <w:r>
        <w:t>cha contra el SIDA, que se celebra el 1° de diciembre, con actividades intensivas de información, competencias y conferencias sobre el SIDA en las escuelas.</w:t>
      </w:r>
    </w:p>
    <w:p w:rsidR="00000000" w:rsidRDefault="00000000">
      <w:pPr>
        <w:pStyle w:val="SingleTxt"/>
        <w:ind w:firstLine="475"/>
      </w:pPr>
      <w:r>
        <w:t>Lo antedicho se añade a los esfuerzos realizados por las autoridades comp</w:t>
      </w:r>
      <w:r>
        <w:t>e</w:t>
      </w:r>
      <w:r>
        <w:t>tentes de salud pública de Kuwait. Deseoso de brindar una más completa atención de la salud, el Estado ha concertado con varios países acuerdos sobre salud encamin</w:t>
      </w:r>
      <w:r>
        <w:t>a</w:t>
      </w:r>
      <w:r>
        <w:t>dos a promover la cooperación en materia de salud pública, ciencias médicas, pr</w:t>
      </w:r>
      <w:r>
        <w:t>e</w:t>
      </w:r>
      <w:r>
        <w:t>vención, tratamiento y lucha contra la epidemia.</w:t>
      </w:r>
    </w:p>
    <w:p w:rsidR="00000000" w:rsidRDefault="00000000">
      <w:pPr>
        <w:pStyle w:val="SingleTxt"/>
        <w:ind w:firstLine="475"/>
      </w:pPr>
      <w:r>
        <w:t>Habida cuenta de los servicios que presta el Estado en esta esfera, Kuwait ha sido reconocido por la OMS como país que posee un servicio de salud sobresaliente. Además, como reconocimiento del papel de avanzada de Kuwait en la lucha contra el SIDA, la OMS seleccionó a Kuwait como autoridad regional para los análisis de SIDA.</w:t>
      </w:r>
    </w:p>
    <w:p w:rsidR="00000000" w:rsidRDefault="00000000">
      <w:pPr>
        <w:pStyle w:val="SingleTxt"/>
        <w:ind w:firstLine="475"/>
      </w:pPr>
      <w:r>
        <w:t>En lo tocante a la adicción a las drogas, el Estado promulgó la Ley N° 74 de 1983 sobre narcóticos y la Ley N° 18 de 1974 sobre sustancias psicotrópicas. Ta</w:t>
      </w:r>
      <w:r>
        <w:t>m</w:t>
      </w:r>
      <w:r>
        <w:t>bién se creó un comité nacional encargado de ocuparse de este fenómeno. Las cifras indican que en el año 2000 un total de 2.896 pacientes visitaron las clínicas amb</w:t>
      </w:r>
      <w:r>
        <w:t>u</w:t>
      </w:r>
      <w:r>
        <w:t>latorias de la Dependencia de Adicción a las Drogas del hospital psiquiátrico. A este respecto, cabe mencionar el papel que desempeñan las asociaciones de interés públ</w:t>
      </w:r>
      <w:r>
        <w:t>i</w:t>
      </w:r>
      <w:r>
        <w:t>co y la Secretaría General de Fondos de Dotación Religiosos, que se esforzaron por contribuir al innovador proyecto nacional de establecimiento de un centro de trat</w:t>
      </w:r>
      <w:r>
        <w:t>a</w:t>
      </w:r>
      <w:r>
        <w:t>miento y rehabilitación de personas condenadas por delitos relacionados con las drogas. Para este proyecto, que tiene el objetivo de tratar y rehabilitar a las personas condenadas por delitos relacionados con las drogas de modo que puedan regresar a la sociedad y llevar una vida normal sin volver a caer en la adicción, se asignó un presupuesto total de KD 850.000, de los cuales KD 40.000 provinieron de la Secr</w:t>
      </w:r>
      <w:r>
        <w:t>e</w:t>
      </w:r>
      <w:r>
        <w:t>taría General de Fondos de Dotación Religiosos.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keepNext/>
        <w:spacing w:after="0" w:line="120" w:lineRule="exact"/>
        <w:ind w:firstLine="475"/>
        <w:rPr>
          <w:sz w:val="10"/>
        </w:rPr>
      </w:pPr>
    </w:p>
    <w:p w:rsidR="00000000" w:rsidRDefault="00000000">
      <w:pPr>
        <w:pStyle w:val="SingleTxt"/>
        <w:ind w:firstLine="475"/>
      </w:pPr>
      <w:r>
        <w:t>Este artículo dispone que los Estados Partes adoptarán todas las medidas apr</w:t>
      </w:r>
      <w:r>
        <w:t>o</w:t>
      </w:r>
      <w:r>
        <w:t>piadas para eliminar la discriminación contra la mujer en otras esferas de la vida económica y social a fin de asegurar, en condiciones de igualdad entre hombres y mujeres, los mismos derechos, en particular:</w:t>
      </w:r>
    </w:p>
    <w:p w:rsidR="00000000" w:rsidRDefault="00000000">
      <w:pPr>
        <w:pStyle w:val="SingleTxt"/>
        <w:numPr>
          <w:ilvl w:val="0"/>
          <w:numId w:val="24"/>
        </w:numPr>
        <w:tabs>
          <w:tab w:val="clear" w:pos="360"/>
          <w:tab w:val="num" w:pos="1710"/>
        </w:tabs>
        <w:ind w:left="2217" w:hanging="475"/>
      </w:pPr>
      <w:r>
        <w:t>El derecho a prestaciones familiares;</w:t>
      </w:r>
    </w:p>
    <w:p w:rsidR="00000000" w:rsidRDefault="00000000">
      <w:pPr>
        <w:pStyle w:val="SingleTxt"/>
        <w:numPr>
          <w:ilvl w:val="0"/>
          <w:numId w:val="24"/>
        </w:numPr>
        <w:tabs>
          <w:tab w:val="clear" w:pos="360"/>
          <w:tab w:val="num" w:pos="1710"/>
        </w:tabs>
        <w:ind w:left="2217" w:hanging="475"/>
      </w:pPr>
      <w:r>
        <w:t>El derecho a obtener préstamos bancarios, hipotecas y otras formas de crédito financiero;</w:t>
      </w:r>
    </w:p>
    <w:p w:rsidR="00000000" w:rsidRDefault="00000000">
      <w:pPr>
        <w:pStyle w:val="SingleTxt"/>
        <w:numPr>
          <w:ilvl w:val="0"/>
          <w:numId w:val="24"/>
        </w:numPr>
        <w:tabs>
          <w:tab w:val="clear" w:pos="360"/>
          <w:tab w:val="num" w:pos="1710"/>
        </w:tabs>
        <w:ind w:left="2217" w:hanging="475"/>
      </w:pPr>
      <w:r>
        <w:t>El derecho a participar en actividades de esparcimiento y deportes, así como en todos los aspectos de la vida cultural.</w:t>
      </w:r>
    </w:p>
    <w:p w:rsidR="00000000" w:rsidRDefault="00000000">
      <w:pPr>
        <w:pStyle w:val="SingleTxt"/>
        <w:ind w:firstLine="475"/>
      </w:pPr>
      <w:r>
        <w:t>En lo tocante a la posición adoptada en la legislación de Kuwait respecto de esos derechos, las leyes del país, y en particular la Constitución de Kuwait, garant</w:t>
      </w:r>
      <w:r>
        <w:t>i</w:t>
      </w:r>
      <w:r>
        <w:t>zan la igualdad de hombres y mujeres en las esferas económica, social y cultural.</w:t>
      </w:r>
    </w:p>
    <w:p w:rsidR="00000000" w:rsidRDefault="00000000">
      <w:pPr>
        <w:pStyle w:val="SingleTxt"/>
        <w:ind w:firstLine="475"/>
      </w:pPr>
      <w:r>
        <w:t>El artículo 11 de la Constitución dispone que el Estado garantiza la ayuda s</w:t>
      </w:r>
      <w:r>
        <w:t>o</w:t>
      </w:r>
      <w:r>
        <w:t>cial en condiciones de igualdad para todos los ciudadanos.</w:t>
      </w:r>
    </w:p>
    <w:p w:rsidR="00000000" w:rsidRDefault="00000000">
      <w:pPr>
        <w:pStyle w:val="SingleTxt"/>
        <w:ind w:firstLine="475"/>
      </w:pPr>
      <w:r>
        <w:t>El artículo 16 dispone lo siguiente: “La propiedad, el capital y el trabajo son elementos constitutivos fundamentales de la estructura social del Estado y la riqueza nacional y todos ellos son derechos fundamentales con una función social regl</w:t>
      </w:r>
      <w:r>
        <w:t>a</w:t>
      </w:r>
      <w:r>
        <w:t>mentada por la ley.”</w:t>
      </w:r>
    </w:p>
    <w:p w:rsidR="00000000" w:rsidRDefault="00000000">
      <w:pPr>
        <w:pStyle w:val="SingleTxt"/>
        <w:ind w:firstLine="475"/>
      </w:pPr>
      <w:r>
        <w:t>El artículo 23 dispone lo siguiente: “El Estado promoverá la cooperación y el ahorro y supervisará la organización del crédito.”</w:t>
      </w:r>
    </w:p>
    <w:p w:rsidR="00000000" w:rsidRDefault="00000000">
      <w:pPr>
        <w:pStyle w:val="SingleTxt"/>
        <w:ind w:firstLine="475"/>
      </w:pPr>
      <w:r>
        <w:t>Asimismo, el artículo 29 dispone que todas las personas son iguales en dign</w:t>
      </w:r>
      <w:r>
        <w:t>i</w:t>
      </w:r>
      <w:r>
        <w:t>dad humana e iguales ante la ley en lo tocante a sus derechos y obligaciones públ</w:t>
      </w:r>
      <w:r>
        <w:t>i</w:t>
      </w:r>
      <w:r>
        <w:t>cos, sin distinción alguna por razones de sexo, origen, idi</w:t>
      </w:r>
      <w:r>
        <w:t>o</w:t>
      </w:r>
      <w:r>
        <w:t>ma o religión.</w:t>
      </w:r>
    </w:p>
    <w:p w:rsidR="00000000" w:rsidRDefault="00000000">
      <w:pPr>
        <w:pStyle w:val="SingleTxt"/>
        <w:ind w:firstLine="475"/>
      </w:pPr>
      <w:r>
        <w:t>Con arreglo a lo dispuesto en el Código Civil, los hombres y las mujeres son iguales en lo tocante a su capacidad jurídica y sus derechos personales, así como respecto de las obligaciones consignadas en el Código. Por ejemplo, el artículo 4 estipula que las normas relacionadas con la capacidad jurídica se aplican a todas las pe</w:t>
      </w:r>
      <w:r>
        <w:t>r</w:t>
      </w:r>
      <w:r>
        <w:t>sonas comprendidas en sus disposiciones.</w:t>
      </w:r>
    </w:p>
    <w:p w:rsidR="00000000" w:rsidRDefault="00000000">
      <w:pPr>
        <w:pStyle w:val="SingleTxt"/>
        <w:ind w:firstLine="475"/>
      </w:pPr>
      <w:r>
        <w:t>El artículo 84 estipula que todas las personas tienen capacidad jurídica para celebrar tratados, a menos que la ley disponga que son legalmente incapaces o car</w:t>
      </w:r>
      <w:r>
        <w:t>e</w:t>
      </w:r>
      <w:r>
        <w:t>cen de capacidad jurídica.</w:t>
      </w:r>
    </w:p>
    <w:p w:rsidR="00000000" w:rsidRDefault="00000000">
      <w:pPr>
        <w:pStyle w:val="SingleTxt"/>
        <w:ind w:firstLine="475"/>
      </w:pPr>
      <w:r>
        <w:t>El Decreto Legislativo N° 68 de 1980, por el cual se promulgó el Código de Comercio, también establece que sus disposiciones se aplican a todas las actividades comerciales llevadas a cabo por cualquier persona.</w:t>
      </w:r>
    </w:p>
    <w:p w:rsidR="00000000" w:rsidRDefault="00000000">
      <w:pPr>
        <w:pStyle w:val="SingleTxt"/>
        <w:ind w:firstLine="475"/>
      </w:pPr>
      <w:r>
        <w:t>Con arreglo al artículo 13, la definición de comerciante se aplica a toda pers</w:t>
      </w:r>
      <w:r>
        <w:t>o</w:t>
      </w:r>
      <w:r>
        <w:t>na que realiza transacciones comerciales por cuenta propia, tiene la capacidad nec</w:t>
      </w:r>
      <w:r>
        <w:t>e</w:t>
      </w:r>
      <w:r>
        <w:t>saria y se dedica a dichas transacciones en forma habitual.</w:t>
      </w:r>
    </w:p>
    <w:p w:rsidR="00000000" w:rsidRDefault="00000000">
      <w:pPr>
        <w:pStyle w:val="SingleTxt"/>
        <w:ind w:firstLine="475"/>
      </w:pPr>
      <w:r>
        <w:t>El artículo 28 estipula que tendrá capacidad para ejercer el comercio todo k</w:t>
      </w:r>
      <w:r>
        <w:t>u</w:t>
      </w:r>
      <w:r>
        <w:t>waití (y la palabra “kuwaití” en este artículo comprende tanto a las mujeres como a los hombres) que haya cumplido 21 años de edad y respecto del cual no se haya e</w:t>
      </w:r>
      <w:r>
        <w:t>s</w:t>
      </w:r>
      <w:r>
        <w:t>tablecido un impedimento legal en relación con su persona o con el tipo de transa</w:t>
      </w:r>
      <w:r>
        <w:t>c</w:t>
      </w:r>
      <w:r>
        <w:t>ción c</w:t>
      </w:r>
      <w:r>
        <w:t>o</w:t>
      </w:r>
      <w:r>
        <w:t>mercial a que se dedica.</w:t>
      </w:r>
    </w:p>
    <w:p w:rsidR="00000000" w:rsidRDefault="00000000">
      <w:pPr>
        <w:pStyle w:val="SingleTxt"/>
        <w:ind w:firstLine="475"/>
      </w:pPr>
      <w:r>
        <w:t>El artículo 21 estipula que la capacidad de la mujer para ejercer el comercio se regirá por la ley del Estado del que sea nacional.</w:t>
      </w:r>
    </w:p>
    <w:p w:rsidR="00000000" w:rsidRDefault="00000000">
      <w:pPr>
        <w:pStyle w:val="SingleTxt"/>
        <w:ind w:firstLine="475"/>
      </w:pPr>
      <w:r>
        <w:t>El artículo 624 prohíbe que, en caso de quiebra de uno de los cónyuges, el otro cónyuge reclame las donaciones que haya hecho al cónyuge fallido durante el m</w:t>
      </w:r>
      <w:r>
        <w:t>a</w:t>
      </w:r>
      <w:r>
        <w:t>trimonio. La masa de acreedores tampoco puede reclamar a uno de los cónyuges las donaciones que el otro le haya hecho durante el matrimonio.</w:t>
      </w:r>
    </w:p>
    <w:p w:rsidR="00000000" w:rsidRDefault="00000000">
      <w:pPr>
        <w:pStyle w:val="SingleTxt"/>
        <w:ind w:firstLine="475"/>
      </w:pPr>
      <w:r>
        <w:t>Con arreglo a lo dispuesto en el artículo 625, cualquiera de los cónyuges, i</w:t>
      </w:r>
      <w:r>
        <w:t>n</w:t>
      </w:r>
      <w:r>
        <w:t>dependientemente del régimen de bienes adoptado en el matrimonio, podrá reclamar de la quiebra del otro los bienes muebles o inmuebles que le pertenezcan, si puede probar su propiedad respecto de ellos.</w:t>
      </w:r>
    </w:p>
    <w:p w:rsidR="00000000" w:rsidRDefault="00000000">
      <w:pPr>
        <w:pStyle w:val="SingleTxt"/>
        <w:ind w:firstLine="475"/>
      </w:pPr>
      <w:r>
        <w:t>De lo que antecede se desprende claramente que las disposiciones de los Cód</w:t>
      </w:r>
      <w:r>
        <w:t>i</w:t>
      </w:r>
      <w:r>
        <w:t>gos Civil y de Comercio se aplican por igual a hombres y mujeres.</w:t>
      </w:r>
    </w:p>
    <w:p w:rsidR="00000000" w:rsidRDefault="00000000">
      <w:pPr>
        <w:pStyle w:val="SingleTxt"/>
        <w:ind w:firstLine="475"/>
      </w:pPr>
      <w:r>
        <w:t>Cabe mencionar que en Kuwait la mujer goza de capacidad jurídica cuando llega a la mayoría de edad y que sus obligaciones pecuniarias son separadas de las de su marido. Asimismo tiene plena personalidad jurídica para el ejercicio de todos los derechos, como el derecho de propiedad y el derecho a disponer de los bienes, realizar transacciones civiles y comerciales, celebrar contratos, contraer préstamos y realizar otras transacciones comerciales y financieras, sin que deba obtener el previo consentimiento de su marido o su padre para ejercer tales derechos.</w:t>
      </w:r>
    </w:p>
    <w:p w:rsidR="00000000" w:rsidRDefault="00000000">
      <w:pPr>
        <w:pStyle w:val="SingleTxt"/>
        <w:ind w:firstLine="475"/>
      </w:pPr>
      <w:r>
        <w:t>En lo tocante al derecho a prestaciones familiares, el Estado brinda atención social y de salud a las mujeres, sean ellas madres, esposas o hermanas, en todos los niveles gubernamentales y no gubernamentales. En otras partes del presente informe se ha hecho referencia al derecho a la seguridad social que se garantiza a las mujeres con arreglo a la Ley de seguridad social y a la atención de la salud de que gozan las mujeres en Kuwait.</w:t>
      </w:r>
    </w:p>
    <w:p w:rsidR="00000000" w:rsidRDefault="00000000">
      <w:pPr>
        <w:pStyle w:val="SingleTxt"/>
        <w:ind w:firstLine="475"/>
      </w:pPr>
      <w:r>
        <w:t>Además, en consonancia con los principios firmemente establecidos en que se funda la sociedad kuwaití, en particular el principio de la solidaridad social, el Est</w:t>
      </w:r>
      <w:r>
        <w:t>a</w:t>
      </w:r>
      <w:r>
        <w:t>do promulgó la Ley N° 22 de 1987 sobre la asistencia pública, con arreglo a la cual el Estado se comprometió a proteger a todos los kuwaitíes contra los infortunios. En dicha Ley se estipulan las normas y reglamentaciones que rigen el otorgamiento de la asistencia pública (según se especifique por decreto) a las familias e individuos kuwaitíes.</w:t>
      </w:r>
    </w:p>
    <w:p w:rsidR="00000000" w:rsidRDefault="00000000">
      <w:pPr>
        <w:pStyle w:val="SingleTxt"/>
        <w:ind w:firstLine="475"/>
      </w:pPr>
      <w:r>
        <w:t>Uno de los aspectos humanos de esta Ley es que también se aplica a los hijos de no kuwaitíes que sean mantenidos por su madre kuwaití viuda y vivan con ella en Kuwait. Al establecer esa excepción, la intención de la legislatura fue proteger a t</w:t>
      </w:r>
      <w:r>
        <w:t>o</w:t>
      </w:r>
      <w:r>
        <w:t>da familia privada de su sostén y ayudar a las madres kuwaitíes que se encuentren en esa situación a criar a sus hijos.</w:t>
      </w:r>
    </w:p>
    <w:p w:rsidR="00000000" w:rsidRDefault="00000000">
      <w:pPr>
        <w:pStyle w:val="SingleTxt"/>
        <w:ind w:firstLine="475"/>
      </w:pPr>
      <w:r>
        <w:t>En lo tocante a los hijos de una mujer kuwaití divorciada del padre no kuwaití de sus hijos, la norma es que la ley no se les aplica, pues la carga de mantenerlos i</w:t>
      </w:r>
      <w:r>
        <w:t>n</w:t>
      </w:r>
      <w:r>
        <w:t>cumbe al padre. Sin embargo, en ciertos casos tales mujeres ya recibían asistencia antes de que la Ley entrara en vigor y consiguientemente se entendió que debían s</w:t>
      </w:r>
      <w:r>
        <w:t>e</w:t>
      </w:r>
      <w:r>
        <w:t>guir recibiendo asistencia por razones humanitarias, como lo dispone el artículo 3, que estipula que la mujer kuwaití divorciada que estuviera recibiendo asistencia para sus hijos no kuwaitíes antes de que la Ley entrara en vigor continuaría recibiendo dicha asistencia.</w:t>
      </w:r>
    </w:p>
    <w:p w:rsidR="00000000" w:rsidRDefault="00000000">
      <w:pPr>
        <w:pStyle w:val="SingleTxt"/>
        <w:ind w:firstLine="475"/>
      </w:pPr>
      <w:r>
        <w:t>Dicha Ley cubre también los principales riesgos a que están expuestas las f</w:t>
      </w:r>
      <w:r>
        <w:t>a</w:t>
      </w:r>
      <w:r>
        <w:t>milias kuwaitíes, en particular los siguientes:</w:t>
      </w:r>
    </w:p>
    <w:p w:rsidR="00000000" w:rsidRDefault="00000000">
      <w:pPr>
        <w:pStyle w:val="SingleTxt"/>
        <w:numPr>
          <w:ilvl w:val="0"/>
          <w:numId w:val="65"/>
        </w:numPr>
        <w:tabs>
          <w:tab w:val="clear" w:pos="2218"/>
          <w:tab w:val="left" w:pos="2268"/>
        </w:tabs>
      </w:pPr>
      <w:r>
        <w:t>Pérdida del sostén de la familia, como en el caso de las viudas y los huérfanos (arts. 2 y 18);</w:t>
      </w:r>
    </w:p>
    <w:p w:rsidR="00000000" w:rsidRDefault="00000000">
      <w:pPr>
        <w:pStyle w:val="SingleTxt"/>
        <w:numPr>
          <w:ilvl w:val="0"/>
          <w:numId w:val="65"/>
        </w:numPr>
        <w:tabs>
          <w:tab w:val="clear" w:pos="2218"/>
          <w:tab w:val="left" w:pos="2268"/>
        </w:tabs>
      </w:pPr>
      <w:r>
        <w:t>Enfermedad o incapacidad certificada del sostén de la familia (art. 3), caso al que se añadió, con arreglo a la Ley N° 54 de 1979, una dispos</w:t>
      </w:r>
      <w:r>
        <w:t>i</w:t>
      </w:r>
      <w:r>
        <w:t>ción por la cual se enmendaron algunas disposiciones de la Ley sobre la asistencia pública a fin de proteger a las mujeres kuwaitíes casadas con no kuwaitíes, así como a sus hijos, en caso de que se certificara médic</w:t>
      </w:r>
      <w:r>
        <w:t>a</w:t>
      </w:r>
      <w:r>
        <w:t>mente que su marido estaba incapacitado para realizar cualquier tipo de trabajo. Antes de esa enmienda, correspondía la prestación de asistencia como excepción a la norma de que la Ley se aplicaba únicamente a las familias e individuos kuwaitíes:</w:t>
      </w:r>
    </w:p>
    <w:p w:rsidR="00000000" w:rsidRDefault="00000000">
      <w:pPr>
        <w:pStyle w:val="SingleTxt"/>
        <w:numPr>
          <w:ilvl w:val="0"/>
          <w:numId w:val="65"/>
        </w:numPr>
        <w:tabs>
          <w:tab w:val="clear" w:pos="2218"/>
          <w:tab w:val="left" w:pos="2268"/>
        </w:tabs>
      </w:pPr>
      <w:r>
        <w:t>Incapacidad financiera del sostén de la familia para sufragar sus gastos personales, como en el caso de las personas insolventes y las personas que estuviesen cumpliendo una pena de prisión;</w:t>
      </w:r>
    </w:p>
    <w:p w:rsidR="00000000" w:rsidRDefault="00000000">
      <w:pPr>
        <w:pStyle w:val="SingleTxt"/>
        <w:numPr>
          <w:ilvl w:val="0"/>
          <w:numId w:val="65"/>
        </w:numPr>
      </w:pPr>
      <w:r>
        <w:t>Otros casos especiales, como el de las familias afectadas por desastres públicos o personales.</w:t>
      </w:r>
    </w:p>
    <w:p w:rsidR="00000000" w:rsidRDefault="00000000">
      <w:pPr>
        <w:pStyle w:val="SingleTxt"/>
        <w:ind w:firstLine="475"/>
      </w:pPr>
      <w:r>
        <w:t>Habida cuenta del deseo de la legislatura de ampliar el conjunto de benefici</w:t>
      </w:r>
      <w:r>
        <w:t>a</w:t>
      </w:r>
      <w:r>
        <w:t>rios de la asistencia prestada por el Estado, la Ley N° 16 de 1981, que enmendó a</w:t>
      </w:r>
      <w:r>
        <w:t>l</w:t>
      </w:r>
      <w:r>
        <w:t>gunas disposiciones de la Ley sobre la asistencia pública, permite que se otorguen prestaciones adicionales, como un subsidio de matrimonio, subsidios de vivienda y otras prestaciones o formas de asistencia encaminadas a permitir que las familias e individuos kuwaitíes sobrelleven las cargas de la vida o logren sus objetivos soci</w:t>
      </w:r>
      <w:r>
        <w:t>a</w:t>
      </w:r>
      <w:r>
        <w:t>les.</w:t>
      </w:r>
    </w:p>
    <w:p w:rsidR="00000000" w:rsidRDefault="00000000">
      <w:pPr>
        <w:pStyle w:val="SingleTxt"/>
        <w:ind w:firstLine="475"/>
      </w:pPr>
      <w:r>
        <w:t>Una de las razones que determinaron que se añadiera esa disposición fue la opinión de la legislatura de que no debería considerarse que la asistencia se limitaba a los inválidos, las personas desfavorecidas sin nadie que les sirviera de sostén y las personas afectadas por un infortunio o un desastre. Por el contrario, en su opinión la asistencia debería ampliarse para abarcar a otros ciudadanos que, aun cuando est</w:t>
      </w:r>
      <w:r>
        <w:t>u</w:t>
      </w:r>
      <w:r>
        <w:t>viesen empleados o fuesen trabajadores independientes, pudieran atravesar por ci</w:t>
      </w:r>
      <w:r>
        <w:t>r</w:t>
      </w:r>
      <w:r>
        <w:t>cunstancias difíciles o tener necesidades imprevistas que sólo podrían satisfacer con un alto grado de esfuerzo y dificultad, en cuyo caso el Estado les presta la asistencia especificada para tales casos.</w:t>
      </w:r>
    </w:p>
    <w:p w:rsidR="00000000" w:rsidRDefault="00000000">
      <w:pPr>
        <w:pStyle w:val="SingleTxt"/>
        <w:ind w:firstLine="475"/>
      </w:pPr>
      <w:r>
        <w:t>La Ordenanza del Gabinete N° 8 de 1982 también dispone que se preste asi</w:t>
      </w:r>
      <w:r>
        <w:t>s</w:t>
      </w:r>
      <w:r>
        <w:t>tencia a determinadas familias e individuos a quienes no se aplica la Ley sobre la asistencia pública, durante un período de un año, que puede ser prorrogado, o hasta que su crisis haya pasado, en los casos siguientes:</w:t>
      </w:r>
    </w:p>
    <w:p w:rsidR="00000000" w:rsidRDefault="00000000">
      <w:pPr>
        <w:pStyle w:val="SingleTxt"/>
        <w:numPr>
          <w:ilvl w:val="0"/>
          <w:numId w:val="26"/>
        </w:numPr>
        <w:tabs>
          <w:tab w:val="clear" w:pos="360"/>
          <w:tab w:val="num" w:pos="2102"/>
        </w:tabs>
        <w:ind w:left="2102"/>
      </w:pPr>
      <w:r>
        <w:t>Las familias disgregadas como consecuencia de la adicción a las drogas o el alcoholismo del marido, a las que se presta asistencia tanto si el marido es kuwaití como si no lo es;</w:t>
      </w:r>
    </w:p>
    <w:p w:rsidR="00000000" w:rsidRDefault="00000000">
      <w:pPr>
        <w:pStyle w:val="SingleTxt"/>
        <w:numPr>
          <w:ilvl w:val="0"/>
          <w:numId w:val="26"/>
        </w:numPr>
        <w:tabs>
          <w:tab w:val="clear" w:pos="360"/>
          <w:tab w:val="num" w:pos="2102"/>
        </w:tabs>
        <w:ind w:left="2102"/>
      </w:pPr>
      <w:r>
        <w:t>Las mujeres kuwaitíes abandonadas desde mucho tiempo atrás por sus m</w:t>
      </w:r>
      <w:r>
        <w:t>a</w:t>
      </w:r>
      <w:r>
        <w:t>r</w:t>
      </w:r>
      <w:r>
        <w:t>i</w:t>
      </w:r>
      <w:r>
        <w:t>dos, cuyo paradero se desconoce;</w:t>
      </w:r>
    </w:p>
    <w:p w:rsidR="00000000" w:rsidRDefault="00000000">
      <w:pPr>
        <w:pStyle w:val="SingleTxt"/>
        <w:numPr>
          <w:ilvl w:val="0"/>
          <w:numId w:val="26"/>
        </w:numPr>
        <w:tabs>
          <w:tab w:val="clear" w:pos="360"/>
          <w:tab w:val="num" w:pos="2102"/>
        </w:tabs>
        <w:ind w:left="2102"/>
      </w:pPr>
      <w:r>
        <w:t>Las mujeres kuwaitíes a las que se haya otorgado pensión alimenticia para ellas y para sus hijos sin que se les haya concedido el divorcio;</w:t>
      </w:r>
    </w:p>
    <w:p w:rsidR="00000000" w:rsidRDefault="00000000">
      <w:pPr>
        <w:pStyle w:val="SingleTxt"/>
        <w:numPr>
          <w:ilvl w:val="0"/>
          <w:numId w:val="26"/>
        </w:numPr>
        <w:tabs>
          <w:tab w:val="clear" w:pos="360"/>
          <w:tab w:val="num" w:pos="2102"/>
        </w:tabs>
        <w:ind w:left="2102"/>
      </w:pPr>
      <w:r>
        <w:t>Los hijos de una mujer kuwaití con otro marido que no tengan ingresos por haber perdido a su padre o porque éste los haya abandonado en razón de su adicción a las drogas o su alcoholismo.</w:t>
      </w:r>
    </w:p>
    <w:p w:rsidR="00000000" w:rsidRDefault="00000000">
      <w:pPr>
        <w:pStyle w:val="SingleTxt"/>
        <w:ind w:firstLine="475"/>
      </w:pPr>
      <w:r>
        <w:t>Las categorías que tienen derecho a asistencia se especifican en la ordenanza relativa al derecho a la asistencia pública y a la determinación y la asignación de d</w:t>
      </w:r>
      <w:r>
        <w:t>i</w:t>
      </w:r>
      <w:r>
        <w:t>cha asistencia, promulgada el 4 de marzo de 1978, cuyas disposiciones comprenden a las mujeres viudas o divorciadas, las solteras, los huérfanos, las personas de edad, los discapacitados, los enfermos, las personas incapacitadas financieramente, los estudiantes y las familias de los reclusos. La asistencia básica fijada para las pers</w:t>
      </w:r>
      <w:r>
        <w:t>o</w:t>
      </w:r>
      <w:r>
        <w:t>nas que tienen ese derecho es la siguiente</w:t>
      </w:r>
    </w:p>
    <w:p w:rsidR="00000000" w:rsidRDefault="00000000">
      <w:pPr>
        <w:pStyle w:val="SingleTxt"/>
        <w:numPr>
          <w:ilvl w:val="0"/>
          <w:numId w:val="26"/>
        </w:numPr>
        <w:tabs>
          <w:tab w:val="clear" w:pos="360"/>
          <w:tab w:val="num" w:pos="2102"/>
        </w:tabs>
        <w:ind w:left="2102"/>
      </w:pPr>
      <w:r>
        <w:t>KD 60 para las personas que sean cabeza de familia o carezcan de familia;</w:t>
      </w:r>
    </w:p>
    <w:p w:rsidR="00000000" w:rsidRDefault="00000000">
      <w:pPr>
        <w:pStyle w:val="SingleTxt"/>
        <w:numPr>
          <w:ilvl w:val="0"/>
          <w:numId w:val="26"/>
        </w:numPr>
        <w:tabs>
          <w:tab w:val="clear" w:pos="360"/>
          <w:tab w:val="num" w:pos="2102"/>
        </w:tabs>
        <w:ind w:left="2102"/>
      </w:pPr>
      <w:r>
        <w:t>KD 40 para las esposas:</w:t>
      </w:r>
    </w:p>
    <w:p w:rsidR="00000000" w:rsidRDefault="00000000">
      <w:pPr>
        <w:pStyle w:val="SingleTxt"/>
        <w:numPr>
          <w:ilvl w:val="0"/>
          <w:numId w:val="26"/>
        </w:numPr>
        <w:tabs>
          <w:tab w:val="clear" w:pos="360"/>
          <w:tab w:val="num" w:pos="2102"/>
        </w:tabs>
        <w:ind w:left="2102"/>
      </w:pPr>
      <w:r>
        <w:t>KD 35 para los estudiantes universitarios;</w:t>
      </w:r>
    </w:p>
    <w:p w:rsidR="00000000" w:rsidRDefault="00000000">
      <w:pPr>
        <w:pStyle w:val="SingleTxt"/>
        <w:numPr>
          <w:ilvl w:val="0"/>
          <w:numId w:val="26"/>
        </w:numPr>
        <w:tabs>
          <w:tab w:val="clear" w:pos="360"/>
          <w:tab w:val="num" w:pos="2102"/>
        </w:tabs>
        <w:ind w:left="2102"/>
      </w:pPr>
      <w:r>
        <w:t>KD 30 para los estudiantes de escuelas secundarias o institutos no unive</w:t>
      </w:r>
      <w:r>
        <w:t>r</w:t>
      </w:r>
      <w:r>
        <w:t>sitarios;</w:t>
      </w:r>
    </w:p>
    <w:p w:rsidR="00000000" w:rsidRDefault="00000000">
      <w:pPr>
        <w:pStyle w:val="SingleTxt"/>
        <w:numPr>
          <w:ilvl w:val="0"/>
          <w:numId w:val="26"/>
        </w:numPr>
        <w:tabs>
          <w:tab w:val="clear" w:pos="360"/>
          <w:tab w:val="num" w:pos="2102"/>
        </w:tabs>
        <w:ind w:left="2102"/>
      </w:pPr>
      <w:r>
        <w:t>KD 25 para los estudiantes del ciclo intermedio;</w:t>
      </w:r>
    </w:p>
    <w:p w:rsidR="00000000" w:rsidRDefault="00000000">
      <w:pPr>
        <w:pStyle w:val="SingleTxt"/>
        <w:numPr>
          <w:ilvl w:val="0"/>
          <w:numId w:val="26"/>
        </w:numPr>
        <w:tabs>
          <w:tab w:val="clear" w:pos="360"/>
          <w:tab w:val="num" w:pos="2102"/>
        </w:tabs>
        <w:ind w:left="2102"/>
      </w:pPr>
      <w:r>
        <w:t>KD 20 para los estudiantes de escuelas primarias;</w:t>
      </w:r>
    </w:p>
    <w:p w:rsidR="00000000" w:rsidRDefault="00000000">
      <w:pPr>
        <w:pStyle w:val="SingleTxt"/>
        <w:numPr>
          <w:ilvl w:val="0"/>
          <w:numId w:val="26"/>
        </w:numPr>
        <w:tabs>
          <w:tab w:val="clear" w:pos="360"/>
          <w:tab w:val="num" w:pos="2102"/>
        </w:tabs>
        <w:ind w:left="2102"/>
      </w:pPr>
      <w:r>
        <w:t>KD 15 para las personas que no estén estudiando.</w:t>
      </w:r>
    </w:p>
    <w:p w:rsidR="00000000" w:rsidRDefault="00000000">
      <w:pPr>
        <w:pStyle w:val="SingleTxt"/>
        <w:ind w:firstLine="475"/>
      </w:pPr>
      <w:r>
        <w:t>Dicha asistencia se asigna a un máximo de 15 personas por familia y es pagada por dependencias sociales distribuidas en todo Kuwait para comodidad de esas cat</w:t>
      </w:r>
      <w:r>
        <w:t>e</w:t>
      </w:r>
      <w:r>
        <w:t>gorías.</w:t>
      </w:r>
    </w:p>
    <w:p w:rsidR="00000000" w:rsidRDefault="00000000">
      <w:pPr>
        <w:pStyle w:val="SingleTxt"/>
        <w:ind w:firstLine="475"/>
      </w:pPr>
      <w:r>
        <w:t>Además de lo indicado, como muestra de su preocupación y de los esfuerzos que realiza por elevar el nivel de vida de las personas, el Estado promulgó la Ley N° 1 de 1990, por la que se otorgaron incrementos de las prestaciones sociales y la asistencia pública, que determinó un incremento del 25% en las prestaciones soci</w:t>
      </w:r>
      <w:r>
        <w:t>a</w:t>
      </w:r>
      <w:r>
        <w:t>les de las personas solteras y casadas comprendidas dentro de la Ley sobre la fu</w:t>
      </w:r>
      <w:r>
        <w:t>n</w:t>
      </w:r>
      <w:r>
        <w:t>ción p</w:t>
      </w:r>
      <w:r>
        <w:t>ú</w:t>
      </w:r>
      <w:r>
        <w:t>blica.</w:t>
      </w:r>
    </w:p>
    <w:p w:rsidR="00000000" w:rsidRDefault="00000000">
      <w:pPr>
        <w:pStyle w:val="SingleTxt"/>
        <w:ind w:firstLine="475"/>
      </w:pPr>
      <w:r>
        <w:t>La misma Ley dispuso también un incremento de KD 30 por mes en las pe</w:t>
      </w:r>
      <w:r>
        <w:t>n</w:t>
      </w:r>
      <w:r>
        <w:t>siones de jubilación correspondientes de conformidad con las normas y reglament</w:t>
      </w:r>
      <w:r>
        <w:t>a</w:t>
      </w:r>
      <w:r>
        <w:t>ciones establecidas por la junta directiva de la Organización General de la Seguridad Social.</w:t>
      </w:r>
    </w:p>
    <w:p w:rsidR="00000000" w:rsidRDefault="00000000">
      <w:pPr>
        <w:pStyle w:val="SingleTxt"/>
        <w:ind w:firstLine="475"/>
      </w:pPr>
      <w:r>
        <w:t>La legislatura adoptó una disposición especial para el incremento de la asiste</w:t>
      </w:r>
      <w:r>
        <w:t>n</w:t>
      </w:r>
      <w:r>
        <w:t>cia pública, con arreglo al cual toda persona con derecho a dicha asistencia recibió un incremento de KD 30.</w:t>
      </w:r>
    </w:p>
    <w:p w:rsidR="00000000" w:rsidRDefault="00000000">
      <w:pPr>
        <w:pStyle w:val="SingleTxt"/>
        <w:ind w:firstLine="475"/>
      </w:pPr>
      <w:r>
        <w:t>Se puso cuidado en asegurar que las disposiciones relativas a los aumentos fuesen generales, de modo que pudiesen aplicarse a los ciudadanos, los jubilados y los beneficiarios de la asistencia pública en una diversidad de situaciones. Cada una de esas categorías está sujeta normas diferentes.</w:t>
      </w:r>
    </w:p>
    <w:p w:rsidR="00000000" w:rsidRDefault="00000000">
      <w:pPr>
        <w:pStyle w:val="SingleTxt"/>
        <w:ind w:firstLine="475"/>
      </w:pPr>
      <w:r>
        <w:t>También se promulgó el Decreto Legislativo N° 14/1992, por el que se otorgó un aumento de los beneficios sociales, las pensiones de jubilación y la asistencia pública. Con arreglo a sus disposiciones, se otorgó a las personas que ya estaban r</w:t>
      </w:r>
      <w:r>
        <w:t>e</w:t>
      </w:r>
      <w:r>
        <w:t>cibiendo asistencia en el momento en que entró en vigor un aumento del 50% del monto de la asistencia mensual que estuvieran recibiendo. Análogamente, se otorg</w:t>
      </w:r>
      <w:r>
        <w:t>a</w:t>
      </w:r>
      <w:r>
        <w:t>ron aumentos de cuantías diversas a los jubilados y también se incrementaron las prestaciones sociales correspondientes a los ciudadanos.</w:t>
      </w:r>
    </w:p>
    <w:p w:rsidR="00000000" w:rsidRDefault="00000000">
      <w:pPr>
        <w:pStyle w:val="SingleTxt"/>
        <w:ind w:firstLine="475"/>
      </w:pPr>
      <w:r>
        <w:t>De las leyes mencionadas relativas a la asistencia pública otorgada por el Est</w:t>
      </w:r>
      <w:r>
        <w:t>a</w:t>
      </w:r>
      <w:r>
        <w:t>do por conducto del Ministerio de Asuntos Sociales y Trabajo, que es la autoridad encargada por el Estado de pagar esa asistencia, es evidente que las mujeres, casadas o no, figuran en primer plano entre los beneficiarios de la asistencia pública, cosa que indica la preocupación de la ley por garantizar un nivel de vida a las mujeres y a los miembros de sus familias.</w:t>
      </w:r>
    </w:p>
    <w:p w:rsidR="00000000" w:rsidRDefault="00000000">
      <w:pPr>
        <w:pStyle w:val="SingleTxt"/>
        <w:ind w:firstLine="475"/>
      </w:pPr>
      <w:r>
        <w:t>A pesar de la ayuda y la asistencia que el Estado otorga a determinadas categ</w:t>
      </w:r>
      <w:r>
        <w:t>o</w:t>
      </w:r>
      <w:r>
        <w:t>rías, quedan otras categorías sociales con problemas económicos que afectan a la tranquilidad y la estabilidad de la familia, en particular si la mujer es el sostén en casos en que no hay jefe del hogar o si la mujer tiene necesidades especiales. Cons</w:t>
      </w:r>
      <w:r>
        <w:t>i</w:t>
      </w:r>
      <w:r>
        <w:t>guientemente, el Ministerio de Asuntos Sociales y Trabajo, junto con el Fondo de Dotación para el Desarrollo Científico y Social, concibió el proyecto “Frutos de mi Trabajo” como forma de subrayar la importancia del trabajo en la vida de las pers</w:t>
      </w:r>
      <w:r>
        <w:t>o</w:t>
      </w:r>
      <w:r>
        <w:t>nas. Dicho proyecto se dirige a las categorías que reciben asistencia financiera del Ministerio de Asuntos Sociales y Trabajo, con el objetivo de incrementar sus ingr</w:t>
      </w:r>
      <w:r>
        <w:t>e</w:t>
      </w:r>
      <w:r>
        <w:t>sos, por un lado, y asimismo hacerlas pasar del ámbito de la asistencia pública al de la actividad productiva, en particular habida cuenta de que el 80% de las personas que integran dichas categorías tienen certificados de educación intermedia y secu</w:t>
      </w:r>
      <w:r>
        <w:t>n</w:t>
      </w:r>
      <w:r>
        <w:t>daria y están comprendidas en el grupo de edades de 25 a 40 años. El proyecto org</w:t>
      </w:r>
      <w:r>
        <w:t>a</w:t>
      </w:r>
      <w:r>
        <w:t>niza cursos gratuitos con los objetivos de:</w:t>
      </w:r>
    </w:p>
    <w:p w:rsidR="00000000" w:rsidRDefault="00000000">
      <w:pPr>
        <w:pStyle w:val="SingleTxt"/>
        <w:numPr>
          <w:ilvl w:val="0"/>
          <w:numId w:val="28"/>
        </w:numPr>
        <w:tabs>
          <w:tab w:val="clear" w:pos="360"/>
          <w:tab w:val="num" w:pos="2102"/>
        </w:tabs>
        <w:ind w:left="2102"/>
      </w:pPr>
      <w:r>
        <w:t>Elevar el nivel económico de las familias desfavorecidas que están rec</w:t>
      </w:r>
      <w:r>
        <w:t>i</w:t>
      </w:r>
      <w:r>
        <w:t>biendo asistencia;</w:t>
      </w:r>
    </w:p>
    <w:p w:rsidR="00000000" w:rsidRDefault="00000000">
      <w:pPr>
        <w:pStyle w:val="SingleTxt"/>
        <w:numPr>
          <w:ilvl w:val="0"/>
          <w:numId w:val="28"/>
        </w:numPr>
        <w:tabs>
          <w:tab w:val="clear" w:pos="360"/>
          <w:tab w:val="num" w:pos="2102"/>
        </w:tabs>
        <w:ind w:left="2102"/>
      </w:pPr>
      <w:r>
        <w:t>Fortalecer las destrezas artesanales de las mujeres kuwaitíes;</w:t>
      </w:r>
    </w:p>
    <w:p w:rsidR="00000000" w:rsidRDefault="00000000">
      <w:pPr>
        <w:pStyle w:val="SingleTxt"/>
        <w:numPr>
          <w:ilvl w:val="0"/>
          <w:numId w:val="28"/>
        </w:numPr>
        <w:tabs>
          <w:tab w:val="clear" w:pos="360"/>
          <w:tab w:val="num" w:pos="2102"/>
        </w:tabs>
        <w:ind w:left="2102"/>
      </w:pPr>
      <w:r>
        <w:t>Utilizar los productos locales y satisfacer las necesidades del mercado;</w:t>
      </w:r>
    </w:p>
    <w:p w:rsidR="00000000" w:rsidRDefault="00000000">
      <w:pPr>
        <w:pStyle w:val="SingleTxt"/>
        <w:numPr>
          <w:ilvl w:val="0"/>
          <w:numId w:val="28"/>
        </w:numPr>
        <w:tabs>
          <w:tab w:val="clear" w:pos="360"/>
          <w:tab w:val="num" w:pos="2102"/>
        </w:tabs>
        <w:ind w:left="2102"/>
      </w:pPr>
      <w:r>
        <w:t>Abrir nuevos caminos para el trabajo artesanal y eliminar la idea de que se trata de un trabajo interior.</w:t>
      </w:r>
    </w:p>
    <w:p w:rsidR="00000000" w:rsidRDefault="00000000">
      <w:pPr>
        <w:pStyle w:val="SingleTxt"/>
        <w:ind w:firstLine="475"/>
      </w:pPr>
      <w:r>
        <w:t>La dirección del proyecto ha organizado varios cursos de capacitación en d</w:t>
      </w:r>
      <w:r>
        <w:t>i</w:t>
      </w:r>
      <w:r>
        <w:t>versas esferas a fin de captar las necesidades reales y los principales deseos del sector al que se dirige, así como asegurar, por un lado, que dichos cursos brinden la oportunidad de tender puentes de cooperación y coordinación con los organismos que trabajan con las familias, y, por otra, adquirir más experiencia en la organiz</w:t>
      </w:r>
      <w:r>
        <w:t>a</w:t>
      </w:r>
      <w:r>
        <w:t>ción de cursos de capacitación. A ese respecto, los principales cursos realizados en 2001 fueron los siguientes:</w:t>
      </w:r>
    </w:p>
    <w:p w:rsidR="00000000" w:rsidRDefault="00000000">
      <w:pPr>
        <w:pStyle w:val="SingleTxt"/>
        <w:numPr>
          <w:ilvl w:val="0"/>
          <w:numId w:val="29"/>
        </w:numPr>
        <w:tabs>
          <w:tab w:val="clear" w:pos="360"/>
          <w:tab w:val="num" w:pos="2102"/>
        </w:tabs>
        <w:ind w:left="2102"/>
      </w:pPr>
      <w:r>
        <w:t>Un curso de confección de vestimenta (29 asistentes);</w:t>
      </w:r>
    </w:p>
    <w:p w:rsidR="00000000" w:rsidRDefault="00000000">
      <w:pPr>
        <w:pStyle w:val="SingleTxt"/>
        <w:numPr>
          <w:ilvl w:val="0"/>
          <w:numId w:val="29"/>
        </w:numPr>
        <w:tabs>
          <w:tab w:val="clear" w:pos="360"/>
          <w:tab w:val="num" w:pos="2102"/>
        </w:tabs>
        <w:ind w:left="2102"/>
      </w:pPr>
      <w:r>
        <w:t>Un curso de cocina (29 asistentes);</w:t>
      </w:r>
    </w:p>
    <w:p w:rsidR="00000000" w:rsidRDefault="00000000">
      <w:pPr>
        <w:pStyle w:val="SingleTxt"/>
        <w:numPr>
          <w:ilvl w:val="0"/>
          <w:numId w:val="29"/>
        </w:numPr>
        <w:tabs>
          <w:tab w:val="clear" w:pos="360"/>
          <w:tab w:val="num" w:pos="2102"/>
        </w:tabs>
        <w:ind w:left="2102"/>
      </w:pPr>
      <w:r>
        <w:t>Un curso de confección de alhajas (25 asistentes);</w:t>
      </w:r>
    </w:p>
    <w:p w:rsidR="00000000" w:rsidRDefault="00000000">
      <w:pPr>
        <w:pStyle w:val="SingleTxt"/>
        <w:numPr>
          <w:ilvl w:val="0"/>
          <w:numId w:val="29"/>
        </w:numPr>
        <w:tabs>
          <w:tab w:val="clear" w:pos="360"/>
          <w:tab w:val="num" w:pos="2102"/>
        </w:tabs>
        <w:ind w:left="2102"/>
      </w:pPr>
      <w:r>
        <w:t>Un curso de computación (24 asistentes);</w:t>
      </w:r>
    </w:p>
    <w:p w:rsidR="00000000" w:rsidRDefault="00000000">
      <w:pPr>
        <w:pStyle w:val="SingleTxt"/>
        <w:numPr>
          <w:ilvl w:val="0"/>
          <w:numId w:val="29"/>
        </w:numPr>
        <w:tabs>
          <w:tab w:val="clear" w:pos="360"/>
          <w:tab w:val="num" w:pos="2102"/>
        </w:tabs>
        <w:ind w:left="2102"/>
      </w:pPr>
      <w:r>
        <w:t>Otros cursos (53 asistentes).</w:t>
      </w:r>
    </w:p>
    <w:p w:rsidR="00000000" w:rsidRDefault="00000000">
      <w:pPr>
        <w:pStyle w:val="SingleTxt"/>
        <w:ind w:firstLine="475"/>
      </w:pPr>
      <w:r>
        <w:t>Como parte de los esfuerzos del Estado por erradicar la pobreza y ampliar los horizontes de las mujeres incrementando sus ingresos, y en consonancia con la d</w:t>
      </w:r>
      <w:r>
        <w:t>i</w:t>
      </w:r>
      <w:r>
        <w:t>rección general de la política económica del Estado, se creó el Fondo Nacional de Inversiones con el objetivo de desarrollar la economía nacional mediante la ado</w:t>
      </w:r>
      <w:r>
        <w:t>p</w:t>
      </w:r>
      <w:r>
        <w:t>ción de programas económicos a largo plazo para prestar apoyo a pequeños proye</w:t>
      </w:r>
      <w:r>
        <w:t>c</w:t>
      </w:r>
      <w:r>
        <w:t>tos. La idea de crear el Fondo Nacional de Inversiones está basada en el objetivo de prestar apoyo a actividades de pequeña escala e iniciativas individuales que sean económicamente viables, así como otros proyectos innovadores que puedan contr</w:t>
      </w:r>
      <w:r>
        <w:t>i</w:t>
      </w:r>
      <w:r>
        <w:t>buir a desarrollar el mercado local y lograr la diversidad económica. EL 5 de marzo de 1997 se anunció la creación como persona jurídica de la Sociedad de Desarrollo de Pequeños Proyectos de Kuwait. Entre sus objetivos figuran los de promover in</w:t>
      </w:r>
      <w:r>
        <w:t>i</w:t>
      </w:r>
      <w:r>
        <w:t>ciativas empresariales individuales, apoyar y financiar las destrezas técnicas de los ciudadanos (hombres y mujeres) y fomentar el trabajo independiente y la gestión de pequeños proyectos.</w:t>
      </w:r>
    </w:p>
    <w:p w:rsidR="00000000" w:rsidRDefault="00000000">
      <w:pPr>
        <w:pStyle w:val="SingleTxt"/>
        <w:ind w:firstLine="475"/>
      </w:pPr>
      <w:r>
        <w:t>Entre las instituciones nacionales que desempeñan un importante papel en la esfera de la comprensión humana y la seguridad social figura Bayt al-Zakat (Casa Zakat), un organismo gubernamental independiente que actúa en los planos interno e internacional. Por ejemplo, en julio y agosto de 2000 gastó KD 84.543 en beneficio de 15 familias integradas por un total de 318 personas. Esa asistencia se dividió por tipos en asistencia mensual por valor de KD 4.200 y asistencia mediante sumas gl</w:t>
      </w:r>
      <w:r>
        <w:t>o</w:t>
      </w:r>
      <w:r>
        <w:t>bales por un valor de 7.343. Durante el período comprendido entre el 1° de julio y el 31 de agosto de 2000, en total 21.468 familias desfavorecidas de Kuwait recibieron asistencia de Bayt al-Zakat, que también asiste a un total de 7.465 viudas y divo</w:t>
      </w:r>
      <w:r>
        <w:t>r</w:t>
      </w:r>
      <w:r>
        <w:t>ciadas, atiende las necesidades de 199 huérfanos y brinda ayuda a 892 inválidos de Kuwait. En total, prestó asistencia por valor de KD 996.381, de la que se benefici</w:t>
      </w:r>
      <w:r>
        <w:t>a</w:t>
      </w:r>
      <w:r>
        <w:t xml:space="preserve">ron 5.088 familias. </w:t>
      </w:r>
    </w:p>
    <w:p w:rsidR="00000000" w:rsidRDefault="00000000">
      <w:pPr>
        <w:pStyle w:val="SingleTxt"/>
        <w:ind w:firstLine="475"/>
      </w:pPr>
      <w:r>
        <w:t>Además de lo que antecede, cabe mencionar que la División de Bienestar S</w:t>
      </w:r>
      <w:r>
        <w:t>o</w:t>
      </w:r>
      <w:r>
        <w:t>cial del Ministerio de Asuntos Sociales y Trabajo, que atiende a diversas categorías especiales que se beneficien de sus servicios, programas y actividades, a saber, las personas de edad, los discapacitados, los hijos de padres desconocidos, los infract</w:t>
      </w:r>
      <w:r>
        <w:t>o</w:t>
      </w:r>
      <w:r>
        <w:t>res juveniles y los jóvenes en riesgo de convertirse en infractores. En las estadísticas que figuran a continuación se destaca la importancia del sector y el importante papel que desempeña:</w:t>
      </w:r>
    </w:p>
    <w:p w:rsidR="00000000" w:rsidRDefault="00000000">
      <w:pPr>
        <w:pStyle w:val="SingleTxt"/>
        <w:spacing w:after="0" w:line="120" w:lineRule="exact"/>
        <w:jc w:val="center"/>
        <w:rPr>
          <w:sz w:val="10"/>
        </w:rPr>
      </w:pPr>
    </w:p>
    <w:p w:rsidR="00000000" w:rsidRDefault="00000000">
      <w:pPr>
        <w:pStyle w:val="SingleTxt"/>
        <w:pageBreakBefore/>
        <w:jc w:val="center"/>
      </w:pPr>
      <w:r>
        <w:t>Cantidad total de beneficiarios de los servicios prestados</w:t>
      </w:r>
      <w:r>
        <w:br/>
        <w:t>por la División en octubre de 2000</w:t>
      </w:r>
    </w:p>
    <w:p w:rsidR="00000000" w:rsidRDefault="00000000">
      <w:pPr>
        <w:pStyle w:val="SingleTxt"/>
        <w:keepNext/>
        <w:spacing w:after="0" w:line="120" w:lineRule="exact"/>
        <w:jc w:val="center"/>
        <w:rPr>
          <w:sz w:val="10"/>
        </w:rPr>
      </w:pPr>
    </w:p>
    <w:tbl>
      <w:tblPr>
        <w:tblW w:w="0" w:type="auto"/>
        <w:tblInd w:w="1154" w:type="dxa"/>
        <w:tblLayout w:type="fixed"/>
        <w:tblLook w:val="0000" w:firstRow="0" w:lastRow="0" w:firstColumn="0" w:lastColumn="0" w:noHBand="0" w:noVBand="0"/>
      </w:tblPr>
      <w:tblGrid>
        <w:gridCol w:w="2448"/>
        <w:gridCol w:w="2970"/>
        <w:gridCol w:w="900"/>
        <w:gridCol w:w="1002"/>
      </w:tblGrid>
      <w:tr w:rsidR="00000000">
        <w:tblPrEx>
          <w:tblCellMar>
            <w:top w:w="0" w:type="dxa"/>
            <w:bottom w:w="0" w:type="dxa"/>
          </w:tblCellMar>
        </w:tblPrEx>
        <w:trPr>
          <w:tblHeader/>
        </w:trPr>
        <w:tc>
          <w:tcPr>
            <w:tcW w:w="2448" w:type="dxa"/>
            <w:tcBorders>
              <w:top w:val="single" w:sz="4" w:space="0" w:color="auto"/>
            </w:tcBorders>
            <w:vAlign w:val="bottom"/>
          </w:tcPr>
          <w:p w:rsidR="00000000" w:rsidRDefault="00000000">
            <w:pPr>
              <w:pStyle w:val="SingleTxt"/>
              <w:spacing w:before="81" w:after="81" w:line="160" w:lineRule="exact"/>
              <w:ind w:left="0" w:right="40"/>
              <w:jc w:val="left"/>
              <w:rPr>
                <w:i/>
                <w:sz w:val="14"/>
              </w:rPr>
            </w:pPr>
            <w:r>
              <w:rPr>
                <w:i/>
                <w:sz w:val="14"/>
              </w:rPr>
              <w:t>Departamentos y centros anexos a la División</w:t>
            </w:r>
          </w:p>
        </w:tc>
        <w:tc>
          <w:tcPr>
            <w:tcW w:w="297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Categoría de beneficiarios</w:t>
            </w:r>
          </w:p>
        </w:tc>
        <w:tc>
          <w:tcPr>
            <w:tcW w:w="90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Cantidad actual</w:t>
            </w:r>
          </w:p>
        </w:tc>
        <w:tc>
          <w:tcPr>
            <w:tcW w:w="1002"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Sexo</w:t>
            </w:r>
          </w:p>
        </w:tc>
      </w:tr>
      <w:tr w:rsidR="00000000">
        <w:tblPrEx>
          <w:tblCellMar>
            <w:top w:w="0" w:type="dxa"/>
            <w:bottom w:w="0" w:type="dxa"/>
          </w:tblCellMar>
        </w:tblPrEx>
        <w:trPr>
          <w:trHeight w:hRule="exact" w:val="115"/>
          <w:tblHeader/>
        </w:trPr>
        <w:tc>
          <w:tcPr>
            <w:tcW w:w="2448"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297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0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0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2448"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Departamento de Bienestar de los discapacitados</w:t>
            </w:r>
          </w:p>
        </w:tc>
        <w:tc>
          <w:tcPr>
            <w:tcW w:w="2970"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Personas discapacitadas de todas las categ</w:t>
            </w:r>
            <w:r>
              <w:rPr>
                <w:sz w:val="14"/>
              </w:rPr>
              <w:t>o</w:t>
            </w:r>
            <w:r>
              <w:rPr>
                <w:sz w:val="14"/>
              </w:rPr>
              <w:t>rías y alojamiento completo para algunos casos de adu</w:t>
            </w:r>
            <w:r>
              <w:rPr>
                <w:sz w:val="14"/>
              </w:rPr>
              <w:t>l</w:t>
            </w:r>
            <w:r>
              <w:rPr>
                <w:sz w:val="14"/>
              </w:rPr>
              <w:t>tos</w:t>
            </w:r>
          </w:p>
        </w:tc>
        <w:tc>
          <w:tcPr>
            <w:tcW w:w="900"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858</w:t>
            </w:r>
          </w:p>
        </w:tc>
        <w:tc>
          <w:tcPr>
            <w:tcW w:w="1002"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Hombres y mujeres</w:t>
            </w:r>
          </w:p>
        </w:tc>
      </w:tr>
      <w:tr w:rsidR="00000000">
        <w:tblPrEx>
          <w:tblCellMar>
            <w:top w:w="0" w:type="dxa"/>
            <w:bottom w:w="0" w:type="dxa"/>
          </w:tblCellMar>
        </w:tblPrEx>
        <w:tc>
          <w:tcPr>
            <w:tcW w:w="2448"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Departamento de Bienestar Juvenil</w:t>
            </w:r>
          </w:p>
        </w:tc>
        <w:tc>
          <w:tcPr>
            <w:tcW w:w="2970"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Juveniles e infractores/ detenidos/juveniles en riesgo de delincuencia/juveniles sente</w:t>
            </w:r>
            <w:r>
              <w:rPr>
                <w:sz w:val="14"/>
              </w:rPr>
              <w:t>n</w:t>
            </w:r>
            <w:r>
              <w:rPr>
                <w:sz w:val="14"/>
              </w:rPr>
              <w:t>ciados</w:t>
            </w:r>
          </w:p>
        </w:tc>
        <w:tc>
          <w:tcPr>
            <w:tcW w:w="900"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366</w:t>
            </w:r>
          </w:p>
        </w:tc>
        <w:tc>
          <w:tcPr>
            <w:tcW w:w="1002"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Hombres y mujeres</w:t>
            </w:r>
          </w:p>
        </w:tc>
      </w:tr>
      <w:tr w:rsidR="00000000">
        <w:tblPrEx>
          <w:tblCellMar>
            <w:top w:w="0" w:type="dxa"/>
            <w:bottom w:w="0" w:type="dxa"/>
          </w:tblCellMar>
        </w:tblPrEx>
        <w:tc>
          <w:tcPr>
            <w:tcW w:w="2448"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Departamento de Hogares de Gua</w:t>
            </w:r>
            <w:r>
              <w:rPr>
                <w:sz w:val="14"/>
              </w:rPr>
              <w:t>r</w:t>
            </w:r>
            <w:r>
              <w:rPr>
                <w:sz w:val="14"/>
              </w:rPr>
              <w:t>da</w:t>
            </w:r>
          </w:p>
        </w:tc>
        <w:tc>
          <w:tcPr>
            <w:tcW w:w="2970"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Hijos de padres desconocidos e hijos de h</w:t>
            </w:r>
            <w:r>
              <w:rPr>
                <w:sz w:val="14"/>
              </w:rPr>
              <w:t>o</w:t>
            </w:r>
            <w:r>
              <w:rPr>
                <w:sz w:val="14"/>
              </w:rPr>
              <w:t>gares disgregados</w:t>
            </w:r>
          </w:p>
        </w:tc>
        <w:tc>
          <w:tcPr>
            <w:tcW w:w="900"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666</w:t>
            </w:r>
          </w:p>
        </w:tc>
        <w:tc>
          <w:tcPr>
            <w:tcW w:w="1002"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Hombres y mujeres</w:t>
            </w:r>
          </w:p>
        </w:tc>
      </w:tr>
      <w:tr w:rsidR="00000000">
        <w:tblPrEx>
          <w:tblCellMar>
            <w:top w:w="0" w:type="dxa"/>
            <w:bottom w:w="0" w:type="dxa"/>
          </w:tblCellMar>
        </w:tblPrEx>
        <w:tc>
          <w:tcPr>
            <w:tcW w:w="2448"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Centro de Rehabilitación Vocaci</w:t>
            </w:r>
            <w:r>
              <w:rPr>
                <w:sz w:val="14"/>
              </w:rPr>
              <w:t>o</w:t>
            </w:r>
            <w:r>
              <w:rPr>
                <w:sz w:val="14"/>
              </w:rPr>
              <w:t>nal</w:t>
            </w:r>
          </w:p>
        </w:tc>
        <w:tc>
          <w:tcPr>
            <w:tcW w:w="2970"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Personas discapacitadas aptas para capacit</w:t>
            </w:r>
            <w:r>
              <w:rPr>
                <w:sz w:val="14"/>
              </w:rPr>
              <w:t>a</w:t>
            </w:r>
            <w:r>
              <w:rPr>
                <w:sz w:val="14"/>
              </w:rPr>
              <w:t>ción vocacional</w:t>
            </w:r>
          </w:p>
        </w:tc>
        <w:tc>
          <w:tcPr>
            <w:tcW w:w="900"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208</w:t>
            </w:r>
          </w:p>
        </w:tc>
        <w:tc>
          <w:tcPr>
            <w:tcW w:w="1002"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Hombres y mujeres</w:t>
            </w:r>
          </w:p>
        </w:tc>
      </w:tr>
      <w:tr w:rsidR="00000000">
        <w:tblPrEx>
          <w:tblCellMar>
            <w:top w:w="0" w:type="dxa"/>
            <w:bottom w:w="0" w:type="dxa"/>
          </w:tblCellMar>
        </w:tblPrEx>
        <w:tc>
          <w:tcPr>
            <w:tcW w:w="2448"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Centro de Atención Domiciliaria Móvil para las Personas de Edad</w:t>
            </w:r>
          </w:p>
        </w:tc>
        <w:tc>
          <w:tcPr>
            <w:tcW w:w="2970"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Personas de edad en su hogar</w:t>
            </w:r>
          </w:p>
        </w:tc>
        <w:tc>
          <w:tcPr>
            <w:tcW w:w="900"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1 115</w:t>
            </w:r>
          </w:p>
        </w:tc>
        <w:tc>
          <w:tcPr>
            <w:tcW w:w="1002"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Hombres y mujeres</w:t>
            </w:r>
          </w:p>
        </w:tc>
      </w:tr>
      <w:tr w:rsidR="00000000">
        <w:tblPrEx>
          <w:tblCellMar>
            <w:top w:w="0" w:type="dxa"/>
            <w:bottom w:w="0" w:type="dxa"/>
          </w:tblCellMar>
        </w:tblPrEx>
        <w:tc>
          <w:tcPr>
            <w:tcW w:w="2448" w:type="dxa"/>
            <w:tcBorders>
              <w:bottom w:val="single" w:sz="4"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Centro de Intervención Temprana para Niños Discapacitados</w:t>
            </w:r>
          </w:p>
        </w:tc>
        <w:tc>
          <w:tcPr>
            <w:tcW w:w="2970" w:type="dxa"/>
            <w:tcBorders>
              <w:bottom w:val="single" w:sz="4"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Niños discapacitados desde un día hasta cinco años de edad en su hogar</w:t>
            </w:r>
          </w:p>
        </w:tc>
        <w:tc>
          <w:tcPr>
            <w:tcW w:w="900" w:type="dxa"/>
            <w:tcBorders>
              <w:bottom w:val="single" w:sz="4"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214</w:t>
            </w:r>
          </w:p>
        </w:tc>
        <w:tc>
          <w:tcPr>
            <w:tcW w:w="1002" w:type="dxa"/>
            <w:tcBorders>
              <w:bottom w:val="single" w:sz="4"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Hombres y mujeres</w:t>
            </w:r>
          </w:p>
        </w:tc>
      </w:tr>
      <w:tr w:rsidR="00000000">
        <w:tblPrEx>
          <w:tblCellMar>
            <w:top w:w="0" w:type="dxa"/>
            <w:bottom w:w="0" w:type="dxa"/>
          </w:tblCellMar>
        </w:tblPrEx>
        <w:tc>
          <w:tcPr>
            <w:tcW w:w="2448" w:type="dxa"/>
            <w:tcBorders>
              <w:top w:val="single" w:sz="4" w:space="0" w:color="auto"/>
              <w:bottom w:val="single" w:sz="12"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left"/>
              <w:rPr>
                <w:b/>
                <w:sz w:val="14"/>
              </w:rPr>
            </w:pPr>
            <w:r>
              <w:rPr>
                <w:b/>
                <w:sz w:val="14"/>
              </w:rPr>
              <w:t>Total</w:t>
            </w:r>
          </w:p>
        </w:tc>
        <w:tc>
          <w:tcPr>
            <w:tcW w:w="2970" w:type="dxa"/>
            <w:tcBorders>
              <w:top w:val="single" w:sz="4" w:space="0" w:color="auto"/>
              <w:bottom w:val="single" w:sz="12"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left"/>
              <w:rPr>
                <w:b/>
                <w:sz w:val="14"/>
              </w:rPr>
            </w:pPr>
          </w:p>
        </w:tc>
        <w:tc>
          <w:tcPr>
            <w:tcW w:w="900" w:type="dxa"/>
            <w:tcBorders>
              <w:top w:val="single" w:sz="4" w:space="0" w:color="auto"/>
              <w:bottom w:val="single" w:sz="12"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right"/>
              <w:rPr>
                <w:b/>
                <w:sz w:val="14"/>
              </w:rPr>
            </w:pPr>
            <w:r>
              <w:rPr>
                <w:b/>
                <w:sz w:val="14"/>
              </w:rPr>
              <w:t>3 427</w:t>
            </w:r>
          </w:p>
        </w:tc>
        <w:tc>
          <w:tcPr>
            <w:tcW w:w="1002" w:type="dxa"/>
            <w:tcBorders>
              <w:top w:val="single" w:sz="4" w:space="0" w:color="auto"/>
              <w:bottom w:val="single" w:sz="12"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left"/>
              <w:rPr>
                <w:b/>
                <w:sz w:val="14"/>
              </w:rPr>
            </w:pPr>
          </w:p>
        </w:tc>
      </w:tr>
    </w:tbl>
    <w:p w:rsidR="00000000" w:rsidRDefault="00000000">
      <w:pPr>
        <w:pStyle w:val="SingleTxt"/>
        <w:keepNext/>
        <w:jc w:val="center"/>
      </w:pPr>
    </w:p>
    <w:p w:rsidR="00000000" w:rsidRDefault="00000000">
      <w:pPr>
        <w:pStyle w:val="SingleTxt"/>
        <w:keepNext/>
        <w:jc w:val="center"/>
      </w:pPr>
    </w:p>
    <w:p w:rsidR="00000000" w:rsidRDefault="00000000">
      <w:pPr>
        <w:pStyle w:val="SingleTxt"/>
        <w:keepNext/>
        <w:jc w:val="center"/>
      </w:pPr>
      <w:r>
        <w:t xml:space="preserve">Datos estadísticos correspondientes a octubre de 2000 sobre los beneficiarios </w:t>
      </w:r>
      <w:r>
        <w:br/>
        <w:t>regi</w:t>
      </w:r>
      <w:r>
        <w:t>s</w:t>
      </w:r>
      <w:r>
        <w:t>trados en el Centro de Atención Domiciliaria Móvil para las Personas de Edad</w:t>
      </w:r>
    </w:p>
    <w:p w:rsidR="00000000" w:rsidRDefault="00000000">
      <w:pPr>
        <w:pStyle w:val="SingleTxt"/>
        <w:keepNext/>
        <w:spacing w:after="0" w:line="120" w:lineRule="exact"/>
        <w:jc w:val="center"/>
        <w:rPr>
          <w:sz w:val="10"/>
        </w:rPr>
      </w:pPr>
    </w:p>
    <w:tbl>
      <w:tblPr>
        <w:tblW w:w="0" w:type="auto"/>
        <w:jc w:val="center"/>
        <w:tblLayout w:type="fixed"/>
        <w:tblLook w:val="0000" w:firstRow="0" w:lastRow="0" w:firstColumn="0" w:lastColumn="0" w:noHBand="0" w:noVBand="0"/>
      </w:tblPr>
      <w:tblGrid>
        <w:gridCol w:w="2170"/>
        <w:gridCol w:w="1701"/>
        <w:gridCol w:w="1619"/>
        <w:gridCol w:w="1830"/>
      </w:tblGrid>
      <w:tr w:rsidR="00000000">
        <w:tblPrEx>
          <w:tblCellMar>
            <w:top w:w="0" w:type="dxa"/>
            <w:bottom w:w="0" w:type="dxa"/>
          </w:tblCellMar>
        </w:tblPrEx>
        <w:trPr>
          <w:cantSplit/>
          <w:tblHeader/>
          <w:jc w:val="center"/>
        </w:trPr>
        <w:tc>
          <w:tcPr>
            <w:tcW w:w="3871" w:type="dxa"/>
            <w:gridSpan w:val="2"/>
            <w:tcBorders>
              <w:top w:val="single" w:sz="4" w:space="0" w:color="auto"/>
            </w:tcBorders>
            <w:vAlign w:val="bottom"/>
          </w:tcPr>
          <w:p w:rsidR="00000000" w:rsidRDefault="00000000">
            <w:pPr>
              <w:pStyle w:val="SingleTxt"/>
              <w:spacing w:before="81" w:after="81" w:line="160" w:lineRule="exact"/>
              <w:ind w:left="0" w:right="40"/>
              <w:jc w:val="center"/>
              <w:rPr>
                <w:i/>
                <w:sz w:val="14"/>
              </w:rPr>
            </w:pPr>
          </w:p>
        </w:tc>
        <w:tc>
          <w:tcPr>
            <w:tcW w:w="3449" w:type="dxa"/>
            <w:gridSpan w:val="2"/>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Actividad de la Oficina de Investigación (en cifras)</w:t>
            </w:r>
          </w:p>
        </w:tc>
      </w:tr>
      <w:tr w:rsidR="00000000">
        <w:tblPrEx>
          <w:tblCellMar>
            <w:top w:w="0" w:type="dxa"/>
            <w:bottom w:w="0" w:type="dxa"/>
          </w:tblCellMar>
        </w:tblPrEx>
        <w:trPr>
          <w:tblHeader/>
          <w:jc w:val="center"/>
        </w:trPr>
        <w:tc>
          <w:tcPr>
            <w:tcW w:w="2170" w:type="dxa"/>
            <w:vAlign w:val="bottom"/>
          </w:tcPr>
          <w:p w:rsidR="00000000" w:rsidRDefault="00000000">
            <w:pPr>
              <w:pStyle w:val="SingleTxt"/>
              <w:spacing w:after="81" w:line="160" w:lineRule="exact"/>
              <w:ind w:left="0" w:right="40"/>
              <w:jc w:val="center"/>
              <w:rPr>
                <w:i/>
                <w:sz w:val="14"/>
              </w:rPr>
            </w:pPr>
            <w:r>
              <w:rPr>
                <w:i/>
                <w:sz w:val="14"/>
              </w:rPr>
              <w:t>Rubro</w:t>
            </w:r>
          </w:p>
        </w:tc>
        <w:tc>
          <w:tcPr>
            <w:tcW w:w="1701" w:type="dxa"/>
            <w:vAlign w:val="bottom"/>
          </w:tcPr>
          <w:p w:rsidR="00000000" w:rsidRDefault="00000000">
            <w:pPr>
              <w:pStyle w:val="SingleTxt"/>
              <w:spacing w:after="81" w:line="160" w:lineRule="exact"/>
              <w:ind w:left="0" w:right="40"/>
              <w:jc w:val="center"/>
              <w:rPr>
                <w:i/>
                <w:sz w:val="14"/>
              </w:rPr>
            </w:pPr>
            <w:r>
              <w:rPr>
                <w:i/>
                <w:sz w:val="14"/>
              </w:rPr>
              <w:t>Hombres</w:t>
            </w:r>
          </w:p>
        </w:tc>
        <w:tc>
          <w:tcPr>
            <w:tcW w:w="1619" w:type="dxa"/>
            <w:vAlign w:val="bottom"/>
          </w:tcPr>
          <w:p w:rsidR="00000000" w:rsidRDefault="00000000">
            <w:pPr>
              <w:pStyle w:val="SingleTxt"/>
              <w:spacing w:after="81" w:line="160" w:lineRule="exact"/>
              <w:ind w:left="0" w:right="40"/>
              <w:jc w:val="center"/>
              <w:rPr>
                <w:i/>
                <w:sz w:val="14"/>
              </w:rPr>
            </w:pPr>
            <w:r>
              <w:rPr>
                <w:i/>
                <w:sz w:val="14"/>
              </w:rPr>
              <w:t>Mujeres</w:t>
            </w:r>
          </w:p>
        </w:tc>
        <w:tc>
          <w:tcPr>
            <w:tcW w:w="1830" w:type="dxa"/>
            <w:vAlign w:val="bottom"/>
          </w:tcPr>
          <w:p w:rsidR="00000000" w:rsidRDefault="00000000">
            <w:pPr>
              <w:pStyle w:val="SingleTxt"/>
              <w:spacing w:after="81" w:line="160" w:lineRule="exact"/>
              <w:ind w:left="0" w:right="40"/>
              <w:jc w:val="center"/>
              <w:rPr>
                <w:i/>
                <w:sz w:val="14"/>
              </w:rPr>
            </w:pPr>
            <w:r>
              <w:rPr>
                <w:i/>
                <w:sz w:val="14"/>
              </w:rPr>
              <w:t>Total</w:t>
            </w:r>
          </w:p>
        </w:tc>
      </w:tr>
      <w:tr w:rsidR="00000000">
        <w:tblPrEx>
          <w:tblCellMar>
            <w:top w:w="0" w:type="dxa"/>
            <w:bottom w:w="0" w:type="dxa"/>
          </w:tblCellMar>
        </w:tblPrEx>
        <w:trPr>
          <w:trHeight w:hRule="exact" w:val="115"/>
          <w:tblHeader/>
          <w:jc w:val="center"/>
        </w:trPr>
        <w:tc>
          <w:tcPr>
            <w:tcW w:w="2170"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1701"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1619"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1830"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r>
      <w:tr w:rsidR="00000000">
        <w:tblPrEx>
          <w:tblCellMar>
            <w:top w:w="0" w:type="dxa"/>
            <w:bottom w:w="0" w:type="dxa"/>
          </w:tblCellMar>
        </w:tblPrEx>
        <w:trPr>
          <w:jc w:val="center"/>
        </w:trPr>
        <w:tc>
          <w:tcPr>
            <w:tcW w:w="2170" w:type="dxa"/>
            <w:vAlign w:val="bottom"/>
          </w:tcPr>
          <w:p w:rsidR="00000000" w:rsidRDefault="00000000">
            <w:pPr>
              <w:pStyle w:val="SingleTxt"/>
              <w:tabs>
                <w:tab w:val="left" w:pos="288"/>
                <w:tab w:val="left" w:pos="576"/>
                <w:tab w:val="left" w:pos="864"/>
                <w:tab w:val="left" w:pos="1152"/>
              </w:tabs>
              <w:spacing w:before="40" w:after="40" w:line="170" w:lineRule="exact"/>
              <w:ind w:left="0" w:right="40"/>
              <w:jc w:val="left"/>
              <w:rPr>
                <w:sz w:val="14"/>
              </w:rPr>
            </w:pPr>
            <w:r>
              <w:rPr>
                <w:sz w:val="14"/>
              </w:rPr>
              <w:t>Cantidad real de c</w:t>
            </w:r>
            <w:r>
              <w:rPr>
                <w:sz w:val="14"/>
              </w:rPr>
              <w:t>a</w:t>
            </w:r>
            <w:r>
              <w:rPr>
                <w:sz w:val="14"/>
              </w:rPr>
              <w:t>sos</w:t>
            </w:r>
          </w:p>
        </w:tc>
        <w:tc>
          <w:tcPr>
            <w:tcW w:w="1701" w:type="dxa"/>
            <w:vAlign w:val="bottom"/>
          </w:tcPr>
          <w:p w:rsidR="00000000" w:rsidRDefault="00000000">
            <w:pPr>
              <w:pStyle w:val="SingleTxt"/>
              <w:tabs>
                <w:tab w:val="left" w:pos="288"/>
                <w:tab w:val="left" w:pos="576"/>
                <w:tab w:val="left" w:pos="864"/>
                <w:tab w:val="left" w:pos="1152"/>
              </w:tabs>
              <w:spacing w:before="40" w:after="40" w:line="170" w:lineRule="exact"/>
              <w:ind w:left="0" w:right="40"/>
              <w:jc w:val="right"/>
              <w:rPr>
                <w:sz w:val="14"/>
              </w:rPr>
            </w:pPr>
            <w:r>
              <w:rPr>
                <w:sz w:val="14"/>
              </w:rPr>
              <w:t>385</w:t>
            </w:r>
          </w:p>
        </w:tc>
        <w:tc>
          <w:tcPr>
            <w:tcW w:w="1619" w:type="dxa"/>
            <w:vAlign w:val="bottom"/>
          </w:tcPr>
          <w:p w:rsidR="00000000" w:rsidRDefault="00000000">
            <w:pPr>
              <w:pStyle w:val="SingleTxt"/>
              <w:tabs>
                <w:tab w:val="left" w:pos="288"/>
                <w:tab w:val="left" w:pos="576"/>
                <w:tab w:val="left" w:pos="864"/>
                <w:tab w:val="left" w:pos="1152"/>
              </w:tabs>
              <w:spacing w:before="40" w:after="40" w:line="170" w:lineRule="exact"/>
              <w:ind w:left="0" w:right="40"/>
              <w:jc w:val="right"/>
              <w:rPr>
                <w:sz w:val="14"/>
              </w:rPr>
            </w:pPr>
            <w:r>
              <w:rPr>
                <w:sz w:val="14"/>
              </w:rPr>
              <w:t>695</w:t>
            </w:r>
          </w:p>
        </w:tc>
        <w:tc>
          <w:tcPr>
            <w:tcW w:w="1830" w:type="dxa"/>
            <w:vAlign w:val="bottom"/>
          </w:tcPr>
          <w:p w:rsidR="00000000" w:rsidRDefault="00000000">
            <w:pPr>
              <w:pStyle w:val="SingleTxt"/>
              <w:tabs>
                <w:tab w:val="left" w:pos="288"/>
                <w:tab w:val="left" w:pos="576"/>
                <w:tab w:val="left" w:pos="864"/>
                <w:tab w:val="left" w:pos="1152"/>
              </w:tabs>
              <w:spacing w:before="40" w:after="40" w:line="170" w:lineRule="exact"/>
              <w:ind w:left="0" w:right="40"/>
              <w:jc w:val="right"/>
              <w:rPr>
                <w:sz w:val="14"/>
              </w:rPr>
            </w:pPr>
            <w:r>
              <w:rPr>
                <w:sz w:val="14"/>
              </w:rPr>
              <w:t>1 080</w:t>
            </w:r>
          </w:p>
        </w:tc>
      </w:tr>
      <w:tr w:rsidR="00000000">
        <w:tblPrEx>
          <w:tblCellMar>
            <w:top w:w="0" w:type="dxa"/>
            <w:bottom w:w="0" w:type="dxa"/>
          </w:tblCellMar>
        </w:tblPrEx>
        <w:trPr>
          <w:jc w:val="center"/>
        </w:trPr>
        <w:tc>
          <w:tcPr>
            <w:tcW w:w="217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40"/>
              <w:jc w:val="left"/>
              <w:rPr>
                <w:sz w:val="14"/>
              </w:rPr>
            </w:pPr>
            <w:r>
              <w:rPr>
                <w:sz w:val="14"/>
              </w:rPr>
              <w:t>Cantidad de nuevos casos</w:t>
            </w:r>
          </w:p>
        </w:tc>
        <w:tc>
          <w:tcPr>
            <w:tcW w:w="1701"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40"/>
              <w:jc w:val="right"/>
              <w:rPr>
                <w:sz w:val="14"/>
              </w:rPr>
            </w:pPr>
            <w:r>
              <w:rPr>
                <w:sz w:val="14"/>
              </w:rPr>
              <w:t>12</w:t>
            </w:r>
          </w:p>
        </w:tc>
        <w:tc>
          <w:tcPr>
            <w:tcW w:w="1619"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40"/>
              <w:jc w:val="right"/>
              <w:rPr>
                <w:sz w:val="14"/>
              </w:rPr>
            </w:pPr>
            <w:r>
              <w:rPr>
                <w:sz w:val="14"/>
              </w:rPr>
              <w:t>23</w:t>
            </w:r>
          </w:p>
        </w:tc>
        <w:tc>
          <w:tcPr>
            <w:tcW w:w="183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40"/>
              <w:jc w:val="right"/>
              <w:rPr>
                <w:sz w:val="14"/>
              </w:rPr>
            </w:pPr>
            <w:r>
              <w:rPr>
                <w:sz w:val="14"/>
              </w:rPr>
              <w:t>35</w:t>
            </w:r>
          </w:p>
        </w:tc>
      </w:tr>
      <w:tr w:rsidR="00000000">
        <w:tblPrEx>
          <w:tblCellMar>
            <w:top w:w="0" w:type="dxa"/>
            <w:bottom w:w="0" w:type="dxa"/>
          </w:tblCellMar>
        </w:tblPrEx>
        <w:trPr>
          <w:jc w:val="center"/>
        </w:trPr>
        <w:tc>
          <w:tcPr>
            <w:tcW w:w="217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40"/>
              <w:jc w:val="left"/>
              <w:rPr>
                <w:b/>
                <w:sz w:val="14"/>
              </w:rPr>
            </w:pPr>
            <w:r>
              <w:rPr>
                <w:b/>
                <w:sz w:val="14"/>
              </w:rPr>
              <w:t>Total</w:t>
            </w:r>
          </w:p>
        </w:tc>
        <w:tc>
          <w:tcPr>
            <w:tcW w:w="1701"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40"/>
              <w:jc w:val="right"/>
              <w:rPr>
                <w:b/>
                <w:sz w:val="14"/>
              </w:rPr>
            </w:pPr>
            <w:r>
              <w:rPr>
                <w:b/>
                <w:sz w:val="14"/>
              </w:rPr>
              <w:t>397</w:t>
            </w:r>
          </w:p>
        </w:tc>
        <w:tc>
          <w:tcPr>
            <w:tcW w:w="1619"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40"/>
              <w:jc w:val="right"/>
              <w:rPr>
                <w:b/>
                <w:sz w:val="14"/>
              </w:rPr>
            </w:pPr>
            <w:r>
              <w:rPr>
                <w:b/>
                <w:sz w:val="14"/>
              </w:rPr>
              <w:t>728</w:t>
            </w:r>
          </w:p>
        </w:tc>
        <w:tc>
          <w:tcPr>
            <w:tcW w:w="183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40"/>
              <w:jc w:val="right"/>
              <w:rPr>
                <w:b/>
                <w:sz w:val="14"/>
              </w:rPr>
            </w:pPr>
            <w:r>
              <w:rPr>
                <w:b/>
                <w:sz w:val="14"/>
              </w:rPr>
              <w:t>1 115</w:t>
            </w:r>
          </w:p>
        </w:tc>
      </w:tr>
    </w:tbl>
    <w:p w:rsidR="00000000" w:rsidRDefault="00000000">
      <w:pPr>
        <w:pStyle w:val="SingleTxt"/>
        <w:keepNext/>
        <w:jc w:val="center"/>
      </w:pPr>
    </w:p>
    <w:p w:rsidR="00000000" w:rsidRDefault="00000000">
      <w:pPr>
        <w:pStyle w:val="SingleTxt"/>
        <w:spacing w:after="0"/>
        <w:jc w:val="center"/>
      </w:pPr>
    </w:p>
    <w:tbl>
      <w:tblPr>
        <w:tblW w:w="0" w:type="auto"/>
        <w:jc w:val="center"/>
        <w:tblLayout w:type="fixed"/>
        <w:tblLook w:val="0000" w:firstRow="0" w:lastRow="0" w:firstColumn="0" w:lastColumn="0" w:noHBand="0" w:noVBand="0"/>
      </w:tblPr>
      <w:tblGrid>
        <w:gridCol w:w="925"/>
        <w:gridCol w:w="925"/>
        <w:gridCol w:w="925"/>
        <w:gridCol w:w="926"/>
        <w:gridCol w:w="925"/>
        <w:gridCol w:w="925"/>
        <w:gridCol w:w="925"/>
        <w:gridCol w:w="926"/>
      </w:tblGrid>
      <w:tr w:rsidR="00000000">
        <w:tblPrEx>
          <w:tblCellMar>
            <w:top w:w="0" w:type="dxa"/>
            <w:bottom w:w="0" w:type="dxa"/>
          </w:tblCellMar>
        </w:tblPrEx>
        <w:trPr>
          <w:cantSplit/>
          <w:tblHeader/>
          <w:jc w:val="center"/>
        </w:trPr>
        <w:tc>
          <w:tcPr>
            <w:tcW w:w="7402" w:type="dxa"/>
            <w:gridSpan w:val="8"/>
            <w:tcBorders>
              <w:top w:val="single" w:sz="4" w:space="0" w:color="auto"/>
              <w:bottom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Actividad de la Oficina de Investigación (en cifras)</w:t>
            </w:r>
          </w:p>
        </w:tc>
      </w:tr>
      <w:tr w:rsidR="00000000">
        <w:tblPrEx>
          <w:tblCellMar>
            <w:top w:w="0" w:type="dxa"/>
            <w:bottom w:w="0" w:type="dxa"/>
          </w:tblCellMar>
        </w:tblPrEx>
        <w:trPr>
          <w:cantSplit/>
          <w:tblHeader/>
          <w:jc w:val="center"/>
        </w:trPr>
        <w:tc>
          <w:tcPr>
            <w:tcW w:w="1850" w:type="dxa"/>
            <w:gridSpan w:val="2"/>
            <w:tcBorders>
              <w:bottom w:val="single" w:sz="4" w:space="0" w:color="auto"/>
            </w:tcBorders>
            <w:vAlign w:val="bottom"/>
          </w:tcPr>
          <w:p w:rsidR="00000000" w:rsidRDefault="00000000">
            <w:pPr>
              <w:pStyle w:val="SingleTxt"/>
              <w:spacing w:after="81" w:line="160" w:lineRule="exact"/>
              <w:ind w:left="0" w:right="40"/>
              <w:jc w:val="center"/>
              <w:rPr>
                <w:i/>
                <w:sz w:val="14"/>
              </w:rPr>
            </w:pPr>
            <w:r>
              <w:rPr>
                <w:i/>
                <w:sz w:val="14"/>
              </w:rPr>
              <w:t>Casos presentados</w:t>
            </w:r>
          </w:p>
        </w:tc>
        <w:tc>
          <w:tcPr>
            <w:tcW w:w="1851" w:type="dxa"/>
            <w:gridSpan w:val="2"/>
            <w:tcBorders>
              <w:bottom w:val="single" w:sz="4" w:space="0" w:color="auto"/>
            </w:tcBorders>
            <w:vAlign w:val="bottom"/>
          </w:tcPr>
          <w:p w:rsidR="00000000" w:rsidRDefault="00000000">
            <w:pPr>
              <w:pStyle w:val="SingleTxt"/>
              <w:spacing w:after="81" w:line="160" w:lineRule="exact"/>
              <w:ind w:left="0" w:right="40"/>
              <w:jc w:val="center"/>
              <w:rPr>
                <w:i/>
                <w:sz w:val="14"/>
              </w:rPr>
            </w:pPr>
            <w:r>
              <w:rPr>
                <w:i/>
                <w:sz w:val="14"/>
              </w:rPr>
              <w:t>Casos investigados</w:t>
            </w:r>
          </w:p>
        </w:tc>
        <w:tc>
          <w:tcPr>
            <w:tcW w:w="1850" w:type="dxa"/>
            <w:gridSpan w:val="2"/>
            <w:tcBorders>
              <w:bottom w:val="single" w:sz="4" w:space="0" w:color="auto"/>
            </w:tcBorders>
            <w:vAlign w:val="bottom"/>
          </w:tcPr>
          <w:p w:rsidR="00000000" w:rsidRDefault="00000000">
            <w:pPr>
              <w:pStyle w:val="SingleTxt"/>
              <w:spacing w:after="81" w:line="160" w:lineRule="exact"/>
              <w:ind w:left="0" w:right="40"/>
              <w:jc w:val="center"/>
              <w:rPr>
                <w:i/>
                <w:sz w:val="14"/>
              </w:rPr>
            </w:pPr>
            <w:r>
              <w:rPr>
                <w:i/>
                <w:sz w:val="14"/>
              </w:rPr>
              <w:t>Casos clausurados</w:t>
            </w:r>
          </w:p>
        </w:tc>
        <w:tc>
          <w:tcPr>
            <w:tcW w:w="1851" w:type="dxa"/>
            <w:gridSpan w:val="2"/>
            <w:tcBorders>
              <w:bottom w:val="single" w:sz="4" w:space="0" w:color="auto"/>
            </w:tcBorders>
            <w:vAlign w:val="bottom"/>
          </w:tcPr>
          <w:p w:rsidR="00000000" w:rsidRDefault="00000000">
            <w:pPr>
              <w:pStyle w:val="SingleTxt"/>
              <w:spacing w:after="81" w:line="160" w:lineRule="exact"/>
              <w:ind w:left="0" w:right="40"/>
              <w:jc w:val="center"/>
              <w:rPr>
                <w:i/>
                <w:sz w:val="14"/>
              </w:rPr>
            </w:pPr>
            <w:r>
              <w:rPr>
                <w:i/>
                <w:sz w:val="14"/>
              </w:rPr>
              <w:t>Casos de fallecimiento</w:t>
            </w:r>
          </w:p>
        </w:tc>
      </w:tr>
      <w:tr w:rsidR="00000000">
        <w:tblPrEx>
          <w:tblCellMar>
            <w:top w:w="0" w:type="dxa"/>
            <w:bottom w:w="0" w:type="dxa"/>
          </w:tblCellMar>
        </w:tblPrEx>
        <w:trPr>
          <w:tblHeader/>
          <w:jc w:val="center"/>
        </w:trPr>
        <w:tc>
          <w:tcPr>
            <w:tcW w:w="925" w:type="dxa"/>
            <w:vAlign w:val="bottom"/>
          </w:tcPr>
          <w:p w:rsidR="00000000" w:rsidRDefault="00000000">
            <w:pPr>
              <w:pStyle w:val="SingleTxt"/>
              <w:spacing w:after="81" w:line="160" w:lineRule="exact"/>
              <w:ind w:left="0" w:right="40"/>
              <w:jc w:val="center"/>
              <w:rPr>
                <w:i/>
                <w:sz w:val="14"/>
              </w:rPr>
            </w:pPr>
            <w:r>
              <w:rPr>
                <w:i/>
                <w:sz w:val="14"/>
              </w:rPr>
              <w:t>Hombres</w:t>
            </w:r>
          </w:p>
        </w:tc>
        <w:tc>
          <w:tcPr>
            <w:tcW w:w="925" w:type="dxa"/>
            <w:vAlign w:val="bottom"/>
          </w:tcPr>
          <w:p w:rsidR="00000000" w:rsidRDefault="00000000">
            <w:pPr>
              <w:pStyle w:val="SingleTxt"/>
              <w:spacing w:after="81" w:line="160" w:lineRule="exact"/>
              <w:ind w:left="0" w:right="40"/>
              <w:jc w:val="center"/>
              <w:rPr>
                <w:i/>
                <w:sz w:val="14"/>
              </w:rPr>
            </w:pPr>
            <w:r>
              <w:rPr>
                <w:i/>
                <w:sz w:val="14"/>
              </w:rPr>
              <w:t>Mujeres</w:t>
            </w:r>
          </w:p>
        </w:tc>
        <w:tc>
          <w:tcPr>
            <w:tcW w:w="925" w:type="dxa"/>
            <w:vAlign w:val="bottom"/>
          </w:tcPr>
          <w:p w:rsidR="00000000" w:rsidRDefault="00000000">
            <w:pPr>
              <w:pStyle w:val="SingleTxt"/>
              <w:spacing w:after="81" w:line="160" w:lineRule="exact"/>
              <w:ind w:left="0" w:right="40"/>
              <w:jc w:val="center"/>
              <w:rPr>
                <w:i/>
                <w:sz w:val="14"/>
              </w:rPr>
            </w:pPr>
            <w:r>
              <w:rPr>
                <w:i/>
                <w:sz w:val="14"/>
              </w:rPr>
              <w:t>Hombres</w:t>
            </w:r>
          </w:p>
        </w:tc>
        <w:tc>
          <w:tcPr>
            <w:tcW w:w="926" w:type="dxa"/>
            <w:vAlign w:val="bottom"/>
          </w:tcPr>
          <w:p w:rsidR="00000000" w:rsidRDefault="00000000">
            <w:pPr>
              <w:pStyle w:val="SingleTxt"/>
              <w:spacing w:after="81" w:line="160" w:lineRule="exact"/>
              <w:ind w:left="0" w:right="40"/>
              <w:jc w:val="center"/>
              <w:rPr>
                <w:i/>
                <w:sz w:val="14"/>
              </w:rPr>
            </w:pPr>
            <w:r>
              <w:rPr>
                <w:i/>
                <w:sz w:val="14"/>
              </w:rPr>
              <w:t>Mujeres</w:t>
            </w:r>
          </w:p>
        </w:tc>
        <w:tc>
          <w:tcPr>
            <w:tcW w:w="925" w:type="dxa"/>
            <w:vAlign w:val="bottom"/>
          </w:tcPr>
          <w:p w:rsidR="00000000" w:rsidRDefault="00000000">
            <w:pPr>
              <w:pStyle w:val="SingleTxt"/>
              <w:spacing w:after="81" w:line="160" w:lineRule="exact"/>
              <w:ind w:left="0" w:right="40"/>
              <w:jc w:val="center"/>
              <w:rPr>
                <w:i/>
                <w:sz w:val="14"/>
              </w:rPr>
            </w:pPr>
            <w:r>
              <w:rPr>
                <w:i/>
                <w:sz w:val="14"/>
              </w:rPr>
              <w:t>Hombres</w:t>
            </w:r>
          </w:p>
        </w:tc>
        <w:tc>
          <w:tcPr>
            <w:tcW w:w="925" w:type="dxa"/>
            <w:vAlign w:val="bottom"/>
          </w:tcPr>
          <w:p w:rsidR="00000000" w:rsidRDefault="00000000">
            <w:pPr>
              <w:pStyle w:val="SingleTxt"/>
              <w:spacing w:after="81" w:line="160" w:lineRule="exact"/>
              <w:ind w:left="0" w:right="40"/>
              <w:jc w:val="center"/>
              <w:rPr>
                <w:i/>
                <w:sz w:val="14"/>
              </w:rPr>
            </w:pPr>
            <w:r>
              <w:rPr>
                <w:i/>
                <w:sz w:val="14"/>
              </w:rPr>
              <w:t>Mujeres</w:t>
            </w:r>
          </w:p>
        </w:tc>
        <w:tc>
          <w:tcPr>
            <w:tcW w:w="925" w:type="dxa"/>
            <w:vAlign w:val="bottom"/>
          </w:tcPr>
          <w:p w:rsidR="00000000" w:rsidRDefault="00000000">
            <w:pPr>
              <w:pStyle w:val="SingleTxt"/>
              <w:spacing w:after="81" w:line="160" w:lineRule="exact"/>
              <w:ind w:left="0" w:right="40"/>
              <w:jc w:val="center"/>
              <w:rPr>
                <w:i/>
                <w:sz w:val="14"/>
              </w:rPr>
            </w:pPr>
            <w:r>
              <w:rPr>
                <w:i/>
                <w:sz w:val="14"/>
              </w:rPr>
              <w:t>Hombres</w:t>
            </w:r>
          </w:p>
        </w:tc>
        <w:tc>
          <w:tcPr>
            <w:tcW w:w="926" w:type="dxa"/>
            <w:vAlign w:val="bottom"/>
          </w:tcPr>
          <w:p w:rsidR="00000000" w:rsidRDefault="00000000">
            <w:pPr>
              <w:pStyle w:val="SingleTxt"/>
              <w:spacing w:after="81" w:line="160" w:lineRule="exact"/>
              <w:ind w:left="0" w:right="40"/>
              <w:jc w:val="center"/>
              <w:rPr>
                <w:i/>
                <w:sz w:val="14"/>
              </w:rPr>
            </w:pPr>
            <w:r>
              <w:rPr>
                <w:i/>
                <w:sz w:val="14"/>
              </w:rPr>
              <w:t>Mujeres</w:t>
            </w:r>
          </w:p>
        </w:tc>
      </w:tr>
      <w:tr w:rsidR="00000000">
        <w:tblPrEx>
          <w:tblCellMar>
            <w:top w:w="0" w:type="dxa"/>
            <w:bottom w:w="0" w:type="dxa"/>
          </w:tblCellMar>
        </w:tblPrEx>
        <w:trPr>
          <w:trHeight w:hRule="exact" w:val="115"/>
          <w:tblHeader/>
          <w:jc w:val="center"/>
        </w:trPr>
        <w:tc>
          <w:tcPr>
            <w:tcW w:w="925"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925"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925"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926"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925"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925"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925"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926"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r>
      <w:tr w:rsidR="00000000">
        <w:tblPrEx>
          <w:tblCellMar>
            <w:top w:w="0" w:type="dxa"/>
            <w:bottom w:w="0" w:type="dxa"/>
          </w:tblCellMar>
        </w:tblPrEx>
        <w:trPr>
          <w:jc w:val="center"/>
        </w:trPr>
        <w:tc>
          <w:tcPr>
            <w:tcW w:w="92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2</w:t>
            </w:r>
          </w:p>
        </w:tc>
        <w:tc>
          <w:tcPr>
            <w:tcW w:w="92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23</w:t>
            </w:r>
          </w:p>
        </w:tc>
        <w:tc>
          <w:tcPr>
            <w:tcW w:w="92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12</w:t>
            </w:r>
          </w:p>
        </w:tc>
        <w:tc>
          <w:tcPr>
            <w:tcW w:w="92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23</w:t>
            </w:r>
          </w:p>
        </w:tc>
        <w:tc>
          <w:tcPr>
            <w:tcW w:w="92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w:t>
            </w:r>
          </w:p>
        </w:tc>
        <w:tc>
          <w:tcPr>
            <w:tcW w:w="92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2</w:t>
            </w:r>
          </w:p>
        </w:tc>
        <w:tc>
          <w:tcPr>
            <w:tcW w:w="92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7</w:t>
            </w:r>
          </w:p>
        </w:tc>
        <w:tc>
          <w:tcPr>
            <w:tcW w:w="92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2</w:t>
            </w:r>
          </w:p>
        </w:tc>
      </w:tr>
    </w:tbl>
    <w:p w:rsidR="00000000" w:rsidRDefault="00000000">
      <w:pPr>
        <w:pStyle w:val="SingleTxt"/>
        <w:jc w:val="center"/>
      </w:pPr>
    </w:p>
    <w:p w:rsidR="00000000" w:rsidRDefault="00000000">
      <w:pPr>
        <w:pStyle w:val="SingleTxt"/>
        <w:jc w:val="center"/>
      </w:pPr>
    </w:p>
    <w:tbl>
      <w:tblPr>
        <w:tblW w:w="0" w:type="auto"/>
        <w:jc w:val="center"/>
        <w:tblLayout w:type="fixed"/>
        <w:tblLook w:val="0000" w:firstRow="0" w:lastRow="0" w:firstColumn="0" w:lastColumn="0" w:noHBand="0" w:noVBand="0"/>
      </w:tblPr>
      <w:tblGrid>
        <w:gridCol w:w="900"/>
        <w:gridCol w:w="547"/>
        <w:gridCol w:w="547"/>
        <w:gridCol w:w="1"/>
        <w:gridCol w:w="546"/>
        <w:gridCol w:w="547"/>
        <w:gridCol w:w="2"/>
        <w:gridCol w:w="545"/>
        <w:gridCol w:w="547"/>
        <w:gridCol w:w="3"/>
        <w:gridCol w:w="544"/>
        <w:gridCol w:w="547"/>
        <w:gridCol w:w="4"/>
        <w:gridCol w:w="543"/>
        <w:gridCol w:w="547"/>
        <w:gridCol w:w="5"/>
        <w:gridCol w:w="542"/>
        <w:gridCol w:w="547"/>
        <w:gridCol w:w="6"/>
      </w:tblGrid>
      <w:tr w:rsidR="00000000">
        <w:tblPrEx>
          <w:tblCellMar>
            <w:top w:w="0" w:type="dxa"/>
            <w:bottom w:w="0" w:type="dxa"/>
          </w:tblCellMar>
        </w:tblPrEx>
        <w:trPr>
          <w:cantSplit/>
          <w:tblHeader/>
          <w:jc w:val="center"/>
        </w:trPr>
        <w:tc>
          <w:tcPr>
            <w:tcW w:w="7470" w:type="dxa"/>
            <w:gridSpan w:val="19"/>
            <w:tcBorders>
              <w:top w:val="single" w:sz="4" w:space="0" w:color="auto"/>
              <w:bottom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Defunciones</w:t>
            </w:r>
          </w:p>
        </w:tc>
      </w:tr>
      <w:tr w:rsidR="00000000">
        <w:tblPrEx>
          <w:tblCellMar>
            <w:top w:w="0" w:type="dxa"/>
            <w:bottom w:w="0" w:type="dxa"/>
          </w:tblCellMar>
        </w:tblPrEx>
        <w:trPr>
          <w:cantSplit/>
          <w:tblHeader/>
          <w:jc w:val="center"/>
        </w:trPr>
        <w:tc>
          <w:tcPr>
            <w:tcW w:w="900" w:type="dxa"/>
            <w:tcBorders>
              <w:bottom w:val="single" w:sz="4" w:space="0" w:color="auto"/>
            </w:tcBorders>
            <w:vAlign w:val="bottom"/>
          </w:tcPr>
          <w:p w:rsidR="00000000" w:rsidRDefault="00000000">
            <w:pPr>
              <w:pStyle w:val="SingleTxt"/>
              <w:spacing w:before="81" w:after="81" w:line="160" w:lineRule="exact"/>
              <w:ind w:left="0" w:right="40"/>
              <w:jc w:val="center"/>
              <w:rPr>
                <w:i/>
                <w:sz w:val="14"/>
              </w:rPr>
            </w:pPr>
          </w:p>
        </w:tc>
        <w:tc>
          <w:tcPr>
            <w:tcW w:w="1095" w:type="dxa"/>
            <w:gridSpan w:val="3"/>
            <w:tcBorders>
              <w:bottom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Capital A</w:t>
            </w:r>
          </w:p>
        </w:tc>
        <w:tc>
          <w:tcPr>
            <w:tcW w:w="1095" w:type="dxa"/>
            <w:gridSpan w:val="3"/>
            <w:tcBorders>
              <w:bottom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Capital B</w:t>
            </w:r>
          </w:p>
        </w:tc>
        <w:tc>
          <w:tcPr>
            <w:tcW w:w="1095" w:type="dxa"/>
            <w:gridSpan w:val="3"/>
            <w:tcBorders>
              <w:bottom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Hawli</w:t>
            </w:r>
          </w:p>
        </w:tc>
        <w:tc>
          <w:tcPr>
            <w:tcW w:w="1095" w:type="dxa"/>
            <w:gridSpan w:val="3"/>
            <w:tcBorders>
              <w:bottom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Farwaniya</w:t>
            </w:r>
          </w:p>
        </w:tc>
        <w:tc>
          <w:tcPr>
            <w:tcW w:w="1095" w:type="dxa"/>
            <w:gridSpan w:val="3"/>
            <w:tcBorders>
              <w:bottom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Jahra</w:t>
            </w:r>
          </w:p>
        </w:tc>
        <w:tc>
          <w:tcPr>
            <w:tcW w:w="1095" w:type="dxa"/>
            <w:gridSpan w:val="3"/>
            <w:tcBorders>
              <w:bottom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Ahmadi</w:t>
            </w:r>
          </w:p>
        </w:tc>
      </w:tr>
      <w:tr w:rsidR="00000000">
        <w:tblPrEx>
          <w:tblCellMar>
            <w:top w:w="0" w:type="dxa"/>
            <w:bottom w:w="0" w:type="dxa"/>
          </w:tblCellMar>
        </w:tblPrEx>
        <w:trPr>
          <w:gridAfter w:val="1"/>
          <w:wAfter w:w="6" w:type="dxa"/>
          <w:tblHeader/>
          <w:jc w:val="center"/>
        </w:trPr>
        <w:tc>
          <w:tcPr>
            <w:tcW w:w="900" w:type="dxa"/>
            <w:vAlign w:val="bottom"/>
          </w:tcPr>
          <w:p w:rsidR="00000000" w:rsidRDefault="00000000">
            <w:pPr>
              <w:pStyle w:val="SingleTxt"/>
              <w:spacing w:after="81" w:line="160" w:lineRule="exact"/>
              <w:ind w:left="0" w:right="40"/>
              <w:jc w:val="center"/>
              <w:rPr>
                <w:i/>
                <w:sz w:val="14"/>
              </w:rPr>
            </w:pPr>
          </w:p>
        </w:tc>
        <w:tc>
          <w:tcPr>
            <w:tcW w:w="547" w:type="dxa"/>
            <w:vAlign w:val="bottom"/>
          </w:tcPr>
          <w:p w:rsidR="00000000" w:rsidRDefault="00000000">
            <w:pPr>
              <w:pStyle w:val="SingleTxt"/>
              <w:spacing w:after="81" w:line="160" w:lineRule="exact"/>
              <w:ind w:left="0" w:right="40"/>
              <w:jc w:val="center"/>
              <w:rPr>
                <w:i/>
                <w:sz w:val="12"/>
              </w:rPr>
            </w:pPr>
            <w:r>
              <w:rPr>
                <w:i/>
                <w:sz w:val="12"/>
              </w:rPr>
              <w:t>H</w:t>
            </w:r>
          </w:p>
        </w:tc>
        <w:tc>
          <w:tcPr>
            <w:tcW w:w="547" w:type="dxa"/>
            <w:vAlign w:val="bottom"/>
          </w:tcPr>
          <w:p w:rsidR="00000000" w:rsidRDefault="00000000">
            <w:pPr>
              <w:pStyle w:val="SingleTxt"/>
              <w:spacing w:after="81" w:line="160" w:lineRule="exact"/>
              <w:ind w:left="0" w:right="40"/>
              <w:jc w:val="center"/>
              <w:rPr>
                <w:i/>
                <w:sz w:val="12"/>
              </w:rPr>
            </w:pPr>
            <w:r>
              <w:rPr>
                <w:i/>
                <w:sz w:val="12"/>
              </w:rPr>
              <w:t>M</w:t>
            </w:r>
          </w:p>
        </w:tc>
        <w:tc>
          <w:tcPr>
            <w:tcW w:w="547" w:type="dxa"/>
            <w:gridSpan w:val="2"/>
            <w:vAlign w:val="bottom"/>
          </w:tcPr>
          <w:p w:rsidR="00000000" w:rsidRDefault="00000000">
            <w:pPr>
              <w:pStyle w:val="SingleTxt"/>
              <w:spacing w:after="81" w:line="160" w:lineRule="exact"/>
              <w:ind w:left="0" w:right="40"/>
              <w:jc w:val="center"/>
              <w:rPr>
                <w:i/>
                <w:sz w:val="12"/>
              </w:rPr>
            </w:pPr>
            <w:r>
              <w:rPr>
                <w:i/>
                <w:sz w:val="12"/>
              </w:rPr>
              <w:t>H</w:t>
            </w:r>
          </w:p>
        </w:tc>
        <w:tc>
          <w:tcPr>
            <w:tcW w:w="547" w:type="dxa"/>
            <w:vAlign w:val="bottom"/>
          </w:tcPr>
          <w:p w:rsidR="00000000" w:rsidRDefault="00000000">
            <w:pPr>
              <w:pStyle w:val="SingleTxt"/>
              <w:spacing w:after="81" w:line="160" w:lineRule="exact"/>
              <w:ind w:left="0" w:right="40"/>
              <w:jc w:val="center"/>
              <w:rPr>
                <w:i/>
                <w:sz w:val="12"/>
              </w:rPr>
            </w:pPr>
            <w:r>
              <w:rPr>
                <w:i/>
                <w:sz w:val="12"/>
              </w:rPr>
              <w:t>M</w:t>
            </w:r>
          </w:p>
        </w:tc>
        <w:tc>
          <w:tcPr>
            <w:tcW w:w="547" w:type="dxa"/>
            <w:gridSpan w:val="2"/>
            <w:vAlign w:val="bottom"/>
          </w:tcPr>
          <w:p w:rsidR="00000000" w:rsidRDefault="00000000">
            <w:pPr>
              <w:pStyle w:val="SingleTxt"/>
              <w:spacing w:after="81" w:line="160" w:lineRule="exact"/>
              <w:ind w:left="0" w:right="40"/>
              <w:jc w:val="center"/>
              <w:rPr>
                <w:i/>
                <w:sz w:val="12"/>
              </w:rPr>
            </w:pPr>
            <w:r>
              <w:rPr>
                <w:i/>
                <w:sz w:val="12"/>
              </w:rPr>
              <w:t>H</w:t>
            </w:r>
          </w:p>
        </w:tc>
        <w:tc>
          <w:tcPr>
            <w:tcW w:w="547" w:type="dxa"/>
            <w:vAlign w:val="bottom"/>
          </w:tcPr>
          <w:p w:rsidR="00000000" w:rsidRDefault="00000000">
            <w:pPr>
              <w:pStyle w:val="SingleTxt"/>
              <w:spacing w:after="81" w:line="160" w:lineRule="exact"/>
              <w:ind w:left="0" w:right="40"/>
              <w:jc w:val="center"/>
              <w:rPr>
                <w:i/>
                <w:sz w:val="12"/>
              </w:rPr>
            </w:pPr>
            <w:r>
              <w:rPr>
                <w:i/>
                <w:sz w:val="12"/>
              </w:rPr>
              <w:t>M</w:t>
            </w:r>
          </w:p>
        </w:tc>
        <w:tc>
          <w:tcPr>
            <w:tcW w:w="547" w:type="dxa"/>
            <w:gridSpan w:val="2"/>
            <w:vAlign w:val="bottom"/>
          </w:tcPr>
          <w:p w:rsidR="00000000" w:rsidRDefault="00000000">
            <w:pPr>
              <w:pStyle w:val="SingleTxt"/>
              <w:spacing w:after="81" w:line="160" w:lineRule="exact"/>
              <w:ind w:left="0" w:right="40"/>
              <w:jc w:val="center"/>
              <w:rPr>
                <w:i/>
                <w:sz w:val="12"/>
              </w:rPr>
            </w:pPr>
            <w:r>
              <w:rPr>
                <w:i/>
                <w:sz w:val="12"/>
              </w:rPr>
              <w:t>H</w:t>
            </w:r>
          </w:p>
        </w:tc>
        <w:tc>
          <w:tcPr>
            <w:tcW w:w="547" w:type="dxa"/>
            <w:vAlign w:val="bottom"/>
          </w:tcPr>
          <w:p w:rsidR="00000000" w:rsidRDefault="00000000">
            <w:pPr>
              <w:pStyle w:val="SingleTxt"/>
              <w:spacing w:after="81" w:line="160" w:lineRule="exact"/>
              <w:ind w:left="0" w:right="40"/>
              <w:jc w:val="center"/>
              <w:rPr>
                <w:i/>
                <w:sz w:val="12"/>
              </w:rPr>
            </w:pPr>
            <w:r>
              <w:rPr>
                <w:i/>
                <w:sz w:val="12"/>
              </w:rPr>
              <w:t>M</w:t>
            </w:r>
          </w:p>
        </w:tc>
        <w:tc>
          <w:tcPr>
            <w:tcW w:w="547" w:type="dxa"/>
            <w:gridSpan w:val="2"/>
            <w:vAlign w:val="bottom"/>
          </w:tcPr>
          <w:p w:rsidR="00000000" w:rsidRDefault="00000000">
            <w:pPr>
              <w:pStyle w:val="SingleTxt"/>
              <w:spacing w:after="81" w:line="160" w:lineRule="exact"/>
              <w:ind w:left="0" w:right="40"/>
              <w:jc w:val="center"/>
              <w:rPr>
                <w:i/>
                <w:sz w:val="12"/>
              </w:rPr>
            </w:pPr>
            <w:r>
              <w:rPr>
                <w:i/>
                <w:sz w:val="12"/>
              </w:rPr>
              <w:t>H</w:t>
            </w:r>
          </w:p>
        </w:tc>
        <w:tc>
          <w:tcPr>
            <w:tcW w:w="547" w:type="dxa"/>
            <w:vAlign w:val="bottom"/>
          </w:tcPr>
          <w:p w:rsidR="00000000" w:rsidRDefault="00000000">
            <w:pPr>
              <w:pStyle w:val="SingleTxt"/>
              <w:spacing w:after="81" w:line="160" w:lineRule="exact"/>
              <w:ind w:left="0" w:right="40"/>
              <w:jc w:val="center"/>
              <w:rPr>
                <w:i/>
                <w:sz w:val="12"/>
              </w:rPr>
            </w:pPr>
            <w:r>
              <w:rPr>
                <w:i/>
                <w:sz w:val="12"/>
              </w:rPr>
              <w:t>M</w:t>
            </w:r>
          </w:p>
        </w:tc>
        <w:tc>
          <w:tcPr>
            <w:tcW w:w="547" w:type="dxa"/>
            <w:gridSpan w:val="2"/>
            <w:vAlign w:val="bottom"/>
          </w:tcPr>
          <w:p w:rsidR="00000000" w:rsidRDefault="00000000">
            <w:pPr>
              <w:pStyle w:val="SingleTxt"/>
              <w:spacing w:after="81" w:line="160" w:lineRule="exact"/>
              <w:ind w:left="0" w:right="40"/>
              <w:jc w:val="center"/>
              <w:rPr>
                <w:i/>
                <w:sz w:val="12"/>
              </w:rPr>
            </w:pPr>
            <w:r>
              <w:rPr>
                <w:i/>
                <w:sz w:val="12"/>
              </w:rPr>
              <w:t>H</w:t>
            </w:r>
          </w:p>
        </w:tc>
        <w:tc>
          <w:tcPr>
            <w:tcW w:w="547" w:type="dxa"/>
            <w:vAlign w:val="bottom"/>
          </w:tcPr>
          <w:p w:rsidR="00000000" w:rsidRDefault="00000000">
            <w:pPr>
              <w:pStyle w:val="SingleTxt"/>
              <w:spacing w:after="81" w:line="160" w:lineRule="exact"/>
              <w:ind w:left="0" w:right="40"/>
              <w:jc w:val="center"/>
              <w:rPr>
                <w:i/>
                <w:sz w:val="12"/>
              </w:rPr>
            </w:pPr>
            <w:r>
              <w:rPr>
                <w:i/>
                <w:sz w:val="12"/>
              </w:rPr>
              <w:t>M</w:t>
            </w:r>
          </w:p>
        </w:tc>
      </w:tr>
      <w:tr w:rsidR="00000000">
        <w:tblPrEx>
          <w:tblCellMar>
            <w:top w:w="0" w:type="dxa"/>
            <w:bottom w:w="0" w:type="dxa"/>
          </w:tblCellMar>
        </w:tblPrEx>
        <w:trPr>
          <w:gridAfter w:val="1"/>
          <w:wAfter w:w="6" w:type="dxa"/>
          <w:trHeight w:hRule="exact" w:val="115"/>
          <w:tblHeader/>
          <w:jc w:val="center"/>
        </w:trPr>
        <w:tc>
          <w:tcPr>
            <w:tcW w:w="900"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54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4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47" w:type="dxa"/>
            <w:gridSpan w:val="2"/>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4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47" w:type="dxa"/>
            <w:gridSpan w:val="2"/>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4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47" w:type="dxa"/>
            <w:gridSpan w:val="2"/>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4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47" w:type="dxa"/>
            <w:gridSpan w:val="2"/>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4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47" w:type="dxa"/>
            <w:gridSpan w:val="2"/>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4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gridAfter w:val="1"/>
          <w:wAfter w:w="6" w:type="dxa"/>
          <w:jc w:val="center"/>
        </w:trPr>
        <w:tc>
          <w:tcPr>
            <w:tcW w:w="90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4"/>
              </w:rPr>
            </w:pPr>
            <w:r>
              <w:rPr>
                <w:sz w:val="14"/>
              </w:rPr>
              <w:t>Cantidad</w:t>
            </w:r>
          </w:p>
        </w:tc>
        <w:tc>
          <w:tcPr>
            <w:tcW w:w="547"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w:t>
            </w:r>
          </w:p>
        </w:tc>
        <w:tc>
          <w:tcPr>
            <w:tcW w:w="547"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w:t>
            </w:r>
          </w:p>
        </w:tc>
        <w:tc>
          <w:tcPr>
            <w:tcW w:w="547"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w:t>
            </w:r>
          </w:p>
        </w:tc>
        <w:tc>
          <w:tcPr>
            <w:tcW w:w="547"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w:t>
            </w:r>
          </w:p>
        </w:tc>
        <w:tc>
          <w:tcPr>
            <w:tcW w:w="547"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1</w:t>
            </w:r>
          </w:p>
        </w:tc>
        <w:tc>
          <w:tcPr>
            <w:tcW w:w="547"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3</w:t>
            </w:r>
          </w:p>
        </w:tc>
        <w:tc>
          <w:tcPr>
            <w:tcW w:w="547"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w:t>
            </w:r>
          </w:p>
        </w:tc>
        <w:tc>
          <w:tcPr>
            <w:tcW w:w="547"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2</w:t>
            </w:r>
          </w:p>
        </w:tc>
        <w:tc>
          <w:tcPr>
            <w:tcW w:w="547"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w:t>
            </w:r>
          </w:p>
        </w:tc>
        <w:tc>
          <w:tcPr>
            <w:tcW w:w="547"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w:t>
            </w:r>
          </w:p>
        </w:tc>
        <w:tc>
          <w:tcPr>
            <w:tcW w:w="547" w:type="dxa"/>
            <w:gridSpan w:val="2"/>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w:t>
            </w:r>
          </w:p>
        </w:tc>
        <w:tc>
          <w:tcPr>
            <w:tcW w:w="547"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sz w:val="17"/>
              </w:rPr>
            </w:pPr>
            <w:r>
              <w:rPr>
                <w:sz w:val="17"/>
              </w:rPr>
              <w:t>-</w:t>
            </w:r>
          </w:p>
        </w:tc>
      </w:tr>
      <w:tr w:rsidR="00000000">
        <w:tblPrEx>
          <w:tblCellMar>
            <w:top w:w="0" w:type="dxa"/>
            <w:bottom w:w="0" w:type="dxa"/>
          </w:tblCellMar>
        </w:tblPrEx>
        <w:trPr>
          <w:jc w:val="center"/>
        </w:trPr>
        <w:tc>
          <w:tcPr>
            <w:tcW w:w="90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b/>
                <w:sz w:val="14"/>
              </w:rPr>
            </w:pPr>
            <w:r>
              <w:rPr>
                <w:b/>
                <w:sz w:val="14"/>
              </w:rPr>
              <w:t>Total</w:t>
            </w:r>
          </w:p>
        </w:tc>
        <w:tc>
          <w:tcPr>
            <w:tcW w:w="1095" w:type="dxa"/>
            <w:gridSpan w:val="3"/>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b/>
                <w:sz w:val="17"/>
              </w:rPr>
            </w:pPr>
            <w:r>
              <w:rPr>
                <w:b/>
                <w:sz w:val="17"/>
              </w:rPr>
              <w:t>2</w:t>
            </w:r>
          </w:p>
        </w:tc>
        <w:tc>
          <w:tcPr>
            <w:tcW w:w="1095" w:type="dxa"/>
            <w:gridSpan w:val="3"/>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b/>
                <w:sz w:val="17"/>
              </w:rPr>
            </w:pPr>
            <w:r>
              <w:rPr>
                <w:b/>
                <w:sz w:val="17"/>
              </w:rPr>
              <w:t>1</w:t>
            </w:r>
          </w:p>
        </w:tc>
        <w:tc>
          <w:tcPr>
            <w:tcW w:w="1095" w:type="dxa"/>
            <w:gridSpan w:val="3"/>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b/>
                <w:sz w:val="17"/>
              </w:rPr>
            </w:pPr>
            <w:r>
              <w:rPr>
                <w:b/>
                <w:sz w:val="17"/>
              </w:rPr>
              <w:t>4</w:t>
            </w:r>
          </w:p>
        </w:tc>
        <w:tc>
          <w:tcPr>
            <w:tcW w:w="1095" w:type="dxa"/>
            <w:gridSpan w:val="3"/>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b/>
                <w:sz w:val="17"/>
              </w:rPr>
            </w:pPr>
            <w:r>
              <w:rPr>
                <w:b/>
                <w:sz w:val="17"/>
              </w:rPr>
              <w:t>2</w:t>
            </w:r>
          </w:p>
        </w:tc>
        <w:tc>
          <w:tcPr>
            <w:tcW w:w="1095" w:type="dxa"/>
            <w:gridSpan w:val="3"/>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b/>
                <w:sz w:val="17"/>
              </w:rPr>
            </w:pPr>
            <w:r>
              <w:rPr>
                <w:b/>
                <w:sz w:val="17"/>
              </w:rPr>
              <w:t>-</w:t>
            </w:r>
          </w:p>
        </w:tc>
        <w:tc>
          <w:tcPr>
            <w:tcW w:w="1095" w:type="dxa"/>
            <w:gridSpan w:val="3"/>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center"/>
              <w:rPr>
                <w:b/>
                <w:sz w:val="17"/>
              </w:rPr>
            </w:pPr>
            <w:r>
              <w:rPr>
                <w:b/>
                <w:sz w:val="17"/>
              </w:rPr>
              <w:t>-</w:t>
            </w:r>
          </w:p>
        </w:tc>
      </w:tr>
    </w:tbl>
    <w:p w:rsidR="00000000" w:rsidRDefault="00000000">
      <w:pPr>
        <w:pStyle w:val="SingleTxt"/>
        <w:jc w:val="center"/>
      </w:pPr>
    </w:p>
    <w:p w:rsidR="00000000" w:rsidRDefault="00000000">
      <w:pPr>
        <w:pStyle w:val="SingleTxt"/>
        <w:ind w:left="1264" w:right="1264"/>
        <w:jc w:val="center"/>
      </w:pPr>
      <w:r>
        <w:t>Beneficiarios de los servicios de los hogares de bienestar dependientes del</w:t>
      </w:r>
      <w:r>
        <w:br/>
        <w:t>Departamento de Bienestar de los Discapacitados en octubre de 2001</w:t>
      </w:r>
    </w:p>
    <w:p w:rsidR="00000000" w:rsidRDefault="00000000">
      <w:pPr>
        <w:pStyle w:val="SingleTxt"/>
        <w:spacing w:after="0" w:line="120" w:lineRule="exact"/>
        <w:jc w:val="center"/>
        <w:rPr>
          <w:sz w:val="10"/>
        </w:rPr>
      </w:pPr>
    </w:p>
    <w:tbl>
      <w:tblPr>
        <w:tblW w:w="0" w:type="auto"/>
        <w:tblInd w:w="272" w:type="dxa"/>
        <w:tblLayout w:type="fixed"/>
        <w:tblLook w:val="0000" w:firstRow="0" w:lastRow="0" w:firstColumn="0" w:lastColumn="0" w:noHBand="0" w:noVBand="0"/>
      </w:tblPr>
      <w:tblGrid>
        <w:gridCol w:w="1635"/>
        <w:gridCol w:w="828"/>
        <w:gridCol w:w="777"/>
        <w:gridCol w:w="946"/>
        <w:gridCol w:w="764"/>
        <w:gridCol w:w="937"/>
        <w:gridCol w:w="773"/>
        <w:gridCol w:w="928"/>
        <w:gridCol w:w="782"/>
        <w:gridCol w:w="990"/>
      </w:tblGrid>
      <w:tr w:rsidR="00000000">
        <w:tblPrEx>
          <w:tblCellMar>
            <w:top w:w="0" w:type="dxa"/>
            <w:bottom w:w="0" w:type="dxa"/>
          </w:tblCellMar>
        </w:tblPrEx>
        <w:trPr>
          <w:cantSplit/>
          <w:tblHeader/>
        </w:trPr>
        <w:tc>
          <w:tcPr>
            <w:tcW w:w="1635" w:type="dxa"/>
            <w:vMerge w:val="restart"/>
            <w:tcBorders>
              <w:top w:val="single" w:sz="4" w:space="0" w:color="auto"/>
            </w:tcBorders>
            <w:vAlign w:val="bottom"/>
          </w:tcPr>
          <w:p w:rsidR="00000000" w:rsidRDefault="00000000">
            <w:pPr>
              <w:pStyle w:val="SingleTxt"/>
              <w:spacing w:before="81" w:after="81" w:line="160" w:lineRule="exact"/>
              <w:ind w:left="0" w:right="40"/>
              <w:jc w:val="left"/>
              <w:rPr>
                <w:i/>
                <w:sz w:val="14"/>
              </w:rPr>
            </w:pPr>
            <w:r>
              <w:rPr>
                <w:i/>
                <w:sz w:val="14"/>
              </w:rPr>
              <w:t>Nombre del hogar</w:t>
            </w:r>
          </w:p>
        </w:tc>
        <w:tc>
          <w:tcPr>
            <w:tcW w:w="1605" w:type="dxa"/>
            <w:gridSpan w:val="2"/>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Atención residencial permanente</w:t>
            </w:r>
          </w:p>
        </w:tc>
        <w:tc>
          <w:tcPr>
            <w:tcW w:w="1710" w:type="dxa"/>
            <w:gridSpan w:val="2"/>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Atención nocturna</w:t>
            </w:r>
          </w:p>
        </w:tc>
        <w:tc>
          <w:tcPr>
            <w:tcW w:w="1710" w:type="dxa"/>
            <w:gridSpan w:val="2"/>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Atención domiciliaria</w:t>
            </w:r>
          </w:p>
        </w:tc>
        <w:tc>
          <w:tcPr>
            <w:tcW w:w="1710" w:type="dxa"/>
            <w:gridSpan w:val="2"/>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Atención posterior</w:t>
            </w:r>
          </w:p>
        </w:tc>
        <w:tc>
          <w:tcPr>
            <w:tcW w:w="990" w:type="dxa"/>
            <w:vMerge w:val="restart"/>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Total</w:t>
            </w:r>
          </w:p>
        </w:tc>
      </w:tr>
      <w:tr w:rsidR="00000000">
        <w:tblPrEx>
          <w:tblCellMar>
            <w:top w:w="0" w:type="dxa"/>
            <w:bottom w:w="0" w:type="dxa"/>
          </w:tblCellMar>
        </w:tblPrEx>
        <w:trPr>
          <w:cantSplit/>
          <w:tblHeader/>
        </w:trPr>
        <w:tc>
          <w:tcPr>
            <w:tcW w:w="1635" w:type="dxa"/>
            <w:vMerge/>
            <w:vAlign w:val="bottom"/>
          </w:tcPr>
          <w:p w:rsidR="00000000" w:rsidRDefault="00000000">
            <w:pPr>
              <w:pStyle w:val="SingleTxt"/>
              <w:spacing w:after="81" w:line="160" w:lineRule="exact"/>
              <w:ind w:left="0" w:right="40"/>
              <w:jc w:val="left"/>
              <w:rPr>
                <w:i/>
                <w:sz w:val="14"/>
              </w:rPr>
            </w:pPr>
          </w:p>
        </w:tc>
        <w:tc>
          <w:tcPr>
            <w:tcW w:w="828" w:type="dxa"/>
            <w:vAlign w:val="bottom"/>
          </w:tcPr>
          <w:p w:rsidR="00000000" w:rsidRDefault="00000000">
            <w:pPr>
              <w:pStyle w:val="SingleTxt"/>
              <w:spacing w:after="81" w:line="160" w:lineRule="exact"/>
              <w:ind w:left="0" w:right="40"/>
              <w:jc w:val="right"/>
              <w:rPr>
                <w:i/>
                <w:sz w:val="14"/>
              </w:rPr>
            </w:pPr>
            <w:r>
              <w:rPr>
                <w:i/>
                <w:sz w:val="14"/>
              </w:rPr>
              <w:t>Hombres</w:t>
            </w:r>
          </w:p>
        </w:tc>
        <w:tc>
          <w:tcPr>
            <w:tcW w:w="777" w:type="dxa"/>
            <w:vAlign w:val="bottom"/>
          </w:tcPr>
          <w:p w:rsidR="00000000" w:rsidRDefault="00000000">
            <w:pPr>
              <w:pStyle w:val="SingleTxt"/>
              <w:spacing w:after="81" w:line="160" w:lineRule="exact"/>
              <w:ind w:left="0" w:right="40"/>
              <w:jc w:val="right"/>
              <w:rPr>
                <w:i/>
                <w:sz w:val="14"/>
              </w:rPr>
            </w:pPr>
            <w:r>
              <w:rPr>
                <w:i/>
                <w:sz w:val="14"/>
              </w:rPr>
              <w:t>Muj</w:t>
            </w:r>
            <w:r>
              <w:rPr>
                <w:i/>
                <w:sz w:val="14"/>
              </w:rPr>
              <w:t>e</w:t>
            </w:r>
            <w:r>
              <w:rPr>
                <w:i/>
                <w:sz w:val="14"/>
              </w:rPr>
              <w:t>res</w:t>
            </w:r>
          </w:p>
        </w:tc>
        <w:tc>
          <w:tcPr>
            <w:tcW w:w="946" w:type="dxa"/>
            <w:vAlign w:val="bottom"/>
          </w:tcPr>
          <w:p w:rsidR="00000000" w:rsidRDefault="00000000">
            <w:pPr>
              <w:pStyle w:val="SingleTxt"/>
              <w:spacing w:after="81" w:line="160" w:lineRule="exact"/>
              <w:ind w:left="0" w:right="40"/>
              <w:jc w:val="right"/>
              <w:rPr>
                <w:i/>
                <w:sz w:val="14"/>
              </w:rPr>
            </w:pPr>
            <w:r>
              <w:rPr>
                <w:i/>
                <w:sz w:val="14"/>
              </w:rPr>
              <w:t>Hombres</w:t>
            </w:r>
          </w:p>
        </w:tc>
        <w:tc>
          <w:tcPr>
            <w:tcW w:w="764" w:type="dxa"/>
            <w:vAlign w:val="bottom"/>
          </w:tcPr>
          <w:p w:rsidR="00000000" w:rsidRDefault="00000000">
            <w:pPr>
              <w:pStyle w:val="SingleTxt"/>
              <w:spacing w:after="81" w:line="160" w:lineRule="exact"/>
              <w:ind w:left="0" w:right="40"/>
              <w:jc w:val="right"/>
              <w:rPr>
                <w:i/>
                <w:sz w:val="14"/>
              </w:rPr>
            </w:pPr>
            <w:r>
              <w:rPr>
                <w:i/>
                <w:sz w:val="14"/>
              </w:rPr>
              <w:t>Mujeres</w:t>
            </w:r>
          </w:p>
        </w:tc>
        <w:tc>
          <w:tcPr>
            <w:tcW w:w="937" w:type="dxa"/>
            <w:vAlign w:val="bottom"/>
          </w:tcPr>
          <w:p w:rsidR="00000000" w:rsidRDefault="00000000">
            <w:pPr>
              <w:pStyle w:val="SingleTxt"/>
              <w:spacing w:after="81" w:line="160" w:lineRule="exact"/>
              <w:ind w:left="0" w:right="40"/>
              <w:jc w:val="right"/>
              <w:rPr>
                <w:i/>
                <w:sz w:val="14"/>
              </w:rPr>
            </w:pPr>
            <w:r>
              <w:rPr>
                <w:i/>
                <w:sz w:val="14"/>
              </w:rPr>
              <w:t>Hombres</w:t>
            </w:r>
          </w:p>
        </w:tc>
        <w:tc>
          <w:tcPr>
            <w:tcW w:w="773" w:type="dxa"/>
            <w:vAlign w:val="bottom"/>
          </w:tcPr>
          <w:p w:rsidR="00000000" w:rsidRDefault="00000000">
            <w:pPr>
              <w:pStyle w:val="SingleTxt"/>
              <w:spacing w:after="81" w:line="160" w:lineRule="exact"/>
              <w:ind w:left="0" w:right="40"/>
              <w:jc w:val="right"/>
              <w:rPr>
                <w:i/>
                <w:sz w:val="14"/>
              </w:rPr>
            </w:pPr>
            <w:r>
              <w:rPr>
                <w:i/>
                <w:sz w:val="14"/>
              </w:rPr>
              <w:t>Mujeres</w:t>
            </w:r>
          </w:p>
        </w:tc>
        <w:tc>
          <w:tcPr>
            <w:tcW w:w="928" w:type="dxa"/>
            <w:vAlign w:val="bottom"/>
          </w:tcPr>
          <w:p w:rsidR="00000000" w:rsidRDefault="00000000">
            <w:pPr>
              <w:pStyle w:val="SingleTxt"/>
              <w:spacing w:after="81" w:line="160" w:lineRule="exact"/>
              <w:ind w:left="0" w:right="40"/>
              <w:jc w:val="right"/>
              <w:rPr>
                <w:i/>
                <w:sz w:val="14"/>
              </w:rPr>
            </w:pPr>
            <w:r>
              <w:rPr>
                <w:i/>
                <w:sz w:val="14"/>
              </w:rPr>
              <w:t>Hombres</w:t>
            </w:r>
          </w:p>
        </w:tc>
        <w:tc>
          <w:tcPr>
            <w:tcW w:w="782" w:type="dxa"/>
            <w:vAlign w:val="bottom"/>
          </w:tcPr>
          <w:p w:rsidR="00000000" w:rsidRDefault="00000000">
            <w:pPr>
              <w:pStyle w:val="SingleTxt"/>
              <w:spacing w:after="81" w:line="160" w:lineRule="exact"/>
              <w:ind w:left="0" w:right="40"/>
              <w:jc w:val="right"/>
              <w:rPr>
                <w:i/>
                <w:sz w:val="14"/>
              </w:rPr>
            </w:pPr>
            <w:r>
              <w:rPr>
                <w:i/>
                <w:sz w:val="14"/>
              </w:rPr>
              <w:t>Mujeres</w:t>
            </w:r>
          </w:p>
        </w:tc>
        <w:tc>
          <w:tcPr>
            <w:tcW w:w="990" w:type="dxa"/>
            <w:vMerge/>
            <w:vAlign w:val="bottom"/>
          </w:tcPr>
          <w:p w:rsidR="00000000" w:rsidRDefault="00000000">
            <w:pPr>
              <w:pStyle w:val="SingleTxt"/>
              <w:spacing w:after="81" w:line="160" w:lineRule="exact"/>
              <w:ind w:left="0" w:right="40"/>
              <w:jc w:val="right"/>
              <w:rPr>
                <w:i/>
                <w:sz w:val="14"/>
              </w:rPr>
            </w:pPr>
          </w:p>
        </w:tc>
      </w:tr>
      <w:tr w:rsidR="00000000">
        <w:tblPrEx>
          <w:tblCellMar>
            <w:top w:w="0" w:type="dxa"/>
            <w:bottom w:w="0" w:type="dxa"/>
          </w:tblCellMar>
        </w:tblPrEx>
        <w:trPr>
          <w:trHeight w:hRule="exact" w:val="115"/>
          <w:tblHeader/>
        </w:trPr>
        <w:tc>
          <w:tcPr>
            <w:tcW w:w="1635" w:type="dxa"/>
            <w:tcBorders>
              <w:top w:val="single" w:sz="12" w:space="0" w:color="auto"/>
            </w:tcBorders>
            <w:vAlign w:val="bottom"/>
          </w:tcPr>
          <w:p w:rsidR="00000000" w:rsidRDefault="00000000">
            <w:pPr>
              <w:pStyle w:val="SingleTxt"/>
              <w:spacing w:before="40" w:after="40" w:line="210" w:lineRule="exact"/>
              <w:ind w:left="0" w:right="40"/>
              <w:jc w:val="left"/>
              <w:rPr>
                <w:sz w:val="17"/>
              </w:rPr>
            </w:pPr>
          </w:p>
        </w:tc>
        <w:tc>
          <w:tcPr>
            <w:tcW w:w="828"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7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46"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64"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3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73"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28"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8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9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1635"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left"/>
              <w:rPr>
                <w:sz w:val="14"/>
              </w:rPr>
            </w:pPr>
            <w:r>
              <w:rPr>
                <w:sz w:val="14"/>
              </w:rPr>
              <w:t>Hogar de atención de las personas de edad</w:t>
            </w:r>
          </w:p>
        </w:tc>
        <w:tc>
          <w:tcPr>
            <w:tcW w:w="828"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23</w:t>
            </w:r>
          </w:p>
        </w:tc>
        <w:tc>
          <w:tcPr>
            <w:tcW w:w="777"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39</w:t>
            </w:r>
          </w:p>
        </w:tc>
        <w:tc>
          <w:tcPr>
            <w:tcW w:w="946"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764"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37"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773"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28"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782"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90"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right"/>
              <w:rPr>
                <w:sz w:val="14"/>
              </w:rPr>
            </w:pPr>
            <w:r>
              <w:rPr>
                <w:sz w:val="14"/>
              </w:rPr>
              <w:t>62 hombres y m</w:t>
            </w:r>
            <w:r>
              <w:rPr>
                <w:sz w:val="14"/>
              </w:rPr>
              <w:t>u</w:t>
            </w:r>
            <w:r>
              <w:rPr>
                <w:sz w:val="14"/>
              </w:rPr>
              <w:t>jeres</w:t>
            </w:r>
          </w:p>
        </w:tc>
      </w:tr>
      <w:tr w:rsidR="00000000">
        <w:tblPrEx>
          <w:tblCellMar>
            <w:top w:w="0" w:type="dxa"/>
            <w:bottom w:w="0" w:type="dxa"/>
          </w:tblCellMar>
        </w:tblPrEx>
        <w:tc>
          <w:tcPr>
            <w:tcW w:w="1635"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left"/>
              <w:rPr>
                <w:sz w:val="14"/>
              </w:rPr>
            </w:pPr>
            <w:r>
              <w:rPr>
                <w:sz w:val="14"/>
              </w:rPr>
              <w:t>Hogar de Rehabilit</w:t>
            </w:r>
            <w:r>
              <w:rPr>
                <w:sz w:val="14"/>
              </w:rPr>
              <w:t>a</w:t>
            </w:r>
            <w:r>
              <w:rPr>
                <w:sz w:val="14"/>
              </w:rPr>
              <w:t>ción Social de Muj</w:t>
            </w:r>
            <w:r>
              <w:rPr>
                <w:sz w:val="14"/>
              </w:rPr>
              <w:t>e</w:t>
            </w:r>
            <w:r>
              <w:rPr>
                <w:sz w:val="14"/>
              </w:rPr>
              <w:t>res y Niños</w:t>
            </w:r>
          </w:p>
        </w:tc>
        <w:tc>
          <w:tcPr>
            <w:tcW w:w="828"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20</w:t>
            </w:r>
          </w:p>
        </w:tc>
        <w:tc>
          <w:tcPr>
            <w:tcW w:w="777"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135</w:t>
            </w:r>
          </w:p>
        </w:tc>
        <w:tc>
          <w:tcPr>
            <w:tcW w:w="946"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4</w:t>
            </w:r>
          </w:p>
        </w:tc>
        <w:tc>
          <w:tcPr>
            <w:tcW w:w="764"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2</w:t>
            </w:r>
          </w:p>
        </w:tc>
        <w:tc>
          <w:tcPr>
            <w:tcW w:w="937"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8</w:t>
            </w:r>
          </w:p>
        </w:tc>
        <w:tc>
          <w:tcPr>
            <w:tcW w:w="773"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6</w:t>
            </w:r>
          </w:p>
        </w:tc>
        <w:tc>
          <w:tcPr>
            <w:tcW w:w="928"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782"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90"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right"/>
              <w:rPr>
                <w:sz w:val="14"/>
              </w:rPr>
            </w:pPr>
            <w:r>
              <w:rPr>
                <w:sz w:val="14"/>
              </w:rPr>
              <w:t>175 ho</w:t>
            </w:r>
            <w:r>
              <w:rPr>
                <w:sz w:val="14"/>
              </w:rPr>
              <w:t>m</w:t>
            </w:r>
            <w:r>
              <w:rPr>
                <w:sz w:val="14"/>
              </w:rPr>
              <w:t>bres y m</w:t>
            </w:r>
            <w:r>
              <w:rPr>
                <w:sz w:val="14"/>
              </w:rPr>
              <w:t>u</w:t>
            </w:r>
            <w:r>
              <w:rPr>
                <w:sz w:val="14"/>
              </w:rPr>
              <w:t>jeres</w:t>
            </w:r>
          </w:p>
        </w:tc>
      </w:tr>
      <w:tr w:rsidR="00000000">
        <w:tblPrEx>
          <w:tblCellMar>
            <w:top w:w="0" w:type="dxa"/>
            <w:bottom w:w="0" w:type="dxa"/>
          </w:tblCellMar>
        </w:tblPrEx>
        <w:tc>
          <w:tcPr>
            <w:tcW w:w="1635"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left"/>
              <w:rPr>
                <w:sz w:val="14"/>
              </w:rPr>
            </w:pPr>
            <w:r>
              <w:rPr>
                <w:sz w:val="14"/>
              </w:rPr>
              <w:t>Hogar de Rehabilit</w:t>
            </w:r>
            <w:r>
              <w:rPr>
                <w:sz w:val="14"/>
              </w:rPr>
              <w:t>a</w:t>
            </w:r>
            <w:r>
              <w:rPr>
                <w:sz w:val="14"/>
              </w:rPr>
              <w:t>ción Social de Ho</w:t>
            </w:r>
            <w:r>
              <w:rPr>
                <w:sz w:val="14"/>
              </w:rPr>
              <w:t>m</w:t>
            </w:r>
            <w:r>
              <w:rPr>
                <w:sz w:val="14"/>
              </w:rPr>
              <w:t>bres</w:t>
            </w:r>
          </w:p>
        </w:tc>
        <w:tc>
          <w:tcPr>
            <w:tcW w:w="828"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136</w:t>
            </w:r>
          </w:p>
        </w:tc>
        <w:tc>
          <w:tcPr>
            <w:tcW w:w="777"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46"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6</w:t>
            </w:r>
          </w:p>
        </w:tc>
        <w:tc>
          <w:tcPr>
            <w:tcW w:w="764"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37"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4</w:t>
            </w:r>
          </w:p>
        </w:tc>
        <w:tc>
          <w:tcPr>
            <w:tcW w:w="773"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28"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7</w:t>
            </w:r>
          </w:p>
        </w:tc>
        <w:tc>
          <w:tcPr>
            <w:tcW w:w="782"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90"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right"/>
              <w:rPr>
                <w:sz w:val="14"/>
              </w:rPr>
            </w:pPr>
            <w:r>
              <w:rPr>
                <w:sz w:val="14"/>
              </w:rPr>
              <w:t>153 ho</w:t>
            </w:r>
            <w:r>
              <w:rPr>
                <w:sz w:val="14"/>
              </w:rPr>
              <w:t>m</w:t>
            </w:r>
            <w:r>
              <w:rPr>
                <w:sz w:val="14"/>
              </w:rPr>
              <w:t>bres y m</w:t>
            </w:r>
            <w:r>
              <w:rPr>
                <w:sz w:val="14"/>
              </w:rPr>
              <w:t>u</w:t>
            </w:r>
            <w:r>
              <w:rPr>
                <w:sz w:val="14"/>
              </w:rPr>
              <w:t>jeres</w:t>
            </w:r>
          </w:p>
        </w:tc>
      </w:tr>
      <w:tr w:rsidR="00000000">
        <w:tblPrEx>
          <w:tblCellMar>
            <w:top w:w="0" w:type="dxa"/>
            <w:bottom w:w="0" w:type="dxa"/>
          </w:tblCellMar>
        </w:tblPrEx>
        <w:tc>
          <w:tcPr>
            <w:tcW w:w="1635"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left"/>
              <w:rPr>
                <w:sz w:val="14"/>
              </w:rPr>
            </w:pPr>
            <w:r>
              <w:rPr>
                <w:sz w:val="14"/>
              </w:rPr>
              <w:t>Hogar de Atención de Mujeres y Niños Di</w:t>
            </w:r>
            <w:r>
              <w:rPr>
                <w:sz w:val="14"/>
              </w:rPr>
              <w:t>s</w:t>
            </w:r>
            <w:r>
              <w:rPr>
                <w:sz w:val="14"/>
              </w:rPr>
              <w:t>capacitados</w:t>
            </w:r>
          </w:p>
        </w:tc>
        <w:tc>
          <w:tcPr>
            <w:tcW w:w="828"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37</w:t>
            </w:r>
          </w:p>
        </w:tc>
        <w:tc>
          <w:tcPr>
            <w:tcW w:w="777"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153</w:t>
            </w:r>
          </w:p>
        </w:tc>
        <w:tc>
          <w:tcPr>
            <w:tcW w:w="946"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4</w:t>
            </w:r>
          </w:p>
        </w:tc>
        <w:tc>
          <w:tcPr>
            <w:tcW w:w="764"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3</w:t>
            </w:r>
          </w:p>
        </w:tc>
        <w:tc>
          <w:tcPr>
            <w:tcW w:w="937"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21</w:t>
            </w:r>
          </w:p>
        </w:tc>
        <w:tc>
          <w:tcPr>
            <w:tcW w:w="773"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21</w:t>
            </w:r>
          </w:p>
        </w:tc>
        <w:tc>
          <w:tcPr>
            <w:tcW w:w="928"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782"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90"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right"/>
              <w:rPr>
                <w:sz w:val="14"/>
              </w:rPr>
            </w:pPr>
            <w:r>
              <w:rPr>
                <w:sz w:val="14"/>
              </w:rPr>
              <w:t>239 ho</w:t>
            </w:r>
            <w:r>
              <w:rPr>
                <w:sz w:val="14"/>
              </w:rPr>
              <w:t>m</w:t>
            </w:r>
            <w:r>
              <w:rPr>
                <w:sz w:val="14"/>
              </w:rPr>
              <w:t>bres y m</w:t>
            </w:r>
            <w:r>
              <w:rPr>
                <w:sz w:val="14"/>
              </w:rPr>
              <w:t>u</w:t>
            </w:r>
            <w:r>
              <w:rPr>
                <w:sz w:val="14"/>
              </w:rPr>
              <w:t>jeres</w:t>
            </w:r>
          </w:p>
        </w:tc>
      </w:tr>
      <w:tr w:rsidR="00000000">
        <w:tblPrEx>
          <w:tblCellMar>
            <w:top w:w="0" w:type="dxa"/>
            <w:bottom w:w="0" w:type="dxa"/>
          </w:tblCellMar>
        </w:tblPrEx>
        <w:tc>
          <w:tcPr>
            <w:tcW w:w="1635"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left"/>
              <w:rPr>
                <w:sz w:val="14"/>
              </w:rPr>
            </w:pPr>
            <w:r>
              <w:rPr>
                <w:sz w:val="14"/>
              </w:rPr>
              <w:t>Hogar de Atención de Hombres Discapacit</w:t>
            </w:r>
            <w:r>
              <w:rPr>
                <w:sz w:val="14"/>
              </w:rPr>
              <w:t>a</w:t>
            </w:r>
            <w:r>
              <w:rPr>
                <w:sz w:val="14"/>
              </w:rPr>
              <w:t>dos</w:t>
            </w:r>
          </w:p>
        </w:tc>
        <w:tc>
          <w:tcPr>
            <w:tcW w:w="828"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111</w:t>
            </w:r>
          </w:p>
        </w:tc>
        <w:tc>
          <w:tcPr>
            <w:tcW w:w="777"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46"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4</w:t>
            </w:r>
          </w:p>
        </w:tc>
        <w:tc>
          <w:tcPr>
            <w:tcW w:w="764"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37"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9</w:t>
            </w:r>
          </w:p>
        </w:tc>
        <w:tc>
          <w:tcPr>
            <w:tcW w:w="773"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28"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782"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90" w:type="dxa"/>
            <w:vAlign w:val="bottom"/>
          </w:tcPr>
          <w:p w:rsidR="00000000" w:rsidRDefault="00000000">
            <w:pPr>
              <w:pStyle w:val="SingleTxt"/>
              <w:tabs>
                <w:tab w:val="left" w:pos="288"/>
                <w:tab w:val="left" w:pos="576"/>
                <w:tab w:val="left" w:pos="864"/>
                <w:tab w:val="left" w:pos="1152"/>
              </w:tabs>
              <w:spacing w:before="40" w:after="40" w:line="170" w:lineRule="exact"/>
              <w:ind w:left="0" w:right="14"/>
              <w:jc w:val="right"/>
              <w:rPr>
                <w:sz w:val="14"/>
              </w:rPr>
            </w:pPr>
            <w:r>
              <w:rPr>
                <w:sz w:val="14"/>
              </w:rPr>
              <w:t>124 ho</w:t>
            </w:r>
            <w:r>
              <w:rPr>
                <w:sz w:val="14"/>
              </w:rPr>
              <w:t>m</w:t>
            </w:r>
            <w:r>
              <w:rPr>
                <w:sz w:val="14"/>
              </w:rPr>
              <w:t>bres</w:t>
            </w:r>
          </w:p>
        </w:tc>
      </w:tr>
      <w:tr w:rsidR="00000000">
        <w:tblPrEx>
          <w:tblCellMar>
            <w:top w:w="0" w:type="dxa"/>
            <w:bottom w:w="0" w:type="dxa"/>
          </w:tblCellMar>
        </w:tblPrEx>
        <w:tc>
          <w:tcPr>
            <w:tcW w:w="1635"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left"/>
              <w:rPr>
                <w:sz w:val="14"/>
              </w:rPr>
            </w:pPr>
            <w:r>
              <w:rPr>
                <w:sz w:val="14"/>
              </w:rPr>
              <w:t>Hogar Diurno</w:t>
            </w:r>
          </w:p>
        </w:tc>
        <w:tc>
          <w:tcPr>
            <w:tcW w:w="828"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777"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46"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63</w:t>
            </w:r>
          </w:p>
        </w:tc>
        <w:tc>
          <w:tcPr>
            <w:tcW w:w="764"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42</w:t>
            </w:r>
          </w:p>
        </w:tc>
        <w:tc>
          <w:tcPr>
            <w:tcW w:w="937"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773"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28"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782"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sz w:val="14"/>
              </w:rPr>
            </w:pPr>
            <w:r>
              <w:rPr>
                <w:sz w:val="14"/>
              </w:rPr>
              <w:t>-</w:t>
            </w:r>
          </w:p>
        </w:tc>
        <w:tc>
          <w:tcPr>
            <w:tcW w:w="99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right"/>
              <w:rPr>
                <w:sz w:val="14"/>
              </w:rPr>
            </w:pPr>
            <w:r>
              <w:rPr>
                <w:sz w:val="14"/>
              </w:rPr>
              <w:t>105 ho</w:t>
            </w:r>
            <w:r>
              <w:rPr>
                <w:sz w:val="14"/>
              </w:rPr>
              <w:t>m</w:t>
            </w:r>
            <w:r>
              <w:rPr>
                <w:sz w:val="14"/>
              </w:rPr>
              <w:t>bres y m</w:t>
            </w:r>
            <w:r>
              <w:rPr>
                <w:sz w:val="14"/>
              </w:rPr>
              <w:t>u</w:t>
            </w:r>
            <w:r>
              <w:rPr>
                <w:sz w:val="14"/>
              </w:rPr>
              <w:t>jeres</w:t>
            </w:r>
          </w:p>
        </w:tc>
      </w:tr>
      <w:tr w:rsidR="00000000">
        <w:tblPrEx>
          <w:tblCellMar>
            <w:top w:w="0" w:type="dxa"/>
            <w:bottom w:w="0" w:type="dxa"/>
          </w:tblCellMar>
        </w:tblPrEx>
        <w:tc>
          <w:tcPr>
            <w:tcW w:w="1635"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left"/>
              <w:rPr>
                <w:b/>
                <w:sz w:val="14"/>
              </w:rPr>
            </w:pPr>
            <w:r>
              <w:rPr>
                <w:b/>
                <w:sz w:val="14"/>
              </w:rPr>
              <w:t>Total</w:t>
            </w:r>
          </w:p>
        </w:tc>
        <w:tc>
          <w:tcPr>
            <w:tcW w:w="1605" w:type="dxa"/>
            <w:gridSpan w:val="2"/>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b/>
                <w:sz w:val="14"/>
              </w:rPr>
            </w:pPr>
            <w:r>
              <w:rPr>
                <w:b/>
                <w:sz w:val="14"/>
              </w:rPr>
              <w:t>654</w:t>
            </w:r>
          </w:p>
        </w:tc>
        <w:tc>
          <w:tcPr>
            <w:tcW w:w="1710" w:type="dxa"/>
            <w:gridSpan w:val="2"/>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b/>
                <w:sz w:val="14"/>
              </w:rPr>
            </w:pPr>
            <w:r>
              <w:rPr>
                <w:b/>
                <w:sz w:val="14"/>
              </w:rPr>
              <w:t>128</w:t>
            </w:r>
          </w:p>
        </w:tc>
        <w:tc>
          <w:tcPr>
            <w:tcW w:w="1710" w:type="dxa"/>
            <w:gridSpan w:val="2"/>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b/>
                <w:sz w:val="14"/>
              </w:rPr>
            </w:pPr>
            <w:r>
              <w:rPr>
                <w:b/>
                <w:sz w:val="14"/>
              </w:rPr>
              <w:t>69</w:t>
            </w:r>
          </w:p>
        </w:tc>
        <w:tc>
          <w:tcPr>
            <w:tcW w:w="1710" w:type="dxa"/>
            <w:gridSpan w:val="2"/>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center"/>
              <w:rPr>
                <w:b/>
                <w:sz w:val="14"/>
              </w:rPr>
            </w:pPr>
            <w:r>
              <w:rPr>
                <w:b/>
                <w:sz w:val="14"/>
              </w:rPr>
              <w:t>7</w:t>
            </w:r>
          </w:p>
        </w:tc>
        <w:tc>
          <w:tcPr>
            <w:tcW w:w="99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
              <w:jc w:val="right"/>
              <w:rPr>
                <w:b/>
                <w:sz w:val="14"/>
              </w:rPr>
            </w:pPr>
            <w:r>
              <w:rPr>
                <w:b/>
                <w:sz w:val="14"/>
              </w:rPr>
              <w:t>858 ho</w:t>
            </w:r>
            <w:r>
              <w:rPr>
                <w:b/>
                <w:sz w:val="14"/>
              </w:rPr>
              <w:t>m</w:t>
            </w:r>
            <w:r>
              <w:rPr>
                <w:b/>
                <w:sz w:val="14"/>
              </w:rPr>
              <w:t>bres y m</w:t>
            </w:r>
            <w:r>
              <w:rPr>
                <w:b/>
                <w:sz w:val="14"/>
              </w:rPr>
              <w:t>u</w:t>
            </w:r>
            <w:r>
              <w:rPr>
                <w:b/>
                <w:sz w:val="14"/>
              </w:rPr>
              <w:t>jeres</w:t>
            </w:r>
          </w:p>
        </w:tc>
      </w:tr>
    </w:tbl>
    <w:p w:rsidR="00000000" w:rsidRDefault="00000000">
      <w:pPr>
        <w:pStyle w:val="SingleTxt"/>
        <w:jc w:val="center"/>
      </w:pPr>
    </w:p>
    <w:p w:rsidR="00000000" w:rsidRDefault="00000000">
      <w:pPr>
        <w:pStyle w:val="SingleTxt"/>
        <w:jc w:val="center"/>
      </w:pPr>
    </w:p>
    <w:p w:rsidR="00000000" w:rsidRDefault="00000000">
      <w:pPr>
        <w:pStyle w:val="SingleTxt"/>
        <w:keepNext/>
        <w:jc w:val="center"/>
      </w:pPr>
      <w:r>
        <w:t>Datos estadísticos sobre la cantidad de niños beneficiarios del Departamento de H</w:t>
      </w:r>
      <w:r>
        <w:t>o</w:t>
      </w:r>
      <w:r>
        <w:t>gares de guarda y sus hogares a finales de octubre de 2001</w:t>
      </w:r>
    </w:p>
    <w:p w:rsidR="00000000" w:rsidRDefault="00000000">
      <w:pPr>
        <w:pStyle w:val="SingleTxt"/>
        <w:keepNext/>
        <w:spacing w:after="0" w:line="120" w:lineRule="exact"/>
        <w:jc w:val="center"/>
        <w:rPr>
          <w:sz w:val="10"/>
        </w:rPr>
      </w:pPr>
    </w:p>
    <w:tbl>
      <w:tblPr>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jc w:val="center"/>
        </w:trPr>
        <w:tc>
          <w:tcPr>
            <w:tcW w:w="1830" w:type="dxa"/>
            <w:tcBorders>
              <w:top w:val="single" w:sz="4" w:space="0" w:color="auto"/>
            </w:tcBorders>
            <w:vAlign w:val="bottom"/>
          </w:tcPr>
          <w:p w:rsidR="00000000" w:rsidRDefault="00000000">
            <w:pPr>
              <w:pStyle w:val="SingleTxt"/>
              <w:spacing w:before="81" w:after="81" w:line="160" w:lineRule="exact"/>
              <w:ind w:left="0" w:right="40"/>
              <w:jc w:val="left"/>
              <w:rPr>
                <w:i/>
                <w:sz w:val="14"/>
              </w:rPr>
            </w:pPr>
            <w:r>
              <w:rPr>
                <w:i/>
                <w:sz w:val="14"/>
              </w:rPr>
              <w:t>Tipo de hogar</w:t>
            </w:r>
          </w:p>
        </w:tc>
        <w:tc>
          <w:tcPr>
            <w:tcW w:w="183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Varones</w:t>
            </w:r>
          </w:p>
        </w:tc>
        <w:tc>
          <w:tcPr>
            <w:tcW w:w="183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Mujeres</w:t>
            </w:r>
          </w:p>
        </w:tc>
        <w:tc>
          <w:tcPr>
            <w:tcW w:w="183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Total</w:t>
            </w:r>
          </w:p>
        </w:tc>
      </w:tr>
      <w:tr w:rsidR="00000000">
        <w:tblPrEx>
          <w:tblCellMar>
            <w:top w:w="0" w:type="dxa"/>
            <w:bottom w:w="0" w:type="dxa"/>
          </w:tblCellMar>
        </w:tblPrEx>
        <w:trPr>
          <w:trHeight w:hRule="exact" w:val="115"/>
          <w:tblHeader/>
          <w:jc w:val="center"/>
        </w:trPr>
        <w:tc>
          <w:tcPr>
            <w:tcW w:w="1830" w:type="dxa"/>
            <w:tcBorders>
              <w:top w:val="single" w:sz="12" w:space="0" w:color="auto"/>
            </w:tcBorders>
            <w:vAlign w:val="bottom"/>
          </w:tcPr>
          <w:p w:rsidR="00000000" w:rsidRDefault="00000000">
            <w:pPr>
              <w:pStyle w:val="SingleTxt"/>
              <w:spacing w:before="40" w:after="40" w:line="210" w:lineRule="exact"/>
              <w:ind w:left="0" w:right="40"/>
              <w:jc w:val="left"/>
              <w:rPr>
                <w:sz w:val="17"/>
              </w:rPr>
            </w:pPr>
          </w:p>
        </w:tc>
        <w:tc>
          <w:tcPr>
            <w:tcW w:w="183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83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83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jc w:val="center"/>
        </w:trPr>
        <w:tc>
          <w:tcPr>
            <w:tcW w:w="18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Hogar para niños</w:t>
            </w:r>
          </w:p>
        </w:tc>
        <w:tc>
          <w:tcPr>
            <w:tcW w:w="18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31</w:t>
            </w:r>
          </w:p>
        </w:tc>
        <w:tc>
          <w:tcPr>
            <w:tcW w:w="18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23</w:t>
            </w:r>
          </w:p>
        </w:tc>
        <w:tc>
          <w:tcPr>
            <w:tcW w:w="18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54</w:t>
            </w:r>
          </w:p>
        </w:tc>
      </w:tr>
      <w:tr w:rsidR="00000000">
        <w:tblPrEx>
          <w:tblCellMar>
            <w:top w:w="0" w:type="dxa"/>
            <w:bottom w:w="0" w:type="dxa"/>
          </w:tblCellMar>
        </w:tblPrEx>
        <w:trPr>
          <w:jc w:val="center"/>
        </w:trPr>
        <w:tc>
          <w:tcPr>
            <w:tcW w:w="18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Hogar para niñas</w:t>
            </w:r>
          </w:p>
        </w:tc>
        <w:tc>
          <w:tcPr>
            <w:tcW w:w="18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18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34</w:t>
            </w:r>
          </w:p>
        </w:tc>
        <w:tc>
          <w:tcPr>
            <w:tcW w:w="18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34</w:t>
            </w:r>
          </w:p>
        </w:tc>
      </w:tr>
      <w:tr w:rsidR="00000000">
        <w:tblPrEx>
          <w:tblCellMar>
            <w:top w:w="0" w:type="dxa"/>
            <w:bottom w:w="0" w:type="dxa"/>
          </w:tblCellMar>
        </w:tblPrEx>
        <w:trPr>
          <w:jc w:val="center"/>
        </w:trPr>
        <w:tc>
          <w:tcPr>
            <w:tcW w:w="18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Hogares de acogida</w:t>
            </w:r>
          </w:p>
        </w:tc>
        <w:tc>
          <w:tcPr>
            <w:tcW w:w="18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77</w:t>
            </w:r>
          </w:p>
        </w:tc>
        <w:tc>
          <w:tcPr>
            <w:tcW w:w="18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9</w:t>
            </w:r>
          </w:p>
        </w:tc>
        <w:tc>
          <w:tcPr>
            <w:tcW w:w="18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86</w:t>
            </w:r>
          </w:p>
        </w:tc>
      </w:tr>
      <w:tr w:rsidR="00000000">
        <w:tblPrEx>
          <w:tblCellMar>
            <w:top w:w="0" w:type="dxa"/>
            <w:bottom w:w="0" w:type="dxa"/>
          </w:tblCellMar>
        </w:tblPrEx>
        <w:trPr>
          <w:jc w:val="center"/>
        </w:trPr>
        <w:tc>
          <w:tcPr>
            <w:tcW w:w="183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Familias de guarda</w:t>
            </w:r>
          </w:p>
        </w:tc>
        <w:tc>
          <w:tcPr>
            <w:tcW w:w="183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200</w:t>
            </w:r>
          </w:p>
        </w:tc>
        <w:tc>
          <w:tcPr>
            <w:tcW w:w="183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292</w:t>
            </w:r>
          </w:p>
        </w:tc>
        <w:tc>
          <w:tcPr>
            <w:tcW w:w="183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492</w:t>
            </w:r>
          </w:p>
        </w:tc>
      </w:tr>
      <w:tr w:rsidR="00000000">
        <w:tblPrEx>
          <w:tblCellMar>
            <w:top w:w="0" w:type="dxa"/>
            <w:bottom w:w="0" w:type="dxa"/>
          </w:tblCellMar>
        </w:tblPrEx>
        <w:trPr>
          <w:jc w:val="center"/>
        </w:trPr>
        <w:tc>
          <w:tcPr>
            <w:tcW w:w="183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b/>
                <w:sz w:val="17"/>
              </w:rPr>
            </w:pPr>
            <w:r>
              <w:rPr>
                <w:b/>
                <w:sz w:val="17"/>
              </w:rPr>
              <w:t>Total</w:t>
            </w:r>
          </w:p>
        </w:tc>
        <w:tc>
          <w:tcPr>
            <w:tcW w:w="183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308</w:t>
            </w:r>
          </w:p>
        </w:tc>
        <w:tc>
          <w:tcPr>
            <w:tcW w:w="183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358</w:t>
            </w:r>
          </w:p>
        </w:tc>
        <w:tc>
          <w:tcPr>
            <w:tcW w:w="183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666</w:t>
            </w:r>
          </w:p>
        </w:tc>
      </w:tr>
    </w:tbl>
    <w:p w:rsidR="00000000" w:rsidRDefault="00000000">
      <w:pPr>
        <w:pStyle w:val="SingleTxt"/>
        <w:jc w:val="center"/>
      </w:pPr>
    </w:p>
    <w:p w:rsidR="00000000" w:rsidRDefault="00000000">
      <w:pPr>
        <w:pStyle w:val="SingleTxt"/>
        <w:jc w:val="center"/>
      </w:pPr>
    </w:p>
    <w:p w:rsidR="00000000" w:rsidRDefault="00000000">
      <w:pPr>
        <w:pStyle w:val="SingleTxt"/>
        <w:jc w:val="center"/>
      </w:pPr>
      <w:r>
        <w:t>Datos estadísticos sobe la cantidad de estudiantes del Centro de</w:t>
      </w:r>
      <w:r>
        <w:br/>
        <w:t>Rehabilitación Pr</w:t>
      </w:r>
      <w:r>
        <w:t>o</w:t>
      </w:r>
      <w:r>
        <w:t>fesional en octubre de 2001</w:t>
      </w:r>
    </w:p>
    <w:p w:rsidR="00000000" w:rsidRDefault="00000000">
      <w:pPr>
        <w:pStyle w:val="SingleTxt"/>
        <w:spacing w:after="0" w:line="120" w:lineRule="exact"/>
        <w:jc w:val="center"/>
        <w:rPr>
          <w:sz w:val="10"/>
        </w:rPr>
      </w:pPr>
    </w:p>
    <w:tbl>
      <w:tblPr>
        <w:tblW w:w="0" w:type="auto"/>
        <w:jc w:val="center"/>
        <w:tblLayout w:type="fixed"/>
        <w:tblLook w:val="0000" w:firstRow="0" w:lastRow="0" w:firstColumn="0" w:lastColumn="0" w:noHBand="0" w:noVBand="0"/>
      </w:tblPr>
      <w:tblGrid>
        <w:gridCol w:w="2676"/>
        <w:gridCol w:w="1039"/>
        <w:gridCol w:w="1039"/>
        <w:gridCol w:w="1040"/>
      </w:tblGrid>
      <w:tr w:rsidR="00000000">
        <w:tblPrEx>
          <w:tblCellMar>
            <w:top w:w="0" w:type="dxa"/>
            <w:bottom w:w="0" w:type="dxa"/>
          </w:tblCellMar>
        </w:tblPrEx>
        <w:trPr>
          <w:tblHeader/>
          <w:jc w:val="center"/>
        </w:trPr>
        <w:tc>
          <w:tcPr>
            <w:tcW w:w="2676" w:type="dxa"/>
            <w:tcBorders>
              <w:top w:val="single" w:sz="4" w:space="0" w:color="auto"/>
            </w:tcBorders>
            <w:vAlign w:val="bottom"/>
          </w:tcPr>
          <w:p w:rsidR="00000000" w:rsidRDefault="00000000">
            <w:pPr>
              <w:pStyle w:val="SingleTxt"/>
              <w:spacing w:before="81" w:after="81" w:line="160" w:lineRule="exact"/>
              <w:ind w:left="0" w:right="40"/>
              <w:jc w:val="left"/>
              <w:rPr>
                <w:i/>
                <w:sz w:val="14"/>
              </w:rPr>
            </w:pPr>
            <w:r>
              <w:rPr>
                <w:i/>
                <w:sz w:val="14"/>
              </w:rPr>
              <w:t>Rubro</w:t>
            </w:r>
          </w:p>
        </w:tc>
        <w:tc>
          <w:tcPr>
            <w:tcW w:w="1039"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Varones</w:t>
            </w:r>
          </w:p>
        </w:tc>
        <w:tc>
          <w:tcPr>
            <w:tcW w:w="1039"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Mujeres</w:t>
            </w:r>
          </w:p>
        </w:tc>
        <w:tc>
          <w:tcPr>
            <w:tcW w:w="104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Total</w:t>
            </w:r>
          </w:p>
        </w:tc>
      </w:tr>
      <w:tr w:rsidR="00000000">
        <w:tblPrEx>
          <w:tblCellMar>
            <w:top w:w="0" w:type="dxa"/>
            <w:bottom w:w="0" w:type="dxa"/>
          </w:tblCellMar>
        </w:tblPrEx>
        <w:trPr>
          <w:trHeight w:hRule="exact" w:val="115"/>
          <w:tblHeader/>
          <w:jc w:val="center"/>
        </w:trPr>
        <w:tc>
          <w:tcPr>
            <w:tcW w:w="2676" w:type="dxa"/>
            <w:tcBorders>
              <w:top w:val="single" w:sz="12" w:space="0" w:color="auto"/>
            </w:tcBorders>
            <w:vAlign w:val="bottom"/>
          </w:tcPr>
          <w:p w:rsidR="00000000" w:rsidRDefault="00000000">
            <w:pPr>
              <w:pStyle w:val="SingleTxt"/>
              <w:spacing w:before="40" w:after="40" w:line="210" w:lineRule="exact"/>
              <w:ind w:left="0" w:right="40"/>
              <w:jc w:val="left"/>
              <w:rPr>
                <w:sz w:val="17"/>
              </w:rPr>
            </w:pPr>
          </w:p>
        </w:tc>
        <w:tc>
          <w:tcPr>
            <w:tcW w:w="1039"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39"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4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jc w:val="center"/>
        </w:trPr>
        <w:tc>
          <w:tcPr>
            <w:tcW w:w="267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Cantidades en cap</w:t>
            </w:r>
            <w:r>
              <w:rPr>
                <w:sz w:val="17"/>
              </w:rPr>
              <w:t>a</w:t>
            </w:r>
            <w:r>
              <w:rPr>
                <w:sz w:val="17"/>
              </w:rPr>
              <w:t>citación</w:t>
            </w:r>
          </w:p>
        </w:tc>
        <w:tc>
          <w:tcPr>
            <w:tcW w:w="1039"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139</w:t>
            </w:r>
          </w:p>
        </w:tc>
        <w:tc>
          <w:tcPr>
            <w:tcW w:w="1039"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79</w:t>
            </w:r>
          </w:p>
        </w:tc>
        <w:tc>
          <w:tcPr>
            <w:tcW w:w="104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208</w:t>
            </w:r>
          </w:p>
        </w:tc>
      </w:tr>
      <w:tr w:rsidR="00000000">
        <w:tblPrEx>
          <w:tblCellMar>
            <w:top w:w="0" w:type="dxa"/>
            <w:bottom w:w="0" w:type="dxa"/>
          </w:tblCellMar>
        </w:tblPrEx>
        <w:trPr>
          <w:jc w:val="center"/>
        </w:trPr>
        <w:tc>
          <w:tcPr>
            <w:tcW w:w="2676"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Nuevos estudiantes</w:t>
            </w:r>
          </w:p>
        </w:tc>
        <w:tc>
          <w:tcPr>
            <w:tcW w:w="1039"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1039"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104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r>
      <w:tr w:rsidR="00000000">
        <w:tblPrEx>
          <w:tblCellMar>
            <w:top w:w="0" w:type="dxa"/>
            <w:bottom w:w="0" w:type="dxa"/>
          </w:tblCellMar>
        </w:tblPrEx>
        <w:trPr>
          <w:jc w:val="center"/>
        </w:trPr>
        <w:tc>
          <w:tcPr>
            <w:tcW w:w="2676"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b/>
                <w:sz w:val="17"/>
              </w:rPr>
            </w:pPr>
            <w:r>
              <w:rPr>
                <w:b/>
                <w:sz w:val="17"/>
              </w:rPr>
              <w:t>Total</w:t>
            </w:r>
          </w:p>
        </w:tc>
        <w:tc>
          <w:tcPr>
            <w:tcW w:w="1039"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139</w:t>
            </w:r>
          </w:p>
        </w:tc>
        <w:tc>
          <w:tcPr>
            <w:tcW w:w="1039"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79</w:t>
            </w:r>
          </w:p>
        </w:tc>
        <w:tc>
          <w:tcPr>
            <w:tcW w:w="104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b/>
                <w:sz w:val="17"/>
              </w:rPr>
            </w:pPr>
            <w:r>
              <w:rPr>
                <w:b/>
                <w:sz w:val="17"/>
              </w:rPr>
              <w:t>208</w:t>
            </w:r>
          </w:p>
        </w:tc>
      </w:tr>
    </w:tbl>
    <w:p w:rsidR="00000000" w:rsidRDefault="00000000">
      <w:pPr>
        <w:pStyle w:val="SingleTxt"/>
        <w:jc w:val="center"/>
      </w:pPr>
    </w:p>
    <w:p w:rsidR="00000000" w:rsidRDefault="00000000">
      <w:pPr>
        <w:pStyle w:val="SingleTxt"/>
        <w:jc w:val="center"/>
      </w:pPr>
      <w:r>
        <w:t>Datos estadísticos sobre la cantidad de infractores juveniles al cuidado del</w:t>
      </w:r>
      <w:r>
        <w:br/>
        <w:t>Depart</w:t>
      </w:r>
      <w:r>
        <w:t>a</w:t>
      </w:r>
      <w:r>
        <w:t>mento de Bienestar Juvenil y sus hogares a finales de octubre de 2001</w:t>
      </w:r>
    </w:p>
    <w:p w:rsidR="00000000" w:rsidRDefault="00000000">
      <w:pPr>
        <w:pStyle w:val="SingleTxt"/>
        <w:spacing w:after="0" w:line="120" w:lineRule="exact"/>
        <w:jc w:val="center"/>
        <w:rPr>
          <w:sz w:val="10"/>
        </w:rPr>
      </w:pPr>
    </w:p>
    <w:tbl>
      <w:tblPr>
        <w:tblW w:w="0" w:type="auto"/>
        <w:tblInd w:w="1154" w:type="dxa"/>
        <w:tblLayout w:type="fixed"/>
        <w:tblLook w:val="0000" w:firstRow="0" w:lastRow="0" w:firstColumn="0" w:lastColumn="0" w:noHBand="0" w:noVBand="0"/>
      </w:tblPr>
      <w:tblGrid>
        <w:gridCol w:w="1542"/>
        <w:gridCol w:w="2551"/>
        <w:gridCol w:w="1075"/>
        <w:gridCol w:w="1076"/>
        <w:gridCol w:w="1076"/>
      </w:tblGrid>
      <w:tr w:rsidR="00000000">
        <w:tblPrEx>
          <w:tblCellMar>
            <w:top w:w="0" w:type="dxa"/>
            <w:bottom w:w="0" w:type="dxa"/>
          </w:tblCellMar>
        </w:tblPrEx>
        <w:trPr>
          <w:tblHeader/>
        </w:trPr>
        <w:tc>
          <w:tcPr>
            <w:tcW w:w="1542" w:type="dxa"/>
            <w:tcBorders>
              <w:top w:val="single" w:sz="4" w:space="0" w:color="auto"/>
            </w:tcBorders>
            <w:vAlign w:val="bottom"/>
          </w:tcPr>
          <w:p w:rsidR="00000000" w:rsidRDefault="00000000">
            <w:pPr>
              <w:pStyle w:val="SingleTxt"/>
              <w:spacing w:before="81" w:after="81" w:line="160" w:lineRule="exact"/>
              <w:ind w:left="0" w:right="40"/>
              <w:rPr>
                <w:i/>
                <w:sz w:val="14"/>
              </w:rPr>
            </w:pPr>
            <w:r>
              <w:rPr>
                <w:i/>
                <w:sz w:val="14"/>
              </w:rPr>
              <w:t>Tipo de atención</w:t>
            </w:r>
          </w:p>
        </w:tc>
        <w:tc>
          <w:tcPr>
            <w:tcW w:w="2551"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Hogares</w:t>
            </w:r>
          </w:p>
        </w:tc>
        <w:tc>
          <w:tcPr>
            <w:tcW w:w="1075"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Hombres</w:t>
            </w:r>
          </w:p>
        </w:tc>
        <w:tc>
          <w:tcPr>
            <w:tcW w:w="1076"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Mujeres</w:t>
            </w:r>
          </w:p>
        </w:tc>
        <w:tc>
          <w:tcPr>
            <w:tcW w:w="1076"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Total</w:t>
            </w:r>
          </w:p>
        </w:tc>
      </w:tr>
      <w:tr w:rsidR="00000000">
        <w:tblPrEx>
          <w:tblCellMar>
            <w:top w:w="0" w:type="dxa"/>
            <w:bottom w:w="0" w:type="dxa"/>
          </w:tblCellMar>
        </w:tblPrEx>
        <w:trPr>
          <w:trHeight w:hRule="exact" w:val="115"/>
          <w:tblHeader/>
        </w:trPr>
        <w:tc>
          <w:tcPr>
            <w:tcW w:w="1542"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2551"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75"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76"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1076"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cantSplit/>
          <w:trHeight w:val="210"/>
        </w:trPr>
        <w:tc>
          <w:tcPr>
            <w:tcW w:w="1542" w:type="dxa"/>
            <w:vMerge w:val="restart"/>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Juveniles en riesgo de deli</w:t>
            </w:r>
            <w:r>
              <w:rPr>
                <w:sz w:val="14"/>
              </w:rPr>
              <w:t>n</w:t>
            </w:r>
            <w:r>
              <w:rPr>
                <w:sz w:val="14"/>
              </w:rPr>
              <w:t>cuencia</w:t>
            </w:r>
          </w:p>
        </w:tc>
        <w:tc>
          <w:tcPr>
            <w:tcW w:w="2551"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Centros de recepción</w:t>
            </w:r>
          </w:p>
        </w:tc>
        <w:tc>
          <w:tcPr>
            <w:tcW w:w="1075"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2</w:t>
            </w: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1</w:t>
            </w: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3</w:t>
            </w:r>
          </w:p>
        </w:tc>
      </w:tr>
      <w:tr w:rsidR="00000000">
        <w:tblPrEx>
          <w:tblCellMar>
            <w:top w:w="0" w:type="dxa"/>
            <w:bottom w:w="0" w:type="dxa"/>
          </w:tblCellMar>
        </w:tblPrEx>
        <w:trPr>
          <w:cantSplit/>
          <w:trHeight w:val="210"/>
        </w:trPr>
        <w:tc>
          <w:tcPr>
            <w:tcW w:w="1542" w:type="dxa"/>
            <w:vMerge/>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p>
        </w:tc>
        <w:tc>
          <w:tcPr>
            <w:tcW w:w="2551"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Hospitalidad social</w:t>
            </w:r>
          </w:p>
        </w:tc>
        <w:tc>
          <w:tcPr>
            <w:tcW w:w="1075"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5</w:t>
            </w: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2</w:t>
            </w: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7</w:t>
            </w:r>
          </w:p>
        </w:tc>
      </w:tr>
      <w:tr w:rsidR="00000000">
        <w:tblPrEx>
          <w:tblCellMar>
            <w:top w:w="0" w:type="dxa"/>
            <w:bottom w:w="0" w:type="dxa"/>
          </w:tblCellMar>
        </w:tblPrEx>
        <w:trPr>
          <w:trHeight w:hRule="exact" w:val="80"/>
        </w:trPr>
        <w:tc>
          <w:tcPr>
            <w:tcW w:w="1542"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p>
        </w:tc>
        <w:tc>
          <w:tcPr>
            <w:tcW w:w="2551"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p>
        </w:tc>
        <w:tc>
          <w:tcPr>
            <w:tcW w:w="1075"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p>
        </w:tc>
      </w:tr>
      <w:tr w:rsidR="00000000">
        <w:tblPrEx>
          <w:tblCellMar>
            <w:top w:w="0" w:type="dxa"/>
            <w:bottom w:w="0" w:type="dxa"/>
          </w:tblCellMar>
        </w:tblPrEx>
        <w:tc>
          <w:tcPr>
            <w:tcW w:w="1542"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Juveniles detenidos</w:t>
            </w:r>
          </w:p>
        </w:tc>
        <w:tc>
          <w:tcPr>
            <w:tcW w:w="2551"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Observación</w:t>
            </w:r>
          </w:p>
        </w:tc>
        <w:tc>
          <w:tcPr>
            <w:tcW w:w="1075"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13</w:t>
            </w: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w:t>
            </w: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13</w:t>
            </w:r>
          </w:p>
        </w:tc>
      </w:tr>
      <w:tr w:rsidR="00000000">
        <w:tblPrEx>
          <w:tblCellMar>
            <w:top w:w="0" w:type="dxa"/>
            <w:bottom w:w="0" w:type="dxa"/>
          </w:tblCellMar>
        </w:tblPrEx>
        <w:trPr>
          <w:cantSplit/>
          <w:trHeight w:hRule="exact" w:val="80"/>
        </w:trPr>
        <w:tc>
          <w:tcPr>
            <w:tcW w:w="1542" w:type="dxa"/>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p>
        </w:tc>
        <w:tc>
          <w:tcPr>
            <w:tcW w:w="2551"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p>
        </w:tc>
        <w:tc>
          <w:tcPr>
            <w:tcW w:w="1075"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p>
        </w:tc>
      </w:tr>
      <w:tr w:rsidR="00000000">
        <w:tblPrEx>
          <w:tblCellMar>
            <w:top w:w="0" w:type="dxa"/>
            <w:bottom w:w="0" w:type="dxa"/>
          </w:tblCellMar>
        </w:tblPrEx>
        <w:trPr>
          <w:cantSplit/>
          <w:trHeight w:val="168"/>
        </w:trPr>
        <w:tc>
          <w:tcPr>
            <w:tcW w:w="1542" w:type="dxa"/>
            <w:vMerge w:val="restart"/>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Juveniles detenidos</w:t>
            </w:r>
          </w:p>
        </w:tc>
        <w:tc>
          <w:tcPr>
            <w:tcW w:w="2551"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Bienestar social</w:t>
            </w:r>
          </w:p>
        </w:tc>
        <w:tc>
          <w:tcPr>
            <w:tcW w:w="1075"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42</w:t>
            </w: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6</w:t>
            </w: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48</w:t>
            </w:r>
          </w:p>
        </w:tc>
      </w:tr>
      <w:tr w:rsidR="00000000">
        <w:tblPrEx>
          <w:tblCellMar>
            <w:top w:w="0" w:type="dxa"/>
            <w:bottom w:w="0" w:type="dxa"/>
          </w:tblCellMar>
        </w:tblPrEx>
        <w:trPr>
          <w:cantSplit/>
          <w:trHeight w:val="166"/>
        </w:trPr>
        <w:tc>
          <w:tcPr>
            <w:tcW w:w="1542" w:type="dxa"/>
            <w:vMerge/>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p>
        </w:tc>
        <w:tc>
          <w:tcPr>
            <w:tcW w:w="2551"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Evaluación social</w:t>
            </w:r>
          </w:p>
        </w:tc>
        <w:tc>
          <w:tcPr>
            <w:tcW w:w="1075"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18</w:t>
            </w: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w:t>
            </w: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18</w:t>
            </w:r>
          </w:p>
        </w:tc>
      </w:tr>
      <w:tr w:rsidR="00000000">
        <w:tblPrEx>
          <w:tblCellMar>
            <w:top w:w="0" w:type="dxa"/>
            <w:bottom w:w="0" w:type="dxa"/>
          </w:tblCellMar>
        </w:tblPrEx>
        <w:trPr>
          <w:cantSplit/>
          <w:trHeight w:val="166"/>
        </w:trPr>
        <w:tc>
          <w:tcPr>
            <w:tcW w:w="1542" w:type="dxa"/>
            <w:vMerge/>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p>
        </w:tc>
        <w:tc>
          <w:tcPr>
            <w:tcW w:w="2551"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Oficina judicial de libertad vigil</w:t>
            </w:r>
            <w:r>
              <w:rPr>
                <w:sz w:val="14"/>
              </w:rPr>
              <w:t>a</w:t>
            </w:r>
            <w:r>
              <w:rPr>
                <w:sz w:val="14"/>
              </w:rPr>
              <w:t>da</w:t>
            </w:r>
          </w:p>
        </w:tc>
        <w:tc>
          <w:tcPr>
            <w:tcW w:w="1075"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266</w:t>
            </w: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13</w:t>
            </w:r>
          </w:p>
        </w:tc>
        <w:tc>
          <w:tcPr>
            <w:tcW w:w="1076" w:type="dxa"/>
          </w:tcPr>
          <w:p w:rsidR="00000000" w:rsidRDefault="00000000">
            <w:pPr>
              <w:pStyle w:val="SingleTxt"/>
              <w:tabs>
                <w:tab w:val="left" w:pos="288"/>
                <w:tab w:val="left" w:pos="576"/>
                <w:tab w:val="left" w:pos="864"/>
                <w:tab w:val="left" w:pos="1152"/>
              </w:tabs>
              <w:spacing w:before="40" w:after="40" w:line="170" w:lineRule="exact"/>
              <w:ind w:left="0" w:right="6"/>
              <w:jc w:val="right"/>
              <w:rPr>
                <w:sz w:val="14"/>
              </w:rPr>
            </w:pPr>
            <w:r>
              <w:rPr>
                <w:sz w:val="14"/>
              </w:rPr>
              <w:t>279</w:t>
            </w:r>
          </w:p>
        </w:tc>
      </w:tr>
      <w:tr w:rsidR="00000000">
        <w:tblPrEx>
          <w:tblCellMar>
            <w:top w:w="0" w:type="dxa"/>
            <w:bottom w:w="0" w:type="dxa"/>
          </w:tblCellMar>
        </w:tblPrEx>
        <w:trPr>
          <w:trHeight w:hRule="exact" w:val="80"/>
        </w:trPr>
        <w:tc>
          <w:tcPr>
            <w:tcW w:w="4093" w:type="dxa"/>
            <w:gridSpan w:val="2"/>
            <w:tcBorders>
              <w:bottom w:val="single" w:sz="4"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left"/>
              <w:rPr>
                <w:b/>
                <w:sz w:val="14"/>
              </w:rPr>
            </w:pPr>
          </w:p>
        </w:tc>
        <w:tc>
          <w:tcPr>
            <w:tcW w:w="1075" w:type="dxa"/>
            <w:tcBorders>
              <w:bottom w:val="single" w:sz="4"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right"/>
              <w:rPr>
                <w:b/>
                <w:sz w:val="14"/>
              </w:rPr>
            </w:pPr>
          </w:p>
        </w:tc>
        <w:tc>
          <w:tcPr>
            <w:tcW w:w="1076" w:type="dxa"/>
            <w:tcBorders>
              <w:bottom w:val="single" w:sz="4"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right"/>
              <w:rPr>
                <w:b/>
                <w:sz w:val="14"/>
              </w:rPr>
            </w:pPr>
          </w:p>
        </w:tc>
        <w:tc>
          <w:tcPr>
            <w:tcW w:w="1076" w:type="dxa"/>
            <w:tcBorders>
              <w:bottom w:val="single" w:sz="4"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right"/>
              <w:rPr>
                <w:b/>
                <w:sz w:val="14"/>
              </w:rPr>
            </w:pPr>
          </w:p>
        </w:tc>
      </w:tr>
      <w:tr w:rsidR="00000000">
        <w:tblPrEx>
          <w:tblCellMar>
            <w:top w:w="0" w:type="dxa"/>
            <w:bottom w:w="0" w:type="dxa"/>
          </w:tblCellMar>
        </w:tblPrEx>
        <w:tc>
          <w:tcPr>
            <w:tcW w:w="4093" w:type="dxa"/>
            <w:gridSpan w:val="2"/>
            <w:tcBorders>
              <w:bottom w:val="single" w:sz="12"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left"/>
              <w:rPr>
                <w:b/>
                <w:sz w:val="14"/>
              </w:rPr>
            </w:pPr>
            <w:r>
              <w:rPr>
                <w:b/>
                <w:sz w:val="14"/>
              </w:rPr>
              <w:t>Cantidad total de juven</w:t>
            </w:r>
            <w:r>
              <w:rPr>
                <w:b/>
                <w:sz w:val="14"/>
              </w:rPr>
              <w:t>i</w:t>
            </w:r>
            <w:r>
              <w:rPr>
                <w:b/>
                <w:sz w:val="14"/>
              </w:rPr>
              <w:t>les</w:t>
            </w:r>
          </w:p>
        </w:tc>
        <w:tc>
          <w:tcPr>
            <w:tcW w:w="1075"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right"/>
              <w:rPr>
                <w:b/>
                <w:sz w:val="14"/>
              </w:rPr>
            </w:pPr>
            <w:r>
              <w:rPr>
                <w:b/>
                <w:sz w:val="14"/>
              </w:rPr>
              <w:t>341</w:t>
            </w:r>
          </w:p>
        </w:tc>
        <w:tc>
          <w:tcPr>
            <w:tcW w:w="1076"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right"/>
              <w:rPr>
                <w:b/>
                <w:sz w:val="14"/>
              </w:rPr>
            </w:pPr>
            <w:r>
              <w:rPr>
                <w:b/>
                <w:sz w:val="14"/>
              </w:rPr>
              <w:t>22</w:t>
            </w:r>
          </w:p>
        </w:tc>
        <w:tc>
          <w:tcPr>
            <w:tcW w:w="1076" w:type="dxa"/>
            <w:tcBorders>
              <w:bottom w:val="single" w:sz="12" w:space="0" w:color="auto"/>
            </w:tcBorders>
          </w:tcPr>
          <w:p w:rsidR="00000000" w:rsidRDefault="00000000">
            <w:pPr>
              <w:pStyle w:val="SingleTxt"/>
              <w:tabs>
                <w:tab w:val="left" w:pos="288"/>
                <w:tab w:val="left" w:pos="576"/>
                <w:tab w:val="left" w:pos="864"/>
                <w:tab w:val="left" w:pos="1152"/>
              </w:tabs>
              <w:spacing w:before="40" w:after="40" w:line="170" w:lineRule="exact"/>
              <w:ind w:left="0" w:right="6"/>
              <w:jc w:val="right"/>
              <w:rPr>
                <w:b/>
                <w:sz w:val="14"/>
              </w:rPr>
            </w:pPr>
            <w:r>
              <w:rPr>
                <w:b/>
                <w:sz w:val="14"/>
              </w:rPr>
              <w:t>368</w:t>
            </w:r>
          </w:p>
        </w:tc>
      </w:tr>
    </w:tbl>
    <w:p w:rsidR="00000000" w:rsidRDefault="00000000">
      <w:pPr>
        <w:pStyle w:val="SingleTxt"/>
        <w:spacing w:after="0"/>
        <w:ind w:left="1264" w:right="1264"/>
        <w:jc w:val="center"/>
      </w:pPr>
    </w:p>
    <w:p w:rsidR="00000000" w:rsidRDefault="00000000">
      <w:pPr>
        <w:pStyle w:val="SingleTxt"/>
        <w:spacing w:after="0"/>
        <w:ind w:left="1264" w:right="1264"/>
        <w:jc w:val="center"/>
      </w:pPr>
    </w:p>
    <w:p w:rsidR="00000000" w:rsidRDefault="00000000">
      <w:pPr>
        <w:pStyle w:val="SingleTxt"/>
        <w:jc w:val="center"/>
      </w:pPr>
      <w:r>
        <w:t>Estadísticas sobre la cantidad de casos al cuidado del Centro de Intervención</w:t>
      </w:r>
      <w:r>
        <w:br/>
        <w:t>Te</w:t>
      </w:r>
      <w:r>
        <w:t>m</w:t>
      </w:r>
      <w:r>
        <w:t>prana para Niños Discapacitados a finales de octubre de 2001</w:t>
      </w:r>
    </w:p>
    <w:p w:rsidR="00000000" w:rsidRDefault="00000000">
      <w:pPr>
        <w:pStyle w:val="SingleTxt"/>
        <w:spacing w:after="0" w:line="120" w:lineRule="exact"/>
        <w:jc w:val="center"/>
        <w:rPr>
          <w:sz w:val="10"/>
        </w:rPr>
      </w:pPr>
    </w:p>
    <w:tbl>
      <w:tblPr>
        <w:tblW w:w="0" w:type="auto"/>
        <w:tblInd w:w="1154" w:type="dxa"/>
        <w:tblLayout w:type="fixed"/>
        <w:tblLook w:val="0000" w:firstRow="0" w:lastRow="0" w:firstColumn="0" w:lastColumn="0" w:noHBand="0" w:noVBand="0"/>
      </w:tblPr>
      <w:tblGrid>
        <w:gridCol w:w="2718"/>
        <w:gridCol w:w="950"/>
        <w:gridCol w:w="2693"/>
        <w:gridCol w:w="959"/>
      </w:tblGrid>
      <w:tr w:rsidR="00000000">
        <w:tblPrEx>
          <w:tblCellMar>
            <w:top w:w="0" w:type="dxa"/>
            <w:bottom w:w="0" w:type="dxa"/>
          </w:tblCellMar>
        </w:tblPrEx>
        <w:trPr>
          <w:cantSplit/>
          <w:tblHeader/>
        </w:trPr>
        <w:tc>
          <w:tcPr>
            <w:tcW w:w="7320" w:type="dxa"/>
            <w:gridSpan w:val="4"/>
            <w:tcBorders>
              <w:top w:val="single" w:sz="4" w:space="0" w:color="auto"/>
              <w:bottom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Cantidad de ingresos</w:t>
            </w:r>
          </w:p>
        </w:tc>
      </w:tr>
      <w:tr w:rsidR="00000000">
        <w:tblPrEx>
          <w:tblCellMar>
            <w:top w:w="0" w:type="dxa"/>
            <w:bottom w:w="0" w:type="dxa"/>
          </w:tblCellMar>
        </w:tblPrEx>
        <w:trPr>
          <w:cantSplit/>
          <w:tblHeader/>
        </w:trPr>
        <w:tc>
          <w:tcPr>
            <w:tcW w:w="2718" w:type="dxa"/>
            <w:vAlign w:val="bottom"/>
          </w:tcPr>
          <w:p w:rsidR="00000000" w:rsidRDefault="00000000">
            <w:pPr>
              <w:pStyle w:val="SingleTxt"/>
              <w:spacing w:after="81" w:line="160" w:lineRule="exact"/>
              <w:ind w:left="0" w:right="40"/>
              <w:jc w:val="left"/>
              <w:rPr>
                <w:i/>
                <w:sz w:val="14"/>
              </w:rPr>
            </w:pPr>
            <w:r>
              <w:rPr>
                <w:i/>
                <w:sz w:val="14"/>
              </w:rPr>
              <w:t>Autoridad remitente</w:t>
            </w:r>
          </w:p>
        </w:tc>
        <w:tc>
          <w:tcPr>
            <w:tcW w:w="950" w:type="dxa"/>
            <w:vAlign w:val="bottom"/>
          </w:tcPr>
          <w:p w:rsidR="00000000" w:rsidRDefault="00000000">
            <w:pPr>
              <w:pStyle w:val="SingleTxt"/>
              <w:spacing w:after="81" w:line="160" w:lineRule="exact"/>
              <w:ind w:left="0" w:right="144"/>
              <w:jc w:val="right"/>
              <w:rPr>
                <w:i/>
                <w:sz w:val="14"/>
              </w:rPr>
            </w:pPr>
            <w:r>
              <w:rPr>
                <w:i/>
                <w:sz w:val="14"/>
              </w:rPr>
              <w:t>Cant</w:t>
            </w:r>
            <w:r>
              <w:rPr>
                <w:i/>
                <w:sz w:val="14"/>
              </w:rPr>
              <w:t>i</w:t>
            </w:r>
            <w:r>
              <w:rPr>
                <w:i/>
                <w:sz w:val="14"/>
              </w:rPr>
              <w:t>dad</w:t>
            </w:r>
          </w:p>
        </w:tc>
        <w:tc>
          <w:tcPr>
            <w:tcW w:w="2693" w:type="dxa"/>
            <w:vAlign w:val="bottom"/>
          </w:tcPr>
          <w:p w:rsidR="00000000" w:rsidRDefault="00000000">
            <w:pPr>
              <w:pStyle w:val="SingleTxt"/>
              <w:spacing w:after="81" w:line="160" w:lineRule="exact"/>
              <w:ind w:left="144" w:right="40"/>
              <w:jc w:val="left"/>
              <w:rPr>
                <w:i/>
                <w:sz w:val="14"/>
              </w:rPr>
            </w:pPr>
            <w:r>
              <w:rPr>
                <w:i/>
                <w:sz w:val="14"/>
              </w:rPr>
              <w:t>Autoridad remitente</w:t>
            </w:r>
          </w:p>
        </w:tc>
        <w:tc>
          <w:tcPr>
            <w:tcW w:w="959" w:type="dxa"/>
            <w:vAlign w:val="bottom"/>
          </w:tcPr>
          <w:p w:rsidR="00000000" w:rsidRDefault="00000000">
            <w:pPr>
              <w:pStyle w:val="SingleTxt"/>
              <w:spacing w:after="81" w:line="160" w:lineRule="exact"/>
              <w:ind w:left="0" w:right="40"/>
              <w:jc w:val="right"/>
              <w:rPr>
                <w:i/>
                <w:sz w:val="14"/>
              </w:rPr>
            </w:pPr>
            <w:r>
              <w:rPr>
                <w:i/>
                <w:sz w:val="14"/>
              </w:rPr>
              <w:t>Cant</w:t>
            </w:r>
            <w:r>
              <w:rPr>
                <w:i/>
                <w:sz w:val="14"/>
              </w:rPr>
              <w:t>i</w:t>
            </w:r>
            <w:r>
              <w:rPr>
                <w:i/>
                <w:sz w:val="14"/>
              </w:rPr>
              <w:t>dad</w:t>
            </w:r>
          </w:p>
        </w:tc>
      </w:tr>
      <w:tr w:rsidR="00000000">
        <w:tblPrEx>
          <w:tblCellMar>
            <w:top w:w="0" w:type="dxa"/>
            <w:bottom w:w="0" w:type="dxa"/>
          </w:tblCellMar>
        </w:tblPrEx>
        <w:trPr>
          <w:trHeight w:hRule="exact" w:val="115"/>
          <w:tblHeader/>
        </w:trPr>
        <w:tc>
          <w:tcPr>
            <w:tcW w:w="2718" w:type="dxa"/>
            <w:tcBorders>
              <w:top w:val="single" w:sz="12" w:space="0" w:color="auto"/>
            </w:tcBorders>
            <w:vAlign w:val="bottom"/>
          </w:tcPr>
          <w:p w:rsidR="00000000" w:rsidRDefault="00000000">
            <w:pPr>
              <w:pStyle w:val="SingleTxt"/>
              <w:spacing w:before="40" w:after="40" w:line="210" w:lineRule="exact"/>
              <w:ind w:left="0" w:right="40"/>
              <w:jc w:val="left"/>
              <w:rPr>
                <w:sz w:val="17"/>
              </w:rPr>
            </w:pPr>
          </w:p>
        </w:tc>
        <w:tc>
          <w:tcPr>
            <w:tcW w:w="950" w:type="dxa"/>
            <w:tcBorders>
              <w:top w:val="single" w:sz="12" w:space="0" w:color="auto"/>
            </w:tcBorders>
            <w:vAlign w:val="bottom"/>
          </w:tcPr>
          <w:p w:rsidR="00000000" w:rsidRDefault="00000000">
            <w:pPr>
              <w:pStyle w:val="SingleTxt"/>
              <w:spacing w:before="40" w:after="40" w:line="210" w:lineRule="exact"/>
              <w:ind w:left="0" w:right="144"/>
              <w:jc w:val="right"/>
              <w:rPr>
                <w:sz w:val="17"/>
              </w:rPr>
            </w:pPr>
          </w:p>
        </w:tc>
        <w:tc>
          <w:tcPr>
            <w:tcW w:w="2693" w:type="dxa"/>
            <w:tcBorders>
              <w:top w:val="single" w:sz="12" w:space="0" w:color="auto"/>
            </w:tcBorders>
            <w:vAlign w:val="bottom"/>
          </w:tcPr>
          <w:p w:rsidR="00000000" w:rsidRDefault="00000000">
            <w:pPr>
              <w:pStyle w:val="SingleTxt"/>
              <w:spacing w:before="40" w:after="40" w:line="210" w:lineRule="exact"/>
              <w:ind w:left="144" w:right="40"/>
              <w:jc w:val="left"/>
              <w:rPr>
                <w:sz w:val="17"/>
              </w:rPr>
            </w:pPr>
          </w:p>
        </w:tc>
        <w:tc>
          <w:tcPr>
            <w:tcW w:w="959"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2718" w:type="dxa"/>
            <w:vAlign w:val="bottom"/>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Centro de Enfermedades Congénitas</w:t>
            </w:r>
          </w:p>
        </w:tc>
        <w:tc>
          <w:tcPr>
            <w:tcW w:w="950" w:type="dxa"/>
            <w:vAlign w:val="bottom"/>
          </w:tcPr>
          <w:p w:rsidR="00000000" w:rsidRDefault="00000000">
            <w:pPr>
              <w:pStyle w:val="SingleTxt"/>
              <w:tabs>
                <w:tab w:val="left" w:pos="288"/>
                <w:tab w:val="left" w:pos="576"/>
                <w:tab w:val="left" w:pos="864"/>
                <w:tab w:val="left" w:pos="1152"/>
              </w:tabs>
              <w:spacing w:before="40" w:after="40" w:line="170" w:lineRule="exact"/>
              <w:ind w:left="0" w:right="144"/>
              <w:jc w:val="center"/>
              <w:rPr>
                <w:sz w:val="14"/>
              </w:rPr>
            </w:pPr>
            <w:r>
              <w:rPr>
                <w:sz w:val="14"/>
              </w:rPr>
              <w:t>5</w:t>
            </w:r>
          </w:p>
        </w:tc>
        <w:tc>
          <w:tcPr>
            <w:tcW w:w="2693" w:type="dxa"/>
            <w:vAlign w:val="bottom"/>
          </w:tcPr>
          <w:p w:rsidR="00000000" w:rsidRDefault="00000000">
            <w:pPr>
              <w:pStyle w:val="SingleTxt"/>
              <w:tabs>
                <w:tab w:val="left" w:pos="288"/>
                <w:tab w:val="left" w:pos="576"/>
                <w:tab w:val="left" w:pos="864"/>
                <w:tab w:val="left" w:pos="1152"/>
              </w:tabs>
              <w:spacing w:before="40" w:after="40" w:line="170" w:lineRule="exact"/>
              <w:ind w:left="144" w:right="6"/>
              <w:jc w:val="left"/>
              <w:rPr>
                <w:sz w:val="14"/>
              </w:rPr>
            </w:pPr>
            <w:r>
              <w:rPr>
                <w:sz w:val="14"/>
              </w:rPr>
              <w:t>Consejo Superior para los</w:t>
            </w:r>
            <w:r>
              <w:rPr>
                <w:sz w:val="14"/>
              </w:rPr>
              <w:br/>
              <w:t>Discapacit</w:t>
            </w:r>
            <w:r>
              <w:rPr>
                <w:sz w:val="14"/>
              </w:rPr>
              <w:t>a</w:t>
            </w:r>
            <w:r>
              <w:rPr>
                <w:sz w:val="14"/>
              </w:rPr>
              <w:t>dos</w:t>
            </w:r>
          </w:p>
        </w:tc>
        <w:tc>
          <w:tcPr>
            <w:tcW w:w="959" w:type="dxa"/>
            <w:vAlign w:val="bottom"/>
          </w:tcPr>
          <w:p w:rsidR="00000000" w:rsidRDefault="00000000">
            <w:pPr>
              <w:pStyle w:val="SingleTxt"/>
              <w:tabs>
                <w:tab w:val="left" w:pos="288"/>
                <w:tab w:val="left" w:pos="576"/>
                <w:tab w:val="left" w:pos="864"/>
                <w:tab w:val="left" w:pos="1152"/>
              </w:tabs>
              <w:spacing w:before="40" w:after="40" w:line="170" w:lineRule="exact"/>
              <w:ind w:left="0" w:right="6"/>
              <w:jc w:val="center"/>
              <w:rPr>
                <w:sz w:val="14"/>
              </w:rPr>
            </w:pPr>
            <w:r>
              <w:rPr>
                <w:sz w:val="14"/>
              </w:rPr>
              <w:t>-</w:t>
            </w:r>
          </w:p>
        </w:tc>
      </w:tr>
      <w:tr w:rsidR="00000000">
        <w:tblPrEx>
          <w:tblCellMar>
            <w:top w:w="0" w:type="dxa"/>
            <w:bottom w:w="0" w:type="dxa"/>
          </w:tblCellMar>
        </w:tblPrEx>
        <w:tc>
          <w:tcPr>
            <w:tcW w:w="2718" w:type="dxa"/>
            <w:vAlign w:val="bottom"/>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Dependencia de Medicina Experimental</w:t>
            </w:r>
          </w:p>
        </w:tc>
        <w:tc>
          <w:tcPr>
            <w:tcW w:w="950" w:type="dxa"/>
            <w:vAlign w:val="bottom"/>
          </w:tcPr>
          <w:p w:rsidR="00000000" w:rsidRDefault="00000000">
            <w:pPr>
              <w:pStyle w:val="SingleTxt"/>
              <w:tabs>
                <w:tab w:val="left" w:pos="288"/>
                <w:tab w:val="left" w:pos="576"/>
                <w:tab w:val="left" w:pos="864"/>
                <w:tab w:val="left" w:pos="1152"/>
              </w:tabs>
              <w:spacing w:before="40" w:after="40" w:line="170" w:lineRule="exact"/>
              <w:ind w:left="0" w:right="144"/>
              <w:jc w:val="center"/>
              <w:rPr>
                <w:sz w:val="14"/>
              </w:rPr>
            </w:pPr>
            <w:r>
              <w:rPr>
                <w:sz w:val="14"/>
              </w:rPr>
              <w:t>3</w:t>
            </w:r>
          </w:p>
        </w:tc>
        <w:tc>
          <w:tcPr>
            <w:tcW w:w="2693" w:type="dxa"/>
            <w:vAlign w:val="bottom"/>
          </w:tcPr>
          <w:p w:rsidR="00000000" w:rsidRDefault="00000000">
            <w:pPr>
              <w:pStyle w:val="SingleTxt"/>
              <w:tabs>
                <w:tab w:val="left" w:pos="288"/>
                <w:tab w:val="left" w:pos="576"/>
                <w:tab w:val="left" w:pos="864"/>
                <w:tab w:val="left" w:pos="1152"/>
              </w:tabs>
              <w:spacing w:before="40" w:after="40" w:line="170" w:lineRule="exact"/>
              <w:ind w:left="144" w:right="6"/>
              <w:jc w:val="left"/>
              <w:rPr>
                <w:sz w:val="14"/>
              </w:rPr>
            </w:pPr>
            <w:r>
              <w:rPr>
                <w:sz w:val="14"/>
              </w:rPr>
              <w:t>Departamento de Escuelas Especiales</w:t>
            </w:r>
          </w:p>
        </w:tc>
        <w:tc>
          <w:tcPr>
            <w:tcW w:w="959" w:type="dxa"/>
            <w:vAlign w:val="bottom"/>
          </w:tcPr>
          <w:p w:rsidR="00000000" w:rsidRDefault="00000000">
            <w:pPr>
              <w:pStyle w:val="SingleTxt"/>
              <w:tabs>
                <w:tab w:val="left" w:pos="288"/>
                <w:tab w:val="left" w:pos="576"/>
                <w:tab w:val="left" w:pos="864"/>
                <w:tab w:val="left" w:pos="1152"/>
              </w:tabs>
              <w:spacing w:before="40" w:after="40" w:line="170" w:lineRule="exact"/>
              <w:ind w:left="0" w:right="6"/>
              <w:jc w:val="center"/>
              <w:rPr>
                <w:sz w:val="14"/>
              </w:rPr>
            </w:pPr>
            <w:r>
              <w:rPr>
                <w:sz w:val="14"/>
              </w:rPr>
              <w:t>2</w:t>
            </w:r>
          </w:p>
        </w:tc>
      </w:tr>
      <w:tr w:rsidR="00000000">
        <w:tblPrEx>
          <w:tblCellMar>
            <w:top w:w="0" w:type="dxa"/>
            <w:bottom w:w="0" w:type="dxa"/>
          </w:tblCellMar>
        </w:tblPrEx>
        <w:tc>
          <w:tcPr>
            <w:tcW w:w="271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6"/>
              <w:jc w:val="left"/>
              <w:rPr>
                <w:sz w:val="14"/>
              </w:rPr>
            </w:pPr>
            <w:r>
              <w:rPr>
                <w:sz w:val="14"/>
              </w:rPr>
              <w:t>Hospital de Medicina Natural</w:t>
            </w:r>
          </w:p>
        </w:tc>
        <w:tc>
          <w:tcPr>
            <w:tcW w:w="95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144"/>
              <w:jc w:val="center"/>
              <w:rPr>
                <w:sz w:val="14"/>
              </w:rPr>
            </w:pPr>
            <w:r>
              <w:rPr>
                <w:sz w:val="14"/>
              </w:rPr>
              <w:t>2</w:t>
            </w:r>
          </w:p>
        </w:tc>
        <w:tc>
          <w:tcPr>
            <w:tcW w:w="2693"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144" w:right="6"/>
              <w:jc w:val="left"/>
              <w:rPr>
                <w:sz w:val="14"/>
              </w:rPr>
            </w:pPr>
            <w:r>
              <w:rPr>
                <w:sz w:val="14"/>
              </w:rPr>
              <w:t>Familia</w:t>
            </w:r>
          </w:p>
        </w:tc>
        <w:tc>
          <w:tcPr>
            <w:tcW w:w="959"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170" w:lineRule="exact"/>
              <w:ind w:left="0" w:right="6"/>
              <w:jc w:val="center"/>
              <w:rPr>
                <w:sz w:val="14"/>
              </w:rPr>
            </w:pPr>
            <w:r>
              <w:rPr>
                <w:sz w:val="14"/>
              </w:rPr>
              <w:t>6</w:t>
            </w:r>
          </w:p>
        </w:tc>
      </w:tr>
    </w:tbl>
    <w:p w:rsidR="00000000" w:rsidRDefault="00000000">
      <w:pPr>
        <w:pStyle w:val="SingleTxt"/>
        <w:ind w:left="0"/>
      </w:pPr>
    </w:p>
    <w:p w:rsidR="00000000" w:rsidRDefault="00000000">
      <w:pPr>
        <w:pStyle w:val="SingleTxt"/>
        <w:numPr>
          <w:ilvl w:val="0"/>
          <w:numId w:val="31"/>
        </w:numPr>
        <w:tabs>
          <w:tab w:val="clear" w:pos="360"/>
          <w:tab w:val="num" w:pos="1627"/>
        </w:tabs>
        <w:ind w:left="1627"/>
      </w:pPr>
      <w:r>
        <w:t>Ingresaron 18 casos en el mes de octubre;</w:t>
      </w:r>
    </w:p>
    <w:p w:rsidR="00000000" w:rsidRDefault="00000000">
      <w:pPr>
        <w:pStyle w:val="SingleTxt"/>
        <w:numPr>
          <w:ilvl w:val="0"/>
          <w:numId w:val="31"/>
        </w:numPr>
        <w:tabs>
          <w:tab w:val="clear" w:pos="360"/>
          <w:tab w:val="num" w:pos="1627"/>
        </w:tabs>
        <w:ind w:left="1627"/>
      </w:pPr>
      <w:r>
        <w:t>Se clausuró la labor respecto de un caso en el mes de octubre;</w:t>
      </w:r>
    </w:p>
    <w:p w:rsidR="00000000" w:rsidRDefault="00000000">
      <w:pPr>
        <w:pStyle w:val="SingleTxt"/>
        <w:numPr>
          <w:ilvl w:val="0"/>
          <w:numId w:val="31"/>
        </w:numPr>
        <w:tabs>
          <w:tab w:val="clear" w:pos="360"/>
          <w:tab w:val="num" w:pos="1627"/>
        </w:tabs>
        <w:ind w:left="1627"/>
      </w:pPr>
      <w:r>
        <w:t>En total había 214 casos en el Centro a finales de octubre.</w:t>
      </w:r>
    </w:p>
    <w:p w:rsidR="00000000" w:rsidRDefault="00000000">
      <w:pPr>
        <w:pStyle w:val="SingleTxt"/>
      </w:pPr>
    </w:p>
    <w:p w:rsidR="00000000" w:rsidRDefault="00000000">
      <w:pPr>
        <w:pStyle w:val="SingleTxt"/>
        <w:jc w:val="center"/>
      </w:pPr>
      <w:r>
        <w:t>Cantidad de casos, sexo, nacionalidad y discapacidad</w:t>
      </w:r>
    </w:p>
    <w:p w:rsidR="00000000" w:rsidRDefault="00000000">
      <w:pPr>
        <w:pStyle w:val="SingleTxt"/>
        <w:spacing w:after="0" w:line="120" w:lineRule="exact"/>
        <w:jc w:val="center"/>
        <w:rPr>
          <w:sz w:val="10"/>
        </w:rPr>
      </w:pPr>
    </w:p>
    <w:tbl>
      <w:tblPr>
        <w:tblW w:w="0" w:type="auto"/>
        <w:jc w:val="center"/>
        <w:tblLayout w:type="fixed"/>
        <w:tblLook w:val="0000" w:firstRow="0" w:lastRow="0" w:firstColumn="0" w:lastColumn="0" w:noHBand="0" w:noVBand="0"/>
      </w:tblPr>
      <w:tblGrid>
        <w:gridCol w:w="1015"/>
        <w:gridCol w:w="733"/>
        <w:gridCol w:w="798"/>
        <w:gridCol w:w="552"/>
        <w:gridCol w:w="797"/>
        <w:gridCol w:w="810"/>
        <w:gridCol w:w="901"/>
        <w:gridCol w:w="720"/>
        <w:gridCol w:w="642"/>
        <w:gridCol w:w="990"/>
        <w:gridCol w:w="810"/>
        <w:gridCol w:w="591"/>
      </w:tblGrid>
      <w:tr w:rsidR="00000000">
        <w:tblPrEx>
          <w:tblCellMar>
            <w:top w:w="0" w:type="dxa"/>
            <w:bottom w:w="0" w:type="dxa"/>
          </w:tblCellMar>
        </w:tblPrEx>
        <w:trPr>
          <w:tblHeader/>
          <w:jc w:val="center"/>
        </w:trPr>
        <w:tc>
          <w:tcPr>
            <w:tcW w:w="1015" w:type="dxa"/>
            <w:tcBorders>
              <w:top w:val="single" w:sz="4" w:space="0" w:color="auto"/>
            </w:tcBorders>
            <w:vAlign w:val="bottom"/>
          </w:tcPr>
          <w:p w:rsidR="00000000" w:rsidRDefault="00000000">
            <w:pPr>
              <w:pStyle w:val="SingleTxt"/>
              <w:spacing w:before="81" w:after="81" w:line="160" w:lineRule="exact"/>
              <w:ind w:left="0" w:right="40"/>
              <w:jc w:val="center"/>
              <w:rPr>
                <w:i/>
                <w:sz w:val="12"/>
              </w:rPr>
            </w:pPr>
            <w:r>
              <w:rPr>
                <w:i/>
                <w:sz w:val="12"/>
              </w:rPr>
              <w:t>Clasificación</w:t>
            </w:r>
          </w:p>
        </w:tc>
        <w:tc>
          <w:tcPr>
            <w:tcW w:w="733" w:type="dxa"/>
            <w:tcBorders>
              <w:top w:val="single" w:sz="4" w:space="0" w:color="auto"/>
            </w:tcBorders>
            <w:vAlign w:val="bottom"/>
          </w:tcPr>
          <w:p w:rsidR="00000000" w:rsidRDefault="00000000">
            <w:pPr>
              <w:pStyle w:val="SingleTxt"/>
              <w:spacing w:before="81" w:after="81" w:line="160" w:lineRule="exact"/>
              <w:ind w:left="0" w:right="40"/>
              <w:jc w:val="right"/>
              <w:rPr>
                <w:i/>
                <w:sz w:val="12"/>
              </w:rPr>
            </w:pPr>
            <w:r>
              <w:rPr>
                <w:i/>
                <w:sz w:val="12"/>
              </w:rPr>
              <w:t>Retraso mental</w:t>
            </w:r>
          </w:p>
        </w:tc>
        <w:tc>
          <w:tcPr>
            <w:tcW w:w="798" w:type="dxa"/>
            <w:tcBorders>
              <w:top w:val="single" w:sz="4" w:space="0" w:color="auto"/>
            </w:tcBorders>
            <w:vAlign w:val="bottom"/>
          </w:tcPr>
          <w:p w:rsidR="00000000" w:rsidRDefault="00000000">
            <w:pPr>
              <w:pStyle w:val="SingleTxt"/>
              <w:spacing w:before="81" w:after="81" w:line="160" w:lineRule="exact"/>
              <w:ind w:left="0" w:right="40"/>
              <w:jc w:val="right"/>
              <w:rPr>
                <w:i/>
                <w:sz w:val="12"/>
              </w:rPr>
            </w:pPr>
            <w:r>
              <w:rPr>
                <w:i/>
                <w:sz w:val="12"/>
              </w:rPr>
              <w:t>Trastorno mental</w:t>
            </w:r>
          </w:p>
        </w:tc>
        <w:tc>
          <w:tcPr>
            <w:tcW w:w="552" w:type="dxa"/>
            <w:tcBorders>
              <w:top w:val="single" w:sz="4" w:space="0" w:color="auto"/>
            </w:tcBorders>
            <w:vAlign w:val="bottom"/>
          </w:tcPr>
          <w:p w:rsidR="00000000" w:rsidRDefault="00000000">
            <w:pPr>
              <w:pStyle w:val="SingleTxt"/>
              <w:spacing w:before="81" w:after="81" w:line="160" w:lineRule="exact"/>
              <w:ind w:left="0" w:right="40"/>
              <w:jc w:val="right"/>
              <w:rPr>
                <w:i/>
                <w:sz w:val="12"/>
                <w:lang w:val="es-UY"/>
              </w:rPr>
            </w:pPr>
            <w:r>
              <w:rPr>
                <w:rFonts w:hint="cs"/>
                <w:b/>
                <w:color w:val="000000"/>
                <w:sz w:val="12"/>
              </w:rPr>
              <w:t>خلل</w:t>
            </w:r>
            <w:r>
              <w:rPr>
                <w:b/>
                <w:color w:val="000000"/>
                <w:sz w:val="12"/>
                <w:lang w:val="es-UY"/>
              </w:rPr>
              <w:br/>
            </w:r>
            <w:r>
              <w:rPr>
                <w:rFonts w:hint="cs"/>
                <w:b/>
                <w:color w:val="000000"/>
                <w:sz w:val="12"/>
              </w:rPr>
              <w:t>دماغي</w:t>
            </w:r>
          </w:p>
        </w:tc>
        <w:tc>
          <w:tcPr>
            <w:tcW w:w="797" w:type="dxa"/>
            <w:tcBorders>
              <w:top w:val="single" w:sz="4" w:space="0" w:color="auto"/>
            </w:tcBorders>
            <w:vAlign w:val="bottom"/>
          </w:tcPr>
          <w:p w:rsidR="00000000" w:rsidRDefault="00000000">
            <w:pPr>
              <w:pStyle w:val="SingleTxt"/>
              <w:spacing w:before="81" w:after="81" w:line="160" w:lineRule="exact"/>
              <w:ind w:left="0" w:right="40"/>
              <w:jc w:val="right"/>
              <w:rPr>
                <w:i/>
                <w:sz w:val="12"/>
              </w:rPr>
            </w:pPr>
            <w:r>
              <w:rPr>
                <w:i/>
                <w:sz w:val="12"/>
              </w:rPr>
              <w:t>Discapa-cidad motriz</w:t>
            </w:r>
          </w:p>
        </w:tc>
        <w:tc>
          <w:tcPr>
            <w:tcW w:w="810" w:type="dxa"/>
            <w:tcBorders>
              <w:top w:val="single" w:sz="4" w:space="0" w:color="auto"/>
            </w:tcBorders>
            <w:vAlign w:val="bottom"/>
          </w:tcPr>
          <w:p w:rsidR="00000000" w:rsidRDefault="00000000">
            <w:pPr>
              <w:pStyle w:val="SingleTxt"/>
              <w:spacing w:before="81" w:after="81" w:line="160" w:lineRule="exact"/>
              <w:ind w:left="0" w:right="40"/>
              <w:jc w:val="right"/>
              <w:rPr>
                <w:i/>
                <w:sz w:val="12"/>
              </w:rPr>
            </w:pPr>
            <w:r>
              <w:rPr>
                <w:i/>
                <w:sz w:val="12"/>
              </w:rPr>
              <w:t>Dificulta-des de apren-dizaje</w:t>
            </w:r>
          </w:p>
        </w:tc>
        <w:tc>
          <w:tcPr>
            <w:tcW w:w="901" w:type="dxa"/>
            <w:tcBorders>
              <w:top w:val="single" w:sz="4" w:space="0" w:color="auto"/>
            </w:tcBorders>
            <w:vAlign w:val="bottom"/>
          </w:tcPr>
          <w:p w:rsidR="00000000" w:rsidRDefault="00000000">
            <w:pPr>
              <w:pStyle w:val="SingleTxt"/>
              <w:spacing w:before="81" w:after="81" w:line="160" w:lineRule="exact"/>
              <w:ind w:left="0" w:right="40"/>
              <w:jc w:val="right"/>
              <w:rPr>
                <w:i/>
                <w:sz w:val="12"/>
              </w:rPr>
            </w:pPr>
            <w:r>
              <w:rPr>
                <w:i/>
                <w:sz w:val="12"/>
              </w:rPr>
              <w:t>Deficien-cia visual</w:t>
            </w:r>
          </w:p>
        </w:tc>
        <w:tc>
          <w:tcPr>
            <w:tcW w:w="720" w:type="dxa"/>
            <w:tcBorders>
              <w:top w:val="single" w:sz="4" w:space="0" w:color="auto"/>
            </w:tcBorders>
            <w:vAlign w:val="bottom"/>
          </w:tcPr>
          <w:p w:rsidR="00000000" w:rsidRDefault="00000000">
            <w:pPr>
              <w:pStyle w:val="SingleTxt"/>
              <w:spacing w:before="81" w:after="81" w:line="160" w:lineRule="exact"/>
              <w:ind w:left="0" w:right="40"/>
              <w:jc w:val="right"/>
              <w:rPr>
                <w:i/>
                <w:sz w:val="12"/>
              </w:rPr>
            </w:pPr>
            <w:r>
              <w:rPr>
                <w:i/>
                <w:sz w:val="12"/>
              </w:rPr>
              <w:t>Def</w:t>
            </w:r>
            <w:r>
              <w:rPr>
                <w:i/>
                <w:sz w:val="12"/>
              </w:rPr>
              <w:t>i</w:t>
            </w:r>
            <w:r>
              <w:rPr>
                <w:i/>
                <w:sz w:val="12"/>
              </w:rPr>
              <w:t>cien-cia  auditiva</w:t>
            </w:r>
          </w:p>
        </w:tc>
        <w:tc>
          <w:tcPr>
            <w:tcW w:w="642" w:type="dxa"/>
            <w:tcBorders>
              <w:top w:val="single" w:sz="4" w:space="0" w:color="auto"/>
            </w:tcBorders>
            <w:vAlign w:val="bottom"/>
          </w:tcPr>
          <w:p w:rsidR="00000000" w:rsidRDefault="00000000">
            <w:pPr>
              <w:pStyle w:val="SingleTxt"/>
              <w:spacing w:before="81" w:after="81" w:line="160" w:lineRule="exact"/>
              <w:ind w:left="0" w:right="40"/>
              <w:jc w:val="right"/>
              <w:rPr>
                <w:i/>
                <w:sz w:val="12"/>
                <w:lang w:val="es-UY"/>
              </w:rPr>
            </w:pPr>
            <w:r>
              <w:rPr>
                <w:rFonts w:hint="cs"/>
                <w:b/>
                <w:color w:val="000000"/>
                <w:sz w:val="12"/>
              </w:rPr>
              <w:t>عيون</w:t>
            </w:r>
            <w:r>
              <w:rPr>
                <w:b/>
                <w:color w:val="000000"/>
                <w:sz w:val="12"/>
                <w:lang w:val="es-UY"/>
              </w:rPr>
              <w:br/>
            </w:r>
            <w:r>
              <w:rPr>
                <w:rFonts w:hint="cs"/>
                <w:b/>
                <w:color w:val="000000"/>
                <w:sz w:val="12"/>
              </w:rPr>
              <w:t>سنغرم</w:t>
            </w:r>
          </w:p>
        </w:tc>
        <w:tc>
          <w:tcPr>
            <w:tcW w:w="990" w:type="dxa"/>
            <w:tcBorders>
              <w:top w:val="single" w:sz="4" w:space="0" w:color="auto"/>
            </w:tcBorders>
            <w:vAlign w:val="bottom"/>
          </w:tcPr>
          <w:p w:rsidR="00000000" w:rsidRDefault="00000000">
            <w:pPr>
              <w:pStyle w:val="SingleTxt"/>
              <w:spacing w:before="81" w:after="81" w:line="160" w:lineRule="exact"/>
              <w:ind w:left="0" w:right="40"/>
              <w:jc w:val="right"/>
              <w:rPr>
                <w:i/>
                <w:sz w:val="12"/>
                <w:lang w:val="es-UY"/>
              </w:rPr>
            </w:pPr>
            <w:r>
              <w:rPr>
                <w:rFonts w:hint="cs"/>
                <w:b/>
                <w:color w:val="000000"/>
                <w:sz w:val="12"/>
              </w:rPr>
              <w:t>كريفوستات</w:t>
            </w:r>
            <w:r>
              <w:rPr>
                <w:b/>
                <w:color w:val="000000"/>
                <w:sz w:val="12"/>
                <w:lang w:val="es-UY"/>
              </w:rPr>
              <w:br/>
            </w:r>
            <w:r>
              <w:rPr>
                <w:rFonts w:hint="cs"/>
                <w:b/>
                <w:color w:val="000000"/>
                <w:sz w:val="12"/>
              </w:rPr>
              <w:t>ستلروم</w:t>
            </w:r>
          </w:p>
        </w:tc>
        <w:tc>
          <w:tcPr>
            <w:tcW w:w="810" w:type="dxa"/>
            <w:tcBorders>
              <w:top w:val="single" w:sz="4" w:space="0" w:color="auto"/>
            </w:tcBorders>
            <w:vAlign w:val="bottom"/>
          </w:tcPr>
          <w:p w:rsidR="00000000" w:rsidRDefault="00000000">
            <w:pPr>
              <w:pStyle w:val="SingleTxt"/>
              <w:spacing w:before="81" w:after="81" w:line="160" w:lineRule="exact"/>
              <w:ind w:left="0" w:right="40"/>
              <w:jc w:val="right"/>
              <w:rPr>
                <w:i/>
                <w:sz w:val="12"/>
              </w:rPr>
            </w:pPr>
            <w:r>
              <w:rPr>
                <w:i/>
                <w:sz w:val="12"/>
              </w:rPr>
              <w:t>Deficien-cia de lenguaje</w:t>
            </w:r>
          </w:p>
        </w:tc>
        <w:tc>
          <w:tcPr>
            <w:tcW w:w="591" w:type="dxa"/>
            <w:tcBorders>
              <w:top w:val="single" w:sz="4" w:space="0" w:color="auto"/>
            </w:tcBorders>
            <w:vAlign w:val="bottom"/>
          </w:tcPr>
          <w:p w:rsidR="00000000" w:rsidRDefault="00000000">
            <w:pPr>
              <w:pStyle w:val="SingleTxt"/>
              <w:spacing w:before="81" w:after="81" w:line="160" w:lineRule="exact"/>
              <w:ind w:left="0" w:right="40"/>
              <w:jc w:val="right"/>
              <w:rPr>
                <w:i/>
                <w:sz w:val="12"/>
              </w:rPr>
            </w:pPr>
            <w:r>
              <w:rPr>
                <w:i/>
                <w:sz w:val="12"/>
              </w:rPr>
              <w:t>Total</w:t>
            </w:r>
          </w:p>
        </w:tc>
      </w:tr>
      <w:tr w:rsidR="00000000">
        <w:tblPrEx>
          <w:tblCellMar>
            <w:top w:w="0" w:type="dxa"/>
            <w:bottom w:w="0" w:type="dxa"/>
          </w:tblCellMar>
        </w:tblPrEx>
        <w:trPr>
          <w:trHeight w:hRule="exact" w:val="115"/>
          <w:tblHeader/>
          <w:jc w:val="center"/>
        </w:trPr>
        <w:tc>
          <w:tcPr>
            <w:tcW w:w="1015" w:type="dxa"/>
            <w:tcBorders>
              <w:top w:val="single" w:sz="12" w:space="0" w:color="auto"/>
            </w:tcBorders>
            <w:vAlign w:val="bottom"/>
          </w:tcPr>
          <w:p w:rsidR="00000000" w:rsidRDefault="00000000">
            <w:pPr>
              <w:pStyle w:val="SingleTxt"/>
              <w:spacing w:before="40" w:after="40" w:line="210" w:lineRule="exact"/>
              <w:ind w:left="0" w:right="40"/>
              <w:jc w:val="center"/>
              <w:rPr>
                <w:sz w:val="17"/>
              </w:rPr>
            </w:pPr>
          </w:p>
        </w:tc>
        <w:tc>
          <w:tcPr>
            <w:tcW w:w="733"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98"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5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97"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1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01"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642"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9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1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591"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rPr>
          <w:jc w:val="center"/>
        </w:trPr>
        <w:tc>
          <w:tcPr>
            <w:tcW w:w="10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3"/>
              </w:rPr>
            </w:pPr>
            <w:r>
              <w:rPr>
                <w:sz w:val="13"/>
              </w:rPr>
              <w:t>Sexo</w:t>
            </w:r>
          </w:p>
        </w:tc>
        <w:tc>
          <w:tcPr>
            <w:tcW w:w="73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79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55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797"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90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64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59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r>
      <w:tr w:rsidR="00000000">
        <w:tblPrEx>
          <w:tblCellMar>
            <w:top w:w="0" w:type="dxa"/>
            <w:bottom w:w="0" w:type="dxa"/>
          </w:tblCellMar>
        </w:tblPrEx>
        <w:trPr>
          <w:jc w:val="center"/>
        </w:trPr>
        <w:tc>
          <w:tcPr>
            <w:tcW w:w="10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3"/>
              </w:rPr>
            </w:pPr>
            <w:r>
              <w:rPr>
                <w:sz w:val="13"/>
              </w:rPr>
              <w:t>Hombres</w:t>
            </w:r>
          </w:p>
        </w:tc>
        <w:tc>
          <w:tcPr>
            <w:tcW w:w="73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7</w:t>
            </w:r>
          </w:p>
        </w:tc>
        <w:tc>
          <w:tcPr>
            <w:tcW w:w="79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34</w:t>
            </w:r>
          </w:p>
        </w:tc>
        <w:tc>
          <w:tcPr>
            <w:tcW w:w="55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55</w:t>
            </w:r>
          </w:p>
        </w:tc>
        <w:tc>
          <w:tcPr>
            <w:tcW w:w="797"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6</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90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5</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64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8</w:t>
            </w:r>
          </w:p>
        </w:tc>
        <w:tc>
          <w:tcPr>
            <w:tcW w:w="59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116</w:t>
            </w:r>
          </w:p>
        </w:tc>
      </w:tr>
      <w:tr w:rsidR="00000000">
        <w:tblPrEx>
          <w:tblCellMar>
            <w:top w:w="0" w:type="dxa"/>
            <w:bottom w:w="0" w:type="dxa"/>
          </w:tblCellMar>
        </w:tblPrEx>
        <w:trPr>
          <w:jc w:val="center"/>
        </w:trPr>
        <w:tc>
          <w:tcPr>
            <w:tcW w:w="10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3"/>
              </w:rPr>
            </w:pPr>
            <w:r>
              <w:rPr>
                <w:sz w:val="13"/>
              </w:rPr>
              <w:t>Mujeres</w:t>
            </w:r>
          </w:p>
        </w:tc>
        <w:tc>
          <w:tcPr>
            <w:tcW w:w="73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13</w:t>
            </w:r>
          </w:p>
        </w:tc>
        <w:tc>
          <w:tcPr>
            <w:tcW w:w="79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16</w:t>
            </w:r>
          </w:p>
        </w:tc>
        <w:tc>
          <w:tcPr>
            <w:tcW w:w="55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54</w:t>
            </w:r>
          </w:p>
        </w:tc>
        <w:tc>
          <w:tcPr>
            <w:tcW w:w="797"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7</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90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3</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64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2</w:t>
            </w:r>
          </w:p>
        </w:tc>
        <w:tc>
          <w:tcPr>
            <w:tcW w:w="59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98</w:t>
            </w:r>
          </w:p>
        </w:tc>
      </w:tr>
      <w:tr w:rsidR="00000000">
        <w:tblPrEx>
          <w:tblCellMar>
            <w:top w:w="0" w:type="dxa"/>
            <w:bottom w:w="0" w:type="dxa"/>
          </w:tblCellMar>
        </w:tblPrEx>
        <w:trPr>
          <w:jc w:val="center"/>
        </w:trPr>
        <w:tc>
          <w:tcPr>
            <w:tcW w:w="10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3"/>
              </w:rPr>
            </w:pPr>
            <w:r>
              <w:rPr>
                <w:sz w:val="13"/>
              </w:rPr>
              <w:t>Kuwaitíes</w:t>
            </w:r>
          </w:p>
        </w:tc>
        <w:tc>
          <w:tcPr>
            <w:tcW w:w="73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79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55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797"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90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64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59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r>
      <w:tr w:rsidR="00000000">
        <w:tblPrEx>
          <w:tblCellMar>
            <w:top w:w="0" w:type="dxa"/>
            <w:bottom w:w="0" w:type="dxa"/>
          </w:tblCellMar>
        </w:tblPrEx>
        <w:trPr>
          <w:jc w:val="center"/>
        </w:trPr>
        <w:tc>
          <w:tcPr>
            <w:tcW w:w="10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3"/>
              </w:rPr>
            </w:pPr>
            <w:r>
              <w:rPr>
                <w:sz w:val="13"/>
              </w:rPr>
              <w:t>Hombres</w:t>
            </w:r>
          </w:p>
        </w:tc>
        <w:tc>
          <w:tcPr>
            <w:tcW w:w="73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6</w:t>
            </w:r>
          </w:p>
        </w:tc>
        <w:tc>
          <w:tcPr>
            <w:tcW w:w="79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30</w:t>
            </w:r>
          </w:p>
        </w:tc>
        <w:tc>
          <w:tcPr>
            <w:tcW w:w="55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45</w:t>
            </w:r>
          </w:p>
        </w:tc>
        <w:tc>
          <w:tcPr>
            <w:tcW w:w="797"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5</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90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4</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64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6</w:t>
            </w:r>
          </w:p>
        </w:tc>
        <w:tc>
          <w:tcPr>
            <w:tcW w:w="59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r>
      <w:tr w:rsidR="00000000">
        <w:tblPrEx>
          <w:tblCellMar>
            <w:top w:w="0" w:type="dxa"/>
            <w:bottom w:w="0" w:type="dxa"/>
          </w:tblCellMar>
        </w:tblPrEx>
        <w:trPr>
          <w:jc w:val="center"/>
        </w:trPr>
        <w:tc>
          <w:tcPr>
            <w:tcW w:w="10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3"/>
              </w:rPr>
            </w:pPr>
            <w:r>
              <w:rPr>
                <w:sz w:val="13"/>
              </w:rPr>
              <w:t>Mujeres</w:t>
            </w:r>
          </w:p>
        </w:tc>
        <w:tc>
          <w:tcPr>
            <w:tcW w:w="73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11</w:t>
            </w:r>
          </w:p>
        </w:tc>
        <w:tc>
          <w:tcPr>
            <w:tcW w:w="79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11</w:t>
            </w:r>
          </w:p>
        </w:tc>
        <w:tc>
          <w:tcPr>
            <w:tcW w:w="55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36</w:t>
            </w:r>
          </w:p>
        </w:tc>
        <w:tc>
          <w:tcPr>
            <w:tcW w:w="797"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6</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90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3</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64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2</w:t>
            </w:r>
          </w:p>
        </w:tc>
        <w:tc>
          <w:tcPr>
            <w:tcW w:w="59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r>
      <w:tr w:rsidR="00000000">
        <w:tblPrEx>
          <w:tblCellMar>
            <w:top w:w="0" w:type="dxa"/>
            <w:bottom w:w="0" w:type="dxa"/>
          </w:tblCellMar>
        </w:tblPrEx>
        <w:trPr>
          <w:jc w:val="center"/>
        </w:trPr>
        <w:tc>
          <w:tcPr>
            <w:tcW w:w="10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3"/>
              </w:rPr>
            </w:pPr>
            <w:r>
              <w:rPr>
                <w:sz w:val="13"/>
              </w:rPr>
              <w:t xml:space="preserve">No kuwaitíes </w:t>
            </w:r>
          </w:p>
        </w:tc>
        <w:tc>
          <w:tcPr>
            <w:tcW w:w="73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79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55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797"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90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64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c>
          <w:tcPr>
            <w:tcW w:w="59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r>
      <w:tr w:rsidR="00000000">
        <w:tblPrEx>
          <w:tblCellMar>
            <w:top w:w="0" w:type="dxa"/>
            <w:bottom w:w="0" w:type="dxa"/>
          </w:tblCellMar>
        </w:tblPrEx>
        <w:trPr>
          <w:jc w:val="center"/>
        </w:trPr>
        <w:tc>
          <w:tcPr>
            <w:tcW w:w="1015"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3"/>
              </w:rPr>
            </w:pPr>
            <w:r>
              <w:rPr>
                <w:sz w:val="13"/>
              </w:rPr>
              <w:t>Hombres</w:t>
            </w:r>
          </w:p>
        </w:tc>
        <w:tc>
          <w:tcPr>
            <w:tcW w:w="733"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798"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4</w:t>
            </w:r>
          </w:p>
        </w:tc>
        <w:tc>
          <w:tcPr>
            <w:tcW w:w="55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10</w:t>
            </w:r>
          </w:p>
        </w:tc>
        <w:tc>
          <w:tcPr>
            <w:tcW w:w="797"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90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642"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2</w:t>
            </w:r>
          </w:p>
        </w:tc>
        <w:tc>
          <w:tcPr>
            <w:tcW w:w="591"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r>
      <w:tr w:rsidR="00000000">
        <w:tblPrEx>
          <w:tblCellMar>
            <w:top w:w="0" w:type="dxa"/>
            <w:bottom w:w="0" w:type="dxa"/>
          </w:tblCellMar>
        </w:tblPrEx>
        <w:trPr>
          <w:jc w:val="center"/>
        </w:trPr>
        <w:tc>
          <w:tcPr>
            <w:tcW w:w="101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3"/>
              </w:rPr>
            </w:pPr>
            <w:r>
              <w:rPr>
                <w:sz w:val="13"/>
              </w:rPr>
              <w:t>Mujeres</w:t>
            </w:r>
          </w:p>
        </w:tc>
        <w:tc>
          <w:tcPr>
            <w:tcW w:w="733"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2</w:t>
            </w:r>
          </w:p>
        </w:tc>
        <w:tc>
          <w:tcPr>
            <w:tcW w:w="79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5</w:t>
            </w:r>
          </w:p>
        </w:tc>
        <w:tc>
          <w:tcPr>
            <w:tcW w:w="55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18</w:t>
            </w:r>
          </w:p>
        </w:tc>
        <w:tc>
          <w:tcPr>
            <w:tcW w:w="79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901"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64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1</w:t>
            </w:r>
          </w:p>
        </w:tc>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r>
              <w:rPr>
                <w:sz w:val="14"/>
              </w:rPr>
              <w:t>-</w:t>
            </w:r>
          </w:p>
        </w:tc>
        <w:tc>
          <w:tcPr>
            <w:tcW w:w="591"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4"/>
              </w:rPr>
            </w:pPr>
          </w:p>
        </w:tc>
      </w:tr>
    </w:tbl>
    <w:p w:rsidR="00000000" w:rsidRDefault="00000000">
      <w:pPr>
        <w:pStyle w:val="SingleTxt"/>
        <w:jc w:val="center"/>
      </w:pPr>
    </w:p>
    <w:p w:rsidR="00000000" w:rsidRDefault="00000000">
      <w:pPr>
        <w:pStyle w:val="SingleTxt"/>
        <w:ind w:firstLine="475"/>
      </w:pPr>
      <w:r>
        <w:t>Además de los esfuerzos que está haciendo el Estado en esta esfera, diversas asociaciones de interés público, en particular asociaciones de mujeres, desempeñan un papel en la protección y el cuidado de las mujeres, permitiendo que tengan una vida decorosa en la sociedad, partiendo de la convicción de que el adelanto de la mujer es importante por la enorme incidencia que tiene en las personas con familia. Por consiguiente, las asociaciones privadas de esa índole se han esforzado por pre</w:t>
      </w:r>
      <w:r>
        <w:t>s</w:t>
      </w:r>
      <w:r>
        <w:t>tar diversos tipos de asistencia a las mujeres, brindando asistencia financiera en p</w:t>
      </w:r>
      <w:r>
        <w:t>a</w:t>
      </w:r>
      <w:r>
        <w:t>gos mensuales, anuales o de sumas globales a una cantidad de familias desfavorec</w:t>
      </w:r>
      <w:r>
        <w:t>i</w:t>
      </w:r>
      <w:r>
        <w:t>das, así como la asistencia en especie que necesiten algunas familias empobrecidas.</w:t>
      </w:r>
    </w:p>
    <w:p w:rsidR="00000000" w:rsidRDefault="00000000">
      <w:pPr>
        <w:pStyle w:val="SingleTxt"/>
        <w:ind w:firstLine="475"/>
      </w:pPr>
      <w:r>
        <w:t>En lo tocante al derecho a participar en actividades recreativas y deportes, así como en todos los aspectos de la vida cultural, en Kuwait las mujeres tienen acceso gratuito a dichas actividades. En Kuwait los deportes físicos forman parte de los planes de estudio generales del Ministerio de Educación. Todos los estudiantes hombres y mujeres tienen la oportunidad de practicar todo tipo de actividades d</w:t>
      </w:r>
      <w:r>
        <w:t>e</w:t>
      </w:r>
      <w:r>
        <w:t>portivas en las escuelas. El Ministerio se esfuerza por suministrar todo el equipo d</w:t>
      </w:r>
      <w:r>
        <w:t>e</w:t>
      </w:r>
      <w:r>
        <w:t>portivo y asimismo ha construido piletas de natación en algunas escuelas. En otras palabras, los estudiantes pueden practicar deportes en cumplimiento de una exige</w:t>
      </w:r>
      <w:r>
        <w:t>n</w:t>
      </w:r>
      <w:r>
        <w:t>cia educaci</w:t>
      </w:r>
      <w:r>
        <w:t>o</w:t>
      </w:r>
      <w:r>
        <w:t>nal y no sólo en su tiempo libre.</w:t>
      </w:r>
    </w:p>
    <w:p w:rsidR="00000000" w:rsidRDefault="00000000">
      <w:pPr>
        <w:pStyle w:val="SingleTxt"/>
        <w:ind w:firstLine="475"/>
      </w:pPr>
      <w:r>
        <w:t>El Ministerio de Educación también abre sus piletas de natación durante las vacaciones de verano para las estudiantes mujeres que deseen practicar la natación como actividad recreativa.</w:t>
      </w:r>
    </w:p>
    <w:p w:rsidR="00000000" w:rsidRDefault="00000000">
      <w:pPr>
        <w:pStyle w:val="SingleTxt"/>
        <w:ind w:firstLine="475"/>
      </w:pPr>
      <w:r>
        <w:t>El Ministerio se esfuerza por organizar competencias deportivas y carreras e</w:t>
      </w:r>
      <w:r>
        <w:t>n</w:t>
      </w:r>
      <w:r>
        <w:t>tre las estudiantes de sexo femenino y otorga premios a las ganadoras a fin de est</w:t>
      </w:r>
      <w:r>
        <w:t>i</w:t>
      </w:r>
      <w:r>
        <w:t>mularlas para que desarrollen su interés en esta materia.</w:t>
      </w:r>
    </w:p>
    <w:p w:rsidR="00000000" w:rsidRDefault="00000000">
      <w:pPr>
        <w:pStyle w:val="SingleTxt"/>
        <w:ind w:firstLine="475"/>
      </w:pPr>
      <w:r>
        <w:t>La educación artística también es tratada como programa de estudio en todos los ciclos de la educación pública y se realizan exposiciones artísticas en las que se exhiben los dibujos y obras artísticas de las estudiantes mujeres.</w:t>
      </w:r>
    </w:p>
    <w:p w:rsidR="00000000" w:rsidRDefault="00000000">
      <w:pPr>
        <w:pStyle w:val="SingleTxt"/>
        <w:ind w:firstLine="475"/>
      </w:pPr>
      <w:r>
        <w:t>La Universidad de Kuwait y los institutos anexos a la Organización General de Educación Aplicada y Capacitación también han dedicado atención a este aspecto, y han destinado lugares especiales para que sus integrantes mujeres practiquen disti</w:t>
      </w:r>
      <w:r>
        <w:t>n</w:t>
      </w:r>
      <w:r>
        <w:t>tos tipos de deportes y actividades artísticas.</w:t>
      </w:r>
    </w:p>
    <w:p w:rsidR="00000000" w:rsidRDefault="00000000">
      <w:pPr>
        <w:pStyle w:val="SingleTxt"/>
        <w:ind w:firstLine="475"/>
      </w:pPr>
      <w:r>
        <w:t>Entre los colegios administrados por la Organización General de Educación Aplicada y Capacitación figura el Colegio de Educación Básica, que imparte pr</w:t>
      </w:r>
      <w:r>
        <w:t>o</w:t>
      </w:r>
      <w:r>
        <w:t>gramas de capacitación tecnológica, así como programas de educación física y d</w:t>
      </w:r>
      <w:r>
        <w:t>e</w:t>
      </w:r>
      <w:r>
        <w:t>portes.</w:t>
      </w:r>
    </w:p>
    <w:p w:rsidR="00000000" w:rsidRDefault="00000000">
      <w:pPr>
        <w:pStyle w:val="SingleTxt"/>
        <w:ind w:firstLine="475"/>
      </w:pPr>
      <w:r>
        <w:t>Dichos programas tienen la finalidad de lograr que sus egresados enseñen ed</w:t>
      </w:r>
      <w:r>
        <w:t>u</w:t>
      </w:r>
      <w:r>
        <w:t>cación física y tecnología en los distintos ciclos educativos.</w:t>
      </w:r>
    </w:p>
    <w:p w:rsidR="00000000" w:rsidRDefault="00000000">
      <w:pPr>
        <w:pStyle w:val="SingleTxt"/>
        <w:ind w:firstLine="475"/>
      </w:pPr>
      <w:r>
        <w:t>Además de lo indicado, el Estado estableció un club para mujeres jóvenes, a</w:t>
      </w:r>
      <w:r>
        <w:t>d</w:t>
      </w:r>
      <w:r>
        <w:t>ministrado por la Organización General de Juventud y Deportes, en el que pueden ser miembros mujeres de distintas edades. En este club, las mujeres y las niñas re</w:t>
      </w:r>
      <w:r>
        <w:t>a</w:t>
      </w:r>
      <w:r>
        <w:t>lizan todo tipo de actividades deportivas bajo la supervisión de instructoras especi</w:t>
      </w:r>
      <w:r>
        <w:t>a</w:t>
      </w:r>
      <w:r>
        <w:t>lizadas. El club también participa en competencias en todos los niveles.</w:t>
      </w:r>
    </w:p>
    <w:p w:rsidR="00000000" w:rsidRDefault="00000000">
      <w:pPr>
        <w:pStyle w:val="SingleTxt"/>
        <w:ind w:firstLine="475"/>
      </w:pPr>
      <w:r>
        <w:t>Cabría decir que las mujeres kuwaitíes han logrado varios éxitos científicos, culturales y deportivos merced a los servicios e instalaciones educacionales, cult</w:t>
      </w:r>
      <w:r>
        <w:t>u</w:t>
      </w:r>
      <w:r>
        <w:t>rales, deportivos, recreativos y de salud brindados por el Estado, que les han perm</w:t>
      </w:r>
      <w:r>
        <w:t>i</w:t>
      </w:r>
      <w:r>
        <w:t>tido destacarse en diversas esferas a nivel local, regional e internacional.</w:t>
      </w:r>
    </w:p>
    <w:p w:rsidR="00000000" w:rsidRDefault="00000000">
      <w:pPr>
        <w:pStyle w:val="SingleTxt"/>
        <w:ind w:firstLine="475"/>
      </w:pPr>
      <w:r>
        <w:t>El sector privado, representado por las asociaciones de mujeres y otras soci</w:t>
      </w:r>
      <w:r>
        <w:t>e</w:t>
      </w:r>
      <w:r>
        <w:t>dades, tiene una intensa actividad en esta esfera, pues tales asociaciones prestan un apoyo efectivo a las actividades recreativas, deportivas y culturales de las mujeres, que constituyen uno de sus centros de interés, así como un aspecto clave de su labor.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keepNext/>
        <w:spacing w:after="0" w:line="120" w:lineRule="exact"/>
        <w:ind w:firstLine="475"/>
        <w:rPr>
          <w:sz w:val="10"/>
        </w:rPr>
      </w:pPr>
    </w:p>
    <w:p w:rsidR="00000000" w:rsidRDefault="00000000">
      <w:pPr>
        <w:pStyle w:val="SingleTxt"/>
        <w:ind w:firstLine="475"/>
      </w:pPr>
      <w:r>
        <w:t>Este artículo dispone que los Estados Partes tomarán todas las medidas apr</w:t>
      </w:r>
      <w:r>
        <w:t>o</w:t>
      </w:r>
      <w:r>
        <w:t>piadas para asegurar la aplicación de las disposiciones de la Convención a la mujer en las zonas rurales, así como para eliminar la discriminación contra la mujer en d</w:t>
      </w:r>
      <w:r>
        <w:t>i</w:t>
      </w:r>
      <w:r>
        <w:t>chas zonas.</w:t>
      </w:r>
    </w:p>
    <w:p w:rsidR="00000000" w:rsidRDefault="00000000">
      <w:pPr>
        <w:pStyle w:val="SingleTxt"/>
        <w:ind w:firstLine="475"/>
      </w:pPr>
      <w:r>
        <w:t>Kuwait no está dividido en zonas rurales y no rurales, como las que existen en otros países, pues sólo tiene una pequeña superficie de 17.818 kilómetros cuadrados, con una población que en 1998 ascendía a 2.270.865 habitantes distribuidos en ci</w:t>
      </w:r>
      <w:r>
        <w:t>n</w:t>
      </w:r>
      <w:r>
        <w:t>co gobernaciones (divididas administrativamente). Cada gobernación tiene varias zonas residenciales. Por conducto de sus distintos organismos, el Estado procura brindar a todas las gobernaciones servicios en una diversidad de esferas, entre ellas, la educación, la salud, la recreación, la cultura y los deportes.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ind w:firstLine="475"/>
        <w:rPr>
          <w:sz w:val="10"/>
        </w:rPr>
      </w:pPr>
    </w:p>
    <w:p w:rsidR="00000000" w:rsidRDefault="00000000">
      <w:pPr>
        <w:pStyle w:val="SingleTxt"/>
        <w:ind w:firstLine="475"/>
      </w:pPr>
      <w:r>
        <w:t>A este respecto, Kuwait desearía destacar que, con arreglo a su Constitución, la igualdad se considera uno de los pilares en que se basa la sociedad kuwaití, como se indica en varias partes de la Constitución. Por ejemplo, es uno de los principios mencionados en el Preámbulo, así como en el artículo 7 y el artículo 29, que co</w:t>
      </w:r>
      <w:r>
        <w:t>m</w:t>
      </w:r>
      <w:r>
        <w:t>prende distintos aspectos del principio al consagrar la igualdad en relación con la dignidad humana, los derechos y las obligaciones.</w:t>
      </w:r>
    </w:p>
    <w:p w:rsidR="00000000" w:rsidRDefault="00000000">
      <w:pPr>
        <w:pStyle w:val="SingleTxt"/>
        <w:ind w:firstLine="475"/>
      </w:pPr>
      <w:r>
        <w:t>El principio de igualdad tiene varios aspectos, entre los que figuran los s</w:t>
      </w:r>
      <w:r>
        <w:t>i</w:t>
      </w:r>
      <w:r>
        <w:t>guientes: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Igualdad ante la ley</w:t>
      </w:r>
    </w:p>
    <w:p w:rsidR="00000000" w:rsidRDefault="00000000">
      <w:pPr>
        <w:pStyle w:val="SingleTxt"/>
        <w:spacing w:after="0" w:line="120" w:lineRule="exact"/>
        <w:ind w:firstLine="475"/>
        <w:rPr>
          <w:sz w:val="10"/>
        </w:rPr>
      </w:pPr>
    </w:p>
    <w:p w:rsidR="00000000" w:rsidRDefault="00000000">
      <w:pPr>
        <w:pStyle w:val="SingleTxt"/>
        <w:ind w:firstLine="475"/>
      </w:pPr>
      <w:r>
        <w:t>El mencionado artículo 29 de la Constitución es una disposición general, que significa que todos los ciudadanos son iguales ante la ley e iguales en derechos y obligaciones. Dicho artículo 29 dispone que todas las personas son iguales en dign</w:t>
      </w:r>
      <w:r>
        <w:t>i</w:t>
      </w:r>
      <w:r>
        <w:t>dad humana e iguales ante la ley en lo tocante a sus derechos y obligaciones públ</w:t>
      </w:r>
      <w:r>
        <w:t>i</w:t>
      </w:r>
      <w:r>
        <w:t>cos, sin distinción alguna por razones de sexo, origen, idi</w:t>
      </w:r>
      <w:r>
        <w:t>o</w:t>
      </w:r>
      <w:r>
        <w:t>ma o religión.</w:t>
      </w:r>
    </w:p>
    <w:p w:rsidR="00000000" w:rsidRDefault="00000000">
      <w:pPr>
        <w:pStyle w:val="SingleTxt"/>
        <w:ind w:firstLine="475"/>
      </w:pPr>
      <w:r>
        <w:t>El artículo 7 dispone que la justicia, la libertad y la igualdad son los pilares de la sociedad, y que sus ciudadanos están unidos por los más fuertes vínculos de co</w:t>
      </w:r>
      <w:r>
        <w:t>m</w:t>
      </w:r>
      <w:r>
        <w:t>prensión y ayuda m</w:t>
      </w:r>
      <w:r>
        <w:t>u</w:t>
      </w:r>
      <w:r>
        <w:t>tuas.</w:t>
      </w:r>
    </w:p>
    <w:p w:rsidR="00000000" w:rsidRDefault="00000000">
      <w:pPr>
        <w:pStyle w:val="SingleTxt"/>
        <w:ind w:firstLine="475"/>
      </w:pPr>
      <w:r>
        <w:t>El artículo 47 también consagra otro aspecto de la igualdad, en relación con el cumplimiento del servicio militar, que según este artículo es un deber sagrado frente a cuyo cumplimiento los ciudadanos son iguales en virtud de su igualdad en lo t</w:t>
      </w:r>
      <w:r>
        <w:t>o</w:t>
      </w:r>
      <w:r>
        <w:t>cante a la dignidad humana.</w:t>
      </w:r>
    </w:p>
    <w:p w:rsidR="00000000" w:rsidRDefault="00000000">
      <w:pPr>
        <w:pStyle w:val="SingleTxt"/>
        <w:ind w:firstLine="475"/>
      </w:pPr>
      <w:r>
        <w:t>El derecho a la igualdad ante los tribunales también está garantizado con arr</w:t>
      </w:r>
      <w:r>
        <w:t>e</w:t>
      </w:r>
      <w:r>
        <w:t>glo al artículo 166 de la Constitución, que dispone que se garantiza a todas las pe</w:t>
      </w:r>
      <w:r>
        <w:t>r</w:t>
      </w:r>
      <w:r>
        <w:t>sonas el derecho a recursos judiciales y que la ley determinará los procedimientos y circunstancias necesarios para el ejercicio de ese derecho.</w:t>
      </w:r>
    </w:p>
    <w:p w:rsidR="00000000" w:rsidRDefault="00000000">
      <w:pPr>
        <w:pStyle w:val="SingleTxt"/>
        <w:ind w:firstLine="475"/>
      </w:pPr>
      <w:r>
        <w:t>Las leyes de Kuwait también se ajustan a esos principios. El Código Penal (Ley N° 16 de 1960) pone de relieve el principio de igualdad en la aplicación de sus disposiciones, pues el artículo 11 estipula que sus disposiciones se aplicarán a toda persona que cometa en el territorio de Kuwait cualquiera de los delitos previstos en el Código.</w:t>
      </w:r>
    </w:p>
    <w:p w:rsidR="00000000" w:rsidRDefault="00000000">
      <w:pPr>
        <w:pStyle w:val="SingleTxt"/>
        <w:ind w:firstLine="475"/>
      </w:pPr>
      <w:r>
        <w:t>El principio de igualdad se aplica también a la función pública, el empleo, la libertad de elección del trabajo y el derecho a la atención de la salud, la salud públ</w:t>
      </w:r>
      <w:r>
        <w:t>i</w:t>
      </w:r>
      <w:r>
        <w:t>ca y los demás derechos previstos en la Constitución de Kuwait. Las disposiciones legislativas que regulan tales derechos ya han sido examinadas en otras partes del presente informe.</w:t>
      </w:r>
    </w:p>
    <w:p w:rsidR="00000000" w:rsidRDefault="00000000">
      <w:pPr>
        <w:pStyle w:val="SingleTxt"/>
        <w:ind w:firstLine="475"/>
      </w:pPr>
      <w:r>
        <w:t>Con arreglo al artículo 31 de la Constitución, está prohibido arrestar, detener o someter a revisación a una persona, ni compelerla a residir en un lugar determinado, ni restringir su libertad de residencia o de circulación, fuera de los casos previstos en la ley,</w:t>
      </w:r>
    </w:p>
    <w:p w:rsidR="00000000" w:rsidRDefault="00000000">
      <w:pPr>
        <w:pStyle w:val="SingleTxt"/>
        <w:ind w:firstLine="475"/>
      </w:pPr>
      <w:r>
        <w:t>Cabe mencionar que Kuwait no impone restricciones a la libertad de circul</w:t>
      </w:r>
      <w:r>
        <w:t>a</w:t>
      </w:r>
      <w:r>
        <w:t>ción o de elección de residencia fuera de los casos estipulados en las leyes de K</w:t>
      </w:r>
      <w:r>
        <w:t>u</w:t>
      </w:r>
      <w:r>
        <w:t>wait y que se consideran necesarios por numerosas razones. Como los demás der</w:t>
      </w:r>
      <w:r>
        <w:t>e</w:t>
      </w:r>
      <w:r>
        <w:t>chos y libertades, en algunas ocasiones es posible reglamentar, limitar y restringir la libertad de circulación por distintas razones, tales como la protección de la segur</w:t>
      </w:r>
      <w:r>
        <w:t>i</w:t>
      </w:r>
      <w:r>
        <w:t>dad nacional, el orden público, la salud pública, la moral o los derechos y libertades de los demás, según lo dispone el artículo 31 de la Constitución, en la medida en que no permite restricciones a la libertad de circulación fuera de las previstas en la ley.</w:t>
      </w:r>
    </w:p>
    <w:p w:rsidR="00000000" w:rsidRDefault="00000000">
      <w:pPr>
        <w:pStyle w:val="SingleTxt"/>
        <w:ind w:firstLine="475"/>
      </w:pPr>
      <w:r>
        <w:t>En lo tocante a los derechos mencionados en el párrafo 2 de este artículo de la Convención, según el cual los Estados Partes reconocerán a la mujer una capacidad jurídica idéntica a la del hombre, las disposiciones del Código Civil, algunas de las cuales ya se han mencionado, armonizan con esos principios y disponen que la pe</w:t>
      </w:r>
      <w:r>
        <w:t>r</w:t>
      </w:r>
      <w:r>
        <w:t>sonalidad del ser humano comienza con el nacimiento y termina con la muerte (art</w:t>
      </w:r>
      <w:r>
        <w:t>í</w:t>
      </w:r>
      <w:r>
        <w:t>culo 9).</w:t>
      </w:r>
    </w:p>
    <w:p w:rsidR="00000000" w:rsidRDefault="00000000">
      <w:pPr>
        <w:pStyle w:val="SingleTxt"/>
        <w:ind w:firstLine="475"/>
      </w:pPr>
      <w:r>
        <w:t>El artículo 84 dispone que toda persona tiene capacidad jurídica para celebrar contratos, a menos que la ley disponga que carece de dicha capacidad o que su cap</w:t>
      </w:r>
      <w:r>
        <w:t>a</w:t>
      </w:r>
      <w:r>
        <w:t>cidad es insuf</w:t>
      </w:r>
      <w:r>
        <w:t>i</w:t>
      </w:r>
      <w:r>
        <w:t>ciente.</w:t>
      </w:r>
    </w:p>
    <w:p w:rsidR="00000000" w:rsidRDefault="00000000">
      <w:pPr>
        <w:pStyle w:val="SingleTxt"/>
        <w:ind w:firstLine="475"/>
      </w:pPr>
      <w:r>
        <w:t>El artículo 96 dispone que toda persona que haya llegado a la mayoría de edad es plenamente capaz para celebrar transacciones jurídicas. Con arreglo al Código, la mayoría de edad se adquiere a los 21 años, y toda persona que haya cumplido tal edad seguirá teniendo plena capacidad jurídica, a menos que surja un impedimento al respecto.</w:t>
      </w:r>
    </w:p>
    <w:p w:rsidR="00000000" w:rsidRDefault="00000000">
      <w:pPr>
        <w:pStyle w:val="SingleTxt"/>
        <w:ind w:firstLine="475"/>
      </w:pPr>
      <w:r>
        <w:t>Con arreglo al Código, tienen una capacidad jurídica insuficiente las personas aquejadas de debilidad o trastorno mental o imprudencia, así como los menores de 17 años, mientras que los dementes carecen de capacidad jurídica.</w:t>
      </w:r>
    </w:p>
    <w:p w:rsidR="00000000" w:rsidRDefault="00000000">
      <w:pPr>
        <w:pStyle w:val="SingleTxt"/>
        <w:ind w:firstLine="475"/>
      </w:pPr>
      <w:r>
        <w:t>El artículo 107 también dispone que, si una persona tiene una discapacidad f</w:t>
      </w:r>
      <w:r>
        <w:t>í</w:t>
      </w:r>
      <w:r>
        <w:t>sica tan grave que le resulta difícil comprender los términos de un contrato, o, en particular, si no puede expresar su voluntad por ser sordomudo, ciego y sordo o ci</w:t>
      </w:r>
      <w:r>
        <w:t>e</w:t>
      </w:r>
      <w:r>
        <w:t>go y mudo, el tribunal podrá designarle un curador para que lo asista en sus transa</w:t>
      </w:r>
      <w:r>
        <w:t>c</w:t>
      </w:r>
      <w:r>
        <w:t>ciones jurídicas.</w:t>
      </w:r>
    </w:p>
    <w:p w:rsidR="00000000" w:rsidRDefault="00000000">
      <w:pPr>
        <w:pStyle w:val="SingleTxt"/>
        <w:ind w:firstLine="475"/>
      </w:pPr>
      <w:r>
        <w:t>Todas las disposiciones del Código Civil son generales e imparciales y no h</w:t>
      </w:r>
      <w:r>
        <w:t>a</w:t>
      </w:r>
      <w:r>
        <w:t>cen distinción ni discriminación de clase alguna entre hombres y mujeres. Tampoco restringen la capacidad jurídica de la mujer por razones de matrimonio o parentesco. Consiguientemente, cuando las mujeres llegan a la mayoría de edad pueden ejercer todos los derechos y celebrar todas las transacciones jurídicas previstas en el Código Civil y demás leyes en vigor.</w:t>
      </w:r>
    </w:p>
    <w:p w:rsidR="00000000" w:rsidRDefault="00000000">
      <w:pPr>
        <w:pStyle w:val="SingleTxt"/>
        <w:ind w:firstLine="475"/>
      </w:pPr>
      <w:r>
        <w:t>La mujer también tiene capacidad para administrar sus bienes y posesiones, así como sus asuntos personales, sin estar sujeta a restricción, limitación o impedimento de tipo alguno en relación con su capacidad</w:t>
      </w:r>
    </w:p>
    <w:p w:rsidR="00000000" w:rsidRDefault="00000000">
      <w:pPr>
        <w:pStyle w:val="SingleTxt"/>
        <w:ind w:firstLine="475"/>
      </w:pPr>
      <w:r>
        <w:t>En lo tocante al trato igual en todas las etapas del procedimiento en las cortes de justicia y los tribunales, el derecho de la mujer a plantear asuntos ante los trib</w:t>
      </w:r>
      <w:r>
        <w:t>u</w:t>
      </w:r>
      <w:r>
        <w:t>nales y actuar en los procedimientos y trámites judiciales relativos al estado civil de los cónyuges, las mujeres poseen en Kuwait todos los derechos previstos legalmente en tales materias, ya sea en calidad de demandantes, demandadas o testigos.</w:t>
      </w:r>
    </w:p>
    <w:p w:rsidR="00000000" w:rsidRDefault="00000000">
      <w:pPr>
        <w:pStyle w:val="SingleTxt"/>
        <w:ind w:firstLine="475"/>
      </w:pPr>
      <w:r>
        <w:t>Los procedimientos judiciales en los tribunales de todos los grados de Kuwait están regulados por el Código de Procedimiento Civil y Comercial (Ley N° 38 de 1980) y el Código de Enjuiciamiento y Procedimiento Penal (Ley N° 17 de 1960).</w:t>
      </w:r>
    </w:p>
    <w:p w:rsidR="00000000" w:rsidRDefault="00000000">
      <w:pPr>
        <w:pStyle w:val="SingleTxt"/>
        <w:ind w:firstLine="475"/>
      </w:pPr>
      <w:r>
        <w:t>Además, las disposiciones de ambos códigos se aplican a todos los litigantes, sin distinción entre hombres y mujeres.</w:t>
      </w:r>
    </w:p>
    <w:p w:rsidR="00000000" w:rsidRDefault="00000000">
      <w:pPr>
        <w:pStyle w:val="SingleTxt"/>
        <w:ind w:firstLine="475"/>
      </w:pPr>
      <w:r>
        <w:t>El Tribunal de Estado Civil es la autoridad competente para resolver las co</w:t>
      </w:r>
      <w:r>
        <w:t>n</w:t>
      </w:r>
      <w:r>
        <w:t>troversias conyugales, a las que se aplica la Ley N° 51 de 1984 sobre el estado civil. Dicha Ley regula todos los asuntos relacionados con el estado civil, en particular, el matrimonio, el divorcio, las pensiones alimenticias, la tenencia y las herencias y l</w:t>
      </w:r>
      <w:r>
        <w:t>e</w:t>
      </w:r>
      <w:r>
        <w:t>gados.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Artículo 16</w:t>
      </w:r>
    </w:p>
    <w:p w:rsidR="00000000" w:rsidRDefault="00000000">
      <w:pPr>
        <w:pStyle w:val="SingleTxt"/>
        <w:keepNext/>
        <w:spacing w:after="0" w:line="120" w:lineRule="exact"/>
        <w:ind w:left="1264" w:firstLine="475"/>
        <w:rPr>
          <w:sz w:val="10"/>
        </w:rPr>
      </w:pPr>
    </w:p>
    <w:p w:rsidR="00000000" w:rsidRDefault="00000000">
      <w:pPr>
        <w:pStyle w:val="SingleTxt"/>
        <w:ind w:firstLine="475"/>
      </w:pPr>
      <w:r>
        <w:t>Este artículo dispone que los Estados Partes adoptarán todas las medidas ad</w:t>
      </w:r>
      <w:r>
        <w:t>e</w:t>
      </w:r>
      <w:r>
        <w:t>cuadas para eliminar la discriminación contra la mujer en todos los asuntos relaci</w:t>
      </w:r>
      <w:r>
        <w:t>o</w:t>
      </w:r>
      <w:r>
        <w:t>nados con el matrimonio y las relaciones familiares y, en particular, asegurarán en condiciones de igualdad entre hombres y mujeres, el mismo derecho para contraer matrimonio y elegir libremente cónyuge, así como varios otros derechos.</w:t>
      </w:r>
    </w:p>
    <w:p w:rsidR="00000000" w:rsidRDefault="00000000">
      <w:pPr>
        <w:pStyle w:val="SingleTxt"/>
        <w:ind w:firstLine="475"/>
      </w:pPr>
      <w:r>
        <w:t>A este respecto, cabe mencionar que Kuwait ha dedicado especial atención a la mujer, como surge con toda evidencia del cuidado y la consideración que se brindan a las mujeres en muchas de las leyes y disposiciones legislativas pertinentes, que se proponen garantizar la seguridad y la estabilidad de las mujeres. Entre dichas no</w:t>
      </w:r>
      <w:r>
        <w:t>r</w:t>
      </w:r>
      <w:r>
        <w:t>mas se destaca ante todo la Constitución de Kuwait, que establece el marco jurídico para la legislación social, pues contiene varias disposiciones que determinan los principios y elementos constitutivos fundamentales en los que se basa la sociedad kuwaití, con el objetivo de salvaguardar al ser humano y las libertades y los der</w:t>
      </w:r>
      <w:r>
        <w:t>e</w:t>
      </w:r>
      <w:r>
        <w:t>chos humanos. La Constitución también específica las responsabilidades del Estado para con las familias y los niños, en los artículos siguientes:</w:t>
      </w:r>
    </w:p>
    <w:p w:rsidR="00000000" w:rsidRDefault="00000000">
      <w:pPr>
        <w:pStyle w:val="SingleTxt"/>
        <w:numPr>
          <w:ilvl w:val="0"/>
          <w:numId w:val="70"/>
        </w:numPr>
        <w:tabs>
          <w:tab w:val="clear" w:pos="1267"/>
          <w:tab w:val="clear" w:pos="2218"/>
          <w:tab w:val="left" w:pos="1276"/>
          <w:tab w:val="left" w:pos="2127"/>
        </w:tabs>
      </w:pPr>
      <w:r>
        <w:t>Artículo 8: El Estado salvaguardará los pilares de la sociedad y garantiz</w:t>
      </w:r>
      <w:r>
        <w:t>a</w:t>
      </w:r>
      <w:r>
        <w:t>rá la seguridad y la igualdad de oportunidades a todos sus ciudadanos (a</w:t>
      </w:r>
      <w:r>
        <w:t>r</w:t>
      </w:r>
      <w:r>
        <w:t>tículo 8);</w:t>
      </w:r>
    </w:p>
    <w:p w:rsidR="00000000" w:rsidRDefault="00000000">
      <w:pPr>
        <w:pStyle w:val="SingleTxt"/>
        <w:numPr>
          <w:ilvl w:val="0"/>
          <w:numId w:val="70"/>
        </w:numPr>
        <w:tabs>
          <w:tab w:val="clear" w:pos="2218"/>
          <w:tab w:val="left" w:pos="1701"/>
          <w:tab w:val="left" w:pos="2127"/>
        </w:tabs>
      </w:pPr>
      <w:r>
        <w:t>Artículo 9: La familia, que se basa en la religión, la moralidad y el patri</w:t>
      </w:r>
      <w:r>
        <w:t>o</w:t>
      </w:r>
      <w:r>
        <w:t>tismo, es la piedra fundamental de la sociedad. La ley preservará la int</w:t>
      </w:r>
      <w:r>
        <w:t>e</w:t>
      </w:r>
      <w:r>
        <w:t>gridad de la familia, fortalecerá sus vínculos y protegerá a las madres y los niños dentro de su ma</w:t>
      </w:r>
      <w:r>
        <w:t>r</w:t>
      </w:r>
      <w:r>
        <w:t>co</w:t>
      </w:r>
    </w:p>
    <w:p w:rsidR="00000000" w:rsidRDefault="00000000">
      <w:pPr>
        <w:pStyle w:val="SingleTxt"/>
        <w:numPr>
          <w:ilvl w:val="0"/>
          <w:numId w:val="70"/>
        </w:numPr>
        <w:tabs>
          <w:tab w:val="clear" w:pos="2218"/>
          <w:tab w:val="left" w:pos="1701"/>
          <w:tab w:val="left" w:pos="2127"/>
        </w:tabs>
      </w:pPr>
      <w:r>
        <w:t>Artículo 10: El Estado velará por el bienestar de los jóvenes, a quienes protegerá de la e</w:t>
      </w:r>
      <w:r>
        <w:t>x</w:t>
      </w:r>
      <w:r>
        <w:t>plotación y del abandono moral, físico y espiritual.</w:t>
      </w:r>
    </w:p>
    <w:p w:rsidR="00000000" w:rsidRDefault="00000000">
      <w:pPr>
        <w:pStyle w:val="SingleTxt"/>
        <w:ind w:firstLine="475"/>
      </w:pPr>
      <w:r>
        <w:t>El Estado también garantiza la protección y el cuidado de las familias y la p</w:t>
      </w:r>
      <w:r>
        <w:t>o</w:t>
      </w:r>
      <w:r>
        <w:t>sibilidad de que éstas tengan estilos de vida decorosos, y en particular:</w:t>
      </w:r>
    </w:p>
    <w:p w:rsidR="00000000" w:rsidRDefault="00000000">
      <w:pPr>
        <w:pStyle w:val="SingleTxt"/>
        <w:numPr>
          <w:ilvl w:val="0"/>
          <w:numId w:val="32"/>
        </w:numPr>
        <w:tabs>
          <w:tab w:val="clear" w:pos="720"/>
          <w:tab w:val="clear" w:pos="2218"/>
          <w:tab w:val="num" w:pos="2127"/>
          <w:tab w:val="num" w:pos="2419"/>
        </w:tabs>
        <w:ind w:left="2127" w:hanging="385"/>
      </w:pPr>
      <w:r>
        <w:t>Acceso a una vivienda adecuada que garantice la seguridad y la estabil</w:t>
      </w:r>
      <w:r>
        <w:t>i</w:t>
      </w:r>
      <w:r>
        <w:t>dad de las familias, para lo cual se creó la Organización General de V</w:t>
      </w:r>
      <w:r>
        <w:t>i</w:t>
      </w:r>
      <w:r>
        <w:t>vienda, con arreglo a la Ley N° 15 de 1974, con el fin de articular la construcción de viviendas con los planes generales del Estado. La Organ</w:t>
      </w:r>
      <w:r>
        <w:t>i</w:t>
      </w:r>
      <w:r>
        <w:t>zación procura construir unidades de vivienda y suministrarlas a los ci</w:t>
      </w:r>
      <w:r>
        <w:t>u</w:t>
      </w:r>
      <w:r>
        <w:t>dadanos, junto con las instalaciones y servicios necesarios para dichas v</w:t>
      </w:r>
      <w:r>
        <w:t>i</w:t>
      </w:r>
      <w:r>
        <w:t>viendas. Asimismo asigna los grupos de viviendas y las viviendas gube</w:t>
      </w:r>
      <w:r>
        <w:t>r</w:t>
      </w:r>
      <w:r>
        <w:t>namentales a las personas a quienes les corresponden y arrienda o transfi</w:t>
      </w:r>
      <w:r>
        <w:t>e</w:t>
      </w:r>
      <w:r>
        <w:t>re la propiedad de las viviendas a quienes reúnan las condiciones neces</w:t>
      </w:r>
      <w:r>
        <w:t>a</w:t>
      </w:r>
      <w:r>
        <w:t>rias;</w:t>
      </w:r>
    </w:p>
    <w:p w:rsidR="00000000" w:rsidRDefault="00000000">
      <w:pPr>
        <w:pStyle w:val="SingleTxt"/>
        <w:numPr>
          <w:ilvl w:val="0"/>
          <w:numId w:val="32"/>
        </w:numPr>
        <w:tabs>
          <w:tab w:val="clear" w:pos="720"/>
          <w:tab w:val="clear" w:pos="2218"/>
          <w:tab w:val="num" w:pos="2127"/>
          <w:tab w:val="num" w:pos="2419"/>
        </w:tabs>
        <w:ind w:left="2127" w:hanging="385"/>
      </w:pPr>
      <w:r>
        <w:t>Acceso universal a la educación gratuita, política que deriva de la convi</w:t>
      </w:r>
      <w:r>
        <w:t>c</w:t>
      </w:r>
      <w:r>
        <w:t>ción del Estado acerca de la importancia de la educación para ayudar a las familias y promover su adelanto;</w:t>
      </w:r>
    </w:p>
    <w:p w:rsidR="00000000" w:rsidRDefault="00000000">
      <w:pPr>
        <w:pStyle w:val="SingleTxt"/>
        <w:numPr>
          <w:ilvl w:val="0"/>
          <w:numId w:val="32"/>
        </w:numPr>
        <w:tabs>
          <w:tab w:val="clear" w:pos="720"/>
          <w:tab w:val="clear" w:pos="2218"/>
          <w:tab w:val="num" w:pos="2127"/>
          <w:tab w:val="num" w:pos="2419"/>
        </w:tabs>
        <w:ind w:left="2127" w:hanging="385"/>
      </w:pPr>
      <w:r>
        <w:t>Acceso a la atención gratuita de la salud, política que deriva de la convi</w:t>
      </w:r>
      <w:r>
        <w:t>c</w:t>
      </w:r>
      <w:r>
        <w:t>ción del Estado de que la protección contra las enfermedades y el crec</w:t>
      </w:r>
      <w:r>
        <w:t>i</w:t>
      </w:r>
      <w:r>
        <w:t>miento saludable garantizan la construcción de una sociedad fuerte e igualitaria;</w:t>
      </w:r>
    </w:p>
    <w:p w:rsidR="00000000" w:rsidRDefault="00000000">
      <w:pPr>
        <w:pStyle w:val="SingleTxt"/>
        <w:numPr>
          <w:ilvl w:val="0"/>
          <w:numId w:val="32"/>
        </w:numPr>
        <w:tabs>
          <w:tab w:val="clear" w:pos="720"/>
          <w:tab w:val="clear" w:pos="2218"/>
          <w:tab w:val="num" w:pos="2127"/>
          <w:tab w:val="num" w:pos="2419"/>
        </w:tabs>
        <w:ind w:left="2127" w:hanging="385"/>
      </w:pPr>
      <w:r>
        <w:t>Prestación de asistencia y ayuda social a los ciudadanos, como forma de apoyar a las personas y las familias y de salvaguardar a las familias y a su futuro contra las circunstancias imprevistas a que puedan estar sujetos o que puedan afectar su integridad.</w:t>
      </w:r>
    </w:p>
    <w:p w:rsidR="00000000" w:rsidRDefault="00000000">
      <w:pPr>
        <w:pStyle w:val="SingleTxt"/>
        <w:ind w:firstLine="475"/>
      </w:pPr>
      <w:r>
        <w:t>Como ya se indicó, en Kuwait los asuntos relacionados con el matrimonio e</w:t>
      </w:r>
      <w:r>
        <w:t>s</w:t>
      </w:r>
      <w:r>
        <w:t>tán regulados por la Ley sobre el estado civil, que otorga a las mujeres el derecho a elegir su cónyuge y a contraer matrimonio únicamente con su consentimiento.</w:t>
      </w:r>
    </w:p>
    <w:p w:rsidR="00000000" w:rsidRDefault="00000000">
      <w:pPr>
        <w:pStyle w:val="SingleTxt"/>
        <w:ind w:firstLine="475"/>
      </w:pPr>
      <w:r>
        <w:t>El artículo 2 dispone que el matrimonio se celebra con el consentimiento del representante legal de la mujer y de la mujer o la persona que actúe en nombre de una u otra. La ley determina que la edad mínima para contraer matrimonio es de 15 años para las mujeres y 17 años para los hombres.</w:t>
      </w:r>
    </w:p>
    <w:p w:rsidR="00000000" w:rsidRDefault="00000000">
      <w:pPr>
        <w:pStyle w:val="SingleTxt"/>
        <w:ind w:firstLine="475"/>
      </w:pPr>
      <w:r>
        <w:t>La Ley también dispone que, para poder casarse, los contrayentes deben ser r</w:t>
      </w:r>
      <w:r>
        <w:t>a</w:t>
      </w:r>
      <w:r>
        <w:t>cionales, maduros y compatibles, así como de edades proporcionadas, derecho que sólo se aplica a la mujer.</w:t>
      </w:r>
    </w:p>
    <w:p w:rsidR="00000000" w:rsidRDefault="00000000">
      <w:pPr>
        <w:pStyle w:val="SingleTxt"/>
        <w:ind w:firstLine="475"/>
      </w:pPr>
      <w:r>
        <w:t>Está prohibido registrar oficialmente y certificar un matrimonio si la contr</w:t>
      </w:r>
      <w:r>
        <w:t>a</w:t>
      </w:r>
      <w:r>
        <w:t>yente es menor de 15 años y el contrayente menor de 17 años al momento del regi</w:t>
      </w:r>
      <w:r>
        <w:t>s</w:t>
      </w:r>
      <w:r>
        <w:t>tro.</w:t>
      </w:r>
    </w:p>
    <w:p w:rsidR="00000000" w:rsidRDefault="00000000">
      <w:pPr>
        <w:pStyle w:val="SingleTxt"/>
        <w:ind w:firstLine="475"/>
        <w:rPr>
          <w:lang w:val="es-UY"/>
        </w:rPr>
      </w:pPr>
      <w:r>
        <w:t>Con arreglo a la Ley sobre el estado civil, las mujeres tienen varios derechos y obligaciones. Consiguientemente, después de la celebración de un contrato matr</w:t>
      </w:r>
      <w:r>
        <w:t>i</w:t>
      </w:r>
      <w:r>
        <w:t xml:space="preserve">monial, la mujer tiene derecho a una dote y a un alojamiento, así como a recibir de su marido lo necesario para su mantenimiento de acuerdo con su condición. </w:t>
      </w:r>
      <w:r>
        <w:rPr>
          <w:lang w:val="es-UY"/>
        </w:rPr>
        <w:t>Inclus</w:t>
      </w:r>
      <w:r>
        <w:rPr>
          <w:lang w:val="es-UY"/>
        </w:rPr>
        <w:t>i</w:t>
      </w:r>
      <w:r>
        <w:rPr>
          <w:lang w:val="es-UY"/>
        </w:rPr>
        <w:t>ve, puede pedir una pensión alimenticia en caso de que su marido no la mantenga.</w:t>
      </w:r>
    </w:p>
    <w:p w:rsidR="00000000" w:rsidRDefault="00000000">
      <w:pPr>
        <w:pStyle w:val="SingleTxt"/>
        <w:ind w:firstLine="475"/>
        <w:rPr>
          <w:lang w:val="es-UY"/>
        </w:rPr>
      </w:pPr>
      <w:r>
        <w:rPr>
          <w:lang w:val="es-UY"/>
        </w:rPr>
        <w:t>En Kuwait, las mujeres tienen plena libertad para elegir su cónyuge y el m</w:t>
      </w:r>
      <w:r>
        <w:rPr>
          <w:lang w:val="es-UY"/>
        </w:rPr>
        <w:t>a</w:t>
      </w:r>
      <w:r>
        <w:rPr>
          <w:lang w:val="es-UY"/>
        </w:rPr>
        <w:t>trimonio no afecta a la capacidad jurídica de la mujer ni a sus bienes, que siguen siendo separados de los de su marido. Las mujeres tienen plena libertad para adm</w:t>
      </w:r>
      <w:r>
        <w:rPr>
          <w:lang w:val="es-UY"/>
        </w:rPr>
        <w:t>i</w:t>
      </w:r>
      <w:r>
        <w:rPr>
          <w:lang w:val="es-UY"/>
        </w:rPr>
        <w:t>nistrar sus bienes y posesiones, para contratar y para contraer préstamos, así como para llevar a cabo otras transacciones jurídicas y financieras.</w:t>
      </w:r>
    </w:p>
    <w:p w:rsidR="00000000" w:rsidRDefault="00000000">
      <w:pPr>
        <w:pStyle w:val="SingleTxt"/>
        <w:ind w:firstLine="475"/>
        <w:rPr>
          <w:lang w:val="es-UY"/>
        </w:rPr>
      </w:pPr>
      <w:r>
        <w:rPr>
          <w:lang w:val="es-UY"/>
        </w:rPr>
        <w:t>En cuanto al derecho de las mujeres a obtener el divorcio y la anulación del matrimonio, se reconoce el derecho de la mujer a pedir la separación por la causal de injuria o ausencia de conformidad con el artículo 136 de la Ley, que dispone que si el marido se ausenta durante un año o más sin excusa legítima, su mujer puede pedir el divorcio si se siente lesionada por la ausencia del marido, aunque haya p</w:t>
      </w:r>
      <w:r>
        <w:rPr>
          <w:lang w:val="es-UY"/>
        </w:rPr>
        <w:t>o</w:t>
      </w:r>
      <w:r>
        <w:rPr>
          <w:lang w:val="es-UY"/>
        </w:rPr>
        <w:t>dido mantenerse con los bienes de él. Análogamente, si el marido es condenado a una pena de prisión, su mujer puede pedir el divorcio después de que haya cumplido un año de la condena, con arreglo a lo dispuesto en el artículo 137 de la Ley, que dispone que si se aplica al marido por sentencia definitiva una pena privativa de l</w:t>
      </w:r>
      <w:r>
        <w:rPr>
          <w:lang w:val="es-UY"/>
        </w:rPr>
        <w:t>i</w:t>
      </w:r>
      <w:r>
        <w:rPr>
          <w:lang w:val="es-UY"/>
        </w:rPr>
        <w:t>bertad, y consiguientemente se le recluye en prisión durante tres años o más, la m</w:t>
      </w:r>
      <w:r>
        <w:rPr>
          <w:lang w:val="es-UY"/>
        </w:rPr>
        <w:t>u</w:t>
      </w:r>
      <w:r>
        <w:rPr>
          <w:lang w:val="es-UY"/>
        </w:rPr>
        <w:t>jer puede pedir el divorcio después de que haya cumplido un año de prisión.</w:t>
      </w:r>
    </w:p>
    <w:p w:rsidR="00000000" w:rsidRDefault="00000000">
      <w:pPr>
        <w:pStyle w:val="SingleTxt"/>
        <w:ind w:firstLine="475"/>
        <w:rPr>
          <w:lang w:val="es-UY"/>
        </w:rPr>
      </w:pPr>
      <w:r>
        <w:rPr>
          <w:lang w:val="es-UY"/>
        </w:rPr>
        <w:t>De lo que antecede resulta claro que la mujer puede acudir ante los tribunales para pedir el divorcio de su marido si a ambos les resulta imposible cohabitar. As</w:t>
      </w:r>
      <w:r>
        <w:rPr>
          <w:lang w:val="es-UY"/>
        </w:rPr>
        <w:t>i</w:t>
      </w:r>
      <w:r>
        <w:rPr>
          <w:lang w:val="es-UY"/>
        </w:rPr>
        <w:t>mismo tiene derecho a obtener el divorcio si su marido no la mantiene, carece de bienes conocidos y no ha sido declarado insolvente, en cuyo caso el juez otorgará al marido un plazo para pagar alimentos, y, de no hacerlo, su mujer podrá pedir el d</w:t>
      </w:r>
      <w:r>
        <w:rPr>
          <w:lang w:val="es-UY"/>
        </w:rPr>
        <w:t>i</w:t>
      </w:r>
      <w:r>
        <w:rPr>
          <w:lang w:val="es-UY"/>
        </w:rPr>
        <w:t>vorcio.</w:t>
      </w:r>
    </w:p>
    <w:p w:rsidR="00000000" w:rsidRDefault="00000000">
      <w:pPr>
        <w:pStyle w:val="SingleTxt"/>
        <w:ind w:firstLine="475"/>
        <w:rPr>
          <w:lang w:val="es-UY"/>
        </w:rPr>
      </w:pPr>
      <w:r>
        <w:rPr>
          <w:lang w:val="es-UY"/>
        </w:rPr>
        <w:t xml:space="preserve">EL derecho de la mujer a la tenencia de sus hijos está regulado en la sección 1 del capítulo 6 de la Ley, que en los artículos 189 a 199 determina las normas en materia de tenencia. </w:t>
      </w:r>
      <w:r>
        <w:rPr>
          <w:lang w:val="en-US"/>
        </w:rPr>
        <w:t xml:space="preserve">Con arreglo al artículo 189, la tenencia corresponde a la madre, y luego de ella a su madre. </w:t>
      </w:r>
      <w:r>
        <w:rPr>
          <w:lang w:val="es-UY"/>
        </w:rPr>
        <w:t>Si no puede asumir la tenencia, ésta se otorga a la tía materna de la madre, y en su defecto a la tía paterna de la madre, a la abuela de la madre, a la abuela del padre, a la tía paterna del padre, a la tía materna del padre, y en último término a una prima, teniendo precedencia el lado materno sobre el pate</w:t>
      </w:r>
      <w:r>
        <w:rPr>
          <w:lang w:val="es-UY"/>
        </w:rPr>
        <w:t>r</w:t>
      </w:r>
      <w:r>
        <w:rPr>
          <w:lang w:val="es-UY"/>
        </w:rPr>
        <w:t>no.</w:t>
      </w:r>
    </w:p>
    <w:p w:rsidR="00000000" w:rsidRDefault="00000000">
      <w:pPr>
        <w:pStyle w:val="SingleTxt"/>
        <w:ind w:firstLine="475"/>
        <w:rPr>
          <w:lang w:val="es-UY"/>
        </w:rPr>
      </w:pPr>
      <w:r>
        <w:rPr>
          <w:lang w:val="es-UY"/>
        </w:rPr>
        <w:t>A este respecto, por tenencia se entiende la crianza, la atención y el cuidad de un menor, la organización de su alimentación, su vestimenta y su sueño y la adm</w:t>
      </w:r>
      <w:r>
        <w:rPr>
          <w:lang w:val="es-UY"/>
        </w:rPr>
        <w:t>i</w:t>
      </w:r>
      <w:r>
        <w:rPr>
          <w:lang w:val="es-UY"/>
        </w:rPr>
        <w:t>nistración de todos sus asuntos en su interés. La Ley estipula que las mujeres son las primeras en obtener la tenencia, y los hombres segundos, pues las madres tienen mayor derecho a cuidar de un menor, tanto si siguen casadas con el padre como si se han divorciado, y asimismo son más afectuosas y más capaces de asumir las dif</w:t>
      </w:r>
      <w:r>
        <w:rPr>
          <w:lang w:val="es-UY"/>
        </w:rPr>
        <w:t>i</w:t>
      </w:r>
      <w:r>
        <w:rPr>
          <w:lang w:val="es-UY"/>
        </w:rPr>
        <w:t>cultades de la crianza de los niños. La tenencia se encomienda a la madre en interés del menor, pues la legislatura ha tenido en cuenta el interés superior del niño.</w:t>
      </w:r>
    </w:p>
    <w:p w:rsidR="00000000" w:rsidRDefault="00000000">
      <w:pPr>
        <w:pStyle w:val="SingleTxt"/>
        <w:keepLines/>
        <w:ind w:firstLine="475"/>
        <w:rPr>
          <w:lang w:val="es-UY"/>
        </w:rPr>
      </w:pPr>
      <w:r>
        <w:rPr>
          <w:lang w:val="es-UY"/>
        </w:rPr>
        <w:t>El artículo 197 dispone que la mujer encargada de la tenencia de un niño tiene derecho a recibir alimentos para el niño de cuya tenencia se encarga, incluido el a</w:t>
      </w:r>
      <w:r>
        <w:rPr>
          <w:lang w:val="es-UY"/>
        </w:rPr>
        <w:t>l</w:t>
      </w:r>
      <w:r>
        <w:rPr>
          <w:lang w:val="es-UY"/>
        </w:rPr>
        <w:t>quiler de la vivienda del niño. El artículo 199 dispone asimismo que toda mujer e</w:t>
      </w:r>
      <w:r>
        <w:rPr>
          <w:lang w:val="es-UY"/>
        </w:rPr>
        <w:t>n</w:t>
      </w:r>
      <w:r>
        <w:rPr>
          <w:lang w:val="es-UY"/>
        </w:rPr>
        <w:t>cargada de la tenencia de un niño tiene derecho a recibir un pago por dicha tenencia hasta que el menor cumpla siete años de edad, si es varón, y nueve años, si es niñ</w:t>
      </w:r>
      <w:r>
        <w:rPr>
          <w:lang w:val="es-UY"/>
        </w:rPr>
        <w:t>a</w:t>
      </w:r>
      <w:r>
        <w:rPr>
          <w:lang w:val="es-UY"/>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75"/>
      </w:pPr>
      <w:r>
        <w:t>Lo que antecede es un panorama general y completo de las disposiciones l</w:t>
      </w:r>
      <w:r>
        <w:t>e</w:t>
      </w:r>
      <w:r>
        <w:t>gislativas de Kuwait  con arreglo a las cuales se protegen los derechos de la mujer en el país.</w:t>
      </w:r>
    </w:p>
    <w:p w:rsidR="00000000" w:rsidRDefault="00000000">
      <w:pPr>
        <w:pStyle w:val="SingleTxt"/>
        <w:ind w:firstLine="475"/>
      </w:pPr>
      <w:r>
        <w:t>Para la preparación del presente informe, las autoridades kuwaitíes se han e</w:t>
      </w:r>
      <w:r>
        <w:t>s</w:t>
      </w:r>
      <w:r>
        <w:t>forzado por tener en cuenta las directrices y recomendaciones del Comité para la Eliminación de la Discriminación contra la Mujer emanadas de la Convención. Por consiguiente, confían en haber abordado todos los puntos que el Comité deseaba c</w:t>
      </w:r>
      <w:r>
        <w:t>o</w:t>
      </w:r>
      <w:r>
        <w:t>nocer en relación con la aplicación de las disposiciones de la Convención en Kuwait y expresan su voluntad de brindar información adicional en el momento en que el Comité considere el presente informe, a fin de complementar la información cont</w:t>
      </w:r>
      <w:r>
        <w:t>e</w:t>
      </w:r>
      <w:r>
        <w:t>nida en él.</w:t>
      </w:r>
    </w:p>
    <w:p w:rsidR="00000000" w:rsidRDefault="00000000">
      <w:pPr>
        <w:pStyle w:val="SingleTxt"/>
        <w:ind w:firstLine="475"/>
        <w:rPr>
          <w:lang w:val="es-UY"/>
        </w:rPr>
      </w:pPr>
      <w:r>
        <w:rPr>
          <w:noProof/>
          <w:w w:val="100"/>
        </w:rPr>
        <w:pict>
          <v:line id="_x0000_s2051" style="position:absolute;left:0;text-align:left;z-index:2;mso-position-horizontal:absolute;mso-position-horizontal-relative:page;mso-position-vertical:absolute;mso-position-vertical-relative:text" from="280.8pt,26.3pt" to="352.8pt,26.3pt" o:allowincell="f" strokeweight=".25pt">
            <w10:wrap anchorx="page"/>
          </v:line>
        </w:pict>
      </w:r>
    </w:p>
    <w:p w:rsidR="00000000" w:rsidRDefault="00000000"/>
    <w:sectPr w:rsidR="00000000">
      <w:headerReference w:type="even" r:id="rId18"/>
      <w:headerReference w:type="default" r:id="rId19"/>
      <w:footerReference w:type="even" r:id="rId20"/>
      <w:footerReference w:type="default" r:id="rId21"/>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NO&gt;&gt;N0335055S&lt;&lt;ODS JOB NO&gt;&gt;</w:t>
      </w:r>
    </w:p>
    <w:p w:rsidR="00000000" w:rsidRDefault="00000000">
      <w:pPr>
        <w:pStyle w:val="CommentText"/>
      </w:pPr>
      <w:r>
        <w:t>&lt;&lt;ODS DOC SYMBOL1&gt;&gt;CEDAW/C/KWT/1-2&lt;&lt;ODS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03-35055 (S)    141003    141003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*0335055*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0335055s.doc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CEDAW/C/KWT/1-2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CEDAW/C/KWT/1-2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/C/KWT/1-2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 de mayo de 2003</w:t>
          </w:r>
        </w:p>
        <w:p w:rsidR="00000000" w:rsidRDefault="00000000">
          <w:r>
            <w:t>Español</w:t>
          </w:r>
        </w:p>
        <w:p w:rsidR="00000000" w:rsidRDefault="00000000">
          <w:r>
            <w:t>Original: árabe</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0" type="#_x0000_t202" style="position:absolute;margin-left:-29pt;margin-top:60pt;width:9.35pt;height:491.75pt;z-index:6;mso-position-horizontal:absolute;mso-position-horizontal-relative:text;mso-position-vertical:absolute;mso-position-vertical-relative:text" o:allowincell="f" stroked="f">
          <v:textbox style="layout-flow:vertical;mso-next-textbox:#_x0000_s1030;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56</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0335055s.doc</w:t>
                </w:r>
                <w:r>
                  <w:rPr>
                    <w:b w:val="0"/>
                    <w:sz w:val="14"/>
                  </w:rPr>
                  <w:fldChar w:fldCharType="end"/>
                </w:r>
              </w:p>
            </w:txbxContent>
          </v:textbox>
        </v:shape>
      </w:pict>
    </w:r>
    <w:r>
      <w:pict>
        <v:shape id="_x0000_s1029" type="#_x0000_t202" style="position:absolute;margin-left:627.05pt;margin-top:60pt;width:62.85pt;height:491.75pt;z-index:5;mso-position-horizontal:absolute;mso-position-horizontal-relative:text;mso-position-vertical:absolute;mso-position-vertical-relative:text" o:allowincell="f" stroked="f">
          <v:textbox style="mso-next-textbox:#_x0000_s1029;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CEDAW/CKWT/1-2</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29pt;margin-top:60pt;width:9.35pt;height:491.75pt;z-index:4;mso-position-horizontal:absolute;mso-position-horizontal-relative:text;mso-position-vertical:absolute;mso-position-vertical-relative:text" o:allowincell="f" stroked="f">
          <v:textbox style="layout-flow:vertical;mso-next-textbox:#_x0000_s1028;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0335055s.doc</w:t>
                </w:r>
                <w:r>
                  <w:rPr>
                    <w:b w:val="0"/>
                    <w:sz w:val="14"/>
                  </w:rPr>
                  <w:fldChar w:fldCharType="end"/>
                </w:r>
                <w:r>
                  <w:rPr>
                    <w:b w:val="0"/>
                    <w:sz w:val="14"/>
                  </w:rPr>
                  <w:tab/>
                </w:r>
                <w:r>
                  <w:fldChar w:fldCharType="begin"/>
                </w:r>
                <w:r>
                  <w:instrText xml:space="preserve"> PAGE  \* MERGEFORMAT </w:instrText>
                </w:r>
                <w:r>
                  <w:fldChar w:fldCharType="separate"/>
                </w:r>
                <w:r>
                  <w:t>57</w:t>
                </w:r>
                <w:r>
                  <w:fldChar w:fldCharType="end"/>
                </w:r>
              </w:p>
            </w:txbxContent>
          </v:textbox>
        </v:shape>
      </w:pict>
    </w:r>
    <w:r>
      <w:pict>
        <v:shape id="_x0000_s1027" type="#_x0000_t202" style="position:absolute;margin-left:627.05pt;margin-top:60pt;width:62.85pt;height:491.75pt;z-index:3;mso-position-horizontal:absolute;mso-position-horizontal-relative:text;mso-position-vertical:absolute;mso-position-vertical-relative:text" o:allowincell="f" stroked="f">
          <v:textbox style="mso-next-textbox:#_x0000_s1027;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CEDAW/CKWT/1-2</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1" type="#_x0000_t202" style="position:absolute;margin-left:-5.75pt;margin-top:0;width:7in;height:50.4pt;z-index:7;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CEDAW/CKWT/1-2</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5.75pt;margin-top:0;width:7in;height:50.4pt;z-index:8;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CEDAW/CKWT/1-2</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0E20"/>
    <w:multiLevelType w:val="singleLevel"/>
    <w:tmpl w:val="0409000F"/>
    <w:lvl w:ilvl="0">
      <w:start w:val="1"/>
      <w:numFmt w:val="decimal"/>
      <w:lvlText w:val="%1."/>
      <w:lvlJc w:val="left"/>
      <w:pPr>
        <w:tabs>
          <w:tab w:val="num" w:pos="360"/>
        </w:tabs>
        <w:ind w:left="360" w:hanging="360"/>
      </w:pPr>
    </w:lvl>
  </w:abstractNum>
  <w:abstractNum w:abstractNumId="1">
    <w:nsid w:val="062600C9"/>
    <w:multiLevelType w:val="multilevel"/>
    <w:tmpl w:val="A066168C"/>
    <w:lvl w:ilvl="0">
      <w:start w:val="1"/>
      <w:numFmt w:val="bullet"/>
      <w:lvlText w:val=""/>
      <w:lvlJc w:val="left"/>
      <w:pPr>
        <w:tabs>
          <w:tab w:val="num" w:pos="2102"/>
        </w:tabs>
        <w:ind w:left="2102" w:hanging="360"/>
      </w:pPr>
      <w:rPr>
        <w:rFonts w:ascii="Symbol" w:hAnsi="Symbol" w:hint="default"/>
      </w:rPr>
    </w:lvl>
    <w:lvl w:ilvl="1" w:tentative="1">
      <w:start w:val="1"/>
      <w:numFmt w:val="bullet"/>
      <w:lvlText w:val="o"/>
      <w:lvlJc w:val="left"/>
      <w:pPr>
        <w:tabs>
          <w:tab w:val="num" w:pos="2822"/>
        </w:tabs>
        <w:ind w:left="2822" w:hanging="360"/>
      </w:pPr>
      <w:rPr>
        <w:rFonts w:ascii="Courier New" w:hAnsi="Courier New" w:cs="Wingdings" w:hint="default"/>
      </w:rPr>
    </w:lvl>
    <w:lvl w:ilvl="2" w:tentative="1">
      <w:start w:val="1"/>
      <w:numFmt w:val="bullet"/>
      <w:lvlText w:val=""/>
      <w:lvlJc w:val="left"/>
      <w:pPr>
        <w:tabs>
          <w:tab w:val="num" w:pos="3542"/>
        </w:tabs>
        <w:ind w:left="3542" w:hanging="360"/>
      </w:pPr>
      <w:rPr>
        <w:rFonts w:ascii="Wingdings" w:hAnsi="Wingdings" w:hint="default"/>
      </w:rPr>
    </w:lvl>
    <w:lvl w:ilvl="3" w:tentative="1">
      <w:start w:val="1"/>
      <w:numFmt w:val="bullet"/>
      <w:lvlText w:val=""/>
      <w:lvlJc w:val="left"/>
      <w:pPr>
        <w:tabs>
          <w:tab w:val="num" w:pos="4262"/>
        </w:tabs>
        <w:ind w:left="4262" w:hanging="360"/>
      </w:pPr>
      <w:rPr>
        <w:rFonts w:ascii="Symbol" w:hAnsi="Symbol" w:hint="default"/>
      </w:rPr>
    </w:lvl>
    <w:lvl w:ilvl="4" w:tentative="1">
      <w:start w:val="1"/>
      <w:numFmt w:val="bullet"/>
      <w:lvlText w:val="o"/>
      <w:lvlJc w:val="left"/>
      <w:pPr>
        <w:tabs>
          <w:tab w:val="num" w:pos="4982"/>
        </w:tabs>
        <w:ind w:left="4982" w:hanging="360"/>
      </w:pPr>
      <w:rPr>
        <w:rFonts w:ascii="Courier New" w:hAnsi="Courier New" w:cs="Wingdings" w:hint="default"/>
      </w:rPr>
    </w:lvl>
    <w:lvl w:ilvl="5" w:tentative="1">
      <w:start w:val="1"/>
      <w:numFmt w:val="bullet"/>
      <w:lvlText w:val=""/>
      <w:lvlJc w:val="left"/>
      <w:pPr>
        <w:tabs>
          <w:tab w:val="num" w:pos="5702"/>
        </w:tabs>
        <w:ind w:left="5702" w:hanging="360"/>
      </w:pPr>
      <w:rPr>
        <w:rFonts w:ascii="Wingdings" w:hAnsi="Wingdings" w:hint="default"/>
      </w:rPr>
    </w:lvl>
    <w:lvl w:ilvl="6" w:tentative="1">
      <w:start w:val="1"/>
      <w:numFmt w:val="bullet"/>
      <w:lvlText w:val=""/>
      <w:lvlJc w:val="left"/>
      <w:pPr>
        <w:tabs>
          <w:tab w:val="num" w:pos="6422"/>
        </w:tabs>
        <w:ind w:left="6422" w:hanging="360"/>
      </w:pPr>
      <w:rPr>
        <w:rFonts w:ascii="Symbol" w:hAnsi="Symbol" w:hint="default"/>
      </w:rPr>
    </w:lvl>
    <w:lvl w:ilvl="7" w:tentative="1">
      <w:start w:val="1"/>
      <w:numFmt w:val="bullet"/>
      <w:lvlText w:val="o"/>
      <w:lvlJc w:val="left"/>
      <w:pPr>
        <w:tabs>
          <w:tab w:val="num" w:pos="7142"/>
        </w:tabs>
        <w:ind w:left="7142" w:hanging="360"/>
      </w:pPr>
      <w:rPr>
        <w:rFonts w:ascii="Courier New" w:hAnsi="Courier New" w:cs="Wingdings" w:hint="default"/>
      </w:rPr>
    </w:lvl>
    <w:lvl w:ilvl="8" w:tentative="1">
      <w:start w:val="1"/>
      <w:numFmt w:val="bullet"/>
      <w:lvlText w:val=""/>
      <w:lvlJc w:val="left"/>
      <w:pPr>
        <w:tabs>
          <w:tab w:val="num" w:pos="7862"/>
        </w:tabs>
        <w:ind w:left="7862" w:hanging="360"/>
      </w:pPr>
      <w:rPr>
        <w:rFonts w:ascii="Wingdings" w:hAnsi="Wingdings" w:hint="default"/>
      </w:rPr>
    </w:lvl>
  </w:abstractNum>
  <w:abstractNum w:abstractNumId="2">
    <w:nsid w:val="068F3EFD"/>
    <w:multiLevelType w:val="multilevel"/>
    <w:tmpl w:val="42982724"/>
    <w:lvl w:ilvl="0">
      <w:start w:val="1"/>
      <w:numFmt w:val="lowerLetter"/>
      <w:lvlText w:val="%1)"/>
      <w:lvlJc w:val="left"/>
      <w:pPr>
        <w:tabs>
          <w:tab w:val="num" w:pos="2462"/>
        </w:tabs>
        <w:ind w:left="1742" w:firstLine="0"/>
      </w:pPr>
      <w:rPr>
        <w:rFonts w:hint="default"/>
      </w:rPr>
    </w:lvl>
    <w:lvl w:ilvl="1">
      <w:start w:val="1"/>
      <w:numFmt w:val="bullet"/>
      <w:lvlText w:val=""/>
      <w:lvlJc w:val="left"/>
      <w:pPr>
        <w:tabs>
          <w:tab w:val="num" w:pos="720"/>
        </w:tabs>
        <w:ind w:left="720" w:hanging="360"/>
      </w:pPr>
      <w:rPr>
        <w:rFonts w:ascii="Symbol" w:hAnsi="Symbol" w:hint="default"/>
      </w:rPr>
    </w:lvl>
    <w:lvl w:ilvl="2">
      <w:start w:val="6"/>
      <w:numFmt w:val="bullet"/>
      <w:lvlText w:val="–"/>
      <w:lvlJc w:val="left"/>
      <w:pPr>
        <w:tabs>
          <w:tab w:val="num" w:pos="1740"/>
        </w:tabs>
        <w:ind w:left="1740" w:hanging="480"/>
      </w:pPr>
      <w:rPr>
        <w:rFonts w:ascii="Times New Roman" w:eastAsia="Times New Roman" w:hAnsi="Times New Roman" w:cs="Times New Roman" w:hint="default"/>
      </w:r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
    <w:nsid w:val="09244CF6"/>
    <w:multiLevelType w:val="multilevel"/>
    <w:tmpl w:val="9FCE2020"/>
    <w:lvl w:ilvl="0">
      <w:start w:val="1"/>
      <w:numFmt w:val="lowerLetter"/>
      <w:lvlText w:val="%1)"/>
      <w:lvlJc w:val="left"/>
      <w:pPr>
        <w:tabs>
          <w:tab w:val="num" w:pos="2462"/>
        </w:tabs>
        <w:ind w:left="2552" w:hanging="8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95B23E9"/>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5">
    <w:nsid w:val="0B310CE7"/>
    <w:multiLevelType w:val="multilevel"/>
    <w:tmpl w:val="79645BD2"/>
    <w:lvl w:ilvl="0">
      <w:start w:val="1"/>
      <w:numFmt w:val="lowerLetter"/>
      <w:lvlText w:val="%1)"/>
      <w:lvlJc w:val="left"/>
      <w:pPr>
        <w:tabs>
          <w:tab w:val="num" w:pos="2462"/>
        </w:tabs>
        <w:ind w:left="2552" w:hanging="8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BC123A0"/>
    <w:multiLevelType w:val="singleLevel"/>
    <w:tmpl w:val="CB32C756"/>
    <w:lvl w:ilvl="0">
      <w:start w:val="1"/>
      <w:numFmt w:val="lowerLetter"/>
      <w:lvlText w:val="%1)"/>
      <w:lvlJc w:val="left"/>
      <w:pPr>
        <w:tabs>
          <w:tab w:val="num" w:pos="835"/>
        </w:tabs>
        <w:ind w:left="0" w:firstLine="475"/>
      </w:pPr>
    </w:lvl>
  </w:abstractNum>
  <w:abstractNum w:abstractNumId="7">
    <w:nsid w:val="0C944999"/>
    <w:multiLevelType w:val="multilevel"/>
    <w:tmpl w:val="D2F4837C"/>
    <w:lvl w:ilvl="0">
      <w:start w:val="1"/>
      <w:numFmt w:val="lowerLetter"/>
      <w:lvlText w:val="%1)"/>
      <w:lvlJc w:val="left"/>
      <w:pPr>
        <w:tabs>
          <w:tab w:val="num" w:pos="2462"/>
        </w:tabs>
        <w:ind w:left="2268" w:hanging="52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D9946C6"/>
    <w:multiLevelType w:val="singleLevel"/>
    <w:tmpl w:val="04090017"/>
    <w:lvl w:ilvl="0">
      <w:start w:val="1"/>
      <w:numFmt w:val="lowerLetter"/>
      <w:lvlText w:val="%1)"/>
      <w:lvlJc w:val="left"/>
      <w:pPr>
        <w:tabs>
          <w:tab w:val="num" w:pos="360"/>
        </w:tabs>
        <w:ind w:left="360" w:hanging="360"/>
      </w:pPr>
    </w:lvl>
  </w:abstractNum>
  <w:abstractNum w:abstractNumId="9">
    <w:nsid w:val="11D1382F"/>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10">
    <w:nsid w:val="1372328A"/>
    <w:multiLevelType w:val="multilevel"/>
    <w:tmpl w:val="D54A082C"/>
    <w:lvl w:ilvl="0">
      <w:start w:val="1"/>
      <w:numFmt w:val="lowerLetter"/>
      <w:lvlText w:val="%1)"/>
      <w:lvlJc w:val="left"/>
      <w:pPr>
        <w:tabs>
          <w:tab w:val="num" w:pos="2462"/>
        </w:tabs>
        <w:ind w:left="2268" w:hanging="526"/>
      </w:pPr>
      <w:rPr>
        <w:rFonts w:hint="default"/>
      </w:rPr>
    </w:lvl>
    <w:lvl w:ilvl="1">
      <w:start w:val="1"/>
      <w:numFmt w:val="bullet"/>
      <w:lvlText w:val=""/>
      <w:lvlJc w:val="left"/>
      <w:pPr>
        <w:tabs>
          <w:tab w:val="num" w:pos="1440"/>
        </w:tabs>
        <w:ind w:left="1440" w:hanging="360"/>
      </w:pPr>
      <w:rPr>
        <w:rFonts w:ascii="Symbol" w:hAnsi="Symbol" w:hint="default"/>
      </w:rPr>
    </w:lvl>
    <w:lvl w:ilvl="2">
      <w:numFmt w:val="bullet"/>
      <w:lvlText w:val="–"/>
      <w:lvlJc w:val="left"/>
      <w:pPr>
        <w:tabs>
          <w:tab w:val="num" w:pos="2940"/>
        </w:tabs>
        <w:ind w:left="2940" w:hanging="96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6E8708D"/>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12">
    <w:nsid w:val="172A6D62"/>
    <w:multiLevelType w:val="singleLevel"/>
    <w:tmpl w:val="04090017"/>
    <w:lvl w:ilvl="0">
      <w:start w:val="1"/>
      <w:numFmt w:val="lowerLetter"/>
      <w:lvlText w:val="%1)"/>
      <w:lvlJc w:val="left"/>
      <w:pPr>
        <w:tabs>
          <w:tab w:val="num" w:pos="360"/>
        </w:tabs>
        <w:ind w:left="360" w:hanging="360"/>
      </w:pPr>
    </w:lvl>
  </w:abstractNum>
  <w:abstractNum w:abstractNumId="13">
    <w:nsid w:val="1AB97202"/>
    <w:multiLevelType w:val="multilevel"/>
    <w:tmpl w:val="1B2CD87E"/>
    <w:lvl w:ilvl="0">
      <w:start w:val="1"/>
      <w:numFmt w:val="bullet"/>
      <w:lvlText w:val=""/>
      <w:lvlJc w:val="left"/>
      <w:pPr>
        <w:tabs>
          <w:tab w:val="num" w:pos="2102"/>
        </w:tabs>
        <w:ind w:left="2102" w:hanging="360"/>
      </w:pPr>
      <w:rPr>
        <w:rFonts w:ascii="Symbol" w:hAnsi="Symbol" w:hint="default"/>
      </w:rPr>
    </w:lvl>
    <w:lvl w:ilvl="1" w:tentative="1">
      <w:start w:val="1"/>
      <w:numFmt w:val="bullet"/>
      <w:lvlText w:val="o"/>
      <w:lvlJc w:val="left"/>
      <w:pPr>
        <w:tabs>
          <w:tab w:val="num" w:pos="2822"/>
        </w:tabs>
        <w:ind w:left="2822" w:hanging="360"/>
      </w:pPr>
      <w:rPr>
        <w:rFonts w:ascii="Courier New" w:hAnsi="Courier New" w:cs="Wingdings" w:hint="default"/>
      </w:rPr>
    </w:lvl>
    <w:lvl w:ilvl="2" w:tentative="1">
      <w:start w:val="1"/>
      <w:numFmt w:val="bullet"/>
      <w:lvlText w:val=""/>
      <w:lvlJc w:val="left"/>
      <w:pPr>
        <w:tabs>
          <w:tab w:val="num" w:pos="3542"/>
        </w:tabs>
        <w:ind w:left="3542" w:hanging="360"/>
      </w:pPr>
      <w:rPr>
        <w:rFonts w:ascii="Wingdings" w:hAnsi="Wingdings" w:hint="default"/>
      </w:rPr>
    </w:lvl>
    <w:lvl w:ilvl="3" w:tentative="1">
      <w:start w:val="1"/>
      <w:numFmt w:val="bullet"/>
      <w:lvlText w:val=""/>
      <w:lvlJc w:val="left"/>
      <w:pPr>
        <w:tabs>
          <w:tab w:val="num" w:pos="4262"/>
        </w:tabs>
        <w:ind w:left="4262" w:hanging="360"/>
      </w:pPr>
      <w:rPr>
        <w:rFonts w:ascii="Symbol" w:hAnsi="Symbol" w:hint="default"/>
      </w:rPr>
    </w:lvl>
    <w:lvl w:ilvl="4" w:tentative="1">
      <w:start w:val="1"/>
      <w:numFmt w:val="bullet"/>
      <w:lvlText w:val="o"/>
      <w:lvlJc w:val="left"/>
      <w:pPr>
        <w:tabs>
          <w:tab w:val="num" w:pos="4982"/>
        </w:tabs>
        <w:ind w:left="4982" w:hanging="360"/>
      </w:pPr>
      <w:rPr>
        <w:rFonts w:ascii="Courier New" w:hAnsi="Courier New" w:cs="Wingdings" w:hint="default"/>
      </w:rPr>
    </w:lvl>
    <w:lvl w:ilvl="5" w:tentative="1">
      <w:start w:val="1"/>
      <w:numFmt w:val="bullet"/>
      <w:lvlText w:val=""/>
      <w:lvlJc w:val="left"/>
      <w:pPr>
        <w:tabs>
          <w:tab w:val="num" w:pos="5702"/>
        </w:tabs>
        <w:ind w:left="5702" w:hanging="360"/>
      </w:pPr>
      <w:rPr>
        <w:rFonts w:ascii="Wingdings" w:hAnsi="Wingdings" w:hint="default"/>
      </w:rPr>
    </w:lvl>
    <w:lvl w:ilvl="6" w:tentative="1">
      <w:start w:val="1"/>
      <w:numFmt w:val="bullet"/>
      <w:lvlText w:val=""/>
      <w:lvlJc w:val="left"/>
      <w:pPr>
        <w:tabs>
          <w:tab w:val="num" w:pos="6422"/>
        </w:tabs>
        <w:ind w:left="6422" w:hanging="360"/>
      </w:pPr>
      <w:rPr>
        <w:rFonts w:ascii="Symbol" w:hAnsi="Symbol" w:hint="default"/>
      </w:rPr>
    </w:lvl>
    <w:lvl w:ilvl="7" w:tentative="1">
      <w:start w:val="1"/>
      <w:numFmt w:val="bullet"/>
      <w:lvlText w:val="o"/>
      <w:lvlJc w:val="left"/>
      <w:pPr>
        <w:tabs>
          <w:tab w:val="num" w:pos="7142"/>
        </w:tabs>
        <w:ind w:left="7142" w:hanging="360"/>
      </w:pPr>
      <w:rPr>
        <w:rFonts w:ascii="Courier New" w:hAnsi="Courier New" w:cs="Wingdings" w:hint="default"/>
      </w:rPr>
    </w:lvl>
    <w:lvl w:ilvl="8" w:tentative="1">
      <w:start w:val="1"/>
      <w:numFmt w:val="bullet"/>
      <w:lvlText w:val=""/>
      <w:lvlJc w:val="left"/>
      <w:pPr>
        <w:tabs>
          <w:tab w:val="num" w:pos="7862"/>
        </w:tabs>
        <w:ind w:left="7862" w:hanging="360"/>
      </w:pPr>
      <w:rPr>
        <w:rFonts w:ascii="Wingdings" w:hAnsi="Wingdings" w:hint="default"/>
      </w:rPr>
    </w:lvl>
  </w:abstractNum>
  <w:abstractNum w:abstractNumId="14">
    <w:nsid w:val="1AEA359D"/>
    <w:multiLevelType w:val="multilevel"/>
    <w:tmpl w:val="181431EA"/>
    <w:lvl w:ilvl="0">
      <w:numFmt w:val="bullet"/>
      <w:lvlText w:val="-"/>
      <w:lvlJc w:val="left"/>
      <w:pPr>
        <w:tabs>
          <w:tab w:val="num" w:pos="2312"/>
        </w:tabs>
        <w:ind w:left="2312" w:hanging="570"/>
      </w:pPr>
      <w:rPr>
        <w:rFonts w:ascii="Times New Roman" w:eastAsia="Times New Roman" w:hAnsi="Times New Roman" w:cs="Times New Roman" w:hint="default"/>
      </w:rPr>
    </w:lvl>
    <w:lvl w:ilvl="1" w:tentative="1">
      <w:start w:val="1"/>
      <w:numFmt w:val="bullet"/>
      <w:lvlText w:val="o"/>
      <w:lvlJc w:val="left"/>
      <w:pPr>
        <w:tabs>
          <w:tab w:val="num" w:pos="2822"/>
        </w:tabs>
        <w:ind w:left="2822" w:hanging="360"/>
      </w:pPr>
      <w:rPr>
        <w:rFonts w:ascii="Courier New" w:hAnsi="Courier New" w:cs="Wingdings" w:hint="default"/>
      </w:rPr>
    </w:lvl>
    <w:lvl w:ilvl="2" w:tentative="1">
      <w:start w:val="1"/>
      <w:numFmt w:val="bullet"/>
      <w:lvlText w:val=""/>
      <w:lvlJc w:val="left"/>
      <w:pPr>
        <w:tabs>
          <w:tab w:val="num" w:pos="3542"/>
        </w:tabs>
        <w:ind w:left="3542" w:hanging="360"/>
      </w:pPr>
      <w:rPr>
        <w:rFonts w:ascii="Wingdings" w:hAnsi="Wingdings" w:hint="default"/>
      </w:rPr>
    </w:lvl>
    <w:lvl w:ilvl="3" w:tentative="1">
      <w:start w:val="1"/>
      <w:numFmt w:val="bullet"/>
      <w:lvlText w:val=""/>
      <w:lvlJc w:val="left"/>
      <w:pPr>
        <w:tabs>
          <w:tab w:val="num" w:pos="4262"/>
        </w:tabs>
        <w:ind w:left="4262" w:hanging="360"/>
      </w:pPr>
      <w:rPr>
        <w:rFonts w:ascii="Symbol" w:hAnsi="Symbol" w:hint="default"/>
      </w:rPr>
    </w:lvl>
    <w:lvl w:ilvl="4" w:tentative="1">
      <w:start w:val="1"/>
      <w:numFmt w:val="bullet"/>
      <w:lvlText w:val="o"/>
      <w:lvlJc w:val="left"/>
      <w:pPr>
        <w:tabs>
          <w:tab w:val="num" w:pos="4982"/>
        </w:tabs>
        <w:ind w:left="4982" w:hanging="360"/>
      </w:pPr>
      <w:rPr>
        <w:rFonts w:ascii="Courier New" w:hAnsi="Courier New" w:cs="Wingdings" w:hint="default"/>
      </w:rPr>
    </w:lvl>
    <w:lvl w:ilvl="5" w:tentative="1">
      <w:start w:val="1"/>
      <w:numFmt w:val="bullet"/>
      <w:lvlText w:val=""/>
      <w:lvlJc w:val="left"/>
      <w:pPr>
        <w:tabs>
          <w:tab w:val="num" w:pos="5702"/>
        </w:tabs>
        <w:ind w:left="5702" w:hanging="360"/>
      </w:pPr>
      <w:rPr>
        <w:rFonts w:ascii="Wingdings" w:hAnsi="Wingdings" w:hint="default"/>
      </w:rPr>
    </w:lvl>
    <w:lvl w:ilvl="6" w:tentative="1">
      <w:start w:val="1"/>
      <w:numFmt w:val="bullet"/>
      <w:lvlText w:val=""/>
      <w:lvlJc w:val="left"/>
      <w:pPr>
        <w:tabs>
          <w:tab w:val="num" w:pos="6422"/>
        </w:tabs>
        <w:ind w:left="6422" w:hanging="360"/>
      </w:pPr>
      <w:rPr>
        <w:rFonts w:ascii="Symbol" w:hAnsi="Symbol" w:hint="default"/>
      </w:rPr>
    </w:lvl>
    <w:lvl w:ilvl="7" w:tentative="1">
      <w:start w:val="1"/>
      <w:numFmt w:val="bullet"/>
      <w:lvlText w:val="o"/>
      <w:lvlJc w:val="left"/>
      <w:pPr>
        <w:tabs>
          <w:tab w:val="num" w:pos="7142"/>
        </w:tabs>
        <w:ind w:left="7142" w:hanging="360"/>
      </w:pPr>
      <w:rPr>
        <w:rFonts w:ascii="Courier New" w:hAnsi="Courier New" w:cs="Wingdings" w:hint="default"/>
      </w:rPr>
    </w:lvl>
    <w:lvl w:ilvl="8" w:tentative="1">
      <w:start w:val="1"/>
      <w:numFmt w:val="bullet"/>
      <w:lvlText w:val=""/>
      <w:lvlJc w:val="left"/>
      <w:pPr>
        <w:tabs>
          <w:tab w:val="num" w:pos="7862"/>
        </w:tabs>
        <w:ind w:left="7862" w:hanging="360"/>
      </w:pPr>
      <w:rPr>
        <w:rFonts w:ascii="Wingdings" w:hAnsi="Wingdings" w:hint="default"/>
      </w:rPr>
    </w:lvl>
  </w:abstractNum>
  <w:abstractNum w:abstractNumId="15">
    <w:nsid w:val="1BB228CC"/>
    <w:multiLevelType w:val="singleLevel"/>
    <w:tmpl w:val="3C6411E8"/>
    <w:lvl w:ilvl="0">
      <w:start w:val="1"/>
      <w:numFmt w:val="lowerRoman"/>
      <w:lvlText w:val="%1."/>
      <w:lvlJc w:val="right"/>
      <w:pPr>
        <w:tabs>
          <w:tab w:val="num" w:pos="720"/>
        </w:tabs>
        <w:ind w:left="720" w:hanging="432"/>
      </w:pPr>
    </w:lvl>
  </w:abstractNum>
  <w:abstractNum w:abstractNumId="16">
    <w:nsid w:val="1D5B6AAC"/>
    <w:multiLevelType w:val="singleLevel"/>
    <w:tmpl w:val="04090017"/>
    <w:lvl w:ilvl="0">
      <w:start w:val="1"/>
      <w:numFmt w:val="lowerLetter"/>
      <w:lvlText w:val="%1)"/>
      <w:lvlJc w:val="left"/>
      <w:pPr>
        <w:tabs>
          <w:tab w:val="num" w:pos="360"/>
        </w:tabs>
        <w:ind w:left="360" w:hanging="360"/>
      </w:pPr>
    </w:lvl>
  </w:abstractNum>
  <w:abstractNum w:abstractNumId="17">
    <w:nsid w:val="1D8520C3"/>
    <w:multiLevelType w:val="singleLevel"/>
    <w:tmpl w:val="44583AE4"/>
    <w:lvl w:ilvl="0">
      <w:start w:val="1"/>
      <w:numFmt w:val="lowerLetter"/>
      <w:lvlText w:val="%1)"/>
      <w:lvlJc w:val="left"/>
      <w:pPr>
        <w:tabs>
          <w:tab w:val="num" w:pos="720"/>
        </w:tabs>
        <w:ind w:left="526" w:hanging="526"/>
      </w:pPr>
      <w:rPr>
        <w:rFonts w:hint="default"/>
      </w:rPr>
    </w:lvl>
  </w:abstractNum>
  <w:abstractNum w:abstractNumId="18">
    <w:nsid w:val="1E460A3A"/>
    <w:multiLevelType w:val="multilevel"/>
    <w:tmpl w:val="42982724"/>
    <w:lvl w:ilvl="0">
      <w:start w:val="1"/>
      <w:numFmt w:val="lowerLetter"/>
      <w:lvlText w:val="%1)"/>
      <w:lvlJc w:val="left"/>
      <w:pPr>
        <w:tabs>
          <w:tab w:val="num" w:pos="2462"/>
        </w:tabs>
        <w:ind w:left="1742" w:firstLine="0"/>
      </w:pPr>
      <w:rPr>
        <w:rFonts w:hint="default"/>
      </w:rPr>
    </w:lvl>
    <w:lvl w:ilvl="1">
      <w:start w:val="1"/>
      <w:numFmt w:val="bullet"/>
      <w:lvlText w:val=""/>
      <w:lvlJc w:val="left"/>
      <w:pPr>
        <w:tabs>
          <w:tab w:val="num" w:pos="720"/>
        </w:tabs>
        <w:ind w:left="720" w:hanging="360"/>
      </w:pPr>
      <w:rPr>
        <w:rFonts w:ascii="Symbol" w:hAnsi="Symbol" w:hint="default"/>
      </w:rPr>
    </w:lvl>
    <w:lvl w:ilvl="2">
      <w:start w:val="6"/>
      <w:numFmt w:val="bullet"/>
      <w:lvlText w:val="–"/>
      <w:lvlJc w:val="left"/>
      <w:pPr>
        <w:tabs>
          <w:tab w:val="num" w:pos="1740"/>
        </w:tabs>
        <w:ind w:left="1740" w:hanging="480"/>
      </w:pPr>
      <w:rPr>
        <w:rFonts w:ascii="Times New Roman" w:eastAsia="Times New Roman" w:hAnsi="Times New Roman" w:cs="Times New Roman" w:hint="default"/>
      </w:r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19">
    <w:nsid w:val="1F5123EF"/>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20">
    <w:nsid w:val="20EF16CA"/>
    <w:multiLevelType w:val="multilevel"/>
    <w:tmpl w:val="CE66DE48"/>
    <w:lvl w:ilvl="0">
      <w:start w:val="1"/>
      <w:numFmt w:val="lowerLetter"/>
      <w:lvlText w:val="%1)"/>
      <w:lvlJc w:val="left"/>
      <w:pPr>
        <w:tabs>
          <w:tab w:val="num" w:pos="2462"/>
        </w:tabs>
        <w:ind w:left="2552" w:hanging="8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213F23C7"/>
    <w:multiLevelType w:val="multilevel"/>
    <w:tmpl w:val="93A23958"/>
    <w:lvl w:ilvl="0">
      <w:start w:val="1"/>
      <w:numFmt w:val="bullet"/>
      <w:lvlText w:val=""/>
      <w:lvlJc w:val="left"/>
      <w:pPr>
        <w:tabs>
          <w:tab w:val="num" w:pos="2102"/>
        </w:tabs>
        <w:ind w:left="2102"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6"/>
      <w:numFmt w:val="bullet"/>
      <w:lvlText w:val="–"/>
      <w:lvlJc w:val="left"/>
      <w:pPr>
        <w:tabs>
          <w:tab w:val="num" w:pos="1740"/>
        </w:tabs>
        <w:ind w:left="1740" w:hanging="480"/>
      </w:pPr>
      <w:rPr>
        <w:rFonts w:ascii="Times New Roman" w:eastAsia="Times New Roman" w:hAnsi="Times New Roman" w:cs="Times New Roman" w:hint="default"/>
      </w:rPr>
    </w:lvl>
    <w:lvl w:ilvl="3">
      <w:start w:val="1"/>
      <w:numFmt w:val="decimal"/>
      <w:lvlText w:val="%4."/>
      <w:lvlJc w:val="left"/>
      <w:pPr>
        <w:tabs>
          <w:tab w:val="num" w:pos="2160"/>
        </w:tabs>
        <w:ind w:left="2160" w:hanging="360"/>
      </w:pPr>
    </w:lvl>
    <w:lvl w:ilvl="4" w:tentative="1">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22">
    <w:nsid w:val="21A61105"/>
    <w:multiLevelType w:val="multilevel"/>
    <w:tmpl w:val="6506F462"/>
    <w:lvl w:ilvl="0">
      <w:numFmt w:val="bullet"/>
      <w:lvlText w:val="-"/>
      <w:lvlJc w:val="left"/>
      <w:pPr>
        <w:tabs>
          <w:tab w:val="num" w:pos="930"/>
        </w:tabs>
        <w:ind w:left="930" w:hanging="57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241F7D98"/>
    <w:multiLevelType w:val="singleLevel"/>
    <w:tmpl w:val="04090017"/>
    <w:lvl w:ilvl="0">
      <w:start w:val="1"/>
      <w:numFmt w:val="lowerLetter"/>
      <w:lvlText w:val="%1)"/>
      <w:lvlJc w:val="left"/>
      <w:pPr>
        <w:tabs>
          <w:tab w:val="num" w:pos="360"/>
        </w:tabs>
        <w:ind w:left="360" w:hanging="360"/>
      </w:pPr>
    </w:lvl>
  </w:abstractNum>
  <w:abstractNum w:abstractNumId="24">
    <w:nsid w:val="26485CD2"/>
    <w:multiLevelType w:val="multilevel"/>
    <w:tmpl w:val="1338B7A0"/>
    <w:lvl w:ilvl="0">
      <w:numFmt w:val="bullet"/>
      <w:lvlText w:val="–"/>
      <w:lvlJc w:val="left"/>
      <w:pPr>
        <w:tabs>
          <w:tab w:val="num" w:pos="2695"/>
        </w:tabs>
        <w:ind w:left="2695" w:hanging="795"/>
      </w:pPr>
      <w:rPr>
        <w:rFonts w:ascii="Times New Roman" w:eastAsia="Times New Roman" w:hAnsi="Times New Roman" w:cs="Times New Roman" w:hint="default"/>
      </w:rPr>
    </w:lvl>
    <w:lvl w:ilvl="1" w:tentative="1">
      <w:start w:val="1"/>
      <w:numFmt w:val="bullet"/>
      <w:lvlText w:val="o"/>
      <w:lvlJc w:val="left"/>
      <w:pPr>
        <w:tabs>
          <w:tab w:val="num" w:pos="2980"/>
        </w:tabs>
        <w:ind w:left="2980" w:hanging="360"/>
      </w:pPr>
      <w:rPr>
        <w:rFonts w:ascii="Courier New" w:hAnsi="Courier New" w:cs="Wingdings" w:hint="default"/>
      </w:rPr>
    </w:lvl>
    <w:lvl w:ilvl="2" w:tentative="1">
      <w:start w:val="1"/>
      <w:numFmt w:val="bullet"/>
      <w:lvlText w:val=""/>
      <w:lvlJc w:val="left"/>
      <w:pPr>
        <w:tabs>
          <w:tab w:val="num" w:pos="3700"/>
        </w:tabs>
        <w:ind w:left="3700" w:hanging="360"/>
      </w:pPr>
      <w:rPr>
        <w:rFonts w:ascii="Wingdings" w:hAnsi="Wingdings" w:hint="default"/>
      </w:rPr>
    </w:lvl>
    <w:lvl w:ilvl="3" w:tentative="1">
      <w:start w:val="1"/>
      <w:numFmt w:val="bullet"/>
      <w:lvlText w:val=""/>
      <w:lvlJc w:val="left"/>
      <w:pPr>
        <w:tabs>
          <w:tab w:val="num" w:pos="4420"/>
        </w:tabs>
        <w:ind w:left="4420" w:hanging="360"/>
      </w:pPr>
      <w:rPr>
        <w:rFonts w:ascii="Symbol" w:hAnsi="Symbol" w:hint="default"/>
      </w:rPr>
    </w:lvl>
    <w:lvl w:ilvl="4" w:tentative="1">
      <w:start w:val="1"/>
      <w:numFmt w:val="bullet"/>
      <w:lvlText w:val="o"/>
      <w:lvlJc w:val="left"/>
      <w:pPr>
        <w:tabs>
          <w:tab w:val="num" w:pos="5140"/>
        </w:tabs>
        <w:ind w:left="5140" w:hanging="360"/>
      </w:pPr>
      <w:rPr>
        <w:rFonts w:ascii="Courier New" w:hAnsi="Courier New" w:cs="Wingdings" w:hint="default"/>
      </w:rPr>
    </w:lvl>
    <w:lvl w:ilvl="5" w:tentative="1">
      <w:start w:val="1"/>
      <w:numFmt w:val="bullet"/>
      <w:lvlText w:val=""/>
      <w:lvlJc w:val="left"/>
      <w:pPr>
        <w:tabs>
          <w:tab w:val="num" w:pos="5860"/>
        </w:tabs>
        <w:ind w:left="5860" w:hanging="360"/>
      </w:pPr>
      <w:rPr>
        <w:rFonts w:ascii="Wingdings" w:hAnsi="Wingdings" w:hint="default"/>
      </w:rPr>
    </w:lvl>
    <w:lvl w:ilvl="6" w:tentative="1">
      <w:start w:val="1"/>
      <w:numFmt w:val="bullet"/>
      <w:lvlText w:val=""/>
      <w:lvlJc w:val="left"/>
      <w:pPr>
        <w:tabs>
          <w:tab w:val="num" w:pos="6580"/>
        </w:tabs>
        <w:ind w:left="6580" w:hanging="360"/>
      </w:pPr>
      <w:rPr>
        <w:rFonts w:ascii="Symbol" w:hAnsi="Symbol" w:hint="default"/>
      </w:rPr>
    </w:lvl>
    <w:lvl w:ilvl="7" w:tentative="1">
      <w:start w:val="1"/>
      <w:numFmt w:val="bullet"/>
      <w:lvlText w:val="o"/>
      <w:lvlJc w:val="left"/>
      <w:pPr>
        <w:tabs>
          <w:tab w:val="num" w:pos="7300"/>
        </w:tabs>
        <w:ind w:left="7300" w:hanging="360"/>
      </w:pPr>
      <w:rPr>
        <w:rFonts w:ascii="Courier New" w:hAnsi="Courier New" w:cs="Wingdings" w:hint="default"/>
      </w:rPr>
    </w:lvl>
    <w:lvl w:ilvl="8" w:tentative="1">
      <w:start w:val="1"/>
      <w:numFmt w:val="bullet"/>
      <w:lvlText w:val=""/>
      <w:lvlJc w:val="left"/>
      <w:pPr>
        <w:tabs>
          <w:tab w:val="num" w:pos="8020"/>
        </w:tabs>
        <w:ind w:left="8020" w:hanging="360"/>
      </w:pPr>
      <w:rPr>
        <w:rFonts w:ascii="Wingdings" w:hAnsi="Wingdings" w:hint="default"/>
      </w:rPr>
    </w:lvl>
  </w:abstractNum>
  <w:abstractNum w:abstractNumId="25">
    <w:nsid w:val="27B749EC"/>
    <w:multiLevelType w:val="multilevel"/>
    <w:tmpl w:val="5392645C"/>
    <w:lvl w:ilvl="0">
      <w:start w:val="1"/>
      <w:numFmt w:val="lowerLetter"/>
      <w:lvlText w:val="%1)"/>
      <w:lvlJc w:val="left"/>
      <w:pPr>
        <w:tabs>
          <w:tab w:val="num" w:pos="2462"/>
        </w:tabs>
        <w:ind w:left="2268" w:hanging="52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28271BF0"/>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27">
    <w:nsid w:val="2B825E5D"/>
    <w:multiLevelType w:val="singleLevel"/>
    <w:tmpl w:val="1B26C7F6"/>
    <w:lvl w:ilvl="0">
      <w:start w:val="1"/>
      <w:numFmt w:val="lowerLetter"/>
      <w:lvlText w:val="%1)"/>
      <w:lvlJc w:val="left"/>
      <w:pPr>
        <w:tabs>
          <w:tab w:val="num" w:pos="360"/>
        </w:tabs>
        <w:ind w:left="0" w:firstLine="0"/>
      </w:pPr>
    </w:lvl>
  </w:abstractNum>
  <w:abstractNum w:abstractNumId="28">
    <w:nsid w:val="2C213475"/>
    <w:multiLevelType w:val="singleLevel"/>
    <w:tmpl w:val="3BA8F290"/>
    <w:lvl w:ilvl="0">
      <w:numFmt w:val="bullet"/>
      <w:lvlText w:val="–"/>
      <w:lvlJc w:val="left"/>
      <w:pPr>
        <w:tabs>
          <w:tab w:val="num" w:pos="2222"/>
        </w:tabs>
        <w:ind w:left="2222" w:hanging="480"/>
      </w:pPr>
      <w:rPr>
        <w:rFonts w:hint="default"/>
      </w:rPr>
    </w:lvl>
  </w:abstractNum>
  <w:abstractNum w:abstractNumId="29">
    <w:nsid w:val="2EA23088"/>
    <w:multiLevelType w:val="singleLevel"/>
    <w:tmpl w:val="1B26C7F6"/>
    <w:lvl w:ilvl="0">
      <w:start w:val="1"/>
      <w:numFmt w:val="lowerLetter"/>
      <w:lvlText w:val="%1)"/>
      <w:lvlJc w:val="left"/>
      <w:pPr>
        <w:tabs>
          <w:tab w:val="num" w:pos="360"/>
        </w:tabs>
        <w:ind w:left="0" w:firstLine="0"/>
      </w:pPr>
    </w:lvl>
  </w:abstractNum>
  <w:abstractNum w:abstractNumId="30">
    <w:nsid w:val="2EBC11B7"/>
    <w:multiLevelType w:val="singleLevel"/>
    <w:tmpl w:val="1DACBBE8"/>
    <w:lvl w:ilvl="0">
      <w:start w:val="1"/>
      <w:numFmt w:val="lowerRoman"/>
      <w:lvlText w:val="%1."/>
      <w:lvlJc w:val="left"/>
      <w:pPr>
        <w:tabs>
          <w:tab w:val="num" w:pos="720"/>
        </w:tabs>
        <w:ind w:left="720" w:hanging="720"/>
      </w:pPr>
    </w:lvl>
  </w:abstractNum>
  <w:abstractNum w:abstractNumId="31">
    <w:nsid w:val="31640E0C"/>
    <w:multiLevelType w:val="singleLevel"/>
    <w:tmpl w:val="65502FC8"/>
    <w:lvl w:ilvl="0">
      <w:start w:val="1"/>
      <w:numFmt w:val="lowerLetter"/>
      <w:lvlText w:val="%1)"/>
      <w:lvlJc w:val="left"/>
      <w:pPr>
        <w:tabs>
          <w:tab w:val="num" w:pos="835"/>
        </w:tabs>
        <w:ind w:left="0" w:firstLine="475"/>
      </w:pPr>
    </w:lvl>
  </w:abstractNum>
  <w:abstractNum w:abstractNumId="32">
    <w:nsid w:val="33B01243"/>
    <w:multiLevelType w:val="multilevel"/>
    <w:tmpl w:val="6506F462"/>
    <w:lvl w:ilvl="0">
      <w:numFmt w:val="bullet"/>
      <w:lvlText w:val="-"/>
      <w:lvlJc w:val="left"/>
      <w:pPr>
        <w:tabs>
          <w:tab w:val="num" w:pos="930"/>
        </w:tabs>
        <w:ind w:left="930" w:hanging="5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35BA70CC"/>
    <w:multiLevelType w:val="multilevel"/>
    <w:tmpl w:val="8B7CB456"/>
    <w:lvl w:ilvl="0">
      <w:numFmt w:val="bullet"/>
      <w:lvlText w:val="–"/>
      <w:lvlJc w:val="left"/>
      <w:pPr>
        <w:tabs>
          <w:tab w:val="num" w:pos="2702"/>
        </w:tabs>
        <w:ind w:left="2702" w:hanging="960"/>
      </w:pPr>
      <w:rPr>
        <w:rFonts w:ascii="Times New Roman" w:eastAsia="Times New Roman" w:hAnsi="Times New Roman" w:cs="Times New Roman" w:hint="default"/>
      </w:rPr>
    </w:lvl>
    <w:lvl w:ilvl="1" w:tentative="1">
      <w:start w:val="1"/>
      <w:numFmt w:val="bullet"/>
      <w:lvlText w:val="o"/>
      <w:lvlJc w:val="left"/>
      <w:pPr>
        <w:tabs>
          <w:tab w:val="num" w:pos="2822"/>
        </w:tabs>
        <w:ind w:left="2822" w:hanging="360"/>
      </w:pPr>
      <w:rPr>
        <w:rFonts w:ascii="Courier New" w:hAnsi="Courier New" w:cs="Wingdings" w:hint="default"/>
      </w:rPr>
    </w:lvl>
    <w:lvl w:ilvl="2" w:tentative="1">
      <w:start w:val="1"/>
      <w:numFmt w:val="bullet"/>
      <w:lvlText w:val=""/>
      <w:lvlJc w:val="left"/>
      <w:pPr>
        <w:tabs>
          <w:tab w:val="num" w:pos="3542"/>
        </w:tabs>
        <w:ind w:left="3542" w:hanging="360"/>
      </w:pPr>
      <w:rPr>
        <w:rFonts w:ascii="Wingdings" w:hAnsi="Wingdings" w:hint="default"/>
      </w:rPr>
    </w:lvl>
    <w:lvl w:ilvl="3" w:tentative="1">
      <w:start w:val="1"/>
      <w:numFmt w:val="bullet"/>
      <w:lvlText w:val=""/>
      <w:lvlJc w:val="left"/>
      <w:pPr>
        <w:tabs>
          <w:tab w:val="num" w:pos="4262"/>
        </w:tabs>
        <w:ind w:left="4262" w:hanging="360"/>
      </w:pPr>
      <w:rPr>
        <w:rFonts w:ascii="Symbol" w:hAnsi="Symbol" w:hint="default"/>
      </w:rPr>
    </w:lvl>
    <w:lvl w:ilvl="4" w:tentative="1">
      <w:start w:val="1"/>
      <w:numFmt w:val="bullet"/>
      <w:lvlText w:val="o"/>
      <w:lvlJc w:val="left"/>
      <w:pPr>
        <w:tabs>
          <w:tab w:val="num" w:pos="4982"/>
        </w:tabs>
        <w:ind w:left="4982" w:hanging="360"/>
      </w:pPr>
      <w:rPr>
        <w:rFonts w:ascii="Courier New" w:hAnsi="Courier New" w:cs="Wingdings" w:hint="default"/>
      </w:rPr>
    </w:lvl>
    <w:lvl w:ilvl="5" w:tentative="1">
      <w:start w:val="1"/>
      <w:numFmt w:val="bullet"/>
      <w:lvlText w:val=""/>
      <w:lvlJc w:val="left"/>
      <w:pPr>
        <w:tabs>
          <w:tab w:val="num" w:pos="5702"/>
        </w:tabs>
        <w:ind w:left="5702" w:hanging="360"/>
      </w:pPr>
      <w:rPr>
        <w:rFonts w:ascii="Wingdings" w:hAnsi="Wingdings" w:hint="default"/>
      </w:rPr>
    </w:lvl>
    <w:lvl w:ilvl="6" w:tentative="1">
      <w:start w:val="1"/>
      <w:numFmt w:val="bullet"/>
      <w:lvlText w:val=""/>
      <w:lvlJc w:val="left"/>
      <w:pPr>
        <w:tabs>
          <w:tab w:val="num" w:pos="6422"/>
        </w:tabs>
        <w:ind w:left="6422" w:hanging="360"/>
      </w:pPr>
      <w:rPr>
        <w:rFonts w:ascii="Symbol" w:hAnsi="Symbol" w:hint="default"/>
      </w:rPr>
    </w:lvl>
    <w:lvl w:ilvl="7" w:tentative="1">
      <w:start w:val="1"/>
      <w:numFmt w:val="bullet"/>
      <w:lvlText w:val="o"/>
      <w:lvlJc w:val="left"/>
      <w:pPr>
        <w:tabs>
          <w:tab w:val="num" w:pos="7142"/>
        </w:tabs>
        <w:ind w:left="7142" w:hanging="360"/>
      </w:pPr>
      <w:rPr>
        <w:rFonts w:ascii="Courier New" w:hAnsi="Courier New" w:cs="Wingdings" w:hint="default"/>
      </w:rPr>
    </w:lvl>
    <w:lvl w:ilvl="8" w:tentative="1">
      <w:start w:val="1"/>
      <w:numFmt w:val="bullet"/>
      <w:lvlText w:val=""/>
      <w:lvlJc w:val="left"/>
      <w:pPr>
        <w:tabs>
          <w:tab w:val="num" w:pos="7862"/>
        </w:tabs>
        <w:ind w:left="7862" w:hanging="360"/>
      </w:pPr>
      <w:rPr>
        <w:rFonts w:ascii="Wingdings" w:hAnsi="Wingdings" w:hint="default"/>
      </w:rPr>
    </w:lvl>
  </w:abstractNum>
  <w:abstractNum w:abstractNumId="34">
    <w:nsid w:val="37632063"/>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35">
    <w:nsid w:val="39B760B8"/>
    <w:multiLevelType w:val="singleLevel"/>
    <w:tmpl w:val="6668F9D2"/>
    <w:lvl w:ilvl="0">
      <w:start w:val="1"/>
      <w:numFmt w:val="bullet"/>
      <w:lvlText w:val=""/>
      <w:lvlJc w:val="left"/>
      <w:pPr>
        <w:tabs>
          <w:tab w:val="num" w:pos="835"/>
        </w:tabs>
        <w:ind w:left="0" w:firstLine="475"/>
      </w:pPr>
      <w:rPr>
        <w:rFonts w:ascii="Symbol" w:hAnsi="Symbol" w:hint="default"/>
      </w:rPr>
    </w:lvl>
  </w:abstractNum>
  <w:abstractNum w:abstractNumId="36">
    <w:nsid w:val="3A2E3C1A"/>
    <w:multiLevelType w:val="multilevel"/>
    <w:tmpl w:val="D54A082C"/>
    <w:lvl w:ilvl="0">
      <w:start w:val="1"/>
      <w:numFmt w:val="lowerLetter"/>
      <w:lvlText w:val="%1)"/>
      <w:lvlJc w:val="left"/>
      <w:pPr>
        <w:tabs>
          <w:tab w:val="num" w:pos="2462"/>
        </w:tabs>
        <w:ind w:left="2268" w:hanging="526"/>
      </w:pPr>
      <w:rPr>
        <w:rFonts w:hint="default"/>
      </w:rPr>
    </w:lvl>
    <w:lvl w:ilvl="1">
      <w:start w:val="1"/>
      <w:numFmt w:val="bullet"/>
      <w:lvlText w:val=""/>
      <w:lvlJc w:val="left"/>
      <w:pPr>
        <w:tabs>
          <w:tab w:val="num" w:pos="1440"/>
        </w:tabs>
        <w:ind w:left="1440" w:hanging="360"/>
      </w:pPr>
      <w:rPr>
        <w:rFonts w:ascii="Symbol" w:hAnsi="Symbol" w:hint="default"/>
      </w:rPr>
    </w:lvl>
    <w:lvl w:ilvl="2">
      <w:numFmt w:val="bullet"/>
      <w:lvlText w:val="–"/>
      <w:lvlJc w:val="left"/>
      <w:pPr>
        <w:tabs>
          <w:tab w:val="num" w:pos="2940"/>
        </w:tabs>
        <w:ind w:left="2940" w:hanging="9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3B992E25"/>
    <w:multiLevelType w:val="singleLevel"/>
    <w:tmpl w:val="65502FC8"/>
    <w:lvl w:ilvl="0">
      <w:start w:val="1"/>
      <w:numFmt w:val="lowerLetter"/>
      <w:lvlText w:val="%1)"/>
      <w:lvlJc w:val="left"/>
      <w:pPr>
        <w:tabs>
          <w:tab w:val="num" w:pos="835"/>
        </w:tabs>
        <w:ind w:left="0" w:firstLine="475"/>
      </w:pPr>
    </w:lvl>
  </w:abstractNum>
  <w:abstractNum w:abstractNumId="38">
    <w:nsid w:val="3BE8789D"/>
    <w:multiLevelType w:val="multilevel"/>
    <w:tmpl w:val="79645BD2"/>
    <w:lvl w:ilvl="0">
      <w:start w:val="1"/>
      <w:numFmt w:val="lowerLetter"/>
      <w:lvlText w:val="%1)"/>
      <w:lvlJc w:val="left"/>
      <w:pPr>
        <w:tabs>
          <w:tab w:val="num" w:pos="2462"/>
        </w:tabs>
        <w:ind w:left="2552" w:hanging="81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F376201"/>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40">
    <w:nsid w:val="41506C27"/>
    <w:multiLevelType w:val="multilevel"/>
    <w:tmpl w:val="D30AD6C4"/>
    <w:lvl w:ilvl="0">
      <w:numFmt w:val="bullet"/>
      <w:lvlText w:val="-"/>
      <w:lvlJc w:val="left"/>
      <w:pPr>
        <w:tabs>
          <w:tab w:val="num" w:pos="2312"/>
        </w:tabs>
        <w:ind w:left="2312" w:hanging="57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41FD4042"/>
    <w:multiLevelType w:val="multilevel"/>
    <w:tmpl w:val="94E21138"/>
    <w:lvl w:ilvl="0">
      <w:start w:val="1"/>
      <w:numFmt w:val="lowerLetter"/>
      <w:lvlText w:val="%1)"/>
      <w:lvlJc w:val="left"/>
      <w:pPr>
        <w:tabs>
          <w:tab w:val="num" w:pos="2222"/>
        </w:tabs>
        <w:ind w:left="2222" w:hanging="480"/>
      </w:pPr>
      <w:rPr>
        <w:rFonts w:hint="default"/>
      </w:rPr>
    </w:lvl>
    <w:lvl w:ilvl="1" w:tentative="1">
      <w:start w:val="1"/>
      <w:numFmt w:val="lowerLetter"/>
      <w:lvlText w:val="%2."/>
      <w:lvlJc w:val="left"/>
      <w:pPr>
        <w:tabs>
          <w:tab w:val="num" w:pos="2822"/>
        </w:tabs>
        <w:ind w:left="2822" w:hanging="360"/>
      </w:pPr>
    </w:lvl>
    <w:lvl w:ilvl="2" w:tentative="1">
      <w:start w:val="1"/>
      <w:numFmt w:val="lowerRoman"/>
      <w:lvlText w:val="%3."/>
      <w:lvlJc w:val="right"/>
      <w:pPr>
        <w:tabs>
          <w:tab w:val="num" w:pos="3542"/>
        </w:tabs>
        <w:ind w:left="3542" w:hanging="180"/>
      </w:pPr>
    </w:lvl>
    <w:lvl w:ilvl="3" w:tentative="1">
      <w:start w:val="1"/>
      <w:numFmt w:val="decimal"/>
      <w:lvlText w:val="%4."/>
      <w:lvlJc w:val="left"/>
      <w:pPr>
        <w:tabs>
          <w:tab w:val="num" w:pos="4262"/>
        </w:tabs>
        <w:ind w:left="4262" w:hanging="360"/>
      </w:pPr>
    </w:lvl>
    <w:lvl w:ilvl="4" w:tentative="1">
      <w:start w:val="1"/>
      <w:numFmt w:val="lowerLetter"/>
      <w:lvlText w:val="%5."/>
      <w:lvlJc w:val="left"/>
      <w:pPr>
        <w:tabs>
          <w:tab w:val="num" w:pos="4982"/>
        </w:tabs>
        <w:ind w:left="4982" w:hanging="360"/>
      </w:pPr>
    </w:lvl>
    <w:lvl w:ilvl="5" w:tentative="1">
      <w:start w:val="1"/>
      <w:numFmt w:val="lowerRoman"/>
      <w:lvlText w:val="%6."/>
      <w:lvlJc w:val="right"/>
      <w:pPr>
        <w:tabs>
          <w:tab w:val="num" w:pos="5702"/>
        </w:tabs>
        <w:ind w:left="5702" w:hanging="180"/>
      </w:pPr>
    </w:lvl>
    <w:lvl w:ilvl="6" w:tentative="1">
      <w:start w:val="1"/>
      <w:numFmt w:val="decimal"/>
      <w:lvlText w:val="%7."/>
      <w:lvlJc w:val="left"/>
      <w:pPr>
        <w:tabs>
          <w:tab w:val="num" w:pos="6422"/>
        </w:tabs>
        <w:ind w:left="6422" w:hanging="360"/>
      </w:pPr>
    </w:lvl>
    <w:lvl w:ilvl="7" w:tentative="1">
      <w:start w:val="1"/>
      <w:numFmt w:val="lowerLetter"/>
      <w:lvlText w:val="%8."/>
      <w:lvlJc w:val="left"/>
      <w:pPr>
        <w:tabs>
          <w:tab w:val="num" w:pos="7142"/>
        </w:tabs>
        <w:ind w:left="7142" w:hanging="360"/>
      </w:pPr>
    </w:lvl>
    <w:lvl w:ilvl="8" w:tentative="1">
      <w:start w:val="1"/>
      <w:numFmt w:val="lowerRoman"/>
      <w:lvlText w:val="%9."/>
      <w:lvlJc w:val="right"/>
      <w:pPr>
        <w:tabs>
          <w:tab w:val="num" w:pos="7862"/>
        </w:tabs>
        <w:ind w:left="7862" w:hanging="180"/>
      </w:pPr>
    </w:lvl>
  </w:abstractNum>
  <w:abstractNum w:abstractNumId="42">
    <w:nsid w:val="440A00B7"/>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43">
    <w:nsid w:val="46864E1B"/>
    <w:multiLevelType w:val="singleLevel"/>
    <w:tmpl w:val="64348DDE"/>
    <w:lvl w:ilvl="0">
      <w:numFmt w:val="bullet"/>
      <w:lvlText w:val="–"/>
      <w:lvlJc w:val="left"/>
      <w:pPr>
        <w:tabs>
          <w:tab w:val="num" w:pos="2222"/>
        </w:tabs>
        <w:ind w:left="2222" w:hanging="480"/>
      </w:pPr>
      <w:rPr>
        <w:rFonts w:hint="default"/>
      </w:rPr>
    </w:lvl>
  </w:abstractNum>
  <w:abstractNum w:abstractNumId="44">
    <w:nsid w:val="47C21F9B"/>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45">
    <w:nsid w:val="496F665B"/>
    <w:multiLevelType w:val="singleLevel"/>
    <w:tmpl w:val="13306B32"/>
    <w:lvl w:ilvl="0">
      <w:numFmt w:val="bullet"/>
      <w:lvlText w:val="–"/>
      <w:lvlJc w:val="left"/>
      <w:pPr>
        <w:tabs>
          <w:tab w:val="num" w:pos="2222"/>
        </w:tabs>
        <w:ind w:left="2222" w:hanging="480"/>
      </w:pPr>
      <w:rPr>
        <w:rFonts w:hint="default"/>
      </w:rPr>
    </w:lvl>
  </w:abstractNum>
  <w:abstractNum w:abstractNumId="46">
    <w:nsid w:val="49935A2C"/>
    <w:multiLevelType w:val="singleLevel"/>
    <w:tmpl w:val="0409000F"/>
    <w:lvl w:ilvl="0">
      <w:start w:val="1"/>
      <w:numFmt w:val="decimal"/>
      <w:lvlText w:val="%1."/>
      <w:lvlJc w:val="left"/>
      <w:pPr>
        <w:tabs>
          <w:tab w:val="num" w:pos="360"/>
        </w:tabs>
        <w:ind w:left="360" w:hanging="360"/>
      </w:pPr>
    </w:lvl>
  </w:abstractNum>
  <w:abstractNum w:abstractNumId="47">
    <w:nsid w:val="4CC61522"/>
    <w:multiLevelType w:val="singleLevel"/>
    <w:tmpl w:val="04090017"/>
    <w:lvl w:ilvl="0">
      <w:start w:val="1"/>
      <w:numFmt w:val="lowerLetter"/>
      <w:lvlText w:val="%1)"/>
      <w:lvlJc w:val="left"/>
      <w:pPr>
        <w:tabs>
          <w:tab w:val="num" w:pos="360"/>
        </w:tabs>
        <w:ind w:left="360" w:hanging="360"/>
      </w:pPr>
    </w:lvl>
  </w:abstractNum>
  <w:abstractNum w:abstractNumId="48">
    <w:nsid w:val="4E1B3855"/>
    <w:multiLevelType w:val="singleLevel"/>
    <w:tmpl w:val="1B26C7F6"/>
    <w:lvl w:ilvl="0">
      <w:start w:val="1"/>
      <w:numFmt w:val="lowerLetter"/>
      <w:lvlText w:val="%1)"/>
      <w:lvlJc w:val="left"/>
      <w:pPr>
        <w:tabs>
          <w:tab w:val="num" w:pos="360"/>
        </w:tabs>
        <w:ind w:left="0" w:firstLine="0"/>
      </w:pPr>
    </w:lvl>
  </w:abstractNum>
  <w:abstractNum w:abstractNumId="49">
    <w:nsid w:val="522062EF"/>
    <w:multiLevelType w:val="multilevel"/>
    <w:tmpl w:val="187A566E"/>
    <w:lvl w:ilvl="0">
      <w:start w:val="1"/>
      <w:numFmt w:val="lowerLetter"/>
      <w:lvlText w:val="%1)"/>
      <w:lvlJc w:val="left"/>
      <w:pPr>
        <w:tabs>
          <w:tab w:val="num" w:pos="2462"/>
        </w:tabs>
        <w:ind w:left="2438" w:hanging="6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54021260"/>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51">
    <w:nsid w:val="540B6D57"/>
    <w:multiLevelType w:val="multilevel"/>
    <w:tmpl w:val="C9FEBAB2"/>
    <w:lvl w:ilvl="0">
      <w:start w:val="1"/>
      <w:numFmt w:val="bullet"/>
      <w:lvlText w:val=""/>
      <w:lvlJc w:val="left"/>
      <w:pPr>
        <w:tabs>
          <w:tab w:val="num" w:pos="2102"/>
        </w:tabs>
        <w:ind w:left="2102" w:hanging="360"/>
      </w:pPr>
      <w:rPr>
        <w:rFonts w:ascii="Symbol" w:hAnsi="Symbol" w:hint="default"/>
      </w:rPr>
    </w:lvl>
    <w:lvl w:ilvl="1" w:tentative="1">
      <w:start w:val="1"/>
      <w:numFmt w:val="bullet"/>
      <w:lvlText w:val="o"/>
      <w:lvlJc w:val="left"/>
      <w:pPr>
        <w:tabs>
          <w:tab w:val="num" w:pos="2822"/>
        </w:tabs>
        <w:ind w:left="2822" w:hanging="360"/>
      </w:pPr>
      <w:rPr>
        <w:rFonts w:ascii="Courier New" w:hAnsi="Courier New" w:cs="Wingdings" w:hint="default"/>
      </w:rPr>
    </w:lvl>
    <w:lvl w:ilvl="2" w:tentative="1">
      <w:start w:val="1"/>
      <w:numFmt w:val="bullet"/>
      <w:lvlText w:val=""/>
      <w:lvlJc w:val="left"/>
      <w:pPr>
        <w:tabs>
          <w:tab w:val="num" w:pos="3542"/>
        </w:tabs>
        <w:ind w:left="3542" w:hanging="360"/>
      </w:pPr>
      <w:rPr>
        <w:rFonts w:ascii="Wingdings" w:hAnsi="Wingdings" w:hint="default"/>
      </w:rPr>
    </w:lvl>
    <w:lvl w:ilvl="3" w:tentative="1">
      <w:start w:val="1"/>
      <w:numFmt w:val="bullet"/>
      <w:lvlText w:val=""/>
      <w:lvlJc w:val="left"/>
      <w:pPr>
        <w:tabs>
          <w:tab w:val="num" w:pos="4262"/>
        </w:tabs>
        <w:ind w:left="4262" w:hanging="360"/>
      </w:pPr>
      <w:rPr>
        <w:rFonts w:ascii="Symbol" w:hAnsi="Symbol" w:hint="default"/>
      </w:rPr>
    </w:lvl>
    <w:lvl w:ilvl="4" w:tentative="1">
      <w:start w:val="1"/>
      <w:numFmt w:val="bullet"/>
      <w:lvlText w:val="o"/>
      <w:lvlJc w:val="left"/>
      <w:pPr>
        <w:tabs>
          <w:tab w:val="num" w:pos="4982"/>
        </w:tabs>
        <w:ind w:left="4982" w:hanging="360"/>
      </w:pPr>
      <w:rPr>
        <w:rFonts w:ascii="Courier New" w:hAnsi="Courier New" w:cs="Wingdings" w:hint="default"/>
      </w:rPr>
    </w:lvl>
    <w:lvl w:ilvl="5" w:tentative="1">
      <w:start w:val="1"/>
      <w:numFmt w:val="bullet"/>
      <w:lvlText w:val=""/>
      <w:lvlJc w:val="left"/>
      <w:pPr>
        <w:tabs>
          <w:tab w:val="num" w:pos="5702"/>
        </w:tabs>
        <w:ind w:left="5702" w:hanging="360"/>
      </w:pPr>
      <w:rPr>
        <w:rFonts w:ascii="Wingdings" w:hAnsi="Wingdings" w:hint="default"/>
      </w:rPr>
    </w:lvl>
    <w:lvl w:ilvl="6" w:tentative="1">
      <w:start w:val="1"/>
      <w:numFmt w:val="bullet"/>
      <w:lvlText w:val=""/>
      <w:lvlJc w:val="left"/>
      <w:pPr>
        <w:tabs>
          <w:tab w:val="num" w:pos="6422"/>
        </w:tabs>
        <w:ind w:left="6422" w:hanging="360"/>
      </w:pPr>
      <w:rPr>
        <w:rFonts w:ascii="Symbol" w:hAnsi="Symbol" w:hint="default"/>
      </w:rPr>
    </w:lvl>
    <w:lvl w:ilvl="7" w:tentative="1">
      <w:start w:val="1"/>
      <w:numFmt w:val="bullet"/>
      <w:lvlText w:val="o"/>
      <w:lvlJc w:val="left"/>
      <w:pPr>
        <w:tabs>
          <w:tab w:val="num" w:pos="7142"/>
        </w:tabs>
        <w:ind w:left="7142" w:hanging="360"/>
      </w:pPr>
      <w:rPr>
        <w:rFonts w:ascii="Courier New" w:hAnsi="Courier New" w:cs="Wingdings" w:hint="default"/>
      </w:rPr>
    </w:lvl>
    <w:lvl w:ilvl="8" w:tentative="1">
      <w:start w:val="1"/>
      <w:numFmt w:val="bullet"/>
      <w:lvlText w:val=""/>
      <w:lvlJc w:val="left"/>
      <w:pPr>
        <w:tabs>
          <w:tab w:val="num" w:pos="7862"/>
        </w:tabs>
        <w:ind w:left="7862" w:hanging="360"/>
      </w:pPr>
      <w:rPr>
        <w:rFonts w:ascii="Wingdings" w:hAnsi="Wingdings" w:hint="default"/>
      </w:rPr>
    </w:lvl>
  </w:abstractNum>
  <w:abstractNum w:abstractNumId="52">
    <w:nsid w:val="561E0B3D"/>
    <w:multiLevelType w:val="singleLevel"/>
    <w:tmpl w:val="04090017"/>
    <w:lvl w:ilvl="0">
      <w:start w:val="1"/>
      <w:numFmt w:val="lowerLetter"/>
      <w:lvlText w:val="%1)"/>
      <w:lvlJc w:val="left"/>
      <w:pPr>
        <w:tabs>
          <w:tab w:val="num" w:pos="360"/>
        </w:tabs>
        <w:ind w:left="360" w:hanging="360"/>
      </w:pPr>
    </w:lvl>
  </w:abstractNum>
  <w:abstractNum w:abstractNumId="53">
    <w:nsid w:val="5A0133AE"/>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54">
    <w:nsid w:val="5AEE227A"/>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55">
    <w:nsid w:val="5BA81451"/>
    <w:multiLevelType w:val="multilevel"/>
    <w:tmpl w:val="CE66DE48"/>
    <w:lvl w:ilvl="0">
      <w:start w:val="1"/>
      <w:numFmt w:val="lowerLetter"/>
      <w:lvlText w:val="%1)"/>
      <w:lvlJc w:val="left"/>
      <w:pPr>
        <w:tabs>
          <w:tab w:val="num" w:pos="2462"/>
        </w:tabs>
        <w:ind w:left="2552" w:hanging="81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5E1059C8"/>
    <w:multiLevelType w:val="singleLevel"/>
    <w:tmpl w:val="CB32C756"/>
    <w:lvl w:ilvl="0">
      <w:start w:val="1"/>
      <w:numFmt w:val="lowerLetter"/>
      <w:lvlText w:val="%1)"/>
      <w:lvlJc w:val="left"/>
      <w:pPr>
        <w:tabs>
          <w:tab w:val="num" w:pos="835"/>
        </w:tabs>
        <w:ind w:left="0" w:firstLine="475"/>
      </w:pPr>
    </w:lvl>
  </w:abstractNum>
  <w:abstractNum w:abstractNumId="57">
    <w:nsid w:val="5F871B3A"/>
    <w:multiLevelType w:val="singleLevel"/>
    <w:tmpl w:val="04090017"/>
    <w:lvl w:ilvl="0">
      <w:start w:val="1"/>
      <w:numFmt w:val="lowerLetter"/>
      <w:lvlText w:val="%1)"/>
      <w:lvlJc w:val="left"/>
      <w:pPr>
        <w:tabs>
          <w:tab w:val="num" w:pos="360"/>
        </w:tabs>
        <w:ind w:left="360" w:hanging="360"/>
      </w:pPr>
    </w:lvl>
  </w:abstractNum>
  <w:abstractNum w:abstractNumId="58">
    <w:nsid w:val="639F256A"/>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59">
    <w:nsid w:val="65B47309"/>
    <w:multiLevelType w:val="singleLevel"/>
    <w:tmpl w:val="0409000F"/>
    <w:lvl w:ilvl="0">
      <w:start w:val="1"/>
      <w:numFmt w:val="decimal"/>
      <w:lvlText w:val="%1."/>
      <w:lvlJc w:val="left"/>
      <w:pPr>
        <w:tabs>
          <w:tab w:val="num" w:pos="360"/>
        </w:tabs>
        <w:ind w:left="360" w:hanging="360"/>
      </w:pPr>
    </w:lvl>
  </w:abstractNum>
  <w:abstractNum w:abstractNumId="60">
    <w:nsid w:val="67EE61C4"/>
    <w:multiLevelType w:val="multilevel"/>
    <w:tmpl w:val="42982724"/>
    <w:lvl w:ilvl="0">
      <w:start w:val="1"/>
      <w:numFmt w:val="lowerLetter"/>
      <w:lvlText w:val="%1)"/>
      <w:lvlJc w:val="left"/>
      <w:pPr>
        <w:tabs>
          <w:tab w:val="num" w:pos="2462"/>
        </w:tabs>
        <w:ind w:left="1742" w:firstLine="0"/>
      </w:pPr>
      <w:rPr>
        <w:rFonts w:hint="default"/>
      </w:rPr>
    </w:lvl>
    <w:lvl w:ilvl="1">
      <w:start w:val="1"/>
      <w:numFmt w:val="bullet"/>
      <w:lvlText w:val=""/>
      <w:lvlJc w:val="left"/>
      <w:pPr>
        <w:tabs>
          <w:tab w:val="num" w:pos="720"/>
        </w:tabs>
        <w:ind w:left="720" w:hanging="360"/>
      </w:pPr>
      <w:rPr>
        <w:rFonts w:ascii="Symbol" w:hAnsi="Symbol" w:hint="default"/>
      </w:rPr>
    </w:lvl>
    <w:lvl w:ilvl="2">
      <w:start w:val="6"/>
      <w:numFmt w:val="bullet"/>
      <w:lvlText w:val="–"/>
      <w:lvlJc w:val="left"/>
      <w:pPr>
        <w:tabs>
          <w:tab w:val="num" w:pos="1740"/>
        </w:tabs>
        <w:ind w:left="1740" w:hanging="480"/>
      </w:pPr>
      <w:rPr>
        <w:rFonts w:ascii="Times New Roman" w:eastAsia="Times New Roman" w:hAnsi="Times New Roman" w:cs="Times New Roman" w:hint="default"/>
      </w:rPr>
    </w:lvl>
    <w:lvl w:ilvl="3">
      <w:start w:val="1"/>
      <w:numFmt w:val="decimal"/>
      <w:lvlText w:val="%4."/>
      <w:lvlJc w:val="left"/>
      <w:pPr>
        <w:tabs>
          <w:tab w:val="num" w:pos="2160"/>
        </w:tabs>
        <w:ind w:left="2160" w:hanging="360"/>
      </w:pPr>
    </w:lvl>
    <w:lvl w:ilvl="4" w:tentative="1">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61">
    <w:nsid w:val="6A213575"/>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62">
    <w:nsid w:val="6FEA3116"/>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63">
    <w:nsid w:val="70344A83"/>
    <w:multiLevelType w:val="multilevel"/>
    <w:tmpl w:val="A07E8950"/>
    <w:lvl w:ilvl="0">
      <w:numFmt w:val="bullet"/>
      <w:lvlText w:val="-"/>
      <w:lvlJc w:val="left"/>
      <w:pPr>
        <w:tabs>
          <w:tab w:val="num" w:pos="2312"/>
        </w:tabs>
        <w:ind w:left="2155" w:hanging="413"/>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71A46467"/>
    <w:multiLevelType w:val="singleLevel"/>
    <w:tmpl w:val="35B016E6"/>
    <w:lvl w:ilvl="0">
      <w:numFmt w:val="bullet"/>
      <w:lvlText w:val="–"/>
      <w:lvlJc w:val="left"/>
      <w:pPr>
        <w:tabs>
          <w:tab w:val="num" w:pos="2222"/>
        </w:tabs>
        <w:ind w:left="2222" w:hanging="480"/>
      </w:pPr>
      <w:rPr>
        <w:rFonts w:hint="default"/>
      </w:rPr>
    </w:lvl>
  </w:abstractNum>
  <w:abstractNum w:abstractNumId="65">
    <w:nsid w:val="73555274"/>
    <w:multiLevelType w:val="multilevel"/>
    <w:tmpl w:val="A6A22E7C"/>
    <w:lvl w:ilvl="0">
      <w:numFmt w:val="bullet"/>
      <w:lvlText w:val="–"/>
      <w:lvlJc w:val="left"/>
      <w:pPr>
        <w:tabs>
          <w:tab w:val="num" w:pos="2222"/>
        </w:tabs>
        <w:ind w:left="2222" w:hanging="480"/>
      </w:pPr>
      <w:rPr>
        <w:rFonts w:ascii="Times New Roman" w:eastAsia="Times New Roman" w:hAnsi="Times New Roman" w:cs="Times New Roman" w:hint="default"/>
      </w:rPr>
    </w:lvl>
    <w:lvl w:ilvl="1" w:tentative="1">
      <w:start w:val="1"/>
      <w:numFmt w:val="bullet"/>
      <w:lvlText w:val="o"/>
      <w:lvlJc w:val="left"/>
      <w:pPr>
        <w:tabs>
          <w:tab w:val="num" w:pos="2822"/>
        </w:tabs>
        <w:ind w:left="2822" w:hanging="360"/>
      </w:pPr>
      <w:rPr>
        <w:rFonts w:ascii="Courier New" w:hAnsi="Courier New" w:cs="Wingdings" w:hint="default"/>
      </w:rPr>
    </w:lvl>
    <w:lvl w:ilvl="2" w:tentative="1">
      <w:start w:val="1"/>
      <w:numFmt w:val="bullet"/>
      <w:lvlText w:val=""/>
      <w:lvlJc w:val="left"/>
      <w:pPr>
        <w:tabs>
          <w:tab w:val="num" w:pos="3542"/>
        </w:tabs>
        <w:ind w:left="3542" w:hanging="360"/>
      </w:pPr>
      <w:rPr>
        <w:rFonts w:ascii="Wingdings" w:hAnsi="Wingdings" w:hint="default"/>
      </w:rPr>
    </w:lvl>
    <w:lvl w:ilvl="3" w:tentative="1">
      <w:start w:val="1"/>
      <w:numFmt w:val="bullet"/>
      <w:lvlText w:val=""/>
      <w:lvlJc w:val="left"/>
      <w:pPr>
        <w:tabs>
          <w:tab w:val="num" w:pos="4262"/>
        </w:tabs>
        <w:ind w:left="4262" w:hanging="360"/>
      </w:pPr>
      <w:rPr>
        <w:rFonts w:ascii="Symbol" w:hAnsi="Symbol" w:hint="default"/>
      </w:rPr>
    </w:lvl>
    <w:lvl w:ilvl="4" w:tentative="1">
      <w:start w:val="1"/>
      <w:numFmt w:val="bullet"/>
      <w:lvlText w:val="o"/>
      <w:lvlJc w:val="left"/>
      <w:pPr>
        <w:tabs>
          <w:tab w:val="num" w:pos="4982"/>
        </w:tabs>
        <w:ind w:left="4982" w:hanging="360"/>
      </w:pPr>
      <w:rPr>
        <w:rFonts w:ascii="Courier New" w:hAnsi="Courier New" w:cs="Wingdings" w:hint="default"/>
      </w:rPr>
    </w:lvl>
    <w:lvl w:ilvl="5" w:tentative="1">
      <w:start w:val="1"/>
      <w:numFmt w:val="bullet"/>
      <w:lvlText w:val=""/>
      <w:lvlJc w:val="left"/>
      <w:pPr>
        <w:tabs>
          <w:tab w:val="num" w:pos="5702"/>
        </w:tabs>
        <w:ind w:left="5702" w:hanging="360"/>
      </w:pPr>
      <w:rPr>
        <w:rFonts w:ascii="Wingdings" w:hAnsi="Wingdings" w:hint="default"/>
      </w:rPr>
    </w:lvl>
    <w:lvl w:ilvl="6" w:tentative="1">
      <w:start w:val="1"/>
      <w:numFmt w:val="bullet"/>
      <w:lvlText w:val=""/>
      <w:lvlJc w:val="left"/>
      <w:pPr>
        <w:tabs>
          <w:tab w:val="num" w:pos="6422"/>
        </w:tabs>
        <w:ind w:left="6422" w:hanging="360"/>
      </w:pPr>
      <w:rPr>
        <w:rFonts w:ascii="Symbol" w:hAnsi="Symbol" w:hint="default"/>
      </w:rPr>
    </w:lvl>
    <w:lvl w:ilvl="7" w:tentative="1">
      <w:start w:val="1"/>
      <w:numFmt w:val="bullet"/>
      <w:lvlText w:val="o"/>
      <w:lvlJc w:val="left"/>
      <w:pPr>
        <w:tabs>
          <w:tab w:val="num" w:pos="7142"/>
        </w:tabs>
        <w:ind w:left="7142" w:hanging="360"/>
      </w:pPr>
      <w:rPr>
        <w:rFonts w:ascii="Courier New" w:hAnsi="Courier New" w:cs="Wingdings" w:hint="default"/>
      </w:rPr>
    </w:lvl>
    <w:lvl w:ilvl="8" w:tentative="1">
      <w:start w:val="1"/>
      <w:numFmt w:val="bullet"/>
      <w:lvlText w:val=""/>
      <w:lvlJc w:val="left"/>
      <w:pPr>
        <w:tabs>
          <w:tab w:val="num" w:pos="7862"/>
        </w:tabs>
        <w:ind w:left="7862" w:hanging="360"/>
      </w:pPr>
      <w:rPr>
        <w:rFonts w:ascii="Wingdings" w:hAnsi="Wingdings" w:hint="default"/>
      </w:rPr>
    </w:lvl>
  </w:abstractNum>
  <w:abstractNum w:abstractNumId="66">
    <w:nsid w:val="74B75EA1"/>
    <w:multiLevelType w:val="singleLevel"/>
    <w:tmpl w:val="04090017"/>
    <w:lvl w:ilvl="0">
      <w:start w:val="1"/>
      <w:numFmt w:val="lowerLetter"/>
      <w:lvlText w:val="%1)"/>
      <w:lvlJc w:val="left"/>
      <w:pPr>
        <w:tabs>
          <w:tab w:val="num" w:pos="360"/>
        </w:tabs>
        <w:ind w:left="360" w:hanging="360"/>
      </w:pPr>
    </w:lvl>
  </w:abstractNum>
  <w:abstractNum w:abstractNumId="67">
    <w:nsid w:val="79AE5F3A"/>
    <w:multiLevelType w:val="multilevel"/>
    <w:tmpl w:val="D30AD6C4"/>
    <w:lvl w:ilvl="0">
      <w:numFmt w:val="bullet"/>
      <w:lvlText w:val="-"/>
      <w:lvlJc w:val="left"/>
      <w:pPr>
        <w:tabs>
          <w:tab w:val="num" w:pos="2312"/>
        </w:tabs>
        <w:ind w:left="2312" w:hanging="5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68">
    <w:nsid w:val="7A2F2F21"/>
    <w:multiLevelType w:val="singleLevel"/>
    <w:tmpl w:val="1B26C7F6"/>
    <w:lvl w:ilvl="0">
      <w:start w:val="1"/>
      <w:numFmt w:val="lowerLetter"/>
      <w:lvlText w:val="%1)"/>
      <w:lvlJc w:val="left"/>
      <w:pPr>
        <w:tabs>
          <w:tab w:val="num" w:pos="360"/>
        </w:tabs>
        <w:ind w:left="0" w:firstLine="0"/>
      </w:pPr>
    </w:lvl>
  </w:abstractNum>
  <w:abstractNum w:abstractNumId="69">
    <w:nsid w:val="7A957C29"/>
    <w:multiLevelType w:val="multilevel"/>
    <w:tmpl w:val="187A566E"/>
    <w:lvl w:ilvl="0">
      <w:start w:val="1"/>
      <w:numFmt w:val="lowerLetter"/>
      <w:lvlText w:val="%1)"/>
      <w:lvlJc w:val="left"/>
      <w:pPr>
        <w:tabs>
          <w:tab w:val="num" w:pos="2462"/>
        </w:tabs>
        <w:ind w:left="2438" w:hanging="6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7BF70079"/>
    <w:multiLevelType w:val="singleLevel"/>
    <w:tmpl w:val="E214CEF4"/>
    <w:lvl w:ilvl="0">
      <w:start w:val="1"/>
      <w:numFmt w:val="bullet"/>
      <w:lvlText w:val=""/>
      <w:lvlJc w:val="left"/>
      <w:pPr>
        <w:tabs>
          <w:tab w:val="num" w:pos="360"/>
        </w:tabs>
        <w:ind w:left="360" w:hanging="360"/>
      </w:pPr>
      <w:rPr>
        <w:rFonts w:ascii="Symbol" w:hAnsi="Symbol" w:hint="default"/>
      </w:rPr>
    </w:lvl>
  </w:abstractNum>
  <w:abstractNum w:abstractNumId="71">
    <w:nsid w:val="7BFF42A7"/>
    <w:multiLevelType w:val="singleLevel"/>
    <w:tmpl w:val="04090017"/>
    <w:lvl w:ilvl="0">
      <w:start w:val="1"/>
      <w:numFmt w:val="lowerLetter"/>
      <w:lvlText w:val="%1)"/>
      <w:lvlJc w:val="left"/>
      <w:pPr>
        <w:tabs>
          <w:tab w:val="num" w:pos="360"/>
        </w:tabs>
        <w:ind w:left="360" w:hanging="360"/>
      </w:pPr>
    </w:lvl>
  </w:abstractNum>
  <w:abstractNum w:abstractNumId="72">
    <w:nsid w:val="7DCE1F27"/>
    <w:multiLevelType w:val="singleLevel"/>
    <w:tmpl w:val="1DACBBE8"/>
    <w:lvl w:ilvl="0">
      <w:start w:val="1"/>
      <w:numFmt w:val="lowerRoman"/>
      <w:lvlText w:val="%1."/>
      <w:lvlJc w:val="left"/>
      <w:pPr>
        <w:tabs>
          <w:tab w:val="num" w:pos="720"/>
        </w:tabs>
        <w:ind w:left="720" w:hanging="720"/>
      </w:pPr>
    </w:lvl>
  </w:abstractNum>
  <w:num w:numId="1">
    <w:abstractNumId w:val="4"/>
  </w:num>
  <w:num w:numId="2">
    <w:abstractNumId w:val="50"/>
  </w:num>
  <w:num w:numId="3">
    <w:abstractNumId w:val="59"/>
  </w:num>
  <w:num w:numId="4">
    <w:abstractNumId w:val="62"/>
  </w:num>
  <w:num w:numId="5">
    <w:abstractNumId w:val="46"/>
  </w:num>
  <w:num w:numId="6">
    <w:abstractNumId w:val="23"/>
  </w:num>
  <w:num w:numId="7">
    <w:abstractNumId w:val="6"/>
  </w:num>
  <w:num w:numId="8">
    <w:abstractNumId w:val="66"/>
  </w:num>
  <w:num w:numId="9">
    <w:abstractNumId w:val="16"/>
  </w:num>
  <w:num w:numId="10">
    <w:abstractNumId w:val="8"/>
  </w:num>
  <w:num w:numId="11">
    <w:abstractNumId w:val="52"/>
  </w:num>
  <w:num w:numId="12">
    <w:abstractNumId w:val="71"/>
  </w:num>
  <w:num w:numId="13">
    <w:abstractNumId w:val="37"/>
  </w:num>
  <w:num w:numId="14">
    <w:abstractNumId w:val="30"/>
  </w:num>
  <w:num w:numId="15">
    <w:abstractNumId w:val="47"/>
  </w:num>
  <w:num w:numId="16">
    <w:abstractNumId w:val="72"/>
  </w:num>
  <w:num w:numId="17">
    <w:abstractNumId w:val="57"/>
  </w:num>
  <w:num w:numId="18">
    <w:abstractNumId w:val="34"/>
  </w:num>
  <w:num w:numId="19">
    <w:abstractNumId w:val="39"/>
  </w:num>
  <w:num w:numId="20">
    <w:abstractNumId w:val="12"/>
  </w:num>
  <w:num w:numId="21">
    <w:abstractNumId w:val="19"/>
  </w:num>
  <w:num w:numId="22">
    <w:abstractNumId w:val="29"/>
  </w:num>
  <w:num w:numId="23">
    <w:abstractNumId w:val="58"/>
  </w:num>
  <w:num w:numId="24">
    <w:abstractNumId w:val="68"/>
  </w:num>
  <w:num w:numId="25">
    <w:abstractNumId w:val="48"/>
  </w:num>
  <w:num w:numId="26">
    <w:abstractNumId w:val="42"/>
  </w:num>
  <w:num w:numId="27">
    <w:abstractNumId w:val="27"/>
  </w:num>
  <w:num w:numId="28">
    <w:abstractNumId w:val="54"/>
  </w:num>
  <w:num w:numId="29">
    <w:abstractNumId w:val="61"/>
  </w:num>
  <w:num w:numId="30">
    <w:abstractNumId w:val="9"/>
  </w:num>
  <w:num w:numId="31">
    <w:abstractNumId w:val="11"/>
  </w:num>
  <w:num w:numId="32">
    <w:abstractNumId w:val="17"/>
  </w:num>
  <w:num w:numId="33">
    <w:abstractNumId w:val="56"/>
  </w:num>
  <w:num w:numId="34">
    <w:abstractNumId w:val="35"/>
  </w:num>
  <w:num w:numId="35">
    <w:abstractNumId w:val="28"/>
  </w:num>
  <w:num w:numId="36">
    <w:abstractNumId w:val="0"/>
  </w:num>
  <w:num w:numId="37">
    <w:abstractNumId w:val="70"/>
  </w:num>
  <w:num w:numId="38">
    <w:abstractNumId w:val="45"/>
  </w:num>
  <w:num w:numId="39">
    <w:abstractNumId w:val="53"/>
  </w:num>
  <w:num w:numId="40">
    <w:abstractNumId w:val="43"/>
  </w:num>
  <w:num w:numId="41">
    <w:abstractNumId w:val="26"/>
  </w:num>
  <w:num w:numId="42">
    <w:abstractNumId w:val="64"/>
  </w:num>
  <w:num w:numId="43">
    <w:abstractNumId w:val="14"/>
  </w:num>
  <w:num w:numId="44">
    <w:abstractNumId w:val="24"/>
  </w:num>
  <w:num w:numId="45">
    <w:abstractNumId w:val="51"/>
  </w:num>
  <w:num w:numId="46">
    <w:abstractNumId w:val="65"/>
  </w:num>
  <w:num w:numId="47">
    <w:abstractNumId w:val="1"/>
  </w:num>
  <w:num w:numId="48">
    <w:abstractNumId w:val="33"/>
  </w:num>
  <w:num w:numId="49">
    <w:abstractNumId w:val="60"/>
  </w:num>
  <w:num w:numId="50">
    <w:abstractNumId w:val="41"/>
  </w:num>
  <w:num w:numId="51">
    <w:abstractNumId w:val="2"/>
  </w:num>
  <w:num w:numId="52">
    <w:abstractNumId w:val="21"/>
  </w:num>
  <w:num w:numId="53">
    <w:abstractNumId w:val="13"/>
  </w:num>
  <w:num w:numId="54">
    <w:abstractNumId w:val="18"/>
  </w:num>
  <w:num w:numId="55">
    <w:abstractNumId w:val="3"/>
  </w:num>
  <w:num w:numId="56">
    <w:abstractNumId w:val="5"/>
  </w:num>
  <w:num w:numId="57">
    <w:abstractNumId w:val="38"/>
  </w:num>
  <w:num w:numId="58">
    <w:abstractNumId w:val="69"/>
  </w:num>
  <w:num w:numId="59">
    <w:abstractNumId w:val="49"/>
  </w:num>
  <w:num w:numId="60">
    <w:abstractNumId w:val="36"/>
  </w:num>
  <w:num w:numId="61">
    <w:abstractNumId w:val="7"/>
  </w:num>
  <w:num w:numId="62">
    <w:abstractNumId w:val="10"/>
  </w:num>
  <w:num w:numId="63">
    <w:abstractNumId w:val="20"/>
  </w:num>
  <w:num w:numId="64">
    <w:abstractNumId w:val="55"/>
  </w:num>
  <w:num w:numId="65">
    <w:abstractNumId w:val="25"/>
  </w:num>
  <w:num w:numId="66">
    <w:abstractNumId w:val="22"/>
  </w:num>
  <w:num w:numId="67">
    <w:abstractNumId w:val="32"/>
  </w:num>
  <w:num w:numId="68">
    <w:abstractNumId w:val="40"/>
  </w:num>
  <w:num w:numId="69">
    <w:abstractNumId w:val="67"/>
  </w:num>
  <w:num w:numId="70">
    <w:abstractNumId w:val="63"/>
  </w:num>
  <w:num w:numId="71">
    <w:abstractNumId w:val="31"/>
  </w:num>
  <w:num w:numId="72">
    <w:abstractNumId w:val="15"/>
  </w:num>
  <w:num w:numId="73">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s-ES_tradnl" w:vendorID="9" w:dllVersion="512" w:checkStyle="1"/>
  <w:doNotTrackMoves/>
  <w:defaultTabStop w:val="720"/>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10/2003 17:00:49"/>
    <w:docVar w:name="DocCategory" w:val="Doc"/>
    <w:docVar w:name="DocType" w:val="Final"/>
    <w:docVar w:name="JobNo" w:val="0335055S"/>
    <w:docVar w:name="OandT" w:val="Joyce"/>
    <w:docVar w:name="Symbol1" w:val="CEDAW/C/KWT/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40531</Words>
  <Characters>198602</Characters>
  <Application>Microsoft Office Word</Application>
  <DocSecurity>4</DocSecurity>
  <Lines>6620</Lines>
  <Paragraphs>3424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283717</CharactersWithSpaces>
  <SharedDoc>false</SharedDoc>
  <HLinks>
    <vt:vector size="6" baseType="variant">
      <vt:variant>
        <vt:i4>4522087</vt:i4>
      </vt:variant>
      <vt:variant>
        <vt:i4>251233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Janssen, Joyce</dc:creator>
  <cp:keywords/>
  <dc:description/>
  <cp:lastModifiedBy>Janssen, Joyce</cp:lastModifiedBy>
  <cp:revision>10</cp:revision>
  <cp:lastPrinted>2003-10-14T15:47:00Z</cp:lastPrinted>
  <dcterms:created xsi:type="dcterms:W3CDTF">2003-10-14T15:00:00Z</dcterms:created>
  <dcterms:modified xsi:type="dcterms:W3CDTF">2003-10-14T16:00:00Z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0335055</vt:lpwstr>
  </property>
  <property fmtid="{D5CDD505-2E9C-101B-9397-08002B2CF9AE}" pid="3" name="Symbol1">
    <vt:lpwstr>CEDAW/C/KWT/1-2</vt:lpwstr>
  </property>
  <property fmtid="{D5CDD505-2E9C-101B-9397-08002B2CF9AE}" pid="4" name="Symbol2">
    <vt:lpwstr/>
  </property>
  <property fmtid="{D5CDD505-2E9C-101B-9397-08002B2CF9AE}" pid="5" name="Translator">
    <vt:lpwstr/>
  </property>
  <property fmtid="{D5CDD505-2E9C-101B-9397-08002B2CF9AE}" pid="6" name="Comment">
    <vt:lpwstr>TRADUCCIÓN EXTERNA</vt:lpwstr>
  </property>
  <property fmtid="{D5CDD505-2E9C-101B-9397-08002B2CF9AE}" pid="7" name="DraftPages">
    <vt:lpwstr>91</vt:lpwstr>
  </property>
  <property fmtid="{D5CDD505-2E9C-101B-9397-08002B2CF9AE}" pid="8" name="Operator">
    <vt:lpwstr>Joyce</vt:lpwstr>
  </property>
</Properties>
</file>