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A17DFD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A17DF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110A9" w:rsidP="000110A9">
            <w:pPr>
              <w:jc w:val="right"/>
            </w:pPr>
            <w:r w:rsidRPr="000110A9">
              <w:rPr>
                <w:sz w:val="40"/>
              </w:rPr>
              <w:t>CERD</w:t>
            </w:r>
            <w:r>
              <w:t>/C/CHE/Q/7-9</w:t>
            </w:r>
          </w:p>
        </w:tc>
      </w:tr>
      <w:tr w:rsidR="002D5AAC" w:rsidTr="00A17DFD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A17DF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8728CD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>la Eliminación de todas 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0110A9" w:rsidRDefault="000110A9" w:rsidP="00B778C8">
            <w:pPr>
              <w:spacing w:before="240"/>
            </w:pPr>
            <w:r>
              <w:t>Distr. general</w:t>
            </w:r>
          </w:p>
          <w:p w:rsidR="000110A9" w:rsidRDefault="000110A9" w:rsidP="000110A9">
            <w:pPr>
              <w:spacing w:line="240" w:lineRule="exact"/>
            </w:pPr>
            <w:r>
              <w:t>12 de diciembre de 2013</w:t>
            </w:r>
          </w:p>
          <w:p w:rsidR="000110A9" w:rsidRDefault="000110A9" w:rsidP="000110A9">
            <w:pPr>
              <w:spacing w:line="240" w:lineRule="exact"/>
            </w:pPr>
            <w:r>
              <w:t>Español</w:t>
            </w:r>
          </w:p>
          <w:p w:rsidR="002D5AAC" w:rsidRDefault="000110A9" w:rsidP="000110A9">
            <w:pPr>
              <w:spacing w:line="240" w:lineRule="exact"/>
            </w:pPr>
            <w:r>
              <w:t>Original: inglés</w:t>
            </w:r>
          </w:p>
        </w:tc>
      </w:tr>
    </w:tbl>
    <w:p w:rsidR="000110A9" w:rsidRPr="00B638A8" w:rsidRDefault="000110A9" w:rsidP="000110A9">
      <w:pPr>
        <w:spacing w:before="120" w:line="240" w:lineRule="auto"/>
        <w:rPr>
          <w:b/>
          <w:sz w:val="24"/>
          <w:szCs w:val="24"/>
        </w:rPr>
      </w:pPr>
      <w:r w:rsidRPr="00B638A8">
        <w:rPr>
          <w:b/>
          <w:sz w:val="24"/>
          <w:szCs w:val="24"/>
        </w:rPr>
        <w:t>Comité para la Eliminación de la Discriminación Racial</w:t>
      </w:r>
    </w:p>
    <w:p w:rsidR="000110A9" w:rsidRPr="00B638A8" w:rsidRDefault="000110A9" w:rsidP="000110A9">
      <w:pPr>
        <w:spacing w:line="240" w:lineRule="auto"/>
        <w:rPr>
          <w:b/>
        </w:rPr>
      </w:pPr>
      <w:r w:rsidRPr="00B638A8">
        <w:rPr>
          <w:b/>
        </w:rPr>
        <w:t>84º período de sesiones</w:t>
      </w:r>
    </w:p>
    <w:p w:rsidR="000110A9" w:rsidRPr="00B638A8" w:rsidRDefault="000110A9" w:rsidP="000110A9">
      <w:pPr>
        <w:spacing w:line="240" w:lineRule="auto"/>
      </w:pPr>
      <w:r w:rsidRPr="00B638A8">
        <w:t xml:space="preserve">3 a 21 de febrero de 2014 </w:t>
      </w:r>
    </w:p>
    <w:p w:rsidR="000110A9" w:rsidRPr="00B638A8" w:rsidRDefault="000110A9" w:rsidP="000110A9">
      <w:pPr>
        <w:spacing w:line="240" w:lineRule="auto"/>
      </w:pPr>
      <w:r w:rsidRPr="00B638A8">
        <w:t>Tema 6 del programa provisional</w:t>
      </w:r>
    </w:p>
    <w:p w:rsidR="000110A9" w:rsidRPr="00B638A8" w:rsidRDefault="000110A9" w:rsidP="000110A9">
      <w:pPr>
        <w:spacing w:after="240" w:line="240" w:lineRule="auto"/>
        <w:rPr>
          <w:b/>
        </w:rPr>
      </w:pPr>
      <w:r w:rsidRPr="00B638A8">
        <w:rPr>
          <w:b/>
        </w:rPr>
        <w:t>Examen de los informes, las observacion</w:t>
      </w:r>
      <w:r>
        <w:rPr>
          <w:b/>
        </w:rPr>
        <w:t>es y la información</w:t>
      </w:r>
      <w:r>
        <w:rPr>
          <w:b/>
        </w:rPr>
        <w:br/>
        <w:t xml:space="preserve">presentados </w:t>
      </w:r>
      <w:r w:rsidRPr="00B638A8">
        <w:rPr>
          <w:b/>
        </w:rPr>
        <w:t>por los Estados partes en virtud del artículo 9</w:t>
      </w:r>
      <w:r>
        <w:rPr>
          <w:b/>
        </w:rPr>
        <w:br/>
      </w:r>
      <w:r w:rsidRPr="00B638A8">
        <w:rPr>
          <w:b/>
        </w:rPr>
        <w:t>de la Convención</w:t>
      </w:r>
    </w:p>
    <w:p w:rsidR="000110A9" w:rsidRPr="00B638A8" w:rsidRDefault="000110A9" w:rsidP="000110A9">
      <w:pPr>
        <w:pStyle w:val="HChG"/>
      </w:pPr>
      <w:r w:rsidRPr="00B638A8">
        <w:rPr>
          <w:vertAlign w:val="superscript"/>
        </w:rPr>
        <w:tab/>
      </w:r>
      <w:r w:rsidRPr="00B638A8">
        <w:rPr>
          <w:vertAlign w:val="superscript"/>
        </w:rPr>
        <w:tab/>
      </w:r>
      <w:r w:rsidRPr="00B638A8">
        <w:t>Lista de temas relativa a los informes periódicos</w:t>
      </w:r>
      <w:r>
        <w:t xml:space="preserve"> séptimo</w:t>
      </w:r>
      <w:r>
        <w:br/>
      </w:r>
      <w:r w:rsidRPr="00B638A8">
        <w:t>a noveno combinados de Suiza (CERD/C/CHE/7-9)</w:t>
      </w:r>
    </w:p>
    <w:p w:rsidR="000110A9" w:rsidRDefault="000110A9" w:rsidP="000110A9">
      <w:pPr>
        <w:pStyle w:val="H1G"/>
      </w:pPr>
      <w:r w:rsidRPr="00B638A8">
        <w:tab/>
      </w:r>
      <w:r w:rsidRPr="00B638A8">
        <w:tab/>
        <w:t>Nota del Relator para el país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0110A9" w:rsidTr="008C7B84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0110A9" w:rsidRDefault="000110A9" w:rsidP="008C7B84">
            <w:pPr>
              <w:spacing w:line="240" w:lineRule="auto"/>
            </w:pPr>
          </w:p>
        </w:tc>
      </w:tr>
      <w:tr w:rsidR="000110A9" w:rsidTr="008C7B8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0110A9" w:rsidRDefault="000110A9" w:rsidP="008C7B84">
            <w:pPr>
              <w:spacing w:after="120"/>
              <w:jc w:val="both"/>
            </w:pPr>
            <w:r w:rsidRPr="00B638A8">
              <w:tab/>
              <w:t>El Comité para la Eliminación de la Discriminación Racial decidió en su 76º período de sesiones (A/65/18,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exhaustiva: durante el diálogo con el Estado parte p</w:t>
            </w:r>
            <w:r>
              <w:t xml:space="preserve">odrán abordarse otros asuntos. </w:t>
            </w:r>
            <w:r w:rsidRPr="00B638A8">
              <w:t>No se requieren respuestas por escrito.</w:t>
            </w:r>
          </w:p>
        </w:tc>
      </w:tr>
      <w:tr w:rsidR="000110A9" w:rsidTr="008C7B84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0110A9" w:rsidRDefault="000110A9" w:rsidP="008C7B84">
            <w:pPr>
              <w:spacing w:line="240" w:lineRule="auto"/>
            </w:pPr>
          </w:p>
        </w:tc>
      </w:tr>
    </w:tbl>
    <w:p w:rsidR="000110A9" w:rsidRPr="00B638A8" w:rsidRDefault="000110A9" w:rsidP="000110A9">
      <w:pPr>
        <w:pStyle w:val="H23G"/>
      </w:pPr>
      <w:r w:rsidRPr="00B638A8">
        <w:tab/>
        <w:t>1.</w:t>
      </w:r>
      <w:r w:rsidRPr="00B638A8">
        <w:tab/>
        <w:t>La Convención en el derecho interno; marco insti</w:t>
      </w:r>
      <w:r>
        <w:t>tucional y normativo para</w:t>
      </w:r>
      <w:r>
        <w:br/>
      </w:r>
      <w:r w:rsidRPr="00B638A8">
        <w:t>su aplicación (artículos 2, 4, 6 y 7)</w:t>
      </w:r>
    </w:p>
    <w:p w:rsidR="000110A9" w:rsidRPr="00B638A8" w:rsidRDefault="000110A9" w:rsidP="000110A9">
      <w:pPr>
        <w:pStyle w:val="SingleTxtG"/>
      </w:pPr>
      <w:r>
        <w:tab/>
      </w:r>
      <w:r w:rsidRPr="00B638A8">
        <w:t>a)</w:t>
      </w:r>
      <w:r>
        <w:tab/>
      </w:r>
      <w:r w:rsidRPr="00B638A8">
        <w:t>Progresos realizados para normalizar y reforzar la protección jurídica contra la discriminación en todo el Estado parte, incluidas la aprobación de una legislación amplia a nivel federal que contenga una definición clara de la discriminación racial, de conformidad con el artículo 1 de la Convención (CERD/C/CHE/7-9, párrs. 141, 266 y 267) y la promulgación de leyes contra la discriminación en los demás cantones (CERD/C/CHE/CO/6, párr. 9);</w:t>
      </w:r>
    </w:p>
    <w:p w:rsidR="000110A9" w:rsidRPr="00B638A8" w:rsidRDefault="000110A9" w:rsidP="000110A9">
      <w:pPr>
        <w:pStyle w:val="SingleTxtG"/>
      </w:pPr>
      <w:r>
        <w:tab/>
        <w:t>b)</w:t>
      </w:r>
      <w:r>
        <w:tab/>
      </w:r>
      <w:r w:rsidRPr="00B638A8">
        <w:t xml:space="preserve">Información actualizada sobre los casos de discriminación racial examinados por los tribunales, incluida la violencia racista (CERD/C/CHE/7-9, párr. 136), y sobre los efectos de las medidas aplicadas para mejorar el conocimiento de los recursos jurídicos </w:t>
      </w:r>
      <w:r w:rsidRPr="00C93A16">
        <w:rPr>
          <w:spacing w:val="-2"/>
        </w:rPr>
        <w:t xml:space="preserve">disponibles </w:t>
      </w:r>
      <w:r w:rsidRPr="00C93A16">
        <w:t>en</w:t>
      </w:r>
      <w:r w:rsidRPr="00C93A16">
        <w:rPr>
          <w:spacing w:val="-2"/>
        </w:rPr>
        <w:t xml:space="preserve"> </w:t>
      </w:r>
      <w:r w:rsidRPr="00C93A16">
        <w:t>el</w:t>
      </w:r>
      <w:r w:rsidRPr="00C93A16">
        <w:rPr>
          <w:spacing w:val="-2"/>
        </w:rPr>
        <w:t xml:space="preserve"> </w:t>
      </w:r>
      <w:r w:rsidRPr="00C93A16">
        <w:t>número</w:t>
      </w:r>
      <w:r w:rsidRPr="00C93A16">
        <w:rPr>
          <w:spacing w:val="-2"/>
        </w:rPr>
        <w:t xml:space="preserve"> de </w:t>
      </w:r>
      <w:r w:rsidRPr="00C93A16">
        <w:t>causas</w:t>
      </w:r>
      <w:r w:rsidRPr="00C93A16">
        <w:rPr>
          <w:spacing w:val="-2"/>
        </w:rPr>
        <w:t xml:space="preserve"> </w:t>
      </w:r>
      <w:r w:rsidRPr="00C93A16">
        <w:t>sometidas</w:t>
      </w:r>
      <w:r w:rsidRPr="00C93A16">
        <w:rPr>
          <w:spacing w:val="-2"/>
        </w:rPr>
        <w:t xml:space="preserve"> a los tribunales (CERD/C/CHE/7-9, párr. 268);</w:t>
      </w:r>
    </w:p>
    <w:p w:rsidR="000110A9" w:rsidRPr="00B638A8" w:rsidRDefault="000110A9" w:rsidP="000110A9">
      <w:pPr>
        <w:pStyle w:val="SingleTxtG"/>
      </w:pPr>
      <w:r>
        <w:tab/>
        <w:t>c)</w:t>
      </w:r>
      <w:r>
        <w:tab/>
      </w:r>
      <w:r w:rsidRPr="00B638A8">
        <w:t>Compatibilidad de las iniciativas populares con las obligaciones que incumben al Estado parte en virtud del derecho internacional de los derechos humanos (CERD/C/CHE/7-9, párrs. 26 a 30);</w:t>
      </w:r>
    </w:p>
    <w:p w:rsidR="000110A9" w:rsidRPr="00B638A8" w:rsidRDefault="000110A9" w:rsidP="000110A9">
      <w:pPr>
        <w:pStyle w:val="SingleTxtG"/>
      </w:pPr>
      <w:r>
        <w:tab/>
        <w:t>d)</w:t>
      </w:r>
      <w:r>
        <w:tab/>
      </w:r>
      <w:r w:rsidRPr="00B638A8">
        <w:t xml:space="preserve">Medidas adoptadas para reforzar el mandato de la Comisión Federal contra el Racismo, incluida la provisión de fondos suficientes (CERD/C/CHE/CO/6, párr. 10); </w:t>
      </w:r>
    </w:p>
    <w:p w:rsidR="000110A9" w:rsidRPr="00B638A8" w:rsidRDefault="000110A9" w:rsidP="000110A9">
      <w:pPr>
        <w:pStyle w:val="SingleTxtG"/>
      </w:pPr>
      <w:r>
        <w:tab/>
        <w:t>e)</w:t>
      </w:r>
      <w:r>
        <w:tab/>
      </w:r>
      <w:r w:rsidRPr="00B638A8">
        <w:t>Información actualizada sobre la protección jurídica contra la discriminación en el lugar de trabajo (CERD/C/CHE/7-9, párr. 175);</w:t>
      </w:r>
    </w:p>
    <w:p w:rsidR="000110A9" w:rsidRPr="00B638A8" w:rsidRDefault="000110A9" w:rsidP="000110A9">
      <w:pPr>
        <w:pStyle w:val="SingleTxtG"/>
      </w:pPr>
      <w:r>
        <w:tab/>
        <w:t>f)</w:t>
      </w:r>
      <w:r>
        <w:tab/>
      </w:r>
      <w:r w:rsidRPr="00B638A8">
        <w:t>Racismo y xenofobia en las campañas políticas y medidas específicas adoptadas para hacer frente a esta cuestión, incluidas las medidas jurídicas o administrativas adoptadas contra dirigentes, asociaciones y partidos políticos;</w:t>
      </w:r>
      <w:r>
        <w:t xml:space="preserve"> </w:t>
      </w:r>
    </w:p>
    <w:p w:rsidR="000110A9" w:rsidRPr="00B638A8" w:rsidRDefault="000110A9" w:rsidP="000110A9">
      <w:pPr>
        <w:pStyle w:val="SingleTxtG"/>
      </w:pPr>
      <w:r>
        <w:tab/>
        <w:t>g)</w:t>
      </w:r>
      <w:r>
        <w:tab/>
      </w:r>
      <w:r w:rsidRPr="00B638A8">
        <w:t>Información sobre las estrategias adoptadas para combatir el extremismo de derecha a nivel nacional, cantonal y comunal y sobre los efectos de esas medidas (CERD/C/CHE/7-9, párr. 254);</w:t>
      </w:r>
    </w:p>
    <w:p w:rsidR="000110A9" w:rsidRPr="00B638A8" w:rsidRDefault="000110A9" w:rsidP="000110A9">
      <w:pPr>
        <w:pStyle w:val="SingleTxtG"/>
      </w:pPr>
      <w:r>
        <w:tab/>
        <w:t>h)</w:t>
      </w:r>
      <w:r>
        <w:tab/>
      </w:r>
      <w:r w:rsidRPr="00B638A8">
        <w:t>Información sobre la prevalencia del uso de perfiles raciales y sobre las medidas pertinentes adoptadas en los can</w:t>
      </w:r>
      <w:r>
        <w:t>tones distintos del cantón de Zu</w:t>
      </w:r>
      <w:r w:rsidRPr="00B638A8">
        <w:t>rich (CER</w:t>
      </w:r>
      <w:r w:rsidR="00E55394">
        <w:t>D/C/CHE/7-9, párrs. 292 a 296);</w:t>
      </w:r>
    </w:p>
    <w:p w:rsidR="000110A9" w:rsidRPr="00B638A8" w:rsidRDefault="000110A9" w:rsidP="000110A9">
      <w:pPr>
        <w:pStyle w:val="SingleTxtG"/>
      </w:pPr>
      <w:r>
        <w:tab/>
        <w:t>i)</w:t>
      </w:r>
      <w:r>
        <w:tab/>
      </w:r>
      <w:r w:rsidRPr="00B638A8">
        <w:t>Progresos en la prohibición y sanción de la utilización pública de símbolos que hacen apología de los movimientos extremistas que hacen llamamientos a la violencia y a la discriminación raci</w:t>
      </w:r>
      <w:r w:rsidR="00E55394">
        <w:t>al (CERD/C/CHE/7-9, párr. 140).</w:t>
      </w:r>
    </w:p>
    <w:p w:rsidR="000110A9" w:rsidRPr="00B638A8" w:rsidRDefault="000110A9" w:rsidP="000110A9">
      <w:pPr>
        <w:pStyle w:val="H23G"/>
      </w:pPr>
      <w:r w:rsidRPr="00B638A8">
        <w:tab/>
        <w:t>2.</w:t>
      </w:r>
      <w:r w:rsidRPr="00B638A8">
        <w:tab/>
        <w:t xml:space="preserve">Situación de las comunidades étnicas y minoritarias (artículos 2 a 7) </w:t>
      </w:r>
    </w:p>
    <w:p w:rsidR="000110A9" w:rsidRPr="00B638A8" w:rsidRDefault="000110A9" w:rsidP="000110A9">
      <w:pPr>
        <w:pStyle w:val="SingleTxtG"/>
      </w:pPr>
      <w:r>
        <w:tab/>
        <w:t>a)</w:t>
      </w:r>
      <w:r>
        <w:tab/>
      </w:r>
      <w:r w:rsidRPr="00B638A8">
        <w:t>Información actualizada sobre la situación de los romaníes, incluidos los migrantes, particularmente en relación con el acceso al empleo, la vivienda y la educación, y medidas adoptadas para combatir los estereotipos negativos y sus efectos (CERD/C/CHE/7-9, párrs. 343 a 350);</w:t>
      </w:r>
    </w:p>
    <w:p w:rsidR="000110A9" w:rsidRPr="00B638A8" w:rsidRDefault="000110A9" w:rsidP="000110A9">
      <w:pPr>
        <w:pStyle w:val="SingleTxtG"/>
      </w:pPr>
      <w:r>
        <w:tab/>
        <w:t>b)</w:t>
      </w:r>
      <w:r>
        <w:tab/>
      </w:r>
      <w:r w:rsidRPr="00B638A8">
        <w:t xml:space="preserve">Información actualizada sobre la aprobación de una prohibición del uso de </w:t>
      </w:r>
      <w:r>
        <w:t>tocados</w:t>
      </w:r>
      <w:r w:rsidRPr="00B638A8">
        <w:t xml:space="preserve"> que ocultan el rostro en lugares públicos en el Tesino;</w:t>
      </w:r>
    </w:p>
    <w:p w:rsidR="000110A9" w:rsidRPr="00B638A8" w:rsidRDefault="000110A9" w:rsidP="000110A9">
      <w:pPr>
        <w:pStyle w:val="SingleTxtG"/>
      </w:pPr>
      <w:r>
        <w:tab/>
        <w:t>c)</w:t>
      </w:r>
      <w:r>
        <w:tab/>
      </w:r>
      <w:r w:rsidRPr="00B638A8">
        <w:t>Información sobre los obstáculos al ejercicio de los derechos de los grupos étnicos yeniches, manuches y sintis que se han vuelto sedentarios</w:t>
      </w:r>
      <w:r>
        <w:t xml:space="preserve"> </w:t>
      </w:r>
      <w:r w:rsidRPr="00B638A8">
        <w:t>(CER</w:t>
      </w:r>
      <w:r w:rsidR="00263F90">
        <w:t>D/C/CHE/7-9, párrs. 344 y 345).</w:t>
      </w:r>
    </w:p>
    <w:p w:rsidR="000110A9" w:rsidRPr="00B638A8" w:rsidRDefault="000110A9" w:rsidP="000110A9">
      <w:pPr>
        <w:pStyle w:val="H23G"/>
      </w:pPr>
      <w:r w:rsidRPr="00B638A8">
        <w:tab/>
        <w:t>3.</w:t>
      </w:r>
      <w:r w:rsidRPr="00B638A8">
        <w:tab/>
      </w:r>
      <w:r w:rsidRPr="004464EA">
        <w:rPr>
          <w:spacing w:val="2"/>
        </w:rPr>
        <w:t>Acceso a la justicia; discriminación contra los no ciudadanos, incluidos</w:t>
      </w:r>
      <w:r w:rsidR="00263F90">
        <w:rPr>
          <w:spacing w:val="2"/>
        </w:rPr>
        <w:t xml:space="preserve"> los</w:t>
      </w:r>
      <w:r>
        <w:br/>
      </w:r>
      <w:r w:rsidRPr="00B638A8">
        <w:t>inmigrantes, los refugiados y los solicitantes de asilo (artículos 5, 6 y 7)</w:t>
      </w:r>
    </w:p>
    <w:p w:rsidR="000110A9" w:rsidRPr="00B638A8" w:rsidRDefault="000110A9" w:rsidP="000110A9">
      <w:pPr>
        <w:pStyle w:val="SingleTxtG"/>
      </w:pPr>
      <w:r>
        <w:tab/>
        <w:t>a)</w:t>
      </w:r>
      <w:r>
        <w:tab/>
      </w:r>
      <w:r w:rsidRPr="00B638A8">
        <w:t xml:space="preserve">Efectos de la enmienda de la Ley de asilo sobre los derechos de los solicitantes de asilo, incluido el derecho a la libertad de circulación y de acceso a lugares públicos; </w:t>
      </w:r>
    </w:p>
    <w:p w:rsidR="000110A9" w:rsidRPr="00B638A8" w:rsidRDefault="000110A9" w:rsidP="000110A9">
      <w:pPr>
        <w:pStyle w:val="SingleTxtG"/>
      </w:pPr>
      <w:r>
        <w:tab/>
        <w:t>b)</w:t>
      </w:r>
      <w:r>
        <w:tab/>
      </w:r>
      <w:r w:rsidRPr="00B638A8">
        <w:t>Información sobe las denuncias de uso excesivo de la fuerza por la policía durante la detención, la privación de libertad o la expulsión de solicitantes de asilo e inmigrantes, las investigaciones llevadas a cabo y sus re</w:t>
      </w:r>
      <w:r>
        <w:t>sultados (CERD/C/CHE/7-9, párr. </w:t>
      </w:r>
      <w:r w:rsidRPr="00B638A8">
        <w:t>302);</w:t>
      </w:r>
    </w:p>
    <w:p w:rsidR="000110A9" w:rsidRPr="00B638A8" w:rsidRDefault="000110A9" w:rsidP="000110A9">
      <w:pPr>
        <w:pStyle w:val="SingleTxtG"/>
      </w:pPr>
      <w:r>
        <w:tab/>
        <w:t>c)</w:t>
      </w:r>
      <w:r>
        <w:tab/>
      </w:r>
      <w:r w:rsidRPr="00B638A8">
        <w:t>Situación de las personas que dependen de la ayuda de emergencia, incluidos los niños que viven en viviendas de emergencia, y su derecho a la educación (CERD/C/CHE/7-9, párr. 215);</w:t>
      </w:r>
    </w:p>
    <w:p w:rsidR="000110A9" w:rsidRDefault="000110A9" w:rsidP="00E55394">
      <w:pPr>
        <w:pStyle w:val="SingleTxtG"/>
        <w:spacing w:after="240"/>
      </w:pPr>
      <w:r>
        <w:tab/>
        <w:t>d)</w:t>
      </w:r>
      <w:r>
        <w:tab/>
      </w:r>
      <w:r w:rsidRPr="00B638A8">
        <w:t>Sistema de naturalización y ausencia de criterios normalizados y de un procedimiento de apelación a nivel cantonal (CERD/C/CHE/7-9, párrs. 336 a 342).</w:t>
      </w:r>
    </w:p>
    <w:p w:rsidR="00381C24" w:rsidRPr="000110A9" w:rsidRDefault="000110A9" w:rsidP="00E55394">
      <w:pPr>
        <w:pStyle w:val="SingleTxtG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0110A9" w:rsidSect="000110A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4138" w:rsidRPr="00D43FF0" w:rsidRDefault="00194138" w:rsidP="00D43FF0">
      <w:pPr>
        <w:pStyle w:val="Footer"/>
      </w:pPr>
    </w:p>
  </w:endnote>
  <w:endnote w:type="continuationSeparator" w:id="0">
    <w:p w:rsidR="00194138" w:rsidRPr="00D43FF0" w:rsidRDefault="00194138" w:rsidP="00D43FF0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0A9" w:rsidRPr="000110A9" w:rsidRDefault="000110A9" w:rsidP="000110A9">
    <w:pPr>
      <w:pStyle w:val="Footer"/>
      <w:tabs>
        <w:tab w:val="right" w:pos="9638"/>
      </w:tabs>
    </w:pPr>
    <w:r w:rsidRPr="000110A9">
      <w:rPr>
        <w:b/>
        <w:sz w:val="18"/>
      </w:rPr>
      <w:fldChar w:fldCharType="begin"/>
    </w:r>
    <w:r w:rsidRPr="000110A9">
      <w:rPr>
        <w:b/>
        <w:sz w:val="18"/>
      </w:rPr>
      <w:instrText xml:space="preserve"> PAGE  \* MERGEFORMAT </w:instrText>
    </w:r>
    <w:r w:rsidRPr="000110A9">
      <w:rPr>
        <w:b/>
        <w:sz w:val="18"/>
      </w:rPr>
      <w:fldChar w:fldCharType="separate"/>
    </w:r>
    <w:r w:rsidR="00E55394">
      <w:rPr>
        <w:b/>
        <w:noProof/>
        <w:sz w:val="18"/>
      </w:rPr>
      <w:t>2</w:t>
    </w:r>
    <w:r w:rsidRPr="000110A9">
      <w:rPr>
        <w:b/>
        <w:sz w:val="18"/>
      </w:rPr>
      <w:fldChar w:fldCharType="end"/>
    </w:r>
    <w:r>
      <w:rPr>
        <w:b/>
        <w:sz w:val="18"/>
      </w:rPr>
      <w:tab/>
    </w:r>
    <w:r>
      <w:t>GE.13-49601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0A9" w:rsidRPr="000110A9" w:rsidRDefault="000110A9" w:rsidP="000110A9">
    <w:pPr>
      <w:pStyle w:val="Footer"/>
      <w:tabs>
        <w:tab w:val="right" w:pos="9638"/>
      </w:tabs>
      <w:rPr>
        <w:b/>
        <w:sz w:val="18"/>
      </w:rPr>
    </w:pPr>
    <w:r>
      <w:t>GE.13-49601</w:t>
    </w:r>
    <w:r>
      <w:tab/>
    </w:r>
    <w:r w:rsidRPr="000110A9">
      <w:rPr>
        <w:b/>
        <w:sz w:val="18"/>
      </w:rPr>
      <w:fldChar w:fldCharType="begin"/>
    </w:r>
    <w:r w:rsidRPr="000110A9">
      <w:rPr>
        <w:b/>
        <w:sz w:val="18"/>
      </w:rPr>
      <w:instrText xml:space="preserve"> PAGE  \* MERGEFORMAT </w:instrText>
    </w:r>
    <w:r w:rsidRPr="000110A9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0110A9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0A9" w:rsidRDefault="000110A9" w:rsidP="000110A9">
    <w:pPr>
      <w:pStyle w:val="Footer"/>
      <w:spacing w:before="240"/>
      <w:rPr>
        <w:sz w:val="20"/>
      </w:rPr>
    </w:pPr>
    <w:r>
      <w:rPr>
        <w:sz w:val="20"/>
      </w:rPr>
      <w:t>GE.</w:t>
    </w:r>
    <w:r w:rsidR="0019413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5.5pt;height:18pt;z-index:1;mso-position-horizontal-relative:margin;mso-position-vertical-relative:margin" wrapcoords="18189 0 0 9900 -189 12600 -189 17100 758 19800 19516 19800 20274 19800 21032 14400 21600 14400 21600 8100 20653 0 18189 0">
          <v:imagedata r:id="rId1" o:title="recycle_Spanish"/>
          <w10:wrap anchorx="margin" anchory="margin"/>
          <w10:anchorlock/>
        </v:shape>
      </w:pict>
    </w:r>
    <w:r>
      <w:rPr>
        <w:sz w:val="20"/>
      </w:rPr>
      <w:t>13-49601  (S)    030114    060114</w:t>
    </w:r>
  </w:p>
  <w:p w:rsidR="00194138" w:rsidRPr="000110A9" w:rsidRDefault="000110A9" w:rsidP="000110A9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7-9&amp;Size=2&amp;Lang=S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4138" w:rsidRPr="001075E9" w:rsidRDefault="0019413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94138" w:rsidRDefault="00194138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0A9" w:rsidRPr="000110A9" w:rsidRDefault="000110A9">
    <w:pPr>
      <w:pStyle w:val="Header"/>
    </w:pPr>
    <w:r>
      <w:t>CERD/C/CHE/Q/7-9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0A9" w:rsidRPr="000110A9" w:rsidRDefault="000110A9" w:rsidP="000110A9">
    <w:pPr>
      <w:pStyle w:val="Header"/>
      <w:jc w:val="right"/>
    </w:pPr>
    <w:r>
      <w:t>CERD/C/CHE/Q/7-9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4138"/>
    <w:rsid w:val="00006BB9"/>
    <w:rsid w:val="000107A1"/>
    <w:rsid w:val="000110A9"/>
    <w:rsid w:val="0002339D"/>
    <w:rsid w:val="00036733"/>
    <w:rsid w:val="000B57E7"/>
    <w:rsid w:val="000F09DF"/>
    <w:rsid w:val="000F61B2"/>
    <w:rsid w:val="00103A93"/>
    <w:rsid w:val="001075E9"/>
    <w:rsid w:val="00133DFF"/>
    <w:rsid w:val="00145F2F"/>
    <w:rsid w:val="00160FF7"/>
    <w:rsid w:val="00180183"/>
    <w:rsid w:val="00194138"/>
    <w:rsid w:val="00196389"/>
    <w:rsid w:val="001C7A89"/>
    <w:rsid w:val="00201F1A"/>
    <w:rsid w:val="002433EC"/>
    <w:rsid w:val="0025226E"/>
    <w:rsid w:val="00263F90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3B0F58"/>
    <w:rsid w:val="004031F0"/>
    <w:rsid w:val="00454E07"/>
    <w:rsid w:val="00471CB3"/>
    <w:rsid w:val="0050108D"/>
    <w:rsid w:val="0051740C"/>
    <w:rsid w:val="00572E19"/>
    <w:rsid w:val="005F0B42"/>
    <w:rsid w:val="00634841"/>
    <w:rsid w:val="00655A21"/>
    <w:rsid w:val="006725B3"/>
    <w:rsid w:val="006808A9"/>
    <w:rsid w:val="006D631C"/>
    <w:rsid w:val="006F35EE"/>
    <w:rsid w:val="007021FF"/>
    <w:rsid w:val="007076CB"/>
    <w:rsid w:val="007967DF"/>
    <w:rsid w:val="00834B71"/>
    <w:rsid w:val="0086445C"/>
    <w:rsid w:val="00865FAC"/>
    <w:rsid w:val="008728CD"/>
    <w:rsid w:val="008A08D7"/>
    <w:rsid w:val="008A13F9"/>
    <w:rsid w:val="008C0F65"/>
    <w:rsid w:val="008C7B84"/>
    <w:rsid w:val="00906890"/>
    <w:rsid w:val="00951972"/>
    <w:rsid w:val="00954E65"/>
    <w:rsid w:val="00A17DFD"/>
    <w:rsid w:val="00A4674B"/>
    <w:rsid w:val="00A917B3"/>
    <w:rsid w:val="00AB4B51"/>
    <w:rsid w:val="00B066FC"/>
    <w:rsid w:val="00B10CC7"/>
    <w:rsid w:val="00B62458"/>
    <w:rsid w:val="00B778C8"/>
    <w:rsid w:val="00BA3587"/>
    <w:rsid w:val="00BB36EA"/>
    <w:rsid w:val="00BD33EE"/>
    <w:rsid w:val="00C60F0C"/>
    <w:rsid w:val="00C63C2A"/>
    <w:rsid w:val="00C805C9"/>
    <w:rsid w:val="00CA1679"/>
    <w:rsid w:val="00D05347"/>
    <w:rsid w:val="00D43FF0"/>
    <w:rsid w:val="00D90138"/>
    <w:rsid w:val="00DA26B8"/>
    <w:rsid w:val="00DD4E25"/>
    <w:rsid w:val="00E55394"/>
    <w:rsid w:val="00E73F76"/>
    <w:rsid w:val="00EA31D8"/>
    <w:rsid w:val="00EA5579"/>
    <w:rsid w:val="00EF1360"/>
    <w:rsid w:val="00EF3220"/>
    <w:rsid w:val="00EF7198"/>
    <w:rsid w:val="00F41883"/>
    <w:rsid w:val="00F94155"/>
    <w:rsid w:val="00FD2EF7"/>
    <w:rsid w:val="00FD4AD6"/>
    <w:rsid w:val="00FF1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31D8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EA31D8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A31D8"/>
  </w:style>
  <w:style w:type="character" w:styleId="FootnoteReference">
    <w:name w:val="footnote reference"/>
    <w:aliases w:val="4_G"/>
    <w:basedOn w:val="DefaultParagraphFont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semiHidden/>
    <w:rsid w:val="00EA31D8"/>
    <w:pPr>
      <w:ind w:left="4252"/>
    </w:pPr>
  </w:style>
  <w:style w:type="character" w:styleId="HTMLCite">
    <w:name w:val="HTML Cite"/>
    <w:basedOn w:val="DefaultParagraphFont"/>
    <w:semiHidden/>
    <w:rsid w:val="00EA31D8"/>
    <w:rPr>
      <w:i/>
      <w:iCs/>
    </w:rPr>
  </w:style>
  <w:style w:type="character" w:styleId="HTMLCode">
    <w:name w:val="HTML Code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EA31D8"/>
    <w:rPr>
      <w:i/>
      <w:iCs/>
    </w:rPr>
  </w:style>
  <w:style w:type="paragraph" w:styleId="HTMLAddress">
    <w:name w:val="HTML Address"/>
    <w:basedOn w:val="Normal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EA31D8"/>
  </w:style>
  <w:style w:type="character" w:styleId="Emphasis">
    <w:name w:val="Emphasis"/>
    <w:basedOn w:val="DefaultParagraphFont"/>
    <w:qFormat/>
    <w:rsid w:val="00EA31D8"/>
    <w:rPr>
      <w:i/>
      <w:iCs/>
    </w:rPr>
  </w:style>
  <w:style w:type="paragraph" w:styleId="Date">
    <w:name w:val="Date"/>
    <w:basedOn w:val="Normal"/>
    <w:next w:val="Normal"/>
    <w:semiHidden/>
    <w:rsid w:val="00EA31D8"/>
  </w:style>
  <w:style w:type="paragraph" w:styleId="Signature">
    <w:name w:val="Signature"/>
    <w:basedOn w:val="Normal"/>
    <w:semiHidden/>
    <w:rsid w:val="00EA31D8"/>
    <w:pPr>
      <w:ind w:left="4252"/>
    </w:pPr>
  </w:style>
  <w:style w:type="paragraph" w:styleId="E-mailSignature">
    <w:name w:val="E-mail Signature"/>
    <w:basedOn w:val="Normal"/>
    <w:semiHidden/>
    <w:rsid w:val="00EA31D8"/>
  </w:style>
  <w:style w:type="character" w:styleId="Hyperlink">
    <w:name w:val="Hyperlink"/>
    <w:basedOn w:val="DefaultParagraphFont"/>
    <w:semiHidden/>
    <w:rsid w:val="00EA31D8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EA31D8"/>
    <w:rPr>
      <w:color w:val="800080"/>
      <w:u w:val="single"/>
    </w:rPr>
  </w:style>
  <w:style w:type="paragraph" w:styleId="HTMLPreformatted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basedOn w:val="DefaultParagraphFont"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rsid w:val="00EA31D8"/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EA31D8"/>
  </w:style>
  <w:style w:type="paragraph" w:styleId="BodyTextIndent2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qFormat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EA31D8"/>
    <w:rPr>
      <w:b/>
      <w:bCs/>
    </w:rPr>
  </w:style>
  <w:style w:type="paragraph" w:styleId="BodyText">
    <w:name w:val="Body Text"/>
    <w:basedOn w:val="Normal"/>
    <w:semiHidden/>
    <w:rsid w:val="00EA31D8"/>
    <w:pPr>
      <w:spacing w:after="120"/>
    </w:pPr>
  </w:style>
  <w:style w:type="paragraph" w:styleId="BodyText2">
    <w:name w:val="Body Text 2"/>
    <w:basedOn w:val="Normal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rsid w:val="00EA31D8"/>
  </w:style>
  <w:style w:type="paragraph" w:styleId="PlainText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qFormat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EA31D8"/>
    <w:rPr>
      <w:i/>
      <w:iCs/>
    </w:rPr>
  </w:style>
  <w:style w:type="paragraph" w:customStyle="1" w:styleId="Bullet1G">
    <w:name w:val="_Bullet 1_G"/>
    <w:basedOn w:val="Normal"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EA31D8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2</Pages>
  <Words>768</Words>
  <Characters>4213</Characters>
  <Application>Microsoft Office Outlook</Application>
  <DocSecurity>4</DocSecurity>
  <Lines>86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CERD/C/CHE/Q/7-9</vt:lpstr>
    </vt:vector>
  </TitlesOfParts>
  <Company/>
  <LinksUpToDate>false</LinksUpToDate>
  <CharactersWithSpaces>4979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CERD/C/CHE/Q/7-9</dc:title>
  <dc:subject>Final</dc:subject>
  <dc:creator>Carlos Bragunde</dc:creator>
  <cp:keywords/>
  <dc:description/>
  <cp:lastModifiedBy>Carlos Bragunde</cp:lastModifiedBy>
  <cp:revision>2</cp:revision>
  <cp:lastPrinted>2014-01-06T09:06:00Z</cp:lastPrinted>
  <dcterms:created xsi:type="dcterms:W3CDTF">2014-01-06T09:10:00Z</dcterms:created>
  <dcterms:modified xsi:type="dcterms:W3CDTF">2014-01-06T09:10:00Z</dcterms:modified>
</cp:coreProperties>
</file>