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Pr>
          <w:b/>
          <w:bCs/>
        </w:rPr>
        <w:t>Trente et unième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6-23 juillet 2004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Ouverture de la session.</w:t>
      </w:r>
    </w:p>
    <w:p w:rsidR="00000000" w:rsidRDefault="00000000">
      <w:pPr>
        <w:pStyle w:val="SingleTxt"/>
      </w:pPr>
      <w:r>
        <w:t>2.</w:t>
      </w:r>
      <w:r>
        <w:tab/>
        <w:t>Adoption de l’ordre du jour et organisation des travaux.</w:t>
      </w:r>
    </w:p>
    <w:p w:rsidR="00000000" w:rsidRDefault="00000000">
      <w:pPr>
        <w:pStyle w:val="SingleTxt"/>
        <w:ind w:left="1742" w:hanging="475"/>
      </w:pPr>
      <w:r>
        <w:t>3.</w:t>
      </w:r>
      <w:r>
        <w:tab/>
        <w:t>Rapport de la Présidente sur les activités menées entre les trentième et trente et unième sessions du Comité.</w:t>
      </w:r>
    </w:p>
    <w:p w:rsidR="00000000" w:rsidRDefault="00000000">
      <w:pPr>
        <w:pStyle w:val="SingleTxt"/>
        <w:ind w:left="1742" w:hanging="475"/>
      </w:pPr>
      <w:r>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1742" w:hanging="475"/>
      </w:pPr>
      <w:r>
        <w:t>5.</w:t>
      </w:r>
      <w:r>
        <w:tab/>
        <w:t>Application de l’article 21 de la Convention sur l’élimination de toutes les formes de discrimination à l’égard des femmes.</w:t>
      </w:r>
    </w:p>
    <w:p w:rsidR="00000000" w:rsidRDefault="00000000">
      <w:pPr>
        <w:pStyle w:val="SingleTxt"/>
        <w:ind w:left="1742" w:hanging="475"/>
      </w:pPr>
      <w:r>
        <w:t>6.</w:t>
      </w:r>
      <w:r>
        <w:tab/>
        <w:t>Moyens d’accélérer les travaux du Comité.</w:t>
      </w:r>
    </w:p>
    <w:p w:rsidR="00000000" w:rsidRDefault="00000000">
      <w:pPr>
        <w:pStyle w:val="SingleTxt"/>
        <w:ind w:left="1742" w:hanging="475"/>
      </w:pPr>
      <w:r>
        <w:t>7.</w:t>
      </w:r>
      <w:r>
        <w:tab/>
        <w:t>Activités du Comité au titre du Protocole facultatif se rapportant à la Convention sur l’élimination de toutes les formes de discrimination à l’égard des femmes.</w:t>
      </w:r>
    </w:p>
    <w:p w:rsidR="00000000" w:rsidRDefault="00000000">
      <w:pPr>
        <w:pStyle w:val="SingleTxt"/>
        <w:ind w:left="1742" w:hanging="475"/>
      </w:pPr>
      <w:r>
        <w:t>8.</w:t>
      </w:r>
      <w:r>
        <w:tab/>
        <w:t>Ordre du jour provisoire de la trente-deuxième session.</w:t>
      </w:r>
    </w:p>
    <w:p w:rsidR="00000000" w:rsidRDefault="00000000">
      <w:pPr>
        <w:pStyle w:val="SingleTxt"/>
        <w:ind w:left="1742" w:hanging="475"/>
      </w:pPr>
      <w:r>
        <w:t>9.</w:t>
      </w:r>
      <w:r>
        <w:tab/>
        <w:t>Adoption du rapport du Comité sur les travaux de sa trente et unième session.</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Annotations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 l’ordre du jour et organisation des travaux</w:t>
      </w:r>
    </w:p>
    <w:p w:rsidR="00000000" w:rsidRDefault="00000000">
      <w:pPr>
        <w:pStyle w:val="SingleTxt"/>
        <w:spacing w:after="0" w:line="120" w:lineRule="exact"/>
        <w:rPr>
          <w:sz w:val="10"/>
        </w:rPr>
      </w:pPr>
    </w:p>
    <w:p w:rsidR="00000000" w:rsidRDefault="00000000">
      <w:pPr>
        <w:pStyle w:val="SingleTxt"/>
      </w:pPr>
      <w:r>
        <w:tab/>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000000" w:rsidRDefault="00000000">
      <w:pPr>
        <w:pStyle w:val="SingleTxt"/>
      </w:pPr>
      <w:r>
        <w:tab/>
        <w:t>À sa trentième session, le Comité a approuvé l’ordre du jour provisoire de sa trente et unième session.</w:t>
      </w:r>
    </w:p>
    <w:p w:rsidR="00000000" w:rsidRDefault="00000000">
      <w:pPr>
        <w:pStyle w:val="SingleTxt"/>
        <w:rPr>
          <w:b/>
          <w:bCs/>
        </w:rPr>
      </w:pPr>
      <w:r>
        <w:rPr>
          <w:b/>
          <w:bCs/>
        </w:rPr>
        <w:t>Documentation</w:t>
      </w:r>
    </w:p>
    <w:p w:rsidR="00000000" w:rsidRDefault="00000000">
      <w:pPr>
        <w:pStyle w:val="SingleTxt"/>
      </w:pPr>
      <w:r>
        <w:t>Ordre du jour provisoire et annotations (CEDAW/C/2004/II/1)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 menées entre les trentième</w:t>
      </w:r>
      <w:r>
        <w:br/>
        <w:t>et trente et unième sessions du Comité</w:t>
      </w:r>
    </w:p>
    <w:p w:rsidR="00000000" w:rsidRDefault="00000000">
      <w:pPr>
        <w:pStyle w:val="SingleTxt"/>
        <w:spacing w:after="0" w:line="120" w:lineRule="exact"/>
        <w:rPr>
          <w:sz w:val="10"/>
        </w:rPr>
      </w:pPr>
    </w:p>
    <w:p w:rsidR="00000000" w:rsidRDefault="00000000">
      <w:pPr>
        <w:pStyle w:val="SingleTxt"/>
      </w:pPr>
      <w:r>
        <w:tab/>
        <w:t>Au titre de ce point de l’ordre du jour, la Présidente informera le Comité des activités et des faits nouveaux intervenus depuis la session précédente, qui ont eu une incidence sur les travaux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w:t>
      </w:r>
      <w:r>
        <w:br/>
        <w:t>de l’article 18 de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pPr>
      <w:r>
        <w:tab/>
        <w:t>Aux termes de l’article 18 de la Convention, les États parties s’engagent à présenter au Secrétaire général, pour examen par le Comité, un rapport sur les mesures d’ordre législatif, judiciaire, administratif ou autre qu’ils auront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w:t>
      </w:r>
    </w:p>
    <w:p w:rsidR="00000000" w:rsidRDefault="00000000">
      <w:pPr>
        <w:pStyle w:val="SingleTxt"/>
      </w:pPr>
      <w:r>
        <w:tab/>
        <w:t>À sa trentième session, le Comité, tenant compte de la priorité à donner aux États parties dont les rapports étaient en instance depuis plus longtemps que les autres ainsi qu’aux rapports initiaux, et soucieux de maintenir un équilibre, notamment géographique, dans l’examen des rapports, a décidé d’inviter huit États parties à présenter des rapports. Tous ont accédé à cette requête.</w:t>
      </w:r>
    </w:p>
    <w:p w:rsidR="00000000" w:rsidRDefault="00000000">
      <w:pPr>
        <w:pStyle w:val="SingleTxt"/>
      </w:pPr>
      <w:r>
        <w:tab/>
        <w:t>À sa trente et unième session, le Comité sera saisi des rapports suivants : rapport unique (valant rapport initial et deuxième et troisième rapports périodiques) de l’Angola (CEDAW/C/AGO/1-3); rapport unique (valant rapport initial et deuxième et troisième rapports périodiques) de la Lettonie (CEDAW/C/LVA/1-3); rapport unique (valant rapport initial et deuxième et troisième rapports périodiques) de Malte (CEDAW/C/MLT/1-3); rapport unique (valant deuxième et troisième rapports périodiques) et rapport unique (valant quatrième et cinquième rapports périodiques) de la Guinée équatoriale (CEDAW/C/GNQ/2-3) et (CEDAW/C/GNQ/4-5); cinquième rapport périodique du Bangladesh (CEDAW/C/BGD/5); cinquième rapport périodique de la République dominicaine (CEDAW/C/DOM/5); cinquième rapport périodique de l’Espagne (CEDAW/C/ESP/5); et rapport complémentaire au cinquième rapport périodique de l’Argentine (CEDAW/C/ARG/5/Add.1)</w:t>
      </w:r>
    </w:p>
    <w:p w:rsidR="00000000" w:rsidRDefault="00000000">
      <w:pPr>
        <w:pStyle w:val="SingleTxt"/>
      </w:pPr>
      <w:r>
        <w:tab/>
        <w:t>Aux termes de l’article 51 du Règlement intérieur du Comité, les États parties sont représentés aux réunions du Comité au cours desquelles leurs rapports sont examinés; leurs représentants participent aux débats et répondent aux questions ayant trait auxdits rapports. Le Secrétaire général a informé les États parties intéressés des dates provisoires de l’examen de leurs rapports par le Comité à sa trente et unième session.</w:t>
      </w:r>
    </w:p>
    <w:p w:rsidR="00000000" w:rsidRDefault="00000000">
      <w:pPr>
        <w:pStyle w:val="SingleTxt"/>
      </w:pPr>
      <w:r>
        <w:tab/>
        <w:t>Aux termes de l’article 49, à chaque session le Secrétaire général fait part au Comité de tous les cas de non-réception des rapports demandés aux États parties conformément à l’article 18 de la Convention. En outre, il remet au Comité une liste des rapports soumis par les États parties que celui-ci n’a pas encore examinés. À sa trente et unième session, le Comité sera donc saisi du rapport du Secrétaire général sur la présentation de rapports par les États parties en application de l’article 18 de la Convention (CEDAW/C/2004/II/2).</w:t>
      </w:r>
    </w:p>
    <w:p w:rsidR="00000000" w:rsidRDefault="00000000">
      <w:pPr>
        <w:pStyle w:val="SingleTxt"/>
      </w:pPr>
      <w:r>
        <w:tab/>
        <w:t>Un groupe de travail présession du Comité se réunit avant chaque session pour établir une liste d’observations et de questions se rapportant aux rapports périodiques, qui est distribuée aux représentants des États parties avant les réunions au cours desquelles leurs rapports doivent être examinés. Celui de la trente et unième session s’est réuni à New York du 3 au 5 février 2004. Le Comité sera saisi du rapport du groupe de travail présession et des réponses des États parties à la liste des observations et des questions qui leur a été distribuée (CEDAW/PSWG/2004/II/CRP.1 et 2 et additifs).</w:t>
      </w:r>
    </w:p>
    <w:p w:rsidR="00000000" w:rsidRDefault="00000000">
      <w:pPr>
        <w:pStyle w:val="SingleTxt"/>
        <w:rPr>
          <w:b/>
          <w:bCs/>
        </w:rPr>
      </w:pPr>
      <w:r>
        <w:rPr>
          <w:b/>
          <w:bCs/>
        </w:rPr>
        <w:t>Documentation</w:t>
      </w:r>
    </w:p>
    <w:p w:rsidR="00000000" w:rsidRDefault="00000000">
      <w:pPr>
        <w:pStyle w:val="SingleTxt"/>
      </w:pPr>
      <w:r>
        <w:t>Rapport unique (valant rapport initial et deuxième et troisième rapports périodiques) de l’Angola (CEDAW/C/AGO/1-3)</w:t>
      </w:r>
    </w:p>
    <w:p w:rsidR="00000000" w:rsidRDefault="00000000">
      <w:pPr>
        <w:pStyle w:val="SingleTxt"/>
      </w:pPr>
      <w:r>
        <w:t>Rapport unique (valant rapport initial et deuxième et troisième rapports périodiques) de la Lettonie (CEDAW/C/LVA/1-3)</w:t>
      </w:r>
    </w:p>
    <w:p w:rsidR="00000000" w:rsidRDefault="00000000">
      <w:pPr>
        <w:pStyle w:val="SingleTxt"/>
      </w:pPr>
      <w:r>
        <w:t>Rapport unique (valant rapport initial et deuxième et troisième rapports périodiques) de Malte (CEDAW/C/MLT/1-3)</w:t>
      </w:r>
    </w:p>
    <w:p w:rsidR="00000000" w:rsidRDefault="00000000">
      <w:pPr>
        <w:pStyle w:val="SingleTxt"/>
      </w:pPr>
      <w:r>
        <w:t>Rapport unique (valant deuxième et troisième rapports périodiques) et rapport unique (valant quatrième et cinquième rapports périodiques) de la Guinée équatoriale (CEDAW/C/GNQ/2-3) et (CEDAW/C/GNQ/4-5)</w:t>
      </w:r>
    </w:p>
    <w:p w:rsidR="00000000" w:rsidRDefault="00000000">
      <w:pPr>
        <w:pStyle w:val="SingleTxt"/>
      </w:pPr>
      <w:r>
        <w:t>Cinquième rapport périodique du Bangladesh (CEDAW/C/BGD/5)</w:t>
      </w:r>
    </w:p>
    <w:p w:rsidR="00000000" w:rsidRDefault="00000000">
      <w:pPr>
        <w:pStyle w:val="SingleTxt"/>
      </w:pPr>
      <w:r>
        <w:t>Cinquième rapport périodique de la République dominicaine (CEDAW/C/DOM/5)</w:t>
      </w:r>
    </w:p>
    <w:p w:rsidR="00000000" w:rsidRDefault="00000000">
      <w:pPr>
        <w:pStyle w:val="SingleTxt"/>
      </w:pPr>
      <w:r>
        <w:t>Cinquième rapport périodique de l’Espagne (CEDAW/C/ESP/5)</w:t>
      </w:r>
    </w:p>
    <w:p w:rsidR="00000000" w:rsidRDefault="00000000">
      <w:pPr>
        <w:pStyle w:val="SingleTxt"/>
      </w:pPr>
      <w:r>
        <w:t>Rapport complémentaire au cinquième rapport périodique de l’Argentine (CEDAW/C/ARG/5/Add.1)</w:t>
      </w:r>
    </w:p>
    <w:p w:rsidR="00000000" w:rsidRDefault="00000000">
      <w:pPr>
        <w:pStyle w:val="SingleTxt"/>
      </w:pPr>
      <w:r>
        <w:t>Rapport du Groupe de travail présession [CEDAW/PSWG/2004/II/CRP.1 et Add. 1 (Bangladesh), Add. 2 (République dominicaine), Add. 3 (Guinée équatoriale), et Add. 4 (Espagne)]</w:t>
      </w:r>
    </w:p>
    <w:p w:rsidR="00000000" w:rsidRDefault="00000000">
      <w:pPr>
        <w:pStyle w:val="SingleTxt"/>
      </w:pPr>
      <w:r>
        <w:t>Réponses aux listes de questions [CEDAW/PSWG/2004/II/CRP.2 (Bangladesh) et Add. 1 (République dominicaine), Add. 2 (Guinée équatoriale) et Add. 3 (Espagne)]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l’article 21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pPr>
      <w:r>
        <w:tab/>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accompagnées, le cas échéant, des observations des États parties.</w:t>
      </w:r>
    </w:p>
    <w:p w:rsidR="00000000" w:rsidRDefault="00000000">
      <w:pPr>
        <w:pStyle w:val="SingleTxt"/>
      </w:pPr>
      <w:r>
        <w:tab/>
        <w:t>Au titre de ce point de l’ordre du jour, le Comité offre à des experts d’institutions spécialisées et autres organismes des Nations Unies la possibilité de lui présenter en séance plénière des informations concernant des articles spécifiques de la Convention ou des questions devant faire l’objet de recommandations générales et de suggestions.</w:t>
      </w:r>
    </w:p>
    <w:p w:rsidR="00000000" w:rsidRDefault="00000000">
      <w:pPr>
        <w:pStyle w:val="SingleTxt"/>
      </w:pPr>
      <w:r>
        <w:tab/>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ces domaines. À sa trente et unième session, le Comité sera saisi d’une note du Secrétaire général sur les rapports des institutions spécialisées sur ce sujet (CEDAW/C/2004/II/3 et additifs).</w:t>
      </w:r>
    </w:p>
    <w:p w:rsidR="00000000" w:rsidRDefault="00000000">
      <w:pPr>
        <w:pStyle w:val="SingleTxt"/>
      </w:pPr>
      <w:r>
        <w:tab/>
        <w:t>À sa trentième session, le Comité a décidé que sa prochaine recommandation générale porterait sur l’article 2 et que les travaux y relatifs commenceraient à la trente et unième session. En conséquence, le Comité entamera la première phase du processus et procèdera à un débat général et à un échange de vues sur la recommandation générale proposée, avec la participation d’institutions spécialisées, d’organismes des Nations Unies et d’organisations non gouvernementales.</w:t>
      </w:r>
    </w:p>
    <w:p w:rsidR="00000000" w:rsidRDefault="00000000">
      <w:pPr>
        <w:pStyle w:val="SingleTxt"/>
        <w:rPr>
          <w:b/>
          <w:bCs/>
        </w:rPr>
      </w:pPr>
      <w:r>
        <w:rPr>
          <w:b/>
          <w:bCs/>
        </w:rPr>
        <w:t>Documentation</w:t>
      </w:r>
    </w:p>
    <w:p w:rsidR="00000000" w:rsidRDefault="00000000">
      <w:pPr>
        <w:pStyle w:val="SingleTxt"/>
      </w:pPr>
      <w:r>
        <w:t>Note du Secrétaire général concernant les rapports soumis par les institutions spécialisées sur l’application de la Convention dans les domaines qui entrent dans le cadre de leurs activités (CEDAW/C/2004/II/3)</w:t>
      </w:r>
    </w:p>
    <w:p w:rsidR="00000000" w:rsidRDefault="00000000">
      <w:pPr>
        <w:pStyle w:val="SingleTxt"/>
      </w:pPr>
      <w:r>
        <w:t>Rapport de l’Organisation des Nations Unies pour l’alimentation et l’agriculture (CEDAW/C/2004/II/3/Add.1)</w:t>
      </w:r>
    </w:p>
    <w:p w:rsidR="00000000" w:rsidRDefault="00000000">
      <w:pPr>
        <w:pStyle w:val="SingleTxt"/>
      </w:pPr>
      <w:r>
        <w:t>Rapport de l’Organisation mondiale de la santé (CEDAW/C/2004/II/3/Add.2)</w:t>
      </w:r>
    </w:p>
    <w:p w:rsidR="00000000" w:rsidRDefault="00000000">
      <w:pPr>
        <w:pStyle w:val="SingleTxt"/>
      </w:pPr>
      <w:r>
        <w:t>Rapport de l’Organisation des Nations Unies pour l’éducation, la science et la culture (CEDAW/C/2004/II/3/Add.3)</w:t>
      </w:r>
    </w:p>
    <w:p w:rsidR="00000000" w:rsidRDefault="00000000">
      <w:pPr>
        <w:pStyle w:val="SingleTxt"/>
      </w:pPr>
      <w:r>
        <w:t>Rapport de l’Organisation internationale du Travail (CEDAW/C/2004/II/3/Add.4)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Moyens d’accélérer les travaux du Comité</w:t>
      </w:r>
    </w:p>
    <w:p w:rsidR="00000000" w:rsidRDefault="00000000">
      <w:pPr>
        <w:pStyle w:val="SingleTxt"/>
        <w:spacing w:after="0" w:line="120" w:lineRule="exact"/>
        <w:rPr>
          <w:sz w:val="10"/>
        </w:rPr>
      </w:pPr>
    </w:p>
    <w:p w:rsidR="00000000" w:rsidRDefault="00000000">
      <w:pPr>
        <w:pStyle w:val="SingleTxt"/>
      </w:pPr>
      <w:r>
        <w:tab/>
        <w:t>Avant chaque session, le Secrétariat établit un rapport présession sur les moyens d’améliorer les travaux du Comité, tenant compte des informations communiquées par le Secrétariat, des observations faites par les membres du Comité ou des faits nouveaux concernant d’autres organes créés en vertu d’instruments relatifs aux droits de l’homme (CEDAW/C/2004/II/4).</w:t>
      </w:r>
    </w:p>
    <w:p w:rsidR="00000000" w:rsidRDefault="00000000">
      <w:pPr>
        <w:pStyle w:val="SingleTxt"/>
      </w:pPr>
      <w:r>
        <w:tab/>
        <w:t>À l’invitation du Directeur de l’Institut néerlandais des droits de l’homme, qui est financé par le Gouvernement néerlandais, le Comité tiendra, du 5 au 7 mai 2004, à Utrecht (Pays-Bas), une réunion officieuse principalement consacrée à ses méthodes de travail.</w:t>
      </w:r>
    </w:p>
    <w:p w:rsidR="00000000" w:rsidRDefault="00000000">
      <w:pPr>
        <w:pStyle w:val="SingleTxt"/>
        <w:keepNext/>
        <w:keepLines/>
        <w:rPr>
          <w:b/>
          <w:bCs/>
        </w:rPr>
      </w:pPr>
      <w:r>
        <w:rPr>
          <w:b/>
          <w:bCs/>
        </w:rPr>
        <w:t>Documentation</w:t>
      </w:r>
    </w:p>
    <w:p w:rsidR="00000000" w:rsidRDefault="00000000">
      <w:pPr>
        <w:pStyle w:val="SingleTxt"/>
      </w:pPr>
      <w:r>
        <w:t>Rapport du Secrétariat sur les moyens d’améliorer les travaux du Comité, y compris les recommandations issues de la réunion officieuse tenue à Utrecht (CEDAW/C/2004/II/4).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du Comité au titre du Protocole facultatif se rapportant</w:t>
      </w:r>
      <w:r>
        <w:br/>
        <w:t>à la Convention 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pPr>
      <w:r>
        <w:tab/>
        <w:t>À la suite de l’entrée en vigueur, en décembre 2000, du Protocole facultatif se rapportant à la Convention, le Comité a créé, en vertu de ce protocole, le Groupe de travail des communications, qui tiendra sa quatrième session du 30 juin au 2 juillet 2004. Le Comité examinera le rapport du Groupe de travail sur les travaux de sa quatrième session.</w:t>
      </w:r>
    </w:p>
    <w:p w:rsidR="00000000" w:rsidRDefault="00000000">
      <w:pPr>
        <w:pStyle w:val="SingleTxt"/>
        <w:rPr>
          <w:b/>
          <w:bCs/>
        </w:rPr>
      </w:pPr>
      <w:r>
        <w:rPr>
          <w:b/>
          <w:bCs/>
        </w:rPr>
        <w:t>Documentation</w:t>
      </w:r>
    </w:p>
    <w:p w:rsidR="00000000" w:rsidRDefault="00000000">
      <w:pPr>
        <w:pStyle w:val="SingleTxt"/>
      </w:pPr>
      <w:r>
        <w:t>Rapport du Groupe de travail des communications créé en vertu du Protocole facultatif (CEDAW/C/2004/II/WGCOP/L.1)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 de la trente-deuxième session</w:t>
      </w:r>
    </w:p>
    <w:p w:rsidR="00000000" w:rsidRDefault="00000000">
      <w:pPr>
        <w:pStyle w:val="SingleTxt"/>
        <w:spacing w:after="0" w:line="120" w:lineRule="exact"/>
        <w:rPr>
          <w:sz w:val="10"/>
        </w:rPr>
      </w:pPr>
    </w:p>
    <w:p w:rsidR="00000000" w:rsidRDefault="00000000">
      <w:pPr>
        <w:pStyle w:val="SingleTxt"/>
      </w:pPr>
      <w:r>
        <w:tab/>
        <w:t>À sa dixième session, le Comité a décidé que le projet d’ordre du jour provisoire de la session suivante serait approuvé à la fin de chaque session.</w:t>
      </w:r>
    </w:p>
    <w:p w:rsidR="00000000" w:rsidRDefault="00000000">
      <w:pPr>
        <w:pStyle w:val="SingleTxt"/>
        <w:rPr>
          <w:b/>
          <w:bCs/>
        </w:rPr>
      </w:pPr>
      <w:r>
        <w:rPr>
          <w:b/>
          <w:bCs/>
        </w:rPr>
        <w:t>Documentation</w:t>
      </w:r>
    </w:p>
    <w:p w:rsidR="00000000" w:rsidRDefault="00000000">
      <w:pPr>
        <w:pStyle w:val="SingleTxt"/>
      </w:pPr>
      <w:r>
        <w:t>Projet d’ordre du jour provisoire de la trente-deuxième session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du rapport du Comité sur les travaux de sa trente et unième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0" w:type="dxa"/>
        <w:tblInd w:w="8" w:type="dxa"/>
        <w:tblLayout w:type="fixed"/>
        <w:tblCellMar>
          <w:left w:w="0" w:type="dxa"/>
          <w:right w:w="0" w:type="dxa"/>
        </w:tblCellMar>
        <w:tblLook w:val="0000" w:firstRow="0" w:lastRow="0" w:firstColumn="0" w:lastColumn="0" w:noHBand="0" w:noVBand="0"/>
      </w:tblPr>
      <w:tblGrid>
        <w:gridCol w:w="2310"/>
        <w:gridCol w:w="1641"/>
        <w:gridCol w:w="5899"/>
      </w:tblGrid>
      <w:tr w:rsidR="00000000">
        <w:tblPrEx>
          <w:tblCellMar>
            <w:top w:w="0" w:type="dxa"/>
            <w:left w:w="0" w:type="dxa"/>
            <w:bottom w:w="0" w:type="dxa"/>
            <w:right w:w="0" w:type="dxa"/>
          </w:tblCellMar>
        </w:tblPrEx>
        <w:trPr>
          <w:tblHeader/>
        </w:trPr>
        <w:tc>
          <w:tcPr>
            <w:tcW w:w="2310" w:type="dxa"/>
            <w:tcBorders>
              <w:top w:val="single" w:sz="2" w:space="0" w:color="auto"/>
              <w:bottom w:val="single" w:sz="12" w:space="0" w:color="auto"/>
            </w:tcBorders>
          </w:tcPr>
          <w:p w:rsidR="00000000" w:rsidRDefault="00000000">
            <w:pPr>
              <w:suppressAutoHyphens/>
              <w:spacing w:before="40" w:after="80"/>
              <w:ind w:right="43"/>
              <w:rPr>
                <w:i/>
                <w:sz w:val="14"/>
              </w:rPr>
            </w:pPr>
            <w:r>
              <w:rPr>
                <w:i/>
                <w:sz w:val="14"/>
              </w:rPr>
              <w:t>Date/heure</w:t>
            </w:r>
          </w:p>
        </w:tc>
        <w:tc>
          <w:tcPr>
            <w:tcW w:w="1641" w:type="dxa"/>
            <w:tcBorders>
              <w:top w:val="single" w:sz="2" w:space="0" w:color="auto"/>
              <w:bottom w:val="single" w:sz="12" w:space="0" w:color="auto"/>
            </w:tcBorders>
          </w:tcPr>
          <w:p w:rsidR="00000000" w:rsidRDefault="00000000">
            <w:pPr>
              <w:suppressAutoHyphens/>
              <w:spacing w:before="40" w:after="80"/>
              <w:ind w:left="72" w:right="43"/>
              <w:rPr>
                <w:i/>
                <w:sz w:val="14"/>
              </w:rPr>
            </w:pPr>
            <w:r>
              <w:rPr>
                <w:i/>
                <w:sz w:val="14"/>
              </w:rPr>
              <w:t>Point de l’ordre du jour</w:t>
            </w:r>
          </w:p>
        </w:tc>
        <w:tc>
          <w:tcPr>
            <w:tcW w:w="5899" w:type="dxa"/>
            <w:tcBorders>
              <w:top w:val="single" w:sz="2" w:space="0" w:color="auto"/>
              <w:bottom w:val="single" w:sz="12" w:space="0" w:color="auto"/>
            </w:tcBorders>
          </w:tcPr>
          <w:p w:rsidR="00000000" w:rsidRDefault="00000000">
            <w:pPr>
              <w:suppressAutoHyphens/>
              <w:spacing w:before="40" w:after="80"/>
              <w:ind w:right="43"/>
              <w:rPr>
                <w:i/>
                <w:sz w:val="14"/>
              </w:rPr>
            </w:pPr>
            <w:r>
              <w:rPr>
                <w:i/>
                <w:sz w:val="14"/>
              </w:rPr>
              <w:t>Documentation/programme</w:t>
            </w:r>
          </w:p>
        </w:tc>
      </w:tr>
      <w:tr w:rsidR="00000000">
        <w:tblPrEx>
          <w:tblCellMar>
            <w:top w:w="0" w:type="dxa"/>
            <w:left w:w="0" w:type="dxa"/>
            <w:bottom w:w="0" w:type="dxa"/>
            <w:right w:w="0" w:type="dxa"/>
          </w:tblCellMar>
        </w:tblPrEx>
        <w:trPr>
          <w:trHeight w:hRule="exact" w:val="115"/>
          <w:tblHeader/>
        </w:trPr>
        <w:tc>
          <w:tcPr>
            <w:tcW w:w="2310" w:type="dxa"/>
          </w:tcPr>
          <w:p w:rsidR="00000000" w:rsidRDefault="00000000">
            <w:pPr>
              <w:suppressAutoHyphens/>
              <w:spacing w:before="40" w:after="80"/>
              <w:ind w:right="43"/>
              <w:rPr>
                <w:b/>
              </w:rPr>
            </w:pPr>
          </w:p>
        </w:tc>
        <w:tc>
          <w:tcPr>
            <w:tcW w:w="1641" w:type="dxa"/>
          </w:tcPr>
          <w:p w:rsidR="00000000" w:rsidRDefault="00000000">
            <w:pPr>
              <w:suppressAutoHyphens/>
              <w:spacing w:before="40" w:after="80"/>
              <w:ind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rPr>
          <w:cantSplit/>
        </w:trPr>
        <w:tc>
          <w:tcPr>
            <w:tcW w:w="3951" w:type="dxa"/>
            <w:gridSpan w:val="2"/>
          </w:tcPr>
          <w:p w:rsidR="00000000" w:rsidRDefault="00000000">
            <w:pPr>
              <w:suppressAutoHyphens/>
              <w:spacing w:before="40" w:after="80"/>
              <w:ind w:right="43"/>
            </w:pPr>
            <w:r>
              <w:rPr>
                <w:b/>
              </w:rPr>
              <w:t>Mardi 6 juillet 2004</w:t>
            </w: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rPr>
          <w:cantSplit/>
        </w:trPr>
        <w:tc>
          <w:tcPr>
            <w:tcW w:w="3951" w:type="dxa"/>
            <w:gridSpan w:val="2"/>
          </w:tcPr>
          <w:p w:rsidR="00000000" w:rsidRDefault="00000000">
            <w:pPr>
              <w:suppressAutoHyphens/>
              <w:spacing w:before="40" w:after="80"/>
              <w:ind w:right="43"/>
              <w:rPr>
                <w:b/>
              </w:rPr>
            </w:pPr>
            <w:r>
              <w:rPr>
                <w:b/>
              </w:rPr>
              <w:t>648</w:t>
            </w:r>
            <w:r>
              <w:rPr>
                <w:b/>
                <w:vertAlign w:val="superscript"/>
              </w:rPr>
              <w:t>e</w:t>
            </w:r>
            <w:r>
              <w:rPr>
                <w:b/>
              </w:rPr>
              <w:t xml:space="preserve"> séance</w:t>
            </w: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rPr>
          <w:cantSplit/>
        </w:trPr>
        <w:tc>
          <w:tcPr>
            <w:tcW w:w="2310" w:type="dxa"/>
            <w:vMerge w:val="restart"/>
          </w:tcPr>
          <w:p w:rsidR="00000000" w:rsidRDefault="00000000">
            <w:pPr>
              <w:suppressAutoHyphens/>
              <w:spacing w:before="40" w:after="80"/>
              <w:ind w:right="43"/>
            </w:pPr>
            <w:r>
              <w:t>10 heures à 11 h 30</w:t>
            </w:r>
          </w:p>
        </w:tc>
        <w:tc>
          <w:tcPr>
            <w:tcW w:w="1641" w:type="dxa"/>
          </w:tcPr>
          <w:p w:rsidR="00000000" w:rsidRDefault="00000000">
            <w:pPr>
              <w:suppressAutoHyphens/>
              <w:spacing w:before="40" w:after="80"/>
              <w:ind w:left="72" w:right="43"/>
            </w:pPr>
            <w:r>
              <w:t>1</w:t>
            </w:r>
          </w:p>
        </w:tc>
        <w:tc>
          <w:tcPr>
            <w:tcW w:w="5899" w:type="dxa"/>
          </w:tcPr>
          <w:p w:rsidR="00000000" w:rsidRDefault="00000000">
            <w:pPr>
              <w:suppressAutoHyphens/>
              <w:spacing w:before="40" w:after="80"/>
              <w:ind w:right="43"/>
            </w:pPr>
            <w:r>
              <w:t>Ouverture de la session</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2</w:t>
            </w:r>
          </w:p>
        </w:tc>
        <w:tc>
          <w:tcPr>
            <w:tcW w:w="5899" w:type="dxa"/>
          </w:tcPr>
          <w:p w:rsidR="00000000" w:rsidRDefault="00000000">
            <w:pPr>
              <w:suppressAutoHyphens/>
              <w:spacing w:before="40" w:after="80"/>
              <w:ind w:right="43"/>
            </w:pPr>
            <w:r>
              <w:t>Adoption de l’ordre du jour et organisation des travaux</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3</w:t>
            </w:r>
          </w:p>
        </w:tc>
        <w:tc>
          <w:tcPr>
            <w:tcW w:w="5899" w:type="dxa"/>
          </w:tcPr>
          <w:p w:rsidR="00000000" w:rsidRDefault="00000000">
            <w:pPr>
              <w:suppressAutoHyphens/>
              <w:spacing w:before="40" w:after="80"/>
              <w:ind w:right="43"/>
            </w:pPr>
            <w:r>
              <w:t>Rapport de la Présidente sur les activités menées entre les trentième et trente et unième sessions du Comité</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4</w:t>
            </w:r>
          </w:p>
        </w:tc>
        <w:tc>
          <w:tcPr>
            <w:tcW w:w="5899" w:type="dxa"/>
          </w:tcPr>
          <w:p w:rsidR="00000000" w:rsidRDefault="00000000">
            <w:pPr>
              <w:suppressAutoHyphens/>
              <w:spacing w:before="40" w:after="80"/>
              <w:ind w:right="43"/>
            </w:pPr>
            <w:r>
              <w:t>Examen des rapports présentés par les États parties en application de l’article 18 de la Convention sur l’élimination de toutes les formes de discrimination à l’égard des femmes : rapport du groupe de travail présession</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5</w:t>
            </w:r>
          </w:p>
        </w:tc>
        <w:tc>
          <w:tcPr>
            <w:tcW w:w="5899" w:type="dxa"/>
          </w:tcPr>
          <w:p w:rsidR="00000000" w:rsidRDefault="00000000">
            <w:pPr>
              <w:suppressAutoHyphens/>
              <w:spacing w:before="40" w:after="80"/>
              <w:ind w:right="43"/>
            </w:pPr>
            <w:r>
              <w:t>Application de l’article 21 de la Convention sur l’élimination de toutes les formes de discrimination à l’égard des femmes : déclaration liminaire</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6</w:t>
            </w:r>
          </w:p>
        </w:tc>
        <w:tc>
          <w:tcPr>
            <w:tcW w:w="5899" w:type="dxa"/>
          </w:tcPr>
          <w:p w:rsidR="00000000" w:rsidRDefault="00000000">
            <w:pPr>
              <w:suppressAutoHyphens/>
              <w:spacing w:before="40" w:after="80"/>
              <w:ind w:right="43"/>
            </w:pPr>
            <w:r>
              <w:t>Moyens d’accélérer les travaux du Comité : déclaration liminaire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11 h 30 à 13 heures (séance privée)</w:t>
            </w:r>
          </w:p>
        </w:tc>
        <w:tc>
          <w:tcPr>
            <w:tcW w:w="1641" w:type="dxa"/>
          </w:tcPr>
          <w:p w:rsidR="00000000" w:rsidRDefault="00000000">
            <w:pPr>
              <w:suppressAutoHyphens/>
              <w:spacing w:before="40" w:after="80"/>
              <w:ind w:left="72" w:right="43"/>
              <w:rPr>
                <w:b/>
                <w:bCs/>
                <w:iCs/>
              </w:rPr>
            </w:pPr>
          </w:p>
        </w:tc>
        <w:tc>
          <w:tcPr>
            <w:tcW w:w="5899" w:type="dxa"/>
          </w:tcPr>
          <w:p w:rsidR="00000000" w:rsidRDefault="00000000">
            <w:pPr>
              <w:suppressAutoHyphens/>
              <w:spacing w:before="40" w:after="80"/>
              <w:ind w:right="43"/>
            </w:pPr>
            <w:r>
              <w:t>Réunion officieuse avec les organismes et les institutions spécialisées des Nations Unies</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Cs/>
              </w:rPr>
            </w:pPr>
            <w:r>
              <w:rPr>
                <w:bCs/>
              </w:rPr>
              <w:t>15 heures à 16 h 30</w:t>
            </w:r>
          </w:p>
        </w:tc>
        <w:tc>
          <w:tcPr>
            <w:tcW w:w="1641" w:type="dxa"/>
          </w:tcPr>
          <w:p w:rsidR="00000000" w:rsidRDefault="00000000">
            <w:pPr>
              <w:suppressAutoHyphens/>
              <w:spacing w:before="40" w:after="80"/>
              <w:ind w:left="72" w:right="43"/>
              <w:rPr>
                <w:b/>
                <w:bCs/>
              </w:rPr>
            </w:pPr>
          </w:p>
        </w:tc>
        <w:tc>
          <w:tcPr>
            <w:tcW w:w="5899" w:type="dxa"/>
          </w:tcPr>
          <w:p w:rsidR="00000000" w:rsidRDefault="00000000">
            <w:pPr>
              <w:suppressAutoHyphens/>
              <w:spacing w:before="40" w:after="80"/>
              <w:ind w:right="43"/>
            </w:pPr>
            <w:r>
              <w:t>Réunion officieuse avec les organisations non gouvernementales</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16 h 30 à 18 heures (séance privée)</w:t>
            </w:r>
          </w:p>
        </w:tc>
        <w:tc>
          <w:tcPr>
            <w:tcW w:w="1641" w:type="dxa"/>
          </w:tcPr>
          <w:p w:rsidR="00000000" w:rsidRDefault="00000000">
            <w:pPr>
              <w:suppressAutoHyphens/>
              <w:spacing w:before="40" w:after="80"/>
              <w:ind w:left="72" w:right="43"/>
            </w:pPr>
            <w:r>
              <w:t>5 et 6</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rPr>
                <w:b/>
                <w:bCs/>
              </w:rPr>
            </w:pP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Mercredi 7 juillet 2004</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rPr>
                <w:b/>
                <w:bCs/>
              </w:rPr>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649</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r>
              <w:t>Examen des rapports présentés par les États parties en application de l’article 18 de la Convention</w:t>
            </w:r>
          </w:p>
        </w:tc>
      </w:tr>
      <w:tr w:rsidR="00000000">
        <w:tblPrEx>
          <w:tblCellMar>
            <w:top w:w="0" w:type="dxa"/>
            <w:left w:w="0" w:type="dxa"/>
            <w:bottom w:w="0" w:type="dxa"/>
            <w:right w:w="0" w:type="dxa"/>
          </w:tblCellMar>
        </w:tblPrEx>
        <w:trPr>
          <w:cantSplit/>
        </w:trPr>
        <w:tc>
          <w:tcPr>
            <w:tcW w:w="2310" w:type="dxa"/>
            <w:vMerge w:val="restart"/>
          </w:tcPr>
          <w:p w:rsidR="00000000" w:rsidRDefault="00000000">
            <w:pPr>
              <w:suppressAutoHyphens/>
              <w:spacing w:before="40" w:after="80"/>
              <w:ind w:right="43"/>
            </w:pPr>
            <w:r>
              <w:t xml:space="preserve">10 heures à 10 h 30 </w:t>
            </w:r>
          </w:p>
        </w:tc>
        <w:tc>
          <w:tcPr>
            <w:tcW w:w="1641" w:type="dxa"/>
            <w:vMerge w:val="restart"/>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Espagne : cinquième rapport périodique (CEDAW/C/ESP/5)</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vMerge/>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13 heures</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650</w:t>
            </w:r>
            <w:r>
              <w:rPr>
                <w:b/>
                <w:bCs/>
                <w:vertAlign w:val="superscript"/>
              </w:rPr>
              <w:t xml:space="preserve">e  </w:t>
            </w:r>
            <w:r>
              <w:rPr>
                <w:b/>
                <w:bCs/>
              </w:rPr>
              <w:t>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rPr>
                <w:i/>
                <w:iCs/>
              </w:rPr>
            </w:pPr>
            <w:r>
              <w:t>4 (</w:t>
            </w:r>
            <w:r>
              <w:rPr>
                <w:i/>
                <w:iCs/>
              </w:rPr>
              <w:t>suite)</w:t>
            </w:r>
          </w:p>
        </w:tc>
        <w:tc>
          <w:tcPr>
            <w:tcW w:w="5899" w:type="dxa"/>
          </w:tcPr>
          <w:p w:rsidR="00000000" w:rsidRDefault="00000000">
            <w:pPr>
              <w:suppressAutoHyphens/>
              <w:spacing w:before="40" w:after="80"/>
              <w:ind w:right="43"/>
              <w:rPr>
                <w:iCs/>
              </w:rPr>
            </w:pPr>
            <w:r>
              <w:t>Espagne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17 heures à 18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rPr>
                <w:b/>
                <w:bCs/>
              </w:rPr>
            </w:pP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keepNext/>
              <w:keepLines/>
              <w:suppressAutoHyphens/>
              <w:spacing w:before="40" w:after="80"/>
              <w:ind w:right="43"/>
              <w:rPr>
                <w:b/>
                <w:bCs/>
              </w:rPr>
            </w:pPr>
            <w:r>
              <w:rPr>
                <w:b/>
                <w:bCs/>
              </w:rPr>
              <w:t>Jeudi 8 juillet 2004</w:t>
            </w:r>
          </w:p>
        </w:tc>
        <w:tc>
          <w:tcPr>
            <w:tcW w:w="1641" w:type="dxa"/>
          </w:tcPr>
          <w:p w:rsidR="00000000" w:rsidRDefault="00000000">
            <w:pPr>
              <w:keepNext/>
              <w:keepLines/>
              <w:suppressAutoHyphens/>
              <w:spacing w:before="40" w:after="80"/>
              <w:ind w:left="72" w:right="43"/>
              <w:rPr>
                <w:i/>
              </w:rPr>
            </w:pPr>
          </w:p>
        </w:tc>
        <w:tc>
          <w:tcPr>
            <w:tcW w:w="5899" w:type="dxa"/>
          </w:tcPr>
          <w:p w:rsidR="00000000" w:rsidRDefault="00000000">
            <w:pPr>
              <w:keepNext/>
              <w:keepLines/>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keepNext/>
              <w:keepLines/>
              <w:suppressAutoHyphens/>
              <w:spacing w:before="40" w:after="80"/>
              <w:ind w:right="43"/>
              <w:rPr>
                <w:b/>
                <w:bCs/>
              </w:rPr>
            </w:pPr>
            <w:r>
              <w:rPr>
                <w:b/>
                <w:bCs/>
              </w:rPr>
              <w:t>651</w:t>
            </w:r>
            <w:r>
              <w:rPr>
                <w:b/>
                <w:bCs/>
                <w:vertAlign w:val="superscript"/>
              </w:rPr>
              <w:t>e</w:t>
            </w:r>
            <w:r>
              <w:rPr>
                <w:b/>
                <w:bCs/>
              </w:rPr>
              <w:t xml:space="preserve"> séance</w:t>
            </w:r>
          </w:p>
        </w:tc>
        <w:tc>
          <w:tcPr>
            <w:tcW w:w="1641" w:type="dxa"/>
          </w:tcPr>
          <w:p w:rsidR="00000000" w:rsidRDefault="00000000">
            <w:pPr>
              <w:keepNext/>
              <w:keepLines/>
              <w:suppressAutoHyphens/>
              <w:spacing w:before="40" w:after="80"/>
              <w:ind w:left="72" w:right="43"/>
              <w:rPr>
                <w:i/>
              </w:rPr>
            </w:pPr>
          </w:p>
        </w:tc>
        <w:tc>
          <w:tcPr>
            <w:tcW w:w="5899" w:type="dxa"/>
          </w:tcPr>
          <w:p w:rsidR="00000000" w:rsidRDefault="00000000">
            <w:pPr>
              <w:keepNext/>
              <w:keepLines/>
              <w:suppressAutoHyphens/>
              <w:spacing w:before="40" w:after="80"/>
              <w:ind w:right="43"/>
            </w:pPr>
          </w:p>
        </w:tc>
      </w:tr>
      <w:tr w:rsidR="00000000">
        <w:tblPrEx>
          <w:tblCellMar>
            <w:top w:w="0" w:type="dxa"/>
            <w:left w:w="0" w:type="dxa"/>
            <w:bottom w:w="0" w:type="dxa"/>
            <w:right w:w="0" w:type="dxa"/>
          </w:tblCellMar>
        </w:tblPrEx>
        <w:trPr>
          <w:cantSplit/>
        </w:trPr>
        <w:tc>
          <w:tcPr>
            <w:tcW w:w="2310" w:type="dxa"/>
            <w:vMerge w:val="restart"/>
          </w:tcPr>
          <w:p w:rsidR="00000000" w:rsidRDefault="00000000">
            <w:pPr>
              <w:keepNext/>
              <w:keepLines/>
              <w:suppressAutoHyphens/>
              <w:spacing w:before="40" w:after="80"/>
              <w:ind w:right="43"/>
            </w:pPr>
            <w:r>
              <w:t>10 heures à 10 h 30</w:t>
            </w:r>
          </w:p>
        </w:tc>
        <w:tc>
          <w:tcPr>
            <w:tcW w:w="1641" w:type="dxa"/>
            <w:vMerge w:val="restart"/>
          </w:tcPr>
          <w:p w:rsidR="00000000" w:rsidRDefault="00000000">
            <w:pPr>
              <w:keepNext/>
              <w:keepLines/>
              <w:suppressAutoHyphens/>
              <w:spacing w:before="40" w:after="80"/>
              <w:ind w:left="72" w:right="43"/>
            </w:pPr>
            <w:r>
              <w:t>4 (</w:t>
            </w:r>
            <w:r>
              <w:rPr>
                <w:i/>
                <w:iCs/>
              </w:rPr>
              <w:t>suite</w:t>
            </w:r>
            <w:r>
              <w:rPr>
                <w:iCs/>
              </w:rPr>
              <w:t>)</w:t>
            </w:r>
          </w:p>
        </w:tc>
        <w:tc>
          <w:tcPr>
            <w:tcW w:w="5899" w:type="dxa"/>
          </w:tcPr>
          <w:p w:rsidR="00000000" w:rsidRDefault="00000000">
            <w:pPr>
              <w:keepNext/>
              <w:keepLines/>
              <w:suppressAutoHyphens/>
              <w:spacing w:before="40" w:after="80"/>
              <w:ind w:right="43"/>
            </w:pPr>
            <w:r>
              <w:t>Guinée équatoriale : rapport unique (valant deuxième et troisième rapports périodiques) et rapport unique (valant quatrième et cinquième rapports périodiques) (CEDAW/C/GNQ/2-3 et CEDAW/C/GNQ/4-5)</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vMerge/>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13 heures</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652</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rPr>
                <w:i/>
                <w:iCs/>
              </w:rPr>
            </w:pPr>
            <w:r>
              <w:t>4 (</w:t>
            </w:r>
            <w:r>
              <w:rPr>
                <w:i/>
                <w:iCs/>
              </w:rPr>
              <w:t>suite)</w:t>
            </w:r>
          </w:p>
        </w:tc>
        <w:tc>
          <w:tcPr>
            <w:tcW w:w="5899" w:type="dxa"/>
          </w:tcPr>
          <w:p w:rsidR="00000000" w:rsidRDefault="00000000">
            <w:pPr>
              <w:suppressAutoHyphens/>
              <w:spacing w:before="40" w:after="80"/>
              <w:ind w:right="43"/>
              <w:rPr>
                <w:iCs/>
              </w:rPr>
            </w:pPr>
            <w:r>
              <w:t>Guinée équatoriale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17 heures à 18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rPr>
                <w:b/>
                <w:bCs/>
              </w:rPr>
            </w:pP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 xml:space="preserve">Vendredi 9 juillet 2004 </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653</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rPr>
          <w:cantSplit/>
        </w:trPr>
        <w:tc>
          <w:tcPr>
            <w:tcW w:w="2310" w:type="dxa"/>
            <w:vMerge w:val="restart"/>
          </w:tcPr>
          <w:p w:rsidR="00000000" w:rsidRDefault="00000000">
            <w:pPr>
              <w:suppressAutoHyphens/>
              <w:spacing w:before="40" w:after="80"/>
              <w:ind w:right="43"/>
            </w:pPr>
            <w:r>
              <w:t xml:space="preserve">10 heures à 10 h 30 </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Bangladesh : cinquième rapport périodique (CEDAW/C/BGD/5)</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13 heures</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654</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rPr>
                <w:iCs/>
              </w:rPr>
            </w:pPr>
            <w:r>
              <w:t>Bangladesh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17 heures à 18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rPr>
                <w:b/>
                <w:bCs/>
              </w:rPr>
            </w:pP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Lundi 12 juillet 2004</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655</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à 10 h 30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Angola : rapport unique (valant rapport initial et deuxième et troisième rapports périodiques) (CEDAW/C/AGO/1-3)</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11 h 15</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11 h 15 à 13 heures</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656</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16 h 30</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rPr>
                <w:iCs/>
              </w:rPr>
            </w:pPr>
            <w:r>
              <w:t>Angola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16 h 30 à 18 heures (séance privée)</w:t>
            </w:r>
          </w:p>
        </w:tc>
        <w:tc>
          <w:tcPr>
            <w:tcW w:w="1641" w:type="dxa"/>
          </w:tcPr>
          <w:p w:rsidR="00000000" w:rsidRDefault="00000000">
            <w:pPr>
              <w:suppressAutoHyphens/>
              <w:spacing w:before="40" w:after="80"/>
              <w:ind w:left="72" w:right="43"/>
              <w:rPr>
                <w:iCs/>
              </w:rPr>
            </w:pPr>
          </w:p>
        </w:tc>
        <w:tc>
          <w:tcPr>
            <w:tcW w:w="5899" w:type="dxa"/>
          </w:tcPr>
          <w:p w:rsidR="00000000" w:rsidRDefault="00000000">
            <w:pPr>
              <w:suppressAutoHyphens/>
              <w:spacing w:before="40" w:after="80"/>
              <w:ind w:right="43"/>
            </w:pPr>
            <w:r>
              <w:t>Réunion officieuse avec les organisations non gouvernementales</w:t>
            </w:r>
          </w:p>
        </w:tc>
      </w:tr>
      <w:tr w:rsidR="00000000">
        <w:tblPrEx>
          <w:tblCellMar>
            <w:top w:w="0" w:type="dxa"/>
            <w:left w:w="0" w:type="dxa"/>
            <w:bottom w:w="0" w:type="dxa"/>
            <w:right w:w="0" w:type="dxa"/>
          </w:tblCellMar>
        </w:tblPrEx>
        <w:tc>
          <w:tcPr>
            <w:tcW w:w="2310" w:type="dxa"/>
          </w:tcPr>
          <w:p w:rsidR="00000000" w:rsidRDefault="00000000">
            <w:pPr>
              <w:keepNext/>
              <w:keepLines/>
              <w:suppressAutoHyphens/>
              <w:spacing w:before="40" w:after="80"/>
              <w:ind w:right="43"/>
              <w:rPr>
                <w:b/>
                <w:bCs/>
              </w:rPr>
            </w:pPr>
            <w:r>
              <w:rPr>
                <w:b/>
                <w:bCs/>
              </w:rPr>
              <w:t>Mardi 13 juillet 2004</w:t>
            </w:r>
          </w:p>
          <w:p w:rsidR="00000000" w:rsidRDefault="00000000">
            <w:pPr>
              <w:keepNext/>
              <w:keepLines/>
              <w:suppressAutoHyphens/>
              <w:spacing w:before="40" w:after="80"/>
              <w:ind w:right="43"/>
              <w:rPr>
                <w:b/>
                <w:bCs/>
              </w:rPr>
            </w:pPr>
            <w:r>
              <w:rPr>
                <w:b/>
                <w:bCs/>
              </w:rPr>
              <w:t>657</w:t>
            </w:r>
            <w:r>
              <w:rPr>
                <w:b/>
                <w:bCs/>
                <w:vertAlign w:val="superscript"/>
              </w:rPr>
              <w:t>e</w:t>
            </w:r>
            <w:r>
              <w:rPr>
                <w:b/>
                <w:bCs/>
              </w:rPr>
              <w:t xml:space="preserve"> séance</w:t>
            </w:r>
          </w:p>
        </w:tc>
        <w:tc>
          <w:tcPr>
            <w:tcW w:w="1641" w:type="dxa"/>
          </w:tcPr>
          <w:p w:rsidR="00000000" w:rsidRDefault="00000000">
            <w:pPr>
              <w:keepNext/>
              <w:keepLines/>
              <w:suppressAutoHyphens/>
              <w:spacing w:before="40" w:after="80"/>
              <w:ind w:left="72" w:right="43"/>
            </w:pPr>
          </w:p>
        </w:tc>
        <w:tc>
          <w:tcPr>
            <w:tcW w:w="5899" w:type="dxa"/>
          </w:tcPr>
          <w:p w:rsidR="00000000" w:rsidRDefault="00000000">
            <w:pPr>
              <w:keepNext/>
              <w:keepLines/>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keepNext/>
              <w:keepLines/>
              <w:suppressAutoHyphens/>
              <w:spacing w:before="40" w:after="80"/>
              <w:ind w:right="43"/>
            </w:pPr>
            <w:r>
              <w:t>10 heures à 10 h 30 (séance privée)</w:t>
            </w:r>
          </w:p>
        </w:tc>
        <w:tc>
          <w:tcPr>
            <w:tcW w:w="1641" w:type="dxa"/>
          </w:tcPr>
          <w:p w:rsidR="00000000" w:rsidRDefault="00000000">
            <w:pPr>
              <w:keepNext/>
              <w:keepLines/>
              <w:suppressAutoHyphens/>
              <w:spacing w:before="40" w:after="80"/>
              <w:ind w:left="72" w:right="43"/>
            </w:pPr>
            <w:r>
              <w:t>4</w:t>
            </w:r>
            <w:r>
              <w:rPr>
                <w:b/>
                <w:bCs/>
              </w:rPr>
              <w:t xml:space="preserve"> </w:t>
            </w:r>
            <w:r>
              <w:t>(</w:t>
            </w:r>
            <w:r>
              <w:rPr>
                <w:i/>
                <w:iCs/>
              </w:rPr>
              <w:t>suite</w:t>
            </w:r>
            <w:r>
              <w:t>)</w:t>
            </w:r>
          </w:p>
        </w:tc>
        <w:tc>
          <w:tcPr>
            <w:tcW w:w="5899" w:type="dxa"/>
          </w:tcPr>
          <w:p w:rsidR="00000000" w:rsidRDefault="00000000">
            <w:pPr>
              <w:keepNext/>
              <w:keepLines/>
              <w:suppressAutoHyphens/>
              <w:spacing w:before="40" w:after="80"/>
              <w:ind w:right="43"/>
            </w:pPr>
            <w:r>
              <w:t>Malte : rapport unique (valant rapport initial et deuxième et troisième rapports périodiques) (CEDAW/C/MLT/1-3)</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11 h 15</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11 h 15 à 13 heures</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658</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16 h 30</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rPr>
                <w:iCs/>
              </w:rPr>
            </w:pPr>
            <w:r>
              <w:t>Malte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16 h 30 à 18 heures (séance privée)</w:t>
            </w:r>
          </w:p>
        </w:tc>
        <w:tc>
          <w:tcPr>
            <w:tcW w:w="1641" w:type="dxa"/>
          </w:tcPr>
          <w:p w:rsidR="00000000" w:rsidRDefault="00000000">
            <w:pPr>
              <w:suppressAutoHyphens/>
              <w:spacing w:before="40" w:after="80"/>
              <w:ind w:left="72" w:right="43"/>
              <w:rPr>
                <w:iCs/>
              </w:rPr>
            </w:pPr>
            <w:r>
              <w:t>7 (</w:t>
            </w:r>
            <w:r>
              <w:rPr>
                <w:i/>
              </w:rPr>
              <w:t>suite</w:t>
            </w:r>
            <w:r>
              <w:rPr>
                <w:iCs/>
              </w:rPr>
              <w:t>)</w:t>
            </w:r>
          </w:p>
        </w:tc>
        <w:tc>
          <w:tcPr>
            <w:tcW w:w="5899" w:type="dxa"/>
          </w:tcPr>
          <w:p w:rsidR="00000000" w:rsidRDefault="00000000">
            <w:pPr>
              <w:suppressAutoHyphens/>
              <w:spacing w:before="40" w:after="80"/>
              <w:ind w:right="43"/>
            </w:pPr>
            <w:r>
              <w:t>Activités du Comité au titre du Protocole facultatif se rapportant à la Convention</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 xml:space="preserve">Mercredi 14 juillet 2004 </w:t>
            </w:r>
          </w:p>
          <w:p w:rsidR="00000000" w:rsidRDefault="00000000">
            <w:pPr>
              <w:suppressAutoHyphens/>
              <w:spacing w:before="40" w:after="80"/>
              <w:ind w:right="43"/>
              <w:rPr>
                <w:b/>
                <w:bCs/>
              </w:rPr>
            </w:pPr>
            <w:r>
              <w:rPr>
                <w:b/>
                <w:bCs/>
              </w:rPr>
              <w:t>659</w:t>
            </w:r>
            <w:r>
              <w:rPr>
                <w:b/>
                <w:bCs/>
                <w:vertAlign w:val="superscript"/>
              </w:rPr>
              <w:t>e</w:t>
            </w:r>
            <w:r>
              <w:rPr>
                <w:b/>
                <w:bCs/>
              </w:rPr>
              <w:t xml:space="preserve"> séance</w:t>
            </w:r>
          </w:p>
        </w:tc>
        <w:tc>
          <w:tcPr>
            <w:tcW w:w="1641" w:type="dxa"/>
          </w:tcPr>
          <w:p w:rsidR="00000000" w:rsidRDefault="00000000">
            <w:pPr>
              <w:suppressAutoHyphens/>
              <w:spacing w:before="40" w:after="80"/>
              <w:ind w:left="72" w:right="43"/>
              <w:rPr>
                <w:i/>
              </w:rPr>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à 10 h 30</w:t>
            </w:r>
            <w:r>
              <w:br/>
              <w:t>(séance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Lettonie : rapport unique (valant rapport initial et deuxième et troisième rapports périodiques) (CEDAW/C/LVA/1-3)</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 30 à 11 h 15</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11 h 15 à 13 heures</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660</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16 h 30</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rPr>
                <w:iCs/>
              </w:rPr>
            </w:pPr>
            <w:r>
              <w:t>Lettonie (</w:t>
            </w:r>
            <w:r>
              <w:rPr>
                <w:i/>
                <w:iCs/>
              </w:rPr>
              <w:t>suite</w:t>
            </w:r>
            <w:r>
              <w:rPr>
                <w:iCs/>
              </w:rP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16 h 30 à 18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 xml:space="preserve">Jeudi 15 juillet 2004 </w:t>
            </w:r>
          </w:p>
          <w:p w:rsidR="00000000" w:rsidRDefault="00000000">
            <w:pPr>
              <w:suppressAutoHyphens/>
              <w:spacing w:before="40" w:after="80"/>
              <w:ind w:right="43"/>
              <w:rPr>
                <w:b/>
                <w:bCs/>
              </w:rPr>
            </w:pPr>
            <w:r>
              <w:rPr>
                <w:b/>
                <w:bCs/>
              </w:rPr>
              <w:t>661</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rPr>
          <w:cantSplit/>
        </w:trPr>
        <w:tc>
          <w:tcPr>
            <w:tcW w:w="2310" w:type="dxa"/>
            <w:vMerge w:val="restart"/>
          </w:tcPr>
          <w:p w:rsidR="00000000" w:rsidRDefault="00000000">
            <w:pPr>
              <w:suppressAutoHyphens/>
              <w:spacing w:before="40" w:after="80"/>
              <w:ind w:right="43"/>
            </w:pPr>
            <w:r>
              <w:t>10 heures à 10 h 30</w:t>
            </w:r>
          </w:p>
        </w:tc>
        <w:tc>
          <w:tcPr>
            <w:tcW w:w="1641" w:type="dxa"/>
            <w:vMerge w:val="restart"/>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République dominicaine : cinquième rapport périodique (CEDAW/C/DOM/5)</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vMerge/>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 xml:space="preserve">10 h 30 à 13 heures </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Questions des experts et dialogue avec le Comité</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662</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pPr>
            <w:r>
              <w:t>4</w:t>
            </w:r>
            <w:r>
              <w:rPr>
                <w:b/>
                <w:bCs/>
              </w:rPr>
              <w:t xml:space="preserve"> </w:t>
            </w:r>
            <w:r>
              <w:t>(</w:t>
            </w:r>
            <w:r>
              <w:rPr>
                <w:i/>
                <w:iCs/>
              </w:rPr>
              <w:t>suite</w:t>
            </w:r>
            <w:r>
              <w:t>)</w:t>
            </w:r>
          </w:p>
        </w:tc>
        <w:tc>
          <w:tcPr>
            <w:tcW w:w="5899" w:type="dxa"/>
          </w:tcPr>
          <w:p w:rsidR="00000000" w:rsidRDefault="00000000">
            <w:pPr>
              <w:suppressAutoHyphens/>
              <w:spacing w:before="40" w:after="80"/>
              <w:ind w:right="43"/>
            </w:pPr>
            <w:r>
              <w:t>République dominicaine (</w:t>
            </w:r>
            <w:r>
              <w:rPr>
                <w:i/>
                <w:iCs/>
              </w:rPr>
              <w:t>suite</w:t>
            </w:r>
            <w:r>
              <w:t>)</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17 heures à 18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keepNext/>
              <w:keepLines/>
              <w:suppressAutoHyphens/>
              <w:spacing w:before="40" w:after="80"/>
              <w:ind w:right="43"/>
              <w:rPr>
                <w:b/>
                <w:bCs/>
              </w:rPr>
            </w:pPr>
            <w:r>
              <w:rPr>
                <w:b/>
                <w:bCs/>
              </w:rPr>
              <w:t>Vendredi 16 juillet 2004</w:t>
            </w:r>
          </w:p>
          <w:p w:rsidR="00000000" w:rsidRDefault="00000000">
            <w:pPr>
              <w:keepNext/>
              <w:keepLines/>
              <w:suppressAutoHyphens/>
              <w:spacing w:before="40" w:after="80"/>
              <w:ind w:right="43"/>
              <w:rPr>
                <w:b/>
                <w:bCs/>
              </w:rPr>
            </w:pPr>
            <w:r>
              <w:rPr>
                <w:b/>
                <w:bCs/>
              </w:rPr>
              <w:t>663</w:t>
            </w:r>
            <w:r>
              <w:rPr>
                <w:b/>
                <w:bCs/>
                <w:vertAlign w:val="superscript"/>
              </w:rPr>
              <w:t>e</w:t>
            </w:r>
            <w:r>
              <w:rPr>
                <w:b/>
                <w:bCs/>
              </w:rPr>
              <w:t xml:space="preserve"> séance</w:t>
            </w:r>
          </w:p>
        </w:tc>
        <w:tc>
          <w:tcPr>
            <w:tcW w:w="1641" w:type="dxa"/>
          </w:tcPr>
          <w:p w:rsidR="00000000" w:rsidRDefault="00000000">
            <w:pPr>
              <w:keepNext/>
              <w:keepLines/>
              <w:suppressAutoHyphens/>
              <w:spacing w:before="40" w:after="80"/>
              <w:ind w:left="72" w:right="43"/>
            </w:pPr>
          </w:p>
        </w:tc>
        <w:tc>
          <w:tcPr>
            <w:tcW w:w="5899" w:type="dxa"/>
          </w:tcPr>
          <w:p w:rsidR="00000000" w:rsidRDefault="00000000">
            <w:pPr>
              <w:keepNext/>
              <w:keepLines/>
              <w:suppressAutoHyphens/>
              <w:spacing w:before="40" w:after="80"/>
              <w:ind w:right="43"/>
            </w:pPr>
          </w:p>
        </w:tc>
      </w:tr>
      <w:tr w:rsidR="00000000">
        <w:tblPrEx>
          <w:tblCellMar>
            <w:top w:w="0" w:type="dxa"/>
            <w:left w:w="0" w:type="dxa"/>
            <w:bottom w:w="0" w:type="dxa"/>
            <w:right w:w="0" w:type="dxa"/>
          </w:tblCellMar>
        </w:tblPrEx>
        <w:trPr>
          <w:cantSplit/>
        </w:trPr>
        <w:tc>
          <w:tcPr>
            <w:tcW w:w="2310" w:type="dxa"/>
            <w:vMerge w:val="restart"/>
          </w:tcPr>
          <w:p w:rsidR="00000000" w:rsidRDefault="00000000">
            <w:pPr>
              <w:keepNext/>
              <w:keepLines/>
              <w:suppressAutoHyphens/>
              <w:spacing w:before="40" w:after="80"/>
              <w:ind w:right="43"/>
            </w:pPr>
            <w:r>
              <w:t>10 heures à 12 h 30</w:t>
            </w:r>
          </w:p>
        </w:tc>
        <w:tc>
          <w:tcPr>
            <w:tcW w:w="1641" w:type="dxa"/>
            <w:vMerge w:val="restart"/>
          </w:tcPr>
          <w:p w:rsidR="00000000" w:rsidRDefault="00000000">
            <w:pPr>
              <w:keepNext/>
              <w:keepLines/>
              <w:suppressAutoHyphens/>
              <w:spacing w:before="40" w:after="80"/>
              <w:ind w:left="72" w:right="43"/>
              <w:rPr>
                <w:iCs/>
              </w:rPr>
            </w:pPr>
            <w:r>
              <w:t>4 (</w:t>
            </w:r>
            <w:r>
              <w:rPr>
                <w:i/>
                <w:iCs/>
              </w:rPr>
              <w:t>suite</w:t>
            </w:r>
            <w:r>
              <w:rPr>
                <w:iCs/>
              </w:rPr>
              <w:t>)</w:t>
            </w:r>
          </w:p>
        </w:tc>
        <w:tc>
          <w:tcPr>
            <w:tcW w:w="5899" w:type="dxa"/>
          </w:tcPr>
          <w:p w:rsidR="00000000" w:rsidRDefault="00000000">
            <w:pPr>
              <w:keepNext/>
              <w:keepLines/>
              <w:suppressAutoHyphens/>
              <w:spacing w:before="40" w:after="80"/>
              <w:ind w:right="43"/>
            </w:pPr>
            <w:r>
              <w:t>Argentine : rapport complémentaire au cinquième rapport périodique (CEDAW/C/ARG/5/Add.1)</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vMerge/>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r>
              <w:t>Présentation par le représentant de l’État partie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12 h 30 à 13 heures (séance privée)</w:t>
            </w:r>
          </w:p>
        </w:tc>
        <w:tc>
          <w:tcPr>
            <w:tcW w:w="1641" w:type="dxa"/>
          </w:tcPr>
          <w:p w:rsidR="00000000" w:rsidRDefault="00000000">
            <w:pPr>
              <w:suppressAutoHyphens/>
              <w:spacing w:before="40" w:after="80"/>
              <w:ind w:left="72" w:right="43"/>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rPr>
                <w:iCs/>
              </w:rPr>
            </w:pPr>
            <w:r>
              <w:t>4</w:t>
            </w:r>
          </w:p>
        </w:tc>
        <w:tc>
          <w:tcPr>
            <w:tcW w:w="5899" w:type="dxa"/>
          </w:tcPr>
          <w:p w:rsidR="00000000" w:rsidRDefault="00000000">
            <w:pPr>
              <w:suppressAutoHyphens/>
              <w:spacing w:before="40" w:after="80"/>
              <w:ind w:right="43"/>
              <w:rPr>
                <w:iCs/>
              </w:rPr>
            </w:pPr>
            <w:r>
              <w:t>Réponses (Angola)</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 xml:space="preserve">17 heures à 18 heures </w:t>
            </w:r>
          </w:p>
        </w:tc>
        <w:tc>
          <w:tcPr>
            <w:tcW w:w="1641" w:type="dxa"/>
          </w:tcPr>
          <w:p w:rsidR="00000000" w:rsidRDefault="00000000">
            <w:pPr>
              <w:suppressAutoHyphens/>
              <w:spacing w:before="40" w:after="80"/>
              <w:ind w:left="72" w:right="43"/>
              <w:rPr>
                <w:iCs/>
              </w:rPr>
            </w:pPr>
            <w:r>
              <w:t>4</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 xml:space="preserve">Lundi 19 juillet 2004 </w:t>
            </w:r>
          </w:p>
          <w:p w:rsidR="00000000" w:rsidRDefault="00000000">
            <w:pPr>
              <w:suppressAutoHyphens/>
              <w:spacing w:before="40" w:after="80"/>
              <w:ind w:right="43"/>
              <w:rPr>
                <w:b/>
                <w:bCs/>
              </w:rPr>
            </w:pPr>
            <w:r>
              <w:rPr>
                <w:b/>
                <w:bCs/>
              </w:rPr>
              <w:t>664</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à 12 heures</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Réponses (Lettonie)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12 heures à 13 heures (séance privée)</w:t>
            </w:r>
          </w:p>
        </w:tc>
        <w:tc>
          <w:tcPr>
            <w:tcW w:w="1641" w:type="dxa"/>
          </w:tcPr>
          <w:p w:rsidR="00000000" w:rsidRDefault="00000000">
            <w:pPr>
              <w:suppressAutoHyphens/>
              <w:spacing w:before="40" w:after="80"/>
              <w:ind w:left="72" w:right="43"/>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665</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17 heures</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rPr>
                <w:iCs/>
              </w:rPr>
            </w:pPr>
            <w:r>
              <w:t>Réponses (Malte)</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17 heures à 18 heures (séance privée)</w:t>
            </w:r>
          </w:p>
        </w:tc>
        <w:tc>
          <w:tcPr>
            <w:tcW w:w="1641" w:type="dxa"/>
          </w:tcPr>
          <w:p w:rsidR="00000000" w:rsidRDefault="00000000">
            <w:pPr>
              <w:suppressAutoHyphens/>
              <w:spacing w:before="40" w:after="80"/>
              <w:ind w:left="72" w:right="43"/>
              <w:rPr>
                <w:iCs/>
              </w:rPr>
            </w:pPr>
            <w:r>
              <w:t>4</w:t>
            </w:r>
            <w:r>
              <w:rPr>
                <w:b/>
                <w:bCs/>
              </w:rPr>
              <w:t xml:space="preserve"> </w:t>
            </w:r>
            <w:r>
              <w:t>(</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Mardi 20 juillet 2004</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à 13 heures (séance privée)</w:t>
            </w:r>
          </w:p>
        </w:tc>
        <w:tc>
          <w:tcPr>
            <w:tcW w:w="1641" w:type="dxa"/>
          </w:tcPr>
          <w:p w:rsidR="00000000" w:rsidRDefault="00000000">
            <w:pPr>
              <w:suppressAutoHyphens/>
              <w:spacing w:before="40" w:after="80"/>
              <w:ind w:left="72" w:right="43"/>
              <w:rPr>
                <w:iCs/>
              </w:rPr>
            </w:pPr>
            <w:r>
              <w:t>7 (</w:t>
            </w:r>
            <w:r>
              <w:rPr>
                <w:i/>
                <w:iCs/>
              </w:rPr>
              <w:t>suite</w:t>
            </w:r>
            <w:r>
              <w:rPr>
                <w:iCs/>
              </w:rPr>
              <w:t>)</w:t>
            </w:r>
          </w:p>
        </w:tc>
        <w:tc>
          <w:tcPr>
            <w:tcW w:w="5899" w:type="dxa"/>
          </w:tcPr>
          <w:p w:rsidR="00000000" w:rsidRDefault="00000000">
            <w:pPr>
              <w:suppressAutoHyphens/>
              <w:spacing w:before="40" w:after="80"/>
              <w:ind w:right="43"/>
            </w:pPr>
            <w:r>
              <w:t>Activités du Comité au titre du Protocole facultatif se rapportant à la Convention sur l’élimination de toutes les formes de discrimination à l’égard des femmes</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 xml:space="preserve">15 heures à 18 heures </w:t>
            </w:r>
          </w:p>
        </w:tc>
        <w:tc>
          <w:tcPr>
            <w:tcW w:w="1641" w:type="dxa"/>
          </w:tcPr>
          <w:p w:rsidR="00000000" w:rsidRDefault="00000000">
            <w:pPr>
              <w:suppressAutoHyphens/>
              <w:spacing w:before="40" w:after="80"/>
              <w:ind w:left="72" w:right="43"/>
              <w:rPr>
                <w:iCs/>
              </w:rPr>
            </w:pPr>
            <w:r>
              <w:t xml:space="preserve">4 </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 xml:space="preserve">Mercredi 21 juillet 2004 </w:t>
            </w:r>
          </w:p>
          <w:p w:rsidR="00000000" w:rsidRDefault="00000000">
            <w:pPr>
              <w:suppressAutoHyphens/>
              <w:spacing w:before="40" w:after="80"/>
              <w:ind w:right="43"/>
              <w:rPr>
                <w:b/>
                <w:bCs/>
              </w:rPr>
            </w:pPr>
            <w:r>
              <w:rPr>
                <w:b/>
                <w:bCs/>
              </w:rPr>
              <w:t>666</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 xml:space="preserve">10 heures à 13 heures </w:t>
            </w:r>
          </w:p>
        </w:tc>
        <w:tc>
          <w:tcPr>
            <w:tcW w:w="1641" w:type="dxa"/>
          </w:tcPr>
          <w:p w:rsidR="00000000" w:rsidRDefault="00000000">
            <w:pPr>
              <w:suppressAutoHyphens/>
              <w:spacing w:before="40" w:after="80"/>
              <w:ind w:left="72" w:right="43"/>
              <w:rPr>
                <w:iCs/>
              </w:rPr>
            </w:pPr>
            <w:r>
              <w:rPr>
                <w:b/>
                <w:bCs/>
              </w:rPr>
              <w:t>5</w:t>
            </w:r>
            <w:r>
              <w:t xml:space="preserve"> (</w:t>
            </w:r>
            <w:r>
              <w:rPr>
                <w:i/>
                <w:iCs/>
              </w:rPr>
              <w:t>suite</w:t>
            </w:r>
            <w:r>
              <w:rPr>
                <w:iCs/>
              </w:rPr>
              <w:t>)</w:t>
            </w:r>
          </w:p>
        </w:tc>
        <w:tc>
          <w:tcPr>
            <w:tcW w:w="5899" w:type="dxa"/>
          </w:tcPr>
          <w:p w:rsidR="00000000" w:rsidRDefault="00000000">
            <w:pPr>
              <w:suppressAutoHyphens/>
              <w:spacing w:before="40" w:after="80"/>
              <w:ind w:right="43"/>
            </w:pPr>
            <w:r>
              <w:t>Examen de la recommandation générale relative à l’article 2 de la Convention, avec la participation des institutions spécialisées, des organismes des Nations Unies et des organisations non gouvernementales</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18 heures (séance privée)</w:t>
            </w:r>
          </w:p>
        </w:tc>
        <w:tc>
          <w:tcPr>
            <w:tcW w:w="1641" w:type="dxa"/>
          </w:tcPr>
          <w:p w:rsidR="00000000" w:rsidRDefault="00000000">
            <w:pPr>
              <w:suppressAutoHyphens/>
              <w:spacing w:before="40" w:after="80"/>
              <w:ind w:left="72" w:right="43"/>
            </w:pPr>
            <w:r>
              <w:t>4</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rPr>
          <w:trHeight w:hRule="exact" w:val="115"/>
        </w:trPr>
        <w:tc>
          <w:tcPr>
            <w:tcW w:w="2310" w:type="dxa"/>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Jeudi 22 juillet 2004</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à 13 heures (séance privée)</w:t>
            </w:r>
          </w:p>
        </w:tc>
        <w:tc>
          <w:tcPr>
            <w:tcW w:w="1641" w:type="dxa"/>
          </w:tcPr>
          <w:p w:rsidR="00000000" w:rsidRDefault="00000000">
            <w:pPr>
              <w:suppressAutoHyphens/>
              <w:spacing w:before="40" w:after="80"/>
              <w:ind w:left="72" w:right="43"/>
              <w:rPr>
                <w:iCs/>
              </w:rPr>
            </w:pPr>
            <w:r>
              <w:t>6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Vendredi 23 juillet 2004</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10 heures (séance privée)</w:t>
            </w:r>
          </w:p>
        </w:tc>
        <w:tc>
          <w:tcPr>
            <w:tcW w:w="1641" w:type="dxa"/>
          </w:tcPr>
          <w:p w:rsidR="00000000" w:rsidRDefault="00000000">
            <w:pPr>
              <w:suppressAutoHyphens/>
              <w:spacing w:before="40" w:after="80"/>
              <w:ind w:left="72" w:right="43"/>
              <w:rPr>
                <w:iCs/>
              </w:rPr>
            </w:pPr>
            <w:r>
              <w:t>4 (</w:t>
            </w:r>
            <w:r>
              <w:rPr>
                <w:i/>
                <w:iCs/>
              </w:rPr>
              <w:t>suite</w:t>
            </w:r>
            <w:r>
              <w:rPr>
                <w:iCs/>
              </w:rPr>
              <w:t>)</w:t>
            </w:r>
          </w:p>
        </w:tc>
        <w:tc>
          <w:tcPr>
            <w:tcW w:w="5899" w:type="dxa"/>
          </w:tcPr>
          <w:p w:rsidR="00000000" w:rsidRDefault="00000000">
            <w:pPr>
              <w:suppressAutoHyphens/>
              <w:spacing w:before="40" w:after="80"/>
              <w:ind w:right="43"/>
            </w:pPr>
            <w:r>
              <w:t>Groupe de travail plénier</w:t>
            </w: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rPr>
                <w:b/>
                <w:bCs/>
              </w:rPr>
            </w:pPr>
            <w:r>
              <w:rPr>
                <w:b/>
                <w:bCs/>
              </w:rPr>
              <w:t>667</w:t>
            </w:r>
            <w:r>
              <w:rPr>
                <w:b/>
                <w:bCs/>
                <w:vertAlign w:val="superscript"/>
              </w:rPr>
              <w:t>e</w:t>
            </w:r>
            <w:r>
              <w:rPr>
                <w:b/>
                <w:bCs/>
              </w:rPr>
              <w:t xml:space="preserve"> séance</w:t>
            </w:r>
          </w:p>
        </w:tc>
        <w:tc>
          <w:tcPr>
            <w:tcW w:w="1641" w:type="dxa"/>
          </w:tcPr>
          <w:p w:rsidR="00000000" w:rsidRDefault="00000000">
            <w:pPr>
              <w:suppressAutoHyphens/>
              <w:spacing w:before="40" w:after="80"/>
              <w:ind w:left="72" w:right="43"/>
            </w:pPr>
          </w:p>
        </w:tc>
        <w:tc>
          <w:tcPr>
            <w:tcW w:w="5899" w:type="dxa"/>
          </w:tcPr>
          <w:p w:rsidR="00000000" w:rsidRDefault="00000000">
            <w:pPr>
              <w:suppressAutoHyphens/>
              <w:spacing w:before="40" w:after="80"/>
              <w:ind w:right="43"/>
            </w:pPr>
          </w:p>
        </w:tc>
      </w:tr>
      <w:tr w:rsidR="00000000">
        <w:tblPrEx>
          <w:tblCellMar>
            <w:top w:w="0" w:type="dxa"/>
            <w:left w:w="0" w:type="dxa"/>
            <w:bottom w:w="0" w:type="dxa"/>
            <w:right w:w="0" w:type="dxa"/>
          </w:tblCellMar>
        </w:tblPrEx>
        <w:tc>
          <w:tcPr>
            <w:tcW w:w="2310" w:type="dxa"/>
          </w:tcPr>
          <w:p w:rsidR="00000000" w:rsidRDefault="00000000">
            <w:pPr>
              <w:suppressAutoHyphens/>
              <w:spacing w:before="40" w:after="80"/>
              <w:ind w:right="43"/>
            </w:pPr>
            <w:r>
              <w:t>15 heures à 16 heures (séance privée)</w:t>
            </w:r>
          </w:p>
        </w:tc>
        <w:tc>
          <w:tcPr>
            <w:tcW w:w="1641" w:type="dxa"/>
          </w:tcPr>
          <w:p w:rsidR="00000000" w:rsidRDefault="00000000">
            <w:pPr>
              <w:suppressAutoHyphens/>
              <w:spacing w:before="40" w:after="80"/>
              <w:ind w:left="72" w:right="43"/>
              <w:rPr>
                <w:iCs/>
              </w:rPr>
            </w:pPr>
            <w:r>
              <w:t>5 et 6 (</w:t>
            </w:r>
            <w:r>
              <w:rPr>
                <w:i/>
                <w:iCs/>
              </w:rPr>
              <w:t>suite</w:t>
            </w:r>
            <w:r>
              <w:rPr>
                <w:iCs/>
              </w:rPr>
              <w:t>)</w:t>
            </w:r>
          </w:p>
        </w:tc>
        <w:tc>
          <w:tcPr>
            <w:tcW w:w="5899" w:type="dxa"/>
          </w:tcPr>
          <w:p w:rsidR="00000000" w:rsidRDefault="00000000">
            <w:pPr>
              <w:suppressAutoHyphens/>
              <w:spacing w:before="40" w:after="80"/>
              <w:ind w:right="43"/>
            </w:pPr>
            <w:r>
              <w:t>Adoption du rapport du Groupe de travail plénier</w:t>
            </w:r>
          </w:p>
        </w:tc>
      </w:tr>
      <w:tr w:rsidR="00000000">
        <w:tblPrEx>
          <w:tblCellMar>
            <w:top w:w="0" w:type="dxa"/>
            <w:left w:w="0" w:type="dxa"/>
            <w:bottom w:w="0" w:type="dxa"/>
            <w:right w:w="0" w:type="dxa"/>
          </w:tblCellMar>
        </w:tblPrEx>
        <w:trPr>
          <w:cantSplit/>
        </w:trPr>
        <w:tc>
          <w:tcPr>
            <w:tcW w:w="2310" w:type="dxa"/>
            <w:vMerge w:val="restart"/>
          </w:tcPr>
          <w:p w:rsidR="00000000" w:rsidRDefault="00000000">
            <w:pPr>
              <w:suppressAutoHyphens/>
              <w:spacing w:before="40" w:after="80"/>
              <w:ind w:right="43"/>
            </w:pPr>
            <w:r>
              <w:t>16 heures à 18 heures</w:t>
            </w:r>
          </w:p>
        </w:tc>
        <w:tc>
          <w:tcPr>
            <w:tcW w:w="1641" w:type="dxa"/>
          </w:tcPr>
          <w:p w:rsidR="00000000" w:rsidRDefault="00000000">
            <w:pPr>
              <w:suppressAutoHyphens/>
              <w:spacing w:before="40" w:after="80"/>
              <w:ind w:left="72" w:right="43"/>
            </w:pPr>
            <w:r>
              <w:t>8</w:t>
            </w:r>
          </w:p>
        </w:tc>
        <w:tc>
          <w:tcPr>
            <w:tcW w:w="5899" w:type="dxa"/>
          </w:tcPr>
          <w:p w:rsidR="00000000" w:rsidRDefault="00000000">
            <w:pPr>
              <w:suppressAutoHyphens/>
              <w:spacing w:before="40" w:after="80"/>
              <w:ind w:right="43"/>
            </w:pPr>
            <w:r>
              <w:t>Ordre du jour provisoire de la trente-deuxième session</w:t>
            </w:r>
          </w:p>
        </w:tc>
      </w:tr>
      <w:tr w:rsidR="00000000">
        <w:tblPrEx>
          <w:tblCellMar>
            <w:top w:w="0" w:type="dxa"/>
            <w:left w:w="0" w:type="dxa"/>
            <w:bottom w:w="0" w:type="dxa"/>
            <w:right w:w="0" w:type="dxa"/>
          </w:tblCellMar>
        </w:tblPrEx>
        <w:trPr>
          <w:cantSplit/>
        </w:trPr>
        <w:tc>
          <w:tcPr>
            <w:tcW w:w="2310" w:type="dxa"/>
            <w:vMerge/>
          </w:tcPr>
          <w:p w:rsidR="00000000" w:rsidRDefault="00000000">
            <w:pPr>
              <w:suppressAutoHyphens/>
              <w:spacing w:before="40" w:after="80"/>
              <w:ind w:right="43"/>
            </w:pPr>
          </w:p>
        </w:tc>
        <w:tc>
          <w:tcPr>
            <w:tcW w:w="1641" w:type="dxa"/>
          </w:tcPr>
          <w:p w:rsidR="00000000" w:rsidRDefault="00000000">
            <w:pPr>
              <w:suppressAutoHyphens/>
              <w:spacing w:before="40" w:after="80"/>
              <w:ind w:left="72" w:right="43"/>
            </w:pPr>
            <w:r>
              <w:t>9</w:t>
            </w:r>
          </w:p>
        </w:tc>
        <w:tc>
          <w:tcPr>
            <w:tcW w:w="5899" w:type="dxa"/>
          </w:tcPr>
          <w:p w:rsidR="00000000" w:rsidRDefault="00000000">
            <w:pPr>
              <w:suppressAutoHyphens/>
              <w:spacing w:before="40" w:after="80"/>
              <w:ind w:right="43"/>
            </w:pPr>
            <w:r>
              <w:t>Adoption du rapport du Comité sur les travaux de sa trente et unième session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NO&gt;&gt;N0435913F&lt;&lt;ODS JOB NO&gt;&gt;</w:t>
      </w:r>
    </w:p>
    <w:p w:rsidR="00000000" w:rsidRDefault="00000000">
      <w:pPr>
        <w:pStyle w:val="CommentText"/>
      </w:pPr>
      <w:r>
        <w:t>&lt;&lt;ODS DOC SYMBOL1&gt;&gt;CEDAW/C/2004/II/1&lt;&lt;ODS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0435913f.doc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0435913f.doc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04-35913 (F)</w:t>
    </w:r>
    <w:r>
      <w:rPr>
        <w:b w:val="0"/>
        <w:sz w:val="20"/>
      </w:rPr>
      <w:fldChar w:fldCharType="end"/>
    </w:r>
    <w:r>
      <w:rPr>
        <w:b w:val="0"/>
        <w:sz w:val="20"/>
      </w:rPr>
      <w:t xml:space="preserve">    080604    080604</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0435913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CEDAW/C/2004/II/1</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CEDAW/C/2004/II/1</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/C/2004/II/1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mai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CF1E56"/>
    <w:multiLevelType w:val="hybridMultilevel"/>
    <w:tmpl w:val="EF401C02"/>
    <w:lvl w:ilvl="0" w:tplc="41F6FFDA">
      <w:start w:val="1"/>
      <w:numFmt w:val="decimal"/>
      <w:lvlText w:val="%1."/>
      <w:lvlJc w:val="left"/>
      <w:pPr>
        <w:tabs>
          <w:tab w:val="num" w:pos="567"/>
        </w:tabs>
        <w:ind w:left="56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ACB3FEE"/>
    <w:multiLevelType w:val="hybridMultilevel"/>
    <w:tmpl w:val="F24852E2"/>
    <w:lvl w:ilvl="0" w:tplc="CB96E8A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5913"/>
    <w:docVar w:name="CreationDt" w:val="08/06/2004 10:17:47"/>
    <w:docVar w:name="DocCategory" w:val="Doc"/>
    <w:docVar w:name="DocType" w:val="Final"/>
    <w:docVar w:name="jobn" w:val="04-35913 (F)"/>
    <w:docVar w:name="jobnDT" w:val="04-35913 (F)   080604   "/>
    <w:docVar w:name="jobnDTDT" w:val="04-35913 (F)   080604   080604"/>
    <w:docVar w:name="JobNo" w:val="0435913F"/>
    <w:docVar w:name="OandT" w:val="cmd"/>
    <w:docVar w:name="sss1" w:val="CEDAW/C/2004/II/1"/>
    <w:docVar w:name="sss2" w:val="-"/>
    <w:docVar w:name="Symbol1" w:val="CEDAW/C/2004/I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2623</Words>
  <Characters>14166</Characters>
  <Application>Microsoft Office Word</Application>
  <DocSecurity>4</DocSecurity>
  <Lines>566</Lines>
  <Paragraphs>267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18363</CharactersWithSpaces>
  <SharedDoc>false</SharedDoc>
  <HLinks>
    <vt:vector size="6" baseType="variant">
      <vt:variant>
        <vt:i4>4522087</vt:i4>
      </vt:variant>
      <vt:variant>
        <vt:i4>18614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Francisca.Bousselmi</cp:lastModifiedBy>
  <cp:revision>5</cp:revision>
  <cp:lastPrinted>2004-06-08T11:43:00Z</cp:lastPrinted>
  <dcterms:created xsi:type="dcterms:W3CDTF">2004-06-08T11:32:00Z</dcterms:created>
  <dcterms:modified xsi:type="dcterms:W3CDTF">2004-06-08T11:45:00Z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CEDAW/C/2004/II/1</vt:lpwstr>
  </property>
  <property fmtid="{D5CDD505-2E9C-101B-9397-08002B2CF9AE}" pid="3" name="Symbol2">
    <vt:lpwstr/>
  </property>
  <property fmtid="{D5CDD505-2E9C-101B-9397-08002B2CF9AE}" pid="4" name="Translator">
    <vt:lpwstr/>
  </property>
  <property fmtid="{D5CDD505-2E9C-101B-9397-08002B2CF9AE}" pid="5" name="JobNo">
    <vt:lpwstr>0435913F</vt:lpwstr>
  </property>
  <property fmtid="{D5CDD505-2E9C-101B-9397-08002B2CF9AE}" pid="6" name="Comment">
    <vt:lpwstr/>
  </property>
  <property fmtid="{D5CDD505-2E9C-101B-9397-08002B2CF9AE}" pid="7" name="DraftPages">
    <vt:lpwstr> </vt:lpwstr>
  </property>
  <property fmtid="{D5CDD505-2E9C-101B-9397-08002B2CF9AE}" pid="8" name="Operator">
    <vt:lpwstr>cmd/fb</vt:lpwstr>
  </property>
</Properties>
</file>