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Período extraordinario de sesiones</w:t>
      </w:r>
    </w:p>
    <w:p w:rsidR="00000000" w:rsidRDefault="00000000">
      <w:pPr>
        <w:spacing w:line="240" w:lineRule="auto"/>
        <w:rPr>
          <w:sz w:val="12"/>
        </w:rPr>
      </w:pPr>
    </w:p>
    <w:p w:rsidR="00000000" w:rsidRDefault="00000000">
      <w:pPr>
        <w:pStyle w:val="H23"/>
      </w:pPr>
      <w:r>
        <w:t>Acta resumida de la 583ª sesión</w:t>
      </w:r>
    </w:p>
    <w:p w:rsidR="00000000" w:rsidRDefault="00000000">
      <w:r>
        <w:t>Celebrada en la Sede, Nueva York, el jueves 15 de agosto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 xml:space="preserve">Sra. Regazzoli </w:t>
      </w:r>
      <w:r>
        <w:rPr>
          <w:spacing w:val="60"/>
          <w:sz w:val="17"/>
        </w:rPr>
        <w:tab/>
      </w:r>
      <w:r>
        <w:t xml:space="preserve">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w:t>
      </w:r>
      <w:r>
        <w:rPr>
          <w:i/>
        </w:rPr>
        <w:t>continuación</w:t>
      </w:r>
      <w:r>
        <w:t>)</w:t>
      </w:r>
    </w:p>
    <w:p w:rsidR="00000000" w:rsidRDefault="00000000">
      <w:pPr>
        <w:pStyle w:val="SingleTxt"/>
      </w:pPr>
      <w:r>
        <w:rPr>
          <w:i/>
        </w:rPr>
        <w:tab/>
        <w:t xml:space="preserve">Quinto informe periódico del Perú </w:t>
      </w:r>
      <w:r>
        <w:t>(</w:t>
      </w:r>
      <w:r>
        <w:rPr>
          <w:i/>
        </w:rPr>
        <w:t>continuación</w:t>
      </w:r>
      <w:r>
        <w:t>)</w:t>
      </w: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En ausencia de la Presidenta, la Sra. Regazzoli, Vicepresidenta, asume la Presidencia.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Quinto informe periódico del Perú </w:t>
      </w:r>
      <w:r>
        <w:rPr>
          <w:i w:val="0"/>
        </w:rPr>
        <w:t>(</w:t>
      </w:r>
      <w:r>
        <w:t>continuación</w:t>
      </w:r>
      <w:r>
        <w:rPr>
          <w:i w:val="0"/>
        </w:rPr>
        <w:t>) (CEDAW/C/PER/5; CEDAW/PSWG/2002/EXC/ CRP.1/Add.9 y CEDAW/PSWG/2002/EXC/ CRP.2/Add.8)</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t>Por invitación de la Presidenta, la Sra. Espinoza (Perú) toma asiento como participante en el debate de la Mesa.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Espinoza</w:t>
      </w:r>
      <w:r>
        <w:t xml:space="preserve"> (Perú) dice que en el artículo de la Constitución que rige la cuestión del empleo se prevé la igualdad de oportunidades y de tratamiento respecto del acceso al empleo. El Perú ha ratificado el Convenio No. 100 de la Organización Internacional del Trabajo relativo a la igualdad de remuneración por tr</w:t>
      </w:r>
      <w:r>
        <w:t>a</w:t>
      </w:r>
      <w:r>
        <w:t>bajo de igual valor. Está prohibido el despido por raz</w:t>
      </w:r>
      <w:r>
        <w:t>o</w:t>
      </w:r>
      <w:r>
        <w:t>nes de embarazo, independientemente de la etapa del embarazo en que se encuentre la interesada, y esa di</w:t>
      </w:r>
      <w:r>
        <w:t>s</w:t>
      </w:r>
      <w:r>
        <w:t>posición rige por un período de 180 días después del parto. Los derechos de maternidad están contemplados en una disposición especial, y los empleados del Estado ya no están sujetos a limitaciones más estrictas que los empleados del sector privado.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 indudable que algunos aspectos de la discrim</w:t>
      </w:r>
      <w:r>
        <w:t>i</w:t>
      </w:r>
      <w:r>
        <w:t>nación quedan fuera del ámbito de la amplia gama de leyes, pero para esos casos existe un mecanismo de d</w:t>
      </w:r>
      <w:r>
        <w:t>e</w:t>
      </w:r>
      <w:r>
        <w:t>nuncia. Sin embargo, ese mecanismo está al alcance de un pequeño grupo de mujeres con contratos de trabajo permanente o a plazo fijo, ya que la mayor parte de la población femenina económicamente activa trabaja en el sector comercial no estructurado. El proyecto de ley sobre la igualdad de oportunidades que su Ministerio desea presentar al Congreso es un proyecto de ley ma</w:t>
      </w:r>
      <w:r>
        <w:t>r</w:t>
      </w:r>
      <w:r>
        <w:t>co contra todas las formas de discriminación y en pro de la igualdad de oportunidades independientemente del género, la raza o la situación económica. Entre las esferas previstas están el control de la natalidad, el a</w:t>
      </w:r>
      <w:r>
        <w:t>c</w:t>
      </w:r>
      <w:r>
        <w:t>ceso al empleo y el tratamiento en éste, y el tratamiento en el curso de procedimientos penales. De quedar aprobado, ese proyecto de ley podría mejorar consid</w:t>
      </w:r>
      <w:r>
        <w:t>e</w:t>
      </w:r>
      <w:r>
        <w:t>rablemente las normas nacionales y las leyes marco, y promover una supervisión más estricta del cumpl</w:t>
      </w:r>
      <w:r>
        <w:t>i</w:t>
      </w:r>
      <w:r>
        <w:t>miento de sus disposiciones.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Su delegación entregará al Comité un ejemplar del plan amplio aprobado dos meses atrás relativo a la protección de las personas mayores de edad. En él se contemplan diversos aspectos que favorecen un envej</w:t>
      </w:r>
      <w:r>
        <w:t>e</w:t>
      </w:r>
      <w:r>
        <w:t>cimiento saludable, a saber, la atención médica, la s</w:t>
      </w:r>
      <w:r>
        <w:t>e</w:t>
      </w:r>
      <w:r>
        <w:t>guridad social, la nutrición, el uso del tiempo libre, el uso de un lenguaje en que se tengan en cuenta consid</w:t>
      </w:r>
      <w:r>
        <w:t>e</w:t>
      </w:r>
      <w:r>
        <w:t>raciones de género y la prestación de la debida ate</w:t>
      </w:r>
      <w:r>
        <w:t>n</w:t>
      </w:r>
      <w:r>
        <w:t>ción a la situación del hombre y la mujer. Una medida de carácter general ha sido el suministro de inform</w:t>
      </w:r>
      <w:r>
        <w:t>a</w:t>
      </w:r>
      <w:r>
        <w:t>ción desglosada por sexo y tipo de esfera y la prom</w:t>
      </w:r>
      <w:r>
        <w:t>o</w:t>
      </w:r>
      <w:r>
        <w:t>ción de estilos de vida saludables en la población urb</w:t>
      </w:r>
      <w:r>
        <w:t>a</w:t>
      </w:r>
      <w:r>
        <w:t>na, rural y de las zonas boscosas, orientándola hacia estilos de vida favorables al medio ambiente.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Esa medida de carácter general servirá de base para un plan de actividades más detallado. Una de las funciones encomendadas al Ministerio de la Mujer y Desarrollo Social consiste en prestar atención a las n</w:t>
      </w:r>
      <w:r>
        <w:t>e</w:t>
      </w:r>
      <w:r>
        <w:t>cesidades de las personas de edad en lo que se refiere a la gestión de su desarrollo humano, para lo cual se ha dedicado un departamento independiente. El Ministerio también presta especial atención a la situación de los discapacitados, e incorpora la perspectiva de género en cada una de las esferas atendidas por las distintas d</w:t>
      </w:r>
      <w:r>
        <w:t>e</w:t>
      </w:r>
      <w:r>
        <w:t>pendencias que se ocupan concretamente de la situ</w:t>
      </w:r>
      <w:r>
        <w:t>a</w:t>
      </w:r>
      <w:r>
        <w:t>ción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 todas luces, el requisito de que el personal m</w:t>
      </w:r>
      <w:r>
        <w:t>é</w:t>
      </w:r>
      <w:r>
        <w:t>dico notifique a la policía todo caso de procura de aborto disuade a muchas jóvenes de dirigirse a médicos o enfermeras debidamente capacitados y con frecuencia las coloca en situaciones peligrosas. Su Ministerio está tratando denodadamente de lograr que se enmiende esa disposición aberrante. Sin embargo, lamentablemente el Congreso está integrado por miembros de diferentes tendencias políticas con distintas creencias religiosas y sociales y se dificulta lograr la legalización del aborto. De todas maneras, le complace informar de que la tasa de mortalidad materna se ha reducido drásticamente.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edad mínima legal para contraer matrimonio sigue siendo de 18 años, que es la mayoría de edad e</w:t>
      </w:r>
      <w:r>
        <w:t>s</w:t>
      </w:r>
      <w:r>
        <w:t>tablecida para el pleno ejercicio de los derechos civiles y políticos. Sin embargo, en circunstancias excepci</w:t>
      </w:r>
      <w:r>
        <w:t>o</w:t>
      </w:r>
      <w:r>
        <w:t>nales, y sólo después de un proceso judicial, un magi</w:t>
      </w:r>
      <w:r>
        <w:t>s</w:t>
      </w:r>
      <w:r>
        <w:t>trado puede conceder permiso a una persona para co</w:t>
      </w:r>
      <w:r>
        <w:t>n</w:t>
      </w:r>
      <w:r>
        <w:t>traer matrimonio a la edad de 16 años. El alarmante aumento de la población urbana se ha debido al éxodo de las zonas rurales, que a su vez es generado por la pobreza y, más recientemente, la violencia polít</w:t>
      </w:r>
      <w:r>
        <w:t>i</w:t>
      </w:r>
      <w:r>
        <w:t>ca. Esto hace que las autoridades tengan que ocuparse de satisfacer las necesidades de esa población urbana adicional en materia de salud, educación y seguridad social.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sector de la salud es sin dudas el sector estatal de más amplia presencia en el Perú. Hasta las zonas más distantes cuentan con una escuela y un puesto de salud. Quizás su personal no sea de la más alta calif</w:t>
      </w:r>
      <w:r>
        <w:t>i</w:t>
      </w:r>
      <w:r>
        <w:t>cación, pero nadie queda sin tratamiento o sin enseña</w:t>
      </w:r>
      <w:r>
        <w:t>n</w:t>
      </w:r>
      <w:r>
        <w:t>za básica. En el marco del Programa Nacional de Ap</w:t>
      </w:r>
      <w:r>
        <w:t>o</w:t>
      </w:r>
      <w:r>
        <w:t>yo Alimentario (PRONAA) se distribuyen raciones de alimentos incluso en las zonas más remotas del país. La participación de las mujeres de las zonas urbanas en la distribución de alimentos y la promoción de la salud está mucho mejor organizada.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no tiene conocimiento alguno de actos de discriminación contra la población de habla árabe, pero procurará obtener más detalles del miembro del Comité que planteó la cuestión para poder investigar el caso y adoptar las medidas necesarias. En conclusión, las autoridades están trabajando en aras de la ratific</w:t>
      </w:r>
      <w:r>
        <w:t>a</w:t>
      </w:r>
      <w:r>
        <w:t>ción de la enmienda del párrafo 1 del artículo 20 de la Constitución.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González</w:t>
      </w:r>
      <w:r>
        <w:t xml:space="preserve"> advierte sobre el peligro de equiparar la equidad con la igualdad de facto y de jure, algo que el Estado parte parece haber hecho en la re</w:t>
      </w:r>
      <w:r>
        <w:t>s</w:t>
      </w:r>
      <w:r>
        <w:t>puesta a la pregunta 9 que ha presentado por escrito. La equidad debe adquirir tal importancia sólo después de que se haya alcanzado una igualdad auténtica.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Espinoza</w:t>
      </w:r>
      <w:r>
        <w:t xml:space="preserve"> (Perú) dice que las frecuentes referencias del Estado parte a la equidad no quieren decir que las autoridades han perdido de vista el objet</w:t>
      </w:r>
      <w:r>
        <w:t>i</w:t>
      </w:r>
      <w:r>
        <w:t>vo primordial de la igualdad auténtica.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agradece al Gobierno del Perú por la presentación de su informe.</w:t>
      </w:r>
    </w:p>
    <w:p w:rsidR="00000000" w:rsidRDefault="00000000">
      <w:pPr>
        <w:pStyle w:val="DualTxt"/>
      </w:pPr>
      <w:r>
        <w:rPr>
          <w:i/>
        </w:rPr>
        <w:t>Se levanta la sesión a las 15.25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NO&gt;&gt;N0252478S&lt;&lt;ODS JOB NO&gt;&gt;</w:t>
      </w:r>
    </w:p>
    <w:p w:rsidR="00000000" w:rsidRDefault="00000000">
      <w:pPr>
        <w:pStyle w:val="CommentText"/>
      </w:pPr>
      <w:r>
        <w:t>&lt;&lt;ODS DOC SYMBOL1&gt;&gt;CEDAW/C/SR.583&lt;&lt;ODS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0252478s.doc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0252478s.doc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766,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02-52478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*0252478*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diciembre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12E6D"/>
    <w:multiLevelType w:val="singleLevel"/>
    <w:tmpl w:val="AE02FDA6"/>
    <w:lvl w:ilvl="0">
      <w:start w:val="1"/>
      <w:numFmt w:val="decimal"/>
      <w:lvlText w:val="%1."/>
      <w:lvlJc w:val="left"/>
      <w:pPr>
        <w:tabs>
          <w:tab w:val="num" w:pos="480"/>
        </w:tabs>
        <w:ind w:left="480" w:hanging="480"/>
      </w:pPr>
      <w:rPr>
        <w:rFonts w:hint="default"/>
      </w:rPr>
    </w:lvl>
  </w:abstractNum>
  <w:abstractNum w:abstractNumId="1">
    <w:nsid w:val="73392ADA"/>
    <w:multiLevelType w:val="singleLevel"/>
    <w:tmpl w:val="52589238"/>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vanish w:val="0"/>
        <w:spacing w:val="0"/>
        <w:w w:val="100"/>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12/2003 16:43:54"/>
    <w:docVar w:name="DocCategory" w:val="SROthers"/>
    <w:docVar w:name="DocType" w:val="Final"/>
    <w:docVar w:name="JobNo" w:val="0252478S"/>
    <w:docVar w:name="OandT" w:val="Claudia"/>
    <w:docVar w:name="Symbol1" w:val="CEDAW/C/SR.58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1010</Words>
  <Characters>5758</Characters>
  <Application>Microsoft Office Word</Application>
  <DocSecurity>4</DocSecurity>
  <Lines>47</Lines>
  <Paragraphs>11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7071</CharactersWithSpaces>
  <SharedDoc>false</SharedDoc>
  <HLinks>
    <vt:vector size="6" baseType="variant">
      <vt:variant>
        <vt:i4>4522087</vt:i4>
      </vt:variant>
      <vt:variant>
        <vt:i4>8210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Cruz, Marina</dc:creator>
  <cp:keywords/>
  <dc:description/>
  <cp:lastModifiedBy>SUAREZ, Rosa</cp:lastModifiedBy>
  <cp:revision>38</cp:revision>
  <cp:lastPrinted>2003-12-04T17:01:00Z</cp:lastPrinted>
  <dcterms:created xsi:type="dcterms:W3CDTF">2003-12-04T14:43:00Z</dcterms:created>
  <dcterms:modified xsi:type="dcterms:W3CDTF">2003-12-04T17:04:00Z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0252478</vt:lpwstr>
  </property>
  <property fmtid="{D5CDD505-2E9C-101B-9397-08002B2CF9AE}" pid="3" name="Symbol1">
    <vt:lpwstr>CEDAW/C/SR.583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Claudia</vt:lpwstr>
  </property>
</Properties>
</file>