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D3B" w:rsidRDefault="003B1D3B" w:rsidP="003B1D3B">
      <w:pPr>
        <w:spacing w:line="240" w:lineRule="auto"/>
        <w:jc w:val="left"/>
        <w:rPr>
          <w:szCs w:val="6"/>
        </w:rPr>
        <w:sectPr w:rsidR="003B1D3B" w:rsidSect="003B1D3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F5367" w:rsidRPr="00DF5367" w:rsidRDefault="00DF5367" w:rsidP="00DF536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DF5367">
        <w:rPr>
          <w:rtl/>
        </w:rPr>
        <w:t>اللجنة المعنية بالقضاء على التمييز ضـد المرأة</w:t>
      </w:r>
    </w:p>
    <w:p w:rsidR="00DF5367" w:rsidRPr="00DF5367" w:rsidRDefault="00DF5367" w:rsidP="00DF536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DF5367">
        <w:rPr>
          <w:rtl/>
        </w:rPr>
        <w:t>الفريق العامل لما قبل الدورة</w:t>
      </w:r>
    </w:p>
    <w:p w:rsidR="00DF5367" w:rsidRPr="00DF5367" w:rsidRDefault="00DF5367" w:rsidP="00DF536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DF5367">
        <w:rPr>
          <w:rtl/>
        </w:rPr>
        <w:t>الدورة الثامنة والثلاثون</w:t>
      </w:r>
    </w:p>
    <w:p w:rsidR="00DF5367" w:rsidRPr="00DF5367" w:rsidRDefault="00DF5367" w:rsidP="00DF5367">
      <w:pPr>
        <w:tabs>
          <w:tab w:val="left" w:pos="662"/>
          <w:tab w:val="left" w:pos="1267"/>
          <w:tab w:val="left" w:pos="1987"/>
          <w:tab w:val="left" w:pos="2650"/>
        </w:tabs>
        <w:rPr>
          <w:rtl/>
        </w:rPr>
      </w:pPr>
      <w:r w:rsidRPr="00DF5367">
        <w:rPr>
          <w:rtl/>
        </w:rPr>
        <w:t>14 أيار/مايو -</w:t>
      </w:r>
      <w:r>
        <w:rPr>
          <w:rFonts w:hint="cs"/>
          <w:rtl/>
        </w:rPr>
        <w:t xml:space="preserve"> </w:t>
      </w:r>
      <w:r w:rsidRPr="00DF5367">
        <w:rPr>
          <w:rtl/>
        </w:rPr>
        <w:t>1 حزيران/يونيه 2007</w:t>
      </w:r>
    </w:p>
    <w:p w:rsidR="00DF5367" w:rsidRPr="00DF5367" w:rsidRDefault="00DF5367" w:rsidP="00DF5367">
      <w:pPr>
        <w:pStyle w:val="SingleTxt"/>
        <w:spacing w:after="0" w:line="120" w:lineRule="exact"/>
        <w:rPr>
          <w:sz w:val="12"/>
          <w:rtl/>
        </w:rPr>
      </w:pPr>
    </w:p>
    <w:p w:rsidR="00DF5367" w:rsidRPr="00DF5367" w:rsidRDefault="00DF5367" w:rsidP="00DF5367">
      <w:pPr>
        <w:pStyle w:val="SingleTxt"/>
        <w:spacing w:after="0" w:line="120" w:lineRule="exact"/>
        <w:rPr>
          <w:sz w:val="12"/>
          <w:rtl/>
        </w:rPr>
      </w:pPr>
    </w:p>
    <w:p w:rsidR="00DF5367" w:rsidRPr="00DF5367" w:rsidRDefault="00DF5367" w:rsidP="00DF5367">
      <w:pPr>
        <w:pStyle w:val="SingleTxt"/>
        <w:spacing w:after="0" w:line="120" w:lineRule="exact"/>
        <w:rPr>
          <w:rFonts w:hint="cs"/>
          <w:sz w:val="12"/>
          <w:rtl/>
        </w:rPr>
      </w:pPr>
    </w:p>
    <w:p w:rsidR="00DF5367" w:rsidRPr="00E9442D" w:rsidRDefault="00DF5367" w:rsidP="00DF5367">
      <w:pPr>
        <w:framePr w:w="9792" w:h="432" w:hSpace="187" w:wrap="around" w:hAnchor="page" w:x="1196" w:yAlign="bottom"/>
        <w:spacing w:line="240" w:lineRule="auto"/>
        <w:rPr>
          <w:szCs w:val="10"/>
          <w:rtl/>
        </w:rPr>
      </w:pPr>
    </w:p>
    <w:p w:rsidR="00DF5367" w:rsidRPr="00E9442D" w:rsidRDefault="00DF5367" w:rsidP="00DF5367">
      <w:pPr>
        <w:framePr w:w="9792" w:h="432" w:hSpace="187" w:wrap="around" w:hAnchor="page" w:x="1196" w:yAlign="bottom"/>
        <w:spacing w:line="240" w:lineRule="auto"/>
        <w:rPr>
          <w:rFonts w:hint="cs"/>
          <w:szCs w:val="6"/>
          <w:rtl/>
        </w:rPr>
      </w:pPr>
    </w:p>
    <w:p w:rsidR="00DF5367" w:rsidRPr="00DF5367" w:rsidRDefault="00DF5367" w:rsidP="00DF5367">
      <w:pPr>
        <w:framePr w:w="9792" w:h="432" w:hSpace="187" w:wrap="around" w:hAnchor="page" w:x="1196" w:yAlign="bottom"/>
        <w:tabs>
          <w:tab w:val="right" w:pos="1195"/>
          <w:tab w:val="left" w:pos="1267"/>
        </w:tabs>
        <w:spacing w:after="80" w:line="300" w:lineRule="exact"/>
        <w:ind w:left="1267" w:right="1267" w:hanging="547"/>
        <w:rPr>
          <w:rFonts w:hint="cs"/>
          <w:sz w:val="26"/>
          <w:szCs w:val="26"/>
        </w:rPr>
      </w:pPr>
      <w:r>
        <w:rPr>
          <w:noProof/>
          <w:w w:val="100"/>
        </w:rPr>
        <w:pict>
          <v:line id="_x0000_s1028" style="position:absolute;left:0;text-align:left;z-index:1" from="396pt,-1pt" to="468pt,-1pt">
            <w10:wrap anchorx="page"/>
          </v:line>
        </w:pict>
      </w:r>
      <w:r>
        <w:rPr>
          <w:rFonts w:hint="cs"/>
          <w:sz w:val="17"/>
          <w:szCs w:val="26"/>
          <w:rtl/>
        </w:rPr>
        <w:tab/>
        <w:t>*</w:t>
      </w:r>
      <w:r>
        <w:rPr>
          <w:rFonts w:hint="cs"/>
          <w:sz w:val="17"/>
          <w:szCs w:val="26"/>
          <w:rtl/>
        </w:rPr>
        <w:tab/>
      </w:r>
      <w:r w:rsidRPr="00DF5367">
        <w:rPr>
          <w:sz w:val="26"/>
          <w:szCs w:val="26"/>
          <w:rtl/>
        </w:rPr>
        <w:t>ترقيم الصفحات في قائمة القضايا وا</w:t>
      </w:r>
      <w:r>
        <w:rPr>
          <w:rFonts w:hint="cs"/>
          <w:sz w:val="26"/>
          <w:szCs w:val="26"/>
          <w:rtl/>
        </w:rPr>
        <w:t>لمسائل</w:t>
      </w:r>
      <w:r w:rsidRPr="00DF5367">
        <w:rPr>
          <w:sz w:val="26"/>
          <w:szCs w:val="26"/>
          <w:rtl/>
        </w:rPr>
        <w:t xml:space="preserve"> هذه يشير إلى النسخة الانكليزية من التقرير.</w:t>
      </w:r>
    </w:p>
    <w:p w:rsidR="00DF5367" w:rsidRPr="00DF5367" w:rsidRDefault="00DF5367" w:rsidP="00DF536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F5367">
        <w:rPr>
          <w:lang w:val="en-GB"/>
        </w:rPr>
        <w:tab/>
      </w:r>
      <w:r w:rsidRPr="00DF5367">
        <w:rPr>
          <w:lang w:val="en-GB"/>
        </w:rPr>
        <w:tab/>
      </w:r>
      <w:r w:rsidRPr="00DF5367">
        <w:rPr>
          <w:rtl/>
        </w:rPr>
        <w:t>قائمة القضايا والمسائل المتعلقة بالنظر في تقريرين دوريين أول وثان*</w:t>
      </w:r>
    </w:p>
    <w:p w:rsidR="00DF5367" w:rsidRPr="00DF5367" w:rsidRDefault="00DF5367" w:rsidP="00DF5367">
      <w:pPr>
        <w:pStyle w:val="SingleTxt"/>
        <w:spacing w:after="0" w:line="120" w:lineRule="exact"/>
        <w:rPr>
          <w:rFonts w:hint="cs"/>
          <w:sz w:val="12"/>
          <w:rtl/>
          <w:lang w:val="en-GB"/>
        </w:rPr>
      </w:pPr>
    </w:p>
    <w:p w:rsidR="00DF5367" w:rsidRPr="00DF5367" w:rsidRDefault="00DF5367" w:rsidP="00D05D8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lang w:val="en-GB"/>
        </w:rPr>
      </w:pPr>
      <w:r w:rsidRPr="00DF5367">
        <w:rPr>
          <w:lang w:val="en-GB"/>
        </w:rPr>
        <w:tab/>
      </w:r>
      <w:r w:rsidRPr="00DF5367">
        <w:rPr>
          <w:lang w:val="en-GB"/>
        </w:rPr>
        <w:tab/>
      </w:r>
      <w:r w:rsidRPr="00DF5367">
        <w:rPr>
          <w:rtl/>
        </w:rPr>
        <w:t>النيجر</w:t>
      </w:r>
    </w:p>
    <w:p w:rsidR="00DF5367" w:rsidRPr="00DF5367" w:rsidRDefault="00DF5367" w:rsidP="00DF5367">
      <w:pPr>
        <w:pStyle w:val="SingleTxt"/>
        <w:rPr>
          <w:rtl/>
        </w:rPr>
      </w:pPr>
      <w:r>
        <w:rPr>
          <w:rFonts w:hint="cs"/>
          <w:rtl/>
        </w:rPr>
        <w:t>1 -</w:t>
      </w:r>
      <w:r>
        <w:rPr>
          <w:rFonts w:hint="cs"/>
          <w:rtl/>
        </w:rPr>
        <w:tab/>
      </w:r>
      <w:r w:rsidRPr="00DF5367">
        <w:rPr>
          <w:rtl/>
        </w:rPr>
        <w:t xml:space="preserve">نظر الفريق العامل لما قبل الدورة في التقرير </w:t>
      </w:r>
      <w:r>
        <w:rPr>
          <w:rFonts w:hint="cs"/>
          <w:rtl/>
        </w:rPr>
        <w:t>الجامع للتقريرين الدوريين</w:t>
      </w:r>
      <w:r w:rsidRPr="00DF5367">
        <w:rPr>
          <w:rtl/>
        </w:rPr>
        <w:t xml:space="preserve"> الأول والثاني للنيجر (</w:t>
      </w:r>
      <w:r w:rsidRPr="00DF5367">
        <w:t>CEDAW/C/NER/1-2</w:t>
      </w:r>
      <w:r w:rsidRPr="00DF5367">
        <w:rPr>
          <w:rtl/>
        </w:rPr>
        <w:t>).</w:t>
      </w:r>
    </w:p>
    <w:p w:rsidR="00DF5367" w:rsidRPr="00DF5367" w:rsidRDefault="00DF5367" w:rsidP="00DF5367">
      <w:pPr>
        <w:pStyle w:val="SingleTxt"/>
        <w:spacing w:after="0" w:line="120" w:lineRule="exact"/>
        <w:rPr>
          <w:rFonts w:hint="cs"/>
          <w:sz w:val="12"/>
          <w:rtl/>
        </w:rPr>
      </w:pPr>
    </w:p>
    <w:p w:rsidR="00DF5367" w:rsidRPr="00DF5367" w:rsidRDefault="00DF5367" w:rsidP="00D05D8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معلومات عامة</w:t>
      </w:r>
    </w:p>
    <w:p w:rsidR="00DF5367" w:rsidRPr="00DF5367" w:rsidRDefault="00DF5367" w:rsidP="00DF5367">
      <w:pPr>
        <w:pStyle w:val="SingleTxt"/>
        <w:rPr>
          <w:rtl/>
        </w:rPr>
      </w:pPr>
      <w:r>
        <w:rPr>
          <w:rFonts w:hint="cs"/>
          <w:rtl/>
        </w:rPr>
        <w:t>2 -</w:t>
      </w:r>
      <w:r>
        <w:rPr>
          <w:rFonts w:hint="cs"/>
          <w:rtl/>
        </w:rPr>
        <w:tab/>
      </w:r>
      <w:r w:rsidRPr="00DF5367">
        <w:rPr>
          <w:rtl/>
        </w:rPr>
        <w:t xml:space="preserve">يرجى تقديم معلومات </w:t>
      </w:r>
      <w:r>
        <w:rPr>
          <w:rFonts w:hint="cs"/>
          <w:rtl/>
        </w:rPr>
        <w:t xml:space="preserve">بمزيد من التفصيل </w:t>
      </w:r>
      <w:r w:rsidRPr="00DF5367">
        <w:rPr>
          <w:rtl/>
        </w:rPr>
        <w:t>عن عملية إعداد التقريرين الأول والثاني للنيجر.</w:t>
      </w:r>
      <w:r w:rsidRPr="00DF5367">
        <w:rPr>
          <w:lang w:val="en-GB"/>
        </w:rPr>
        <w:t xml:space="preserve"> </w:t>
      </w:r>
      <w:r w:rsidRPr="00DF5367">
        <w:rPr>
          <w:rtl/>
        </w:rPr>
        <w:t>وينبغي أن تشير هذه المعلومات إلى الإدارات والمؤسسات الحكومية التي شاركت في العملية وطبيعة ومدى مشاركتها، وما إذا كانت قد أجريت مشاورات مع المنظمات غير الحكومية، وما إذا كان التقرير قد قُدم إلى البرلمان.</w:t>
      </w:r>
    </w:p>
    <w:p w:rsidR="00DF5367" w:rsidRPr="00DF5367" w:rsidRDefault="00DF5367" w:rsidP="00DF5367">
      <w:pPr>
        <w:pStyle w:val="SingleTxt"/>
        <w:rPr>
          <w:rtl/>
        </w:rPr>
      </w:pPr>
      <w:r>
        <w:rPr>
          <w:rFonts w:hint="cs"/>
          <w:rtl/>
        </w:rPr>
        <w:t>3 -</w:t>
      </w:r>
      <w:r>
        <w:rPr>
          <w:rFonts w:hint="cs"/>
          <w:rtl/>
        </w:rPr>
        <w:tab/>
      </w:r>
      <w:r w:rsidRPr="00DF5367">
        <w:rPr>
          <w:rtl/>
        </w:rPr>
        <w:t>يرجى الإشارة إلى التدابير الملموسة المتخذة والخطوات المستقبلية المزمع اتخاذها لسحب التحفظات المتعلقة بالمواد 2</w:t>
      </w:r>
      <w:r w:rsidR="001566F6">
        <w:rPr>
          <w:rFonts w:hint="cs"/>
          <w:rtl/>
        </w:rPr>
        <w:t xml:space="preserve"> </w:t>
      </w:r>
      <w:r w:rsidRPr="00DF5367">
        <w:rPr>
          <w:rtl/>
        </w:rPr>
        <w:t>(د) و</w:t>
      </w:r>
      <w:r>
        <w:rPr>
          <w:rFonts w:hint="cs"/>
          <w:rtl/>
        </w:rPr>
        <w:t xml:space="preserve"> </w:t>
      </w:r>
      <w:r w:rsidRPr="00DF5367">
        <w:rPr>
          <w:rtl/>
        </w:rPr>
        <w:t>2</w:t>
      </w:r>
      <w:r>
        <w:rPr>
          <w:rFonts w:hint="cs"/>
          <w:rtl/>
        </w:rPr>
        <w:t xml:space="preserve"> </w:t>
      </w:r>
      <w:r w:rsidRPr="00DF5367">
        <w:rPr>
          <w:rtl/>
        </w:rPr>
        <w:t>(و) و</w:t>
      </w:r>
      <w:r>
        <w:rPr>
          <w:rFonts w:hint="cs"/>
          <w:rtl/>
        </w:rPr>
        <w:t xml:space="preserve"> </w:t>
      </w:r>
      <w:r w:rsidRPr="00DF5367">
        <w:rPr>
          <w:rtl/>
        </w:rPr>
        <w:t>5</w:t>
      </w:r>
      <w:r>
        <w:rPr>
          <w:rFonts w:hint="cs"/>
          <w:rtl/>
        </w:rPr>
        <w:t xml:space="preserve"> </w:t>
      </w:r>
      <w:r w:rsidRPr="00DF5367">
        <w:rPr>
          <w:rtl/>
        </w:rPr>
        <w:t>(أ) و</w:t>
      </w:r>
      <w:r>
        <w:rPr>
          <w:rFonts w:hint="cs"/>
          <w:rtl/>
        </w:rPr>
        <w:t xml:space="preserve"> </w:t>
      </w:r>
      <w:r w:rsidRPr="00DF5367">
        <w:rPr>
          <w:rtl/>
        </w:rPr>
        <w:t>15</w:t>
      </w:r>
      <w:r>
        <w:rPr>
          <w:rFonts w:hint="cs"/>
          <w:rtl/>
        </w:rPr>
        <w:t xml:space="preserve"> </w:t>
      </w:r>
      <w:r w:rsidRPr="00DF5367">
        <w:rPr>
          <w:rtl/>
        </w:rPr>
        <w:t>(4) و</w:t>
      </w:r>
      <w:r>
        <w:rPr>
          <w:rFonts w:hint="cs"/>
          <w:rtl/>
        </w:rPr>
        <w:t xml:space="preserve"> </w:t>
      </w:r>
      <w:r w:rsidRPr="00DF5367">
        <w:rPr>
          <w:rtl/>
        </w:rPr>
        <w:t>16</w:t>
      </w:r>
      <w:r>
        <w:rPr>
          <w:rFonts w:hint="cs"/>
          <w:rtl/>
        </w:rPr>
        <w:t xml:space="preserve"> </w:t>
      </w:r>
      <w:r w:rsidRPr="00DF5367">
        <w:rPr>
          <w:rtl/>
        </w:rPr>
        <w:t>(1)</w:t>
      </w:r>
      <w:r>
        <w:rPr>
          <w:rFonts w:hint="cs"/>
          <w:rtl/>
        </w:rPr>
        <w:t xml:space="preserve"> </w:t>
      </w:r>
      <w:r w:rsidRPr="00DF5367">
        <w:rPr>
          <w:rtl/>
        </w:rPr>
        <w:t>(ج) و</w:t>
      </w:r>
      <w:r>
        <w:rPr>
          <w:rFonts w:hint="eastAsia"/>
          <w:rtl/>
        </w:rPr>
        <w:t> </w:t>
      </w:r>
      <w:r w:rsidRPr="00DF5367">
        <w:rPr>
          <w:rtl/>
        </w:rPr>
        <w:t>16</w:t>
      </w:r>
      <w:r>
        <w:rPr>
          <w:rFonts w:hint="cs"/>
          <w:rtl/>
        </w:rPr>
        <w:t xml:space="preserve"> </w:t>
      </w:r>
      <w:r w:rsidRPr="00DF5367">
        <w:rPr>
          <w:rtl/>
        </w:rPr>
        <w:t>(1)</w:t>
      </w:r>
      <w:r>
        <w:rPr>
          <w:rFonts w:hint="cs"/>
          <w:rtl/>
        </w:rPr>
        <w:t xml:space="preserve"> </w:t>
      </w:r>
      <w:r w:rsidRPr="00DF5367">
        <w:rPr>
          <w:rtl/>
        </w:rPr>
        <w:t>(هـ) و</w:t>
      </w:r>
      <w:r>
        <w:rPr>
          <w:rFonts w:hint="cs"/>
          <w:rtl/>
        </w:rPr>
        <w:t xml:space="preserve"> </w:t>
      </w:r>
      <w:r w:rsidRPr="00DF5367">
        <w:rPr>
          <w:rtl/>
        </w:rPr>
        <w:t>16</w:t>
      </w:r>
      <w:r>
        <w:rPr>
          <w:rFonts w:hint="cs"/>
          <w:rtl/>
        </w:rPr>
        <w:t xml:space="preserve"> </w:t>
      </w:r>
      <w:r w:rsidRPr="00DF5367">
        <w:rPr>
          <w:rtl/>
        </w:rPr>
        <w:t>(1)</w:t>
      </w:r>
      <w:r>
        <w:rPr>
          <w:rFonts w:hint="cs"/>
          <w:rtl/>
        </w:rPr>
        <w:t xml:space="preserve"> </w:t>
      </w:r>
      <w:r w:rsidRPr="00DF5367">
        <w:rPr>
          <w:rtl/>
        </w:rPr>
        <w:t>(ز) من اتفاقية القضاء على جميع أشكال التمييز ضد المرأة.</w:t>
      </w:r>
      <w:r w:rsidRPr="00DF5367">
        <w:rPr>
          <w:lang w:val="en-GB"/>
        </w:rPr>
        <w:t xml:space="preserve"> </w:t>
      </w:r>
      <w:r w:rsidRPr="00DF5367">
        <w:rPr>
          <w:rtl/>
        </w:rPr>
        <w:t>وهل أدت التطورات التي شهدها المجتمع النيجيري في الفترة ما بين التصديق على الاتفاقية وتقديم التقرير الجامع للتقريرين الأول والثاني إلى تحقيق أي تقدم في هذا الشأن؟</w:t>
      </w:r>
      <w:r w:rsidRPr="00DF5367">
        <w:rPr>
          <w:lang w:val="en-GB"/>
        </w:rPr>
        <w:t xml:space="preserve"> </w:t>
      </w:r>
    </w:p>
    <w:p w:rsidR="00DF5367" w:rsidRPr="00DF5367" w:rsidRDefault="00DF5367" w:rsidP="00D76FA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المادتان 1 و</w:t>
      </w:r>
      <w:r w:rsidR="00233601">
        <w:rPr>
          <w:rFonts w:hint="cs"/>
          <w:rtl/>
        </w:rPr>
        <w:t xml:space="preserve"> </w:t>
      </w:r>
      <w:r w:rsidRPr="00DF5367">
        <w:rPr>
          <w:rtl/>
        </w:rPr>
        <w:t>2</w:t>
      </w:r>
    </w:p>
    <w:p w:rsidR="00DF5367" w:rsidRPr="00DF5367" w:rsidRDefault="00233601" w:rsidP="00233601">
      <w:pPr>
        <w:pStyle w:val="SingleTxt"/>
        <w:rPr>
          <w:rtl/>
        </w:rPr>
      </w:pPr>
      <w:r>
        <w:rPr>
          <w:rFonts w:hint="cs"/>
          <w:rtl/>
          <w:lang w:val="en-GB"/>
        </w:rPr>
        <w:t>4 -</w:t>
      </w:r>
      <w:r>
        <w:rPr>
          <w:rFonts w:hint="cs"/>
          <w:rtl/>
          <w:lang w:val="en-GB"/>
        </w:rPr>
        <w:tab/>
      </w:r>
      <w:r w:rsidR="00DF5367" w:rsidRPr="00DF5367">
        <w:rPr>
          <w:rtl/>
        </w:rPr>
        <w:t xml:space="preserve">يشير التقرير إلى أن </w:t>
      </w:r>
      <w:r>
        <w:rPr>
          <w:rFonts w:hint="cs"/>
          <w:rtl/>
        </w:rPr>
        <w:t>”</w:t>
      </w:r>
      <w:r w:rsidRPr="00DF5367">
        <w:rPr>
          <w:rtl/>
        </w:rPr>
        <w:t>الحقوق المدنية</w:t>
      </w:r>
      <w:r>
        <w:rPr>
          <w:rFonts w:hint="cs"/>
          <w:rtl/>
        </w:rPr>
        <w:t xml:space="preserve"> </w:t>
      </w:r>
      <w:r w:rsidR="00DF5367" w:rsidRPr="00DF5367">
        <w:rPr>
          <w:rtl/>
        </w:rPr>
        <w:t>على صعيد الممارسة في النيجر، تستمد أساسا من القانون العرفي والقانون الإسلامي، وبدرجة أقل من القانون المدني. وتشكل هذه الحالة اعترافا وتكريسا للتمييز ضد المرأة</w:t>
      </w:r>
      <w:r>
        <w:rPr>
          <w:rFonts w:hint="cs"/>
          <w:rtl/>
        </w:rPr>
        <w:t>“</w:t>
      </w:r>
      <w:r w:rsidR="00DF5367" w:rsidRPr="00DF5367">
        <w:rPr>
          <w:rtl/>
        </w:rPr>
        <w:t xml:space="preserve"> (الصفحة 62، الفقرة 14-1) </w:t>
      </w:r>
      <w:r w:rsidR="00DF5367" w:rsidRPr="00DF5367">
        <w:rPr>
          <w:lang w:val="en-GB"/>
        </w:rPr>
        <w:t xml:space="preserve"> </w:t>
      </w:r>
      <w:r w:rsidR="00DF5367" w:rsidRPr="00DF5367">
        <w:rPr>
          <w:rtl/>
        </w:rPr>
        <w:t xml:space="preserve">وقد أشار المقرر الخاص المعني بالعنف ضد المرأة وأسبابه ونتائجه أن </w:t>
      </w:r>
      <w:r w:rsidRPr="00DF5367">
        <w:rPr>
          <w:rtl/>
        </w:rPr>
        <w:t>وزارة العدل شكلت</w:t>
      </w:r>
      <w:r>
        <w:rPr>
          <w:rFonts w:hint="cs"/>
          <w:rtl/>
        </w:rPr>
        <w:t>،</w:t>
      </w:r>
      <w:r w:rsidRPr="00DF5367">
        <w:rPr>
          <w:rtl/>
        </w:rPr>
        <w:t xml:space="preserve"> </w:t>
      </w:r>
      <w:r>
        <w:rPr>
          <w:rFonts w:hint="cs"/>
          <w:rtl/>
        </w:rPr>
        <w:t>بعد</w:t>
      </w:r>
      <w:r w:rsidR="00DF5367" w:rsidRPr="00DF5367">
        <w:rPr>
          <w:rtl/>
        </w:rPr>
        <w:t xml:space="preserve"> التصديق على الاتفاقية، لجنة من القانونيين</w:t>
      </w:r>
      <w:r>
        <w:rPr>
          <w:rFonts w:hint="cs"/>
          <w:rtl/>
        </w:rPr>
        <w:t>،</w:t>
      </w:r>
      <w:r w:rsidR="00DF5367" w:rsidRPr="00DF5367">
        <w:rPr>
          <w:rtl/>
        </w:rPr>
        <w:t xml:space="preserve"> وأن هذه اللجنة بدأت باستعراض القوانين ذات الصلة (</w:t>
      </w:r>
      <w:r w:rsidR="00DF5367" w:rsidRPr="00DF5367">
        <w:t>E/CN.4/2003/75/Add.1</w:t>
      </w:r>
      <w:r w:rsidR="00DF5367" w:rsidRPr="00DF5367">
        <w:rPr>
          <w:rtl/>
        </w:rPr>
        <w:t>، الفقرة 440).</w:t>
      </w:r>
      <w:r w:rsidR="00DF5367" w:rsidRPr="00DF5367">
        <w:rPr>
          <w:lang w:val="en-GB"/>
        </w:rPr>
        <w:t xml:space="preserve"> </w:t>
      </w:r>
      <w:r w:rsidR="00DF5367" w:rsidRPr="00DF5367">
        <w:rPr>
          <w:rtl/>
        </w:rPr>
        <w:t>يرجى تقديم معلومات عن عملية الاستعراض هذه، بما في ذلك الخطط والجدول الزمني والأولويات التي وضعتها الحكومة ل</w:t>
      </w:r>
      <w:r>
        <w:rPr>
          <w:rFonts w:hint="cs"/>
          <w:rtl/>
        </w:rPr>
        <w:t xml:space="preserve">عملية </w:t>
      </w:r>
      <w:r w:rsidR="00DF5367" w:rsidRPr="00DF5367">
        <w:rPr>
          <w:rtl/>
        </w:rPr>
        <w:t>استعراض القوانين هذ</w:t>
      </w:r>
      <w:r>
        <w:rPr>
          <w:rFonts w:hint="cs"/>
          <w:rtl/>
        </w:rPr>
        <w:t>ه</w:t>
      </w:r>
      <w:r w:rsidR="00DF5367" w:rsidRPr="00DF5367">
        <w:rPr>
          <w:rtl/>
        </w:rPr>
        <w:t xml:space="preserve">، علاوة على إلغاء الأعراف والقوانين </w:t>
      </w:r>
      <w:r>
        <w:rPr>
          <w:rFonts w:hint="cs"/>
          <w:rtl/>
        </w:rPr>
        <w:t>التمييزية</w:t>
      </w:r>
      <w:r w:rsidR="00DF5367" w:rsidRPr="00DF5367">
        <w:rPr>
          <w:rtl/>
        </w:rPr>
        <w:t>، وأي نتائج أخرى تمخضت عنها عملية الاستعراض حتى اليوم.</w:t>
      </w:r>
      <w:r w:rsidR="00DF5367" w:rsidRPr="00DF5367">
        <w:rPr>
          <w:lang w:val="en-GB"/>
        </w:rPr>
        <w:t xml:space="preserve"> </w:t>
      </w:r>
      <w:r>
        <w:rPr>
          <w:rFonts w:hint="cs"/>
          <w:rtl/>
        </w:rPr>
        <w:t>و</w:t>
      </w:r>
      <w:r w:rsidR="00DF5367" w:rsidRPr="00DF5367">
        <w:rPr>
          <w:rtl/>
        </w:rPr>
        <w:t xml:space="preserve">يرجى الإشارة إلى الخطوات التي اتخذتها الحكومة، في إطار جدول زمني محدد، للمواءمة بين القوانين التشريعية والعرفية والدينية المعنية بحقوق الإنسان </w:t>
      </w:r>
      <w:r>
        <w:rPr>
          <w:rFonts w:hint="cs"/>
          <w:rtl/>
        </w:rPr>
        <w:t xml:space="preserve">للأفراد، </w:t>
      </w:r>
      <w:r w:rsidR="00DF5367" w:rsidRPr="00DF5367">
        <w:rPr>
          <w:rtl/>
        </w:rPr>
        <w:t>وقانون الأسرة.</w:t>
      </w:r>
      <w:r>
        <w:rPr>
          <w:rFonts w:hint="cs"/>
          <w:rtl/>
        </w:rPr>
        <w:t xml:space="preserve"> </w:t>
      </w:r>
      <w:r w:rsidR="00DF5367" w:rsidRPr="00DF5367">
        <w:rPr>
          <w:rtl/>
        </w:rPr>
        <w:t>ويرجى تقديم معلومات أكثر تفصيلا عن عملية اعتماد قانون الأسرة.</w:t>
      </w:r>
      <w:r w:rsidR="00DF5367" w:rsidRPr="00DF5367">
        <w:rPr>
          <w:lang w:val="en-GB"/>
        </w:rPr>
        <w:t xml:space="preserve"> </w:t>
      </w:r>
      <w:r w:rsidR="00DF5367" w:rsidRPr="00DF5367">
        <w:rPr>
          <w:rtl/>
        </w:rPr>
        <w:t>وهل يتماشى محتوى هذا القانون مع الاتفاقية؟</w:t>
      </w:r>
    </w:p>
    <w:p w:rsidR="00DF5367" w:rsidRPr="00DF5367" w:rsidRDefault="00233601" w:rsidP="00233601">
      <w:pPr>
        <w:pStyle w:val="SingleTxt"/>
        <w:rPr>
          <w:rtl/>
        </w:rPr>
      </w:pPr>
      <w:r>
        <w:rPr>
          <w:rFonts w:hint="cs"/>
          <w:rtl/>
        </w:rPr>
        <w:t>5 -</w:t>
      </w:r>
      <w:r>
        <w:rPr>
          <w:rFonts w:hint="cs"/>
          <w:rtl/>
        </w:rPr>
        <w:tab/>
        <w:t>يش</w:t>
      </w:r>
      <w:r w:rsidR="00DF5367" w:rsidRPr="00DF5367">
        <w:rPr>
          <w:rtl/>
        </w:rPr>
        <w:t xml:space="preserve">ير التقرير إلى أن </w:t>
      </w:r>
      <w:r>
        <w:rPr>
          <w:rFonts w:hint="cs"/>
          <w:rtl/>
        </w:rPr>
        <w:t>”</w:t>
      </w:r>
      <w:r w:rsidR="00DF5367" w:rsidRPr="00DF5367">
        <w:rPr>
          <w:rtl/>
        </w:rPr>
        <w:t>مفعول المعاهدة أو الاتفاقية التي يصدق عليها يصبح مساويا لمفعول الدستور، وأن مبدأ تراتبية المعايير يقتضي تعديل النصوص القانونية الوطنية (القوانين والأوامر واللوائح القانونية) التي لا تتفق مع الاتفاقات أو المعاهدات السابق ذكرها</w:t>
      </w:r>
      <w:r>
        <w:rPr>
          <w:rFonts w:hint="cs"/>
          <w:rtl/>
        </w:rPr>
        <w:t>“</w:t>
      </w:r>
      <w:r w:rsidR="00DF5367" w:rsidRPr="00DF5367">
        <w:rPr>
          <w:rtl/>
        </w:rPr>
        <w:t xml:space="preserve"> (الصفحة 16، الفقرة 2-1-1).</w:t>
      </w:r>
      <w:r w:rsidR="00DF5367" w:rsidRPr="00DF5367">
        <w:rPr>
          <w:lang w:val="en-GB"/>
        </w:rPr>
        <w:t xml:space="preserve"> </w:t>
      </w:r>
      <w:r w:rsidR="00DF5367" w:rsidRPr="00DF5367">
        <w:rPr>
          <w:rtl/>
        </w:rPr>
        <w:t>يرجى إيضاح مركز المعاهدة ضمن النظام القانوني المحلي وما إذا كان من الممكن استخدام المعاهدة في القضايا المعروضة على المحاكم أو إذا كانت قد استخدمت فعلا.</w:t>
      </w:r>
      <w:r w:rsidR="00DF5367" w:rsidRPr="00DF5367">
        <w:rPr>
          <w:lang w:val="en-GB"/>
        </w:rPr>
        <w:t xml:space="preserve"> </w:t>
      </w:r>
    </w:p>
    <w:p w:rsidR="00DF5367" w:rsidRDefault="00233601" w:rsidP="00233601">
      <w:pPr>
        <w:pStyle w:val="SingleTxt"/>
        <w:rPr>
          <w:rFonts w:hint="cs"/>
          <w:rtl/>
        </w:rPr>
      </w:pPr>
      <w:r>
        <w:rPr>
          <w:rFonts w:hint="cs"/>
          <w:rtl/>
        </w:rPr>
        <w:t>6 -</w:t>
      </w:r>
      <w:r>
        <w:rPr>
          <w:rFonts w:hint="cs"/>
          <w:rtl/>
        </w:rPr>
        <w:tab/>
      </w:r>
      <w:r w:rsidR="00DF5367" w:rsidRPr="00DF5367">
        <w:rPr>
          <w:rtl/>
        </w:rPr>
        <w:t>يشير التقرير إلى أن التشريعات التمييزية ما زالت نافذة (الصفحة 21، الفقرة 1-2-1) لا</w:t>
      </w:r>
      <w:r>
        <w:rPr>
          <w:rFonts w:hint="cs"/>
          <w:rtl/>
        </w:rPr>
        <w:t xml:space="preserve"> </w:t>
      </w:r>
      <w:r w:rsidR="00DF5367" w:rsidRPr="00DF5367">
        <w:rPr>
          <w:rtl/>
        </w:rPr>
        <w:t xml:space="preserve">سيما في النظام العام للخدمة المدنية، وكذلك المرسوم رقم </w:t>
      </w:r>
      <w:r w:rsidR="00DF5367" w:rsidRPr="00DF5367">
        <w:t xml:space="preserve">60-S/MFP/T </w:t>
      </w:r>
      <w:r w:rsidR="00DF5367" w:rsidRPr="00DF5367">
        <w:rPr>
          <w:rtl/>
        </w:rPr>
        <w:t xml:space="preserve"> من قانون العمل الذي ينظم أجور الموظفين الحكوميين واستحقاقاتهم.</w:t>
      </w:r>
      <w:r w:rsidR="00DF5367" w:rsidRPr="00DF5367">
        <w:rPr>
          <w:lang w:val="en-GB"/>
        </w:rPr>
        <w:t xml:space="preserve"> </w:t>
      </w:r>
      <w:r w:rsidR="00DF5367" w:rsidRPr="00DF5367">
        <w:rPr>
          <w:rtl/>
        </w:rPr>
        <w:t>يرجى الإشارة إلى التدابير التي اتخذتها حكومة النيجر لإلغاء هذ</w:t>
      </w:r>
      <w:r>
        <w:rPr>
          <w:rFonts w:hint="cs"/>
          <w:rtl/>
        </w:rPr>
        <w:t>ه</w:t>
      </w:r>
      <w:r w:rsidR="00DF5367" w:rsidRPr="00DF5367">
        <w:rPr>
          <w:rtl/>
        </w:rPr>
        <w:t xml:space="preserve"> التشريعات التمييزية.</w:t>
      </w:r>
    </w:p>
    <w:p w:rsidR="00DF5367" w:rsidRPr="00DF5367" w:rsidRDefault="00233601" w:rsidP="00233601">
      <w:pPr>
        <w:pStyle w:val="SingleTxt"/>
        <w:rPr>
          <w:rtl/>
        </w:rPr>
      </w:pPr>
      <w:r>
        <w:rPr>
          <w:rFonts w:hint="cs"/>
          <w:rtl/>
        </w:rPr>
        <w:t>7 -</w:t>
      </w:r>
      <w:r>
        <w:rPr>
          <w:rFonts w:hint="cs"/>
          <w:rtl/>
        </w:rPr>
        <w:tab/>
      </w:r>
      <w:r w:rsidR="00DF5367" w:rsidRPr="00DF5367">
        <w:rPr>
          <w:rtl/>
        </w:rPr>
        <w:t xml:space="preserve">ويرجى </w:t>
      </w:r>
      <w:r>
        <w:rPr>
          <w:rFonts w:hint="cs"/>
          <w:rtl/>
        </w:rPr>
        <w:t>وصف</w:t>
      </w:r>
      <w:r w:rsidR="00DF5367" w:rsidRPr="00DF5367">
        <w:rPr>
          <w:rtl/>
        </w:rPr>
        <w:t xml:space="preserve"> الآليات والحلول المتوفرة للنساء اللاتي لد</w:t>
      </w:r>
      <w:r>
        <w:rPr>
          <w:rFonts w:hint="cs"/>
          <w:rtl/>
        </w:rPr>
        <w:t>ي</w:t>
      </w:r>
      <w:r w:rsidR="00DF5367" w:rsidRPr="00DF5367">
        <w:rPr>
          <w:rtl/>
        </w:rPr>
        <w:t>هن شكاوى بشأن التمييز القائم على</w:t>
      </w:r>
      <w:r>
        <w:rPr>
          <w:rFonts w:hint="cs"/>
          <w:rtl/>
        </w:rPr>
        <w:t xml:space="preserve"> نوع</w:t>
      </w:r>
      <w:r w:rsidR="00DF5367" w:rsidRPr="00DF5367">
        <w:rPr>
          <w:rtl/>
        </w:rPr>
        <w:t xml:space="preserve"> الجنس، بما في ذلك الآليات المستقلة (كأمين المظالم)، </w:t>
      </w:r>
      <w:r>
        <w:rPr>
          <w:rFonts w:hint="cs"/>
          <w:rtl/>
        </w:rPr>
        <w:t>و</w:t>
      </w:r>
      <w:r w:rsidR="00DF5367" w:rsidRPr="00DF5367">
        <w:rPr>
          <w:rtl/>
        </w:rPr>
        <w:t>يرجى تقديم معلومات إحصائية عن استخدام هذه الحلول.</w:t>
      </w:r>
    </w:p>
    <w:p w:rsidR="00233601" w:rsidRPr="00233601" w:rsidRDefault="00233601" w:rsidP="00233601">
      <w:pPr>
        <w:pStyle w:val="SingleTxt"/>
        <w:spacing w:after="0" w:line="120" w:lineRule="exact"/>
        <w:rPr>
          <w:sz w:val="12"/>
          <w:rtl/>
        </w:rPr>
      </w:pPr>
    </w:p>
    <w:p w:rsidR="00DF5367" w:rsidRPr="00DF5367" w:rsidRDefault="00DF5367" w:rsidP="00D76FA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المادة 3</w:t>
      </w:r>
    </w:p>
    <w:p w:rsidR="00DF5367" w:rsidRDefault="00233601" w:rsidP="00233601">
      <w:pPr>
        <w:pStyle w:val="SingleTxt"/>
        <w:rPr>
          <w:rFonts w:hint="cs"/>
          <w:rtl/>
        </w:rPr>
      </w:pPr>
      <w:r>
        <w:rPr>
          <w:rFonts w:hint="cs"/>
          <w:rtl/>
        </w:rPr>
        <w:t>8 -</w:t>
      </w:r>
      <w:r>
        <w:rPr>
          <w:rFonts w:hint="cs"/>
          <w:rtl/>
        </w:rPr>
        <w:tab/>
      </w:r>
      <w:r w:rsidR="00DF5367" w:rsidRPr="00DF5367">
        <w:rPr>
          <w:rtl/>
        </w:rPr>
        <w:t xml:space="preserve">يرجى تقديم </w:t>
      </w:r>
      <w:r>
        <w:rPr>
          <w:rFonts w:hint="cs"/>
          <w:rtl/>
        </w:rPr>
        <w:t>وصف الوضع الحالي ل</w:t>
      </w:r>
      <w:r w:rsidR="00DF5367" w:rsidRPr="00DF5367">
        <w:rPr>
          <w:rtl/>
        </w:rPr>
        <w:t>تنفيذ السياسة الوطنية للنهوض بالمرأة لعام 1996 المشار إليها في التقرير (الصفحة 23، الفقرة 1-3-2)، وما أحرز فيها من تقدم.</w:t>
      </w:r>
      <w:r w:rsidR="00DF5367" w:rsidRPr="00DF5367">
        <w:rPr>
          <w:lang w:val="en-GB"/>
        </w:rPr>
        <w:t xml:space="preserve"> </w:t>
      </w:r>
      <w:r w:rsidR="00DF5367" w:rsidRPr="00DF5367">
        <w:rPr>
          <w:rtl/>
        </w:rPr>
        <w:t xml:space="preserve">وينبغي أن يتضمن هذا </w:t>
      </w:r>
      <w:r>
        <w:rPr>
          <w:rFonts w:hint="cs"/>
          <w:rtl/>
        </w:rPr>
        <w:t>الوصف</w:t>
      </w:r>
      <w:r w:rsidR="00DF5367" w:rsidRPr="00DF5367">
        <w:rPr>
          <w:rtl/>
        </w:rPr>
        <w:t xml:space="preserve"> معلومات مفصلة تبرز الأهداف والغايات والاستراتيجيات، وكذلك العوائق التي تعترض الإنجاز والتنفيذ الفعليين، والتدابير العلاجية المتخذة والخطط المتعلقة بالسياسات الوطنية المستقبلية للنهوض بالمرأة.</w:t>
      </w:r>
    </w:p>
    <w:p w:rsidR="00DF5367" w:rsidRPr="00DF5367" w:rsidRDefault="00233601" w:rsidP="00233601">
      <w:pPr>
        <w:pStyle w:val="SingleTxt"/>
        <w:rPr>
          <w:rtl/>
        </w:rPr>
      </w:pPr>
      <w:r>
        <w:rPr>
          <w:rFonts w:hint="cs"/>
          <w:rtl/>
        </w:rPr>
        <w:t>9 -</w:t>
      </w:r>
      <w:r>
        <w:rPr>
          <w:rFonts w:hint="cs"/>
          <w:rtl/>
        </w:rPr>
        <w:tab/>
      </w:r>
      <w:r w:rsidR="00DF5367" w:rsidRPr="00DF5367">
        <w:rPr>
          <w:rtl/>
        </w:rPr>
        <w:t xml:space="preserve">ويرجى </w:t>
      </w:r>
      <w:r>
        <w:rPr>
          <w:rFonts w:hint="cs"/>
          <w:rtl/>
        </w:rPr>
        <w:t>وصف</w:t>
      </w:r>
      <w:r w:rsidR="00DF5367" w:rsidRPr="00DF5367">
        <w:rPr>
          <w:rtl/>
        </w:rPr>
        <w:t xml:space="preserve"> الخطوات الفعلية المتخذة والنتائج التي توصل إليها كل من المؤسسات التالية:</w:t>
      </w:r>
    </w:p>
    <w:p w:rsidR="00DF5367" w:rsidRPr="00DF5367" w:rsidRDefault="00DF5367" w:rsidP="005651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DF5367">
        <w:rPr>
          <w:lang w:val="en-GB"/>
        </w:rPr>
        <w:tab/>
        <w:t>–</w:t>
      </w:r>
      <w:r w:rsidRPr="00DF5367">
        <w:rPr>
          <w:lang w:val="en-GB"/>
        </w:rPr>
        <w:tab/>
      </w:r>
      <w:r w:rsidRPr="00DF5367">
        <w:rPr>
          <w:rtl/>
        </w:rPr>
        <w:t>الم</w:t>
      </w:r>
      <w:r w:rsidR="0056513F">
        <w:rPr>
          <w:rFonts w:hint="cs"/>
          <w:rtl/>
        </w:rPr>
        <w:t>عه</w:t>
      </w:r>
      <w:r w:rsidRPr="00DF5367">
        <w:rPr>
          <w:rtl/>
        </w:rPr>
        <w:t>د الوطني ل</w:t>
      </w:r>
      <w:r w:rsidR="0056513F">
        <w:rPr>
          <w:rFonts w:hint="cs"/>
          <w:rtl/>
        </w:rPr>
        <w:t>رصد ا</w:t>
      </w:r>
      <w:r w:rsidRPr="00DF5367">
        <w:rPr>
          <w:rtl/>
        </w:rPr>
        <w:t>لنهوض بالمرأة</w:t>
      </w:r>
    </w:p>
    <w:p w:rsidR="00DF5367" w:rsidRPr="00DF5367" w:rsidRDefault="00DF5367" w:rsidP="005651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56513F">
        <w:tab/>
        <w:t>–</w:t>
      </w:r>
      <w:r w:rsidRPr="0056513F">
        <w:tab/>
      </w:r>
      <w:r w:rsidRPr="00DF5367">
        <w:rPr>
          <w:rtl/>
        </w:rPr>
        <w:t>اللجنة الم</w:t>
      </w:r>
      <w:r w:rsidR="0056513F">
        <w:rPr>
          <w:rtl/>
        </w:rPr>
        <w:t>عنية بمتابعة تنفيذ توصيات بيجين</w:t>
      </w:r>
    </w:p>
    <w:p w:rsidR="00DF5367" w:rsidRPr="00DF5367" w:rsidRDefault="00DF5367" w:rsidP="005651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6513F">
        <w:tab/>
        <w:t>–</w:t>
      </w:r>
      <w:r w:rsidRPr="0056513F">
        <w:tab/>
      </w:r>
      <w:r w:rsidRPr="00DF5367">
        <w:rPr>
          <w:rtl/>
        </w:rPr>
        <w:t>مستشارو رئيس الجمهورية ورئيس الوزارء المعنيون بالمسائل الجنسانية والتنمية</w:t>
      </w:r>
    </w:p>
    <w:p w:rsidR="00DF5367" w:rsidRPr="00DF5367" w:rsidRDefault="00DF5367" w:rsidP="0056513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6513F">
        <w:tab/>
        <w:t>–</w:t>
      </w:r>
      <w:r w:rsidRPr="0056513F">
        <w:tab/>
      </w:r>
      <w:r w:rsidRPr="00DF5367">
        <w:rPr>
          <w:rtl/>
        </w:rPr>
        <w:t>لجنة النيجر المعنبة بالممارسات التقليدية الضارة</w:t>
      </w:r>
    </w:p>
    <w:p w:rsidR="0056513F" w:rsidRPr="0056513F" w:rsidRDefault="0056513F" w:rsidP="0056513F">
      <w:pPr>
        <w:pStyle w:val="SingleTxt"/>
        <w:spacing w:after="0" w:line="120" w:lineRule="exact"/>
        <w:rPr>
          <w:sz w:val="12"/>
          <w:rtl/>
        </w:rPr>
      </w:pPr>
    </w:p>
    <w:p w:rsidR="00DF5367" w:rsidRPr="00DF5367" w:rsidRDefault="00DF5367" w:rsidP="00B66CF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المادة 4</w:t>
      </w:r>
    </w:p>
    <w:p w:rsidR="00DF5367" w:rsidRPr="00DF5367" w:rsidRDefault="0056513F" w:rsidP="0056513F">
      <w:pPr>
        <w:pStyle w:val="SingleTxt"/>
        <w:rPr>
          <w:rtl/>
        </w:rPr>
      </w:pPr>
      <w:r>
        <w:rPr>
          <w:rFonts w:hint="cs"/>
          <w:rtl/>
        </w:rPr>
        <w:t>10 -</w:t>
      </w:r>
      <w:r>
        <w:rPr>
          <w:rFonts w:hint="cs"/>
          <w:rtl/>
        </w:rPr>
        <w:tab/>
      </w:r>
      <w:r w:rsidR="00DF5367" w:rsidRPr="00DF5367">
        <w:rPr>
          <w:rtl/>
        </w:rPr>
        <w:t>يقدم التقرير معلومات عن تدابير مؤقتة خاصة وضعت للتسريع في تحقيق المساواة بين المرأة والرجل في التعليم وفي هيئات صنع القرار، كما يشير إلى أن تطبيق أحكام هذه التدابير الخاصة سيتوقف عندما تت</w:t>
      </w:r>
      <w:r>
        <w:rPr>
          <w:rFonts w:hint="cs"/>
          <w:rtl/>
        </w:rPr>
        <w:t xml:space="preserve">قلص </w:t>
      </w:r>
      <w:r w:rsidR="00DF5367" w:rsidRPr="00DF5367">
        <w:rPr>
          <w:rtl/>
        </w:rPr>
        <w:t>مظاهر عدم المساواة بين الرجل والمرأة (الصفحتان 25 و</w:t>
      </w:r>
      <w:r>
        <w:rPr>
          <w:rFonts w:hint="cs"/>
          <w:rtl/>
        </w:rPr>
        <w:t xml:space="preserve"> </w:t>
      </w:r>
      <w:r w:rsidR="00DF5367" w:rsidRPr="00DF5367">
        <w:rPr>
          <w:rtl/>
        </w:rPr>
        <w:t>26، الفقرات 2-1 إلى 2-3).</w:t>
      </w:r>
      <w:r w:rsidR="00DF5367" w:rsidRPr="00DF5367">
        <w:rPr>
          <w:lang w:val="en-GB"/>
        </w:rPr>
        <w:t xml:space="preserve"> </w:t>
      </w:r>
      <w:r w:rsidR="00DF5367" w:rsidRPr="00DF5367">
        <w:rPr>
          <w:rtl/>
        </w:rPr>
        <w:t xml:space="preserve">يرجى تقديم المزيد من التفاصيل عن أثر هذه التدابير وأي نتائج تم تحقيقها من حيث </w:t>
      </w:r>
      <w:r>
        <w:rPr>
          <w:rFonts w:hint="cs"/>
          <w:rtl/>
        </w:rPr>
        <w:t>الحد من</w:t>
      </w:r>
      <w:r w:rsidR="00DF5367" w:rsidRPr="00DF5367">
        <w:rPr>
          <w:rtl/>
        </w:rPr>
        <w:t xml:space="preserve"> التمييز ضد المر</w:t>
      </w:r>
      <w:r>
        <w:rPr>
          <w:rFonts w:hint="cs"/>
          <w:rtl/>
        </w:rPr>
        <w:t>أ</w:t>
      </w:r>
      <w:r w:rsidR="00DF5367" w:rsidRPr="00DF5367">
        <w:rPr>
          <w:rtl/>
        </w:rPr>
        <w:t>ة والقضاء عليه.</w:t>
      </w:r>
      <w:r w:rsidR="00DF5367" w:rsidRPr="00DF5367">
        <w:rPr>
          <w:lang w:val="en-GB"/>
        </w:rPr>
        <w:t xml:space="preserve"> </w:t>
      </w:r>
    </w:p>
    <w:p w:rsidR="0056513F" w:rsidRPr="0056513F" w:rsidRDefault="0056513F" w:rsidP="0056513F">
      <w:pPr>
        <w:pStyle w:val="SingleTxt"/>
        <w:spacing w:after="0" w:line="120" w:lineRule="exact"/>
        <w:rPr>
          <w:rFonts w:hint="cs"/>
          <w:sz w:val="12"/>
          <w:rtl/>
        </w:rPr>
      </w:pPr>
    </w:p>
    <w:p w:rsidR="00DF5367" w:rsidRPr="00DF5367" w:rsidRDefault="00DF5367" w:rsidP="00B66CF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المادة 5</w:t>
      </w:r>
    </w:p>
    <w:p w:rsidR="00DF5367" w:rsidRPr="00DF5367" w:rsidRDefault="0056513F" w:rsidP="0056513F">
      <w:pPr>
        <w:pStyle w:val="SingleTxt"/>
        <w:rPr>
          <w:rtl/>
        </w:rPr>
      </w:pPr>
      <w:r>
        <w:rPr>
          <w:rFonts w:hint="cs"/>
          <w:rtl/>
        </w:rPr>
        <w:t>11 -</w:t>
      </w:r>
      <w:r>
        <w:rPr>
          <w:rFonts w:hint="cs"/>
          <w:rtl/>
        </w:rPr>
        <w:tab/>
      </w:r>
      <w:r w:rsidR="00DF5367" w:rsidRPr="00DF5367">
        <w:rPr>
          <w:rtl/>
        </w:rPr>
        <w:t>ي</w:t>
      </w:r>
      <w:r>
        <w:rPr>
          <w:rFonts w:hint="cs"/>
          <w:rtl/>
        </w:rPr>
        <w:t>ذكر</w:t>
      </w:r>
      <w:r w:rsidR="00DF5367" w:rsidRPr="00DF5367">
        <w:rPr>
          <w:rtl/>
        </w:rPr>
        <w:t xml:space="preserve"> التقرير ما يلي:</w:t>
      </w:r>
      <w:r>
        <w:rPr>
          <w:rFonts w:hint="cs"/>
          <w:rtl/>
        </w:rPr>
        <w:t xml:space="preserve"> </w:t>
      </w:r>
      <w:r>
        <w:rPr>
          <w:rFonts w:hint="eastAsia"/>
          <w:rtl/>
          <w:lang w:val="en-GB"/>
        </w:rPr>
        <w:t>”</w:t>
      </w:r>
      <w:r w:rsidR="00DF5367" w:rsidRPr="00DF5367">
        <w:rPr>
          <w:rtl/>
        </w:rPr>
        <w:t>يعتبر الرجل</w:t>
      </w:r>
      <w:r>
        <w:rPr>
          <w:rFonts w:hint="cs"/>
          <w:rtl/>
        </w:rPr>
        <w:t>، وفقا للقانون العرفي،</w:t>
      </w:r>
      <w:r w:rsidR="00DF5367" w:rsidRPr="00DF5367">
        <w:rPr>
          <w:rtl/>
        </w:rPr>
        <w:t xml:space="preserve"> أعلى درجة من المرأة، </w:t>
      </w:r>
      <w:r>
        <w:rPr>
          <w:rFonts w:hint="cs"/>
          <w:rtl/>
        </w:rPr>
        <w:t>إذ </w:t>
      </w:r>
      <w:r w:rsidR="00DF5367" w:rsidRPr="00DF5367">
        <w:rPr>
          <w:rtl/>
        </w:rPr>
        <w:t>لا</w:t>
      </w:r>
      <w:r>
        <w:rPr>
          <w:rFonts w:hint="cs"/>
          <w:rtl/>
        </w:rPr>
        <w:t> </w:t>
      </w:r>
      <w:r w:rsidR="00DF5367" w:rsidRPr="00DF5367">
        <w:rPr>
          <w:rtl/>
        </w:rPr>
        <w:t xml:space="preserve">يمكن أن </w:t>
      </w:r>
      <w:r w:rsidR="00B66CFA">
        <w:rPr>
          <w:rFonts w:hint="cs"/>
          <w:rtl/>
        </w:rPr>
        <w:t xml:space="preserve">يكونا </w:t>
      </w:r>
      <w:r>
        <w:rPr>
          <w:rFonts w:hint="cs"/>
          <w:rtl/>
        </w:rPr>
        <w:t>متساويين</w:t>
      </w:r>
      <w:r w:rsidR="00DF5367" w:rsidRPr="00DF5367">
        <w:rPr>
          <w:rtl/>
        </w:rPr>
        <w:t xml:space="preserve"> في أي حال من الأحوال (...) والمرأة النيج</w:t>
      </w:r>
      <w:r w:rsidR="00B66CFA">
        <w:rPr>
          <w:rFonts w:hint="cs"/>
          <w:rtl/>
        </w:rPr>
        <w:t>ي</w:t>
      </w:r>
      <w:r w:rsidR="00DF5367" w:rsidRPr="00DF5367">
        <w:rPr>
          <w:rtl/>
        </w:rPr>
        <w:t>رية إذن مواطنة من الدرجة الثانية</w:t>
      </w:r>
      <w:r>
        <w:rPr>
          <w:rFonts w:hint="cs"/>
          <w:rtl/>
        </w:rPr>
        <w:t>“</w:t>
      </w:r>
      <w:r w:rsidR="00DF5367" w:rsidRPr="00DF5367">
        <w:rPr>
          <w:rtl/>
        </w:rPr>
        <w:t xml:space="preserve"> (الصفحة 63، الفقرة 14-1-1).</w:t>
      </w:r>
      <w:r w:rsidR="00DF5367" w:rsidRPr="00DF5367">
        <w:rPr>
          <w:lang w:val="en-GB"/>
        </w:rPr>
        <w:t xml:space="preserve"> </w:t>
      </w:r>
      <w:r w:rsidR="00DF5367" w:rsidRPr="00DF5367">
        <w:rPr>
          <w:rtl/>
        </w:rPr>
        <w:t>يرجى تقديم معلومات مفصلة عن أي تدابير اتخذتها الحكومة لتغيير المعتقدات والممارسات العرفية التي تكرس التمييز ضد المرأة.</w:t>
      </w:r>
    </w:p>
    <w:p w:rsidR="0056513F" w:rsidRPr="0056513F" w:rsidRDefault="0056513F" w:rsidP="0056513F">
      <w:pPr>
        <w:pStyle w:val="SingleTxt"/>
        <w:spacing w:after="0" w:line="120" w:lineRule="exact"/>
        <w:rPr>
          <w:sz w:val="12"/>
          <w:rtl/>
        </w:rPr>
      </w:pPr>
    </w:p>
    <w:p w:rsidR="00DF5367" w:rsidRPr="00DF5367" w:rsidRDefault="00DF5367" w:rsidP="00B66CF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العنف ضد المرأة</w:t>
      </w:r>
    </w:p>
    <w:p w:rsidR="00DF5367" w:rsidRDefault="0056513F" w:rsidP="0056513F">
      <w:pPr>
        <w:pStyle w:val="SingleTxt"/>
        <w:rPr>
          <w:rFonts w:hint="cs"/>
          <w:rtl/>
        </w:rPr>
      </w:pPr>
      <w:r>
        <w:rPr>
          <w:rFonts w:hint="cs"/>
          <w:rtl/>
        </w:rPr>
        <w:t>12 -</w:t>
      </w:r>
      <w:r>
        <w:rPr>
          <w:rFonts w:hint="cs"/>
          <w:rtl/>
        </w:rPr>
        <w:tab/>
      </w:r>
      <w:r w:rsidR="00DF5367" w:rsidRPr="00DF5367">
        <w:rPr>
          <w:rtl/>
        </w:rPr>
        <w:t xml:space="preserve">يرجى تقديم بيانات عن حالات العنف </w:t>
      </w:r>
      <w:r>
        <w:rPr>
          <w:rFonts w:hint="cs"/>
          <w:rtl/>
        </w:rPr>
        <w:t xml:space="preserve">المرتكب </w:t>
      </w:r>
      <w:r w:rsidR="00DF5367" w:rsidRPr="00DF5367">
        <w:rPr>
          <w:rtl/>
        </w:rPr>
        <w:t xml:space="preserve">ضد المرأة واتجاهاته، بما في ذلك الاغتصاب والعنف </w:t>
      </w:r>
      <w:r>
        <w:rPr>
          <w:rFonts w:hint="cs"/>
          <w:rtl/>
        </w:rPr>
        <w:t>المنزلي</w:t>
      </w:r>
      <w:r w:rsidR="00DF5367" w:rsidRPr="00DF5367">
        <w:rPr>
          <w:rtl/>
        </w:rPr>
        <w:t>، وكذلك معلومات عن عدد الملاحقات</w:t>
      </w:r>
      <w:r>
        <w:rPr>
          <w:rFonts w:hint="cs"/>
          <w:rtl/>
        </w:rPr>
        <w:t xml:space="preserve"> القضائية</w:t>
      </w:r>
      <w:r w:rsidR="00DF5367" w:rsidRPr="00DF5367">
        <w:rPr>
          <w:rtl/>
        </w:rPr>
        <w:t xml:space="preserve"> والإدانات في قضايا العنف </w:t>
      </w:r>
      <w:r>
        <w:rPr>
          <w:rFonts w:hint="cs"/>
          <w:rtl/>
        </w:rPr>
        <w:t>المنزلي</w:t>
      </w:r>
      <w:r w:rsidR="00DF5367" w:rsidRPr="00DF5367">
        <w:rPr>
          <w:rtl/>
        </w:rPr>
        <w:t xml:space="preserve"> خلال السنوات الخمس الأخيرة.</w:t>
      </w:r>
    </w:p>
    <w:p w:rsidR="00DF5367" w:rsidRPr="00DF5367" w:rsidRDefault="0056513F" w:rsidP="0056513F">
      <w:pPr>
        <w:pStyle w:val="SingleTxt"/>
        <w:rPr>
          <w:rtl/>
        </w:rPr>
      </w:pPr>
      <w:r>
        <w:rPr>
          <w:rFonts w:hint="cs"/>
          <w:rtl/>
        </w:rPr>
        <w:t>13 -</w:t>
      </w:r>
      <w:r>
        <w:rPr>
          <w:rFonts w:hint="cs"/>
          <w:rtl/>
        </w:rPr>
        <w:tab/>
        <w:t>وفي ضوء</w:t>
      </w:r>
      <w:r w:rsidR="00DF5367" w:rsidRPr="00DF5367">
        <w:rPr>
          <w:rtl/>
        </w:rPr>
        <w:t xml:space="preserve"> </w:t>
      </w:r>
      <w:r>
        <w:rPr>
          <w:rFonts w:hint="cs"/>
          <w:rtl/>
        </w:rPr>
        <w:t>ا</w:t>
      </w:r>
      <w:r w:rsidR="00DF5367" w:rsidRPr="00DF5367">
        <w:rPr>
          <w:rtl/>
        </w:rPr>
        <w:t xml:space="preserve">لتوصية </w:t>
      </w:r>
      <w:r>
        <w:rPr>
          <w:rFonts w:hint="cs"/>
          <w:rtl/>
        </w:rPr>
        <w:t>العامة</w:t>
      </w:r>
      <w:r w:rsidR="00DF5367" w:rsidRPr="00DF5367">
        <w:rPr>
          <w:rtl/>
        </w:rPr>
        <w:t xml:space="preserve"> رقم 19</w:t>
      </w:r>
      <w:r>
        <w:rPr>
          <w:rFonts w:hint="cs"/>
          <w:rtl/>
        </w:rPr>
        <w:t xml:space="preserve"> للجنة،</w:t>
      </w:r>
      <w:r w:rsidR="00DF5367" w:rsidRPr="00DF5367">
        <w:rPr>
          <w:rtl/>
        </w:rPr>
        <w:t xml:space="preserve"> المتعلقة بالعنف</w:t>
      </w:r>
      <w:r>
        <w:rPr>
          <w:rFonts w:hint="cs"/>
          <w:rtl/>
        </w:rPr>
        <w:t xml:space="preserve"> المرتكب</w:t>
      </w:r>
      <w:r w:rsidR="00DF5367" w:rsidRPr="00DF5367">
        <w:rPr>
          <w:rtl/>
        </w:rPr>
        <w:t xml:space="preserve"> ضد المرأة، يرجى </w:t>
      </w:r>
      <w:r>
        <w:rPr>
          <w:rFonts w:hint="cs"/>
          <w:rtl/>
        </w:rPr>
        <w:t>وصف</w:t>
      </w:r>
      <w:r w:rsidR="00DF5367" w:rsidRPr="00DF5367">
        <w:rPr>
          <w:rtl/>
        </w:rPr>
        <w:t xml:space="preserve"> الخطوات التي اتخذت لوضع استراتيجية شاملة </w:t>
      </w:r>
      <w:r>
        <w:rPr>
          <w:rFonts w:hint="cs"/>
          <w:rtl/>
        </w:rPr>
        <w:t>لمكافح</w:t>
      </w:r>
      <w:r w:rsidR="00DF5367" w:rsidRPr="00DF5367">
        <w:rPr>
          <w:rtl/>
        </w:rPr>
        <w:t xml:space="preserve">ة جميع أشكال العنف ضد المرأة، بما في ذلك اعتماد التشريعات والبدء ببرامج لبناء القدرات والتوعية </w:t>
      </w:r>
      <w:r>
        <w:rPr>
          <w:rFonts w:hint="cs"/>
          <w:rtl/>
        </w:rPr>
        <w:t>لدى مختلف الفئات</w:t>
      </w:r>
      <w:r w:rsidR="00DF5367" w:rsidRPr="00DF5367">
        <w:rPr>
          <w:rtl/>
        </w:rPr>
        <w:t xml:space="preserve"> (كالشرطة والمحامين والعاملين في حقل الصحة والسلك القضائي) ولدى الجمهور </w:t>
      </w:r>
      <w:r>
        <w:rPr>
          <w:rFonts w:hint="cs"/>
          <w:rtl/>
        </w:rPr>
        <w:t>عموما.</w:t>
      </w:r>
    </w:p>
    <w:p w:rsidR="0056513F" w:rsidRPr="0056513F" w:rsidRDefault="0056513F" w:rsidP="0056513F">
      <w:pPr>
        <w:pStyle w:val="SingleTxt"/>
        <w:spacing w:after="0" w:line="120" w:lineRule="exact"/>
        <w:rPr>
          <w:sz w:val="12"/>
          <w:rtl/>
        </w:rPr>
      </w:pPr>
    </w:p>
    <w:p w:rsidR="00DF5367" w:rsidRDefault="00DF5367" w:rsidP="00542F5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DF5367">
        <w:rPr>
          <w:lang w:val="en-GB"/>
        </w:rPr>
        <w:tab/>
      </w:r>
      <w:r w:rsidRPr="00DF5367">
        <w:rPr>
          <w:lang w:val="en-GB"/>
        </w:rPr>
        <w:tab/>
      </w:r>
      <w:r w:rsidRPr="00DF5367">
        <w:rPr>
          <w:rtl/>
        </w:rPr>
        <w:t>المادة 6</w:t>
      </w:r>
    </w:p>
    <w:p w:rsidR="00DF5367" w:rsidRDefault="0056513F" w:rsidP="00752BBC">
      <w:pPr>
        <w:pStyle w:val="SingleTxt"/>
        <w:rPr>
          <w:rFonts w:hint="cs"/>
          <w:rtl/>
        </w:rPr>
      </w:pPr>
      <w:r>
        <w:rPr>
          <w:rFonts w:hint="cs"/>
          <w:rtl/>
        </w:rPr>
        <w:t>14 -</w:t>
      </w:r>
      <w:r>
        <w:rPr>
          <w:rFonts w:hint="cs"/>
          <w:rtl/>
        </w:rPr>
        <w:tab/>
      </w:r>
      <w:r w:rsidR="00DF5367" w:rsidRPr="00DF5367">
        <w:rPr>
          <w:rtl/>
        </w:rPr>
        <w:t xml:space="preserve">يشير التقرير إلى استمرار ظاهرة الاستعباد في النيجر (الصفحة 29، الفقرة 4-1) ويبدو أن الدولة تغض الطرف عنها إذ </w:t>
      </w:r>
      <w:r>
        <w:rPr>
          <w:rFonts w:hint="cs"/>
          <w:rtl/>
        </w:rPr>
        <w:t>”</w:t>
      </w:r>
      <w:r w:rsidR="00DF5367" w:rsidRPr="00DF5367">
        <w:rPr>
          <w:rtl/>
        </w:rPr>
        <w:t>لم تتخذ أي ترتيبات تشريعية أو تنظيمية</w:t>
      </w:r>
      <w:r w:rsidRPr="0056513F">
        <w:rPr>
          <w:rtl/>
        </w:rPr>
        <w:t xml:space="preserve"> </w:t>
      </w:r>
      <w:r w:rsidRPr="00DF5367">
        <w:rPr>
          <w:rtl/>
        </w:rPr>
        <w:t>لاجتثاث هذه الممارسة</w:t>
      </w:r>
      <w:r>
        <w:rPr>
          <w:rFonts w:hint="cs"/>
          <w:rtl/>
        </w:rPr>
        <w:t>“</w:t>
      </w:r>
      <w:r w:rsidR="00DF5367" w:rsidRPr="00DF5367">
        <w:rPr>
          <w:rtl/>
        </w:rPr>
        <w:t>.</w:t>
      </w:r>
      <w:r w:rsidR="00DF5367" w:rsidRPr="00DF5367">
        <w:rPr>
          <w:lang w:val="en-GB"/>
        </w:rPr>
        <w:t xml:space="preserve"> </w:t>
      </w:r>
      <w:r w:rsidR="00DF5367" w:rsidRPr="00DF5367">
        <w:rPr>
          <w:rtl/>
        </w:rPr>
        <w:t>ووفقا ل</w:t>
      </w:r>
      <w:r>
        <w:rPr>
          <w:rFonts w:hint="cs"/>
          <w:rtl/>
        </w:rPr>
        <w:t>ما ذكره ا</w:t>
      </w:r>
      <w:r w:rsidR="00DF5367" w:rsidRPr="00DF5367">
        <w:rPr>
          <w:rtl/>
        </w:rPr>
        <w:t>لمقرر الخاص المعني بالعنف ضد المرأة وأسبابه ونتائجه، ف</w:t>
      </w:r>
      <w:r>
        <w:rPr>
          <w:rFonts w:hint="cs"/>
          <w:rtl/>
        </w:rPr>
        <w:t xml:space="preserve">على الرغم من أن </w:t>
      </w:r>
      <w:r w:rsidRPr="00DF5367">
        <w:rPr>
          <w:rtl/>
        </w:rPr>
        <w:t xml:space="preserve">الجمعية الوطنية </w:t>
      </w:r>
      <w:r w:rsidR="00DF5367" w:rsidRPr="00DF5367">
        <w:rPr>
          <w:rtl/>
        </w:rPr>
        <w:t xml:space="preserve">أقرت تعديلات على القانون الجنائي </w:t>
      </w:r>
      <w:r>
        <w:rPr>
          <w:rFonts w:hint="cs"/>
          <w:rtl/>
        </w:rPr>
        <w:t>ليشمل</w:t>
      </w:r>
      <w:r w:rsidR="00DF5367" w:rsidRPr="00DF5367">
        <w:rPr>
          <w:rtl/>
        </w:rPr>
        <w:t xml:space="preserve"> جرائم جديدة تتعلق بممارسة الاستعباد، فإن الإعلان الرئاسي الذي يسمح بتنفيذ التعديلات الجديدة لم</w:t>
      </w:r>
      <w:r>
        <w:rPr>
          <w:rFonts w:hint="cs"/>
          <w:rtl/>
        </w:rPr>
        <w:t> </w:t>
      </w:r>
      <w:r w:rsidR="00DF5367" w:rsidRPr="00DF5367">
        <w:rPr>
          <w:rtl/>
        </w:rPr>
        <w:t>ي</w:t>
      </w:r>
      <w:r w:rsidR="00752BBC">
        <w:rPr>
          <w:rFonts w:hint="cs"/>
          <w:rtl/>
        </w:rPr>
        <w:t xml:space="preserve">كن قد </w:t>
      </w:r>
      <w:r w:rsidR="00DF5367" w:rsidRPr="00DF5367">
        <w:rPr>
          <w:rtl/>
        </w:rPr>
        <w:t xml:space="preserve">صدر </w:t>
      </w:r>
      <w:r w:rsidR="00752BBC">
        <w:rPr>
          <w:rFonts w:hint="cs"/>
          <w:rtl/>
        </w:rPr>
        <w:t>في</w:t>
      </w:r>
      <w:r w:rsidR="00DF5367" w:rsidRPr="00DF5367">
        <w:rPr>
          <w:rtl/>
        </w:rPr>
        <w:t xml:space="preserve"> عام 2002 (</w:t>
      </w:r>
      <w:r w:rsidR="00DF5367" w:rsidRPr="00DF5367">
        <w:t>E/CN.4/2003/75/Add.1</w:t>
      </w:r>
      <w:r w:rsidR="00DF5367" w:rsidRPr="00DF5367">
        <w:rPr>
          <w:rtl/>
        </w:rPr>
        <w:t>، الفقرة 438)</w:t>
      </w:r>
      <w:r w:rsidR="00DF5367" w:rsidRPr="00DF5367">
        <w:rPr>
          <w:lang w:val="en-GB"/>
        </w:rPr>
        <w:t xml:space="preserve"> </w:t>
      </w:r>
      <w:r w:rsidR="00DF5367" w:rsidRPr="00DF5367">
        <w:rPr>
          <w:rtl/>
        </w:rPr>
        <w:t xml:space="preserve">يرجى الإشارة إلى أي تطورات حدثت </w:t>
      </w:r>
      <w:r w:rsidR="00752BBC">
        <w:rPr>
          <w:rFonts w:hint="cs"/>
          <w:rtl/>
        </w:rPr>
        <w:t>مؤخر</w:t>
      </w:r>
      <w:r w:rsidR="00DF5367" w:rsidRPr="00DF5367">
        <w:rPr>
          <w:rtl/>
        </w:rPr>
        <w:t>ا في هذا الصدد.</w:t>
      </w:r>
      <w:r w:rsidR="00DF5367" w:rsidRPr="00DF5367">
        <w:rPr>
          <w:lang w:val="en-GB"/>
        </w:rPr>
        <w:t xml:space="preserve"> </w:t>
      </w:r>
      <w:r w:rsidR="00DF5367" w:rsidRPr="00DF5367">
        <w:rPr>
          <w:rtl/>
        </w:rPr>
        <w:t>ويرجى تقديم إحصاءات عن عدد المستعبدات من النساء والفتيات.</w:t>
      </w:r>
      <w:r w:rsidR="00DF5367" w:rsidRPr="00DF5367">
        <w:rPr>
          <w:lang w:val="en-GB"/>
        </w:rPr>
        <w:t xml:space="preserve"> </w:t>
      </w:r>
      <w:r w:rsidR="00DF5367" w:rsidRPr="00DF5367">
        <w:rPr>
          <w:rtl/>
        </w:rPr>
        <w:t xml:space="preserve">وحيث </w:t>
      </w:r>
      <w:r w:rsidR="00752BBC">
        <w:rPr>
          <w:rFonts w:hint="cs"/>
          <w:rtl/>
        </w:rPr>
        <w:t>أن</w:t>
      </w:r>
      <w:r w:rsidR="00DF5367" w:rsidRPr="00DF5367">
        <w:rPr>
          <w:rtl/>
        </w:rPr>
        <w:t xml:space="preserve"> التقرير لا يتطرق إلا إلى أنشطة المنظمات غير الحكومية، يرجى الإشارة إلى ما تنوي الحكومة اتخاذه من إجراءات للقضاء على هذه الممارسة فعليا وتقديم </w:t>
      </w:r>
      <w:r w:rsidR="00752BBC">
        <w:rPr>
          <w:rFonts w:hint="cs"/>
          <w:rtl/>
        </w:rPr>
        <w:t>وصف</w:t>
      </w:r>
      <w:r w:rsidR="00DF5367" w:rsidRPr="00DF5367">
        <w:rPr>
          <w:rtl/>
        </w:rPr>
        <w:t xml:space="preserve"> للأثر الناجم عن أي تدابير تم اتخاذها حتى </w:t>
      </w:r>
      <w:r w:rsidR="00752BBC">
        <w:rPr>
          <w:rFonts w:hint="cs"/>
          <w:rtl/>
        </w:rPr>
        <w:t>الآن</w:t>
      </w:r>
      <w:r w:rsidR="00DF5367" w:rsidRPr="00DF5367">
        <w:rPr>
          <w:rtl/>
        </w:rPr>
        <w:t>.</w:t>
      </w:r>
    </w:p>
    <w:p w:rsidR="00DF5367" w:rsidRDefault="00752BBC" w:rsidP="00752BBC">
      <w:pPr>
        <w:pStyle w:val="SingleTxt"/>
        <w:rPr>
          <w:rFonts w:hint="cs"/>
          <w:rtl/>
        </w:rPr>
      </w:pPr>
      <w:r>
        <w:rPr>
          <w:rFonts w:hint="cs"/>
          <w:rtl/>
        </w:rPr>
        <w:t>15 -</w:t>
      </w:r>
      <w:r>
        <w:rPr>
          <w:rFonts w:hint="cs"/>
          <w:rtl/>
        </w:rPr>
        <w:tab/>
      </w:r>
      <w:r w:rsidR="00DF5367" w:rsidRPr="00DF5367">
        <w:rPr>
          <w:rtl/>
        </w:rPr>
        <w:t>يرجى تقديم إحصاءات، في حال تو</w:t>
      </w:r>
      <w:r>
        <w:rPr>
          <w:rFonts w:hint="cs"/>
          <w:rtl/>
        </w:rPr>
        <w:t>ا</w:t>
      </w:r>
      <w:r w:rsidR="00DF5367" w:rsidRPr="00DF5367">
        <w:rPr>
          <w:rtl/>
        </w:rPr>
        <w:t xml:space="preserve">فرها، لعدد النساء والفتيات اللاتي </w:t>
      </w:r>
      <w:r>
        <w:rPr>
          <w:rFonts w:hint="cs"/>
          <w:rtl/>
        </w:rPr>
        <w:t>ي</w:t>
      </w:r>
      <w:r w:rsidR="00DF5367" w:rsidRPr="00DF5367">
        <w:rPr>
          <w:rtl/>
        </w:rPr>
        <w:t>مارسن البغاء.</w:t>
      </w:r>
      <w:r w:rsidR="00DF5367" w:rsidRPr="00DF5367">
        <w:rPr>
          <w:lang w:val="en-GB"/>
        </w:rPr>
        <w:t xml:space="preserve"> </w:t>
      </w:r>
      <w:r>
        <w:rPr>
          <w:rFonts w:hint="cs"/>
          <w:rtl/>
        </w:rPr>
        <w:t>و</w:t>
      </w:r>
      <w:r w:rsidR="00DF5367" w:rsidRPr="00DF5367">
        <w:rPr>
          <w:rtl/>
        </w:rPr>
        <w:t>يرجى تقديم المزيد من التفاصيل عن القوانين أو التدابير التي اعتمدت لمنع الاستغلال لأغراض البغاء و</w:t>
      </w:r>
      <w:r>
        <w:rPr>
          <w:rFonts w:hint="cs"/>
          <w:rtl/>
        </w:rPr>
        <w:t>ال</w:t>
      </w:r>
      <w:r w:rsidR="00DF5367" w:rsidRPr="00DF5367">
        <w:rPr>
          <w:rtl/>
        </w:rPr>
        <w:t>معاقب</w:t>
      </w:r>
      <w:r>
        <w:rPr>
          <w:rFonts w:hint="cs"/>
          <w:rtl/>
        </w:rPr>
        <w:t>ة عليه</w:t>
      </w:r>
      <w:r w:rsidR="00DF5367" w:rsidRPr="00DF5367">
        <w:rPr>
          <w:rtl/>
        </w:rPr>
        <w:t xml:space="preserve">، وكذلك التدابير  المتخذة لإعادة التأهيل والدعم اللازمين لإعادة إدماج النسوة اللاتي </w:t>
      </w:r>
      <w:r>
        <w:rPr>
          <w:rFonts w:hint="cs"/>
          <w:rtl/>
        </w:rPr>
        <w:t>ي</w:t>
      </w:r>
      <w:r w:rsidR="00DF5367" w:rsidRPr="00DF5367">
        <w:rPr>
          <w:rtl/>
        </w:rPr>
        <w:t>رغبن في ترك مهنة البغاء.</w:t>
      </w:r>
    </w:p>
    <w:p w:rsidR="00DF5367" w:rsidRPr="00DF5367" w:rsidRDefault="00752BBC" w:rsidP="00752BBC">
      <w:pPr>
        <w:pStyle w:val="SingleTxt"/>
        <w:rPr>
          <w:rtl/>
        </w:rPr>
      </w:pPr>
      <w:r>
        <w:rPr>
          <w:rFonts w:hint="cs"/>
          <w:rtl/>
        </w:rPr>
        <w:t>16 -</w:t>
      </w:r>
      <w:r>
        <w:rPr>
          <w:rFonts w:hint="cs"/>
          <w:rtl/>
        </w:rPr>
        <w:tab/>
      </w:r>
      <w:r w:rsidR="00DF5367" w:rsidRPr="00DF5367">
        <w:rPr>
          <w:rtl/>
        </w:rPr>
        <w:t xml:space="preserve">لا يقدم التقرير معلومات كافية عن القوانين أو التدابير </w:t>
      </w:r>
      <w:r>
        <w:rPr>
          <w:rFonts w:hint="cs"/>
          <w:rtl/>
        </w:rPr>
        <w:t xml:space="preserve">الرامية إلى </w:t>
      </w:r>
      <w:r w:rsidR="00DF5367" w:rsidRPr="00DF5367">
        <w:rPr>
          <w:rtl/>
        </w:rPr>
        <w:t xml:space="preserve">منع الاتجار </w:t>
      </w:r>
      <w:r>
        <w:rPr>
          <w:rFonts w:hint="cs"/>
          <w:rtl/>
        </w:rPr>
        <w:t>ب</w:t>
      </w:r>
      <w:r w:rsidR="00DF5367" w:rsidRPr="00DF5367">
        <w:rPr>
          <w:rtl/>
        </w:rPr>
        <w:t>النساء والفتيات و</w:t>
      </w:r>
      <w:r>
        <w:rPr>
          <w:rFonts w:hint="cs"/>
          <w:rtl/>
        </w:rPr>
        <w:t>ال</w:t>
      </w:r>
      <w:r w:rsidR="00DF5367" w:rsidRPr="00DF5367">
        <w:rPr>
          <w:rtl/>
        </w:rPr>
        <w:t>معاقب</w:t>
      </w:r>
      <w:r>
        <w:rPr>
          <w:rFonts w:hint="cs"/>
          <w:rtl/>
        </w:rPr>
        <w:t>ة علي</w:t>
      </w:r>
      <w:r w:rsidR="00DF5367" w:rsidRPr="00DF5367">
        <w:rPr>
          <w:rtl/>
        </w:rPr>
        <w:t>ه، بما في ذلك مدى تفشي هذه الظاهرة.</w:t>
      </w:r>
      <w:r w:rsidR="00DF5367" w:rsidRPr="00DF5367">
        <w:rPr>
          <w:lang w:val="en-GB"/>
        </w:rPr>
        <w:t xml:space="preserve"> </w:t>
      </w:r>
      <w:r w:rsidR="00DF5367" w:rsidRPr="00DF5367">
        <w:rPr>
          <w:rtl/>
        </w:rPr>
        <w:t>يرجى تقديم هذه المعلومات.</w:t>
      </w:r>
    </w:p>
    <w:p w:rsidR="00752BBC" w:rsidRPr="00752BBC" w:rsidRDefault="00752BBC" w:rsidP="00752BBC">
      <w:pPr>
        <w:pStyle w:val="SingleTxt"/>
        <w:spacing w:after="0" w:line="120" w:lineRule="exact"/>
        <w:rPr>
          <w:sz w:val="12"/>
          <w:rtl/>
        </w:rPr>
      </w:pPr>
    </w:p>
    <w:p w:rsidR="00DF5367" w:rsidRPr="00DF5367" w:rsidRDefault="00DF5367" w:rsidP="00542F5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المادتان 7 و</w:t>
      </w:r>
      <w:r w:rsidR="00542F53">
        <w:rPr>
          <w:rFonts w:hint="cs"/>
          <w:rtl/>
        </w:rPr>
        <w:t xml:space="preserve"> </w:t>
      </w:r>
      <w:r w:rsidRPr="00DF5367">
        <w:rPr>
          <w:rtl/>
        </w:rPr>
        <w:t>8</w:t>
      </w:r>
    </w:p>
    <w:p w:rsidR="00DF5367" w:rsidRDefault="00752BBC" w:rsidP="00752BBC">
      <w:pPr>
        <w:pStyle w:val="SingleTxt"/>
        <w:rPr>
          <w:rFonts w:hint="cs"/>
          <w:rtl/>
        </w:rPr>
      </w:pPr>
      <w:r>
        <w:rPr>
          <w:rFonts w:hint="cs"/>
          <w:rtl/>
        </w:rPr>
        <w:t>17 -</w:t>
      </w:r>
      <w:r>
        <w:rPr>
          <w:rFonts w:hint="cs"/>
          <w:rtl/>
        </w:rPr>
        <w:tab/>
      </w:r>
      <w:r w:rsidR="00DF5367" w:rsidRPr="00DF5367">
        <w:rPr>
          <w:rtl/>
        </w:rPr>
        <w:t>يشير التقرير إلى أن المرأة تواجه صعوبات عمليا في ممارسة حقها في التصويت، لا</w:t>
      </w:r>
      <w:r>
        <w:t> </w:t>
      </w:r>
      <w:r w:rsidR="00DF5367" w:rsidRPr="00DF5367">
        <w:rPr>
          <w:rtl/>
        </w:rPr>
        <w:t>بسبب انعدام الأحكام التي تكرس المساواة بينها وبين الرجل، وإنما بسبب عبء ما يتوقعه المجتمع منها. (الصفحة 31، الفقرة 5-1).</w:t>
      </w:r>
      <w:r w:rsidR="00DF5367" w:rsidRPr="00DF5367">
        <w:rPr>
          <w:lang w:val="en-GB"/>
        </w:rPr>
        <w:t xml:space="preserve"> </w:t>
      </w:r>
      <w:r w:rsidR="00DF5367" w:rsidRPr="00DF5367">
        <w:rPr>
          <w:rtl/>
        </w:rPr>
        <w:t>يرجى تقديم مزيد من المعلومات عن التدابير التي اتخذتها الحكومة لتشجيع المرأة على المشاركة بفعالية أكبر في الحياة السياسية، إما كناخبة أو</w:t>
      </w:r>
      <w:r>
        <w:rPr>
          <w:rFonts w:hint="cs"/>
          <w:rtl/>
        </w:rPr>
        <w:t> </w:t>
      </w:r>
      <w:r w:rsidR="00DF5367" w:rsidRPr="00DF5367">
        <w:rPr>
          <w:rtl/>
        </w:rPr>
        <w:t xml:space="preserve">مرشحة </w:t>
      </w:r>
      <w:r>
        <w:rPr>
          <w:rFonts w:hint="cs"/>
          <w:rtl/>
        </w:rPr>
        <w:t>في مختلف ا</w:t>
      </w:r>
      <w:r w:rsidR="00DF5367" w:rsidRPr="00DF5367">
        <w:rPr>
          <w:rtl/>
        </w:rPr>
        <w:t>لانتخابات.</w:t>
      </w:r>
    </w:p>
    <w:p w:rsidR="00DF5367" w:rsidRPr="00DF5367" w:rsidRDefault="00752BBC" w:rsidP="00752BBC">
      <w:pPr>
        <w:pStyle w:val="SingleTxt"/>
        <w:rPr>
          <w:rFonts w:hint="cs"/>
          <w:rtl/>
        </w:rPr>
      </w:pPr>
      <w:r>
        <w:rPr>
          <w:rFonts w:hint="cs"/>
          <w:rtl/>
        </w:rPr>
        <w:t>18 -</w:t>
      </w:r>
      <w:r>
        <w:rPr>
          <w:rFonts w:hint="cs"/>
          <w:rtl/>
        </w:rPr>
        <w:tab/>
      </w:r>
      <w:r w:rsidR="00DF5367" w:rsidRPr="00DF5367">
        <w:rPr>
          <w:rtl/>
        </w:rPr>
        <w:t>ويشير التقرير إلى أن حكومة النيجر اعتمدت القانون رقم 2000-008 الذي يقيم</w:t>
      </w:r>
      <w:r>
        <w:rPr>
          <w:rFonts w:hint="cs"/>
          <w:rtl/>
        </w:rPr>
        <w:t> </w:t>
      </w:r>
      <w:r w:rsidR="00DF5367" w:rsidRPr="00DF5367">
        <w:rPr>
          <w:rtl/>
        </w:rPr>
        <w:t>نظام حصص للمناصب المخصصة للم</w:t>
      </w:r>
      <w:r>
        <w:rPr>
          <w:rFonts w:hint="cs"/>
          <w:rtl/>
        </w:rPr>
        <w:t>رأ</w:t>
      </w:r>
      <w:r w:rsidR="00DF5367" w:rsidRPr="00DF5367">
        <w:rPr>
          <w:rtl/>
        </w:rPr>
        <w:t>ة في هيئات صنع القرار (الصفحة 26، الفقرة</w:t>
      </w:r>
      <w:r>
        <w:rPr>
          <w:rFonts w:hint="cs"/>
          <w:rtl/>
        </w:rPr>
        <w:t> </w:t>
      </w:r>
      <w:r w:rsidR="00DF5367" w:rsidRPr="00DF5367">
        <w:rPr>
          <w:rtl/>
        </w:rPr>
        <w:t>2-3).</w:t>
      </w:r>
      <w:r w:rsidR="00DF5367" w:rsidRPr="00DF5367">
        <w:rPr>
          <w:lang w:val="en-GB"/>
        </w:rPr>
        <w:t xml:space="preserve"> </w:t>
      </w:r>
      <w:r w:rsidR="00DF5367" w:rsidRPr="00DF5367">
        <w:rPr>
          <w:rtl/>
        </w:rPr>
        <w:t xml:space="preserve">ويمضي التقرير مشيرا إلى أن </w:t>
      </w:r>
      <w:r>
        <w:rPr>
          <w:rFonts w:hint="cs"/>
          <w:rtl/>
        </w:rPr>
        <w:t>”</w:t>
      </w:r>
      <w:r w:rsidR="00DF5367" w:rsidRPr="00DF5367">
        <w:rPr>
          <w:rtl/>
        </w:rPr>
        <w:t>قلة قليلة من النساء قد وصلن إلى هيئات صنع القرار، لكن التطبيق الفعلي للقانون المتعلق بالحصص من شأنه أن يُصحح الوضع مع مرور الوقت</w:t>
      </w:r>
      <w:r>
        <w:rPr>
          <w:rFonts w:hint="cs"/>
          <w:rtl/>
        </w:rPr>
        <w:t>“</w:t>
      </w:r>
      <w:r w:rsidR="00DF5367" w:rsidRPr="00DF5367">
        <w:rPr>
          <w:rtl/>
        </w:rPr>
        <w:t xml:space="preserve"> (الصفحة 34، الفقرة 5-2-4).</w:t>
      </w:r>
      <w:r w:rsidR="00DF5367" w:rsidRPr="00DF5367">
        <w:rPr>
          <w:lang w:val="en-GB"/>
        </w:rPr>
        <w:t xml:space="preserve"> </w:t>
      </w:r>
      <w:r w:rsidR="00DF5367" w:rsidRPr="00DF5367">
        <w:rPr>
          <w:rtl/>
        </w:rPr>
        <w:t xml:space="preserve">يرجى تقديم </w:t>
      </w:r>
      <w:r>
        <w:rPr>
          <w:rFonts w:hint="cs"/>
          <w:rtl/>
        </w:rPr>
        <w:t>وصف</w:t>
      </w:r>
      <w:r w:rsidR="00DF5367" w:rsidRPr="00DF5367">
        <w:rPr>
          <w:rtl/>
        </w:rPr>
        <w:t xml:space="preserve"> لنتائج ومدى فعالية قانون الحصص منذ عام 2001، بالإضافة إلى أي </w:t>
      </w:r>
      <w:r>
        <w:rPr>
          <w:rFonts w:hint="cs"/>
          <w:rtl/>
        </w:rPr>
        <w:t>تدابير</w:t>
      </w:r>
      <w:r w:rsidR="00DF5367" w:rsidRPr="00DF5367">
        <w:rPr>
          <w:rtl/>
        </w:rPr>
        <w:t xml:space="preserve"> أخرى </w:t>
      </w:r>
      <w:r>
        <w:rPr>
          <w:rFonts w:hint="cs"/>
          <w:rtl/>
        </w:rPr>
        <w:t>بمكن أن تكون قد اتخذت</w:t>
      </w:r>
      <w:r w:rsidR="00DF5367" w:rsidRPr="00DF5367">
        <w:rPr>
          <w:rtl/>
        </w:rPr>
        <w:t xml:space="preserve"> </w:t>
      </w:r>
      <w:r>
        <w:rPr>
          <w:rFonts w:hint="cs"/>
          <w:rtl/>
        </w:rPr>
        <w:t>ل</w:t>
      </w:r>
      <w:r w:rsidR="00DF5367" w:rsidRPr="00DF5367">
        <w:rPr>
          <w:rtl/>
        </w:rPr>
        <w:t>زيادة عدد النساء المشاركات واللاتي حالفهن النجاح في هيئات صنع القرا</w:t>
      </w:r>
      <w:r>
        <w:rPr>
          <w:rFonts w:hint="cs"/>
          <w:rtl/>
        </w:rPr>
        <w:t>ر.</w:t>
      </w:r>
    </w:p>
    <w:p w:rsidR="00752BBC" w:rsidRPr="00752BBC" w:rsidRDefault="00752BBC" w:rsidP="00752BBC">
      <w:pPr>
        <w:pStyle w:val="SingleTxt"/>
        <w:spacing w:after="0" w:line="120" w:lineRule="exact"/>
        <w:rPr>
          <w:sz w:val="12"/>
          <w:rtl/>
        </w:rPr>
      </w:pPr>
    </w:p>
    <w:p w:rsidR="00DF5367" w:rsidRPr="00DF5367" w:rsidRDefault="00DF5367" w:rsidP="00FA60E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المادة 9</w:t>
      </w:r>
    </w:p>
    <w:p w:rsidR="00DF5367" w:rsidRPr="00DF5367" w:rsidRDefault="00752BBC" w:rsidP="00752BBC">
      <w:pPr>
        <w:pStyle w:val="SingleTxt"/>
        <w:rPr>
          <w:rtl/>
        </w:rPr>
      </w:pPr>
      <w:r>
        <w:rPr>
          <w:rFonts w:hint="cs"/>
          <w:rtl/>
        </w:rPr>
        <w:t>19 -</w:t>
      </w:r>
      <w:r>
        <w:rPr>
          <w:rFonts w:hint="cs"/>
          <w:rtl/>
        </w:rPr>
        <w:tab/>
      </w:r>
      <w:r w:rsidR="00DF5367" w:rsidRPr="00DF5367">
        <w:rPr>
          <w:rtl/>
        </w:rPr>
        <w:t xml:space="preserve">يرجى تحديد ما إذا كان </w:t>
      </w:r>
      <w:r>
        <w:rPr>
          <w:rFonts w:hint="cs"/>
          <w:rtl/>
        </w:rPr>
        <w:t>”</w:t>
      </w:r>
      <w:r w:rsidR="00DF5367" w:rsidRPr="00DF5367">
        <w:rPr>
          <w:rtl/>
        </w:rPr>
        <w:t>القانون الوضعي للجنسية النيجيرية</w:t>
      </w:r>
      <w:r>
        <w:rPr>
          <w:rFonts w:hint="cs"/>
          <w:rtl/>
        </w:rPr>
        <w:t>“</w:t>
      </w:r>
      <w:r w:rsidR="00DF5367" w:rsidRPr="00DF5367">
        <w:rPr>
          <w:rtl/>
        </w:rPr>
        <w:t xml:space="preserve"> الذي يشير إليه التقرير (الصفحة 36، الفقرة 7-1) ناف</w:t>
      </w:r>
      <w:r>
        <w:rPr>
          <w:rFonts w:hint="cs"/>
          <w:rtl/>
        </w:rPr>
        <w:t>ذ</w:t>
      </w:r>
      <w:r w:rsidR="00DF5367" w:rsidRPr="00DF5367">
        <w:rPr>
          <w:rtl/>
        </w:rPr>
        <w:t xml:space="preserve"> فعلا، وعلى الأخص ما إذا كان أصبح في وسع النساء </w:t>
      </w:r>
      <w:r>
        <w:rPr>
          <w:rFonts w:hint="cs"/>
          <w:rtl/>
        </w:rPr>
        <w:t xml:space="preserve">اللاتي </w:t>
      </w:r>
      <w:r w:rsidR="00DF5367" w:rsidRPr="00DF5367">
        <w:rPr>
          <w:rtl/>
        </w:rPr>
        <w:t>من أصل نيجيري، ومن أقليلات إثنية أخرى ومن مجموعات السكان الأصليين، أن يثبتن جنسيتهن أو أن يمنحن الجنسية لأزواجهن</w:t>
      </w:r>
      <w:r>
        <w:rPr>
          <w:rFonts w:hint="cs"/>
          <w:rtl/>
        </w:rPr>
        <w:t xml:space="preserve"> الذين هم</w:t>
      </w:r>
      <w:r w:rsidR="00DF5367" w:rsidRPr="00DF5367">
        <w:rPr>
          <w:rtl/>
        </w:rPr>
        <w:t xml:space="preserve"> من أصول أجنبية، وما إذا كان</w:t>
      </w:r>
      <w:r>
        <w:rPr>
          <w:rFonts w:hint="cs"/>
          <w:rtl/>
        </w:rPr>
        <w:t>ت</w:t>
      </w:r>
      <w:r w:rsidR="00DF5367" w:rsidRPr="00DF5367">
        <w:rPr>
          <w:rtl/>
        </w:rPr>
        <w:t xml:space="preserve"> حقوقهن مص</w:t>
      </w:r>
      <w:r>
        <w:rPr>
          <w:rFonts w:hint="cs"/>
          <w:rtl/>
        </w:rPr>
        <w:t>و</w:t>
      </w:r>
      <w:r w:rsidR="00DF5367" w:rsidRPr="00DF5367">
        <w:rPr>
          <w:rtl/>
        </w:rPr>
        <w:t>نة، سواء قانونيا أو فعليا.</w:t>
      </w:r>
    </w:p>
    <w:p w:rsidR="00752BBC" w:rsidRPr="00752BBC" w:rsidRDefault="00752BBC" w:rsidP="00752BBC">
      <w:pPr>
        <w:pStyle w:val="SingleTxt"/>
        <w:spacing w:after="0" w:line="120" w:lineRule="exact"/>
        <w:rPr>
          <w:sz w:val="12"/>
          <w:rtl/>
        </w:rPr>
      </w:pPr>
    </w:p>
    <w:p w:rsidR="00DF5367" w:rsidRPr="00DF5367" w:rsidRDefault="00DF5367" w:rsidP="00FA60E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المادة 10</w:t>
      </w:r>
    </w:p>
    <w:p w:rsidR="00DF5367" w:rsidRDefault="00752BBC" w:rsidP="00752BBC">
      <w:pPr>
        <w:pStyle w:val="SingleTxt"/>
        <w:rPr>
          <w:rFonts w:hint="cs"/>
          <w:rtl/>
        </w:rPr>
      </w:pPr>
      <w:r>
        <w:rPr>
          <w:rFonts w:hint="cs"/>
          <w:rtl/>
        </w:rPr>
        <w:t>20 -</w:t>
      </w:r>
      <w:r>
        <w:rPr>
          <w:rFonts w:hint="cs"/>
          <w:rtl/>
        </w:rPr>
        <w:tab/>
      </w:r>
      <w:r w:rsidR="00DF5367" w:rsidRPr="00DF5367">
        <w:rPr>
          <w:rtl/>
        </w:rPr>
        <w:t>يقدم التقرير معلومات تقتصر على نسب</w:t>
      </w:r>
      <w:r>
        <w:rPr>
          <w:rFonts w:hint="cs"/>
          <w:rtl/>
        </w:rPr>
        <w:t>ة</w:t>
      </w:r>
      <w:r w:rsidR="00DF5367" w:rsidRPr="00DF5367">
        <w:rPr>
          <w:rtl/>
        </w:rPr>
        <w:t xml:space="preserve"> الفتيات والصبيان الملتحقين بالمدارس التحضيرية والوسطى والعليا و</w:t>
      </w:r>
      <w:r>
        <w:rPr>
          <w:rFonts w:hint="cs"/>
          <w:rtl/>
        </w:rPr>
        <w:t>نسبة</w:t>
      </w:r>
      <w:r w:rsidR="00DF5367" w:rsidRPr="00DF5367">
        <w:rPr>
          <w:rtl/>
        </w:rPr>
        <w:t xml:space="preserve"> الذين يتركونها، دون </w:t>
      </w:r>
      <w:r>
        <w:rPr>
          <w:rFonts w:hint="cs"/>
          <w:rtl/>
        </w:rPr>
        <w:t>أن يضع فاصلا مميزا</w:t>
      </w:r>
      <w:r w:rsidR="00DF5367" w:rsidRPr="00DF5367">
        <w:rPr>
          <w:rtl/>
        </w:rPr>
        <w:t xml:space="preserve"> بين المناطق الريفية والحضرية.</w:t>
      </w:r>
      <w:r w:rsidR="00DF5367" w:rsidRPr="00DF5367">
        <w:rPr>
          <w:lang w:val="en-GB"/>
        </w:rPr>
        <w:t xml:space="preserve"> </w:t>
      </w:r>
      <w:r w:rsidR="00DF5367" w:rsidRPr="00DF5367">
        <w:rPr>
          <w:rtl/>
        </w:rPr>
        <w:t>يرجى تقديم معلومات إحصائية حديثة عن نسب</w:t>
      </w:r>
      <w:r>
        <w:rPr>
          <w:rFonts w:hint="cs"/>
          <w:rtl/>
        </w:rPr>
        <w:t>ة</w:t>
      </w:r>
      <w:r w:rsidR="00DF5367" w:rsidRPr="00DF5367">
        <w:rPr>
          <w:rtl/>
        </w:rPr>
        <w:t xml:space="preserve"> التحاق الفتيات والصبيان بالمدارس التحضيرية والابتدائية والوسطى والعليا ونسب من </w:t>
      </w:r>
      <w:r>
        <w:rPr>
          <w:rFonts w:hint="cs"/>
          <w:rtl/>
        </w:rPr>
        <w:t>يترك</w:t>
      </w:r>
      <w:r w:rsidR="00DF5367" w:rsidRPr="00DF5367">
        <w:rPr>
          <w:rtl/>
        </w:rPr>
        <w:t xml:space="preserve"> الدراسة منهم في المناطق الحضرية والريفية.</w:t>
      </w:r>
      <w:r w:rsidR="00DF5367" w:rsidRPr="00DF5367">
        <w:rPr>
          <w:lang w:val="en-GB"/>
        </w:rPr>
        <w:t xml:space="preserve"> </w:t>
      </w:r>
      <w:r w:rsidR="00DF5367" w:rsidRPr="00DF5367">
        <w:rPr>
          <w:rtl/>
        </w:rPr>
        <w:t>وما هي العقوبة التي تطبق على أولياء الأم</w:t>
      </w:r>
      <w:r>
        <w:rPr>
          <w:rFonts w:hint="cs"/>
          <w:rtl/>
        </w:rPr>
        <w:t>و</w:t>
      </w:r>
      <w:r w:rsidR="00DF5367" w:rsidRPr="00DF5367">
        <w:rPr>
          <w:rtl/>
        </w:rPr>
        <w:t>ر الذين لا يتقيدون بشرط التعليم الإلزامي؟</w:t>
      </w:r>
    </w:p>
    <w:p w:rsidR="00DF5367" w:rsidRPr="00DF5367" w:rsidRDefault="00752BBC" w:rsidP="00B514F5">
      <w:pPr>
        <w:pStyle w:val="SingleTxt"/>
        <w:rPr>
          <w:rtl/>
        </w:rPr>
      </w:pPr>
      <w:r>
        <w:rPr>
          <w:rFonts w:hint="cs"/>
          <w:rtl/>
        </w:rPr>
        <w:t>21 -</w:t>
      </w:r>
      <w:r>
        <w:rPr>
          <w:rFonts w:hint="cs"/>
          <w:rtl/>
        </w:rPr>
        <w:tab/>
      </w:r>
      <w:r w:rsidR="00DF5367" w:rsidRPr="00DF5367">
        <w:rPr>
          <w:rtl/>
        </w:rPr>
        <w:t xml:space="preserve">يشير التقرير إلى أن </w:t>
      </w:r>
      <w:r>
        <w:rPr>
          <w:rFonts w:hint="cs"/>
          <w:rtl/>
        </w:rPr>
        <w:t>”</w:t>
      </w:r>
      <w:r w:rsidR="00DF5367" w:rsidRPr="00DF5367">
        <w:rPr>
          <w:rtl/>
        </w:rPr>
        <w:t>أن التصور النمطي لدور الرجل والمرأة النيجريين وتوزيع العمل على أساس نوع الجنس حالا دون إعمال النساء والفتيات لهذا الحق في التعليم إعمالا كاملا</w:t>
      </w:r>
      <w:r w:rsidR="00B514F5">
        <w:rPr>
          <w:rFonts w:hint="cs"/>
          <w:rtl/>
        </w:rPr>
        <w:t>“</w:t>
      </w:r>
      <w:r w:rsidR="00DF5367" w:rsidRPr="00DF5367">
        <w:rPr>
          <w:rtl/>
        </w:rPr>
        <w:t xml:space="preserve"> (الصفحة 39، الفقرة 8)</w:t>
      </w:r>
      <w:r w:rsidR="00DF5367" w:rsidRPr="00DF5367">
        <w:rPr>
          <w:lang w:val="en-GB"/>
        </w:rPr>
        <w:t xml:space="preserve"> </w:t>
      </w:r>
      <w:r w:rsidR="00DF5367" w:rsidRPr="00DF5367">
        <w:rPr>
          <w:rtl/>
        </w:rPr>
        <w:t xml:space="preserve">يرجى </w:t>
      </w:r>
      <w:r w:rsidR="00B514F5">
        <w:rPr>
          <w:rFonts w:hint="cs"/>
          <w:rtl/>
        </w:rPr>
        <w:t>وصف</w:t>
      </w:r>
      <w:r w:rsidR="00DF5367" w:rsidRPr="00DF5367">
        <w:rPr>
          <w:rtl/>
        </w:rPr>
        <w:t xml:space="preserve"> ما أحرز من تقدم في زيادة معدلات انتساب الفتيات والنساء </w:t>
      </w:r>
      <w:r w:rsidR="00B514F5">
        <w:rPr>
          <w:rFonts w:hint="cs"/>
          <w:rtl/>
        </w:rPr>
        <w:t>بفضل</w:t>
      </w:r>
      <w:r w:rsidR="00DF5367" w:rsidRPr="00DF5367">
        <w:rPr>
          <w:rtl/>
        </w:rPr>
        <w:t xml:space="preserve"> أنشطة ا</w:t>
      </w:r>
      <w:r w:rsidR="00B514F5">
        <w:rPr>
          <w:rFonts w:hint="cs"/>
          <w:rtl/>
        </w:rPr>
        <w:t>لوحد</w:t>
      </w:r>
      <w:r w:rsidR="00DF5367" w:rsidRPr="00DF5367">
        <w:rPr>
          <w:rtl/>
        </w:rPr>
        <w:t xml:space="preserve">ة التقنية </w:t>
      </w:r>
      <w:r w:rsidR="00B514F5">
        <w:rPr>
          <w:rFonts w:hint="cs"/>
          <w:rtl/>
        </w:rPr>
        <w:t>لتشجيع الالتحاق بالمدارس</w:t>
      </w:r>
      <w:r w:rsidR="00DF5367" w:rsidRPr="00DF5367">
        <w:rPr>
          <w:rtl/>
        </w:rPr>
        <w:t xml:space="preserve"> التي يشير إليها التقرير (الصفحة 25، الفقرة 2-1)، و</w:t>
      </w:r>
      <w:r w:rsidR="00B514F5">
        <w:rPr>
          <w:rFonts w:hint="cs"/>
          <w:rtl/>
        </w:rPr>
        <w:t xml:space="preserve">يرجى </w:t>
      </w:r>
      <w:r w:rsidR="00DF5367" w:rsidRPr="00DF5367">
        <w:rPr>
          <w:rtl/>
        </w:rPr>
        <w:t xml:space="preserve">الإشارة إلى </w:t>
      </w:r>
      <w:r w:rsidR="00B514F5">
        <w:rPr>
          <w:rFonts w:hint="cs"/>
          <w:rtl/>
        </w:rPr>
        <w:t>ما إذا تم اتخاذ</w:t>
      </w:r>
      <w:r w:rsidR="00DF5367" w:rsidRPr="00DF5367">
        <w:rPr>
          <w:rtl/>
        </w:rPr>
        <w:t xml:space="preserve"> أي خطوات شاملة </w:t>
      </w:r>
      <w:r w:rsidR="00B514F5">
        <w:rPr>
          <w:rFonts w:hint="cs"/>
          <w:rtl/>
        </w:rPr>
        <w:t xml:space="preserve">أخرى </w:t>
      </w:r>
      <w:r w:rsidR="00DF5367" w:rsidRPr="00DF5367">
        <w:rPr>
          <w:rtl/>
        </w:rPr>
        <w:t>لمكافحة القوالب النمطية القائمة على</w:t>
      </w:r>
      <w:r w:rsidR="00B514F5">
        <w:rPr>
          <w:rFonts w:hint="cs"/>
          <w:rtl/>
        </w:rPr>
        <w:t xml:space="preserve"> نوع</w:t>
      </w:r>
      <w:r w:rsidR="00DF5367" w:rsidRPr="00DF5367">
        <w:rPr>
          <w:rtl/>
        </w:rPr>
        <w:t xml:space="preserve"> الجنس في النظام التعليمي، سواء في المدارس العامة أو الخاصة.</w:t>
      </w:r>
      <w:r w:rsidR="00DF5367" w:rsidRPr="00DF5367">
        <w:rPr>
          <w:lang w:val="en-GB"/>
        </w:rPr>
        <w:t xml:space="preserve"> </w:t>
      </w:r>
      <w:r w:rsidR="00B514F5">
        <w:rPr>
          <w:rFonts w:hint="cs"/>
          <w:rtl/>
        </w:rPr>
        <w:t>و</w:t>
      </w:r>
      <w:r w:rsidR="00DF5367" w:rsidRPr="00DF5367">
        <w:rPr>
          <w:rtl/>
        </w:rPr>
        <w:t>يرجى تقديم معلومات إضافية عن التدابير الخاصة التي اتخذتها الحكومة لإبقاء الفتيات في المدارس، ولضمان وصولهن إلى جميع مستويات التعليم.</w:t>
      </w:r>
    </w:p>
    <w:p w:rsidR="00B514F5" w:rsidRPr="00B514F5" w:rsidRDefault="00B514F5" w:rsidP="00B514F5">
      <w:pPr>
        <w:pStyle w:val="SingleTxt"/>
        <w:spacing w:after="0" w:line="120" w:lineRule="exact"/>
        <w:rPr>
          <w:sz w:val="12"/>
          <w:rtl/>
        </w:rPr>
      </w:pPr>
    </w:p>
    <w:p w:rsidR="00DF5367" w:rsidRPr="00DF5367" w:rsidRDefault="00DF5367" w:rsidP="00FA60E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المادة 11</w:t>
      </w:r>
    </w:p>
    <w:p w:rsidR="00DF5367" w:rsidRDefault="00B514F5" w:rsidP="00B514F5">
      <w:pPr>
        <w:pStyle w:val="SingleTxt"/>
        <w:rPr>
          <w:rFonts w:hint="cs"/>
          <w:rtl/>
        </w:rPr>
      </w:pPr>
      <w:r>
        <w:rPr>
          <w:rFonts w:hint="cs"/>
          <w:rtl/>
        </w:rPr>
        <w:t>22 -</w:t>
      </w:r>
      <w:r>
        <w:rPr>
          <w:rFonts w:hint="cs"/>
          <w:rtl/>
        </w:rPr>
        <w:tab/>
      </w:r>
      <w:r w:rsidR="00DF5367" w:rsidRPr="00DF5367">
        <w:rPr>
          <w:rtl/>
        </w:rPr>
        <w:t xml:space="preserve">يرجى تقديم معلومات إحصائية حديثة موزعة بحسب الجنس وتبين الاتجاهات مع مرور الزمن، </w:t>
      </w:r>
      <w:r>
        <w:rPr>
          <w:rFonts w:hint="cs"/>
          <w:rtl/>
        </w:rPr>
        <w:t>وت</w:t>
      </w:r>
      <w:r w:rsidR="00DF5367" w:rsidRPr="00DF5367">
        <w:rPr>
          <w:rtl/>
        </w:rPr>
        <w:t>شير إلى نسبة المشاركة العامة للمرأة في القوة العاملة بحسب الوظيفة وفي قطاعي التوظيف العام والخاص.</w:t>
      </w:r>
    </w:p>
    <w:p w:rsidR="00DF5367" w:rsidRDefault="00B514F5" w:rsidP="00B514F5">
      <w:pPr>
        <w:pStyle w:val="SingleTxt"/>
        <w:rPr>
          <w:rFonts w:hint="cs"/>
          <w:rtl/>
        </w:rPr>
      </w:pPr>
      <w:r>
        <w:rPr>
          <w:rFonts w:hint="cs"/>
          <w:rtl/>
        </w:rPr>
        <w:t>23 -</w:t>
      </w:r>
      <w:r>
        <w:rPr>
          <w:rFonts w:hint="cs"/>
          <w:rtl/>
        </w:rPr>
        <w:tab/>
      </w:r>
      <w:r w:rsidR="00DF5367" w:rsidRPr="00DF5367">
        <w:rPr>
          <w:rtl/>
        </w:rPr>
        <w:t xml:space="preserve">يرجى تقديم معلومات عن مشاركة </w:t>
      </w:r>
      <w:r>
        <w:rPr>
          <w:rFonts w:hint="cs"/>
          <w:rtl/>
        </w:rPr>
        <w:t>المرأة</w:t>
      </w:r>
      <w:r w:rsidR="00DF5367" w:rsidRPr="00DF5367">
        <w:rPr>
          <w:rtl/>
        </w:rPr>
        <w:t xml:space="preserve"> في القطاع غير الرسمي، بما في ذلك عدد النساء العاملات في نطاق الاقتصاد غير الرسمي مقارنة بالنساء المستخدمات في نطاق الاقتصاد الرسمي.</w:t>
      </w:r>
    </w:p>
    <w:p w:rsidR="00DF5367" w:rsidRPr="00DF5367" w:rsidRDefault="00B514F5" w:rsidP="00B514F5">
      <w:pPr>
        <w:pStyle w:val="SingleTxt"/>
        <w:rPr>
          <w:rtl/>
        </w:rPr>
      </w:pPr>
      <w:r>
        <w:rPr>
          <w:rFonts w:hint="cs"/>
          <w:rtl/>
        </w:rPr>
        <w:t>24 -</w:t>
      </w:r>
      <w:r>
        <w:rPr>
          <w:rFonts w:hint="cs"/>
          <w:rtl/>
        </w:rPr>
        <w:tab/>
      </w:r>
      <w:r w:rsidR="00DF5367" w:rsidRPr="00DF5367">
        <w:rPr>
          <w:rtl/>
        </w:rPr>
        <w:t xml:space="preserve">يرجى الإشارة إلى الكيفية التي يدمج بها البعد الجنساني </w:t>
      </w:r>
      <w:r>
        <w:rPr>
          <w:rFonts w:hint="cs"/>
          <w:rtl/>
        </w:rPr>
        <w:t>في</w:t>
      </w:r>
      <w:r w:rsidR="00DF5367" w:rsidRPr="00DF5367">
        <w:rPr>
          <w:rtl/>
        </w:rPr>
        <w:t xml:space="preserve"> الخطط الإنمائية الوطنية أو استراتيجيات الحد من الفقر </w:t>
      </w:r>
      <w:r>
        <w:rPr>
          <w:rFonts w:hint="cs"/>
          <w:rtl/>
        </w:rPr>
        <w:t>المتبعة في</w:t>
      </w:r>
      <w:r w:rsidR="00DF5367" w:rsidRPr="00DF5367">
        <w:rPr>
          <w:rtl/>
        </w:rPr>
        <w:t xml:space="preserve"> النيجر، بما فيها تلك الرامية إلى إنجاز الأهداف الإنمائية للألفية، وكيف تسهم في تنفيذ اتفاقية القضاء على جميع أشكال التمييز ضد المرأة.</w:t>
      </w:r>
    </w:p>
    <w:p w:rsidR="00B514F5" w:rsidRPr="00B514F5" w:rsidRDefault="00B514F5" w:rsidP="00B514F5">
      <w:pPr>
        <w:pStyle w:val="SingleTxt"/>
        <w:spacing w:after="0" w:line="120" w:lineRule="exact"/>
        <w:rPr>
          <w:sz w:val="12"/>
          <w:rtl/>
        </w:rPr>
      </w:pPr>
    </w:p>
    <w:p w:rsidR="00DF5367" w:rsidRPr="00DF5367" w:rsidRDefault="00DF5367" w:rsidP="00FA60E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المادة 12</w:t>
      </w:r>
    </w:p>
    <w:p w:rsidR="00DF5367" w:rsidRDefault="00B514F5" w:rsidP="00B514F5">
      <w:pPr>
        <w:pStyle w:val="SingleTxt"/>
        <w:rPr>
          <w:rFonts w:hint="cs"/>
          <w:rtl/>
        </w:rPr>
      </w:pPr>
      <w:r>
        <w:rPr>
          <w:rFonts w:hint="cs"/>
          <w:rtl/>
        </w:rPr>
        <w:t>25 -</w:t>
      </w:r>
      <w:r>
        <w:rPr>
          <w:rFonts w:hint="cs"/>
          <w:rtl/>
        </w:rPr>
        <w:tab/>
      </w:r>
      <w:r w:rsidR="00DF5367" w:rsidRPr="00DF5367">
        <w:rPr>
          <w:rtl/>
        </w:rPr>
        <w:t>أعرب المقرر الخاص المعني بالعنف ضد المر</w:t>
      </w:r>
      <w:r>
        <w:rPr>
          <w:rFonts w:hint="cs"/>
          <w:rtl/>
        </w:rPr>
        <w:t>أ</w:t>
      </w:r>
      <w:r w:rsidR="00DF5367" w:rsidRPr="00DF5367">
        <w:rPr>
          <w:rtl/>
        </w:rPr>
        <w:t>ة وأسبابه ونتائجه عن قلقه إزاء ممارسة العديد من المجموعات الإثنية الموجودة في محافظة تيللابيري الغربية ومحافظة ديفا الشرقية تشويه الأعضاء التناسلية للإناث (</w:t>
      </w:r>
      <w:r w:rsidR="00DF5367" w:rsidRPr="00DF5367">
        <w:t>E/CN.4/2003/75/Add.1</w:t>
      </w:r>
      <w:r w:rsidR="00DF5367" w:rsidRPr="00DF5367">
        <w:rPr>
          <w:rtl/>
        </w:rPr>
        <w:t>، الفقرة 446) رغم اعتبار هذه الممارسة مخالفة للقانون منذ عام 2001.</w:t>
      </w:r>
      <w:r w:rsidR="00DF5367" w:rsidRPr="00DF5367">
        <w:rPr>
          <w:lang w:val="en-GB"/>
        </w:rPr>
        <w:t xml:space="preserve"> </w:t>
      </w:r>
      <w:r w:rsidR="00DF5367" w:rsidRPr="00DF5367">
        <w:rPr>
          <w:rtl/>
        </w:rPr>
        <w:t>يرجى الإشارة إلى التدابير التي اتخذت لإيجاد حل لهذه المشاكل، بما في ذلك حملات التوعية الموجهة إلى الممارسين والجمهور العريض لمكافحة الممارسات التقليدية الضارة والقضاء عليها.</w:t>
      </w:r>
      <w:r w:rsidR="00DF5367" w:rsidRPr="00DF5367">
        <w:rPr>
          <w:lang w:val="en-GB"/>
        </w:rPr>
        <w:t xml:space="preserve"> </w:t>
      </w:r>
      <w:r>
        <w:rPr>
          <w:rFonts w:hint="cs"/>
          <w:rtl/>
        </w:rPr>
        <w:t>و</w:t>
      </w:r>
      <w:r w:rsidR="00DF5367" w:rsidRPr="00DF5367">
        <w:rPr>
          <w:rtl/>
        </w:rPr>
        <w:t>يرجى تقديم تفاصيل إضافية عن تنفيذ التشريعات التي تحظر تشويه الأعضاء التناسلية للإناث وبيانات عن عدد الملاحقات</w:t>
      </w:r>
      <w:r>
        <w:rPr>
          <w:rFonts w:hint="cs"/>
          <w:rtl/>
        </w:rPr>
        <w:t xml:space="preserve"> القضائية</w:t>
      </w:r>
      <w:r w:rsidR="00DF5367" w:rsidRPr="00DF5367">
        <w:rPr>
          <w:rtl/>
        </w:rPr>
        <w:t xml:space="preserve"> فيما يتعلق بهذه الممارسات وما هي النتائج التي أسفرت عنها من حيث الإدانات والعقوبات المطبقة</w:t>
      </w:r>
      <w:r>
        <w:rPr>
          <w:rFonts w:hint="cs"/>
          <w:rtl/>
        </w:rPr>
        <w:t>.</w:t>
      </w:r>
    </w:p>
    <w:p w:rsidR="00DF5367" w:rsidRDefault="00B514F5" w:rsidP="00B514F5">
      <w:pPr>
        <w:pStyle w:val="SingleTxt"/>
        <w:rPr>
          <w:rFonts w:hint="cs"/>
          <w:rtl/>
        </w:rPr>
      </w:pPr>
      <w:r>
        <w:rPr>
          <w:rFonts w:hint="cs"/>
          <w:rtl/>
        </w:rPr>
        <w:t>26 -</w:t>
      </w:r>
      <w:r>
        <w:rPr>
          <w:rFonts w:hint="cs"/>
          <w:rtl/>
        </w:rPr>
        <w:tab/>
      </w:r>
      <w:r w:rsidR="00DF5367" w:rsidRPr="00DF5367">
        <w:rPr>
          <w:rtl/>
        </w:rPr>
        <w:t>يرجى تقديم معلومات عن عدد النساء المصابات حاليا بفيروس نقص المناعة البشرية/متلازمة نقص المناعة المكتسب</w:t>
      </w:r>
      <w:r>
        <w:rPr>
          <w:rFonts w:hint="cs"/>
          <w:rtl/>
        </w:rPr>
        <w:t xml:space="preserve"> (الإيدز)</w:t>
      </w:r>
      <w:r w:rsidR="00DF5367" w:rsidRPr="00DF5367">
        <w:rPr>
          <w:rtl/>
        </w:rPr>
        <w:t xml:space="preserve"> وتوافر الأدوية المضادة </w:t>
      </w:r>
      <w:r>
        <w:rPr>
          <w:rFonts w:hint="cs"/>
          <w:rtl/>
        </w:rPr>
        <w:t>ل</w:t>
      </w:r>
      <w:r w:rsidR="00DF5367" w:rsidRPr="00DF5367">
        <w:rPr>
          <w:rtl/>
        </w:rPr>
        <w:t xml:space="preserve">لفيروسات </w:t>
      </w:r>
      <w:r>
        <w:rPr>
          <w:rFonts w:hint="cs"/>
          <w:rtl/>
        </w:rPr>
        <w:t>الرجعية</w:t>
      </w:r>
      <w:r w:rsidR="00DF5367" w:rsidRPr="00DF5367">
        <w:rPr>
          <w:rtl/>
        </w:rPr>
        <w:t xml:space="preserve"> وخدمات الرعاية الاجتماعية والنفسية للنساء المصابات بفيروس نقص المناعة البشرية/الإيدز وأطفالهن.</w:t>
      </w:r>
      <w:r w:rsidR="00DF5367" w:rsidRPr="00DF5367">
        <w:rPr>
          <w:lang w:val="en-GB"/>
        </w:rPr>
        <w:t xml:space="preserve"> </w:t>
      </w:r>
      <w:r w:rsidR="00DF5367" w:rsidRPr="00DF5367">
        <w:rPr>
          <w:rtl/>
        </w:rPr>
        <w:t>يرجى الإشارة إلى أي برامج لمكافحة فيروس نقص المناعة البشرية/الإيدز تتضمن منظورا جنسانيا.</w:t>
      </w:r>
    </w:p>
    <w:p w:rsidR="00DF5367" w:rsidRDefault="00B514F5" w:rsidP="00B514F5">
      <w:pPr>
        <w:pStyle w:val="SingleTxt"/>
        <w:rPr>
          <w:rFonts w:hint="cs"/>
          <w:rtl/>
        </w:rPr>
      </w:pPr>
      <w:r>
        <w:rPr>
          <w:rFonts w:hint="cs"/>
          <w:rtl/>
        </w:rPr>
        <w:t>27 -</w:t>
      </w:r>
      <w:r>
        <w:rPr>
          <w:rFonts w:hint="cs"/>
          <w:rtl/>
        </w:rPr>
        <w:tab/>
      </w:r>
      <w:r w:rsidR="00DF5367" w:rsidRPr="00DF5367">
        <w:rPr>
          <w:rtl/>
        </w:rPr>
        <w:t>يشير التقرير إلى أن الحالة الصحية للنساء سيئة نتيجة لعدد من العوامل مترابطة فيما</w:t>
      </w:r>
      <w:r>
        <w:rPr>
          <w:rFonts w:hint="cs"/>
          <w:rtl/>
        </w:rPr>
        <w:t> </w:t>
      </w:r>
      <w:r w:rsidR="00DF5367" w:rsidRPr="00DF5367">
        <w:rPr>
          <w:rtl/>
        </w:rPr>
        <w:t>بينها، كالولادات المتعاقبة والأطعمة المحرمة والممارسات التقليدية الضارة، والأعباء المنزلية والزراعية الثقيلة التي تؤثر سلبا على قدرتهن على العمل وتضعف حالتهن الصحية (</w:t>
      </w:r>
      <w:r>
        <w:rPr>
          <w:rFonts w:hint="cs"/>
          <w:rtl/>
        </w:rPr>
        <w:t>ا</w:t>
      </w:r>
      <w:r w:rsidR="00DF5367" w:rsidRPr="00DF5367">
        <w:rPr>
          <w:rtl/>
        </w:rPr>
        <w:t>نظر الصفحة 51، الفقرة 10-1).</w:t>
      </w:r>
      <w:r w:rsidR="00DF5367" w:rsidRPr="00DF5367">
        <w:rPr>
          <w:lang w:val="en-GB"/>
        </w:rPr>
        <w:t xml:space="preserve"> </w:t>
      </w:r>
      <w:r w:rsidR="00DF5367" w:rsidRPr="00DF5367">
        <w:rPr>
          <w:rtl/>
        </w:rPr>
        <w:t>يشير التقرير إلى خطة التنمية الصحية لعام 1994 التي ترمي إلى النهوض بصحة الأم والطفل وتنظيم الأسرة من أجل خفض معدل الوفيات النفاسية ووفيات الرضع وصغار الأطفال، والتشجيع على الأخذ بأنماط غذاء صحية وتغذية جيدة.</w:t>
      </w:r>
      <w:r w:rsidR="00DF5367" w:rsidRPr="00DF5367">
        <w:rPr>
          <w:lang w:val="en-GB"/>
        </w:rPr>
        <w:t xml:space="preserve"> </w:t>
      </w:r>
      <w:r w:rsidR="00DF5367" w:rsidRPr="00DF5367">
        <w:rPr>
          <w:rtl/>
        </w:rPr>
        <w:t>يرجى تقديم وصف للأنشطة التي تم القيام بها والرامية تحديدا إلى تنفيذ هذه السياسة، وكذلك أي نتائج تم تحقيقها حتى هذا اليوم.</w:t>
      </w:r>
      <w:r w:rsidR="00DF5367" w:rsidRPr="00DF5367">
        <w:rPr>
          <w:lang w:val="en-GB"/>
        </w:rPr>
        <w:t xml:space="preserve"> </w:t>
      </w:r>
      <w:r w:rsidR="00DF5367" w:rsidRPr="00DF5367">
        <w:rPr>
          <w:rtl/>
        </w:rPr>
        <w:t xml:space="preserve">وينبغي أن تتضمن الإجابة أيضا معلومات عن نسب الوفيات النفاسية ووفيات الرضع واعتلالهم، بما في ذلك الاتجاهات </w:t>
      </w:r>
      <w:r>
        <w:rPr>
          <w:rFonts w:hint="cs"/>
          <w:rtl/>
        </w:rPr>
        <w:t>مع مرور الوقت</w:t>
      </w:r>
      <w:r w:rsidR="00DF5367" w:rsidRPr="00DF5367">
        <w:rPr>
          <w:rtl/>
        </w:rPr>
        <w:t xml:space="preserve"> والاختلافات بين المحيطين الحضري والريفي.</w:t>
      </w:r>
    </w:p>
    <w:p w:rsidR="00DF5367" w:rsidRPr="00DF5367" w:rsidRDefault="00B514F5" w:rsidP="00FA60EB">
      <w:pPr>
        <w:pStyle w:val="SingleTxt"/>
        <w:rPr>
          <w:rtl/>
        </w:rPr>
      </w:pPr>
      <w:r>
        <w:rPr>
          <w:rFonts w:hint="cs"/>
          <w:rtl/>
        </w:rPr>
        <w:t>28 -</w:t>
      </w:r>
      <w:r>
        <w:rPr>
          <w:rFonts w:hint="cs"/>
          <w:rtl/>
        </w:rPr>
        <w:tab/>
      </w:r>
      <w:r w:rsidR="00DF5367" w:rsidRPr="00DF5367">
        <w:rPr>
          <w:rtl/>
        </w:rPr>
        <w:t xml:space="preserve">يرجى تقديم معلومات أكثر تفصيلا عن وصول النساء إلى الخدمات الصحية الإنجابية والجنسية المعقولة الثمن والبرامج التربوية، بما في ذلك محتواها الفني وتوافرها </w:t>
      </w:r>
      <w:r>
        <w:rPr>
          <w:rFonts w:hint="cs"/>
          <w:rtl/>
        </w:rPr>
        <w:t>لفئات</w:t>
      </w:r>
      <w:r w:rsidR="00DF5367" w:rsidRPr="00DF5367">
        <w:rPr>
          <w:rtl/>
        </w:rPr>
        <w:t xml:space="preserve"> معينة، كالمراهقين والنساء الريفيات.</w:t>
      </w:r>
    </w:p>
    <w:p w:rsidR="00B514F5" w:rsidRPr="00B514F5" w:rsidRDefault="00B514F5" w:rsidP="00B514F5">
      <w:pPr>
        <w:pStyle w:val="SingleTxt"/>
        <w:spacing w:after="0" w:line="120" w:lineRule="exact"/>
        <w:rPr>
          <w:sz w:val="12"/>
          <w:rtl/>
        </w:rPr>
      </w:pPr>
    </w:p>
    <w:p w:rsidR="00DF5367" w:rsidRPr="00DF5367" w:rsidRDefault="00DF5367" w:rsidP="009E29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المادة 13</w:t>
      </w:r>
    </w:p>
    <w:p w:rsidR="00DF5367" w:rsidRPr="00DF5367" w:rsidRDefault="00B514F5" w:rsidP="009E29F0">
      <w:pPr>
        <w:pStyle w:val="SingleTxt"/>
        <w:rPr>
          <w:rtl/>
        </w:rPr>
      </w:pPr>
      <w:r>
        <w:rPr>
          <w:rFonts w:hint="cs"/>
          <w:rtl/>
        </w:rPr>
        <w:t>29 -</w:t>
      </w:r>
      <w:r>
        <w:rPr>
          <w:rFonts w:hint="cs"/>
          <w:rtl/>
        </w:rPr>
        <w:tab/>
      </w:r>
      <w:r w:rsidR="00DF5367" w:rsidRPr="00DF5367">
        <w:rPr>
          <w:rtl/>
        </w:rPr>
        <w:t>يرجى تقديم عرض مفصل عن أثر التدابير المتخذة لمساعدة النساء صاحبات الأعمال المشار إليه</w:t>
      </w:r>
      <w:r w:rsidR="009E29F0">
        <w:rPr>
          <w:rFonts w:hint="cs"/>
          <w:rtl/>
        </w:rPr>
        <w:t>ن</w:t>
      </w:r>
      <w:r w:rsidR="00DF5367" w:rsidRPr="00DF5367">
        <w:rPr>
          <w:rtl/>
        </w:rPr>
        <w:t xml:space="preserve"> في التقرير (الصفحة 54، الفقرة 11-1-2).</w:t>
      </w:r>
    </w:p>
    <w:p w:rsidR="00B514F5" w:rsidRPr="00B514F5" w:rsidRDefault="00B514F5" w:rsidP="00B514F5">
      <w:pPr>
        <w:pStyle w:val="SingleTxt"/>
        <w:spacing w:after="0" w:line="120" w:lineRule="exact"/>
        <w:rPr>
          <w:rFonts w:hint="cs"/>
          <w:sz w:val="12"/>
          <w:rtl/>
        </w:rPr>
      </w:pPr>
    </w:p>
    <w:p w:rsidR="00DF5367" w:rsidRPr="00DF5367" w:rsidRDefault="00DF5367" w:rsidP="009E29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المادة 14</w:t>
      </w:r>
    </w:p>
    <w:p w:rsidR="00DF5367" w:rsidRPr="00DF5367" w:rsidRDefault="00B514F5" w:rsidP="00B514F5">
      <w:pPr>
        <w:pStyle w:val="SingleTxt"/>
        <w:rPr>
          <w:rtl/>
        </w:rPr>
      </w:pPr>
      <w:r>
        <w:rPr>
          <w:rFonts w:hint="cs"/>
          <w:rtl/>
        </w:rPr>
        <w:t>30 -</w:t>
      </w:r>
      <w:r>
        <w:rPr>
          <w:rFonts w:hint="cs"/>
          <w:rtl/>
        </w:rPr>
        <w:tab/>
      </w:r>
      <w:r w:rsidR="00DF5367" w:rsidRPr="00DF5367">
        <w:rPr>
          <w:rtl/>
        </w:rPr>
        <w:t xml:space="preserve">يرجى تقديم عرض عن أثر جميع التدابير التي تتخذها الحكومة لتحسين </w:t>
      </w:r>
      <w:r>
        <w:rPr>
          <w:rFonts w:hint="cs"/>
          <w:rtl/>
        </w:rPr>
        <w:t>حالة</w:t>
      </w:r>
      <w:r w:rsidR="00DF5367" w:rsidRPr="00DF5367">
        <w:rPr>
          <w:rtl/>
        </w:rPr>
        <w:t xml:space="preserve"> النساء الريفيات، بما في ذلك حصولهن على الرعاية الصحية والماء والأرض والضمان الاجتماعي، ومشاركتهن في عملية اتخاذ القرار على جميع المستويات.</w:t>
      </w:r>
      <w:r w:rsidR="00DF5367" w:rsidRPr="00DF5367">
        <w:rPr>
          <w:lang w:val="en-GB"/>
        </w:rPr>
        <w:t xml:space="preserve"> </w:t>
      </w:r>
      <w:r>
        <w:rPr>
          <w:rFonts w:hint="cs"/>
          <w:rtl/>
        </w:rPr>
        <w:t>و</w:t>
      </w:r>
      <w:r w:rsidR="00DF5367" w:rsidRPr="00DF5367">
        <w:rPr>
          <w:rtl/>
        </w:rPr>
        <w:t>يرجى الإشارة إلى ما بذل من جهود للارتقاء بتوعية المرأة وتمكينها من المطالبة بحقوقها، كالحق في الملكية والميراث.</w:t>
      </w:r>
    </w:p>
    <w:p w:rsidR="00B514F5" w:rsidRPr="00B514F5" w:rsidRDefault="00B514F5" w:rsidP="00B514F5">
      <w:pPr>
        <w:pStyle w:val="SingleTxt"/>
        <w:spacing w:after="0" w:line="120" w:lineRule="exact"/>
        <w:rPr>
          <w:sz w:val="12"/>
          <w:rtl/>
        </w:rPr>
      </w:pPr>
    </w:p>
    <w:p w:rsidR="00DF5367" w:rsidRDefault="00DF5367" w:rsidP="009E29F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DF5367">
        <w:rPr>
          <w:lang w:val="en-GB"/>
        </w:rPr>
        <w:tab/>
      </w:r>
      <w:r w:rsidRPr="00DF5367">
        <w:rPr>
          <w:lang w:val="en-GB"/>
        </w:rPr>
        <w:tab/>
      </w:r>
      <w:r w:rsidRPr="00DF5367">
        <w:rPr>
          <w:rtl/>
        </w:rPr>
        <w:t>المادة 15</w:t>
      </w:r>
    </w:p>
    <w:p w:rsidR="00DF5367" w:rsidRPr="00DF5367" w:rsidRDefault="00B514F5" w:rsidP="00657213">
      <w:pPr>
        <w:pStyle w:val="SingleTxt"/>
        <w:rPr>
          <w:rtl/>
        </w:rPr>
      </w:pPr>
      <w:r>
        <w:rPr>
          <w:rFonts w:hint="cs"/>
          <w:rtl/>
        </w:rPr>
        <w:t>31 -</w:t>
      </w:r>
      <w:r>
        <w:rPr>
          <w:rFonts w:hint="cs"/>
          <w:rtl/>
        </w:rPr>
        <w:tab/>
      </w:r>
      <w:r w:rsidR="00DF5367" w:rsidRPr="00DF5367">
        <w:rPr>
          <w:rtl/>
        </w:rPr>
        <w:t>ينص قانون التجارة الجديد على أنه ’’يجوز للمرأة المتزوجة ممارسة التجارة دون إذن زوجها‘‘.(الصفحة 53، الفقرة 11-1-1).</w:t>
      </w:r>
      <w:r w:rsidR="00657213">
        <w:rPr>
          <w:rFonts w:hint="cs"/>
          <w:rtl/>
        </w:rPr>
        <w:t xml:space="preserve"> لكن ”</w:t>
      </w:r>
      <w:r w:rsidR="00DF5367" w:rsidRPr="00DF5367">
        <w:rPr>
          <w:rtl/>
        </w:rPr>
        <w:t>القانون</w:t>
      </w:r>
      <w:r w:rsidR="009E29F0">
        <w:rPr>
          <w:rFonts w:hint="cs"/>
          <w:rtl/>
        </w:rPr>
        <w:t xml:space="preserve"> رقم</w:t>
      </w:r>
      <w:r w:rsidR="00DF5367" w:rsidRPr="00DF5367">
        <w:rPr>
          <w:rtl/>
        </w:rPr>
        <w:t xml:space="preserve"> 62-11 المؤرخ 16 آذار/مارس 1962</w:t>
      </w:r>
      <w:r w:rsidR="00657213">
        <w:rPr>
          <w:rFonts w:hint="cs"/>
          <w:rtl/>
        </w:rPr>
        <w:t>،</w:t>
      </w:r>
      <w:r w:rsidR="00DF5367" w:rsidRPr="00DF5367">
        <w:rPr>
          <w:rtl/>
        </w:rPr>
        <w:t xml:space="preserve"> الذي ينظم الاختصاصات القضائية في النيجر</w:t>
      </w:r>
      <w:r w:rsidR="00DF5367" w:rsidRPr="00DF5367">
        <w:t xml:space="preserve"> </w:t>
      </w:r>
      <w:r w:rsidR="00DF5367" w:rsidRPr="00DF5367">
        <w:rPr>
          <w:rtl/>
        </w:rPr>
        <w:t xml:space="preserve">قلص نطاق تطبيق القانون المدني إلى حد كبير </w:t>
      </w:r>
      <w:r w:rsidR="00657213">
        <w:rPr>
          <w:rFonts w:hint="cs"/>
          <w:rtl/>
        </w:rPr>
        <w:t>بأن أعطى الأولوية</w:t>
      </w:r>
      <w:r w:rsidR="00DF5367" w:rsidRPr="00DF5367">
        <w:rPr>
          <w:rtl/>
        </w:rPr>
        <w:t xml:space="preserve"> للقانون</w:t>
      </w:r>
      <w:r w:rsidR="00DF5367" w:rsidRPr="00DF5367">
        <w:t xml:space="preserve"> </w:t>
      </w:r>
      <w:r w:rsidR="00DF5367" w:rsidRPr="00DF5367">
        <w:rPr>
          <w:rtl/>
        </w:rPr>
        <w:t>العرفي</w:t>
      </w:r>
      <w:r w:rsidR="00657213">
        <w:rPr>
          <w:rFonts w:hint="cs"/>
          <w:rtl/>
        </w:rPr>
        <w:t xml:space="preserve"> في معظم المسائل،</w:t>
      </w:r>
      <w:r w:rsidR="00DF5367" w:rsidRPr="00DF5367">
        <w:rPr>
          <w:rtl/>
        </w:rPr>
        <w:t xml:space="preserve"> كالقدرة على التعاقد والتقاضي</w:t>
      </w:r>
      <w:r w:rsidR="00657213">
        <w:rPr>
          <w:rFonts w:hint="cs"/>
          <w:rtl/>
        </w:rPr>
        <w:t>“</w:t>
      </w:r>
      <w:r w:rsidR="00DF5367" w:rsidRPr="00DF5367">
        <w:rPr>
          <w:rtl/>
        </w:rPr>
        <w:t xml:space="preserve"> (الصفحة 19، الفقرة 1-1-2)</w:t>
      </w:r>
      <w:r w:rsidR="00657213">
        <w:rPr>
          <w:rFonts w:hint="cs"/>
          <w:rtl/>
        </w:rPr>
        <w:t>.</w:t>
      </w:r>
      <w:r w:rsidR="00DF5367" w:rsidRPr="00DF5367">
        <w:rPr>
          <w:lang w:val="en-GB"/>
        </w:rPr>
        <w:t xml:space="preserve"> </w:t>
      </w:r>
      <w:r w:rsidR="00DF5367" w:rsidRPr="00DF5367">
        <w:rPr>
          <w:rtl/>
        </w:rPr>
        <w:t>يرجى الإشارة إلى أي من النصين يطبق عندما تريد المرأة المتزوجة ممارسة التجارة.</w:t>
      </w:r>
      <w:r w:rsidR="00DF5367" w:rsidRPr="00DF5367">
        <w:rPr>
          <w:lang w:val="en-GB"/>
        </w:rPr>
        <w:t xml:space="preserve"> </w:t>
      </w:r>
      <w:r w:rsidR="00DF5367" w:rsidRPr="00DF5367">
        <w:rPr>
          <w:rtl/>
        </w:rPr>
        <w:t xml:space="preserve">يشير التقرير أيضا إلى أن </w:t>
      </w:r>
      <w:r w:rsidR="00657213">
        <w:rPr>
          <w:rFonts w:hint="cs"/>
          <w:rtl/>
        </w:rPr>
        <w:t>”</w:t>
      </w:r>
      <w:r w:rsidR="00DF5367" w:rsidRPr="00DF5367">
        <w:rPr>
          <w:rtl/>
        </w:rPr>
        <w:t xml:space="preserve">هذا القانون العتيق وغير </w:t>
      </w:r>
      <w:r w:rsidR="00657213">
        <w:rPr>
          <w:rFonts w:hint="cs"/>
          <w:rtl/>
        </w:rPr>
        <w:t>الملائم</w:t>
      </w:r>
      <w:r w:rsidR="00DF5367" w:rsidRPr="00DF5367">
        <w:rPr>
          <w:rtl/>
        </w:rPr>
        <w:t xml:space="preserve"> مخالف للدستور وباطل</w:t>
      </w:r>
      <w:r w:rsidR="00657213">
        <w:rPr>
          <w:rFonts w:hint="cs"/>
          <w:rtl/>
        </w:rPr>
        <w:t>“</w:t>
      </w:r>
      <w:r w:rsidR="00DF5367" w:rsidRPr="00DF5367">
        <w:rPr>
          <w:rtl/>
        </w:rPr>
        <w:t>، وفقا للمادة 130 من دستور النيجر (الصفحة 63، الفقرة 14-1-1).</w:t>
      </w:r>
      <w:r w:rsidR="00DF5367" w:rsidRPr="00DF5367">
        <w:rPr>
          <w:lang w:val="en-GB"/>
        </w:rPr>
        <w:t xml:space="preserve"> </w:t>
      </w:r>
      <w:r w:rsidR="00DF5367" w:rsidRPr="00DF5367">
        <w:rPr>
          <w:rtl/>
        </w:rPr>
        <w:t>فهل اتخذت الحكومة أي خطوات لإلغاء هذا القانون؟</w:t>
      </w:r>
    </w:p>
    <w:p w:rsidR="00657213" w:rsidRPr="00657213" w:rsidRDefault="00657213" w:rsidP="00657213">
      <w:pPr>
        <w:pStyle w:val="SingleTxt"/>
        <w:spacing w:after="0" w:line="120" w:lineRule="exact"/>
        <w:rPr>
          <w:sz w:val="12"/>
          <w:rtl/>
        </w:rPr>
      </w:pPr>
    </w:p>
    <w:p w:rsidR="00DF5367" w:rsidRPr="00DF5367" w:rsidRDefault="00DF5367" w:rsidP="00356F7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F5367">
        <w:rPr>
          <w:lang w:val="en-GB"/>
        </w:rPr>
        <w:tab/>
      </w:r>
      <w:r w:rsidRPr="00DF5367">
        <w:rPr>
          <w:lang w:val="en-GB"/>
        </w:rPr>
        <w:tab/>
      </w:r>
      <w:r w:rsidRPr="00DF5367">
        <w:rPr>
          <w:rtl/>
        </w:rPr>
        <w:t>المادة 16</w:t>
      </w:r>
    </w:p>
    <w:p w:rsidR="00CD3849" w:rsidRDefault="00657213" w:rsidP="00657213">
      <w:pPr>
        <w:pStyle w:val="SingleTxt"/>
        <w:rPr>
          <w:rFonts w:hint="cs"/>
          <w:rtl/>
        </w:rPr>
      </w:pPr>
      <w:r>
        <w:rPr>
          <w:rFonts w:hint="cs"/>
          <w:rtl/>
        </w:rPr>
        <w:t>32 -</w:t>
      </w:r>
      <w:r>
        <w:rPr>
          <w:rFonts w:hint="cs"/>
          <w:rtl/>
        </w:rPr>
        <w:tab/>
      </w:r>
      <w:r w:rsidR="00DF5367" w:rsidRPr="00DF5367">
        <w:rPr>
          <w:rtl/>
        </w:rPr>
        <w:t xml:space="preserve">يشير المقرر الخاص المعني بالعنف ضد المرأة وأسبابه ونتائجه إلى أن </w:t>
      </w:r>
      <w:r>
        <w:rPr>
          <w:rFonts w:hint="cs"/>
          <w:rtl/>
        </w:rPr>
        <w:t>ل</w:t>
      </w:r>
      <w:r w:rsidR="00DF5367" w:rsidRPr="00DF5367">
        <w:rPr>
          <w:rtl/>
        </w:rPr>
        <w:t>لنيجر أعلى نسبة للزواج المبكر في أفريقيا جنوب الصحراء</w:t>
      </w:r>
      <w:r>
        <w:rPr>
          <w:rFonts w:hint="cs"/>
          <w:rtl/>
        </w:rPr>
        <w:t xml:space="preserve"> الكبرى</w:t>
      </w:r>
      <w:r w:rsidR="00DF5367" w:rsidRPr="00DF5367">
        <w:rPr>
          <w:rtl/>
        </w:rPr>
        <w:t xml:space="preserve">، إذ </w:t>
      </w:r>
      <w:r>
        <w:rPr>
          <w:rFonts w:hint="cs"/>
          <w:rtl/>
        </w:rPr>
        <w:t>يتزوج</w:t>
      </w:r>
      <w:r w:rsidR="00DF5367" w:rsidRPr="00DF5367">
        <w:rPr>
          <w:rtl/>
        </w:rPr>
        <w:t xml:space="preserve"> 77 في المائة من النساء في </w:t>
      </w:r>
      <w:r>
        <w:rPr>
          <w:rFonts w:hint="cs"/>
          <w:rtl/>
        </w:rPr>
        <w:t>الفئة</w:t>
      </w:r>
      <w:r w:rsidR="00DF5367" w:rsidRPr="00DF5367">
        <w:rPr>
          <w:rtl/>
        </w:rPr>
        <w:t xml:space="preserve"> العمرية 25-49 عاما قبل بلوغهن</w:t>
      </w:r>
      <w:r w:rsidR="00356F71">
        <w:rPr>
          <w:rFonts w:hint="cs"/>
          <w:rtl/>
        </w:rPr>
        <w:t xml:space="preserve"> سن</w:t>
      </w:r>
      <w:bookmarkStart w:id="1" w:name="TmpSave"/>
      <w:bookmarkEnd w:id="1"/>
      <w:r w:rsidR="00DF5367" w:rsidRPr="00DF5367">
        <w:rPr>
          <w:rtl/>
        </w:rPr>
        <w:t xml:space="preserve"> </w:t>
      </w:r>
      <w:r>
        <w:rPr>
          <w:rFonts w:hint="cs"/>
          <w:rtl/>
        </w:rPr>
        <w:t>الثامنة عشرة</w:t>
      </w:r>
      <w:r w:rsidR="00DF5367" w:rsidRPr="00DF5367">
        <w:rPr>
          <w:rtl/>
        </w:rPr>
        <w:t xml:space="preserve"> (</w:t>
      </w:r>
      <w:r w:rsidR="00DF5367" w:rsidRPr="00DF5367">
        <w:t>E/CN.4/2003/75/Add.1</w:t>
      </w:r>
      <w:r w:rsidR="00DF5367" w:rsidRPr="00DF5367">
        <w:rPr>
          <w:rtl/>
        </w:rPr>
        <w:t>، الفقرة 448).</w:t>
      </w:r>
      <w:r w:rsidR="00DF5367" w:rsidRPr="00DF5367">
        <w:rPr>
          <w:lang w:val="en-GB"/>
        </w:rPr>
        <w:t xml:space="preserve"> </w:t>
      </w:r>
      <w:r>
        <w:rPr>
          <w:rFonts w:hint="cs"/>
          <w:rtl/>
        </w:rPr>
        <w:t>و</w:t>
      </w:r>
      <w:r w:rsidR="00DF5367" w:rsidRPr="00DF5367">
        <w:rPr>
          <w:rtl/>
        </w:rPr>
        <w:t xml:space="preserve">أوصت لجنة حقوق الطفل، في تعليقاتها الختامية بأن </w:t>
      </w:r>
      <w:r>
        <w:rPr>
          <w:rFonts w:hint="cs"/>
          <w:rtl/>
        </w:rPr>
        <w:t>”</w:t>
      </w:r>
      <w:r w:rsidR="00DF5367" w:rsidRPr="00DF5367">
        <w:rPr>
          <w:rtl/>
        </w:rPr>
        <w:t xml:space="preserve">تحدد الدولة الطرف الحد الأدنى نفسه لسن زواج </w:t>
      </w:r>
      <w:r>
        <w:rPr>
          <w:rFonts w:hint="cs"/>
          <w:rtl/>
        </w:rPr>
        <w:t>الفتيات</w:t>
      </w:r>
      <w:r w:rsidR="00DF5367" w:rsidRPr="00DF5367">
        <w:rPr>
          <w:rtl/>
        </w:rPr>
        <w:t xml:space="preserve"> والشبان </w:t>
      </w:r>
      <w:r>
        <w:rPr>
          <w:rFonts w:hint="cs"/>
          <w:rtl/>
        </w:rPr>
        <w:t>ب</w:t>
      </w:r>
      <w:r w:rsidR="00DF5367" w:rsidRPr="00DF5367">
        <w:rPr>
          <w:rtl/>
        </w:rPr>
        <w:t xml:space="preserve">زيادة الحد الأدنى لسن زواج </w:t>
      </w:r>
      <w:r>
        <w:rPr>
          <w:rFonts w:hint="cs"/>
          <w:rtl/>
        </w:rPr>
        <w:t>الفتيات</w:t>
      </w:r>
      <w:r w:rsidR="00DF5367" w:rsidRPr="00DF5367">
        <w:rPr>
          <w:rtl/>
        </w:rPr>
        <w:t>، ووضع برامج توعية للزعماء التقليديين والدينيين والمجتمع عموما، بما ف</w:t>
      </w:r>
      <w:r>
        <w:rPr>
          <w:rFonts w:hint="cs"/>
          <w:rtl/>
        </w:rPr>
        <w:t>ي ذلك</w:t>
      </w:r>
      <w:r w:rsidR="00DF5367" w:rsidRPr="00DF5367">
        <w:rPr>
          <w:rtl/>
        </w:rPr>
        <w:t xml:space="preserve"> الأطفال أنفسهم، </w:t>
      </w:r>
      <w:r>
        <w:rPr>
          <w:rFonts w:hint="cs"/>
          <w:rtl/>
        </w:rPr>
        <w:t>ل</w:t>
      </w:r>
      <w:r w:rsidR="00DF5367" w:rsidRPr="00DF5367">
        <w:rPr>
          <w:rtl/>
        </w:rPr>
        <w:t>وضع حد لعادة الزواج المبكر</w:t>
      </w:r>
      <w:r>
        <w:rPr>
          <w:rFonts w:hint="cs"/>
          <w:rtl/>
        </w:rPr>
        <w:t>“</w:t>
      </w:r>
      <w:r w:rsidR="00DF5367" w:rsidRPr="00DF5367">
        <w:rPr>
          <w:rtl/>
        </w:rPr>
        <w:t xml:space="preserve"> (</w:t>
      </w:r>
      <w:r w:rsidR="00DF5367" w:rsidRPr="00DF5367">
        <w:t>CRC/C/15/Add.179</w:t>
      </w:r>
      <w:r w:rsidR="00DF5367" w:rsidRPr="00DF5367">
        <w:rPr>
          <w:rtl/>
        </w:rPr>
        <w:t>، الفقرة 24).</w:t>
      </w:r>
      <w:r w:rsidR="00DF5367" w:rsidRPr="00DF5367">
        <w:rPr>
          <w:lang w:val="en-GB"/>
        </w:rPr>
        <w:t xml:space="preserve"> </w:t>
      </w:r>
      <w:r w:rsidR="00DF5367" w:rsidRPr="00DF5367">
        <w:rPr>
          <w:rtl/>
        </w:rPr>
        <w:t>يرجى الإشارة إلى أية خطوات عملية اتخذت، أو يزمع اتخاذها، للحد من عادة الزواج المبكر.</w:t>
      </w:r>
    </w:p>
    <w:p w:rsidR="00657213" w:rsidRPr="00657213" w:rsidRDefault="00657213" w:rsidP="00657213">
      <w:pPr>
        <w:pStyle w:val="SingleTxt"/>
        <w:spacing w:after="0" w:line="240" w:lineRule="auto"/>
        <w:rPr>
          <w:rFonts w:hint="cs"/>
          <w:rtl/>
        </w:rPr>
      </w:pPr>
      <w:r>
        <w:rPr>
          <w:rFonts w:hint="cs"/>
          <w:noProof/>
          <w:w w:val="100"/>
          <w:rtl/>
        </w:rPr>
        <w:pict>
          <v:line id="_x0000_s1029" style="position:absolute;left:0;text-align:left;z-index:2" from="206.6pt,24pt" to="278.6pt,24pt" strokeweight=".25pt">
            <w10:wrap anchorx="page"/>
          </v:line>
        </w:pict>
      </w:r>
    </w:p>
    <w:sectPr w:rsidR="00657213" w:rsidRPr="00657213" w:rsidSect="003B1D3B">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31T16:16:00Z" w:initials="Start">
    <w:p w:rsidR="0009485C" w:rsidRDefault="0009485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NO&gt;&gt;N0655515A&lt;&lt;ODS JOB NO</w:t>
      </w:r>
      <w:r>
        <w:rPr>
          <w:rtl/>
        </w:rPr>
        <w:t>&gt;&gt;</w:t>
      </w:r>
    </w:p>
    <w:p w:rsidR="0009485C" w:rsidRDefault="0009485C">
      <w:pPr>
        <w:pStyle w:val="CommentText"/>
        <w:rPr>
          <w:rtl/>
        </w:rPr>
      </w:pPr>
      <w:r>
        <w:rPr>
          <w:rtl/>
        </w:rPr>
        <w:t>&lt;&lt;</w:t>
      </w:r>
      <w:r>
        <w:t>ODS DOC SYMBOL1&gt;&gt;CEDAW/C/NER/Q/2&lt;&lt;ODS DOC SYMBOL1</w:t>
      </w:r>
      <w:r>
        <w:rPr>
          <w:rtl/>
        </w:rPr>
        <w:t>&gt;&gt;</w:t>
      </w:r>
    </w:p>
    <w:p w:rsidR="0009485C" w:rsidRDefault="0009485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FAE" w:rsidRPr="00CC0CE5" w:rsidRDefault="00FD6FAE" w:rsidP="003B1D3B">
      <w:pPr>
        <w:pStyle w:val="SingleTxt"/>
        <w:rPr>
          <w:sz w:val="14"/>
          <w:szCs w:val="16"/>
        </w:rPr>
      </w:pPr>
      <w:r>
        <w:separator/>
      </w:r>
    </w:p>
  </w:endnote>
  <w:endnote w:type="continuationSeparator" w:id="0">
    <w:p w:rsidR="00FD6FAE" w:rsidRPr="00CC0CE5" w:rsidRDefault="00FD6FAE" w:rsidP="003B1D3B">
      <w:pPr>
        <w:pStyle w:val="SingleTxt"/>
        <w:rPr>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485C">
      <w:tblPrEx>
        <w:tblCellMar>
          <w:top w:w="0" w:type="dxa"/>
          <w:bottom w:w="0" w:type="dxa"/>
        </w:tblCellMar>
      </w:tblPrEx>
      <w:tc>
        <w:tcPr>
          <w:tcW w:w="5033" w:type="dxa"/>
          <w:shd w:val="clear" w:color="auto" w:fill="auto"/>
        </w:tcPr>
        <w:p w:rsidR="0009485C" w:rsidRPr="003B1D3B" w:rsidRDefault="0009485C" w:rsidP="003B1D3B">
          <w:pPr>
            <w:pStyle w:val="Footer"/>
            <w:jc w:val="right"/>
            <w:rPr>
              <w:w w:val="103"/>
            </w:rPr>
          </w:pPr>
          <w:r>
            <w:rPr>
              <w:w w:val="103"/>
            </w:rPr>
            <w:fldChar w:fldCharType="begin"/>
          </w:r>
          <w:r>
            <w:rPr>
              <w:w w:val="103"/>
            </w:rPr>
            <w:instrText xml:space="preserve"> PAGE  \* MERGEFORMAT </w:instrText>
          </w:r>
          <w:r>
            <w:rPr>
              <w:w w:val="103"/>
            </w:rPr>
            <w:fldChar w:fldCharType="separate"/>
          </w:r>
          <w:r w:rsidR="00803501">
            <w:rPr>
              <w:w w:val="103"/>
            </w:rPr>
            <w:t>8</w:t>
          </w:r>
          <w:r>
            <w:rPr>
              <w:w w:val="103"/>
            </w:rPr>
            <w:fldChar w:fldCharType="end"/>
          </w:r>
        </w:p>
      </w:tc>
      <w:tc>
        <w:tcPr>
          <w:tcW w:w="5033" w:type="dxa"/>
          <w:shd w:val="clear" w:color="auto" w:fill="auto"/>
        </w:tcPr>
        <w:p w:rsidR="0009485C" w:rsidRPr="003B1D3B" w:rsidRDefault="0009485C" w:rsidP="003B1D3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03501">
            <w:rPr>
              <w:b w:val="0"/>
              <w:w w:val="103"/>
            </w:rPr>
            <w:t>06-55515</w:t>
          </w:r>
          <w:r>
            <w:rPr>
              <w:b w:val="0"/>
              <w:w w:val="103"/>
            </w:rPr>
            <w:fldChar w:fldCharType="end"/>
          </w:r>
        </w:p>
      </w:tc>
    </w:tr>
  </w:tbl>
  <w:p w:rsidR="0009485C" w:rsidRPr="003B1D3B" w:rsidRDefault="0009485C" w:rsidP="003B1D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485C">
      <w:tblPrEx>
        <w:tblCellMar>
          <w:top w:w="0" w:type="dxa"/>
          <w:bottom w:w="0" w:type="dxa"/>
        </w:tblCellMar>
      </w:tblPrEx>
      <w:tc>
        <w:tcPr>
          <w:tcW w:w="5033" w:type="dxa"/>
          <w:shd w:val="clear" w:color="auto" w:fill="auto"/>
        </w:tcPr>
        <w:p w:rsidR="0009485C" w:rsidRPr="003B1D3B" w:rsidRDefault="0009485C" w:rsidP="003B1D3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03501">
            <w:rPr>
              <w:b w:val="0"/>
              <w:w w:val="103"/>
            </w:rPr>
            <w:t>06-55515</w:t>
          </w:r>
          <w:r>
            <w:rPr>
              <w:b w:val="0"/>
              <w:w w:val="103"/>
            </w:rPr>
            <w:fldChar w:fldCharType="end"/>
          </w:r>
        </w:p>
      </w:tc>
      <w:tc>
        <w:tcPr>
          <w:tcW w:w="5033" w:type="dxa"/>
          <w:shd w:val="clear" w:color="auto" w:fill="auto"/>
        </w:tcPr>
        <w:p w:rsidR="0009485C" w:rsidRPr="003B1D3B" w:rsidRDefault="0009485C" w:rsidP="003B1D3B">
          <w:pPr>
            <w:pStyle w:val="Footer"/>
            <w:rPr>
              <w:w w:val="103"/>
            </w:rPr>
          </w:pPr>
          <w:r>
            <w:rPr>
              <w:w w:val="103"/>
            </w:rPr>
            <w:fldChar w:fldCharType="begin"/>
          </w:r>
          <w:r>
            <w:rPr>
              <w:w w:val="103"/>
            </w:rPr>
            <w:instrText xml:space="preserve"> PAGE  \* MERGEFORMAT </w:instrText>
          </w:r>
          <w:r>
            <w:rPr>
              <w:w w:val="103"/>
            </w:rPr>
            <w:fldChar w:fldCharType="separate"/>
          </w:r>
          <w:r w:rsidR="00803501">
            <w:rPr>
              <w:w w:val="103"/>
            </w:rPr>
            <w:t>7</w:t>
          </w:r>
          <w:r>
            <w:rPr>
              <w:w w:val="103"/>
            </w:rPr>
            <w:fldChar w:fldCharType="end"/>
          </w:r>
        </w:p>
      </w:tc>
    </w:tr>
  </w:tbl>
  <w:p w:rsidR="0009485C" w:rsidRPr="003B1D3B" w:rsidRDefault="0009485C" w:rsidP="003B1D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85C" w:rsidRDefault="0009485C">
    <w:pPr>
      <w:pStyle w:val="Footer"/>
    </w:pPr>
  </w:p>
  <w:p w:rsidR="0009485C" w:rsidRDefault="0009485C" w:rsidP="003B1D3B">
    <w:pPr>
      <w:pStyle w:val="Footer"/>
      <w:jc w:val="right"/>
      <w:rPr>
        <w:rFonts w:cs="Times New Roman"/>
        <w:b w:val="0"/>
        <w:w w:val="103"/>
        <w:sz w:val="20"/>
      </w:rPr>
    </w:pPr>
    <w:r>
      <w:rPr>
        <w:rFonts w:cs="Times New Roman"/>
        <w:b w:val="0"/>
        <w:w w:val="103"/>
        <w:sz w:val="20"/>
      </w:rPr>
      <w:t xml:space="preserve">311006    311006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803501">
      <w:rPr>
        <w:rFonts w:cs="Times New Roman"/>
        <w:b w:val="0"/>
        <w:w w:val="103"/>
        <w:sz w:val="20"/>
      </w:rPr>
      <w:t>06-55515 (A)</w:t>
    </w:r>
    <w:r>
      <w:rPr>
        <w:rFonts w:cs="Times New Roman"/>
        <w:b w:val="0"/>
        <w:w w:val="103"/>
        <w:sz w:val="20"/>
      </w:rPr>
      <w:fldChar w:fldCharType="end"/>
    </w:r>
  </w:p>
  <w:p w:rsidR="0009485C" w:rsidRPr="003B1D3B" w:rsidRDefault="0009485C" w:rsidP="003B1D3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803501">
      <w:rPr>
        <w:rFonts w:ascii="Barcode 3 of 9 by request" w:hAnsi="Barcode 3 of 9 by request" w:cs="Times New Roman"/>
        <w:b w:val="0"/>
        <w:sz w:val="24"/>
      </w:rPr>
      <w:t>*0655515*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FAE" w:rsidRPr="00CC0CE5" w:rsidRDefault="00FD6FAE" w:rsidP="003B1D3B">
      <w:pPr>
        <w:pStyle w:val="SingleTxt"/>
        <w:rPr>
          <w:sz w:val="14"/>
          <w:szCs w:val="16"/>
        </w:rPr>
      </w:pPr>
      <w:r>
        <w:separator/>
      </w:r>
    </w:p>
  </w:footnote>
  <w:footnote w:type="continuationSeparator" w:id="0">
    <w:p w:rsidR="00FD6FAE" w:rsidRPr="00CC0CE5" w:rsidRDefault="00FD6FAE" w:rsidP="003B1D3B">
      <w:pPr>
        <w:pStyle w:val="SingleTxt"/>
        <w:rPr>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09485C">
      <w:tblPrEx>
        <w:tblCellMar>
          <w:top w:w="0" w:type="dxa"/>
          <w:bottom w:w="0" w:type="dxa"/>
        </w:tblCellMar>
      </w:tblPrEx>
      <w:trPr>
        <w:trHeight w:hRule="exact" w:val="864"/>
        <w:jc w:val="center"/>
      </w:trPr>
      <w:tc>
        <w:tcPr>
          <w:tcW w:w="5033" w:type="dxa"/>
          <w:shd w:val="clear" w:color="auto" w:fill="auto"/>
          <w:vAlign w:val="bottom"/>
        </w:tcPr>
        <w:p w:rsidR="0009485C" w:rsidRDefault="0009485C" w:rsidP="003B1D3B">
          <w:pPr>
            <w:pStyle w:val="Header"/>
            <w:bidi/>
            <w:jc w:val="right"/>
          </w:pPr>
        </w:p>
      </w:tc>
      <w:tc>
        <w:tcPr>
          <w:tcW w:w="5033" w:type="dxa"/>
          <w:shd w:val="clear" w:color="auto" w:fill="auto"/>
          <w:vAlign w:val="bottom"/>
        </w:tcPr>
        <w:p w:rsidR="0009485C" w:rsidRPr="003B1D3B" w:rsidRDefault="0009485C" w:rsidP="003B1D3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803501">
            <w:rPr>
              <w:w w:val="103"/>
            </w:rPr>
            <w:t>CEDAW/C/NER/Q/2</w:t>
          </w:r>
          <w:r>
            <w:rPr>
              <w:w w:val="103"/>
            </w:rPr>
            <w:fldChar w:fldCharType="end"/>
          </w:r>
        </w:p>
      </w:tc>
    </w:tr>
  </w:tbl>
  <w:p w:rsidR="0009485C" w:rsidRPr="003B1D3B" w:rsidRDefault="0009485C" w:rsidP="003B1D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09485C">
      <w:tblPrEx>
        <w:tblCellMar>
          <w:top w:w="0" w:type="dxa"/>
          <w:bottom w:w="0" w:type="dxa"/>
        </w:tblCellMar>
      </w:tblPrEx>
      <w:trPr>
        <w:trHeight w:hRule="exact" w:val="864"/>
        <w:jc w:val="center"/>
      </w:trPr>
      <w:tc>
        <w:tcPr>
          <w:tcW w:w="5033" w:type="dxa"/>
          <w:shd w:val="clear" w:color="auto" w:fill="auto"/>
          <w:vAlign w:val="bottom"/>
        </w:tcPr>
        <w:p w:rsidR="0009485C" w:rsidRPr="003B1D3B" w:rsidRDefault="0009485C" w:rsidP="003B1D3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03501">
            <w:rPr>
              <w:w w:val="103"/>
            </w:rPr>
            <w:t>CEDAW/C/NER/Q/2</w:t>
          </w:r>
          <w:r>
            <w:rPr>
              <w:w w:val="103"/>
            </w:rPr>
            <w:fldChar w:fldCharType="end"/>
          </w:r>
        </w:p>
      </w:tc>
      <w:tc>
        <w:tcPr>
          <w:tcW w:w="5033" w:type="dxa"/>
          <w:shd w:val="clear" w:color="auto" w:fill="auto"/>
          <w:vAlign w:val="bottom"/>
        </w:tcPr>
        <w:p w:rsidR="0009485C" w:rsidRDefault="0009485C" w:rsidP="003B1D3B">
          <w:pPr>
            <w:pStyle w:val="Header"/>
          </w:pPr>
        </w:p>
      </w:tc>
    </w:tr>
  </w:tbl>
  <w:p w:rsidR="0009485C" w:rsidRPr="003B1D3B" w:rsidRDefault="0009485C" w:rsidP="003B1D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9485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9485C" w:rsidRDefault="0009485C" w:rsidP="003B1D3B">
          <w:pPr>
            <w:pStyle w:val="Header"/>
            <w:spacing w:after="120"/>
          </w:pPr>
        </w:p>
      </w:tc>
      <w:tc>
        <w:tcPr>
          <w:tcW w:w="1786" w:type="dxa"/>
          <w:tcBorders>
            <w:bottom w:val="single" w:sz="4" w:space="0" w:color="auto"/>
          </w:tcBorders>
          <w:shd w:val="clear" w:color="auto" w:fill="auto"/>
          <w:vAlign w:val="bottom"/>
        </w:tcPr>
        <w:p w:rsidR="0009485C" w:rsidRPr="003B1D3B" w:rsidRDefault="0009485C" w:rsidP="003B1D3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9485C" w:rsidRDefault="0009485C" w:rsidP="003B1D3B">
          <w:pPr>
            <w:pStyle w:val="Header"/>
            <w:spacing w:after="120"/>
          </w:pPr>
        </w:p>
      </w:tc>
      <w:tc>
        <w:tcPr>
          <w:tcW w:w="6523" w:type="dxa"/>
          <w:gridSpan w:val="3"/>
          <w:tcBorders>
            <w:bottom w:val="single" w:sz="4" w:space="0" w:color="auto"/>
          </w:tcBorders>
          <w:shd w:val="clear" w:color="auto" w:fill="auto"/>
          <w:vAlign w:val="bottom"/>
        </w:tcPr>
        <w:p w:rsidR="0009485C" w:rsidRPr="003B1D3B" w:rsidRDefault="0009485C" w:rsidP="003B1D3B">
          <w:pPr>
            <w:spacing w:line="380" w:lineRule="exact"/>
            <w:jc w:val="right"/>
          </w:pPr>
          <w:r>
            <w:rPr>
              <w:sz w:val="40"/>
            </w:rPr>
            <w:t>CEDAW</w:t>
          </w:r>
          <w:r>
            <w:t>/C/NER/Q/2</w:t>
          </w:r>
        </w:p>
      </w:tc>
    </w:tr>
    <w:tr w:rsidR="0009485C" w:rsidRPr="003B1D3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9485C" w:rsidRDefault="0009485C" w:rsidP="003B1D3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9485C" w:rsidRPr="003B1D3B" w:rsidRDefault="0009485C" w:rsidP="003B1D3B">
          <w:pPr>
            <w:pStyle w:val="Header"/>
            <w:spacing w:before="109"/>
            <w:jc w:val="right"/>
          </w:pPr>
        </w:p>
      </w:tc>
      <w:tc>
        <w:tcPr>
          <w:tcW w:w="5227" w:type="dxa"/>
          <w:gridSpan w:val="3"/>
          <w:tcBorders>
            <w:top w:val="single" w:sz="4" w:space="0" w:color="auto"/>
            <w:bottom w:val="single" w:sz="12" w:space="0" w:color="auto"/>
          </w:tcBorders>
          <w:shd w:val="clear" w:color="auto" w:fill="auto"/>
        </w:tcPr>
        <w:p w:rsidR="0009485C" w:rsidRPr="003B1D3B" w:rsidRDefault="0009485C" w:rsidP="003B1D3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9485C" w:rsidRPr="003B1D3B" w:rsidRDefault="0009485C" w:rsidP="003B1D3B">
          <w:pPr>
            <w:pStyle w:val="Header"/>
            <w:spacing w:before="109"/>
          </w:pPr>
        </w:p>
      </w:tc>
      <w:tc>
        <w:tcPr>
          <w:tcW w:w="3100" w:type="dxa"/>
          <w:gridSpan w:val="2"/>
          <w:tcBorders>
            <w:top w:val="single" w:sz="4" w:space="0" w:color="auto"/>
            <w:bottom w:val="single" w:sz="12" w:space="0" w:color="auto"/>
          </w:tcBorders>
          <w:shd w:val="clear" w:color="auto" w:fill="auto"/>
        </w:tcPr>
        <w:p w:rsidR="0009485C" w:rsidRDefault="0009485C" w:rsidP="003B1D3B">
          <w:pPr>
            <w:bidi w:val="0"/>
            <w:spacing w:before="240" w:line="240" w:lineRule="exact"/>
          </w:pPr>
          <w:r>
            <w:t>Distr.: General</w:t>
          </w:r>
        </w:p>
        <w:p w:rsidR="0009485C" w:rsidRDefault="0009485C" w:rsidP="003B1D3B">
          <w:pPr>
            <w:bidi w:val="0"/>
            <w:spacing w:line="240" w:lineRule="exact"/>
            <w:jc w:val="left"/>
          </w:pPr>
          <w:r>
            <w:t>5 October 2006</w:t>
          </w:r>
        </w:p>
        <w:p w:rsidR="0009485C" w:rsidRDefault="0009485C" w:rsidP="003B1D3B">
          <w:pPr>
            <w:bidi w:val="0"/>
            <w:spacing w:line="240" w:lineRule="exact"/>
            <w:jc w:val="left"/>
          </w:pPr>
          <w:r>
            <w:t>Arabic</w:t>
          </w:r>
        </w:p>
        <w:p w:rsidR="0009485C" w:rsidRPr="003B1D3B" w:rsidRDefault="0009485C" w:rsidP="003B1D3B">
          <w:pPr>
            <w:bidi w:val="0"/>
            <w:spacing w:line="240" w:lineRule="exact"/>
            <w:jc w:val="left"/>
          </w:pPr>
          <w:r>
            <w:t>Original: English</w:t>
          </w:r>
        </w:p>
      </w:tc>
    </w:tr>
  </w:tbl>
  <w:p w:rsidR="0009485C" w:rsidRPr="003B1D3B" w:rsidRDefault="0009485C" w:rsidP="003B1D3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61D76"/>
    <w:multiLevelType w:val="hybridMultilevel"/>
    <w:tmpl w:val="DE32A046"/>
    <w:lvl w:ilvl="0" w:tplc="0409000F">
      <w:start w:val="1"/>
      <w:numFmt w:val="decimal"/>
      <w:lvlText w:val="%1."/>
      <w:lvlJc w:val="left"/>
      <w:pPr>
        <w:tabs>
          <w:tab w:val="num" w:pos="1987"/>
        </w:tabs>
        <w:ind w:left="1987" w:hanging="360"/>
      </w:pPr>
    </w:lvl>
    <w:lvl w:ilvl="1" w:tplc="04090019" w:tentative="1">
      <w:start w:val="1"/>
      <w:numFmt w:val="lowerLetter"/>
      <w:lvlText w:val="%2."/>
      <w:lvlJc w:val="left"/>
      <w:pPr>
        <w:tabs>
          <w:tab w:val="num" w:pos="2707"/>
        </w:tabs>
        <w:ind w:left="2707" w:hanging="360"/>
      </w:pPr>
    </w:lvl>
    <w:lvl w:ilvl="2" w:tplc="0409001B" w:tentative="1">
      <w:start w:val="1"/>
      <w:numFmt w:val="lowerRoman"/>
      <w:lvlText w:val="%3."/>
      <w:lvlJc w:val="right"/>
      <w:pPr>
        <w:tabs>
          <w:tab w:val="num" w:pos="3427"/>
        </w:tabs>
        <w:ind w:left="3427" w:hanging="180"/>
      </w:pPr>
    </w:lvl>
    <w:lvl w:ilvl="3" w:tplc="0409000F" w:tentative="1">
      <w:start w:val="1"/>
      <w:numFmt w:val="decimal"/>
      <w:lvlText w:val="%4."/>
      <w:lvlJc w:val="left"/>
      <w:pPr>
        <w:tabs>
          <w:tab w:val="num" w:pos="4147"/>
        </w:tabs>
        <w:ind w:left="4147" w:hanging="360"/>
      </w:pPr>
    </w:lvl>
    <w:lvl w:ilvl="4" w:tplc="04090019" w:tentative="1">
      <w:start w:val="1"/>
      <w:numFmt w:val="lowerLetter"/>
      <w:lvlText w:val="%5."/>
      <w:lvlJc w:val="left"/>
      <w:pPr>
        <w:tabs>
          <w:tab w:val="num" w:pos="4867"/>
        </w:tabs>
        <w:ind w:left="4867" w:hanging="360"/>
      </w:pPr>
    </w:lvl>
    <w:lvl w:ilvl="5" w:tplc="0409001B" w:tentative="1">
      <w:start w:val="1"/>
      <w:numFmt w:val="lowerRoman"/>
      <w:lvlText w:val="%6."/>
      <w:lvlJc w:val="right"/>
      <w:pPr>
        <w:tabs>
          <w:tab w:val="num" w:pos="5587"/>
        </w:tabs>
        <w:ind w:left="5587" w:hanging="180"/>
      </w:pPr>
    </w:lvl>
    <w:lvl w:ilvl="6" w:tplc="0409000F" w:tentative="1">
      <w:start w:val="1"/>
      <w:numFmt w:val="decimal"/>
      <w:lvlText w:val="%7."/>
      <w:lvlJc w:val="left"/>
      <w:pPr>
        <w:tabs>
          <w:tab w:val="num" w:pos="6307"/>
        </w:tabs>
        <w:ind w:left="6307" w:hanging="360"/>
      </w:pPr>
    </w:lvl>
    <w:lvl w:ilvl="7" w:tplc="04090019" w:tentative="1">
      <w:start w:val="1"/>
      <w:numFmt w:val="lowerLetter"/>
      <w:lvlText w:val="%8."/>
      <w:lvlJc w:val="left"/>
      <w:pPr>
        <w:tabs>
          <w:tab w:val="num" w:pos="7027"/>
        </w:tabs>
        <w:ind w:left="7027" w:hanging="360"/>
      </w:pPr>
    </w:lvl>
    <w:lvl w:ilvl="8" w:tplc="0409001B" w:tentative="1">
      <w:start w:val="1"/>
      <w:numFmt w:val="lowerRoman"/>
      <w:lvlText w:val="%9."/>
      <w:lvlJc w:val="right"/>
      <w:pPr>
        <w:tabs>
          <w:tab w:val="num" w:pos="7747"/>
        </w:tabs>
        <w:ind w:left="77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15*"/>
    <w:docVar w:name="CreationDt" w:val="31/10/2006 04:168 م"/>
    <w:docVar w:name="DocCategory" w:val="Doc"/>
    <w:docVar w:name="DocType" w:val="Final"/>
    <w:docVar w:name="FooterJN" w:val="06-55515"/>
    <w:docVar w:name="jobn" w:val="06-55515 (A)"/>
    <w:docVar w:name="jobnDT" w:val="06-55515 (A)   311006"/>
    <w:docVar w:name="jobnDTDT" w:val="06-55515 (A)   311006   311006"/>
    <w:docVar w:name="JobNo" w:val="0655515A"/>
    <w:docVar w:name="OandT" w:val=" "/>
    <w:docVar w:name="sss1" w:val="CEDAW/C/NER/Q/2"/>
    <w:docVar w:name="sss2" w:val="-"/>
    <w:docVar w:name="Symbol1" w:val="CEDAW/C/NER/Q/2"/>
    <w:docVar w:name="Symbol2" w:val="-"/>
  </w:docVars>
  <w:rsids>
    <w:rsidRoot w:val="00357006"/>
    <w:rsid w:val="00005972"/>
    <w:rsid w:val="00042425"/>
    <w:rsid w:val="0006648F"/>
    <w:rsid w:val="00087310"/>
    <w:rsid w:val="0009485C"/>
    <w:rsid w:val="0009732C"/>
    <w:rsid w:val="000C4EED"/>
    <w:rsid w:val="000D2CEC"/>
    <w:rsid w:val="00101EE8"/>
    <w:rsid w:val="00113349"/>
    <w:rsid w:val="001519A9"/>
    <w:rsid w:val="001566F6"/>
    <w:rsid w:val="001737F8"/>
    <w:rsid w:val="00187870"/>
    <w:rsid w:val="001F6786"/>
    <w:rsid w:val="00233601"/>
    <w:rsid w:val="002416C5"/>
    <w:rsid w:val="00266F59"/>
    <w:rsid w:val="00272B6C"/>
    <w:rsid w:val="0027623A"/>
    <w:rsid w:val="00290F2F"/>
    <w:rsid w:val="002937DA"/>
    <w:rsid w:val="002A09C6"/>
    <w:rsid w:val="002C2AF2"/>
    <w:rsid w:val="002C4E1B"/>
    <w:rsid w:val="00312162"/>
    <w:rsid w:val="00313D0B"/>
    <w:rsid w:val="003501D5"/>
    <w:rsid w:val="00356F71"/>
    <w:rsid w:val="00357006"/>
    <w:rsid w:val="00371AC4"/>
    <w:rsid w:val="00383CA8"/>
    <w:rsid w:val="003A65ED"/>
    <w:rsid w:val="003B1D3B"/>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E0E45"/>
    <w:rsid w:val="004F1402"/>
    <w:rsid w:val="0050659B"/>
    <w:rsid w:val="00524A2E"/>
    <w:rsid w:val="005279DE"/>
    <w:rsid w:val="00534772"/>
    <w:rsid w:val="00537FCD"/>
    <w:rsid w:val="00542F53"/>
    <w:rsid w:val="00545F76"/>
    <w:rsid w:val="005545BB"/>
    <w:rsid w:val="00556882"/>
    <w:rsid w:val="00561E43"/>
    <w:rsid w:val="0056513F"/>
    <w:rsid w:val="0057078E"/>
    <w:rsid w:val="005838F5"/>
    <w:rsid w:val="00591B45"/>
    <w:rsid w:val="005A0F73"/>
    <w:rsid w:val="005A2EA3"/>
    <w:rsid w:val="005C2ECE"/>
    <w:rsid w:val="00616E82"/>
    <w:rsid w:val="006218A3"/>
    <w:rsid w:val="006564CE"/>
    <w:rsid w:val="00657213"/>
    <w:rsid w:val="00663F64"/>
    <w:rsid w:val="00696B7A"/>
    <w:rsid w:val="006C38EE"/>
    <w:rsid w:val="0071531E"/>
    <w:rsid w:val="0071645B"/>
    <w:rsid w:val="00716E9D"/>
    <w:rsid w:val="00747B9E"/>
    <w:rsid w:val="007524BE"/>
    <w:rsid w:val="007525FA"/>
    <w:rsid w:val="00752BBC"/>
    <w:rsid w:val="00774FF0"/>
    <w:rsid w:val="0079046D"/>
    <w:rsid w:val="0079753A"/>
    <w:rsid w:val="007A6DD9"/>
    <w:rsid w:val="007D60E0"/>
    <w:rsid w:val="007D6B8D"/>
    <w:rsid w:val="007E32B9"/>
    <w:rsid w:val="00803501"/>
    <w:rsid w:val="0081284F"/>
    <w:rsid w:val="00814843"/>
    <w:rsid w:val="008170DE"/>
    <w:rsid w:val="00830E32"/>
    <w:rsid w:val="00873A11"/>
    <w:rsid w:val="00873AF9"/>
    <w:rsid w:val="008C745B"/>
    <w:rsid w:val="008D1C04"/>
    <w:rsid w:val="008D6C6A"/>
    <w:rsid w:val="008F04A0"/>
    <w:rsid w:val="008F64A7"/>
    <w:rsid w:val="0090012B"/>
    <w:rsid w:val="0090351F"/>
    <w:rsid w:val="00970BAD"/>
    <w:rsid w:val="009768D1"/>
    <w:rsid w:val="009829B7"/>
    <w:rsid w:val="009927C0"/>
    <w:rsid w:val="009961E6"/>
    <w:rsid w:val="009B6C65"/>
    <w:rsid w:val="009C0017"/>
    <w:rsid w:val="009C15F4"/>
    <w:rsid w:val="009D62A3"/>
    <w:rsid w:val="009E29F0"/>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514F5"/>
    <w:rsid w:val="00B66CFA"/>
    <w:rsid w:val="00B9542C"/>
    <w:rsid w:val="00B95560"/>
    <w:rsid w:val="00BA7FAB"/>
    <w:rsid w:val="00BC2F4C"/>
    <w:rsid w:val="00BC4A05"/>
    <w:rsid w:val="00BC6736"/>
    <w:rsid w:val="00BF0B15"/>
    <w:rsid w:val="00C12CBB"/>
    <w:rsid w:val="00C25A2D"/>
    <w:rsid w:val="00C260F8"/>
    <w:rsid w:val="00C43FBE"/>
    <w:rsid w:val="00C449C6"/>
    <w:rsid w:val="00C55255"/>
    <w:rsid w:val="00C564B0"/>
    <w:rsid w:val="00C6283F"/>
    <w:rsid w:val="00C814A5"/>
    <w:rsid w:val="00C96573"/>
    <w:rsid w:val="00CD0BB8"/>
    <w:rsid w:val="00CD3849"/>
    <w:rsid w:val="00CD5C21"/>
    <w:rsid w:val="00CD6682"/>
    <w:rsid w:val="00CF7384"/>
    <w:rsid w:val="00D05D89"/>
    <w:rsid w:val="00D2343D"/>
    <w:rsid w:val="00D30EAE"/>
    <w:rsid w:val="00D318F1"/>
    <w:rsid w:val="00D40B0E"/>
    <w:rsid w:val="00D76FA9"/>
    <w:rsid w:val="00DA66B7"/>
    <w:rsid w:val="00DB0865"/>
    <w:rsid w:val="00DE5433"/>
    <w:rsid w:val="00DE68A7"/>
    <w:rsid w:val="00DF5367"/>
    <w:rsid w:val="00DF5F38"/>
    <w:rsid w:val="00DF7FFD"/>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A60EB"/>
    <w:rsid w:val="00FB4E06"/>
    <w:rsid w:val="00FC3483"/>
    <w:rsid w:val="00FC4D68"/>
    <w:rsid w:val="00FD2ADA"/>
    <w:rsid w:val="00FD6F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B1D3B"/>
    <w:rPr>
      <w:szCs w:val="20"/>
    </w:rPr>
  </w:style>
  <w:style w:type="paragraph" w:styleId="CommentSubject">
    <w:name w:val="annotation subject"/>
    <w:basedOn w:val="CommentText"/>
    <w:next w:val="CommentText"/>
    <w:semiHidden/>
    <w:rsid w:val="003B1D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1944</Words>
  <Characters>11083</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Malak.Khalil</cp:lastModifiedBy>
  <cp:revision>3</cp:revision>
  <cp:lastPrinted>2006-10-31T19:02:00Z</cp:lastPrinted>
  <dcterms:created xsi:type="dcterms:W3CDTF">2006-10-31T19:02:00Z</dcterms:created>
  <dcterms:modified xsi:type="dcterms:W3CDTF">2006-10-31T19:04:00Z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0655515</vt:lpwstr>
  </property>
  <property fmtid="{D5CDD505-2E9C-101B-9397-08002B2CF9AE}" pid="3" name="Symbol1">
    <vt:lpwstr>CEDAW/C/NER/Q/2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