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CAE224D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E2FC90" w14:textId="77777777" w:rsidR="002D5AAC" w:rsidRDefault="002D5AAC" w:rsidP="004137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DFFE878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D861A5D" w14:textId="2DA962DE" w:rsidR="002D5AAC" w:rsidRDefault="004137E3" w:rsidP="004137E3">
            <w:pPr>
              <w:jc w:val="right"/>
            </w:pPr>
            <w:r w:rsidRPr="004137E3">
              <w:rPr>
                <w:sz w:val="40"/>
              </w:rPr>
              <w:t>CAT</w:t>
            </w:r>
            <w:r>
              <w:t>/C/BDI/CO/3</w:t>
            </w:r>
          </w:p>
        </w:tc>
      </w:tr>
      <w:tr w:rsidR="002D5AAC" w:rsidRPr="004A1E3D" w14:paraId="4836E179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66A681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55369C" wp14:editId="511CCCD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0EAE75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F5E956E" w14:textId="77777777" w:rsidR="002D5AAC" w:rsidRPr="004A1E3D" w:rsidRDefault="004137E3" w:rsidP="00F90E40">
            <w:pPr>
              <w:spacing w:before="240"/>
              <w:rPr>
                <w:lang w:val="en-US"/>
              </w:rPr>
            </w:pPr>
            <w:r w:rsidRPr="004A1E3D">
              <w:rPr>
                <w:lang w:val="en-US"/>
              </w:rPr>
              <w:t>Distr.: General</w:t>
            </w:r>
          </w:p>
          <w:p w14:paraId="28C758B3" w14:textId="77777777" w:rsidR="004137E3" w:rsidRPr="004A1E3D" w:rsidRDefault="004137E3" w:rsidP="004137E3">
            <w:pPr>
              <w:spacing w:line="240" w:lineRule="exact"/>
              <w:rPr>
                <w:lang w:val="en-US"/>
              </w:rPr>
            </w:pPr>
            <w:r w:rsidRPr="004A1E3D">
              <w:rPr>
                <w:lang w:val="en-US"/>
              </w:rPr>
              <w:t>11 December 2023</w:t>
            </w:r>
          </w:p>
          <w:p w14:paraId="616944B2" w14:textId="77777777" w:rsidR="004137E3" w:rsidRPr="004A1E3D" w:rsidRDefault="004137E3" w:rsidP="004137E3">
            <w:pPr>
              <w:spacing w:line="240" w:lineRule="exact"/>
              <w:rPr>
                <w:lang w:val="en-US"/>
              </w:rPr>
            </w:pPr>
            <w:r w:rsidRPr="004A1E3D">
              <w:rPr>
                <w:lang w:val="en-US"/>
              </w:rPr>
              <w:t>Russian</w:t>
            </w:r>
          </w:p>
          <w:p w14:paraId="6E478143" w14:textId="4795DD60" w:rsidR="004137E3" w:rsidRPr="004A1E3D" w:rsidRDefault="004137E3" w:rsidP="004137E3">
            <w:pPr>
              <w:spacing w:line="240" w:lineRule="exact"/>
              <w:rPr>
                <w:lang w:val="en-US"/>
              </w:rPr>
            </w:pPr>
            <w:r w:rsidRPr="004A1E3D">
              <w:rPr>
                <w:lang w:val="en-US"/>
              </w:rPr>
              <w:t>Original: French</w:t>
            </w:r>
          </w:p>
        </w:tc>
      </w:tr>
    </w:tbl>
    <w:p w14:paraId="03851A68" w14:textId="77777777" w:rsidR="004137E3" w:rsidRPr="00CA5630" w:rsidRDefault="004137E3" w:rsidP="004137E3">
      <w:pPr>
        <w:spacing w:before="120" w:line="240" w:lineRule="exact"/>
        <w:rPr>
          <w:b/>
          <w:sz w:val="24"/>
          <w:szCs w:val="24"/>
        </w:rPr>
      </w:pPr>
      <w:r w:rsidRPr="000B10AB">
        <w:rPr>
          <w:b/>
          <w:bCs/>
          <w:sz w:val="24"/>
          <w:szCs w:val="24"/>
        </w:rPr>
        <w:t>Комитет против пыток</w:t>
      </w:r>
    </w:p>
    <w:p w14:paraId="2452B7F6" w14:textId="77777777" w:rsidR="004137E3" w:rsidRPr="00F57E76" w:rsidRDefault="004137E3" w:rsidP="004137E3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Бурунди</w:t>
      </w:r>
      <w:r w:rsidRPr="004137E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4682A57" w14:textId="77777777" w:rsidR="004137E3" w:rsidRPr="00F57E76" w:rsidRDefault="004137E3" w:rsidP="004137E3">
      <w:pPr>
        <w:pStyle w:val="SingleTxtG"/>
      </w:pPr>
      <w:r>
        <w:t>1.</w:t>
      </w:r>
      <w:r>
        <w:tab/>
        <w:t>Комитет рассмотрел третий периодический доклад Бурунди</w:t>
      </w:r>
      <w:r w:rsidRPr="00C04FB6">
        <w:rPr>
          <w:rStyle w:val="aa"/>
        </w:rPr>
        <w:footnoteReference w:id="2"/>
      </w:r>
      <w:r>
        <w:t xml:space="preserve"> на своих 2039-м и 2042-м заседаниях, состоявшихся 31</w:t>
      </w:r>
      <w:r w:rsidRPr="00597191">
        <w:t xml:space="preserve"> </w:t>
      </w:r>
      <w:r>
        <w:t>октября и 1</w:t>
      </w:r>
      <w:r w:rsidRPr="00597191">
        <w:t xml:space="preserve"> </w:t>
      </w:r>
      <w:r>
        <w:t>ноября 2023 года, и принял настоящие заключительные замечания на своем 2066-м заседании, состоявшемся 21</w:t>
      </w:r>
      <w:r w:rsidRPr="00597191">
        <w:t xml:space="preserve"> </w:t>
      </w:r>
      <w:r>
        <w:t>ноября 2023 года</w:t>
      </w:r>
      <w:r w:rsidRPr="00C04FB6">
        <w:rPr>
          <w:rStyle w:val="aa"/>
        </w:rPr>
        <w:footnoteReference w:id="3"/>
      </w:r>
      <w:r>
        <w:t xml:space="preserve">. </w:t>
      </w:r>
    </w:p>
    <w:p w14:paraId="7B2D1A80" w14:textId="77777777" w:rsidR="004137E3" w:rsidRPr="00F57E76" w:rsidRDefault="004137E3" w:rsidP="004137E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0C5EAAF9" w14:textId="77777777" w:rsidR="004137E3" w:rsidRPr="00F57E76" w:rsidRDefault="004137E3" w:rsidP="004137E3">
      <w:pPr>
        <w:pStyle w:val="SingleTxtG"/>
        <w:rPr>
          <w:rFonts w:eastAsia="Calibri"/>
        </w:rPr>
      </w:pPr>
      <w:r>
        <w:t>2.</w:t>
      </w:r>
      <w:r>
        <w:tab/>
        <w:t>Комитет приветствует представление государством-участником третьего периодического доклада, однако выражает сожаление в связи с тем, что он был представлен с задержкой в почти два года. Комитет также признателен государству-участнику за его письменные ответы</w:t>
      </w:r>
      <w:r w:rsidRPr="00C04FB6">
        <w:rPr>
          <w:rStyle w:val="aa"/>
        </w:rPr>
        <w:footnoteReference w:id="4"/>
      </w:r>
      <w:r>
        <w:t xml:space="preserve"> на перечень вопросов</w:t>
      </w:r>
      <w:r w:rsidRPr="00C04FB6">
        <w:rPr>
          <w:rStyle w:val="aa"/>
        </w:rPr>
        <w:footnoteReference w:id="5"/>
      </w:r>
      <w:r>
        <w:t>.</w:t>
      </w:r>
    </w:p>
    <w:p w14:paraId="26D1B959" w14:textId="77777777" w:rsidR="004137E3" w:rsidRPr="00F57E76" w:rsidRDefault="004137E3" w:rsidP="004137E3">
      <w:pPr>
        <w:pStyle w:val="SingleTxtG"/>
        <w:rPr>
          <w:rFonts w:eastAsia="Calibri"/>
        </w:rPr>
      </w:pPr>
      <w:r>
        <w:t>3.</w:t>
      </w:r>
      <w:r>
        <w:tab/>
        <w:t>Комитет высоко оценивает возможность конструктивного диалога с делегацией государства-участника и приветствует устные и письменные ответы на вопросы и проблемы, поднятые в ходе рассмотрения периодического доклада.</w:t>
      </w:r>
    </w:p>
    <w:p w14:paraId="56C04939" w14:textId="77777777" w:rsidR="004137E3" w:rsidRPr="00F57E76" w:rsidRDefault="004137E3" w:rsidP="004137E3">
      <w:pPr>
        <w:pStyle w:val="H1G"/>
        <w:rPr>
          <w:rFonts w:eastAsia="Calibri"/>
        </w:rPr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9C5EAE5" w14:textId="77777777" w:rsidR="004137E3" w:rsidRPr="00F57E76" w:rsidRDefault="004137E3" w:rsidP="004137E3">
      <w:pPr>
        <w:pStyle w:val="SingleTxtG"/>
        <w:rPr>
          <w:rFonts w:eastAsia="Calibri"/>
        </w:rPr>
      </w:pPr>
      <w:r>
        <w:t>4.</w:t>
      </w:r>
      <w:r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28D12F35" w14:textId="77777777" w:rsidR="004137E3" w:rsidRPr="00F57E76" w:rsidRDefault="004137E3" w:rsidP="004137E3">
      <w:pPr>
        <w:pStyle w:val="SingleTxtG"/>
        <w:ind w:firstLine="567"/>
      </w:pPr>
      <w:r>
        <w:t>a)</w:t>
      </w:r>
      <w:r>
        <w:tab/>
        <w:t>Африканская хартия молодежи — 9 января 2023 года;</w:t>
      </w:r>
    </w:p>
    <w:p w14:paraId="7C0CB9D3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b)</w:t>
      </w:r>
      <w:r>
        <w:tab/>
        <w:t>Протокол к Африканской хартии прав человека и народов, касающийся прав пожилых людей в Африке,— 28 апреля 2022 года;</w:t>
      </w:r>
    </w:p>
    <w:p w14:paraId="0F41CEFD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c)</w:t>
      </w:r>
      <w:r>
        <w:tab/>
        <w:t>Протокол к Африканской хартии прав человека и народов, касающийся прав людей с инвалидностью в Африке,— 28 апреля 2022 года;</w:t>
      </w:r>
    </w:p>
    <w:p w14:paraId="6AAE72C9" w14:textId="77777777" w:rsidR="004137E3" w:rsidRPr="00F57E76" w:rsidRDefault="004137E3" w:rsidP="004137E3">
      <w:pPr>
        <w:pStyle w:val="SingleTxtG"/>
        <w:rPr>
          <w:rFonts w:eastAsia="Calibri"/>
        </w:rPr>
      </w:pPr>
      <w:r>
        <w:t>5.</w:t>
      </w:r>
      <w:r>
        <w:tab/>
        <w:t xml:space="preserve">Комитет также приветствует меры, принятые государством-участником для пересмотра своего законодательства или принятия законов в областях, имеющих отношение к Конвенции, включая принятие следующих текстов: </w:t>
      </w:r>
    </w:p>
    <w:p w14:paraId="41766FAC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a)</w:t>
      </w:r>
      <w:r>
        <w:tab/>
        <w:t>Закон № 1/03 от 10 января 2018 года о поощрении и защите прав людей с</w:t>
      </w:r>
      <w:r>
        <w:rPr>
          <w:lang w:val="en-US"/>
        </w:rPr>
        <w:t> </w:t>
      </w:r>
      <w:r>
        <w:t>инвалидностью в Бурунди;</w:t>
      </w:r>
    </w:p>
    <w:p w14:paraId="77A6ED7A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lastRenderedPageBreak/>
        <w:t>b)</w:t>
      </w:r>
      <w:r>
        <w:tab/>
        <w:t xml:space="preserve">Закон № 1/13 от 22 сентября 2016 года о предупреждении, защите жертв и пресечении гендерного насилия; </w:t>
      </w:r>
    </w:p>
    <w:p w14:paraId="59F152E9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c)</w:t>
      </w:r>
      <w:r>
        <w:tab/>
        <w:t>Закон № 1/04 от 27 июня 2016 года о защите жертв, свидетелей и других лиц, подвергающихся риску;</w:t>
      </w:r>
    </w:p>
    <w:p w14:paraId="1A069C93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d)</w:t>
      </w:r>
      <w:r>
        <w:tab/>
        <w:t>Закон № 1/28 от 29 октября 2014 года о предупреждении и пресечении торговли людьми и защите жертв торговли людьми.</w:t>
      </w:r>
    </w:p>
    <w:p w14:paraId="0AB16469" w14:textId="77777777" w:rsidR="004137E3" w:rsidRPr="00F57E76" w:rsidRDefault="004137E3" w:rsidP="004137E3">
      <w:pPr>
        <w:pStyle w:val="SingleTxtG"/>
        <w:rPr>
          <w:rFonts w:eastAsia="Calibri"/>
        </w:rPr>
      </w:pPr>
      <w:r>
        <w:t>6.</w:t>
      </w:r>
      <w:r>
        <w:tab/>
        <w:t>Комитет приветствует шаги, предпринятые государством-участником для изменения своей стратегии и процедур в целях усиления защиты прав человека и реализации положений Конвенции, в частности:</w:t>
      </w:r>
    </w:p>
    <w:p w14:paraId="5265BBAD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a)</w:t>
      </w:r>
      <w:r>
        <w:tab/>
        <w:t>создание в 2021 году Постоянного межведомственного комитета для подготовки первоначальных и периодических докладов по конвенциям, ратифицированным Бурунди;</w:t>
      </w:r>
    </w:p>
    <w:p w14:paraId="23DDCA25" w14:textId="78B741A4" w:rsidR="004137E3" w:rsidRPr="00E012B0" w:rsidRDefault="004137E3" w:rsidP="004137E3">
      <w:pPr>
        <w:pStyle w:val="SingleTxtG"/>
        <w:ind w:firstLine="567"/>
      </w:pPr>
      <w:r>
        <w:t>b)</w:t>
      </w:r>
      <w:r>
        <w:tab/>
        <w:t xml:space="preserve">принятие в 2020 году Национальной политики защиты детей </w:t>
      </w:r>
      <w:r w:rsidR="00A212DA">
        <w:br/>
      </w:r>
      <w:r>
        <w:t xml:space="preserve">(2020–2024 годы); </w:t>
      </w:r>
    </w:p>
    <w:p w14:paraId="0EA0AF4F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c)</w:t>
      </w:r>
      <w:r>
        <w:tab/>
        <w:t>принятие в 2020 году Национальной политики по правам людей с инвалидностью и плана действий (2020–2024 годы), а также создание в 2019 году Национального комитета по правам людей с инвалидностью;</w:t>
      </w:r>
    </w:p>
    <w:p w14:paraId="45721036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d)</w:t>
      </w:r>
      <w:r>
        <w:tab/>
        <w:t>принятие в 2018 году Национальной политики в области прав человека в Бурунди (2018–2023 годы);</w:t>
      </w:r>
    </w:p>
    <w:p w14:paraId="43E4CF65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e)</w:t>
      </w:r>
      <w:r>
        <w:tab/>
        <w:t xml:space="preserve">принятие в 2018 году Национальной стратегии по борьбе с сексуальным и гендерным насилием и плана действий (2018–2022 годы); </w:t>
      </w:r>
      <w:bookmarkStart w:id="0" w:name="_Hlk150014719"/>
      <w:bookmarkEnd w:id="0"/>
    </w:p>
    <w:p w14:paraId="3BF51F1F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f)</w:t>
      </w:r>
      <w:r>
        <w:tab/>
        <w:t>создание в 2017 году Национального совета по национальному единству и примирению;</w:t>
      </w:r>
    </w:p>
    <w:p w14:paraId="45B7C267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g)</w:t>
      </w:r>
      <w:r>
        <w:tab/>
        <w:t>создание в 2017 году Национального наблюдательного центра по предупреждению и искоренению геноцида, военных преступлений и других преступлений против человечности;</w:t>
      </w:r>
    </w:p>
    <w:p w14:paraId="35A9B09A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h)</w:t>
      </w:r>
      <w:r>
        <w:tab/>
        <w:t>принятие в 2017 году Пятилетнего плана действий (2017–2021 годы) по реализации Национальной гендерной политики, направленной на обеспечение гендерного равенства и расширение прав и возможностей женщин;</w:t>
      </w:r>
    </w:p>
    <w:p w14:paraId="49E8CCDA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i)</w:t>
      </w:r>
      <w:r>
        <w:tab/>
        <w:t>создание в 2016 году постоянной комиссии по надзору за пенитенциарными и судебными делами лиц, содержащихся под стражей;</w:t>
      </w:r>
    </w:p>
    <w:p w14:paraId="030796EC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t>j)</w:t>
      </w:r>
      <w:r>
        <w:tab/>
        <w:t>создание в 2015 году Национальной комиссии по межбурундийскому диалогу.</w:t>
      </w:r>
    </w:p>
    <w:p w14:paraId="55359966" w14:textId="77777777" w:rsidR="004137E3" w:rsidRPr="00F57E76" w:rsidRDefault="004137E3" w:rsidP="004137E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044ACAB5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Нерассмотренные вопросы последующей деятельности, связанные с предыдущим циклом предоставления докладов</w:t>
      </w:r>
    </w:p>
    <w:p w14:paraId="444F3468" w14:textId="68BC9997" w:rsidR="004137E3" w:rsidRPr="00F57E76" w:rsidRDefault="004137E3" w:rsidP="004137E3">
      <w:pPr>
        <w:pStyle w:val="SingleTxtG"/>
        <w:rPr>
          <w:rFonts w:eastAsia="Calibri"/>
        </w:rPr>
      </w:pPr>
      <w:r>
        <w:t>7.</w:t>
      </w:r>
      <w:r>
        <w:tab/>
        <w:t>В своих заключительных замечаниях по второму периодическому докладу государства-участника</w:t>
      </w:r>
      <w:r w:rsidRPr="00C04FB6">
        <w:rPr>
          <w:rStyle w:val="aa"/>
        </w:rPr>
        <w:footnoteReference w:id="6"/>
      </w:r>
      <w:r>
        <w:t xml:space="preserve"> Комитет просил государство-участник представить информацию о последующих мерах по выполнению его рекомендаций, касающихся</w:t>
      </w:r>
      <w:r w:rsidR="00A212DA">
        <w:t>,</w:t>
      </w:r>
      <w:r>
        <w:t xml:space="preserve"> с одной стороны</w:t>
      </w:r>
      <w:r w:rsidR="00A212DA">
        <w:t>,</w:t>
      </w:r>
      <w:r>
        <w:t xml:space="preserve"> утверждений о применении пыток и внесудебных казнях, а с другой</w:t>
      </w:r>
      <w:r w:rsidR="00A212DA">
        <w:t>,</w:t>
      </w:r>
      <w:r>
        <w:t> — политического насилия и серьезных нарушений прав человека, совершенных членами молодежного отделения правящей партии («Имбонеракуре»)</w:t>
      </w:r>
      <w:r w:rsidRPr="00C04FB6">
        <w:rPr>
          <w:rStyle w:val="aa"/>
        </w:rPr>
        <w:footnoteReference w:id="7"/>
      </w:r>
      <w:r>
        <w:t xml:space="preserve">. Комитет сожалеет, что государство-участник не представило эту информацию, несмотря на письмо с напоминанием, направленное ему 16 ноября 2015 года Докладчиком по последующей деятельности в связи с заключительными замечаниями. В свете вышеизложенного, а также сообщений, изученных Комитетом посредством </w:t>
      </w:r>
      <w:r>
        <w:lastRenderedPageBreak/>
        <w:t xml:space="preserve">источников информации Организации Объединенных Наций и неправительственных организаций, свидетельствующих о серьезных нарушениях положений Конвенции, Комитет письмом от 9 декабря 2015 года предложил государству-участнику представить ему специальный доклад, составленный в соответствии с пунктом 1 </w:t>
      </w:r>
      <w:r>
        <w:rPr>
          <w:lang w:val="en-US"/>
        </w:rPr>
        <w:t>in</w:t>
      </w:r>
      <w:r w:rsidRPr="000B10AB">
        <w:t xml:space="preserve"> </w:t>
      </w:r>
      <w:r>
        <w:rPr>
          <w:lang w:val="en-US"/>
        </w:rPr>
        <w:t>fine</w:t>
      </w:r>
      <w:r>
        <w:t xml:space="preserve"> статьи 19 Конвенции, предусматривающим предоставление государствами-участниками иных докладов по запросу Комитета. В своих заключительных замечаниях, принятых на основе специального доклада государства-участника</w:t>
      </w:r>
      <w:r>
        <w:rPr>
          <w:rStyle w:val="aa"/>
        </w:rPr>
        <w:footnoteReference w:id="8"/>
      </w:r>
      <w:r>
        <w:t>, учитывая исключительный и срочный характер процедуры, инициированной Комитетом при запросе у Бурунди специального доклада, а также прерывание диалога государством-участником, Комитет просил государство-участник представить специальный последующий доклад о всех мерах, принятых для выполнения совокупности рекомендаций, изложенных в указанных заключительных замечаниях. В свете информации, полученной от государства-участника 12 октября 2016 года</w:t>
      </w:r>
      <w:r>
        <w:rPr>
          <w:rStyle w:val="aa"/>
        </w:rPr>
        <w:footnoteReference w:id="9"/>
      </w:r>
      <w:r>
        <w:t xml:space="preserve">, и принимая во внимание информацию, представленную в третьем периодическом докладе государства-участника и в его письменных ответах на перечень вопросов, Комитет считает, что рекомендации, содержащиеся в его заключительных замечаниях по специальному докладу государства-участника, выполнены еще не в полном объеме. Эти вопросы рассматриваются в пунктах 9, 11, 13, 15, 17, 19 и 21 настоящих заключительных замечаний. </w:t>
      </w:r>
    </w:p>
    <w:p w14:paraId="2D9A4B88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Заявления о серьезных нарушениях прав человека</w:t>
      </w:r>
    </w:p>
    <w:p w14:paraId="13505A67" w14:textId="77777777" w:rsidR="004137E3" w:rsidRPr="00F57E76" w:rsidRDefault="004137E3" w:rsidP="004137E3">
      <w:pPr>
        <w:pStyle w:val="SingleTxtG"/>
      </w:pPr>
      <w:r>
        <w:t>8.</w:t>
      </w:r>
      <w:r>
        <w:tab/>
        <w:t>Комитет по-прежнему глубоко обеспокоен многочисленными и заслуживающими доверия заявлениями о таких серьезных нарушениях прав человека как жестокое обращение и пытки, внесудебные казни и насильственные исчезновения, которые, как утверждается, были совершались в Бурунди с начала политического кризиса 2015 года. Особую тревогу вызывают достоверные, последовательные и постоянные сообщения о внесудебных казнях, в особенности с участием сотрудников сил безопасности, вооруженных сил, Национальной разведывательной службы и членов «Имбонеракуре». Отмечая, что были созданы следственные комиссии, призванные пролить свет на эти казни и предполагаемое существование массовых захоронений, Комитет сожалеет о слабости и медлительности этих расследований и уголовного преследования, подтверждающих заявления о безнаказанности лиц, ответственных за эту практику, и выражает сожаление по поводу отсутствия информации о судебных разбирательствах, и результатах возбужденных уголовных дел. Он также с обеспокоенностью отмечает многочисленные сообщения о практике властей немедленно хоронить найденные в общественных местах тела с признаками насильственной смерти, не устанавливая их личности, не уведомляя семьи и не проводя расследования обстоятельств смерти и виновных в ней лиц. Комитет также с тревогой отмечает многочисленные сообщения об убийствах противников режима и сожалеет, что не получил дополнительной информации о расследованиях, проведенных государством-участником. Комитет отмечает, что некоторые из этих нарушений могут представлять собой преступления против человечности</w:t>
      </w:r>
      <w:r>
        <w:rPr>
          <w:rStyle w:val="aa"/>
        </w:rPr>
        <w:footnoteReference w:id="10"/>
      </w:r>
      <w:r>
        <w:t xml:space="preserve"> (статьи 2, 4, 12, 13 и 16).</w:t>
      </w:r>
    </w:p>
    <w:p w14:paraId="0CA8EB87" w14:textId="77777777" w:rsidR="004137E3" w:rsidRPr="00F57E76" w:rsidRDefault="004137E3" w:rsidP="004137E3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47603FCF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осуществлять строгий контроль над силами правопорядка и безопасности, чтобы не допускать совершения внесудебных казней сотрудниками правоохранительных органов и другими лицами;</w:t>
      </w:r>
    </w:p>
    <w:p w14:paraId="527CB0A7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в полной мере выполнять свои обязательства по обеспечению беспристрастного расследования любых сообщений о внесудебных, произвольных или суммарных казнях, а также предполагаемых заказных убийствах политической оппозиции, в особенности совершенных сотрудниками правоохранительных органов или членами «Имбонеракуре», с учетом Миннесотского протокола по расследованию предположительно незаконного </w:t>
      </w:r>
      <w:r>
        <w:rPr>
          <w:b/>
          <w:bCs/>
        </w:rPr>
        <w:lastRenderedPageBreak/>
        <w:t>лишения жизни, а также по обеспечению вынесения виновным наказаний, соответствующих тяжести их преступлений, с полным соблюдением принципа командования, или ответственности вышестоящих, в соответствии с которым вышестоящие инстанции несут уголовную ответственность за поведение своих подчиненных, если знали о совершении или склонности к совершению теми внесудебных, произвольных или суммарных казней, но не предприняли разумных превентивных мер для их предотвращения;</w:t>
      </w:r>
      <w:bookmarkStart w:id="1" w:name="_Hlk151454459"/>
      <w:bookmarkEnd w:id="1"/>
    </w:p>
    <w:p w14:paraId="1491E950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незамедлительно принять необходимые меры для обнаружения, сохранения предполагаемых мест массовых захоронений и надзора за ними, чтобы независимая следственная комиссия, располагающая необходимыми техническими ресурсами, в необходимых случаях могла начать процесс эксгумации, анализа и идентификации тел;</w:t>
      </w:r>
    </w:p>
    <w:p w14:paraId="3CB05218" w14:textId="77777777" w:rsidR="004137E3" w:rsidRPr="00F57E76" w:rsidRDefault="004137E3" w:rsidP="004137E3">
      <w:pPr>
        <w:pStyle w:val="SingleTxtG"/>
        <w:keepNext/>
        <w:keepLines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семьям погибших и их законным представителям эффективные средства правовой защиты, эффективную защиту от угроз, нападений и любых актов преследования, право на участие в судебном разбирательстве в качестве гражданского истца, возможность требовать, чтобы на судебно-медицинской экспертизе и вскрытии присутствовал врач по их выбору, разумную возможность забрать тело после расследования и получить надлежащее возмещение ущерба.</w:t>
      </w:r>
    </w:p>
    <w:p w14:paraId="534A26C1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Утверждения о применении пыток и безнаказанность</w:t>
      </w:r>
      <w:bookmarkStart w:id="2" w:name="_Hlk151059915"/>
      <w:bookmarkEnd w:id="2"/>
    </w:p>
    <w:p w14:paraId="5EBD9141" w14:textId="77777777" w:rsidR="004137E3" w:rsidRPr="00F57E76" w:rsidRDefault="004137E3" w:rsidP="004137E3">
      <w:pPr>
        <w:pStyle w:val="SingleTxtG"/>
        <w:rPr>
          <w:rFonts w:eastAsia="Calibri"/>
        </w:rPr>
      </w:pPr>
      <w:r>
        <w:t>10.</w:t>
      </w:r>
      <w:r>
        <w:tab/>
        <w:t xml:space="preserve">Учитывая огромное число жалоб и многочисленных, непрекращающихся и последовательных утверждений об актах пыток и жестоком обращении со стороны должностных лиц, включая сотрудников полиции и Национальной разведывательной службы, а также членов «Имбонеракуре», главным образом в помещениях Национальной разведывательной службы вблизи собора Бужумбуры, в полицейских участках и тюрьмах, а также в неофициальных местах содержания под стражей, куда национальные и международные наблюдатели, как сообщается, не имеют доступа, и учитывая сообщения о том, что механизмы полицейского надзора остаются неэффективными, Комитет по-прежнему глубоко обеспокоен непривлечением виновных к ответственности, выражающемся в ограниченном числе сообщений о дисциплинарных мерах и уголовных преследованиях и способствующем созданию атмосферы безнаказанности. Кроме того, Комитет сожалеет, что не получил полной информации о количестве случаев пыток и жестокого обращения, по которым были возбуждены уголовные дела, о количестве обвинительных приговоров, а также о наказаниях и других дисциплинарных мерах, примененных за отчетный период. Наконец, Комитет с обеспокоенностью отмечает, что до сих пор не существует реально независимого и конфиденциального механизма, непосредственно занимающегося приемом жалоб на акты пыток или жестокое обращение во всех местах лишения свободы, а существующие </w:t>
      </w:r>
      <w:r w:rsidRPr="00065211">
        <w:t>следственные органы не обладают необходимой независимостью, поскольку подчиняются тем же властям, что и предполагаемые преступники (статьи 2, 4, 11–13 и 16).</w:t>
      </w:r>
    </w:p>
    <w:p w14:paraId="297A4DF8" w14:textId="77777777" w:rsidR="004137E3" w:rsidRPr="00F57E76" w:rsidRDefault="004137E3" w:rsidP="004137E3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следует:</w:t>
      </w:r>
    </w:p>
    <w:p w14:paraId="540DF763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обеспечивать оперативное, эффективное и беспристрастное расследование независимым органом всех утверждений об актах пыток или жестоком обращении; отсутствие институциональных или иерархических связей между следователями и предполагаемыми виновными; должное предание правосудию подозреваемых, включая лиц, занимающих руководящие посты, а в случае признания их виновными — назначение им наказаний, соразмерных тяжести их деяний, и должное возмещение ущерба жертвам;</w:t>
      </w:r>
    </w:p>
    <w:p w14:paraId="36D87811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обеспечивать инициирование властями расследования во всех случаях, когда есть разумные основания полагать, что был совершен акт пыток или жестокого обращения;</w:t>
      </w:r>
    </w:p>
    <w:p w14:paraId="2982FB9E" w14:textId="5B82A258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добиваться немедленного отстранения соответствующих должностных лиц от исполнения обязанностей на время расследования в случаях пыток или жестокого обращения, в особенности если существует риск, что они </w:t>
      </w:r>
      <w:r>
        <w:rPr>
          <w:b/>
          <w:bCs/>
        </w:rPr>
        <w:lastRenderedPageBreak/>
        <w:t>вновь совершат действия, в которых их подозревают, примут репрессивные меры в</w:t>
      </w:r>
      <w:r w:rsidR="00CD2540">
        <w:rPr>
          <w:b/>
          <w:bCs/>
        </w:rPr>
        <w:t xml:space="preserve"> </w:t>
      </w:r>
      <w:r>
        <w:rPr>
          <w:b/>
          <w:bCs/>
        </w:rPr>
        <w:t>отношении предполагаемой жертвы или будут препятствовать расследованию, при условии соблюдения принципа презумпции невиновности;</w:t>
      </w:r>
    </w:p>
    <w:p w14:paraId="20FBB544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принять срочные меры по созданию эффективного и независимого механизма надзора за деятельностью полиции и Национальной разведывательной службы;</w:t>
      </w:r>
    </w:p>
    <w:p w14:paraId="7365B583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создать независимый, эффективный, конфиденциальный и доступный механизм подачи жалоб во всех местах содержания под стражей, включая полицейские участки и тюрьмы, и защищать жертв, свидетелей и членов их семей от любого риска преследования.</w:t>
      </w:r>
    </w:p>
    <w:p w14:paraId="1FF14B31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Чрезмерное применение силы</w:t>
      </w:r>
    </w:p>
    <w:p w14:paraId="06DE6029" w14:textId="63A355A1" w:rsidR="004137E3" w:rsidRPr="00F57E76" w:rsidRDefault="004137E3" w:rsidP="004137E3">
      <w:pPr>
        <w:pStyle w:val="SingleTxtG"/>
        <w:keepNext/>
        <w:keepLines/>
      </w:pPr>
      <w:r>
        <w:t>12.</w:t>
      </w:r>
      <w:r>
        <w:tab/>
        <w:t xml:space="preserve">Комитет с обеспокоенностью отмечает неоднократные утверждения о чрезмерном применении силы, в том числе смертоносной, для подавления мирных демонстраций. Он обеспокоен многочисленными заявлениями о чрезмерном и непропорциональном применении силы, в частности использование смертоносного оружия, сотрудниками полиции и Национальной разведывательной службы, членами «Имбонеракуре» и местными властями, в особенности во время демонстраций, проходивших в период политического кризиса 2015 года, что привело к гибели и ранениям людей, произвольным задержаниям и содержанию под стражей, актам пыток и жестокому обращению, а также насильственным исчезновениям. Комитет выражает сожаление по поводу отсутствия существенных результатов в расследованиях, проведенных для установления фактов, и отсутствия до сих пор судебных преследований, что создает атмосферу безнаказанности (статьи 2, 12–14 и 16). </w:t>
      </w:r>
    </w:p>
    <w:p w14:paraId="1C1BB1B4" w14:textId="77777777" w:rsidR="004137E3" w:rsidRPr="00F57E76" w:rsidRDefault="004137E3" w:rsidP="004137E3">
      <w:pPr>
        <w:pStyle w:val="SingleTxtG"/>
        <w:rPr>
          <w:rFonts w:eastAsia="SimSun"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6D7D11B1" w14:textId="77777777" w:rsidR="004137E3" w:rsidRPr="00F57E76" w:rsidRDefault="004137E3" w:rsidP="004137E3">
      <w:pPr>
        <w:pStyle w:val="SingleTxtG"/>
        <w:ind w:firstLine="567"/>
        <w:rPr>
          <w:rFonts w:eastAsia="SimSun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удвоить усилия по обеспечению систематической подготовки по вопросам применения силы для всех сотрудников правоохранительных органов, в особенности тех, кто участвует в контроле демонстраций, с должным учетом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 применении менее смертоносного оружия в правоохранительной деятельности;</w:t>
      </w:r>
    </w:p>
    <w:p w14:paraId="721CA231" w14:textId="77777777" w:rsidR="004137E3" w:rsidRPr="00F57E76" w:rsidRDefault="004137E3" w:rsidP="004137E3">
      <w:pPr>
        <w:pStyle w:val="SingleTxtG"/>
        <w:ind w:firstLine="567"/>
        <w:rPr>
          <w:rFonts w:ascii="Calibri" w:eastAsia="SimSun" w:hAnsi="Calibri" w:cs="Calibri"/>
          <w:b/>
          <w:bCs/>
          <w:sz w:val="22"/>
          <w:szCs w:val="22"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по возможности обеспечивать выполнение задач по охране общественного порядка гражданскими властями и эффективную идентификацию всех соответствующих сотрудников в любой момент их нахождения на службе, в целях соблюдения принципа индивидуальной ответственности и защиты от актов пыток и жестокого обращения;</w:t>
      </w:r>
    </w:p>
    <w:p w14:paraId="4F872B69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проведение оперативных, беспристрастных и эффективных расследований всех вышеуказанных заявлений, а также преследование и наказание виновных и полное возмещение ущерба жертвам и членам их семей.</w:t>
      </w:r>
    </w:p>
    <w:p w14:paraId="0F992D7E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Насильственные исчезновения</w:t>
      </w:r>
    </w:p>
    <w:p w14:paraId="02730628" w14:textId="77777777" w:rsidR="004137E3" w:rsidRPr="00F57E76" w:rsidRDefault="004137E3" w:rsidP="004137E3">
      <w:pPr>
        <w:pStyle w:val="SingleTxtG"/>
      </w:pPr>
      <w:r>
        <w:t>14.</w:t>
      </w:r>
      <w:r>
        <w:tab/>
        <w:t>Комитет глубоко обеспокоен заслуживающими доверия и последовательными сообщениями о насильственных исчезновениях за отчетный период. Согласно нескольким достоверным источникам, исчезновениям подвергаются молодые люди, подозреваемые в участии в демонстрациях, правозащитники и представители оппозиции. Комитет по-прежнему встревожен безнаказанностью, царившей и продолжающей царить в отношении лиц, совершивших эти нарушения. Он также обеспокоен отсутствием информации о мерах, принятых для установления судьбы и местонахождения пропавших без вести лиц, о проведенных расследованиях, возбужденных уголовных делах, вынесенных приговорах и наказаниях, назначенных виновным, а также о мерах, принятых для обеспечения жертвам и их семьям доступа к правосудию и должному возмещению ущерба (статьи 2 и 12–14).</w:t>
      </w:r>
    </w:p>
    <w:p w14:paraId="11BFD5AC" w14:textId="77777777" w:rsidR="004137E3" w:rsidRPr="00F57E76" w:rsidRDefault="004137E3" w:rsidP="004137E3">
      <w:pPr>
        <w:pStyle w:val="SingleTxtG"/>
        <w:rPr>
          <w:b/>
        </w:rPr>
      </w:pPr>
      <w:r>
        <w:lastRenderedPageBreak/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0774D040" w14:textId="77777777" w:rsidR="004137E3" w:rsidRPr="00F57E76" w:rsidRDefault="004137E3" w:rsidP="004137E3">
      <w:pPr>
        <w:pStyle w:val="SingleTxtG"/>
        <w:ind w:firstLine="567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необходимые меры для обеспечения того, чтобы все случаи насильственных исчезновений тщательно и беспристрастно расследовались, а виновные привлекались к ответственности, а в случае осуждения получали наказание, соразмерное преступлению;</w:t>
      </w:r>
    </w:p>
    <w:p w14:paraId="2765EA8A" w14:textId="77777777" w:rsidR="004137E3" w:rsidRPr="00F57E76" w:rsidRDefault="004137E3" w:rsidP="004137E3">
      <w:pPr>
        <w:pStyle w:val="SingleTxtG"/>
        <w:ind w:firstLine="567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прилагать все усилия для установления местонахождения и судьбы исчезнувших лиц, в частности тех, кто мог исчезнуть после допроса сотрудниками правоохранительных органов и Национальной разведывательной службы, и обеспечивать всем лицам, понесшим ущерб непосредственно в результате насильственного исчезновения, доступ ко всей имеющейся информации, которая может быть полезна для установления местонахождения исчезнувшего лица, а также справедливое и должное возмещение ущерба;</w:t>
      </w:r>
    </w:p>
    <w:p w14:paraId="0BE367F5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создать единый государственный реестр всех мест содержания под стражей;</w:t>
      </w:r>
      <w:r>
        <w:t xml:space="preserve"> </w:t>
      </w:r>
    </w:p>
    <w:p w14:paraId="2E17E1D8" w14:textId="77777777" w:rsidR="004137E3" w:rsidRPr="00F57E76" w:rsidRDefault="004137E3" w:rsidP="004137E3">
      <w:pPr>
        <w:pStyle w:val="SingleTxtG"/>
        <w:ind w:firstLine="567"/>
        <w:rPr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ратифицировать Международную конвенцию для защиты всех лиц от насильственных исчезновений.</w:t>
      </w:r>
    </w:p>
    <w:p w14:paraId="653FEC04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Политически мотивированные акты насилия молодежного отделения «Имбонеракуре»</w:t>
      </w:r>
    </w:p>
    <w:p w14:paraId="604E3968" w14:textId="77777777" w:rsidR="004137E3" w:rsidRPr="00F57E76" w:rsidRDefault="004137E3" w:rsidP="004137E3">
      <w:pPr>
        <w:pStyle w:val="SingleTxtG"/>
      </w:pPr>
      <w:r>
        <w:t>16.</w:t>
      </w:r>
      <w:r>
        <w:tab/>
        <w:t>Комитет по-прежнему серьезно обеспокоен многочисленными заслуживающими доверия и последовательными сообщениями о систематическом участии молодых членов «Имбонеракуре» в многочисленных эпизодах серьезных нарушений Конвенции. Он вновь выражает глубокую обеспокоенность в связи с подтверждающими друг друга сообщениями о том, что эта группа, которую источники Организации Объединенных Наций характеризуют как ополчение, была вооружена и обучена властями государства-участника и взаимодействует с полицией и сотрудниками Национальной разведывательной службы, совершая задержания, а также самостоятельно осуществляет акты преследования в условиях полной безнаказанности. Отмечая, что государство-участник, судя по всему, отрицает причастность этой группы к злодеяниям и отмежевывается от ее действий, Комитет сожалеет об отсутствии информации о структуре «Имбонеракуре», ее структурных связях с властями и функциях. Он также сожалеет, что не получил от государства-участника запрошенную информацию о мерах, принятых против предполагаемых правонарушений, совершенных «Имбонеракуре», включая сообщения об убийствах, пытках, похищениях, сексуальном насилии и незаконных задержаниях политических оппонентов и правозащитников (статьи 2, 12 и 16).</w:t>
      </w:r>
    </w:p>
    <w:p w14:paraId="33FD3076" w14:textId="77777777" w:rsidR="004137E3" w:rsidRPr="00F57E76" w:rsidRDefault="004137E3" w:rsidP="004137E3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</w:p>
    <w:p w14:paraId="1338E501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провести оперативное, всестороннее и беспристрастное расследование всех актов насилия, совершенных молодежным отделением «Имбонеракуре», и без промедления привлечь к ответственности их виновников, а также государственных чиновников, которые были соучастниками этих актов или попустительствовали им, а если их вина будет установлена — приговорить их к наказаниям, соразмерным тяжести их деяний;</w:t>
      </w:r>
    </w:p>
    <w:p w14:paraId="08B60B71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закрепить функции контроля внутренней безопасности исключительно за гражданской полицией и срочно разработать эффективные стратегии разоружения и строгого контроля над всеми вооруженными группами и лицами, официально не входящими в состав сил безопасности.</w:t>
      </w:r>
    </w:p>
    <w:p w14:paraId="4AE1AABE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Сексуальное насилие как инструмент политических репрессий</w:t>
      </w:r>
    </w:p>
    <w:p w14:paraId="4E6019CF" w14:textId="77777777" w:rsidR="004137E3" w:rsidRPr="00F57E76" w:rsidRDefault="004137E3" w:rsidP="004137E3">
      <w:pPr>
        <w:pStyle w:val="SingleTxtG"/>
        <w:rPr>
          <w:rFonts w:eastAsia="Calibri"/>
          <w:w w:val="103"/>
          <w:kern w:val="14"/>
          <w:szCs w:val="22"/>
        </w:rPr>
      </w:pPr>
      <w:r>
        <w:t>18.</w:t>
      </w:r>
      <w:r>
        <w:tab/>
        <w:t xml:space="preserve">Комитет встревожен многочисленными и постоянными утверждениями о сексуальном насилии в отношении женщин и девочек, включая групповые изнасилования, совершаемые в качестве средства запугивания и политического преследования по причине реальной или предполагаемой принадлежности жертв или членов их семей к политической оппозиции. Эти явления усиливались во время демонстраций 2015 года, конституционного референдума 2018 года и выборов </w:t>
      </w:r>
      <w:r>
        <w:lastRenderedPageBreak/>
        <w:t>2020 года, в частности в контексте обысков, рейдов и облав, проводимых членами «Имбонеракуре», сотрудниками Национальной разведывательной службы, сотрудниками сил безопасности и военными в так называемых протестных районах. Комитет с озабоченностью отмечает, что, по имеющимся сведениям, осуждаемые деяния были совершены при участии, с согласия или при попустительстве государственных должностных лиц при исполнении ими своих обязанностей, а потому представляют собой акты пыток. Он также обеспокоен безнаказанностью лиц, совершающих такое насилие, из-за трудностей, с которыми сталкиваются жертвы при обращении в органы правосудия, и страха преследования, удерживающих их от подачи жалоб на нападавших. Кроме того, Комитет выражает сожаление по поводу того, что в результате этого очень немногие жертвы имеют доступ к эффективным средствам правовой защиты, возмещению ущерба и услугам по реабилитации и реинтеграции (статьи 2, 12–14 и 16).</w:t>
      </w:r>
    </w:p>
    <w:p w14:paraId="57CAEB6C" w14:textId="77777777" w:rsidR="004137E3" w:rsidRPr="00F57E76" w:rsidRDefault="004137E3" w:rsidP="004137E3">
      <w:pPr>
        <w:pStyle w:val="SingleTxtG"/>
        <w:rPr>
          <w:rFonts w:eastAsia="Calibri"/>
          <w:b/>
          <w:spacing w:val="4"/>
          <w:w w:val="103"/>
          <w:kern w:val="14"/>
          <w:szCs w:val="22"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1EB6642E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spacing w:val="-2"/>
          <w:w w:val="103"/>
          <w:kern w:val="14"/>
          <w:szCs w:val="22"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тщательное и независимое расследование всех случаев сексуального насилия, совершаемого в качестве средства политического запугивания и политического преследования, предать правосудию предполагаемых виновников такого насилия, будь то государственные или негосударственные субъекты, действующие с согласия или попустительства государственных сотрудников, а в случае признания их вины — приговорить к наказаниям, соразмерным тяжести их деяний;</w:t>
      </w:r>
    </w:p>
    <w:p w14:paraId="562DF94C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w w:val="103"/>
          <w:kern w:val="14"/>
          <w:szCs w:val="22"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женщинам, ставшим жертвами такого насилия, эффективный доступ к юридическим услугам, медицинской помощи и психосоциальной поддержке, а также к эффективным средствам правовой защиты и мерам возмещения ущерба и защиты, в том числе от преследования;</w:t>
      </w:r>
    </w:p>
    <w:p w14:paraId="3CC1C87A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w w:val="103"/>
          <w:kern w:val="14"/>
          <w:szCs w:val="22"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предоставить сотрудникам полиции, Национальной разведывательной службы, вооруженных сил и «Имбонеракуре» по всей структуре командования четкие указания о запрете сексуального насилия и публично осудить изнасилования, совершенные должностными лицами или членами «Имбонеракуре».</w:t>
      </w:r>
    </w:p>
    <w:p w14:paraId="7134D16D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Правозащитники, члены гражданского общества, журналисты и политические оппоненты</w:t>
      </w:r>
    </w:p>
    <w:p w14:paraId="12532C06" w14:textId="77777777" w:rsidR="004137E3" w:rsidRPr="00F57E76" w:rsidRDefault="004137E3" w:rsidP="004137E3">
      <w:pPr>
        <w:pStyle w:val="SingleTxtG"/>
      </w:pPr>
      <w:r>
        <w:t>20.</w:t>
      </w:r>
      <w:r>
        <w:tab/>
        <w:t xml:space="preserve">Комитет по-прежнему обеспокоен многочисленными заявлениями о запугивании, угрозах, травле, физических нападениях, произвольных задержаниях и содержании под стражей, судебном преследовании, пытках и жестоком обращении, насильственных исчезновениях и внесудебных казнях, которым правозащитники, политические оппоненты, члены гражданского общества, журналисты и критики правительства продолжают регулярно подвергаться со стороны полиции, Национальной разведывательной службы и членов «Имбонеракуре». Он также обеспокоен недостаточными усилиями государства-участника по предоставлению этим лицам надлежащей защиты, проведению оперативных, эффективных и беспристрастных расследований и назначению виновным в этих преступлениях соответствующих наказаний. Кроме того, Комитет по-прежнему глубоко обеспокоен постоянными сообщениями об атмосфере блокирования гражданского пространства в Бурунди, характеризующейся приостановкой деятельности и санкциями в отношении неправительственных организаций, частных и независимых СМИ, а также многочисленными утверждениями о нападениях и судебных преследованиях представителей гражданского общества и журналистов, о чем свидетельствует ситуация с журналисткой Флориан Ирангабие, задержанной в августе 2022 года сотрудниками Национальной разведывательной службы после критики правительства в радиопередаче и осужденной 2 января 2023 года за «посягательство на целостность национальной территории». В этой связи Комитет обеспокоен сообщениями о том, что власти используют положения уголовного законодательства для подавления инакомыслия. И наконец, Комитет глубоко обеспокоен длительным отстранением от работы адвоката Ламбера Нигаруры и отсутствием ясности в отношении шагов, которые необходимо предпринять, и компетентного учреждения, в которое следует </w:t>
      </w:r>
      <w:r>
        <w:lastRenderedPageBreak/>
        <w:t>обратиться для содействия его восстановлению в адвокатуре, а также лишением статусов адвоката и обвинительными приговорами адвокатов Армеля Нийонгере, Дьедонне Баширахишизе и Виталя Ншимириманы, которые сотрудничали с Комитетом в качестве представителей гражданского общества Бурунди в ходе рассмотрения специального доклада государства-участника. Комитет считает, что эти санкции могут представлять собой акт преследования за информацию, предоставленную Комитету указанными четырьмя адвокатами в контексте рассмотрения специального доклада Бурунди</w:t>
      </w:r>
      <w:r>
        <w:rPr>
          <w:rStyle w:val="aa"/>
        </w:rPr>
        <w:footnoteReference w:id="11"/>
      </w:r>
      <w:r>
        <w:t xml:space="preserve"> (статьи 2, 12, 13 и 16).</w:t>
      </w:r>
    </w:p>
    <w:p w14:paraId="1BCCAB89" w14:textId="77777777" w:rsidR="004137E3" w:rsidRPr="00F57E76" w:rsidRDefault="004137E3" w:rsidP="004137E3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15DD79F1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обеспечивать правозащитникам, политической оппозиции, членам гражданского общества, журналистам и критикам правительства надлежащую защиту от всех форм запугивания, травли, насилия, произвольного задержания и содержания под стражей, судебного преследования, пыток и жестокого обращения, насильственных исчезновений и внесудебных казней, которым они могут подвергнуться в результате своей деятельности;</w:t>
      </w:r>
      <w:r>
        <w:t xml:space="preserve"> </w:t>
      </w:r>
    </w:p>
    <w:p w14:paraId="6C9BDDDA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принимать все необходимые меры для проведения оперативного, эффективного и беспристрастного расследования таких обвинений в нарушениях прав человека, выносить виновным соответствующие меры наказания, обеспечивая их надлежащее исполнение, и немедленно освободить всех лиц,</w:t>
      </w:r>
      <w:r w:rsidRPr="007F390C">
        <w:rPr>
          <w:b/>
          <w:bCs/>
        </w:rPr>
        <w:t xml:space="preserve"> </w:t>
      </w:r>
      <w:r>
        <w:rPr>
          <w:b/>
          <w:bCs/>
        </w:rPr>
        <w:t>содержащихся под стражей за осуществление своих прав на свободу слова, мирных собраний и ассоциации;</w:t>
      </w:r>
    </w:p>
    <w:p w14:paraId="329AE317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принимать меры по поощрению гражданского пространства и права на свободу слова и ассоциаций, в том числе путем пересмотра Закона № 1/02 от 27 января 2017 года об организационной структуре некоммерческих организаций и отмены указов о приостановлении деятельности и санкций, наложенных на частные и независимые СМИ, которые все еще подпадают под эти меры;</w:t>
      </w:r>
    </w:p>
    <w:p w14:paraId="7B06BC99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положить конец ненадлежащему применению положений уголовного законодательства для подавления инакомыслия и криминализации свободы слова;</w:t>
      </w:r>
      <w:r>
        <w:t xml:space="preserve"> </w:t>
      </w:r>
    </w:p>
    <w:p w14:paraId="4C7E3237" w14:textId="7E0D80BC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защитить членов гражданского общества, сотрудничавших с Комитетом при рассмотрении специального доклада Бурунди, прекратить все акты преследования, в частности в отношении адвокатов Армеля Нийонгере, Ламбера Нигаруры, Дьедонне Баширахишизе и Виталя Ншимириманы, а также принять все необходимые меры для предотвращения актов запугивания и преследования и создания безопасной обстановки, способствующей диалогу с</w:t>
      </w:r>
      <w:r w:rsidR="00CD2540">
        <w:rPr>
          <w:b/>
          <w:bCs/>
        </w:rPr>
        <w:t xml:space="preserve"> </w:t>
      </w:r>
      <w:r>
        <w:rPr>
          <w:b/>
          <w:bCs/>
        </w:rPr>
        <w:t>Организацией Объединенных Наций, ее представителями и ее правозащитными механизмами.</w:t>
      </w:r>
    </w:p>
    <w:p w14:paraId="205952E8" w14:textId="77777777" w:rsidR="004137E3" w:rsidRPr="004568A8" w:rsidRDefault="004137E3" w:rsidP="004137E3">
      <w:pPr>
        <w:pStyle w:val="H23G"/>
      </w:pPr>
      <w:r>
        <w:tab/>
      </w:r>
      <w:r>
        <w:tab/>
      </w:r>
      <w:r>
        <w:rPr>
          <w:bCs/>
        </w:rPr>
        <w:t>Определение</w:t>
      </w:r>
      <w:r w:rsidRPr="004568A8">
        <w:rPr>
          <w:bCs/>
        </w:rPr>
        <w:t xml:space="preserve"> </w:t>
      </w:r>
      <w:r>
        <w:rPr>
          <w:bCs/>
        </w:rPr>
        <w:t>пыток</w:t>
      </w:r>
    </w:p>
    <w:p w14:paraId="1DCE497A" w14:textId="53C9EE05" w:rsidR="004137E3" w:rsidRPr="00F57E76" w:rsidRDefault="004137E3" w:rsidP="004137E3">
      <w:pPr>
        <w:pStyle w:val="SingleTxtG"/>
        <w:rPr>
          <w:rFonts w:eastAsia="Calibri"/>
          <w:bCs/>
        </w:rPr>
      </w:pPr>
      <w:r>
        <w:t>22.</w:t>
      </w:r>
      <w:r>
        <w:tab/>
        <w:t xml:space="preserve">Комитет отмечает положения статьи 25 Конституции, запрещающей пытки и жестокое обращение, и считает, что определение преступления пытки, содержащееся в статье 206 Уголовного кодекса, соответствует положениям статьи 1 Конвенции. </w:t>
      </w:r>
      <w:r w:rsidR="00583494">
        <w:br/>
      </w:r>
      <w:r>
        <w:t xml:space="preserve">Он также с удовлетворением отмечает закрепление полного запрета пыток в статье 210 Уголовного кодекса согласно пунктам 2 и 3 статьи 2 Конвенции и соответствие наказаний, предусмотренных в статьях 207–209 Уголовного кодекса, пункту 2 статьи 4 Конвенции. Однако Комитет обеспокоен тем, что Уголовный кодекс не содержит прямой криминализации покушения любого лица на пытку или любые действия, представляющие собой соучастие или соисполнение акта пытки, как того требует пункт 1 статьи 4 Конвенции. Он также обеспокоен тем, что на преступление пытки </w:t>
      </w:r>
      <w:r>
        <w:lastRenderedPageBreak/>
        <w:t>может распространяться срок давности, если оно не квалифицируется как преступление против человечности или военное преступление в соответствии со статьями 198 и 200 Уголовного кодекса. Кроме того, Комитет с обеспокоенностью отмечает, что до сих пор не включен в национальное законодательство принцип ответственности вышестоящих за преступление пытки и других видов жестокого обращения, в соответствии с которым вышестоящие инстанции несут уголовную ответственность за поведение своих подчиненных, если знали о совершении или склонности к совершению теми таких деяний, но не предприняли разумных превентивных мер (статьи 1, 2 и 4).</w:t>
      </w:r>
      <w:bookmarkStart w:id="3" w:name="_Hlk151488034"/>
      <w:bookmarkEnd w:id="3"/>
    </w:p>
    <w:p w14:paraId="0DE593D5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рассмотреть вопрос о внесении в Уголовный кодекс поправок:</w:t>
      </w:r>
    </w:p>
    <w:p w14:paraId="3B6502EF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обеспечивающих неприменимость сроков давности к преступлению пытки, даже когда оно не классифицируется как преступление против человечности или военное преступление, чтобы избежать риска безнаказанности и гарантировать расследование актов пыток, уголовное преследование и наказание виновных;</w:t>
      </w:r>
    </w:p>
    <w:p w14:paraId="2D2E5947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криминализирующих покушения любых лиц на пытки или действия, представляющие собой соучастие в акте пыток или его соисполнение;</w:t>
      </w:r>
    </w:p>
    <w:p w14:paraId="6623B316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включить в законодательство принцип ответственности вышестоящей инстанции за преступление пытки и другие виды жестокого обращения.</w:t>
      </w:r>
    </w:p>
    <w:p w14:paraId="029A38F9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Основные гарантии</w:t>
      </w:r>
    </w:p>
    <w:p w14:paraId="71886419" w14:textId="65B21ED2" w:rsidR="004137E3" w:rsidRPr="00F57E76" w:rsidRDefault="004137E3" w:rsidP="004137E3">
      <w:pPr>
        <w:pStyle w:val="SingleTxtG"/>
        <w:rPr>
          <w:rFonts w:eastAsia="Calibri"/>
        </w:rPr>
      </w:pPr>
      <w:r>
        <w:t>24.</w:t>
      </w:r>
      <w:r>
        <w:tab/>
        <w:t>Комитет принимает к сведению гарантии предупреждения пыток и жестокого обращения, закрепленные в Уголовно-процессуальном кодексе, но</w:t>
      </w:r>
      <w:r w:rsidR="00583494" w:rsidRPr="00583494">
        <w:t>,</w:t>
      </w:r>
      <w:r>
        <w:t xml:space="preserve"> тем не менее</w:t>
      </w:r>
      <w:r w:rsidR="00583494" w:rsidRPr="00583494">
        <w:t>,</w:t>
      </w:r>
      <w:r>
        <w:t xml:space="preserve"> обеспокоен сообщениями о том, что на практике лицам, содержащимся под стражей, систематически не предоставляются все основные правовые гарантии с самого начала лишения свободы. В этой связи Комитет был проинформирован о том, что: a) право лиц, содержащихся под стражей в полиции, быть информированными о причинах их задержания, характере выдвинутых против них обвинений и их правах, соблюдается не всегда; b) доступ к услугам адвоката на практике не гарантирован, особенно во время следствия; c) своевременное проведение медицинского осмотра независимым врачом для выявления признаков пыток и жестокого обращения не является стандартной практикой; d) осуществление права на уведомление родственника или лица по своему выбору часто откладывается, а порой в нем и вовсе отказывают; e) журналы регистрации лиц, лишенных свободы, и содержащиеся в них данные часто неполны и не используются систематически и последовательно на всех этапах содержания под стражей; f) задержанные доставляются к следственному судье намного позже срока, установленного бурундийским законодательством, что подвергает их повышенному риску пыток или жестокого обращения. В этой связи Комитет с обеспокоенностью отмечает, что в соответствии со статьей 34 Уголовно-процессуального кодекса содержание под стражей в полиции может продолжаться до семи дней с возможностью продления один раз по мотивированному решению прокурора, и что сроки содержания под стражей в полиции регулярно превышаются (статьи 2, 11 и 16). </w:t>
      </w:r>
    </w:p>
    <w:p w14:paraId="18750368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25.</w:t>
      </w:r>
      <w:r>
        <w:tab/>
      </w:r>
      <w:r>
        <w:rPr>
          <w:b/>
          <w:bCs/>
        </w:rPr>
        <w:t>Комитет настоятельно призывает государство-участник обеспечить предоставление всем задержанным лицам с самого начала их лишения свободы, по закону и на практике, всех основных правовых гарантий, включая следующие права:</w:t>
      </w:r>
    </w:p>
    <w:p w14:paraId="5C105B9C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быть информированным на понятном им языке о причине задержания, характере предъявляемых обвинений и своих правах;</w:t>
      </w:r>
    </w:p>
    <w:p w14:paraId="7A975DAA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получать помощь независимого адвоката по своему выбору на различных стадиях судебного разбирательства, в том числе на этапе следствия, и в случае необходимости иметь доступ к квалифицированной, независимой и бесплатной юридической помощи;</w:t>
      </w:r>
    </w:p>
    <w:p w14:paraId="1BF1357A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lastRenderedPageBreak/>
        <w:t>c)</w:t>
      </w:r>
      <w:r>
        <w:tab/>
      </w:r>
      <w:r>
        <w:rPr>
          <w:b/>
          <w:bCs/>
        </w:rPr>
        <w:t>просить и добиваться бесплатного осмотра независимым врачом или врачом по своему выбору в дополнение к любому медицинскому освидетельствованию, которое проводится по требованию властей; медицинские освидетельствования должны проводиться вне пределов слышимости и видимости сотрудников полиции и тюремного персонала, если только соответствующий врач прямо не потребует иного, в соответствии с принципом врачебной тайны;</w:t>
      </w:r>
    </w:p>
    <w:p w14:paraId="0F9D4065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иметь гарантии того, что их медицинские данные будут незамедлительно доведены до сведения прокурора во всех случаях, когда выводы или утверждения свидетельствуют о возможных актах пыток или жестоком обращении;</w:t>
      </w:r>
    </w:p>
    <w:p w14:paraId="1EBC2993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информировать члена своей семьи или любое другое лицо по своему выбору о своем задержании;</w:t>
      </w:r>
    </w:p>
    <w:p w14:paraId="3393BFCC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ознакомляться с записью о своем задержании;</w:t>
      </w:r>
    </w:p>
    <w:p w14:paraId="4631D551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в кратчайший срок предстать перед независимым судебным органом, чтобы обеспечивать контроль причин помещения под стражу и продления срока содержания;</w:t>
      </w:r>
    </w:p>
    <w:p w14:paraId="00D166F6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rPr>
          <w:b/>
          <w:bCs/>
        </w:rPr>
        <w:t>h)</w:t>
      </w:r>
      <w:r>
        <w:tab/>
      </w:r>
      <w:r>
        <w:rPr>
          <w:b/>
          <w:bCs/>
        </w:rPr>
        <w:t>оспорить законность своего задержания на любой стадии процесса.</w:t>
      </w:r>
    </w:p>
    <w:p w14:paraId="7C67995F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пересмотреть Уголовно-процессуальный кодекс, с тем чтобы максимальная продолжительность содержания под стражей в полиции не превышала сорока восьми часов и продлевалась один раз в исключительных обстоятельствах, должным образом обоснованных весомыми аргументами.</w:t>
      </w:r>
      <w:r>
        <w:t xml:space="preserve"> </w:t>
      </w:r>
      <w:r>
        <w:rPr>
          <w:b/>
          <w:bCs/>
        </w:rPr>
        <w:t>Кроме того, государству-участнику следует обеспечивать надлежащее регулярное обучение основным правовым гарантиям должностных лиц, участвующих в деятельности, связанной с задержанием, контролировать соблюдение этих положений и применять санкции в случае их несоблюдения.</w:t>
      </w:r>
    </w:p>
    <w:p w14:paraId="2D73BF96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Предварительное заключение</w:t>
      </w:r>
    </w:p>
    <w:p w14:paraId="4C899610" w14:textId="77777777" w:rsidR="004137E3" w:rsidRPr="00F57E76" w:rsidRDefault="004137E3" w:rsidP="004137E3">
      <w:pPr>
        <w:pStyle w:val="SingleTxtG"/>
        <w:rPr>
          <w:rFonts w:eastAsia="Calibri"/>
        </w:rPr>
      </w:pPr>
      <w:r>
        <w:t>27.</w:t>
      </w:r>
      <w:r>
        <w:tab/>
        <w:t>Отмечая положения Уголовно-процессуального кодекса, ограничивающие срок предварительного заключения одним годом, «если деяние является преступлением, за которое предусмотрено наказание не более пяти лет», и тремя годами, «если наказание, предусмотренное за преступление, превышает пять лет заключения», Комитет обеспокоен сообщениями о том, что продолжительность предварительного заключения постоянно превышает установленные законом пределы и около 50 % всех заключенных ожидают суда</w:t>
      </w:r>
      <w:r>
        <w:rPr>
          <w:rStyle w:val="aa"/>
        </w:rPr>
        <w:footnoteReference w:id="12"/>
      </w:r>
      <w:r>
        <w:t xml:space="preserve">. Он также обеспокоен чрезмерным использованием длительного или бессрочного предварительного заключения без регулярной проверки его законности, что напрямую способствует хронической переполненности мест содержания под стражей. Кроме того, Комитет с обеспокоенностью отмечает сообщения о том, что Генеральный прокурор Республики регулярно обходит постановления судей об освобождении лиц, содержащихся под стражей до суда, и продолжает содержать под стражей лиц, отбывших наказание (статьи 2, 11 и 16). </w:t>
      </w:r>
    </w:p>
    <w:p w14:paraId="554EC2F8" w14:textId="77777777" w:rsidR="004137E3" w:rsidRPr="00F57E76" w:rsidRDefault="004137E3" w:rsidP="004137E3">
      <w:pPr>
        <w:pStyle w:val="SingleTxtG"/>
        <w:rPr>
          <w:rFonts w:eastAsia="Calibri"/>
        </w:rPr>
      </w:pPr>
      <w:r>
        <w:t>28.</w:t>
      </w:r>
      <w:r>
        <w:tab/>
      </w:r>
      <w:r>
        <w:rPr>
          <w:b/>
          <w:bCs/>
        </w:rPr>
        <w:t>Государству-участнику следует:</w:t>
      </w:r>
    </w:p>
    <w:p w14:paraId="499A9828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систематическую проверку прокуратурой законности предварительного заключения, чтобы обеспечить неукоснительное соблюдение соответствующих правил, и назначение содержания под стражей только в исключительных случаях, на ограниченные сроки и в соответствии с законом, с учетом принципов необходимости и соразмерности;</w:t>
      </w:r>
    </w:p>
    <w:p w14:paraId="4ACC1E3B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активно пропагандировать среди прокуроров и судей использование альтернатив предварительному заключению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</w:t>
      </w:r>
      <w:r>
        <w:rPr>
          <w:b/>
          <w:bCs/>
        </w:rPr>
        <w:lastRenderedPageBreak/>
        <w:t>заключенными и мер наказания для женщин-правонарушителей, не связанных с лишением свободы (Бангкокские правила);</w:t>
      </w:r>
    </w:p>
    <w:p w14:paraId="13B0A643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  <w:spacing w:val="-2"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пересмотреть дела всех лиц, находящихся в предварительном заключении, и немедленно освободить всех тех, кто уже провел под стражей больше времени, чем оправдывает максимальный срок тюремного заключения за вменяемые им преступления;</w:t>
      </w:r>
    </w:p>
    <w:p w14:paraId="7AE7103C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соблюдение Генеральным прокурором Республики постановлений судей об освобождении лиц, находящихся в предварительном заключении, и немедленное освобождение лиц, уже отбывших наказание и содержащихся под стражей незаконно;</w:t>
      </w:r>
    </w:p>
    <w:p w14:paraId="0D66BAF9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  <w:spacing w:val="-2"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пересмотреть Уголовно-процессуальный кодекс, сократив максимальные сроки предварительного заключения, чтобы привести их в соответствие с международными стандартами справедливого судебного разбирательства.</w:t>
      </w:r>
    </w:p>
    <w:p w14:paraId="391F8899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09C81A85" w14:textId="77777777" w:rsidR="004137E3" w:rsidRPr="00F57E76" w:rsidRDefault="004137E3" w:rsidP="004137E3">
      <w:pPr>
        <w:pStyle w:val="SingleTxtG"/>
        <w:rPr>
          <w:rFonts w:eastAsia="Calibri"/>
        </w:rPr>
      </w:pPr>
      <w:r>
        <w:t>29.</w:t>
      </w:r>
      <w:r>
        <w:tab/>
        <w:t>Отмечая меры, принятые государством-участником для улучшения условий содержания под стражей, включая принятие в 2018 году Пенитенциарной политики, Комитет все же глубоко обеспокоен сообщениями о переполненности некоторых тюрем и плохих материальных условиях содержания в местах лишения свободы, в частности антисанитарными и плохими гигиеническими условиями, отсутствием вентиляции, недостаточным количеством кроватей и спальных мест, ненадлежащим качеством пищи и воды, предоставляемых в недостаточном количестве, а также отсутствием досуговых и образовательных мероприятий, способствующих реинтеграции в общество. Кроме того, серьезными проблемами в пенитенциарной системе остаются ограниченный доступ к качественному здравоохранению, в том числе поддержанию психического здоровья, особенно для беременных женщин и женщин, содержащихся вместе с детьми, а также нехватка подготовленного и квалифицированного тюремного персонала, в том числе медицинского. Комитет также обеспокоен сообщениями о масштабах насилия в тюрьмах, включая насилие со стороны тюремного персонала в отношении заключенных и насилие между заключенными, а также об отсутствии эффективного разделения между различными категориями заключенных (статьи 2, 11 и 16).</w:t>
      </w:r>
    </w:p>
    <w:p w14:paraId="5CAE17FD" w14:textId="77777777" w:rsidR="004137E3" w:rsidRPr="00F57E76" w:rsidRDefault="004137E3" w:rsidP="004137E3">
      <w:pPr>
        <w:pStyle w:val="SingleTxtG"/>
        <w:rPr>
          <w:rFonts w:eastAsia="Calibri"/>
        </w:rPr>
      </w:pPr>
      <w:r>
        <w:t>30.</w:t>
      </w:r>
      <w:r>
        <w:tab/>
      </w:r>
      <w:r>
        <w:rPr>
          <w:b/>
          <w:bCs/>
        </w:rPr>
        <w:t>Комитет настоятельно призывает государство-участник удвоить усилия в сотрудничестве с соответствующими международными учреждениями, включая Программу развития Организации Объединенных Наций, для приведения условий содержания в тюрьмах в соответствие с Минимальными стандартными правилами Организации Объединенных Наций в отношении обращения с заключенными (Правила Нельсона Манделы) и Бангкокскими правилами.</w:t>
      </w:r>
      <w:r>
        <w:t xml:space="preserve"> </w:t>
      </w:r>
      <w:r>
        <w:rPr>
          <w:b/>
          <w:bCs/>
        </w:rPr>
        <w:t>Государству-участнику, в частности, следует:</w:t>
      </w:r>
    </w:p>
    <w:p w14:paraId="1DDB1D2E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устранить переполненность тюрем за счет более широкого использования альтернатив содержанию под стражей, а также продолжить реализацию проектов по развитию тюремной инфраструктуры и улучшению условий содержания под стражей;</w:t>
      </w:r>
    </w:p>
    <w:p w14:paraId="79FB2022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 удовлетворение основных потребностей лиц, лишенных свободы, в частности в том, что касается доступа к достаточному количеству питьевой воды и пищи надлежащего качества;</w:t>
      </w:r>
    </w:p>
    <w:p w14:paraId="320CC1EC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обеспечивать в местах лишения свободы доступ к рекреационным и культурным мероприятиям, а также к профессиональному обучению и образованию с целью содействия реинтеграции заключенных в общество;</w:t>
      </w:r>
      <w:r>
        <w:t xml:space="preserve"> </w:t>
      </w:r>
    </w:p>
    <w:p w14:paraId="2E784118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выделять необходимые ресурсы для обеспечения надлежащего медицинского и санитарного обслуживания заключенных, в том числе в части поддержания психического здоровья, в особенности для беременных женщин и женщин, содержащихся под стражей вместе со своими детьми, в соответствии с правилами 24–35 Правил Нельсона Манделы;</w:t>
      </w:r>
    </w:p>
    <w:p w14:paraId="5665FEB3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e)</w:t>
      </w:r>
      <w:r>
        <w:tab/>
      </w:r>
      <w:r>
        <w:rPr>
          <w:b/>
          <w:bCs/>
        </w:rPr>
        <w:t>увеличить число обученных и квалифицированных сотрудников тюрем, включая медицинский персонал, и усилить надзор за насилием между заключенными и борьбу с ним;</w:t>
      </w:r>
    </w:p>
    <w:p w14:paraId="21E8EFB9" w14:textId="77777777" w:rsidR="004137E3" w:rsidRPr="00F57E76" w:rsidRDefault="004137E3" w:rsidP="004137E3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обеспечивать быстрое, беспристрастное и эффективное расследование всех утверждений об актах пыток или жестоком обращении со стороны тюремного персонала, а также преследование и должное наказание предполагаемых виновных;</w:t>
      </w:r>
    </w:p>
    <w:p w14:paraId="004145C2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гарантировать во всех местах содержания под стражей строгое разделение между женщинами и мужчинами, между несовершеннолетними и взрослыми, а также между лицами в предварительном заключении и осужденными лицами.</w:t>
      </w:r>
      <w:r>
        <w:t xml:space="preserve"> </w:t>
      </w:r>
    </w:p>
    <w:p w14:paraId="631DC3C5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Смертность в местах содержания под стражей</w:t>
      </w:r>
    </w:p>
    <w:p w14:paraId="07EC416D" w14:textId="77777777" w:rsidR="004137E3" w:rsidRPr="00F57E76" w:rsidRDefault="004137E3" w:rsidP="004137E3">
      <w:pPr>
        <w:pStyle w:val="SingleTxtG"/>
        <w:rPr>
          <w:rFonts w:eastAsia="Calibri"/>
        </w:rPr>
      </w:pPr>
      <w:r>
        <w:t>31.</w:t>
      </w:r>
      <w:r>
        <w:tab/>
        <w:t>Комитет обеспокоен сообщениями о большом количестве смертей, в том числе насильственных, в местах содержания под стражей. Он сожалеет об отсутствии достоверной информации об общем количестве смертей в местах лишения свободы за весь отчетный период, о причинах этих смертей и соответствующих расследованиях, о специальных мерах, принятых для предотвращения новых смертей в местах лишения свободы, и о случаях предоставления компенсации родственникам погибших (статьи 2, 11–13 и 16).</w:t>
      </w:r>
    </w:p>
    <w:p w14:paraId="0D96A0D5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32.</w:t>
      </w:r>
      <w:r>
        <w:tab/>
      </w:r>
      <w:r>
        <w:rPr>
          <w:b/>
          <w:bCs/>
        </w:rPr>
        <w:t>Государству-участнику следует:</w:t>
      </w:r>
    </w:p>
    <w:p w14:paraId="66A4C1A0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оперативное и беспристрастное расследование всех случаев смерти в местах лишения свободы независимым органом с учетом Миннесотского протокола по расследованию предположительно незаконного лишения жизни; установить, несут ли государственные должностные лица или вышестоящие лица ответственность за эти случаи, и если да, надлежащим образом наказать виновных и предоставить семьям жертв должное возмещение ущерба;</w:t>
      </w:r>
      <w:bookmarkStart w:id="4" w:name="_Hlk151487350"/>
      <w:bookmarkEnd w:id="4"/>
    </w:p>
    <w:p w14:paraId="59A50472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призвать Министерство юстиции оценить эффективность стратегий по предотвращению самоубийств и членовредительства, а также программ по профилактике, обследованию и лечению хронических, дегенеративных и инфекционных или заразных заболеваний в тюрьмах;</w:t>
      </w:r>
    </w:p>
    <w:p w14:paraId="2AA863C7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собирать подробную информацию о смертях во всех местах содержания под стражей и их причинах, а также о результатах расследований и предоставлять ее Комитету.</w:t>
      </w:r>
    </w:p>
    <w:p w14:paraId="1908A562" w14:textId="77777777" w:rsidR="004137E3" w:rsidRPr="00F57E76" w:rsidRDefault="004137E3" w:rsidP="004137E3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Надзор за местами содержания под стражей и национальный превентивный механизм</w:t>
      </w:r>
    </w:p>
    <w:p w14:paraId="7BBD5D24" w14:textId="77777777" w:rsidR="004137E3" w:rsidRPr="00F57E76" w:rsidRDefault="004137E3" w:rsidP="004137E3">
      <w:pPr>
        <w:pStyle w:val="SingleTxtG"/>
        <w:rPr>
          <w:rFonts w:eastAsia="Calibri"/>
        </w:rPr>
      </w:pPr>
      <w:r>
        <w:t>33.</w:t>
      </w:r>
      <w:r>
        <w:tab/>
        <w:t>Отмечая, что государство-участник указало, что тюрьмы и другие места лишения свободы регулярно инспектируются прокуратурой, Независимой национальной комиссией по правам человека и некоторыми неправительственными организациями, Комитет обеспокоен задержкой в создании национального механизма по предупреждению пыток во исполнение обязательства, принятого государством-участником в результате присоединения в 2013 году к Факультативному протоколу к Конвенции. Комитет также обеспокоен отсутствием информации о мерах, принятых для обеспечения эффективного выполнения рекомендаций, вынесенных независимыми механизмами по итогам их внеплановых посещений мест лишения свободы (статьи 2, 11 и 16).</w:t>
      </w:r>
    </w:p>
    <w:p w14:paraId="2AAB254A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следует:</w:t>
      </w:r>
    </w:p>
    <w:p w14:paraId="02C2616D" w14:textId="02D3BD90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как можно скорее создать национальный механизм предупреждения пыток для надзора за</w:t>
      </w:r>
      <w:r w:rsidR="00CD2540">
        <w:rPr>
          <w:b/>
          <w:bCs/>
        </w:rPr>
        <w:t xml:space="preserve"> </w:t>
      </w:r>
      <w:r>
        <w:rPr>
          <w:b/>
          <w:bCs/>
        </w:rPr>
        <w:t xml:space="preserve">всеми местами лишения свободы и их инспектирования и предоставить ему необходимые людские и финансовые ресурсы для эффективной и независимой деятельности в соответствии с Руководящими принципами, </w:t>
      </w:r>
      <w:r>
        <w:rPr>
          <w:b/>
          <w:bCs/>
        </w:rPr>
        <w:lastRenderedPageBreak/>
        <w:t>касающимися национальных превентивных механизмов</w:t>
      </w:r>
      <w:r w:rsidRPr="00222140">
        <w:rPr>
          <w:rStyle w:val="aa"/>
        </w:rPr>
        <w:footnoteReference w:id="13"/>
      </w:r>
      <w:r>
        <w:rPr>
          <w:b/>
          <w:bCs/>
        </w:rPr>
        <w:t>, а также рассмотреть возможность обращения за технической помощью в Подкомитет по предупреждению пыток и других жестоких, бесчеловечных или унижающих достоинство видов обращения и наказания для создания национального превентивного механизма в полном соответствии с Факультативным протоколом к Конвенции;</w:t>
      </w:r>
    </w:p>
    <w:p w14:paraId="76204865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обеспечивать международным и национальным наблюдательным органам, ответственным за посещение мест лишения свободы, возможность проводить регулярные, независимые и внеплановые посещения всех мест лишения свободы в стране, в том числе подведомственных полиции, Национальной разведывательной службе и вооруженным силам, конфиденциально опрашивать всех задержанных и обеспечивать их защиту от любых форм преследования;</w:t>
      </w:r>
    </w:p>
    <w:p w14:paraId="4F863491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разрешить неправительственным правозащитным организациям и организациям гражданского общества, предоставляющим услуги в области здравоохранения и образования, вести деятельность по надзору в местах лишения свободы.</w:t>
      </w:r>
    </w:p>
    <w:p w14:paraId="6A9B8267" w14:textId="77777777" w:rsidR="004137E3" w:rsidRPr="00F57E76" w:rsidRDefault="004137E3" w:rsidP="004137E3">
      <w:pPr>
        <w:pStyle w:val="H23G"/>
      </w:pPr>
      <w:bookmarkStart w:id="5" w:name="_Hlk137117199"/>
      <w:bookmarkEnd w:id="5"/>
      <w:r>
        <w:tab/>
      </w:r>
      <w:r>
        <w:tab/>
      </w:r>
      <w:r>
        <w:rPr>
          <w:bCs/>
        </w:rPr>
        <w:t>Возмещение ущерба</w:t>
      </w:r>
    </w:p>
    <w:p w14:paraId="6AE6A08D" w14:textId="77777777" w:rsidR="004137E3" w:rsidRPr="00F57E76" w:rsidRDefault="004137E3" w:rsidP="004137E3">
      <w:pPr>
        <w:pStyle w:val="SingleTxtG"/>
        <w:rPr>
          <w:rFonts w:eastAsia="Calibri"/>
          <w:bCs/>
        </w:rPr>
      </w:pPr>
      <w:r>
        <w:t>35.</w:t>
      </w:r>
      <w:r>
        <w:tab/>
        <w:t>Отмечая, что статья 349 Уголовно-процессуального кодекса предусматривает компенсацию жертвам пыток, Комитет сожалеет, что государство-участник не представило полной информации о мерах по возмещению ущерба и компенсации, назначенных судами и другими государственными органами и фактически предоставленных жертвам пыток и их семьям в течение отчетного периода, а также об уровне сотрудничества в этой области со специализированными неправительственными организациями. Комитет также обеспокоен сообщениями о крайне ограниченном объеме медицинской и психосоциальной реабилитации, обеспечиваемой жертвам пыток в дополнение к компенсации, и сожалеет об отсутствии информации о создании специальных программ реабилитации для таких лиц. Кроме того, Комитет с обеспокоенностью отмечает предоставленную государством-участником информацию о том, что подача жертвами преступлений гражданского иска для возмещения ущерба процессуально подчинена уголовному судопроизводству.</w:t>
      </w:r>
    </w:p>
    <w:p w14:paraId="2CAA3A15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</w:p>
    <w:p w14:paraId="19831105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необходимые законодательные и административные меры для обеспечения жертвам пыток или жестокого обращения, их семьям и защищающим их лицам возможности возбуждать гражданские дела о возмещении ущерба независимо от любого ведущегося или завершенного уголовного процесса, в том числе в случаях, когда лицо, совершившее соответствующие действия, не установлено;</w:t>
      </w:r>
    </w:p>
    <w:p w14:paraId="5430BB0A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законодательно и практически обеспечить всем жертвам пыток или жестокого обращения возможность получить возмещение ущерба, включая право на справедливую и адекватную компенсацию и средства для максимально полной реабилитации;</w:t>
      </w:r>
    </w:p>
    <w:p w14:paraId="6C8460BF" w14:textId="77777777" w:rsidR="004137E3" w:rsidRPr="00F57E76" w:rsidRDefault="004137E3" w:rsidP="004137E3">
      <w:pPr>
        <w:pStyle w:val="SingleTxtG"/>
        <w:keepNext/>
        <w:keepLines/>
        <w:ind w:firstLine="567"/>
        <w:rPr>
          <w:rFonts w:eastAsia="Calibri"/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собирать и распространять обновленную статистику о количестве жертв пыток и жестокого обращения, получивших возмещение ущерба, включая медицинскую и психосоциальную реабилитацию и компенсацию, а также о формах возмещения и достигнутых результатах.</w:t>
      </w:r>
    </w:p>
    <w:p w14:paraId="2D8071BB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Правосудие переходного периода</w:t>
      </w:r>
    </w:p>
    <w:p w14:paraId="3397CD9B" w14:textId="002F9BC3" w:rsidR="004137E3" w:rsidRPr="00F57E76" w:rsidRDefault="004137E3" w:rsidP="004137E3">
      <w:pPr>
        <w:pStyle w:val="SingleTxtG"/>
        <w:rPr>
          <w:rFonts w:eastAsia="Calibri"/>
          <w:bCs/>
        </w:rPr>
      </w:pPr>
      <w:r>
        <w:t>37.</w:t>
      </w:r>
      <w:r>
        <w:tab/>
        <w:t xml:space="preserve">Отмечая принятие Закона № 1/022 от 6 ноября 2018 года о внесении изменений в Закон № 1/18 от 15 мая 2014 года о создании, полномочиях, составе, организации и порядке работы Комиссии по установлению истины и примирению, мандат которой </w:t>
      </w:r>
      <w:r>
        <w:lastRenderedPageBreak/>
        <w:t xml:space="preserve">был продлен и охватил период с 1885 по 2008 год, Комитет обеспокоен медленным ходом привлечения к ответственности лиц, виновных в совершенных в этот период серьезных нарушениях прав человека, включая пытки и жестокое обращение. </w:t>
      </w:r>
      <w:r w:rsidR="00355E32">
        <w:br/>
      </w:r>
      <w:r>
        <w:t>Он особенно обеспокоен отсутствием публичной информации о ходе расследований и малым количеством обвинительных приговоров. Он также обеспокоен отсутствием комплексного механизма возмещения ущерба жертвам нарушений прав человека. Комитет также обеспокоен утверждениями о недостаточной эффективности и независимости Комиссии и сожалеет, что не получил никакой информации о реформах, необходимых для укрепления этого института. И наконец, Комитет сожалеет, что мандат Комиссии не охватывает серьезные нарушения прав человека, которые, как утверждается, были совершены с 2015 года (статьи 2, 12, 13, 14 и 16).</w:t>
      </w:r>
    </w:p>
    <w:p w14:paraId="61B76F66" w14:textId="2053F950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принять все необходимые меры для обеспечения того, чтобы работа Комиссии по установлению истины и примирению была независимой, беспристрастной, инклюзивной, прозрачной и сбалансированной.</w:t>
      </w:r>
      <w:r>
        <w:t xml:space="preserve"> </w:t>
      </w:r>
      <w:r>
        <w:rPr>
          <w:b/>
          <w:bCs/>
        </w:rPr>
        <w:t>Ему также следует обеспечить передачу всех жалоб на серьезные нарушения прав человека, поданных в Комиссию,</w:t>
      </w:r>
      <w:r w:rsidR="00CD2540">
        <w:rPr>
          <w:b/>
          <w:bCs/>
        </w:rPr>
        <w:t xml:space="preserve"> </w:t>
      </w:r>
      <w:r>
        <w:rPr>
          <w:b/>
          <w:bCs/>
        </w:rPr>
        <w:t>независимому следственному органу для оперативного, тщательного и беспристрастного расследования; привлечение к ответственности всех лиц, виновных в серьезных нарушениях прав человека, совершенных в период действия Закона № 1/18 от 15 мая 2014 года, включая военных и гражданских руководителей, а если их вина будет установлена — назначение им наказаний, соответствующих тяжести их деяний; а также обеспечить должное возмещение ущерба и оперативную и справедливую выплату компенсаций жертвам и членам их семей.</w:t>
      </w:r>
      <w:r>
        <w:t xml:space="preserve"> </w:t>
      </w:r>
      <w:r>
        <w:rPr>
          <w:b/>
          <w:bCs/>
        </w:rPr>
        <w:t>Кроме того, государству-участнику следует принять все необходимые меры, чтобы гарантировать независимость Комиссии, обеспечивая при этом прогресс в реализации основных компонентов правосудия переходного периода, включая привлечение к ответственности, возмещение ущерба и институциональные реформы, в частности реформы сектора безопасности и правосудия.</w:t>
      </w:r>
      <w:r>
        <w:t xml:space="preserve"> </w:t>
      </w:r>
      <w:r>
        <w:rPr>
          <w:b/>
          <w:bCs/>
        </w:rPr>
        <w:t>И наконец, государству-участнику следует рассмотреть возможность пересмотра Закона</w:t>
      </w:r>
      <w:r w:rsidR="00355E32">
        <w:rPr>
          <w:b/>
          <w:bCs/>
          <w:lang w:val="en-US"/>
        </w:rPr>
        <w:t> </w:t>
      </w:r>
      <w:r>
        <w:rPr>
          <w:b/>
          <w:bCs/>
        </w:rPr>
        <w:t>№ 1/18 от 15 мая 2014 года для распространения мандата Комиссии на серьезные нарушения прав человека, предположительно совершенные с 2015 года.</w:t>
      </w:r>
    </w:p>
    <w:p w14:paraId="55398FD1" w14:textId="77777777" w:rsidR="004137E3" w:rsidRPr="00F57E76" w:rsidRDefault="004137E3" w:rsidP="004137E3">
      <w:pPr>
        <w:pStyle w:val="H23G"/>
        <w:rPr>
          <w:w w:val="103"/>
        </w:rPr>
      </w:pPr>
      <w:r>
        <w:tab/>
      </w:r>
      <w:r>
        <w:tab/>
      </w:r>
      <w:r>
        <w:rPr>
          <w:bCs/>
        </w:rPr>
        <w:t>Беженцы и перемещенные лица</w:t>
      </w:r>
    </w:p>
    <w:p w14:paraId="1C4F371E" w14:textId="509024CA" w:rsidR="004137E3" w:rsidRPr="00F57E76" w:rsidRDefault="004137E3" w:rsidP="004137E3">
      <w:pPr>
        <w:pStyle w:val="SingleTxtG"/>
        <w:rPr>
          <w:rFonts w:eastAsia="Calibri"/>
          <w:bCs/>
        </w:rPr>
      </w:pPr>
      <w:r>
        <w:t>39.</w:t>
      </w:r>
      <w:r>
        <w:tab/>
        <w:t xml:space="preserve">Отмечая усилия, предпринятые для содействия репатриации и реинтеграции граждан Бурунди, которые нашли убежище за рубежом в результате политической нестабильности и отсутствия безопасности, царивших в стране с 2015 года, Комитет обеспокоен сообщениями о том, что ряд этих граждан после добровольного возвращения в страну подверглись запугиванию, вымогательству и произвольному заключению под стражу, в том числе со стороны местных административных должностных лиц и членов «Имбонеракуре». Он также обеспокоен заявлениями о том, что бурундийские политические оппоненты, находившиеся в Объединенной Республике Танзания в качестве беженцев или просителей убежища, выслеживались агентами Национальной разведывательной службы и подвергались принудительному возвращению, запугиванию, произвольным задержаниям и насильственным исчезновениям. Кроме того, Комитет обеспокоен сообщениями о том, что значительное число лиц, перемещенных, в частности из-за кризисов в стране и стихийных бедствий, живут в лагерях в плачевных условиях и что перемещенные и репатриированные женщины и девочки подвергаются повышенному риску сексуального насилия или становятся его жертвами (статьи 2, 3 и 16). </w:t>
      </w:r>
    </w:p>
    <w:p w14:paraId="26024CD9" w14:textId="77777777" w:rsidR="004137E3" w:rsidRPr="00F57E76" w:rsidRDefault="004137E3" w:rsidP="004137E3">
      <w:pPr>
        <w:pStyle w:val="SingleTxtG"/>
        <w:widowControl w:val="0"/>
        <w:rPr>
          <w:rFonts w:eastAsia="Calibri"/>
          <w:b/>
          <w:bCs/>
          <w:w w:val="103"/>
          <w:kern w:val="14"/>
          <w:szCs w:val="22"/>
        </w:rPr>
      </w:pPr>
      <w:r>
        <w:t>40.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бурундийские репатрианты были интегрированы на местах в условиях безопасности и уважения их достоинства.</w:t>
      </w:r>
      <w:r>
        <w:t xml:space="preserve"> </w:t>
      </w:r>
      <w:r>
        <w:rPr>
          <w:b/>
          <w:bCs/>
        </w:rPr>
        <w:t>Ему также следует расследовать все случаи запугивания, вымогательства, принудительного возвращения и произвольного заключения под стражу бурундийских репатриантов и обеспечивать преследование виновных и вынесение им соответствующих наказаний, а также предоставление комплексного возмещения ущерба жертвам и их семьям.</w:t>
      </w:r>
      <w:r>
        <w:t xml:space="preserve"> </w:t>
      </w:r>
      <w:r>
        <w:rPr>
          <w:b/>
          <w:bCs/>
        </w:rPr>
        <w:t xml:space="preserve">Государству-участнику также следует удвоить </w:t>
      </w:r>
      <w:r>
        <w:rPr>
          <w:b/>
          <w:bCs/>
        </w:rPr>
        <w:lastRenderedPageBreak/>
        <w:t>усилия по ускорению реализации долгосрочных решений для перемещенных лиц согласно соответствующим международным стандартам, в частности Руководящим принципам по вопросу о перемещении лиц внутри страны.</w:t>
      </w:r>
      <w:r>
        <w:t xml:space="preserve"> </w:t>
      </w:r>
      <w:r>
        <w:rPr>
          <w:b/>
          <w:bCs/>
        </w:rPr>
        <w:t>Государству-участнику следует также принять конкретные меры по предотвращению всех форм насилия, включая сексуальное, в отношении перемещенных и репатриированных женщин и девочек, эффективно расследовать такие случаи и предавать виновных суду.</w:t>
      </w:r>
      <w:r>
        <w:t xml:space="preserve"> </w:t>
      </w:r>
      <w:r>
        <w:rPr>
          <w:b/>
          <w:bCs/>
        </w:rPr>
        <w:t>И наконец, государству-участнику следует обеспечивать защиту жертв и их незамедлительный доступ к медицинским услугам, в частности к услугам по охране сексуального и репродуктивного здоровья.</w:t>
      </w:r>
      <w:bookmarkStart w:id="6" w:name="_Hlk151458835"/>
      <w:bookmarkEnd w:id="6"/>
    </w:p>
    <w:p w14:paraId="414AD73B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6F2FC753" w14:textId="4E14A544" w:rsidR="004137E3" w:rsidRPr="00F57E76" w:rsidRDefault="004137E3" w:rsidP="004137E3">
      <w:pPr>
        <w:pStyle w:val="SingleTxtG"/>
        <w:rPr>
          <w:rFonts w:eastAsia="Calibri"/>
        </w:rPr>
      </w:pPr>
      <w:r>
        <w:t>41.</w:t>
      </w:r>
      <w:r>
        <w:tab/>
        <w:t>Приветствуя принятие Закона № 1/13 от 22 сентября 2016 года о предупреждении, защите жертв и пресечении гендерного насилия, а также Национальной стратегии по борьбе с сексуальным и гендерным насилием и плана действий по ее реализации (2018–2022 годы), Комитет все же обеспокоен сохранением насилия в отношении женщин, особенно насилия над супругой и сексуального насилия. Он особенно обеспокоен недостаточностью законодательных и институциональных мер, в частности по реализации положений уголовного законодательства о защите от насилия над супругом или супругой, криминализацией супружеской измены и мягкостью наказаний за изнасилование в браке. Комитет также считает тревожными сообщения о низком уровне информированности жертв по таким причинам</w:t>
      </w:r>
      <w:r w:rsidR="00355E32" w:rsidRPr="00355E32">
        <w:t>,</w:t>
      </w:r>
      <w:r>
        <w:t xml:space="preserve"> как стигматизация со стороны членов семьи и общины, страх преследования и безнаказанность виновных, а также о низком уровне судебного преследования и осуждения за сексуальное и гендерное насилие. Кроме того, он выражает свою обеспокоенность сообщениями о недостаточности мер защиты и помощи жертвам гендерного насилия, особенно в части работы убежищ и реабилитационных служб (статьи 2 и 16).</w:t>
      </w:r>
      <w:bookmarkStart w:id="7" w:name="_Hlk150019223"/>
      <w:bookmarkEnd w:id="7"/>
    </w:p>
    <w:p w14:paraId="16FEB3A4" w14:textId="77777777" w:rsidR="004137E3" w:rsidRPr="00F57E76" w:rsidRDefault="004137E3" w:rsidP="004137E3">
      <w:pPr>
        <w:pStyle w:val="SingleTxtG"/>
        <w:rPr>
          <w:rFonts w:eastAsia="Calibri"/>
        </w:rPr>
      </w:pPr>
      <w:r>
        <w:t>42.</w:t>
      </w:r>
      <w:r>
        <w:tab/>
      </w:r>
      <w:r>
        <w:rPr>
          <w:b/>
          <w:bCs/>
        </w:rPr>
        <w:t>Государству-участнику следует:</w:t>
      </w:r>
    </w:p>
    <w:p w14:paraId="443E510D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обеспечивать тщательное расследование всех случаев гендерного насилия, в частности связанных с действиями или бездействием государственных органов или других организаций, за которые государство-участник несет международную ответственность в соответствии с Конвенцией, преследование предполагаемых виновных, а в случае их осуждения — вынесение им соответствующих приговоров и присуждение жертвам или их семьям возмещения ущерба, включая должную компенсацию;</w:t>
      </w:r>
    </w:p>
    <w:p w14:paraId="25B83B96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обеспечивать строгое соблюдение Закона № 1/13 от 22 сентября 2016 года и соответствующих положений Уголовного кодекса, проводя в этих целях систематическую подготовку судей, прокуроров, сотрудников правоохранительных органов и адвокатов по всем этим правовым положениям;</w:t>
      </w:r>
    </w:p>
    <w:p w14:paraId="27D2B77F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вести широкие информационно-просветительские кампании, чтобы донести до общественности и всех заинтересованных сторон, что насилие </w:t>
      </w:r>
      <w:r w:rsidRPr="001651DF">
        <w:rPr>
          <w:b/>
          <w:bCs/>
        </w:rPr>
        <w:t>над</w:t>
      </w:r>
      <w:r>
        <w:rPr>
          <w:b/>
          <w:bCs/>
        </w:rPr>
        <w:t> </w:t>
      </w:r>
      <w:r w:rsidRPr="001651DF">
        <w:rPr>
          <w:b/>
          <w:bCs/>
        </w:rPr>
        <w:t>супругом или супругой</w:t>
      </w:r>
      <w:r>
        <w:rPr>
          <w:b/>
          <w:bCs/>
        </w:rPr>
        <w:t xml:space="preserve"> и сексуальное насилие являются уголовно наказуемыми преступлениями, а также снять связанные с ними табу и устранить стигматизацию и изоляцию, которые влияют на жертв и мешают им сообщать о них;</w:t>
      </w:r>
    </w:p>
    <w:p w14:paraId="59D639FC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рассмотреть возможность пересмотра статей 550 и 577 Уголовного кодекса с целью декриминализации супружеской измены и установления более соразмерных наказаний за изнасилование в браке;</w:t>
      </w:r>
    </w:p>
    <w:p w14:paraId="0A7B50E4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активизировать усилия по предоставлению жертвам и их семьям защиты, помощи и средств правовой защиты, в частности путем увеличения числа убежищ и разработки программ медицинского лечения, психосоциальной реабилитации и реинтеграции, особенно в сельских районах.</w:t>
      </w:r>
    </w:p>
    <w:p w14:paraId="37DAF439" w14:textId="77777777" w:rsidR="004137E3" w:rsidRPr="00F57E76" w:rsidRDefault="004137E3" w:rsidP="004137E3">
      <w:pPr>
        <w:pStyle w:val="H23G"/>
      </w:pPr>
      <w:r>
        <w:lastRenderedPageBreak/>
        <w:tab/>
      </w:r>
      <w:r>
        <w:tab/>
      </w:r>
      <w:r>
        <w:rPr>
          <w:bCs/>
        </w:rPr>
        <w:t>Насилие в отношении детей</w:t>
      </w:r>
    </w:p>
    <w:p w14:paraId="65D80DCA" w14:textId="77777777" w:rsidR="004137E3" w:rsidRPr="00F57E76" w:rsidRDefault="004137E3" w:rsidP="004137E3">
      <w:pPr>
        <w:pStyle w:val="SingleTxtG"/>
        <w:rPr>
          <w:rFonts w:eastAsia="Calibri"/>
          <w:bCs/>
        </w:rPr>
      </w:pPr>
      <w:r>
        <w:t>43.</w:t>
      </w:r>
      <w:r>
        <w:tab/>
        <w:t>С удовлетворением отмечая принятие Национальной политики защиты детей (2020–2024 годы), Комитет обеспокоен тем, что в законодательстве нет прямого запрета на телесные наказания дома, а также в детских садах и учреждениях, где взрослые осуществляют родительскую власть над детьми. Кроме того, Комитет встревожен сообщениями о преследованиях и посягательствах на жизнь и физическую неприкосновенность детей с альбинизмом и сожалеет об отсутствии подробной информации о мерах, принятых государством-участником для обеспечения защиты этих детей от всех форм насилия и дискриминации (статьи 2, 11–14 и 16).</w:t>
      </w:r>
      <w:bookmarkStart w:id="8" w:name="_Hlk150064530"/>
      <w:bookmarkEnd w:id="8"/>
    </w:p>
    <w:p w14:paraId="2C95EB7B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внести поправки в Уголовный кодекс и Кодекс о личности и семье с целью прямого запрета применения телесных наказаний в любых условиях, в том числе дома, в детских садах и учреждениях, где взрослые осуществляют родительскую власть над детьми, и повысить осведомленность общественности о позитивных, основанных на участии и ненасильственных формах поддержания дисциплины.</w:t>
      </w:r>
      <w:r>
        <w:t xml:space="preserve"> </w:t>
      </w:r>
      <w:r>
        <w:rPr>
          <w:b/>
          <w:bCs/>
        </w:rPr>
        <w:t>Государству-участнику следует также принять все необходимые меры для предотвращения агрессии в отношении детей с альбинизмом и защиты их от ритуальных нападений и другой вредной традиционной практики, в том числе путем обеспечения расследования всех актов насилия, привлечения виновных к ответственности и предоставления жертвам возмещения ущерба.</w:t>
      </w:r>
      <w:r>
        <w:t xml:space="preserve"> </w:t>
      </w:r>
    </w:p>
    <w:p w14:paraId="0E779325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Специальная подготовка</w:t>
      </w:r>
    </w:p>
    <w:p w14:paraId="1C54B488" w14:textId="77777777" w:rsidR="004137E3" w:rsidRPr="00F57E76" w:rsidRDefault="004137E3" w:rsidP="004137E3">
      <w:pPr>
        <w:pStyle w:val="SingleTxtG"/>
        <w:rPr>
          <w:rFonts w:eastAsia="Calibri"/>
        </w:rPr>
      </w:pPr>
      <w:r>
        <w:t>45.</w:t>
      </w:r>
      <w:r>
        <w:tab/>
        <w:t>Отмечая усилия государства-участника по организации общей подготовки по правам человека, в частности для сотрудников полиции, работников судебных и пенитенциарных учреждений, Комитет сожалеет об отсутствии специальной подготовки по положениям Конвенции, а также по содержанию пересмотренного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</w:t>
      </w:r>
      <w:r>
        <w:rPr>
          <w:rStyle w:val="aa"/>
        </w:rPr>
        <w:footnoteReference w:id="14"/>
      </w:r>
      <w:r>
        <w:t xml:space="preserve"> для судебно-медицинских экспертов и медицинского персонала, работающего с заключенными, с тем чтобы они могли выявлять и оценивать физические и психологические последствия пыток. Он также сожалеет о том, что не был создан механизм оценки эффективности программ подготовки (статья 10). </w:t>
      </w:r>
    </w:p>
    <w:p w14:paraId="789E80D2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следует:</w:t>
      </w:r>
    </w:p>
    <w:p w14:paraId="73C0FA10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разработать и внедрить обязательные программы первоначальной подготовки и переподготовки для обеспечения того, чтобы все должностные лица, в частности сотрудники правоохранительных органов, Национальной разведывательной службы, военнослужащие, работники судебных органов, сотрудники тюрем, иммиграционных служб и другие лица, которые могут быть вовлечены в содержание под стражей, допрос или обращение с лицами, подвергнутыми любой форме задержания, помещения под стражу или тюремного заключения, были полностью осведомлены о положениях Конвенции, в частности о полном запрете пыток, о неприемлемости любых нарушений, о том, что любое нарушение будет расследовано, виновные будут привлечены к ответственности, а если будет установлена их вина — понесут соответствующее наказание;</w:t>
      </w:r>
    </w:p>
    <w:p w14:paraId="4D4628BB" w14:textId="77777777" w:rsidR="004137E3" w:rsidRPr="00F57E76" w:rsidRDefault="004137E3" w:rsidP="004137E3">
      <w:pPr>
        <w:pStyle w:val="SingleTxtG"/>
        <w:ind w:firstLine="567"/>
        <w:rPr>
          <w:rFonts w:eastAsia="Calibri"/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 специальную подготовку по выявлению и регистрации случаев пыток и жестокого обращения в соответствии с пересмотренным </w:t>
      </w:r>
      <w:r>
        <w:rPr>
          <w:b/>
          <w:bCs/>
        </w:rPr>
        <w:lastRenderedPageBreak/>
        <w:t>Стамбульским протоколом для всех соответствующих сотрудников, в частности для медперсонала;</w:t>
      </w:r>
    </w:p>
    <w:p w14:paraId="17955D96" w14:textId="77777777" w:rsidR="004137E3" w:rsidRPr="00F57E76" w:rsidRDefault="004137E3" w:rsidP="004137E3">
      <w:pPr>
        <w:pStyle w:val="SingleTxtG"/>
        <w:ind w:firstLine="567"/>
        <w:rPr>
          <w:rFonts w:eastAsia="Calibri"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разработать и внедрить методику оценки эффективности программ подготовки для снижения числа случаев пыток и жестокого обращения, а также выявления, регистрация, расследования и судебного преследования виновных.</w:t>
      </w:r>
    </w:p>
    <w:p w14:paraId="5833FA30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Сотрудничество с международными механизмами защиты прав человека</w:t>
      </w:r>
    </w:p>
    <w:p w14:paraId="5D11F434" w14:textId="615F0F71" w:rsidR="004137E3" w:rsidRPr="00F57E76" w:rsidRDefault="004137E3" w:rsidP="004137E3">
      <w:pPr>
        <w:pStyle w:val="SingleTxtG"/>
        <w:rPr>
          <w:rFonts w:eastAsia="Calibri"/>
          <w:bCs/>
        </w:rPr>
      </w:pPr>
      <w:r>
        <w:t>47.</w:t>
      </w:r>
      <w:r>
        <w:tab/>
        <w:t>С удовлетворением отмечая создание в 2021 году Постоянного межведомственного комитета по подготовке первоначальных и периодических докладов по конвенциям, ратифицированным Бурунди, и учреждение в 2016 году Департамента договорных органов, специальных процедур и универсального периодического обзора Организации Объединенных Наций и других механизмов при Министерстве национальной солидарности, социальных дел, прав человека и гендерных вопросов, Комитет обеспокоен отсутствием сотрудничества и диалога государства-участника с международными правозащитными механизмами, в частности с договорными органами, Комиссией по расследованию событий в Бурунди, созданной Советом по правам человека в 2016 году, мандат которой истекает в 2021 году</w:t>
      </w:r>
      <w:r w:rsidR="00355E32">
        <w:rPr>
          <w:rStyle w:val="aa"/>
        </w:rPr>
        <w:footnoteReference w:id="15"/>
      </w:r>
      <w:r>
        <w:t>, и мандатариями специальных процедур Совета по правам человека, в частности Специальным докладчиком по вопросу о положении в области прав человека в Бурунди</w:t>
      </w:r>
      <w:r w:rsidR="00355E32">
        <w:rPr>
          <w:rStyle w:val="aa"/>
        </w:rPr>
        <w:footnoteReference w:id="16"/>
      </w:r>
      <w:r>
        <w:t>. Отмечая взятое на себя государством-участником в ходе конструктивного диалога обязательство по выполнению решений Комитета по статье</w:t>
      </w:r>
      <w:r w:rsidR="00355E32">
        <w:rPr>
          <w:lang w:val="en-US"/>
        </w:rPr>
        <w:t> </w:t>
      </w:r>
      <w:r>
        <w:t>22 Конвенции, Комитет по-прежнему глубоко обеспокоен отсутствием сотрудничества государства-участника в том, что касается процедуры рассмотрения индивидуальных жалоб и невыполнением им решений Комитета почти во всех случаях, когда были выявлены нарушения прав, закрепленных в Конвенции</w:t>
      </w:r>
      <w:r w:rsidR="00355E32">
        <w:rPr>
          <w:rStyle w:val="aa"/>
        </w:rPr>
        <w:footnoteReference w:id="17"/>
      </w:r>
      <w:r>
        <w:t>. Он также сожалеет о закрытии в 2019 году по требованию Правительства странового отделения Управления Верховного комиссара Организации Объединенных Наций по правам человека. И наконец, он выражает сожаление по поводу того, что государство-участник вышло из Римского статута Международного уголовного суда 27 октября 2017 года.</w:t>
      </w:r>
    </w:p>
    <w:p w14:paraId="14D256E5" w14:textId="77777777" w:rsidR="004137E3" w:rsidRPr="00F57E76" w:rsidRDefault="004137E3" w:rsidP="004137E3">
      <w:pPr>
        <w:pStyle w:val="SingleTxtG"/>
        <w:rPr>
          <w:rFonts w:eastAsia="Calibri"/>
          <w:b/>
          <w:bCs/>
        </w:rPr>
      </w:pPr>
      <w:r>
        <w:t>48.</w:t>
      </w:r>
      <w:r>
        <w:tab/>
      </w:r>
      <w:r>
        <w:rPr>
          <w:b/>
          <w:bCs/>
        </w:rPr>
        <w:t>Комитет предлагает государству-участнику возобновить полноценный диалог и сотрудничество с международными правозащитными механизмами, в частности с договорными органами и мандатариями специальных процедур Совета по правам человека, включая Специального докладчика по вопросу о положении в области прав человека в Бурунди.</w:t>
      </w:r>
      <w:r>
        <w:t xml:space="preserve"> </w:t>
      </w:r>
      <w:r w:rsidRPr="000B10AB">
        <w:rPr>
          <w:b/>
          <w:bCs/>
        </w:rPr>
        <w:t>Он также призывает государство-участник в полной мере сотрудничать с Подкомитетом по</w:t>
      </w:r>
      <w:r>
        <w:rPr>
          <w:b/>
          <w:bCs/>
        </w:rPr>
        <w:t> </w:t>
      </w:r>
      <w:r w:rsidRPr="000B10AB">
        <w:rPr>
          <w:b/>
          <w:bCs/>
        </w:rPr>
        <w:t>предупреждению пыток и других жестоких, бесчеловечных или унижающих достоинство видов обращения и наказания, с тем чтобы последний мог посещать любые места содержания под стражей, находящиеся под юрисдикцией или эффективным контролем государства-участника, в соответствии с</w:t>
      </w:r>
      <w:r>
        <w:rPr>
          <w:b/>
          <w:bCs/>
        </w:rPr>
        <w:t> </w:t>
      </w:r>
      <w:r w:rsidRPr="000B10AB">
        <w:rPr>
          <w:b/>
          <w:bCs/>
        </w:rPr>
        <w:t>Факультативным протоколом к Конвенции.</w:t>
      </w:r>
      <w:r>
        <w:t xml:space="preserve"> </w:t>
      </w:r>
      <w:r>
        <w:rPr>
          <w:b/>
          <w:bCs/>
        </w:rPr>
        <w:t>Комитет также призывает государство-участник принять все необходимые меры для выполнения решений Комитета в соответствии со статьей 2 Конвенции.</w:t>
      </w:r>
      <w:r>
        <w:t xml:space="preserve"> </w:t>
      </w:r>
      <w:r>
        <w:rPr>
          <w:b/>
          <w:bCs/>
        </w:rPr>
        <w:t>Он также призывает государство-участник дать разрешение на возобновление работы странового отделения Управления Верховного комиссара по правам человека.</w:t>
      </w:r>
      <w:r>
        <w:t xml:space="preserve"> </w:t>
      </w:r>
      <w:r w:rsidRPr="000B10AB">
        <w:rPr>
          <w:b/>
          <w:bCs/>
        </w:rPr>
        <w:t>И</w:t>
      </w:r>
      <w:r>
        <w:t xml:space="preserve"> </w:t>
      </w:r>
      <w:r>
        <w:rPr>
          <w:b/>
          <w:bCs/>
        </w:rPr>
        <w:t xml:space="preserve">наконец, </w:t>
      </w:r>
      <w:r>
        <w:rPr>
          <w:b/>
          <w:bCs/>
        </w:rPr>
        <w:lastRenderedPageBreak/>
        <w:t>Комитет настоятельно призывает государство-участник в полной мере сотрудничать с Международным уголовным судом в расследованиях, начатых Прокуратурой до выхода государства-участника из Римского статута Международного уголовного суда, и вновь присоединиться к этому документу.</w:t>
      </w:r>
    </w:p>
    <w:p w14:paraId="645C4729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4322E409" w14:textId="77777777" w:rsidR="004137E3" w:rsidRPr="00F57E76" w:rsidRDefault="004137E3" w:rsidP="004137E3">
      <w:pPr>
        <w:pStyle w:val="SingleTxtG"/>
        <w:keepNext/>
        <w:keepLines/>
        <w:rPr>
          <w:rFonts w:eastAsia="Calibri"/>
          <w:b/>
          <w:bCs/>
        </w:rPr>
      </w:pPr>
      <w:r>
        <w:t>49.</w:t>
      </w:r>
      <w:r>
        <w:tab/>
      </w:r>
      <w:r>
        <w:rPr>
          <w:b/>
          <w:bCs/>
        </w:rPr>
        <w:t>Комитет просит государство-участник представить не позднее 24 ноября 2024 года информацию о последующих мерах, принятых им в связи с его рекомендациями, касающимися заявлений о серьезных нарушениях прав человека, утверждений о применении пыток и безнаказанности, насильственных исчезновениях, а также касающимися правозащитников, членов гражданского общества, журналистов и политических оппонентов (см. пункты 9 b), 11 a), 15 a) и 21 e)).</w:t>
      </w:r>
      <w:r>
        <w:t xml:space="preserve"> </w:t>
      </w:r>
      <w:r>
        <w:rPr>
          <w:b/>
          <w:bCs/>
        </w:rPr>
        <w:t>Государству-участнику также предлагается к моменту представления своего следующего доклада проинформировать Комитет о мерах, которые оно намерено принять для выполнения некоторых или всех других рекомендаций, содержащихся в настоящих заключительных замечаниях.</w:t>
      </w:r>
    </w:p>
    <w:p w14:paraId="2C92F594" w14:textId="77777777" w:rsidR="004137E3" w:rsidRPr="00F57E76" w:rsidRDefault="004137E3" w:rsidP="004137E3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1CE3ED1C" w14:textId="77777777" w:rsidR="004137E3" w:rsidRPr="00F57E76" w:rsidRDefault="004137E3" w:rsidP="004137E3">
      <w:pPr>
        <w:pStyle w:val="SingleTxtG"/>
        <w:rPr>
          <w:rFonts w:eastAsia="Calibri"/>
        </w:rPr>
      </w:pPr>
      <w:r>
        <w:t>50.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этой информации.</w:t>
      </w:r>
    </w:p>
    <w:p w14:paraId="6F0C0371" w14:textId="77777777" w:rsidR="004137E3" w:rsidRPr="00F57E76" w:rsidRDefault="004137E3" w:rsidP="004137E3">
      <w:pPr>
        <w:pStyle w:val="SingleTxtG"/>
        <w:rPr>
          <w:rFonts w:eastAsia="Calibri"/>
          <w:b/>
          <w:bCs/>
          <w:spacing w:val="-2"/>
        </w:rPr>
      </w:pPr>
      <w:r>
        <w:t>51.</w:t>
      </w:r>
      <w:r>
        <w:tab/>
      </w:r>
      <w:r>
        <w:rPr>
          <w:b/>
          <w:bCs/>
        </w:rPr>
        <w:t>Комитет просит государство-участник представить свой следующий, четырнадцатый периодический доклад не позднее 24 ноября 2027 года.</w:t>
      </w:r>
      <w:r>
        <w:t xml:space="preserve"> </w:t>
      </w:r>
      <w:r>
        <w:rPr>
          <w:b/>
          <w:bCs/>
        </w:rPr>
        <w:t>С этой целью он предлагает государству-участнику до 24 ноября 2024 года принять упрощенную процедуру представления докладов, в соответствии с которой Комитет своевременно направит ему предварительный перечень вопросов.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четырнадцатый периодический доклад в соответствии со статьей 19 Конвенции.</w:t>
      </w:r>
    </w:p>
    <w:p w14:paraId="105CB84C" w14:textId="77777777" w:rsidR="00CD2540" w:rsidRDefault="004137E3" w:rsidP="004137E3">
      <w:pPr>
        <w:pStyle w:val="SingleTxtG"/>
        <w:spacing w:before="240" w:after="0"/>
        <w:jc w:val="center"/>
        <w:rPr>
          <w:u w:val="single"/>
        </w:rPr>
      </w:pPr>
      <w:r w:rsidRPr="00F57E76">
        <w:rPr>
          <w:u w:val="single"/>
        </w:rPr>
        <w:tab/>
      </w:r>
      <w:r w:rsidRPr="00F57E76">
        <w:rPr>
          <w:u w:val="single"/>
        </w:rPr>
        <w:tab/>
      </w:r>
      <w:r w:rsidRPr="00F57E76">
        <w:rPr>
          <w:u w:val="single"/>
        </w:rPr>
        <w:tab/>
      </w:r>
    </w:p>
    <w:p w14:paraId="31D770BE" w14:textId="74738FB3" w:rsidR="00381C24" w:rsidRPr="00BC18B2" w:rsidRDefault="00381C24" w:rsidP="00041407"/>
    <w:sectPr w:rsidR="00381C24" w:rsidRPr="00BC18B2" w:rsidSect="004137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D4E0" w14:textId="77777777" w:rsidR="00A32F18" w:rsidRPr="00A312BC" w:rsidRDefault="00A32F18" w:rsidP="00A312BC"/>
  </w:endnote>
  <w:endnote w:type="continuationSeparator" w:id="0">
    <w:p w14:paraId="6710FD38" w14:textId="77777777" w:rsidR="00A32F18" w:rsidRPr="00A312BC" w:rsidRDefault="00A32F1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3D9F3" w14:textId="75DE194A" w:rsidR="004137E3" w:rsidRPr="004137E3" w:rsidRDefault="004137E3">
    <w:pPr>
      <w:pStyle w:val="a8"/>
    </w:pPr>
    <w:r w:rsidRPr="004137E3">
      <w:rPr>
        <w:b/>
        <w:sz w:val="18"/>
      </w:rPr>
      <w:fldChar w:fldCharType="begin"/>
    </w:r>
    <w:r w:rsidRPr="004137E3">
      <w:rPr>
        <w:b/>
        <w:sz w:val="18"/>
      </w:rPr>
      <w:instrText xml:space="preserve"> PAGE  \* MERGEFORMAT </w:instrText>
    </w:r>
    <w:r w:rsidRPr="004137E3">
      <w:rPr>
        <w:b/>
        <w:sz w:val="18"/>
      </w:rPr>
      <w:fldChar w:fldCharType="separate"/>
    </w:r>
    <w:r w:rsidRPr="004137E3">
      <w:rPr>
        <w:b/>
        <w:noProof/>
        <w:sz w:val="18"/>
      </w:rPr>
      <w:t>2</w:t>
    </w:r>
    <w:r w:rsidRPr="004137E3">
      <w:rPr>
        <w:b/>
        <w:sz w:val="18"/>
      </w:rPr>
      <w:fldChar w:fldCharType="end"/>
    </w:r>
    <w:r>
      <w:rPr>
        <w:b/>
        <w:sz w:val="18"/>
      </w:rPr>
      <w:tab/>
    </w:r>
    <w:r>
      <w:t>GE.23-23497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CBF95" w14:textId="6CC68673" w:rsidR="004137E3" w:rsidRPr="004137E3" w:rsidRDefault="004137E3" w:rsidP="004137E3">
    <w:pPr>
      <w:pStyle w:val="a8"/>
      <w:tabs>
        <w:tab w:val="clear" w:pos="9639"/>
        <w:tab w:val="right" w:pos="9638"/>
      </w:tabs>
      <w:rPr>
        <w:b/>
        <w:sz w:val="18"/>
      </w:rPr>
    </w:pPr>
    <w:r>
      <w:t>GE.23-23497</w:t>
    </w:r>
    <w:r>
      <w:tab/>
    </w:r>
    <w:r w:rsidRPr="004137E3">
      <w:rPr>
        <w:b/>
        <w:sz w:val="18"/>
      </w:rPr>
      <w:fldChar w:fldCharType="begin"/>
    </w:r>
    <w:r w:rsidRPr="004137E3">
      <w:rPr>
        <w:b/>
        <w:sz w:val="18"/>
      </w:rPr>
      <w:instrText xml:space="preserve"> PAGE  \* MERGEFORMAT </w:instrText>
    </w:r>
    <w:r w:rsidRPr="004137E3">
      <w:rPr>
        <w:b/>
        <w:sz w:val="18"/>
      </w:rPr>
      <w:fldChar w:fldCharType="separate"/>
    </w:r>
    <w:r w:rsidRPr="004137E3">
      <w:rPr>
        <w:b/>
        <w:noProof/>
        <w:sz w:val="18"/>
      </w:rPr>
      <w:t>3</w:t>
    </w:r>
    <w:r w:rsidRPr="004137E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8A45E" w14:textId="0A6896FA" w:rsidR="00042B72" w:rsidRPr="004137E3" w:rsidRDefault="004137E3" w:rsidP="004137E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5ED8450" wp14:editId="339A530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23-23497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787DBFE" wp14:editId="076F9B1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160124  150224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A7F6F" w14:textId="77777777" w:rsidR="00A32F18" w:rsidRPr="001075E9" w:rsidRDefault="00A32F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5BEE88" w14:textId="77777777" w:rsidR="00A32F18" w:rsidRDefault="00A32F1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EB4845D" w14:textId="77777777" w:rsidR="004137E3" w:rsidRPr="00F57E76" w:rsidRDefault="004137E3" w:rsidP="004137E3">
      <w:pPr>
        <w:pStyle w:val="ad"/>
      </w:pPr>
      <w:r>
        <w:tab/>
      </w:r>
      <w:r w:rsidRPr="004137E3">
        <w:rPr>
          <w:sz w:val="20"/>
        </w:rPr>
        <w:t>*</w:t>
      </w:r>
      <w:r>
        <w:tab/>
        <w:t>Приняты Комитетом на его семьдесят восьмой сессии (30 октября — 24 ноября 2023 года).</w:t>
      </w:r>
    </w:p>
  </w:footnote>
  <w:footnote w:id="2">
    <w:p w14:paraId="5E46B18F" w14:textId="77777777" w:rsidR="004137E3" w:rsidRPr="007F390C" w:rsidRDefault="004137E3" w:rsidP="004137E3">
      <w:pPr>
        <w:pStyle w:val="ad"/>
        <w:rPr>
          <w:lang w:val="de-CH"/>
        </w:rPr>
      </w:pPr>
      <w:r w:rsidRPr="003028B5">
        <w:tab/>
      </w:r>
      <w:r w:rsidRPr="00C04FB6">
        <w:rPr>
          <w:rStyle w:val="aa"/>
        </w:rPr>
        <w:footnoteRef/>
      </w:r>
      <w:r w:rsidRPr="007F390C">
        <w:rPr>
          <w:lang w:val="de-CH"/>
        </w:rPr>
        <w:tab/>
      </w:r>
      <w:hyperlink r:id="rId1" w:history="1">
        <w:r w:rsidRPr="007F390C">
          <w:rPr>
            <w:rStyle w:val="af1"/>
            <w:lang w:val="de-CH"/>
          </w:rPr>
          <w:t>CAT/C/BDI/3.</w:t>
        </w:r>
      </w:hyperlink>
      <w:r w:rsidRPr="007F390C">
        <w:rPr>
          <w:lang w:val="de-CH"/>
        </w:rPr>
        <w:t xml:space="preserve"> </w:t>
      </w:r>
    </w:p>
  </w:footnote>
  <w:footnote w:id="3">
    <w:p w14:paraId="5916A99E" w14:textId="409C1677" w:rsidR="004137E3" w:rsidRPr="007F390C" w:rsidRDefault="004137E3" w:rsidP="004137E3">
      <w:pPr>
        <w:pStyle w:val="ad"/>
        <w:rPr>
          <w:lang w:val="de-CH"/>
        </w:rPr>
      </w:pPr>
      <w:r w:rsidRPr="007F390C">
        <w:rPr>
          <w:lang w:val="de-CH"/>
        </w:rPr>
        <w:tab/>
      </w:r>
      <w:r w:rsidRPr="00C04FB6">
        <w:rPr>
          <w:rStyle w:val="aa"/>
        </w:rPr>
        <w:footnoteRef/>
      </w:r>
      <w:r w:rsidRPr="007F390C">
        <w:rPr>
          <w:lang w:val="de-CH"/>
        </w:rPr>
        <w:tab/>
      </w:r>
      <w:r>
        <w:t>См</w:t>
      </w:r>
      <w:r w:rsidRPr="007F390C">
        <w:rPr>
          <w:lang w:val="de-CH"/>
        </w:rPr>
        <w:t xml:space="preserve">. </w:t>
      </w:r>
      <w:hyperlink r:id="rId2" w:history="1">
        <w:r w:rsidRPr="007F390C">
          <w:rPr>
            <w:rStyle w:val="af1"/>
            <w:lang w:val="de-CH"/>
          </w:rPr>
          <w:t>CAT/C/SR.2039</w:t>
        </w:r>
      </w:hyperlink>
      <w:r w:rsidRPr="007F390C">
        <w:rPr>
          <w:lang w:val="de-CH"/>
        </w:rPr>
        <w:t xml:space="preserve"> </w:t>
      </w:r>
      <w:r>
        <w:t>и</w:t>
      </w:r>
      <w:r w:rsidRPr="007F390C">
        <w:rPr>
          <w:lang w:val="de-CH"/>
        </w:rPr>
        <w:t xml:space="preserve"> </w:t>
      </w:r>
      <w:hyperlink r:id="rId3" w:history="1">
        <w:r w:rsidRPr="007F390C">
          <w:rPr>
            <w:rStyle w:val="af1"/>
            <w:lang w:val="de-CH"/>
          </w:rPr>
          <w:t>CAT/C/SR.2042</w:t>
        </w:r>
      </w:hyperlink>
      <w:r w:rsidRPr="007F390C">
        <w:rPr>
          <w:lang w:val="de-CH"/>
        </w:rPr>
        <w:t xml:space="preserve">. </w:t>
      </w:r>
    </w:p>
  </w:footnote>
  <w:footnote w:id="4">
    <w:p w14:paraId="5575F71A" w14:textId="77777777" w:rsidR="004137E3" w:rsidRPr="007F390C" w:rsidRDefault="004137E3" w:rsidP="004137E3">
      <w:pPr>
        <w:pStyle w:val="ad"/>
        <w:rPr>
          <w:lang w:val="de-CH"/>
        </w:rPr>
      </w:pPr>
      <w:r w:rsidRPr="007F390C">
        <w:rPr>
          <w:lang w:val="de-CH"/>
        </w:rPr>
        <w:tab/>
      </w:r>
      <w:r w:rsidRPr="00C04FB6">
        <w:rPr>
          <w:rStyle w:val="aa"/>
        </w:rPr>
        <w:footnoteRef/>
      </w:r>
      <w:r w:rsidRPr="007F390C">
        <w:rPr>
          <w:lang w:val="de-CH"/>
        </w:rPr>
        <w:tab/>
      </w:r>
      <w:hyperlink r:id="rId4" w:history="1">
        <w:r w:rsidRPr="007F390C">
          <w:rPr>
            <w:rStyle w:val="af1"/>
            <w:lang w:val="de-CH"/>
          </w:rPr>
          <w:t>CAT/C/BDI/RQ/3</w:t>
        </w:r>
      </w:hyperlink>
      <w:r w:rsidRPr="007F390C">
        <w:rPr>
          <w:lang w:val="de-CH"/>
        </w:rPr>
        <w:t>.</w:t>
      </w:r>
    </w:p>
  </w:footnote>
  <w:footnote w:id="5">
    <w:p w14:paraId="29957F15" w14:textId="77777777" w:rsidR="004137E3" w:rsidRPr="007F390C" w:rsidRDefault="004137E3" w:rsidP="004137E3">
      <w:pPr>
        <w:pStyle w:val="ad"/>
        <w:rPr>
          <w:lang w:val="de-CH"/>
        </w:rPr>
      </w:pPr>
      <w:r w:rsidRPr="007F390C">
        <w:rPr>
          <w:lang w:val="de-CH"/>
        </w:rPr>
        <w:tab/>
      </w:r>
      <w:r w:rsidRPr="00C04FB6">
        <w:rPr>
          <w:rStyle w:val="aa"/>
        </w:rPr>
        <w:footnoteRef/>
      </w:r>
      <w:r w:rsidRPr="007F390C">
        <w:rPr>
          <w:lang w:val="de-CH"/>
        </w:rPr>
        <w:tab/>
      </w:r>
      <w:hyperlink r:id="rId5" w:history="1">
        <w:r w:rsidRPr="007F390C">
          <w:rPr>
            <w:rStyle w:val="af1"/>
            <w:lang w:val="de-CH"/>
          </w:rPr>
          <w:t>CAT/C/BDI/Q/3</w:t>
        </w:r>
      </w:hyperlink>
      <w:r w:rsidRPr="007F390C">
        <w:rPr>
          <w:lang w:val="de-CH"/>
        </w:rPr>
        <w:t>.</w:t>
      </w:r>
    </w:p>
  </w:footnote>
  <w:footnote w:id="6">
    <w:p w14:paraId="67390BEA" w14:textId="77777777" w:rsidR="004137E3" w:rsidRPr="00F57E76" w:rsidRDefault="004137E3" w:rsidP="004137E3">
      <w:pPr>
        <w:pStyle w:val="ad"/>
        <w:rPr>
          <w:lang w:val="en-US"/>
        </w:rPr>
      </w:pPr>
      <w:r w:rsidRPr="007F390C">
        <w:rPr>
          <w:lang w:val="de-CH"/>
        </w:rPr>
        <w:tab/>
      </w:r>
      <w:r w:rsidRPr="00C04FB6">
        <w:rPr>
          <w:rStyle w:val="aa"/>
        </w:rPr>
        <w:footnoteRef/>
      </w:r>
      <w:r w:rsidRPr="00F57E76">
        <w:rPr>
          <w:lang w:val="en-US"/>
        </w:rPr>
        <w:tab/>
      </w:r>
      <w:hyperlink r:id="rId6" w:history="1">
        <w:r w:rsidRPr="00F57E76">
          <w:rPr>
            <w:rStyle w:val="af1"/>
            <w:lang w:val="en-US"/>
          </w:rPr>
          <w:t>CAT/C/BDI/CO/2</w:t>
        </w:r>
      </w:hyperlink>
      <w:r w:rsidRPr="00F57E76">
        <w:rPr>
          <w:lang w:val="en-US"/>
        </w:rPr>
        <w:t xml:space="preserve">, </w:t>
      </w:r>
      <w:r>
        <w:t>п</w:t>
      </w:r>
      <w:r w:rsidRPr="00F57E76">
        <w:rPr>
          <w:lang w:val="en-US"/>
        </w:rPr>
        <w:t>. 28.</w:t>
      </w:r>
    </w:p>
  </w:footnote>
  <w:footnote w:id="7">
    <w:p w14:paraId="128AEE32" w14:textId="172CBFB6" w:rsidR="004137E3" w:rsidRPr="00F57E76" w:rsidRDefault="004137E3" w:rsidP="004137E3">
      <w:pPr>
        <w:pStyle w:val="ad"/>
      </w:pPr>
      <w:r w:rsidRPr="00F57E76">
        <w:rPr>
          <w:lang w:val="en-US"/>
        </w:rPr>
        <w:tab/>
      </w:r>
      <w:r w:rsidRPr="00C04FB6">
        <w:rPr>
          <w:rStyle w:val="aa"/>
        </w:rPr>
        <w:footnoteRef/>
      </w:r>
      <w:r>
        <w:tab/>
      </w:r>
      <w:hyperlink r:id="rId7" w:history="1">
        <w:r w:rsidR="00A212DA">
          <w:rPr>
            <w:rStyle w:val="af1"/>
          </w:rPr>
          <w:t>Там же</w:t>
        </w:r>
      </w:hyperlink>
      <w:r>
        <w:t>, п. 11 a), b) и d) и п. 22 b).</w:t>
      </w:r>
    </w:p>
  </w:footnote>
  <w:footnote w:id="8">
    <w:p w14:paraId="76E0B400" w14:textId="48DAED32" w:rsidR="004137E3" w:rsidRPr="00E63110" w:rsidRDefault="004137E3" w:rsidP="004137E3">
      <w:pPr>
        <w:pStyle w:val="ad"/>
        <w:rPr>
          <w:lang w:val="en-US"/>
        </w:rPr>
      </w:pPr>
      <w:r w:rsidRPr="007F390C">
        <w:tab/>
      </w:r>
      <w:r>
        <w:rPr>
          <w:rStyle w:val="aa"/>
        </w:rPr>
        <w:footnoteRef/>
      </w:r>
      <w:r w:rsidRPr="007F390C">
        <w:rPr>
          <w:lang w:val="en-US"/>
        </w:rPr>
        <w:tab/>
      </w:r>
      <w:hyperlink r:id="rId8" w:history="1">
        <w:r w:rsidRPr="00A01027">
          <w:rPr>
            <w:rStyle w:val="af1"/>
            <w:lang w:val="en-GB"/>
          </w:rPr>
          <w:t>CAT/C/BDI/CO/2/Add.1</w:t>
        </w:r>
      </w:hyperlink>
      <w:r w:rsidRPr="00F57E76">
        <w:rPr>
          <w:lang w:val="en-US"/>
        </w:rPr>
        <w:t xml:space="preserve">, </w:t>
      </w:r>
      <w:r>
        <w:t>п</w:t>
      </w:r>
      <w:r w:rsidRPr="00F57E76">
        <w:rPr>
          <w:lang w:val="en-US"/>
        </w:rPr>
        <w:t>. 35</w:t>
      </w:r>
    </w:p>
  </w:footnote>
  <w:footnote w:id="9">
    <w:p w14:paraId="25665AEA" w14:textId="49A658C8" w:rsidR="004137E3" w:rsidRPr="0088018B" w:rsidRDefault="004137E3" w:rsidP="004137E3">
      <w:pPr>
        <w:pStyle w:val="ad"/>
        <w:rPr>
          <w:lang w:val="en-US"/>
        </w:rPr>
      </w:pPr>
      <w:r w:rsidRPr="007F390C">
        <w:rPr>
          <w:lang w:val="en-US"/>
        </w:rPr>
        <w:tab/>
      </w:r>
      <w:r>
        <w:rPr>
          <w:rStyle w:val="aa"/>
        </w:rPr>
        <w:footnoteRef/>
      </w:r>
      <w:r w:rsidRPr="007F390C">
        <w:rPr>
          <w:lang w:val="en-US"/>
        </w:rPr>
        <w:tab/>
      </w:r>
      <w:hyperlink r:id="rId9" w:history="1">
        <w:r w:rsidRPr="00A01027">
          <w:rPr>
            <w:rStyle w:val="af1"/>
            <w:lang w:val="en-GB"/>
          </w:rPr>
          <w:t>CAT/C/BDI/CO/2/Add.2</w:t>
        </w:r>
      </w:hyperlink>
      <w:r w:rsidRPr="00F57E76">
        <w:rPr>
          <w:lang w:val="en-US"/>
        </w:rPr>
        <w:t>.</w:t>
      </w:r>
    </w:p>
  </w:footnote>
  <w:footnote w:id="10">
    <w:p w14:paraId="62BA80AC" w14:textId="289F64BD" w:rsidR="004137E3" w:rsidRPr="002C3919" w:rsidRDefault="004137E3" w:rsidP="004137E3">
      <w:pPr>
        <w:pStyle w:val="ad"/>
        <w:rPr>
          <w:lang w:val="en-US"/>
        </w:rPr>
      </w:pPr>
      <w:r w:rsidRPr="007F390C">
        <w:rPr>
          <w:lang w:val="en-US"/>
        </w:rPr>
        <w:tab/>
      </w:r>
      <w:r>
        <w:rPr>
          <w:rStyle w:val="aa"/>
        </w:rPr>
        <w:footnoteRef/>
      </w:r>
      <w:r w:rsidRPr="002C3919">
        <w:rPr>
          <w:lang w:val="en-US"/>
        </w:rPr>
        <w:tab/>
      </w:r>
      <w:hyperlink r:id="rId10" w:history="1">
        <w:r w:rsidRPr="002C3919">
          <w:rPr>
            <w:rStyle w:val="af1"/>
            <w:lang w:val="en-US"/>
          </w:rPr>
          <w:t>A/HRC/48/68</w:t>
        </w:r>
      </w:hyperlink>
      <w:r w:rsidRPr="002C3919">
        <w:rPr>
          <w:lang w:val="en-US"/>
        </w:rPr>
        <w:t xml:space="preserve">, </w:t>
      </w:r>
      <w:r>
        <w:t>п</w:t>
      </w:r>
      <w:r w:rsidRPr="002C3919">
        <w:rPr>
          <w:lang w:val="en-US"/>
        </w:rPr>
        <w:t>.</w:t>
      </w:r>
      <w:r w:rsidRPr="00F57E76">
        <w:rPr>
          <w:lang w:val="en-US"/>
        </w:rPr>
        <w:t> </w:t>
      </w:r>
      <w:r w:rsidRPr="002C3919">
        <w:rPr>
          <w:lang w:val="en-US"/>
        </w:rPr>
        <w:t xml:space="preserve">70; </w:t>
      </w:r>
      <w:r>
        <w:t>и</w:t>
      </w:r>
      <w:r w:rsidRPr="002C3919">
        <w:rPr>
          <w:lang w:val="en-US"/>
        </w:rPr>
        <w:t xml:space="preserve"> </w:t>
      </w:r>
      <w:hyperlink r:id="rId11" w:history="1">
        <w:r w:rsidRPr="002C3919">
          <w:rPr>
            <w:rStyle w:val="af1"/>
            <w:lang w:val="en-US"/>
          </w:rPr>
          <w:t>A/HRC/51/44</w:t>
        </w:r>
      </w:hyperlink>
      <w:r w:rsidRPr="002C3919">
        <w:rPr>
          <w:lang w:val="en-US"/>
        </w:rPr>
        <w:t xml:space="preserve">, </w:t>
      </w:r>
      <w:r>
        <w:t>п</w:t>
      </w:r>
      <w:r w:rsidRPr="002C3919">
        <w:rPr>
          <w:lang w:val="en-US"/>
        </w:rPr>
        <w:t>.</w:t>
      </w:r>
      <w:r w:rsidRPr="00F57E76">
        <w:rPr>
          <w:lang w:val="en-US"/>
        </w:rPr>
        <w:t> </w:t>
      </w:r>
      <w:r w:rsidRPr="002C3919">
        <w:rPr>
          <w:lang w:val="en-US"/>
        </w:rPr>
        <w:t>5</w:t>
      </w:r>
    </w:p>
  </w:footnote>
  <w:footnote w:id="11">
    <w:p w14:paraId="27E73322" w14:textId="77777777" w:rsidR="004137E3" w:rsidRPr="004137E3" w:rsidRDefault="004137E3" w:rsidP="004137E3">
      <w:pPr>
        <w:pStyle w:val="ad"/>
        <w:rPr>
          <w:lang w:val="fr-CH"/>
        </w:rPr>
      </w:pPr>
      <w:r w:rsidRPr="002C3919">
        <w:rPr>
          <w:lang w:val="en-US"/>
        </w:rPr>
        <w:tab/>
      </w:r>
      <w:r>
        <w:rPr>
          <w:rStyle w:val="aa"/>
        </w:rPr>
        <w:footnoteRef/>
      </w:r>
      <w:r w:rsidRPr="007F390C">
        <w:tab/>
      </w:r>
      <w:r w:rsidRPr="00C3512C">
        <w:t>См. письма Комитета относительно преследований и ответ государства-участника, URL</w:t>
      </w:r>
      <w:r w:rsidRPr="007F390C">
        <w:t xml:space="preserve">: </w:t>
      </w:r>
      <w:hyperlink r:id="rId12" w:history="1">
        <w:r w:rsidRPr="006D57C5">
          <w:rPr>
            <w:rStyle w:val="af1"/>
          </w:rPr>
          <w:t>https</w:t>
        </w:r>
        <w:r w:rsidRPr="007F390C">
          <w:rPr>
            <w:rStyle w:val="af1"/>
          </w:rPr>
          <w:t>://</w:t>
        </w:r>
        <w:r w:rsidRPr="006D57C5">
          <w:rPr>
            <w:rStyle w:val="af1"/>
          </w:rPr>
          <w:t>tbinternet</w:t>
        </w:r>
        <w:r w:rsidRPr="007F390C">
          <w:rPr>
            <w:rStyle w:val="af1"/>
          </w:rPr>
          <w:t>.</w:t>
        </w:r>
        <w:r w:rsidRPr="006D57C5">
          <w:rPr>
            <w:rStyle w:val="af1"/>
          </w:rPr>
          <w:t>ohchr</w:t>
        </w:r>
        <w:r w:rsidRPr="007F390C">
          <w:rPr>
            <w:rStyle w:val="af1"/>
          </w:rPr>
          <w:t>.</w:t>
        </w:r>
        <w:r w:rsidRPr="006D57C5">
          <w:rPr>
            <w:rStyle w:val="af1"/>
          </w:rPr>
          <w:t>org</w:t>
        </w:r>
        <w:r w:rsidRPr="007F390C">
          <w:rPr>
            <w:rStyle w:val="af1"/>
          </w:rPr>
          <w:t>/_</w:t>
        </w:r>
        <w:r w:rsidRPr="006D57C5">
          <w:rPr>
            <w:rStyle w:val="af1"/>
          </w:rPr>
          <w:t>layouts</w:t>
        </w:r>
        <w:r w:rsidRPr="007F390C">
          <w:rPr>
            <w:rStyle w:val="af1"/>
          </w:rPr>
          <w:t>/15/</w:t>
        </w:r>
        <w:r w:rsidRPr="006D57C5">
          <w:rPr>
            <w:rStyle w:val="af1"/>
          </w:rPr>
          <w:t>treatybodyexternal</w:t>
        </w:r>
        <w:r w:rsidRPr="007F390C">
          <w:rPr>
            <w:rStyle w:val="af1"/>
          </w:rPr>
          <w:t>/</w:t>
        </w:r>
        <w:r w:rsidRPr="006D57C5">
          <w:rPr>
            <w:rStyle w:val="af1"/>
          </w:rPr>
          <w:t>SessionDetails</w:t>
        </w:r>
        <w:r w:rsidRPr="007F390C">
          <w:rPr>
            <w:rStyle w:val="af1"/>
          </w:rPr>
          <w:t>1.</w:t>
        </w:r>
        <w:r w:rsidRPr="006D57C5">
          <w:rPr>
            <w:rStyle w:val="af1"/>
          </w:rPr>
          <w:t>aspx</w:t>
        </w:r>
        <w:r w:rsidRPr="007F390C">
          <w:rPr>
            <w:rStyle w:val="af1"/>
          </w:rPr>
          <w:t>?</w:t>
        </w:r>
        <w:r w:rsidRPr="006D57C5">
          <w:rPr>
            <w:rStyle w:val="af1"/>
          </w:rPr>
          <w:t>SessionID</w:t>
        </w:r>
        <w:r w:rsidRPr="007F390C">
          <w:rPr>
            <w:rStyle w:val="af1"/>
          </w:rPr>
          <w:t>=1084&amp;</w:t>
        </w:r>
        <w:r w:rsidRPr="006D57C5">
          <w:rPr>
            <w:rStyle w:val="af1"/>
          </w:rPr>
          <w:t>Lang</w:t>
        </w:r>
        <w:r w:rsidRPr="007F390C">
          <w:rPr>
            <w:rStyle w:val="af1"/>
          </w:rPr>
          <w:t>=</w:t>
        </w:r>
        <w:r w:rsidRPr="006D57C5">
          <w:rPr>
            <w:rStyle w:val="af1"/>
          </w:rPr>
          <w:t>ru</w:t>
        </w:r>
      </w:hyperlink>
      <w:r w:rsidRPr="007F390C">
        <w:t xml:space="preserve">. </w:t>
      </w:r>
      <w:r w:rsidRPr="000B10AB">
        <w:t>См</w:t>
      </w:r>
      <w:r w:rsidRPr="000B10AB">
        <w:rPr>
          <w:lang w:val="fr-FR"/>
        </w:rPr>
        <w:t xml:space="preserve">. </w:t>
      </w:r>
      <w:r w:rsidRPr="000B10AB">
        <w:t>также</w:t>
      </w:r>
      <w:r w:rsidRPr="000B10AB">
        <w:rPr>
          <w:lang w:val="fr-FR"/>
        </w:rPr>
        <w:t xml:space="preserve"> </w:t>
      </w:r>
      <w:hyperlink r:id="rId13" w:history="1">
        <w:r w:rsidRPr="004137E3">
          <w:rPr>
            <w:rStyle w:val="af1"/>
            <w:lang w:val="fr-CH"/>
          </w:rPr>
          <w:t>CAT/C/BDI/CO/2/Add.1</w:t>
        </w:r>
      </w:hyperlink>
      <w:r w:rsidRPr="000B10AB">
        <w:rPr>
          <w:lang w:val="fr-FR"/>
        </w:rPr>
        <w:t xml:space="preserve">, </w:t>
      </w:r>
      <w:r w:rsidRPr="000B10AB">
        <w:t>пп</w:t>
      </w:r>
      <w:r w:rsidRPr="000B10AB">
        <w:rPr>
          <w:lang w:val="fr-FR"/>
        </w:rPr>
        <w:t xml:space="preserve">. 33 </w:t>
      </w:r>
      <w:r w:rsidRPr="000B10AB">
        <w:t>и</w:t>
      </w:r>
      <w:r w:rsidRPr="000B10AB">
        <w:rPr>
          <w:lang w:val="fr-FR"/>
        </w:rPr>
        <w:t xml:space="preserve"> 34</w:t>
      </w:r>
      <w:r w:rsidRPr="004137E3">
        <w:rPr>
          <w:lang w:val="fr-CH"/>
        </w:rPr>
        <w:t xml:space="preserve">; </w:t>
      </w:r>
      <w:r>
        <w:t>и</w:t>
      </w:r>
      <w:r w:rsidRPr="004137E3">
        <w:rPr>
          <w:lang w:val="fr-CH"/>
        </w:rPr>
        <w:t xml:space="preserve"> Haut-Commissariat des Nations Unies aux droits de l’homme, « Examen de la torture au Burundi : des cas de représailles signalés préoccupent des experts des Nations Unies », communiqué de presse, 8 août 2016.</w:t>
      </w:r>
    </w:p>
  </w:footnote>
  <w:footnote w:id="12">
    <w:p w14:paraId="6BA1615C" w14:textId="77777777" w:rsidR="004137E3" w:rsidRPr="00F6542E" w:rsidRDefault="004137E3" w:rsidP="004137E3">
      <w:pPr>
        <w:pStyle w:val="ad"/>
      </w:pPr>
      <w:r w:rsidRPr="004137E3">
        <w:rPr>
          <w:lang w:val="fr-CH"/>
        </w:rPr>
        <w:tab/>
      </w:r>
      <w:r>
        <w:rPr>
          <w:rStyle w:val="aa"/>
        </w:rPr>
        <w:footnoteRef/>
      </w:r>
      <w:r>
        <w:tab/>
        <w:t>Уголовно-процессуальный кодекс Бурунди, статья 159.</w:t>
      </w:r>
    </w:p>
  </w:footnote>
  <w:footnote w:id="13">
    <w:p w14:paraId="2921079A" w14:textId="77777777" w:rsidR="004137E3" w:rsidRPr="007F390C" w:rsidRDefault="004137E3" w:rsidP="004137E3">
      <w:pPr>
        <w:pStyle w:val="ad"/>
      </w:pPr>
      <w:r w:rsidRPr="007F390C">
        <w:tab/>
      </w:r>
      <w:r>
        <w:rPr>
          <w:rStyle w:val="aa"/>
        </w:rPr>
        <w:footnoteRef/>
      </w:r>
      <w:r w:rsidRPr="007F390C">
        <w:tab/>
      </w:r>
      <w:hyperlink r:id="rId14" w:history="1">
        <w:r w:rsidRPr="00275DBD">
          <w:rPr>
            <w:rStyle w:val="af1"/>
          </w:rPr>
          <w:t>CAT</w:t>
        </w:r>
        <w:r w:rsidRPr="007F390C">
          <w:rPr>
            <w:rStyle w:val="af1"/>
          </w:rPr>
          <w:t>/</w:t>
        </w:r>
        <w:r w:rsidRPr="00275DBD">
          <w:rPr>
            <w:rStyle w:val="af1"/>
          </w:rPr>
          <w:t>OP</w:t>
        </w:r>
        <w:r w:rsidRPr="007F390C">
          <w:rPr>
            <w:rStyle w:val="af1"/>
          </w:rPr>
          <w:t>/12/5</w:t>
        </w:r>
      </w:hyperlink>
      <w:r w:rsidRPr="007F390C">
        <w:rPr>
          <w:rStyle w:val="af1"/>
        </w:rPr>
        <w:t>.</w:t>
      </w:r>
    </w:p>
  </w:footnote>
  <w:footnote w:id="14">
    <w:p w14:paraId="732D581D" w14:textId="77777777" w:rsidR="004137E3" w:rsidRPr="004A4338" w:rsidRDefault="004137E3" w:rsidP="004137E3">
      <w:pPr>
        <w:pStyle w:val="ad"/>
      </w:pPr>
      <w:r w:rsidRPr="007F390C">
        <w:tab/>
      </w:r>
      <w:r>
        <w:rPr>
          <w:rStyle w:val="aa"/>
        </w:rPr>
        <w:footnoteRef/>
      </w:r>
      <w:r w:rsidRPr="007F390C">
        <w:tab/>
      </w:r>
      <w:r w:rsidRPr="004A4338">
        <w:rPr>
          <w:szCs w:val="18"/>
        </w:rPr>
        <w:t xml:space="preserve">Стамбульский протокол был обновлен в 2022 году (на момент публикации настоящих заключительных замечаний доступен только на английском языке); см. Управление Верховного комиссара по правам человека, </w:t>
      </w:r>
      <w:r w:rsidRPr="004A4338">
        <w:rPr>
          <w:i/>
          <w:iCs/>
          <w:szCs w:val="18"/>
        </w:rPr>
        <w:t>Стамбульский протокол: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</w:t>
      </w:r>
      <w:r w:rsidRPr="004A4338">
        <w:rPr>
          <w:szCs w:val="18"/>
        </w:rPr>
        <w:t xml:space="preserve"> (издание Организации Объединенных Наций, 2022).</w:t>
      </w:r>
    </w:p>
  </w:footnote>
  <w:footnote w:id="15">
    <w:p w14:paraId="3A0EF04C" w14:textId="77777777" w:rsidR="00355E32" w:rsidRPr="004A4338" w:rsidRDefault="00355E32" w:rsidP="00355E32">
      <w:pPr>
        <w:pStyle w:val="ad"/>
      </w:pPr>
      <w:r w:rsidRPr="007F390C">
        <w:tab/>
      </w:r>
      <w:r>
        <w:rPr>
          <w:rStyle w:val="aa"/>
        </w:rPr>
        <w:footnoteRef/>
      </w:r>
      <w:r w:rsidRPr="007F390C">
        <w:tab/>
      </w:r>
      <w:r w:rsidRPr="004A4338">
        <w:rPr>
          <w:szCs w:val="18"/>
        </w:rPr>
        <w:t xml:space="preserve">См. резолюцию </w:t>
      </w:r>
      <w:hyperlink r:id="rId15" w:history="1">
        <w:r w:rsidRPr="004A4338">
          <w:rPr>
            <w:rStyle w:val="af1"/>
          </w:rPr>
          <w:t>33/24</w:t>
        </w:r>
      </w:hyperlink>
      <w:r w:rsidRPr="004A4338">
        <w:rPr>
          <w:szCs w:val="18"/>
        </w:rPr>
        <w:t xml:space="preserve"> Совета по правам человека</w:t>
      </w:r>
    </w:p>
  </w:footnote>
  <w:footnote w:id="16">
    <w:p w14:paraId="6414C00E" w14:textId="77777777" w:rsidR="00355E32" w:rsidRPr="004A4338" w:rsidRDefault="00355E32" w:rsidP="00355E32">
      <w:pPr>
        <w:pStyle w:val="ad"/>
      </w:pPr>
      <w:r w:rsidRPr="004A4338">
        <w:tab/>
      </w:r>
      <w:r w:rsidRPr="004A4338">
        <w:rPr>
          <w:rStyle w:val="aa"/>
        </w:rPr>
        <w:footnoteRef/>
      </w:r>
      <w:r w:rsidRPr="004A4338">
        <w:tab/>
      </w:r>
      <w:r w:rsidRPr="004A4338">
        <w:rPr>
          <w:szCs w:val="18"/>
        </w:rPr>
        <w:t xml:space="preserve">Резолюция </w:t>
      </w:r>
      <w:hyperlink r:id="rId16" w:history="1">
        <w:r w:rsidRPr="004A4338">
          <w:rPr>
            <w:rStyle w:val="af1"/>
          </w:rPr>
          <w:t>48/16</w:t>
        </w:r>
      </w:hyperlink>
      <w:r w:rsidRPr="004A4338">
        <w:rPr>
          <w:szCs w:val="18"/>
        </w:rPr>
        <w:t xml:space="preserve"> Совета по правам человека, п. 20.</w:t>
      </w:r>
    </w:p>
  </w:footnote>
  <w:footnote w:id="17">
    <w:p w14:paraId="1D3F512B" w14:textId="6CC8CB5A" w:rsidR="00355E32" w:rsidRPr="004137E3" w:rsidRDefault="00355E32" w:rsidP="00355E32">
      <w:pPr>
        <w:pStyle w:val="ad"/>
        <w:rPr>
          <w:lang w:val="fr-CH"/>
        </w:rPr>
      </w:pPr>
      <w:r w:rsidRPr="004A4338">
        <w:tab/>
      </w:r>
      <w:r w:rsidRPr="004A4338">
        <w:rPr>
          <w:rStyle w:val="aa"/>
        </w:rPr>
        <w:footnoteRef/>
      </w:r>
      <w:r w:rsidRPr="004A4338">
        <w:tab/>
      </w:r>
      <w:r w:rsidRPr="004A4338">
        <w:rPr>
          <w:rFonts w:eastAsia="Calibri"/>
          <w:szCs w:val="18"/>
        </w:rPr>
        <w:t xml:space="preserve">См. </w:t>
      </w:r>
      <w:r w:rsidRPr="004A4338">
        <w:rPr>
          <w:rFonts w:eastAsia="Calibri"/>
          <w:i/>
          <w:iCs/>
          <w:szCs w:val="18"/>
        </w:rPr>
        <w:t>Ндайирукийе против Бурунди</w:t>
      </w:r>
      <w:r w:rsidRPr="004A4338">
        <w:rPr>
          <w:rFonts w:eastAsia="Calibri"/>
          <w:szCs w:val="18"/>
        </w:rPr>
        <w:t xml:space="preserve"> (</w:t>
      </w:r>
      <w:hyperlink r:id="rId17" w:history="1">
        <w:r w:rsidRPr="004A4338">
          <w:rPr>
            <w:rStyle w:val="af1"/>
          </w:rPr>
          <w:t>CAT/C/73/D/952/2019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 xml:space="preserve">М. Д. против Бурунди </w:t>
      </w:r>
      <w:r w:rsidRPr="004A4338">
        <w:rPr>
          <w:rFonts w:eastAsia="Calibri"/>
          <w:szCs w:val="18"/>
        </w:rPr>
        <w:t>(</w:t>
      </w:r>
      <w:hyperlink r:id="rId18" w:history="1">
        <w:r w:rsidRPr="004A4338">
          <w:rPr>
            <w:rStyle w:val="af1"/>
          </w:rPr>
          <w:t>CAT/C/73/D/921/2019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Р. М. против Бурунди</w:t>
      </w:r>
      <w:r w:rsidRPr="004A4338">
        <w:rPr>
          <w:rFonts w:eastAsia="Calibri"/>
          <w:szCs w:val="18"/>
        </w:rPr>
        <w:t xml:space="preserve"> (</w:t>
      </w:r>
      <w:hyperlink r:id="rId19" w:history="1">
        <w:r w:rsidRPr="004A4338">
          <w:rPr>
            <w:rStyle w:val="af1"/>
          </w:rPr>
          <w:t>CAT/C/72/D/793/2017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О. Н. против Бурунди</w:t>
      </w:r>
      <w:r w:rsidRPr="004A4338">
        <w:rPr>
          <w:rFonts w:eastAsia="Calibri"/>
          <w:szCs w:val="18"/>
        </w:rPr>
        <w:t xml:space="preserve"> (</w:t>
      </w:r>
      <w:hyperlink r:id="rId20" w:history="1">
        <w:r w:rsidRPr="004A4338">
          <w:rPr>
            <w:rStyle w:val="af1"/>
          </w:rPr>
          <w:t>CAT/C/71/D/843/2017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Б. Н. и С. Р. против Бурунди</w:t>
      </w:r>
      <w:r w:rsidRPr="004A4338">
        <w:rPr>
          <w:rFonts w:eastAsia="Calibri"/>
          <w:szCs w:val="18"/>
        </w:rPr>
        <w:t xml:space="preserve"> (</w:t>
      </w:r>
      <w:hyperlink r:id="rId21" w:history="1">
        <w:r w:rsidRPr="004A4338">
          <w:rPr>
            <w:rStyle w:val="af1"/>
          </w:rPr>
          <w:t>CAT/C/71/D/858/2018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Ндарисигаранье против Бурунди</w:t>
      </w:r>
      <w:r w:rsidRPr="004A4338">
        <w:rPr>
          <w:rFonts w:eastAsia="Calibri"/>
          <w:szCs w:val="18"/>
        </w:rPr>
        <w:t xml:space="preserve"> (</w:t>
      </w:r>
      <w:hyperlink r:id="rId22" w:history="1">
        <w:r w:rsidRPr="004A4338">
          <w:rPr>
            <w:rStyle w:val="af1"/>
          </w:rPr>
          <w:t>CAT/C/62/D/493/2012</w:t>
        </w:r>
      </w:hyperlink>
      <w:r w:rsidRPr="004A4338">
        <w:rPr>
          <w:rFonts w:eastAsia="Calibri"/>
          <w:szCs w:val="18"/>
        </w:rPr>
        <w:t xml:space="preserve"> и </w:t>
      </w:r>
      <w:hyperlink r:id="rId23" w:history="1">
        <w:r w:rsidRPr="004A4338">
          <w:rPr>
            <w:rStyle w:val="af1"/>
          </w:rPr>
          <w:t>CAT/C/62/D/493/2012/Corr.1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Ндажиймана против Бурунди</w:t>
      </w:r>
      <w:r w:rsidRPr="004A4338">
        <w:rPr>
          <w:rFonts w:eastAsia="Calibri"/>
          <w:szCs w:val="18"/>
        </w:rPr>
        <w:t xml:space="preserve"> (</w:t>
      </w:r>
      <w:hyperlink r:id="rId24" w:history="1">
        <w:r w:rsidRPr="004A4338">
          <w:rPr>
            <w:rStyle w:val="af1"/>
          </w:rPr>
          <w:t>CAT/C/62/D/496/2012</w:t>
        </w:r>
      </w:hyperlink>
      <w:r w:rsidRPr="004A4338">
        <w:rPr>
          <w:rFonts w:eastAsia="Calibri"/>
          <w:szCs w:val="18"/>
        </w:rPr>
        <w:t xml:space="preserve"> и </w:t>
      </w:r>
      <w:hyperlink r:id="rId25" w:history="1">
        <w:r w:rsidRPr="004A4338">
          <w:rPr>
            <w:rStyle w:val="af1"/>
          </w:rPr>
          <w:t>CAT/C/62/D/496/2012/Corr.1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К. Н. против Бурунди</w:t>
      </w:r>
      <w:r w:rsidRPr="004A4338">
        <w:rPr>
          <w:rFonts w:eastAsia="Calibri"/>
          <w:szCs w:val="18"/>
        </w:rPr>
        <w:t xml:space="preserve"> (</w:t>
      </w:r>
      <w:hyperlink r:id="rId26" w:history="1">
        <w:r w:rsidRPr="004A4338">
          <w:rPr>
            <w:rStyle w:val="af1"/>
          </w:rPr>
          <w:t>CAT/C/60/D/579/2013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 xml:space="preserve">А. Н. против Бурунди </w:t>
      </w:r>
      <w:r w:rsidRPr="004A4338">
        <w:rPr>
          <w:rFonts w:eastAsia="Calibri"/>
          <w:szCs w:val="18"/>
        </w:rPr>
        <w:t>(</w:t>
      </w:r>
      <w:hyperlink r:id="rId27" w:history="1">
        <w:r w:rsidRPr="004A4338">
          <w:rPr>
            <w:rStyle w:val="af1"/>
          </w:rPr>
          <w:t>CAT/C/60/D/612/2014</w:t>
        </w:r>
      </w:hyperlink>
      <w:r w:rsidRPr="004A4338">
        <w:rPr>
          <w:rFonts w:eastAsia="Calibri"/>
          <w:szCs w:val="18"/>
        </w:rPr>
        <w:t xml:space="preserve">); </w:t>
      </w:r>
      <w:r w:rsidRPr="004A4338">
        <w:rPr>
          <w:rFonts w:eastAsia="Calibri"/>
          <w:i/>
          <w:iCs/>
          <w:szCs w:val="18"/>
        </w:rPr>
        <w:t>Кабура против Бурунди</w:t>
      </w:r>
      <w:r w:rsidRPr="004A4338">
        <w:rPr>
          <w:rFonts w:eastAsia="Calibri"/>
          <w:szCs w:val="18"/>
        </w:rPr>
        <w:t xml:space="preserve"> (</w:t>
      </w:r>
      <w:hyperlink r:id="rId28" w:history="1">
        <w:r w:rsidRPr="004A4338">
          <w:rPr>
            <w:rStyle w:val="af1"/>
          </w:rPr>
          <w:t>CAT/C/59/D/549/2013</w:t>
        </w:r>
      </w:hyperlink>
      <w:r w:rsidRPr="004A4338">
        <w:rPr>
          <w:rFonts w:eastAsia="Calibri"/>
          <w:szCs w:val="18"/>
        </w:rPr>
        <w:t xml:space="preserve">); а также </w:t>
      </w:r>
      <w:r w:rsidRPr="004A4338">
        <w:rPr>
          <w:rFonts w:eastAsia="Calibri"/>
          <w:i/>
          <w:iCs/>
          <w:szCs w:val="18"/>
        </w:rPr>
        <w:t>Е. Н. против Бурунди</w:t>
      </w:r>
      <w:r w:rsidRPr="004A4338">
        <w:rPr>
          <w:rFonts w:eastAsia="Calibri"/>
          <w:szCs w:val="18"/>
        </w:rPr>
        <w:t xml:space="preserve"> (</w:t>
      </w:r>
      <w:hyperlink r:id="rId29" w:history="1">
        <w:r w:rsidRPr="004A4338">
          <w:rPr>
            <w:rStyle w:val="af1"/>
          </w:rPr>
          <w:t>CAT/C/56/D/578/2013</w:t>
        </w:r>
      </w:hyperlink>
      <w:r w:rsidRPr="004A4338">
        <w:rPr>
          <w:rFonts w:eastAsia="Calibri"/>
          <w:szCs w:val="18"/>
        </w:rPr>
        <w:t>).</w:t>
      </w:r>
      <w:r w:rsidRPr="007F390C">
        <w:rPr>
          <w:rFonts w:eastAsia="Calibri"/>
          <w:szCs w:val="18"/>
        </w:rPr>
        <w:t xml:space="preserve"> </w:t>
      </w:r>
      <w:r>
        <w:rPr>
          <w:rFonts w:eastAsia="Calibri"/>
          <w:szCs w:val="18"/>
        </w:rPr>
        <w:t>См</w:t>
      </w:r>
      <w:r w:rsidRPr="004137E3">
        <w:rPr>
          <w:rFonts w:eastAsia="Calibri"/>
          <w:szCs w:val="18"/>
          <w:lang w:val="fr-CH"/>
        </w:rPr>
        <w:t xml:space="preserve">. </w:t>
      </w:r>
      <w:r>
        <w:rPr>
          <w:rFonts w:eastAsia="Calibri"/>
          <w:szCs w:val="18"/>
        </w:rPr>
        <w:t>также</w:t>
      </w:r>
      <w:r w:rsidRPr="004137E3">
        <w:rPr>
          <w:rFonts w:eastAsia="Calibri"/>
          <w:szCs w:val="18"/>
          <w:lang w:val="fr-CH"/>
        </w:rPr>
        <w:t xml:space="preserve"> </w:t>
      </w:r>
      <w:hyperlink r:id="rId30" w:history="1">
        <w:r w:rsidRPr="004137E3">
          <w:rPr>
            <w:rFonts w:eastAsia="Calibri"/>
            <w:color w:val="0000FF"/>
            <w:szCs w:val="18"/>
            <w:lang w:val="fr-CH"/>
          </w:rPr>
          <w:t>CAT/C/BDI/CO/2/Add.2</w:t>
        </w:r>
      </w:hyperlink>
      <w:r w:rsidRPr="0042062B">
        <w:rPr>
          <w:rFonts w:eastAsia="Calibri"/>
          <w:szCs w:val="18"/>
          <w:lang w:val="fr-FR"/>
        </w:rPr>
        <w:t xml:space="preserve">, par. 31 et 32 ; </w:t>
      </w:r>
      <w:r>
        <w:rPr>
          <w:rFonts w:eastAsia="Calibri"/>
          <w:szCs w:val="18"/>
        </w:rPr>
        <w:t>и</w:t>
      </w:r>
      <w:r w:rsidRPr="0042062B">
        <w:rPr>
          <w:rFonts w:eastAsia="Calibri"/>
          <w:szCs w:val="18"/>
          <w:lang w:val="fr-FR"/>
        </w:rPr>
        <w:t xml:space="preserve"> </w:t>
      </w:r>
      <w:r w:rsidRPr="004137E3">
        <w:rPr>
          <w:rFonts w:eastAsia="Calibri"/>
          <w:szCs w:val="18"/>
          <w:lang w:val="fr-CH"/>
        </w:rPr>
        <w:t>Haut</w:t>
      </w:r>
      <w:r w:rsidRPr="004137E3">
        <w:rPr>
          <w:rFonts w:eastAsia="Calibri"/>
          <w:szCs w:val="18"/>
          <w:lang w:val="fr-CH"/>
        </w:rPr>
        <w:noBreakHyphen/>
        <w:t>Commissariat aux droits de l’homme, « Burundi : Le Comité contre la torture déplore le manque de coopération du Burundi concernant les plaintes individuelles », communiqué de presse, 21 décembre 2021.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6DABE" w14:textId="346A6041" w:rsidR="004137E3" w:rsidRPr="004137E3" w:rsidRDefault="00B42C2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CAT/C/BDI/CO/3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3E605" w14:textId="1AFA87A5" w:rsidR="004137E3" w:rsidRPr="004137E3" w:rsidRDefault="00B42C24" w:rsidP="004137E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CAT/C/BDI/CO/3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F18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2CCA"/>
    <w:rsid w:val="00222140"/>
    <w:rsid w:val="002A2EFC"/>
    <w:rsid w:val="002C0E18"/>
    <w:rsid w:val="002C2260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55E32"/>
    <w:rsid w:val="00374EC6"/>
    <w:rsid w:val="00381C24"/>
    <w:rsid w:val="00393C46"/>
    <w:rsid w:val="003958D0"/>
    <w:rsid w:val="003B00E5"/>
    <w:rsid w:val="003D6E3F"/>
    <w:rsid w:val="00403C9E"/>
    <w:rsid w:val="00407B78"/>
    <w:rsid w:val="004137E3"/>
    <w:rsid w:val="00424203"/>
    <w:rsid w:val="00452493"/>
    <w:rsid w:val="00454E07"/>
    <w:rsid w:val="00472C5C"/>
    <w:rsid w:val="004A1E3D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3494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212DA"/>
    <w:rsid w:val="00A312BC"/>
    <w:rsid w:val="00A32F18"/>
    <w:rsid w:val="00A478EF"/>
    <w:rsid w:val="00A66C5E"/>
    <w:rsid w:val="00A74D9D"/>
    <w:rsid w:val="00A84021"/>
    <w:rsid w:val="00A84D35"/>
    <w:rsid w:val="00A917B3"/>
    <w:rsid w:val="00AB4B51"/>
    <w:rsid w:val="00B10CC7"/>
    <w:rsid w:val="00B1129F"/>
    <w:rsid w:val="00B20CB2"/>
    <w:rsid w:val="00B21473"/>
    <w:rsid w:val="00B42C24"/>
    <w:rsid w:val="00B539E7"/>
    <w:rsid w:val="00B62458"/>
    <w:rsid w:val="00BB0BA4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D2540"/>
    <w:rsid w:val="00CE5A1A"/>
    <w:rsid w:val="00CF55F6"/>
    <w:rsid w:val="00D278DD"/>
    <w:rsid w:val="00D33D63"/>
    <w:rsid w:val="00D6392D"/>
    <w:rsid w:val="00D7263B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CD233"/>
  <w15:docId w15:val="{C37D26C6-7D14-4AD2-A315-E63C69D9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,Footnote,callout,Footnote Refernece,Footnote Reference Number,Fußnotenzeichen_Raxen,BVI fnr,Fago Fußnotenzeichen,Footnotes refss,Style 10,ftref,16 Point,Superscript 6 Point,Footnote number,Endnote Text1,Ref,de nota al pie"/>
    <w:basedOn w:val="a0"/>
    <w:link w:val="4GCharChar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,Footnote Text Blue,stile 1,FA F,fn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qFormat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link w:val="SingleTxtG"/>
    <w:rsid w:val="004137E3"/>
    <w:rPr>
      <w:lang w:val="ru-RU" w:eastAsia="en-US"/>
    </w:rPr>
  </w:style>
  <w:style w:type="character" w:customStyle="1" w:styleId="HChGChar">
    <w:name w:val="_ H _Ch_G Char"/>
    <w:link w:val="HChG"/>
    <w:rsid w:val="004137E3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4137E3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4137E3"/>
    <w:rPr>
      <w:b/>
      <w:lang w:val="ru-RU" w:eastAsia="ru-RU"/>
    </w:rPr>
  </w:style>
  <w:style w:type="paragraph" w:customStyle="1" w:styleId="4GCharChar">
    <w:name w:val="4_G Char Char"/>
    <w:aliases w:val="4_G Char Char Char,ftref Char Char Char Char,ftref Char Char Char Char Char,Heading 2 Char1 Char Char Char Char Char,Heading 2 Char2 Char Char Char Char Char Char,Heading 2 Char Char Char Char Char1 Char Char Char Char"/>
    <w:basedOn w:val="a"/>
    <w:link w:val="aa"/>
    <w:rsid w:val="004137E3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AT/C/BDI/CO/2/Add.1" TargetMode="External"/><Relationship Id="rId13" Type="http://schemas.openxmlformats.org/officeDocument/2006/relationships/hyperlink" Target="http://undocs.org/ru/CAT/C/BDI/CO/2/Add.1" TargetMode="External"/><Relationship Id="rId18" Type="http://schemas.openxmlformats.org/officeDocument/2006/relationships/hyperlink" Target="http://undocs.org/ru/CAT/C/73/D/921/2019" TargetMode="External"/><Relationship Id="rId26" Type="http://schemas.openxmlformats.org/officeDocument/2006/relationships/hyperlink" Target="http://undocs.org/ru/CAT/C/60/D/579/2013" TargetMode="External"/><Relationship Id="rId3" Type="http://schemas.openxmlformats.org/officeDocument/2006/relationships/hyperlink" Target="http://undocs.org/fr/CAT/C/SR.2042" TargetMode="External"/><Relationship Id="rId21" Type="http://schemas.openxmlformats.org/officeDocument/2006/relationships/hyperlink" Target="http://undocs.org/ru/CAT/C/71/D/858/2018" TargetMode="External"/><Relationship Id="rId7" Type="http://schemas.openxmlformats.org/officeDocument/2006/relationships/hyperlink" Target="http://undocs.org/ru/CAT/C/BDI/CO/2" TargetMode="External"/><Relationship Id="rId12" Type="http://schemas.openxmlformats.org/officeDocument/2006/relationships/hyperlink" Target="https://tbinternet.ohchr.org/_layouts/15/treatybodyexternal/SessionDetails1.aspx?SessionID=1084&amp;Lang=ru" TargetMode="External"/><Relationship Id="rId17" Type="http://schemas.openxmlformats.org/officeDocument/2006/relationships/hyperlink" Target="http://undocs.org/ru/CAT/C/73/D/952/2019" TargetMode="External"/><Relationship Id="rId25" Type="http://schemas.openxmlformats.org/officeDocument/2006/relationships/hyperlink" Target="http://undocs.org/fr/CAT/C/62/D/496/2012/Corr.1" TargetMode="External"/><Relationship Id="rId2" Type="http://schemas.openxmlformats.org/officeDocument/2006/relationships/hyperlink" Target="http://undocs.org/fr/CAT/C/SR.2039" TargetMode="External"/><Relationship Id="rId16" Type="http://schemas.openxmlformats.org/officeDocument/2006/relationships/hyperlink" Target="http://undocs.org/ru/A/RES/48/16" TargetMode="External"/><Relationship Id="rId20" Type="http://schemas.openxmlformats.org/officeDocument/2006/relationships/hyperlink" Target="http://undocs.org/ru/CAT/C/71/D/843/2017" TargetMode="External"/><Relationship Id="rId29" Type="http://schemas.openxmlformats.org/officeDocument/2006/relationships/hyperlink" Target="http://undocs.org/ru/CAT/C/56/D/578/2013" TargetMode="External"/><Relationship Id="rId1" Type="http://schemas.openxmlformats.org/officeDocument/2006/relationships/hyperlink" Target="http://undocs.org/fr/CAT/C/BDI/3" TargetMode="External"/><Relationship Id="rId6" Type="http://schemas.openxmlformats.org/officeDocument/2006/relationships/hyperlink" Target="http://undocs.org/ru/CAT/C/BDI/CO/2" TargetMode="External"/><Relationship Id="rId11" Type="http://schemas.openxmlformats.org/officeDocument/2006/relationships/hyperlink" Target="https://ishr.ch/wp-content/uploads/2022/10/A_HRC_51_44_AdvanceEditedVersion.pdf" TargetMode="External"/><Relationship Id="rId24" Type="http://schemas.openxmlformats.org/officeDocument/2006/relationships/hyperlink" Target="http://undocs.org/ru/CAT/C/62/D/496/2012" TargetMode="External"/><Relationship Id="rId5" Type="http://schemas.openxmlformats.org/officeDocument/2006/relationships/hyperlink" Target="http://undocs.org/fr/CAT/C/BDI/Q/3" TargetMode="External"/><Relationship Id="rId15" Type="http://schemas.openxmlformats.org/officeDocument/2006/relationships/hyperlink" Target="http://undocs.org/ru/A/RES/33/24" TargetMode="External"/><Relationship Id="rId23" Type="http://schemas.openxmlformats.org/officeDocument/2006/relationships/hyperlink" Target="http://undocs.org/fr/CAT/C/62/D/493/2012/Corr.1" TargetMode="External"/><Relationship Id="rId28" Type="http://schemas.openxmlformats.org/officeDocument/2006/relationships/hyperlink" Target="http://undocs.org/ru/CAT/C/59/D/549/2013" TargetMode="External"/><Relationship Id="rId10" Type="http://schemas.openxmlformats.org/officeDocument/2006/relationships/hyperlink" Target="http://undocs.org/ru/A/HRC/48/68" TargetMode="External"/><Relationship Id="rId19" Type="http://schemas.openxmlformats.org/officeDocument/2006/relationships/hyperlink" Target="http://undocs.org/ru/CAT/C/72/D/793/2017" TargetMode="External"/><Relationship Id="rId4" Type="http://schemas.openxmlformats.org/officeDocument/2006/relationships/hyperlink" Target="http://undocs.org/fr/CAT/C/BDI/RQ/3" TargetMode="External"/><Relationship Id="rId9" Type="http://schemas.openxmlformats.org/officeDocument/2006/relationships/hyperlink" Target="http://undocs.org/fr/CAT/C/BDI/CO/2/Add.2" TargetMode="External"/><Relationship Id="rId14" Type="http://schemas.openxmlformats.org/officeDocument/2006/relationships/hyperlink" Target="http://undocs.org/ru/CAT/OP/12/5" TargetMode="External"/><Relationship Id="rId22" Type="http://schemas.openxmlformats.org/officeDocument/2006/relationships/hyperlink" Target="http://undocs.org/ru/CAT/C/62/D/493/2012" TargetMode="External"/><Relationship Id="rId27" Type="http://schemas.openxmlformats.org/officeDocument/2006/relationships/hyperlink" Target="http://undocs.org/ru/CAT/C/60/D/612/2014" TargetMode="External"/><Relationship Id="rId30" Type="http://schemas.openxmlformats.org/officeDocument/2006/relationships/hyperlink" Target="http://undocs.org/fr/CAT/C/BDI/CO/2/Add.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18</Pages>
  <Words>7138</Words>
  <Characters>50606</Characters>
  <Application>Microsoft Office Word</Application>
  <DocSecurity>0</DocSecurity>
  <Lines>896</Lines>
  <Paragraphs>169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CAT/C/BDI/CO/3</vt:lpstr>
      <vt:lpstr>A/</vt:lpstr>
      <vt:lpstr>A/</vt:lpstr>
      <vt:lpstr>A/</vt:lpstr>
    </vt:vector>
  </TitlesOfParts>
  <Company>DCM</Company>
  <LinksUpToDate>false</LinksUpToDate>
  <CharactersWithSpaces>57634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CAT/C/BDI/CO/3</dc:title>
  <dc:subject/>
  <dc:creator>Sharkina</dc:creator>
  <cp:keywords/>
  <cp:lastModifiedBy>Sharkina</cp:lastModifiedBy>
  <cp:revision>3</cp:revision>
  <cp:lastPrinted>2024-02-15T14:45:00Z</cp:lastPrinted>
  <dcterms:created xsi:type="dcterms:W3CDTF">2024-02-15T14:45:00Z</dcterms:created>
  <dcterms:modified xsi:type="dcterms:W3CDTF">2024-02-15T14:47:00Z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