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320" w:rsidRDefault="006C7320" w:rsidP="006C7320">
      <w:pPr>
        <w:spacing w:line="60" w:lineRule="exact"/>
        <w:rPr>
          <w:sz w:val="6"/>
        </w:rPr>
        <w:sectPr w:rsidR="006C7320" w:rsidSect="000E3C3A">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523EC6" w:rsidRPr="00AF2B90" w:rsidRDefault="00523EC6" w:rsidP="00523EC6">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sidRPr="00AF2B90">
        <w:rPr>
          <w:rFonts w:hint="eastAsia"/>
        </w:rPr>
        <w:lastRenderedPageBreak/>
        <w:t>消除对妇女歧视委员会</w:t>
      </w:r>
    </w:p>
    <w:p w:rsidR="00523EC6" w:rsidRPr="00AF2B90" w:rsidRDefault="00523EC6" w:rsidP="00523EC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rFonts w:ascii="Times New Roman"/>
          <w:snapToGrid w:val="0"/>
          <w:lang w:val="en-GB"/>
        </w:rPr>
      </w:pPr>
      <w:r w:rsidRPr="00AF2B90">
        <w:rPr>
          <w:rFonts w:ascii="Times New Roman" w:hint="eastAsia"/>
        </w:rPr>
        <w:tab/>
      </w:r>
      <w:r w:rsidRPr="00AF2B90">
        <w:rPr>
          <w:rFonts w:ascii="Times New Roman" w:hint="eastAsia"/>
        </w:rPr>
        <w:tab/>
      </w:r>
      <w:r w:rsidRPr="00AF2B90">
        <w:rPr>
          <w:rFonts w:hint="eastAsia"/>
        </w:rPr>
        <w:t>关于意大利第七次定期报告的结论性意见</w:t>
      </w:r>
      <w:r w:rsidRPr="00523EC6">
        <w:rPr>
          <w:rFonts w:ascii="Times New Roman" w:eastAsia="PMingLiU"/>
          <w:sz w:val="21"/>
          <w:szCs w:val="28"/>
          <w:vertAlign w:val="superscript"/>
          <w:lang w:val="en-GB"/>
        </w:rPr>
        <w:footnoteReference w:customMarkFollows="1" w:id="1"/>
        <w:t>*</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1.</w:t>
      </w:r>
      <w:r w:rsidRPr="00AF2B90">
        <w:rPr>
          <w:rFonts w:eastAsia="宋体"/>
          <w:sz w:val="21"/>
          <w:szCs w:val="21"/>
          <w:lang w:eastAsia="zh-CN"/>
        </w:rPr>
        <w:tab/>
      </w:r>
      <w:r w:rsidRPr="00AF2B90">
        <w:rPr>
          <w:rFonts w:eastAsia="宋体" w:hAnsi="宋体"/>
          <w:sz w:val="21"/>
          <w:szCs w:val="21"/>
          <w:lang w:eastAsia="zh-CN"/>
        </w:rPr>
        <w:t>委员会在</w:t>
      </w:r>
      <w:r w:rsidRPr="00AF2B90">
        <w:rPr>
          <w:rFonts w:eastAsia="宋体"/>
          <w:sz w:val="21"/>
          <w:szCs w:val="21"/>
          <w:lang w:eastAsia="zh-CN"/>
        </w:rPr>
        <w:t>2017</w:t>
      </w:r>
      <w:r w:rsidRPr="00AF2B90">
        <w:rPr>
          <w:rFonts w:eastAsia="宋体" w:hAnsi="宋体"/>
          <w:sz w:val="21"/>
          <w:szCs w:val="21"/>
          <w:lang w:eastAsia="zh-CN"/>
        </w:rPr>
        <w:t>年</w:t>
      </w:r>
      <w:r w:rsidRPr="00AF2B90">
        <w:rPr>
          <w:rFonts w:eastAsia="宋体"/>
          <w:sz w:val="21"/>
          <w:szCs w:val="21"/>
          <w:lang w:eastAsia="zh-CN"/>
        </w:rPr>
        <w:t>7</w:t>
      </w:r>
      <w:r w:rsidRPr="00AF2B90">
        <w:rPr>
          <w:rFonts w:eastAsia="宋体" w:hAnsi="宋体"/>
          <w:sz w:val="21"/>
          <w:szCs w:val="21"/>
          <w:lang w:eastAsia="zh-CN"/>
        </w:rPr>
        <w:t>月</w:t>
      </w:r>
      <w:r w:rsidRPr="00AF2B90">
        <w:rPr>
          <w:rFonts w:eastAsia="宋体"/>
          <w:sz w:val="21"/>
          <w:szCs w:val="21"/>
          <w:lang w:eastAsia="zh-CN"/>
        </w:rPr>
        <w:t>4</w:t>
      </w:r>
      <w:r w:rsidRPr="00AF2B90">
        <w:rPr>
          <w:rFonts w:eastAsia="宋体" w:hAnsi="宋体"/>
          <w:sz w:val="21"/>
          <w:szCs w:val="21"/>
          <w:lang w:eastAsia="zh-CN"/>
        </w:rPr>
        <w:t>日举行的第</w:t>
      </w:r>
      <w:r w:rsidRPr="00AF2B90">
        <w:rPr>
          <w:rFonts w:eastAsia="宋体"/>
          <w:sz w:val="21"/>
          <w:szCs w:val="21"/>
          <w:lang w:eastAsia="zh-CN"/>
        </w:rPr>
        <w:t>1502</w:t>
      </w:r>
      <w:r w:rsidRPr="00AF2B90">
        <w:rPr>
          <w:rFonts w:eastAsia="宋体" w:hAnsi="宋体"/>
          <w:sz w:val="21"/>
          <w:szCs w:val="21"/>
          <w:lang w:eastAsia="zh-CN"/>
        </w:rPr>
        <w:t>和</w:t>
      </w:r>
      <w:r w:rsidRPr="00AF2B90">
        <w:rPr>
          <w:rFonts w:eastAsia="宋体"/>
          <w:sz w:val="21"/>
          <w:szCs w:val="21"/>
          <w:lang w:eastAsia="zh-CN"/>
        </w:rPr>
        <w:t>1503</w:t>
      </w:r>
      <w:r w:rsidRPr="00AF2B90">
        <w:rPr>
          <w:rFonts w:eastAsia="宋体" w:hAnsi="宋体"/>
          <w:sz w:val="21"/>
          <w:szCs w:val="21"/>
          <w:lang w:eastAsia="zh-CN"/>
        </w:rPr>
        <w:t>次会议</w:t>
      </w:r>
      <w:r>
        <w:rPr>
          <w:rFonts w:eastAsia="宋体" w:hAnsi="宋体"/>
          <w:sz w:val="21"/>
          <w:szCs w:val="21"/>
          <w:lang w:eastAsia="zh-CN"/>
        </w:rPr>
        <w:t>(</w:t>
      </w:r>
      <w:r w:rsidRPr="00AF2B90">
        <w:rPr>
          <w:rFonts w:eastAsia="宋体" w:hAnsi="宋体"/>
          <w:sz w:val="21"/>
          <w:szCs w:val="21"/>
          <w:lang w:eastAsia="zh-CN"/>
        </w:rPr>
        <w:t>见</w:t>
      </w:r>
      <w:r>
        <w:fldChar w:fldCharType="begin"/>
      </w:r>
      <w:r>
        <w:rPr>
          <w:lang w:eastAsia="zh-CN"/>
        </w:rPr>
        <w:instrText xml:space="preserve"> HYPERLINK "http://undocs.org/CEDAW/C/SR.1309" </w:instrText>
      </w:r>
      <w:r>
        <w:fldChar w:fldCharType="separate"/>
      </w:r>
      <w:r w:rsidRPr="00AF2B90">
        <w:rPr>
          <w:rFonts w:eastAsia="宋体"/>
          <w:color w:val="0000FF"/>
          <w:sz w:val="21"/>
          <w:szCs w:val="21"/>
          <w:lang w:eastAsia="zh-CN"/>
        </w:rPr>
        <w:t>CEDAW/C/</w:t>
      </w:r>
      <w:r>
        <w:rPr>
          <w:rFonts w:eastAsia="宋体" w:hint="eastAsia"/>
          <w:color w:val="0000FF"/>
          <w:sz w:val="21"/>
          <w:szCs w:val="21"/>
          <w:lang w:eastAsia="zh-CN"/>
        </w:rPr>
        <w:t xml:space="preserve"> </w:t>
      </w:r>
      <w:r w:rsidRPr="00AF2B90">
        <w:rPr>
          <w:rFonts w:eastAsia="宋体"/>
          <w:color w:val="0000FF"/>
          <w:sz w:val="21"/>
          <w:szCs w:val="21"/>
          <w:lang w:eastAsia="zh-CN"/>
        </w:rPr>
        <w:t>SR.1502</w:t>
      </w:r>
      <w:r>
        <w:rPr>
          <w:rFonts w:eastAsia="宋体"/>
          <w:color w:val="0000FF"/>
          <w:sz w:val="21"/>
          <w:szCs w:val="21"/>
          <w:lang w:eastAsia="zh-CN"/>
        </w:rPr>
        <w:fldChar w:fldCharType="end"/>
      </w:r>
      <w:r w:rsidRPr="00AF2B90">
        <w:rPr>
          <w:rFonts w:eastAsia="宋体" w:hAnsi="宋体"/>
          <w:sz w:val="21"/>
          <w:szCs w:val="21"/>
          <w:lang w:eastAsia="zh-CN"/>
        </w:rPr>
        <w:t>和</w:t>
      </w:r>
      <w:r w:rsidRPr="00AF2B90">
        <w:rPr>
          <w:rFonts w:eastAsia="宋体"/>
          <w:sz w:val="21"/>
          <w:szCs w:val="21"/>
          <w:lang w:eastAsia="zh-CN"/>
        </w:rPr>
        <w:t>1503</w:t>
      </w:r>
      <w:r>
        <w:rPr>
          <w:rFonts w:eastAsia="宋体" w:hAnsi="宋体"/>
          <w:sz w:val="21"/>
          <w:szCs w:val="21"/>
          <w:lang w:eastAsia="zh-CN"/>
        </w:rPr>
        <w:t>)</w:t>
      </w:r>
      <w:r w:rsidRPr="00AF2B90">
        <w:rPr>
          <w:rFonts w:eastAsia="宋体" w:hAnsi="宋体"/>
          <w:sz w:val="21"/>
          <w:szCs w:val="21"/>
          <w:lang w:eastAsia="zh-CN"/>
        </w:rPr>
        <w:t>上审议了意大利的第七次定期报告</w:t>
      </w:r>
      <w:r>
        <w:rPr>
          <w:rFonts w:eastAsia="宋体" w:hAnsi="宋体"/>
          <w:sz w:val="21"/>
          <w:szCs w:val="21"/>
          <w:lang w:eastAsia="zh-CN"/>
        </w:rPr>
        <w:t>(</w:t>
      </w:r>
      <w:hyperlink r:id="rId16" w:history="1">
        <w:r w:rsidRPr="00AF2B90">
          <w:rPr>
            <w:rFonts w:eastAsia="宋体"/>
            <w:color w:val="0000FF"/>
            <w:sz w:val="21"/>
            <w:szCs w:val="21"/>
            <w:lang w:eastAsia="zh-CN"/>
          </w:rPr>
          <w:t>CEDAW/C/ITA/7</w:t>
        </w:r>
      </w:hyperlink>
      <w:r>
        <w:rPr>
          <w:rFonts w:eastAsia="宋体" w:hAnsi="宋体"/>
          <w:sz w:val="21"/>
          <w:szCs w:val="21"/>
          <w:lang w:eastAsia="zh-CN"/>
        </w:rPr>
        <w:t>)</w:t>
      </w:r>
      <w:r w:rsidRPr="00AF2B90">
        <w:rPr>
          <w:rFonts w:eastAsia="宋体" w:hAnsi="宋体"/>
          <w:sz w:val="21"/>
          <w:szCs w:val="21"/>
          <w:lang w:eastAsia="zh-CN"/>
        </w:rPr>
        <w:t>。委员会的议题和问题清单载于</w:t>
      </w:r>
      <w:r>
        <w:fldChar w:fldCharType="begin"/>
      </w:r>
      <w:r>
        <w:rPr>
          <w:lang w:eastAsia="zh-CN"/>
        </w:rPr>
        <w:instrText xml:space="preserve"> HYPERLINK "http://undocs.org/CEDAW/C/ESP/Q/7" </w:instrText>
      </w:r>
      <w:r>
        <w:fldChar w:fldCharType="separate"/>
      </w:r>
      <w:r w:rsidRPr="00AF2B90">
        <w:rPr>
          <w:rFonts w:eastAsia="宋体"/>
          <w:color w:val="0000FF"/>
          <w:sz w:val="21"/>
          <w:szCs w:val="21"/>
          <w:lang w:eastAsia="zh-CN"/>
        </w:rPr>
        <w:t>CEDAW/C/ITA/Q/7</w:t>
      </w:r>
      <w:r>
        <w:rPr>
          <w:rFonts w:eastAsia="宋体"/>
          <w:color w:val="0000FF"/>
          <w:sz w:val="21"/>
          <w:szCs w:val="21"/>
          <w:lang w:eastAsia="zh-CN"/>
        </w:rPr>
        <w:fldChar w:fldCharType="end"/>
      </w:r>
      <w:r w:rsidRPr="00AF2B90">
        <w:rPr>
          <w:rFonts w:eastAsia="宋体" w:hAnsi="宋体"/>
          <w:sz w:val="21"/>
          <w:szCs w:val="21"/>
          <w:lang w:eastAsia="zh-CN"/>
        </w:rPr>
        <w:t>，意大利的答复载于</w:t>
      </w:r>
      <w:r>
        <w:fldChar w:fldCharType="begin"/>
      </w:r>
      <w:r>
        <w:rPr>
          <w:lang w:eastAsia="zh-CN"/>
        </w:rPr>
        <w:instrText xml:space="preserve"> HYPERLINK "http://undocs.org/CEDAW/C/ESP/Q/7-8/Add.1" </w:instrText>
      </w:r>
      <w:r>
        <w:fldChar w:fldCharType="separate"/>
      </w:r>
      <w:r w:rsidRPr="00AF2B90">
        <w:rPr>
          <w:rFonts w:eastAsia="宋体"/>
          <w:color w:val="0000FF"/>
          <w:sz w:val="21"/>
          <w:szCs w:val="21"/>
          <w:lang w:eastAsia="zh-CN"/>
        </w:rPr>
        <w:t>CEDAW/C/ITA/Q/</w:t>
      </w:r>
      <w:r>
        <w:rPr>
          <w:rFonts w:eastAsia="宋体" w:hint="eastAsia"/>
          <w:color w:val="0000FF"/>
          <w:sz w:val="21"/>
          <w:szCs w:val="21"/>
          <w:lang w:eastAsia="zh-CN"/>
        </w:rPr>
        <w:t xml:space="preserve"> </w:t>
      </w:r>
      <w:r w:rsidRPr="00AF2B90">
        <w:rPr>
          <w:rFonts w:eastAsia="宋体"/>
          <w:color w:val="0000FF"/>
          <w:sz w:val="21"/>
          <w:szCs w:val="21"/>
          <w:lang w:eastAsia="zh-CN"/>
        </w:rPr>
        <w:t>7/Add.1</w:t>
      </w:r>
      <w:r>
        <w:rPr>
          <w:rFonts w:eastAsia="宋体"/>
          <w:color w:val="0000FF"/>
          <w:sz w:val="21"/>
          <w:szCs w:val="21"/>
          <w:lang w:eastAsia="zh-CN"/>
        </w:rPr>
        <w:fldChar w:fldCharType="end"/>
      </w:r>
      <w:r w:rsidRPr="00AF2B90">
        <w:rPr>
          <w:rFonts w:eastAsia="宋体" w:hAnsi="宋体"/>
          <w:sz w:val="21"/>
          <w:szCs w:val="21"/>
          <w:lang w:eastAsia="zh-CN"/>
        </w:rPr>
        <w:t>。</w:t>
      </w:r>
      <w:r w:rsidRPr="00AF2B90">
        <w:rPr>
          <w:rFonts w:eastAsia="宋体"/>
          <w:sz w:val="21"/>
          <w:szCs w:val="21"/>
          <w:lang w:eastAsia="zh-CN"/>
        </w:rPr>
        <w:tab/>
      </w:r>
    </w:p>
    <w:p w:rsidR="00523EC6" w:rsidRPr="000247AE" w:rsidRDefault="00523EC6" w:rsidP="00523E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0247AE">
        <w:rPr>
          <w:rFonts w:ascii="Times New Roman"/>
        </w:rPr>
        <w:tab/>
        <w:t>A.</w:t>
      </w:r>
      <w:r w:rsidRPr="000247AE">
        <w:rPr>
          <w:rFonts w:ascii="Times New Roman"/>
        </w:rPr>
        <w:tab/>
      </w:r>
      <w:r w:rsidRPr="000247AE">
        <w:rPr>
          <w:rFonts w:ascii="Times New Roman"/>
        </w:rPr>
        <w:t>导言</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2.</w:t>
      </w:r>
      <w:r w:rsidRPr="00AF2B90">
        <w:rPr>
          <w:rFonts w:eastAsia="宋体"/>
          <w:sz w:val="21"/>
          <w:szCs w:val="21"/>
          <w:lang w:eastAsia="zh-CN"/>
        </w:rPr>
        <w:tab/>
      </w:r>
      <w:r w:rsidRPr="00AF2B90">
        <w:rPr>
          <w:rFonts w:eastAsia="宋体" w:hAnsi="宋体"/>
          <w:sz w:val="21"/>
          <w:szCs w:val="21"/>
          <w:lang w:eastAsia="zh-CN"/>
        </w:rPr>
        <w:t>委员会感谢缔约国提交其第七次定期报告。委员会还感谢缔约国对会前工作组提出的议题和问题清单作出书面答复，并欢迎缔约国代表团的口头介绍以及对话期间在答复委员会口头提出的问题时提供的进一步说明。</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3.</w:t>
      </w:r>
      <w:r w:rsidRPr="00AF2B90">
        <w:rPr>
          <w:rFonts w:eastAsia="宋体"/>
          <w:sz w:val="21"/>
          <w:szCs w:val="21"/>
          <w:lang w:eastAsia="zh-CN"/>
        </w:rPr>
        <w:tab/>
      </w:r>
      <w:r w:rsidRPr="00AF2B90">
        <w:rPr>
          <w:rFonts w:eastAsia="宋体" w:hAnsi="宋体"/>
          <w:sz w:val="21"/>
          <w:szCs w:val="21"/>
          <w:lang w:eastAsia="zh-CN"/>
        </w:rPr>
        <w:t>委员会赞扬缔约国派出由部长全权代表兼部际人权委员会主席</w:t>
      </w:r>
      <w:proofErr w:type="spellStart"/>
      <w:r w:rsidRPr="00AF2B90">
        <w:rPr>
          <w:rFonts w:eastAsia="宋体"/>
          <w:sz w:val="21"/>
          <w:szCs w:val="21"/>
          <w:lang w:eastAsia="zh-CN"/>
        </w:rPr>
        <w:t>Fabrizio</w:t>
      </w:r>
      <w:proofErr w:type="spellEnd"/>
      <w:r>
        <w:rPr>
          <w:rFonts w:eastAsia="宋体" w:hint="eastAsia"/>
          <w:sz w:val="21"/>
          <w:szCs w:val="21"/>
          <w:lang w:eastAsia="zh-CN"/>
        </w:rPr>
        <w:t xml:space="preserve"> </w:t>
      </w:r>
      <w:r w:rsidRPr="00AF2B90">
        <w:rPr>
          <w:rFonts w:eastAsia="宋体"/>
          <w:sz w:val="21"/>
          <w:szCs w:val="21"/>
          <w:lang w:eastAsia="zh-CN"/>
        </w:rPr>
        <w:t>Petri</w:t>
      </w:r>
      <w:r w:rsidRPr="00AF2B90">
        <w:rPr>
          <w:rFonts w:eastAsia="宋体" w:hAnsi="宋体"/>
          <w:sz w:val="21"/>
          <w:szCs w:val="21"/>
          <w:lang w:eastAsia="zh-CN"/>
        </w:rPr>
        <w:t>率领的代表团出席会议，代表团成员包括来自机会平等司、国家反种族歧视办公室、家庭政策司、内政部、司法部、劳动与社会政策部、教育、大学与科研部、卫生部、国家统计研究所、国家通信管理局以及意大利常驻联合国日内瓦办事处和日内瓦其他国际组织代表团的代表。</w:t>
      </w:r>
    </w:p>
    <w:p w:rsidR="00523EC6" w:rsidRPr="000247AE" w:rsidRDefault="00523EC6" w:rsidP="00523E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0247AE">
        <w:rPr>
          <w:rFonts w:ascii="Times New Roman"/>
        </w:rPr>
        <w:tab/>
        <w:t>B.</w:t>
      </w:r>
      <w:r w:rsidRPr="000247AE">
        <w:rPr>
          <w:rFonts w:ascii="Times New Roman"/>
        </w:rPr>
        <w:tab/>
      </w:r>
      <w:r w:rsidRPr="000247AE">
        <w:rPr>
          <w:rFonts w:ascii="Times New Roman"/>
        </w:rPr>
        <w:t>积极方面</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4.</w:t>
      </w:r>
      <w:r w:rsidRPr="00AF2B90">
        <w:rPr>
          <w:rFonts w:eastAsia="宋体"/>
          <w:sz w:val="21"/>
          <w:szCs w:val="21"/>
          <w:lang w:eastAsia="zh-CN"/>
        </w:rPr>
        <w:tab/>
      </w:r>
      <w:r w:rsidRPr="00AF2B90">
        <w:rPr>
          <w:rFonts w:eastAsia="宋体" w:hAnsi="宋体"/>
          <w:sz w:val="21"/>
          <w:szCs w:val="21"/>
          <w:lang w:eastAsia="zh-CN"/>
        </w:rPr>
        <w:t>委员会欢迎自</w:t>
      </w:r>
      <w:r w:rsidRPr="00AF2B90">
        <w:rPr>
          <w:rFonts w:eastAsia="宋体"/>
          <w:sz w:val="21"/>
          <w:szCs w:val="21"/>
          <w:lang w:eastAsia="zh-CN"/>
        </w:rPr>
        <w:t>2011</w:t>
      </w:r>
      <w:r w:rsidRPr="00AF2B90">
        <w:rPr>
          <w:rFonts w:eastAsia="宋体" w:hAnsi="宋体"/>
          <w:sz w:val="21"/>
          <w:szCs w:val="21"/>
          <w:lang w:eastAsia="zh-CN"/>
        </w:rPr>
        <w:t>年审议缔约国的第六次定期报告</w:t>
      </w:r>
      <w:r>
        <w:rPr>
          <w:rFonts w:eastAsia="宋体" w:hAnsi="宋体"/>
          <w:sz w:val="21"/>
          <w:szCs w:val="21"/>
          <w:lang w:eastAsia="zh-CN"/>
        </w:rPr>
        <w:t>(</w:t>
      </w:r>
      <w:hyperlink r:id="rId17" w:history="1">
        <w:r w:rsidRPr="00AF2B90">
          <w:rPr>
            <w:rFonts w:eastAsia="宋体"/>
            <w:color w:val="0000FF"/>
            <w:sz w:val="21"/>
            <w:szCs w:val="21"/>
            <w:lang w:eastAsia="zh-CN"/>
          </w:rPr>
          <w:t>CEDAW/C/ITA/6</w:t>
        </w:r>
      </w:hyperlink>
      <w:r>
        <w:rPr>
          <w:rFonts w:eastAsia="宋体" w:hAnsi="宋体"/>
          <w:sz w:val="21"/>
          <w:szCs w:val="21"/>
          <w:lang w:eastAsia="zh-CN"/>
        </w:rPr>
        <w:t>)</w:t>
      </w:r>
      <w:r w:rsidRPr="00AF2B90">
        <w:rPr>
          <w:rFonts w:eastAsia="宋体" w:hAnsi="宋体"/>
          <w:sz w:val="21"/>
          <w:szCs w:val="21"/>
          <w:lang w:eastAsia="zh-CN"/>
        </w:rPr>
        <w:t>以来，缔约国在进行立法改革方面取得了进展，特别是：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t>2017</w:t>
      </w:r>
      <w:r w:rsidRPr="00AF2B90">
        <w:rPr>
          <w:rFonts w:eastAsia="宋体" w:hAnsi="宋体"/>
          <w:sz w:val="21"/>
          <w:szCs w:val="21"/>
          <w:lang w:eastAsia="zh-CN"/>
        </w:rPr>
        <w:t>年</w:t>
      </w:r>
      <w:r w:rsidRPr="00AF2B90">
        <w:rPr>
          <w:rFonts w:eastAsia="宋体"/>
          <w:sz w:val="21"/>
          <w:szCs w:val="21"/>
          <w:lang w:eastAsia="zh-CN"/>
        </w:rPr>
        <w:t>6</w:t>
      </w:r>
      <w:r w:rsidRPr="00AF2B90">
        <w:rPr>
          <w:rFonts w:eastAsia="宋体" w:hAnsi="宋体"/>
          <w:sz w:val="21"/>
          <w:szCs w:val="21"/>
          <w:lang w:eastAsia="zh-CN"/>
        </w:rPr>
        <w:t>月通过了关于将性别平等观点纳入公共行政部门预算编制的法令，通过该法令可评估公共政策对妇女和男子的薪酬、服务、无报酬工作时间和工作的影响；</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t>2017</w:t>
      </w:r>
      <w:r w:rsidRPr="00AF2B90">
        <w:rPr>
          <w:rFonts w:eastAsia="宋体" w:hAnsi="宋体"/>
          <w:sz w:val="21"/>
          <w:szCs w:val="21"/>
          <w:lang w:eastAsia="zh-CN"/>
        </w:rPr>
        <w:t>年</w:t>
      </w:r>
      <w:r w:rsidRPr="00AF2B90">
        <w:rPr>
          <w:rFonts w:eastAsia="宋体"/>
          <w:sz w:val="21"/>
          <w:szCs w:val="21"/>
          <w:lang w:eastAsia="zh-CN"/>
        </w:rPr>
        <w:t>6</w:t>
      </w:r>
      <w:r w:rsidRPr="00AF2B90">
        <w:rPr>
          <w:rFonts w:eastAsia="宋体" w:hAnsi="宋体"/>
          <w:sz w:val="21"/>
          <w:szCs w:val="21"/>
          <w:lang w:eastAsia="zh-CN"/>
        </w:rPr>
        <w:t>月通过了第</w:t>
      </w:r>
      <w:r>
        <w:rPr>
          <w:rFonts w:eastAsia="宋体"/>
          <w:sz w:val="21"/>
          <w:szCs w:val="21"/>
          <w:lang w:eastAsia="zh-CN"/>
        </w:rPr>
        <w:fldChar w:fldCharType="begin"/>
      </w:r>
      <w:r>
        <w:rPr>
          <w:rFonts w:eastAsia="宋体"/>
          <w:sz w:val="21"/>
          <w:szCs w:val="21"/>
          <w:lang w:eastAsia="zh-CN"/>
        </w:rPr>
        <w:instrText xml:space="preserve"> HYPERLINK "https://undocs.org/ch/S/RES/81/201" </w:instrText>
      </w:r>
      <w:r>
        <w:rPr>
          <w:rFonts w:eastAsia="宋体"/>
          <w:sz w:val="21"/>
          <w:szCs w:val="21"/>
          <w:lang w:eastAsia="zh-CN"/>
        </w:rPr>
      </w:r>
      <w:r>
        <w:rPr>
          <w:rFonts w:eastAsia="宋体"/>
          <w:sz w:val="21"/>
          <w:szCs w:val="21"/>
          <w:lang w:eastAsia="zh-CN"/>
        </w:rPr>
        <w:fldChar w:fldCharType="separate"/>
      </w:r>
      <w:r w:rsidRPr="00523EC6">
        <w:rPr>
          <w:rStyle w:val="ad"/>
          <w:rFonts w:eastAsia="宋体"/>
          <w:sz w:val="21"/>
          <w:szCs w:val="21"/>
          <w:lang w:eastAsia="zh-CN"/>
        </w:rPr>
        <w:t>81/201</w:t>
      </w:r>
      <w:r>
        <w:rPr>
          <w:rFonts w:eastAsia="宋体"/>
          <w:sz w:val="21"/>
          <w:szCs w:val="21"/>
          <w:lang w:eastAsia="zh-CN"/>
        </w:rPr>
        <w:fldChar w:fldCharType="end"/>
      </w:r>
      <w:r w:rsidRPr="00AF2B90">
        <w:rPr>
          <w:rFonts w:eastAsia="宋体"/>
          <w:sz w:val="21"/>
          <w:szCs w:val="21"/>
          <w:lang w:eastAsia="zh-CN"/>
        </w:rPr>
        <w:t>7</w:t>
      </w:r>
      <w:r w:rsidRPr="00AF2B90">
        <w:rPr>
          <w:rFonts w:eastAsia="宋体" w:hAnsi="宋体"/>
          <w:sz w:val="21"/>
          <w:szCs w:val="21"/>
          <w:lang w:eastAsia="zh-CN"/>
        </w:rPr>
        <w:t>号法，规定了促进针对公共与私营部门雇员的新的弹性工作安排的措施；</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lastRenderedPageBreak/>
        <w:tab/>
        <w:t>(c)</w:t>
      </w:r>
      <w:r w:rsidRPr="00AF2B90">
        <w:rPr>
          <w:rFonts w:eastAsia="宋体"/>
          <w:sz w:val="21"/>
          <w:szCs w:val="21"/>
          <w:lang w:eastAsia="zh-CN"/>
        </w:rPr>
        <w:tab/>
        <w:t>2015</w:t>
      </w:r>
      <w:r w:rsidRPr="00AF2B90">
        <w:rPr>
          <w:rFonts w:eastAsia="宋体" w:hAnsi="宋体"/>
          <w:sz w:val="21"/>
          <w:szCs w:val="21"/>
          <w:lang w:eastAsia="zh-CN"/>
        </w:rPr>
        <w:t>年</w:t>
      </w:r>
      <w:r w:rsidRPr="00AF2B90">
        <w:rPr>
          <w:rFonts w:eastAsia="宋体"/>
          <w:sz w:val="21"/>
          <w:szCs w:val="21"/>
          <w:lang w:eastAsia="zh-CN"/>
        </w:rPr>
        <w:t>7</w:t>
      </w:r>
      <w:r w:rsidRPr="00AF2B90">
        <w:rPr>
          <w:rFonts w:eastAsia="宋体" w:hAnsi="宋体"/>
          <w:sz w:val="21"/>
          <w:szCs w:val="21"/>
          <w:lang w:eastAsia="zh-CN"/>
        </w:rPr>
        <w:t>月通过了第</w:t>
      </w:r>
      <w:r w:rsidRPr="00AF2B90">
        <w:rPr>
          <w:rFonts w:eastAsia="宋体"/>
          <w:sz w:val="21"/>
          <w:szCs w:val="21"/>
          <w:lang w:eastAsia="zh-CN"/>
        </w:rPr>
        <w:t>1</w:t>
      </w:r>
      <w:hyperlink r:id="rId18" w:history="1">
        <w:r w:rsidRPr="00523EC6">
          <w:rPr>
            <w:rStyle w:val="ad"/>
            <w:rFonts w:eastAsia="宋体"/>
            <w:sz w:val="21"/>
            <w:szCs w:val="21"/>
            <w:lang w:eastAsia="zh-CN"/>
          </w:rPr>
          <w:t>07/201</w:t>
        </w:r>
      </w:hyperlink>
      <w:r w:rsidRPr="00AF2B90">
        <w:rPr>
          <w:rFonts w:eastAsia="宋体"/>
          <w:sz w:val="21"/>
          <w:szCs w:val="21"/>
          <w:lang w:eastAsia="zh-CN"/>
        </w:rPr>
        <w:t>5</w:t>
      </w:r>
      <w:r w:rsidRPr="00AF2B90">
        <w:rPr>
          <w:rFonts w:eastAsia="宋体" w:hAnsi="宋体"/>
          <w:sz w:val="21"/>
          <w:szCs w:val="21"/>
          <w:lang w:eastAsia="zh-CN"/>
        </w:rPr>
        <w:t>号法，对将性别平等教育纳入国家教育和培训体系作了规定；</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t>2015</w:t>
      </w:r>
      <w:r w:rsidRPr="00AF2B90">
        <w:rPr>
          <w:rFonts w:eastAsia="宋体" w:hAnsi="宋体"/>
          <w:sz w:val="21"/>
          <w:szCs w:val="21"/>
          <w:lang w:eastAsia="zh-CN"/>
        </w:rPr>
        <w:t>年</w:t>
      </w:r>
      <w:r w:rsidRPr="00AF2B90">
        <w:rPr>
          <w:rFonts w:eastAsia="宋体"/>
          <w:sz w:val="21"/>
          <w:szCs w:val="21"/>
          <w:lang w:eastAsia="zh-CN"/>
        </w:rPr>
        <w:t>6</w:t>
      </w:r>
      <w:r w:rsidRPr="00AF2B90">
        <w:rPr>
          <w:rFonts w:eastAsia="宋体" w:hAnsi="宋体"/>
          <w:sz w:val="21"/>
          <w:szCs w:val="21"/>
          <w:lang w:eastAsia="zh-CN"/>
        </w:rPr>
        <w:t>月通过了关于兼顾照护、工作和家庭生活的措施的第</w:t>
      </w:r>
      <w:r>
        <w:rPr>
          <w:rFonts w:eastAsia="宋体"/>
          <w:sz w:val="21"/>
          <w:szCs w:val="21"/>
          <w:lang w:eastAsia="zh-CN"/>
        </w:rPr>
        <w:fldChar w:fldCharType="begin"/>
      </w:r>
      <w:r>
        <w:rPr>
          <w:rFonts w:eastAsia="宋体"/>
          <w:sz w:val="21"/>
          <w:szCs w:val="21"/>
          <w:lang w:eastAsia="zh-CN"/>
        </w:rPr>
        <w:instrText xml:space="preserve"> HYPERLINK "https://undocs.org/ch/S/RES/80/201" </w:instrText>
      </w:r>
      <w:r>
        <w:rPr>
          <w:rFonts w:eastAsia="宋体"/>
          <w:sz w:val="21"/>
          <w:szCs w:val="21"/>
          <w:lang w:eastAsia="zh-CN"/>
        </w:rPr>
      </w:r>
      <w:r>
        <w:rPr>
          <w:rFonts w:eastAsia="宋体"/>
          <w:sz w:val="21"/>
          <w:szCs w:val="21"/>
          <w:lang w:eastAsia="zh-CN"/>
        </w:rPr>
        <w:fldChar w:fldCharType="separate"/>
      </w:r>
      <w:r w:rsidRPr="00523EC6">
        <w:rPr>
          <w:rStyle w:val="ad"/>
          <w:rFonts w:eastAsia="宋体"/>
          <w:sz w:val="21"/>
          <w:szCs w:val="21"/>
          <w:lang w:eastAsia="zh-CN"/>
        </w:rPr>
        <w:t>80/201</w:t>
      </w:r>
      <w:r>
        <w:rPr>
          <w:rFonts w:eastAsia="宋体"/>
          <w:sz w:val="21"/>
          <w:szCs w:val="21"/>
          <w:lang w:eastAsia="zh-CN"/>
        </w:rPr>
        <w:fldChar w:fldCharType="end"/>
      </w:r>
      <w:r w:rsidRPr="00AF2B90">
        <w:rPr>
          <w:rFonts w:eastAsia="宋体"/>
          <w:sz w:val="21"/>
          <w:szCs w:val="21"/>
          <w:lang w:eastAsia="zh-CN"/>
        </w:rPr>
        <w:t>5</w:t>
      </w:r>
      <w:r w:rsidRPr="00AF2B90">
        <w:rPr>
          <w:rFonts w:eastAsia="宋体" w:hAnsi="宋体"/>
          <w:sz w:val="21"/>
          <w:szCs w:val="21"/>
          <w:lang w:eastAsia="zh-CN"/>
        </w:rPr>
        <w:t>号立法法令；</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(e)</w:t>
      </w:r>
      <w:r w:rsidRPr="00AF2B90">
        <w:rPr>
          <w:rFonts w:eastAsia="宋体"/>
          <w:sz w:val="21"/>
          <w:szCs w:val="21"/>
          <w:lang w:eastAsia="zh-CN"/>
        </w:rPr>
        <w:tab/>
        <w:t>2014</w:t>
      </w:r>
      <w:r w:rsidRPr="00AF2B90">
        <w:rPr>
          <w:rFonts w:eastAsia="宋体" w:hAnsi="宋体"/>
          <w:sz w:val="21"/>
          <w:szCs w:val="21"/>
          <w:lang w:eastAsia="zh-CN"/>
        </w:rPr>
        <w:t>年</w:t>
      </w:r>
      <w:r w:rsidRPr="00AF2B90">
        <w:rPr>
          <w:rFonts w:eastAsia="宋体"/>
          <w:sz w:val="21"/>
          <w:szCs w:val="21"/>
          <w:lang w:eastAsia="zh-CN"/>
        </w:rPr>
        <w:t>3</w:t>
      </w:r>
      <w:r w:rsidRPr="00AF2B90">
        <w:rPr>
          <w:rFonts w:eastAsia="宋体" w:hAnsi="宋体"/>
          <w:sz w:val="21"/>
          <w:szCs w:val="21"/>
          <w:lang w:eastAsia="zh-CN"/>
        </w:rPr>
        <w:t>月通过了执行欧洲议会和欧洲联盟理事会关于防止和打击贩运人口和保护其受害人的第</w:t>
      </w:r>
      <w:r w:rsidRPr="00AF2B90">
        <w:rPr>
          <w:rFonts w:eastAsia="宋体"/>
          <w:sz w:val="21"/>
          <w:szCs w:val="21"/>
          <w:lang w:eastAsia="zh-CN"/>
        </w:rPr>
        <w:t>20</w:t>
      </w:r>
      <w:hyperlink r:id="rId19" w:history="1">
        <w:r w:rsidRPr="00523EC6">
          <w:rPr>
            <w:rStyle w:val="ad"/>
            <w:rFonts w:eastAsia="宋体"/>
            <w:sz w:val="21"/>
            <w:szCs w:val="21"/>
            <w:lang w:eastAsia="zh-CN"/>
          </w:rPr>
          <w:t>11/36</w:t>
        </w:r>
      </w:hyperlink>
      <w:r w:rsidRPr="00AF2B90">
        <w:rPr>
          <w:rFonts w:eastAsia="宋体"/>
          <w:sz w:val="21"/>
          <w:szCs w:val="21"/>
          <w:lang w:eastAsia="zh-CN"/>
        </w:rPr>
        <w:t>/EU</w:t>
      </w:r>
      <w:r w:rsidRPr="00AF2B90">
        <w:rPr>
          <w:rFonts w:eastAsia="宋体" w:hAnsi="宋体"/>
          <w:sz w:val="21"/>
          <w:szCs w:val="21"/>
          <w:lang w:eastAsia="zh-CN"/>
        </w:rPr>
        <w:t>号指令的第</w:t>
      </w:r>
      <w:r>
        <w:rPr>
          <w:rFonts w:eastAsia="宋体"/>
          <w:sz w:val="21"/>
          <w:szCs w:val="21"/>
          <w:lang w:eastAsia="zh-CN"/>
        </w:rPr>
        <w:fldChar w:fldCharType="begin"/>
      </w:r>
      <w:r>
        <w:rPr>
          <w:rFonts w:eastAsia="宋体"/>
          <w:sz w:val="21"/>
          <w:szCs w:val="21"/>
          <w:lang w:eastAsia="zh-CN"/>
        </w:rPr>
        <w:instrText xml:space="preserve"> HYPERLINK "https://undocs.org/ch/S/RES/24/201" </w:instrText>
      </w:r>
      <w:r>
        <w:rPr>
          <w:rFonts w:eastAsia="宋体"/>
          <w:sz w:val="21"/>
          <w:szCs w:val="21"/>
          <w:lang w:eastAsia="zh-CN"/>
        </w:rPr>
      </w:r>
      <w:r>
        <w:rPr>
          <w:rFonts w:eastAsia="宋体"/>
          <w:sz w:val="21"/>
          <w:szCs w:val="21"/>
          <w:lang w:eastAsia="zh-CN"/>
        </w:rPr>
        <w:fldChar w:fldCharType="separate"/>
      </w:r>
      <w:r w:rsidRPr="00523EC6">
        <w:rPr>
          <w:rStyle w:val="ad"/>
          <w:rFonts w:eastAsia="宋体"/>
          <w:sz w:val="21"/>
          <w:szCs w:val="21"/>
          <w:lang w:eastAsia="zh-CN"/>
        </w:rPr>
        <w:t>24/201</w:t>
      </w:r>
      <w:r>
        <w:rPr>
          <w:rFonts w:eastAsia="宋体"/>
          <w:sz w:val="21"/>
          <w:szCs w:val="21"/>
          <w:lang w:eastAsia="zh-CN"/>
        </w:rPr>
        <w:fldChar w:fldCharType="end"/>
      </w:r>
      <w:r w:rsidRPr="00AF2B90">
        <w:rPr>
          <w:rFonts w:eastAsia="宋体"/>
          <w:sz w:val="21"/>
          <w:szCs w:val="21"/>
          <w:lang w:eastAsia="zh-CN"/>
        </w:rPr>
        <w:t>4</w:t>
      </w:r>
      <w:r w:rsidRPr="00AF2B90">
        <w:rPr>
          <w:rFonts w:eastAsia="宋体" w:hAnsi="宋体"/>
          <w:sz w:val="21"/>
          <w:szCs w:val="21"/>
          <w:lang w:eastAsia="zh-CN"/>
        </w:rPr>
        <w:t>号立法法令；</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(f)</w:t>
      </w:r>
      <w:r w:rsidRPr="00AF2B90">
        <w:rPr>
          <w:rFonts w:eastAsia="宋体"/>
          <w:sz w:val="21"/>
          <w:szCs w:val="21"/>
          <w:lang w:eastAsia="zh-CN"/>
        </w:rPr>
        <w:tab/>
        <w:t>2012</w:t>
      </w:r>
      <w:r w:rsidRPr="00AF2B90">
        <w:rPr>
          <w:rFonts w:eastAsia="宋体" w:hAnsi="宋体"/>
          <w:sz w:val="21"/>
          <w:szCs w:val="21"/>
          <w:lang w:eastAsia="zh-CN"/>
        </w:rPr>
        <w:t>年</w:t>
      </w:r>
      <w:r w:rsidRPr="00AF2B90">
        <w:rPr>
          <w:rFonts w:eastAsia="宋体"/>
          <w:sz w:val="21"/>
          <w:szCs w:val="21"/>
          <w:lang w:eastAsia="zh-CN"/>
        </w:rPr>
        <w:t>12</w:t>
      </w:r>
      <w:r w:rsidRPr="00AF2B90">
        <w:rPr>
          <w:rFonts w:eastAsia="宋体" w:hAnsi="宋体"/>
          <w:sz w:val="21"/>
          <w:szCs w:val="21"/>
          <w:lang w:eastAsia="zh-CN"/>
        </w:rPr>
        <w:t>月通过了促进地方政府和地区议会性别均衡和平等的第</w:t>
      </w:r>
      <w:r w:rsidRPr="00AF2B90">
        <w:rPr>
          <w:rFonts w:eastAsia="宋体"/>
          <w:sz w:val="21"/>
          <w:szCs w:val="21"/>
          <w:lang w:eastAsia="zh-CN"/>
        </w:rPr>
        <w:t>2</w:t>
      </w:r>
      <w:hyperlink r:id="rId20" w:history="1">
        <w:r w:rsidRPr="00523EC6">
          <w:rPr>
            <w:rStyle w:val="ad"/>
            <w:rFonts w:eastAsia="宋体"/>
            <w:sz w:val="21"/>
            <w:szCs w:val="21"/>
            <w:lang w:eastAsia="zh-CN"/>
          </w:rPr>
          <w:t>15/201</w:t>
        </w:r>
      </w:hyperlink>
      <w:r w:rsidRPr="00AF2B90">
        <w:rPr>
          <w:rFonts w:eastAsia="宋体"/>
          <w:sz w:val="21"/>
          <w:szCs w:val="21"/>
          <w:lang w:eastAsia="zh-CN"/>
        </w:rPr>
        <w:t>2</w:t>
      </w:r>
      <w:r w:rsidRPr="00AF2B90">
        <w:rPr>
          <w:rFonts w:eastAsia="宋体" w:hAnsi="宋体"/>
          <w:sz w:val="21"/>
          <w:szCs w:val="21"/>
          <w:lang w:eastAsia="zh-CN"/>
        </w:rPr>
        <w:t>号法；</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(g)</w:t>
      </w:r>
      <w:r w:rsidRPr="00AF2B90">
        <w:rPr>
          <w:rFonts w:eastAsia="宋体"/>
          <w:sz w:val="21"/>
          <w:szCs w:val="21"/>
          <w:lang w:eastAsia="zh-CN"/>
        </w:rPr>
        <w:tab/>
        <w:t>2011</w:t>
      </w:r>
      <w:r w:rsidRPr="00AF2B90">
        <w:rPr>
          <w:rFonts w:eastAsia="宋体" w:hAnsi="宋体"/>
          <w:sz w:val="21"/>
          <w:szCs w:val="21"/>
          <w:lang w:eastAsia="zh-CN"/>
        </w:rPr>
        <w:t>年</w:t>
      </w:r>
      <w:r w:rsidRPr="00AF2B90">
        <w:rPr>
          <w:rFonts w:eastAsia="宋体"/>
          <w:sz w:val="21"/>
          <w:szCs w:val="21"/>
          <w:lang w:eastAsia="zh-CN"/>
        </w:rPr>
        <w:t>6</w:t>
      </w:r>
      <w:r w:rsidRPr="00AF2B90">
        <w:rPr>
          <w:rFonts w:eastAsia="宋体" w:hAnsi="宋体"/>
          <w:sz w:val="21"/>
          <w:szCs w:val="21"/>
          <w:lang w:eastAsia="zh-CN"/>
        </w:rPr>
        <w:t>月通过了第</w:t>
      </w:r>
      <w:r w:rsidRPr="00AF2B90">
        <w:rPr>
          <w:rFonts w:eastAsia="宋体"/>
          <w:sz w:val="21"/>
          <w:szCs w:val="21"/>
          <w:lang w:eastAsia="zh-CN"/>
        </w:rPr>
        <w:t>1</w:t>
      </w:r>
      <w:hyperlink r:id="rId21" w:history="1">
        <w:r w:rsidRPr="00523EC6">
          <w:rPr>
            <w:rStyle w:val="ad"/>
            <w:rFonts w:eastAsia="宋体"/>
            <w:sz w:val="21"/>
            <w:szCs w:val="21"/>
            <w:lang w:eastAsia="zh-CN"/>
          </w:rPr>
          <w:t>20/201</w:t>
        </w:r>
      </w:hyperlink>
      <w:r w:rsidRPr="00AF2B90">
        <w:rPr>
          <w:rFonts w:eastAsia="宋体"/>
          <w:sz w:val="21"/>
          <w:szCs w:val="21"/>
          <w:lang w:eastAsia="zh-CN"/>
        </w:rPr>
        <w:t>1</w:t>
      </w:r>
      <w:r w:rsidRPr="00AF2B90">
        <w:rPr>
          <w:rFonts w:eastAsia="宋体" w:hAnsi="宋体"/>
          <w:sz w:val="21"/>
          <w:szCs w:val="21"/>
          <w:lang w:eastAsia="zh-CN"/>
        </w:rPr>
        <w:t>号法，对上市公司董事会和法定审计师委员会中代表人数较少性别的最低人数配额作了规定</w:t>
      </w:r>
      <w:r>
        <w:rPr>
          <w:rFonts w:eastAsia="宋体" w:hAnsi="宋体" w:hint="eastAsia"/>
          <w:sz w:val="21"/>
          <w:szCs w:val="21"/>
          <w:lang w:eastAsia="zh-CN"/>
        </w:rPr>
        <w:t>。</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5.</w:t>
      </w:r>
      <w:r w:rsidRPr="00AF2B90">
        <w:rPr>
          <w:rFonts w:eastAsia="宋体"/>
          <w:sz w:val="21"/>
          <w:szCs w:val="21"/>
          <w:lang w:eastAsia="zh-CN"/>
        </w:rPr>
        <w:tab/>
      </w:r>
      <w:r w:rsidRPr="00AF2B90">
        <w:rPr>
          <w:rFonts w:eastAsia="宋体" w:hAnsi="宋体"/>
          <w:sz w:val="21"/>
          <w:szCs w:val="21"/>
          <w:lang w:eastAsia="zh-CN"/>
        </w:rPr>
        <w:t>委员会注意到，承认女同性恋、双性恋和跨性别妇女缔结同性婚姻和同性同居关系的权利的第</w:t>
      </w:r>
      <w:r>
        <w:rPr>
          <w:rFonts w:eastAsia="宋体"/>
          <w:sz w:val="21"/>
          <w:szCs w:val="21"/>
          <w:lang w:eastAsia="zh-CN"/>
        </w:rPr>
        <w:fldChar w:fldCharType="begin"/>
      </w:r>
      <w:r>
        <w:rPr>
          <w:rFonts w:eastAsia="宋体"/>
          <w:sz w:val="21"/>
          <w:szCs w:val="21"/>
          <w:lang w:eastAsia="zh-CN"/>
        </w:rPr>
        <w:instrText xml:space="preserve"> HYPERLINK "https://undocs.org/ch/S/RES/20/201" </w:instrText>
      </w:r>
      <w:r>
        <w:rPr>
          <w:rFonts w:eastAsia="宋体"/>
          <w:sz w:val="21"/>
          <w:szCs w:val="21"/>
          <w:lang w:eastAsia="zh-CN"/>
        </w:rPr>
      </w:r>
      <w:r>
        <w:rPr>
          <w:rFonts w:eastAsia="宋体"/>
          <w:sz w:val="21"/>
          <w:szCs w:val="21"/>
          <w:lang w:eastAsia="zh-CN"/>
        </w:rPr>
        <w:fldChar w:fldCharType="separate"/>
      </w:r>
      <w:r w:rsidRPr="00523EC6">
        <w:rPr>
          <w:rStyle w:val="ad"/>
          <w:rFonts w:eastAsia="宋体"/>
          <w:sz w:val="21"/>
          <w:szCs w:val="21"/>
          <w:lang w:eastAsia="zh-CN"/>
        </w:rPr>
        <w:t>76/201</w:t>
      </w:r>
      <w:r>
        <w:rPr>
          <w:rFonts w:eastAsia="宋体"/>
          <w:sz w:val="21"/>
          <w:szCs w:val="21"/>
          <w:lang w:eastAsia="zh-CN"/>
        </w:rPr>
        <w:fldChar w:fldCharType="end"/>
      </w:r>
      <w:r w:rsidRPr="00AF2B90">
        <w:rPr>
          <w:rFonts w:eastAsia="宋体"/>
          <w:sz w:val="21"/>
          <w:szCs w:val="21"/>
          <w:lang w:eastAsia="zh-CN"/>
        </w:rPr>
        <w:t>6</w:t>
      </w:r>
      <w:r w:rsidRPr="00AF2B90">
        <w:rPr>
          <w:rFonts w:eastAsia="宋体" w:hAnsi="宋体"/>
          <w:sz w:val="21"/>
          <w:szCs w:val="21"/>
          <w:lang w:eastAsia="zh-CN"/>
        </w:rPr>
        <w:t>号法于</w:t>
      </w:r>
      <w:r w:rsidRPr="00AF2B90">
        <w:rPr>
          <w:rFonts w:eastAsia="宋体"/>
          <w:sz w:val="21"/>
          <w:szCs w:val="21"/>
          <w:lang w:eastAsia="zh-CN"/>
        </w:rPr>
        <w:t>2016</w:t>
      </w:r>
      <w:r w:rsidRPr="00AF2B90">
        <w:rPr>
          <w:rFonts w:eastAsia="宋体" w:hAnsi="宋体"/>
          <w:sz w:val="21"/>
          <w:szCs w:val="21"/>
          <w:lang w:eastAsia="zh-CN"/>
        </w:rPr>
        <w:t>年</w:t>
      </w:r>
      <w:r w:rsidRPr="00AF2B90">
        <w:rPr>
          <w:rFonts w:eastAsia="宋体"/>
          <w:sz w:val="21"/>
          <w:szCs w:val="21"/>
          <w:lang w:eastAsia="zh-CN"/>
        </w:rPr>
        <w:t>5</w:t>
      </w:r>
      <w:r w:rsidRPr="00AF2B90">
        <w:rPr>
          <w:rFonts w:eastAsia="宋体" w:hAnsi="宋体"/>
          <w:sz w:val="21"/>
          <w:szCs w:val="21"/>
          <w:lang w:eastAsia="zh-CN"/>
        </w:rPr>
        <w:t>月获得通过。</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6.</w:t>
      </w:r>
      <w:r w:rsidRPr="00AF2B90">
        <w:rPr>
          <w:rFonts w:eastAsia="宋体"/>
          <w:sz w:val="21"/>
          <w:szCs w:val="21"/>
          <w:lang w:eastAsia="zh-CN"/>
        </w:rPr>
        <w:tab/>
      </w:r>
      <w:r w:rsidRPr="00AF2B90">
        <w:rPr>
          <w:rFonts w:eastAsia="宋体" w:hAnsi="宋体"/>
          <w:sz w:val="21"/>
          <w:szCs w:val="21"/>
          <w:lang w:eastAsia="zh-CN"/>
        </w:rPr>
        <w:t>委员会欢迎缔约国为完善其旨在加快消除对妇女的歧视和促进性别平等的体制和政策框架所作的努力，例如：</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t>2016</w:t>
      </w:r>
      <w:r w:rsidRPr="00AF2B90">
        <w:rPr>
          <w:rFonts w:eastAsia="宋体" w:hAnsi="宋体"/>
          <w:sz w:val="21"/>
          <w:szCs w:val="21"/>
          <w:lang w:eastAsia="zh-CN"/>
        </w:rPr>
        <w:t>年</w:t>
      </w:r>
      <w:r w:rsidRPr="00AF2B90">
        <w:rPr>
          <w:rFonts w:eastAsia="宋体"/>
          <w:sz w:val="21"/>
          <w:szCs w:val="21"/>
          <w:lang w:eastAsia="zh-CN"/>
        </w:rPr>
        <w:t>12</w:t>
      </w:r>
      <w:r w:rsidRPr="00AF2B90">
        <w:rPr>
          <w:rFonts w:eastAsia="宋体" w:hAnsi="宋体"/>
          <w:sz w:val="21"/>
          <w:szCs w:val="21"/>
          <w:lang w:eastAsia="zh-CN"/>
        </w:rPr>
        <w:t>月通过了涵盖</w:t>
      </w:r>
      <w:r>
        <w:rPr>
          <w:rFonts w:eastAsia="宋体" w:hAnsi="宋体" w:hint="eastAsia"/>
          <w:sz w:val="21"/>
          <w:szCs w:val="21"/>
          <w:lang w:eastAsia="zh-CN"/>
        </w:rPr>
        <w:t>《</w:t>
      </w:r>
      <w:r w:rsidRPr="00AF2B90">
        <w:rPr>
          <w:rFonts w:eastAsia="宋体"/>
          <w:sz w:val="21"/>
          <w:szCs w:val="21"/>
          <w:lang w:eastAsia="zh-CN"/>
        </w:rPr>
        <w:t>2016-2019</w:t>
      </w:r>
      <w:r w:rsidRPr="00AF2B90">
        <w:rPr>
          <w:rFonts w:eastAsia="宋体" w:hAnsi="宋体"/>
          <w:sz w:val="21"/>
          <w:szCs w:val="21"/>
          <w:lang w:eastAsia="zh-CN"/>
        </w:rPr>
        <w:t>年期间妇女、和平与安全国家行动计划</w:t>
      </w:r>
      <w:r>
        <w:rPr>
          <w:rFonts w:eastAsia="宋体" w:hAnsi="宋体" w:hint="eastAsia"/>
          <w:sz w:val="21"/>
          <w:szCs w:val="21"/>
          <w:lang w:eastAsia="zh-CN"/>
        </w:rPr>
        <w:t>》</w:t>
      </w:r>
      <w:r w:rsidRPr="00AF2B90">
        <w:rPr>
          <w:rFonts w:eastAsia="宋体" w:hAnsi="宋体"/>
          <w:sz w:val="21"/>
          <w:szCs w:val="21"/>
          <w:lang w:eastAsia="zh-CN"/>
        </w:rPr>
        <w:t>；</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t>2016</w:t>
      </w:r>
      <w:r w:rsidRPr="00AF2B90">
        <w:rPr>
          <w:rFonts w:eastAsia="宋体" w:hAnsi="宋体"/>
          <w:sz w:val="21"/>
          <w:szCs w:val="21"/>
          <w:lang w:eastAsia="zh-CN"/>
        </w:rPr>
        <w:t>年</w:t>
      </w:r>
      <w:r w:rsidRPr="00AF2B90">
        <w:rPr>
          <w:rFonts w:eastAsia="宋体"/>
          <w:sz w:val="21"/>
          <w:szCs w:val="21"/>
          <w:lang w:eastAsia="zh-CN"/>
        </w:rPr>
        <w:t>2</w:t>
      </w:r>
      <w:r w:rsidRPr="00AF2B90">
        <w:rPr>
          <w:rFonts w:eastAsia="宋体" w:hAnsi="宋体"/>
          <w:sz w:val="21"/>
          <w:szCs w:val="21"/>
          <w:lang w:eastAsia="zh-CN"/>
        </w:rPr>
        <w:t>月通过了涵盖</w:t>
      </w:r>
      <w:r>
        <w:rPr>
          <w:rFonts w:eastAsia="宋体" w:hAnsi="宋体" w:hint="eastAsia"/>
          <w:sz w:val="21"/>
          <w:szCs w:val="21"/>
          <w:lang w:eastAsia="zh-CN"/>
        </w:rPr>
        <w:t>《</w:t>
      </w:r>
      <w:r w:rsidRPr="00AF2B90">
        <w:rPr>
          <w:rFonts w:eastAsia="宋体"/>
          <w:sz w:val="21"/>
          <w:szCs w:val="21"/>
          <w:lang w:eastAsia="zh-CN"/>
        </w:rPr>
        <w:t>2016-2021</w:t>
      </w:r>
      <w:r w:rsidRPr="00AF2B90">
        <w:rPr>
          <w:rFonts w:eastAsia="宋体" w:hAnsi="宋体"/>
          <w:sz w:val="21"/>
          <w:szCs w:val="21"/>
          <w:lang w:eastAsia="zh-CN"/>
        </w:rPr>
        <w:t>年期间打击贩运和严重剥削人口行为国家行动计划</w:t>
      </w:r>
      <w:r>
        <w:rPr>
          <w:rFonts w:eastAsia="宋体" w:hAnsi="宋体" w:hint="eastAsia"/>
          <w:sz w:val="21"/>
          <w:szCs w:val="21"/>
          <w:lang w:eastAsia="zh-CN"/>
        </w:rPr>
        <w:t>》</w:t>
      </w:r>
      <w:r w:rsidRPr="00AF2B90">
        <w:rPr>
          <w:rFonts w:eastAsia="宋体" w:hAnsi="宋体"/>
          <w:sz w:val="21"/>
          <w:szCs w:val="21"/>
          <w:lang w:eastAsia="zh-CN"/>
        </w:rPr>
        <w:t>；</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t>2015</w:t>
      </w:r>
      <w:r w:rsidRPr="00AF2B90">
        <w:rPr>
          <w:rFonts w:eastAsia="宋体" w:hAnsi="宋体"/>
          <w:sz w:val="21"/>
          <w:szCs w:val="21"/>
          <w:lang w:eastAsia="zh-CN"/>
        </w:rPr>
        <w:t>年</w:t>
      </w:r>
      <w:r w:rsidRPr="00AF2B90">
        <w:rPr>
          <w:rFonts w:eastAsia="宋体"/>
          <w:sz w:val="21"/>
          <w:szCs w:val="21"/>
          <w:lang w:eastAsia="zh-CN"/>
        </w:rPr>
        <w:t>7</w:t>
      </w:r>
      <w:r w:rsidRPr="00AF2B90">
        <w:rPr>
          <w:rFonts w:eastAsia="宋体" w:hAnsi="宋体"/>
          <w:sz w:val="21"/>
          <w:szCs w:val="21"/>
          <w:lang w:eastAsia="zh-CN"/>
        </w:rPr>
        <w:t>月通过了涵盖</w:t>
      </w:r>
      <w:r>
        <w:rPr>
          <w:rFonts w:eastAsia="宋体" w:hAnsi="宋体" w:hint="eastAsia"/>
          <w:sz w:val="21"/>
          <w:szCs w:val="21"/>
          <w:lang w:eastAsia="zh-CN"/>
        </w:rPr>
        <w:t>《</w:t>
      </w:r>
      <w:r w:rsidRPr="00AF2B90">
        <w:rPr>
          <w:rFonts w:eastAsia="宋体"/>
          <w:sz w:val="21"/>
          <w:szCs w:val="21"/>
          <w:lang w:eastAsia="zh-CN"/>
        </w:rPr>
        <w:t>2015-2017</w:t>
      </w:r>
      <w:r w:rsidRPr="00AF2B90">
        <w:rPr>
          <w:rFonts w:eastAsia="宋体" w:hAnsi="宋体"/>
          <w:sz w:val="21"/>
          <w:szCs w:val="21"/>
          <w:lang w:eastAsia="zh-CN"/>
        </w:rPr>
        <w:t>年期间的打击性暴力和性别暴力国家特别行动</w:t>
      </w:r>
      <w:r>
        <w:rPr>
          <w:rFonts w:eastAsia="宋体" w:hAnsi="宋体" w:hint="eastAsia"/>
          <w:sz w:val="21"/>
          <w:szCs w:val="21"/>
          <w:lang w:eastAsia="zh-CN"/>
        </w:rPr>
        <w:t>计划》。</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7.</w:t>
      </w:r>
      <w:r w:rsidRPr="00AF2B90">
        <w:rPr>
          <w:rFonts w:eastAsia="宋体"/>
          <w:sz w:val="21"/>
          <w:szCs w:val="21"/>
          <w:lang w:eastAsia="zh-CN"/>
        </w:rPr>
        <w:tab/>
      </w:r>
      <w:r w:rsidRPr="00AF2B90">
        <w:rPr>
          <w:rFonts w:eastAsia="宋体" w:hAnsi="宋体"/>
          <w:sz w:val="21"/>
          <w:szCs w:val="21"/>
          <w:lang w:eastAsia="zh-CN"/>
        </w:rPr>
        <w:t>委员会欢迎在自审议上一次报告以来的这段时间里，缔约国批准或加入了下列国际和区域文书：</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《儿童权利公约关于设定来文程序的任择议定书》，</w:t>
      </w:r>
      <w:r w:rsidRPr="00AF2B90">
        <w:rPr>
          <w:rFonts w:eastAsia="宋体"/>
          <w:sz w:val="21"/>
          <w:szCs w:val="21"/>
          <w:lang w:eastAsia="zh-CN"/>
        </w:rPr>
        <w:t>2016</w:t>
      </w:r>
      <w:r w:rsidRPr="00AF2B90">
        <w:rPr>
          <w:rFonts w:eastAsia="宋体" w:hAnsi="宋体"/>
          <w:sz w:val="21"/>
          <w:szCs w:val="21"/>
          <w:lang w:eastAsia="zh-CN"/>
        </w:rPr>
        <w:t>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《保护所有人免遭强迫失踪国际公约》，</w:t>
      </w:r>
      <w:r w:rsidRPr="00AF2B90">
        <w:rPr>
          <w:rFonts w:eastAsia="宋体"/>
          <w:sz w:val="21"/>
          <w:szCs w:val="21"/>
          <w:lang w:eastAsia="zh-CN"/>
        </w:rPr>
        <w:t>2015</w:t>
      </w:r>
      <w:r w:rsidRPr="00AF2B90">
        <w:rPr>
          <w:rFonts w:eastAsia="宋体" w:hAnsi="宋体"/>
          <w:sz w:val="21"/>
          <w:szCs w:val="21"/>
          <w:lang w:eastAsia="zh-CN"/>
        </w:rPr>
        <w:t>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《经济、社会及文化权利国际公约任择议定书》</w:t>
      </w:r>
      <w:r>
        <w:rPr>
          <w:rFonts w:eastAsia="宋体" w:hAnsi="宋体" w:hint="eastAsia"/>
          <w:sz w:val="21"/>
          <w:szCs w:val="21"/>
          <w:lang w:eastAsia="zh-CN"/>
        </w:rPr>
        <w:t>，</w:t>
      </w:r>
      <w:r w:rsidRPr="00AF2B90">
        <w:rPr>
          <w:rFonts w:eastAsia="宋体"/>
          <w:sz w:val="21"/>
          <w:szCs w:val="21"/>
          <w:lang w:eastAsia="zh-CN"/>
        </w:rPr>
        <w:t>2015</w:t>
      </w:r>
      <w:r w:rsidRPr="00AF2B90">
        <w:rPr>
          <w:rFonts w:eastAsia="宋体" w:hAnsi="宋体"/>
          <w:sz w:val="21"/>
          <w:szCs w:val="21"/>
          <w:lang w:eastAsia="zh-CN"/>
        </w:rPr>
        <w:t>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t>1961</w:t>
      </w:r>
      <w:r w:rsidRPr="00AF2B90">
        <w:rPr>
          <w:rFonts w:eastAsia="宋体" w:hAnsi="宋体"/>
          <w:sz w:val="21"/>
          <w:szCs w:val="21"/>
          <w:lang w:eastAsia="zh-CN"/>
        </w:rPr>
        <w:t>年《减少无国籍状态公约》，</w:t>
      </w:r>
      <w:r w:rsidRPr="00AF2B90">
        <w:rPr>
          <w:rFonts w:eastAsia="宋体"/>
          <w:sz w:val="21"/>
          <w:szCs w:val="21"/>
          <w:lang w:eastAsia="zh-CN"/>
        </w:rPr>
        <w:t>2015</w:t>
      </w:r>
      <w:r w:rsidRPr="00AF2B90">
        <w:rPr>
          <w:rFonts w:eastAsia="宋体" w:hAnsi="宋体"/>
          <w:sz w:val="21"/>
          <w:szCs w:val="21"/>
          <w:lang w:eastAsia="zh-CN"/>
        </w:rPr>
        <w:t>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(e)</w:t>
      </w:r>
      <w:r w:rsidRPr="00AF2B90">
        <w:rPr>
          <w:rFonts w:eastAsia="宋体"/>
          <w:sz w:val="21"/>
          <w:szCs w:val="21"/>
          <w:lang w:eastAsia="zh-CN"/>
        </w:rPr>
        <w:tab/>
      </w:r>
      <w:r w:rsidRPr="00AF2B90">
        <w:rPr>
          <w:rFonts w:eastAsia="宋体" w:hAnsi="宋体"/>
          <w:sz w:val="21"/>
          <w:szCs w:val="21"/>
          <w:lang w:eastAsia="zh-CN"/>
        </w:rPr>
        <w:t>《欧洲委员会预防和打击暴力侵害妇女行为及家庭暴力公约》</w:t>
      </w:r>
      <w:r>
        <w:rPr>
          <w:rFonts w:eastAsia="宋体" w:hAnsi="宋体"/>
          <w:sz w:val="21"/>
          <w:szCs w:val="21"/>
          <w:lang w:eastAsia="zh-CN"/>
        </w:rPr>
        <w:t>(</w:t>
      </w:r>
      <w:r w:rsidRPr="00AF2B90">
        <w:rPr>
          <w:rFonts w:eastAsia="宋体" w:hAnsi="宋体"/>
          <w:sz w:val="21"/>
          <w:szCs w:val="21"/>
          <w:lang w:eastAsia="zh-CN"/>
        </w:rPr>
        <w:t>《伊斯坦布尔公约》</w:t>
      </w:r>
      <w:r>
        <w:rPr>
          <w:rFonts w:eastAsia="宋体" w:hAnsi="宋体"/>
          <w:sz w:val="21"/>
          <w:szCs w:val="21"/>
          <w:lang w:eastAsia="zh-CN"/>
        </w:rPr>
        <w:t>)</w:t>
      </w:r>
      <w:r w:rsidRPr="00AF2B90">
        <w:rPr>
          <w:rFonts w:eastAsia="宋体" w:hAnsi="宋体"/>
          <w:sz w:val="21"/>
          <w:szCs w:val="21"/>
          <w:lang w:eastAsia="zh-CN"/>
        </w:rPr>
        <w:t>，</w:t>
      </w:r>
      <w:r w:rsidRPr="00AF2B90">
        <w:rPr>
          <w:rFonts w:eastAsia="宋体"/>
          <w:sz w:val="21"/>
          <w:szCs w:val="21"/>
          <w:lang w:eastAsia="zh-CN"/>
        </w:rPr>
        <w:t>2013</w:t>
      </w:r>
      <w:r w:rsidRPr="00AF2B90">
        <w:rPr>
          <w:rFonts w:eastAsia="宋体" w:hAnsi="宋体"/>
          <w:sz w:val="21"/>
          <w:szCs w:val="21"/>
          <w:lang w:eastAsia="zh-CN"/>
        </w:rPr>
        <w:t>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(f)</w:t>
      </w:r>
      <w:r w:rsidRPr="00AF2B90">
        <w:rPr>
          <w:rFonts w:eastAsia="宋体"/>
          <w:sz w:val="21"/>
          <w:szCs w:val="21"/>
          <w:lang w:eastAsia="zh-CN"/>
        </w:rPr>
        <w:tab/>
      </w:r>
      <w:r w:rsidRPr="00AF2B90">
        <w:rPr>
          <w:rFonts w:eastAsia="宋体" w:hAnsi="宋体"/>
          <w:sz w:val="21"/>
          <w:szCs w:val="21"/>
          <w:lang w:eastAsia="zh-CN"/>
        </w:rPr>
        <w:t>《禁止酷刑和其他残忍、不人道或有辱人格的待遇或处罚公约任择议定书》，</w:t>
      </w:r>
      <w:r w:rsidRPr="00AF2B90">
        <w:rPr>
          <w:rFonts w:eastAsia="宋体"/>
          <w:sz w:val="21"/>
          <w:szCs w:val="21"/>
          <w:lang w:eastAsia="zh-CN"/>
        </w:rPr>
        <w:t>2013</w:t>
      </w:r>
      <w:r w:rsidRPr="00AF2B90">
        <w:rPr>
          <w:rFonts w:eastAsia="宋体" w:hAnsi="宋体"/>
          <w:sz w:val="21"/>
          <w:szCs w:val="21"/>
          <w:lang w:eastAsia="zh-CN"/>
        </w:rPr>
        <w:t>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lastRenderedPageBreak/>
        <w:tab/>
        <w:t>(g)</w:t>
      </w:r>
      <w:r w:rsidRPr="00AF2B90">
        <w:rPr>
          <w:rFonts w:eastAsia="宋体"/>
          <w:sz w:val="21"/>
          <w:szCs w:val="21"/>
          <w:lang w:eastAsia="zh-CN"/>
        </w:rPr>
        <w:tab/>
      </w:r>
      <w:r w:rsidRPr="00AF2B90">
        <w:rPr>
          <w:rFonts w:eastAsia="宋体" w:hAnsi="宋体"/>
          <w:sz w:val="21"/>
          <w:szCs w:val="21"/>
          <w:lang w:eastAsia="zh-CN"/>
        </w:rPr>
        <w:t>国际劳工组织《</w:t>
      </w:r>
      <w:r w:rsidRPr="00AF2B90">
        <w:rPr>
          <w:rFonts w:eastAsia="宋体"/>
          <w:sz w:val="21"/>
          <w:szCs w:val="21"/>
          <w:lang w:eastAsia="zh-CN"/>
        </w:rPr>
        <w:t>2011</w:t>
      </w:r>
      <w:r w:rsidRPr="00AF2B90">
        <w:rPr>
          <w:rFonts w:eastAsia="宋体" w:hAnsi="宋体"/>
          <w:sz w:val="21"/>
          <w:szCs w:val="21"/>
          <w:lang w:eastAsia="zh-CN"/>
        </w:rPr>
        <w:t>年家庭工人体面劳动公约》</w:t>
      </w:r>
      <w:r>
        <w:rPr>
          <w:rFonts w:eastAsia="宋体" w:hAnsi="宋体"/>
          <w:sz w:val="21"/>
          <w:szCs w:val="21"/>
          <w:lang w:eastAsia="zh-CN"/>
        </w:rPr>
        <w:t>(</w:t>
      </w:r>
      <w:r w:rsidRPr="00AF2B90">
        <w:rPr>
          <w:rFonts w:eastAsia="宋体" w:hAnsi="宋体"/>
          <w:sz w:val="21"/>
          <w:szCs w:val="21"/>
          <w:lang w:eastAsia="zh-CN"/>
        </w:rPr>
        <w:t>第</w:t>
      </w:r>
      <w:r w:rsidRPr="00AF2B90">
        <w:rPr>
          <w:rFonts w:eastAsia="宋体"/>
          <w:sz w:val="21"/>
          <w:szCs w:val="21"/>
          <w:lang w:eastAsia="zh-CN"/>
        </w:rPr>
        <w:t>189</w:t>
      </w:r>
      <w:r w:rsidRPr="00AF2B90">
        <w:rPr>
          <w:rFonts w:eastAsia="宋体" w:hAnsi="宋体"/>
          <w:sz w:val="21"/>
          <w:szCs w:val="21"/>
          <w:lang w:eastAsia="zh-CN"/>
        </w:rPr>
        <w:t>号</w:t>
      </w:r>
      <w:r>
        <w:rPr>
          <w:rFonts w:eastAsia="宋体" w:hAnsi="宋体"/>
          <w:sz w:val="21"/>
          <w:szCs w:val="21"/>
          <w:lang w:eastAsia="zh-CN"/>
        </w:rPr>
        <w:t>)</w:t>
      </w:r>
      <w:r w:rsidRPr="00AF2B90">
        <w:rPr>
          <w:rFonts w:eastAsia="宋体" w:hAnsi="宋体"/>
          <w:sz w:val="21"/>
          <w:szCs w:val="21"/>
          <w:lang w:eastAsia="zh-CN"/>
        </w:rPr>
        <w:t>，</w:t>
      </w:r>
      <w:r w:rsidRPr="00AF2B90">
        <w:rPr>
          <w:rFonts w:eastAsia="宋体"/>
          <w:sz w:val="21"/>
          <w:szCs w:val="21"/>
          <w:lang w:eastAsia="zh-CN"/>
        </w:rPr>
        <w:t>2013</w:t>
      </w:r>
      <w:r w:rsidRPr="00AF2B90">
        <w:rPr>
          <w:rFonts w:eastAsia="宋体" w:hAnsi="宋体"/>
          <w:sz w:val="21"/>
          <w:szCs w:val="21"/>
          <w:lang w:eastAsia="zh-CN"/>
        </w:rPr>
        <w:t>年。</w:t>
      </w:r>
    </w:p>
    <w:p w:rsidR="00523EC6" w:rsidRPr="00AF2B90" w:rsidRDefault="00523EC6" w:rsidP="00523E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kern w:val="0"/>
          <w:sz w:val="21"/>
          <w:szCs w:val="21"/>
        </w:rPr>
      </w:pPr>
      <w:r w:rsidRPr="000247AE">
        <w:rPr>
          <w:rFonts w:ascii="Times New Roman"/>
        </w:rPr>
        <w:tab/>
        <w:t>C.</w:t>
      </w:r>
      <w:r w:rsidRPr="000247AE">
        <w:rPr>
          <w:rFonts w:ascii="Times New Roman"/>
        </w:rPr>
        <w:tab/>
      </w:r>
      <w:r w:rsidRPr="000247AE">
        <w:rPr>
          <w:rFonts w:ascii="Times New Roman"/>
        </w:rPr>
        <w:t>议会</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8.</w:t>
      </w:r>
      <w:r w:rsidRPr="00AF2B90">
        <w:rPr>
          <w:rFonts w:eastAsia="宋体"/>
          <w:sz w:val="21"/>
          <w:szCs w:val="21"/>
          <w:lang w:eastAsia="zh-CN"/>
        </w:rPr>
        <w:tab/>
      </w:r>
      <w:r w:rsidRPr="00AF2B90">
        <w:rPr>
          <w:rFonts w:eastAsia="黑体" w:hAnsi="宋体"/>
          <w:sz w:val="21"/>
          <w:szCs w:val="21"/>
          <w:lang w:val="en-US" w:eastAsia="zh-CN"/>
        </w:rPr>
        <w:t>委员会强调立法</w:t>
      </w:r>
      <w:r>
        <w:rPr>
          <w:rFonts w:eastAsia="黑体" w:hAnsi="宋体" w:hint="eastAsia"/>
          <w:sz w:val="21"/>
          <w:szCs w:val="21"/>
          <w:lang w:val="en-US" w:eastAsia="zh-CN"/>
        </w:rPr>
        <w:t>机构</w:t>
      </w:r>
      <w:r w:rsidRPr="00AF2B90">
        <w:rPr>
          <w:rFonts w:eastAsia="黑体" w:hAnsi="宋体"/>
          <w:sz w:val="21"/>
          <w:szCs w:val="21"/>
          <w:lang w:val="en-US" w:eastAsia="zh-CN"/>
        </w:rPr>
        <w:t>在确保</w:t>
      </w:r>
      <w:r>
        <w:rPr>
          <w:rFonts w:eastAsia="黑体" w:hAnsi="宋体" w:hint="eastAsia"/>
          <w:sz w:val="21"/>
          <w:szCs w:val="21"/>
          <w:lang w:val="en-US" w:eastAsia="zh-CN"/>
        </w:rPr>
        <w:t>全面</w:t>
      </w:r>
      <w:r w:rsidRPr="00AF2B90">
        <w:rPr>
          <w:rFonts w:eastAsia="黑体" w:hAnsi="宋体"/>
          <w:sz w:val="21"/>
          <w:szCs w:val="21"/>
          <w:lang w:val="en-US" w:eastAsia="zh-CN"/>
        </w:rPr>
        <w:t>执行《公约》方面</w:t>
      </w:r>
      <w:r>
        <w:rPr>
          <w:rFonts w:eastAsia="黑体" w:hAnsi="宋体" w:hint="eastAsia"/>
          <w:sz w:val="21"/>
          <w:szCs w:val="21"/>
          <w:lang w:val="en-US" w:eastAsia="zh-CN"/>
        </w:rPr>
        <w:t>发挥</w:t>
      </w:r>
      <w:r w:rsidRPr="00AF2B90">
        <w:rPr>
          <w:rFonts w:eastAsia="黑体" w:hAnsi="宋体"/>
          <w:sz w:val="21"/>
          <w:szCs w:val="21"/>
          <w:lang w:val="en-US" w:eastAsia="zh-CN"/>
        </w:rPr>
        <w:t>的</w:t>
      </w:r>
      <w:r>
        <w:rPr>
          <w:rFonts w:eastAsia="黑体" w:hAnsi="宋体" w:hint="eastAsia"/>
          <w:sz w:val="21"/>
          <w:szCs w:val="21"/>
          <w:lang w:val="en-US" w:eastAsia="zh-CN"/>
        </w:rPr>
        <w:t>关键</w:t>
      </w:r>
      <w:r w:rsidRPr="00AF2B90">
        <w:rPr>
          <w:rFonts w:eastAsia="黑体" w:hAnsi="宋体"/>
          <w:sz w:val="21"/>
          <w:szCs w:val="21"/>
          <w:lang w:val="en-US" w:eastAsia="zh-CN"/>
        </w:rPr>
        <w:t>作用</w:t>
      </w:r>
      <w:r>
        <w:rPr>
          <w:rFonts w:eastAsia="黑体" w:hAnsi="宋体"/>
          <w:sz w:val="21"/>
          <w:szCs w:val="21"/>
          <w:lang w:val="en-US" w:eastAsia="zh-CN"/>
        </w:rPr>
        <w:t>(</w:t>
      </w:r>
      <w:r w:rsidRPr="00AF2B90">
        <w:rPr>
          <w:rFonts w:eastAsia="黑体" w:hAnsi="宋体"/>
          <w:sz w:val="21"/>
          <w:szCs w:val="21"/>
          <w:lang w:val="en-US" w:eastAsia="zh-CN"/>
        </w:rPr>
        <w:t>见委员会关于其与议员关系的声明，</w:t>
      </w:r>
      <w:r w:rsidRPr="00AF2B90">
        <w:rPr>
          <w:rFonts w:eastAsia="黑体"/>
          <w:sz w:val="21"/>
          <w:szCs w:val="21"/>
          <w:lang w:val="en-US" w:eastAsia="zh-CN"/>
        </w:rPr>
        <w:t>2010</w:t>
      </w:r>
      <w:r w:rsidRPr="00AF2B90">
        <w:rPr>
          <w:rFonts w:eastAsia="黑体" w:hAnsi="宋体"/>
          <w:sz w:val="21"/>
          <w:szCs w:val="21"/>
          <w:lang w:val="en-US" w:eastAsia="zh-CN"/>
        </w:rPr>
        <w:t>年第四十五届会议通过</w:t>
      </w:r>
      <w:r>
        <w:rPr>
          <w:rFonts w:eastAsia="黑体" w:hAnsi="宋体"/>
          <w:sz w:val="21"/>
          <w:szCs w:val="21"/>
          <w:lang w:val="en-US" w:eastAsia="zh-CN"/>
        </w:rPr>
        <w:t>)</w:t>
      </w:r>
      <w:r w:rsidRPr="00AF2B90">
        <w:rPr>
          <w:rFonts w:eastAsia="黑体" w:hAnsi="宋体"/>
          <w:sz w:val="21"/>
          <w:szCs w:val="21"/>
          <w:lang w:val="en-US" w:eastAsia="zh-CN"/>
        </w:rPr>
        <w:t>。委员会请缔约国众议院和参议院</w:t>
      </w:r>
      <w:r>
        <w:rPr>
          <w:rFonts w:eastAsia="黑体" w:hAnsi="宋体" w:hint="eastAsia"/>
          <w:sz w:val="21"/>
          <w:szCs w:val="21"/>
          <w:lang w:val="en-US" w:eastAsia="zh-CN"/>
        </w:rPr>
        <w:t>按照</w:t>
      </w:r>
      <w:r w:rsidRPr="00AF2B90">
        <w:rPr>
          <w:rFonts w:eastAsia="黑体" w:hAnsi="宋体"/>
          <w:sz w:val="21"/>
          <w:szCs w:val="21"/>
          <w:lang w:val="en-US" w:eastAsia="zh-CN"/>
        </w:rPr>
        <w:t>其</w:t>
      </w:r>
      <w:r>
        <w:rPr>
          <w:rFonts w:eastAsia="黑体" w:hAnsi="宋体" w:hint="eastAsia"/>
          <w:sz w:val="21"/>
          <w:szCs w:val="21"/>
          <w:lang w:val="en-US" w:eastAsia="zh-CN"/>
        </w:rPr>
        <w:t>任务</w:t>
      </w:r>
      <w:r w:rsidRPr="00AF2B90">
        <w:rPr>
          <w:rFonts w:eastAsia="黑体" w:hAnsi="宋体"/>
          <w:sz w:val="21"/>
          <w:szCs w:val="21"/>
          <w:lang w:val="en-US" w:eastAsia="zh-CN"/>
        </w:rPr>
        <w:t>授权采取必要</w:t>
      </w:r>
      <w:r>
        <w:rPr>
          <w:rFonts w:eastAsia="黑体" w:hAnsi="宋体" w:hint="eastAsia"/>
          <w:sz w:val="21"/>
          <w:szCs w:val="21"/>
          <w:lang w:val="en-US" w:eastAsia="zh-CN"/>
        </w:rPr>
        <w:t>步骤</w:t>
      </w:r>
      <w:r w:rsidRPr="00AF2B90">
        <w:rPr>
          <w:rFonts w:eastAsia="黑体" w:hAnsi="宋体"/>
          <w:sz w:val="21"/>
          <w:szCs w:val="21"/>
          <w:lang w:val="en-US" w:eastAsia="zh-CN"/>
        </w:rPr>
        <w:t>，从现在起到《公约》规定的下一次报告所涉期间落实本结论性意见。</w:t>
      </w:r>
    </w:p>
    <w:p w:rsidR="00523EC6" w:rsidRPr="000247AE" w:rsidRDefault="00523EC6" w:rsidP="00523E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0247AE">
        <w:rPr>
          <w:rFonts w:ascii="Times New Roman"/>
        </w:rPr>
        <w:tab/>
        <w:t>D.</w:t>
      </w:r>
      <w:r w:rsidRPr="000247AE">
        <w:rPr>
          <w:rFonts w:ascii="Times New Roman"/>
        </w:rPr>
        <w:tab/>
      </w:r>
      <w:r w:rsidRPr="000247AE">
        <w:rPr>
          <w:rFonts w:ascii="Times New Roman"/>
        </w:rPr>
        <w:t>主要关切领域和建议</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总体情况</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9.</w:t>
      </w:r>
      <w:r w:rsidRPr="00AF2B90">
        <w:rPr>
          <w:rFonts w:eastAsia="宋体"/>
          <w:sz w:val="21"/>
          <w:szCs w:val="21"/>
          <w:lang w:eastAsia="zh-CN"/>
        </w:rPr>
        <w:tab/>
      </w:r>
      <w:r w:rsidRPr="00AF2B90">
        <w:rPr>
          <w:rFonts w:eastAsia="宋体" w:hAnsi="宋体"/>
          <w:sz w:val="21"/>
          <w:szCs w:val="21"/>
          <w:lang w:eastAsia="zh-CN"/>
        </w:rPr>
        <w:t>委员会关切地注意到，金融和经济危机以及缔约国为稳定公共财政而采取的紧缩措施给妇女各方面生活带来严重的过度影响，因为主要被妇女用来改善自身或改善儿童和老年人等受其照料人员生活的公共服务开支遭到了削减。委员会提醒缔约国，即使是在财政紧缩和经济危机之时，也应做出特别努力，尊重妇女的权利，保持和扩大社会投资和社会保护，并采取对性别问题有敏感认识的方法，优先考虑处于弱势状况的妇女，避免倒退措施。</w:t>
      </w:r>
    </w:p>
    <w:p w:rsidR="00523EC6" w:rsidRPr="00AF2B90" w:rsidRDefault="00523EC6" w:rsidP="00523EC6">
      <w:pPr>
        <w:pStyle w:val="SingleTxtG"/>
        <w:spacing w:after="140" w:line="320" w:lineRule="exact"/>
        <w:ind w:left="1264" w:right="1264"/>
        <w:rPr>
          <w:rFonts w:eastAsia="黑体"/>
          <w:sz w:val="21"/>
          <w:szCs w:val="21"/>
          <w:lang w:eastAsia="zh-CN"/>
        </w:rPr>
      </w:pPr>
      <w:r w:rsidRPr="00AF2B90">
        <w:rPr>
          <w:rFonts w:eastAsia="黑体"/>
          <w:sz w:val="21"/>
          <w:szCs w:val="21"/>
          <w:lang w:eastAsia="zh-CN"/>
        </w:rPr>
        <w:t>10.</w:t>
      </w:r>
      <w:r w:rsidRPr="00AF2B90">
        <w:rPr>
          <w:rFonts w:eastAsia="黑体"/>
          <w:sz w:val="21"/>
          <w:szCs w:val="21"/>
          <w:lang w:eastAsia="zh-CN"/>
        </w:rPr>
        <w:tab/>
      </w:r>
      <w:r w:rsidRPr="00AF2B90">
        <w:rPr>
          <w:rFonts w:eastAsia="黑体" w:hAnsi="宋体"/>
          <w:sz w:val="21"/>
          <w:szCs w:val="21"/>
          <w:lang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tab/>
      </w:r>
      <w:r w:rsidRPr="00AF2B90">
        <w:rPr>
          <w:rFonts w:eastAsia="黑体"/>
          <w:sz w:val="21"/>
          <w:szCs w:val="21"/>
          <w:lang w:val="en-US" w:eastAsia="zh-CN"/>
        </w:rPr>
        <w:t>(a)</w:t>
      </w:r>
      <w:r w:rsidRPr="00AF2B90">
        <w:rPr>
          <w:rFonts w:eastAsia="黑体"/>
          <w:sz w:val="21"/>
          <w:szCs w:val="21"/>
          <w:lang w:val="en-US" w:eastAsia="zh-CN"/>
        </w:rPr>
        <w:tab/>
      </w:r>
      <w:r w:rsidRPr="00AF2B90">
        <w:rPr>
          <w:rFonts w:eastAsia="黑体" w:hAnsi="宋体"/>
          <w:sz w:val="21"/>
          <w:szCs w:val="21"/>
          <w:lang w:val="en-US" w:eastAsia="zh-CN"/>
        </w:rPr>
        <w:t>就紧缩措施对妇女影响问题进行全面研究，并制定减轻这些措施不利影响的行动计划；</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确保资源在国内的重新分配，以克服金融危机的后果，优先考虑各领域支持性别平等的措施。</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《公约》、《任择议定书》和委员会一般性建议的可见度</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11.</w:t>
      </w:r>
      <w:r w:rsidRPr="00AF2B90">
        <w:rPr>
          <w:rFonts w:eastAsia="宋体"/>
          <w:sz w:val="21"/>
          <w:szCs w:val="21"/>
          <w:lang w:eastAsia="zh-CN"/>
        </w:rPr>
        <w:tab/>
      </w:r>
      <w:r w:rsidRPr="00AF2B90">
        <w:rPr>
          <w:rFonts w:eastAsia="宋体" w:hAnsi="宋体"/>
          <w:sz w:val="21"/>
          <w:szCs w:val="21"/>
          <w:lang w:eastAsia="zh-CN"/>
        </w:rPr>
        <w:t>委员会注意到，其以往的结论性意见、缔约国第七次定期报告和其他有关文件已经被翻译成意大利文，并在机会平等司的网站上传播和公布。它还注意到，高等司法学校有针对性地提供了关于基于性别的歧视和暴力的进修课程，其中特别着重介绍《公约》的规定。然而，委员会对缔约国国内普遍缺乏对《公约》、《任择议定书》和委员会一般性建议的认识感到关切。委员会特别关切的是，妇女，特别是属于弱势群体的妇女，包括农村地区妇女、移民、寻求庇护和沦为难民的妇女、罗姆族、辛提族和卡米南提族妇女以及残疾妇女本身并不知道其根据《公约》享有的权利，因此缺乏就这类权利提出权利主张所必要的信息。</w:t>
      </w:r>
    </w:p>
    <w:p w:rsidR="00523EC6" w:rsidRPr="00AF2B90" w:rsidRDefault="00523EC6" w:rsidP="00523EC6">
      <w:pPr>
        <w:pStyle w:val="SingleTxtG"/>
        <w:spacing w:after="140" w:line="320" w:lineRule="exact"/>
        <w:ind w:left="1264" w:right="1264"/>
        <w:rPr>
          <w:rFonts w:eastAsia="黑体"/>
          <w:sz w:val="21"/>
          <w:szCs w:val="21"/>
          <w:lang w:eastAsia="zh-CN"/>
        </w:rPr>
      </w:pPr>
      <w:r w:rsidRPr="00AF2B90">
        <w:rPr>
          <w:rFonts w:eastAsia="黑体"/>
          <w:sz w:val="21"/>
          <w:szCs w:val="21"/>
          <w:lang w:eastAsia="zh-CN"/>
        </w:rPr>
        <w:t>12.</w:t>
      </w:r>
      <w:r w:rsidRPr="00AF2B90">
        <w:rPr>
          <w:rFonts w:eastAsia="黑体"/>
          <w:sz w:val="21"/>
          <w:szCs w:val="21"/>
          <w:lang w:eastAsia="zh-CN"/>
        </w:rPr>
        <w:tab/>
      </w:r>
      <w:r w:rsidRPr="00AF2B90">
        <w:rPr>
          <w:rFonts w:eastAsia="黑体" w:hAnsi="宋体"/>
          <w:sz w:val="21"/>
          <w:szCs w:val="21"/>
          <w:lang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(a)</w:t>
      </w:r>
      <w:r w:rsidRPr="00AF2B90">
        <w:rPr>
          <w:rFonts w:eastAsia="黑体"/>
          <w:sz w:val="21"/>
          <w:szCs w:val="21"/>
          <w:lang w:eastAsia="zh-CN"/>
        </w:rPr>
        <w:tab/>
      </w:r>
      <w:r w:rsidRPr="00AF2B90">
        <w:rPr>
          <w:rFonts w:eastAsia="黑体" w:hAnsi="宋体"/>
          <w:sz w:val="21"/>
          <w:szCs w:val="21"/>
          <w:lang w:eastAsia="zh-CN"/>
        </w:rPr>
        <w:t>提高妇女的认识，使她们了解《公约》赋予她们的权利以及她们可以用来就侵犯此类权利的行为提出权利主张的补救办法，并确保向所有妇女提供关于《公约》、《任择议定书》和委员会一般性建议的信息，特别针对属于弱势群体</w:t>
      </w:r>
      <w:r w:rsidRPr="00AF2B90">
        <w:rPr>
          <w:rFonts w:eastAsia="黑体" w:hAnsi="宋体"/>
          <w:sz w:val="21"/>
          <w:szCs w:val="21"/>
          <w:lang w:eastAsia="zh-CN"/>
        </w:rPr>
        <w:lastRenderedPageBreak/>
        <w:t>的妇女，包括农村地区妇女、移民、寻求庇护和沦为难民的妇女，罗姆族、辛提族和卡米南提族妇女以及残疾妇女；</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(b)</w:t>
      </w:r>
      <w:r w:rsidRPr="00AF2B90">
        <w:rPr>
          <w:rFonts w:eastAsia="黑体"/>
          <w:sz w:val="21"/>
          <w:szCs w:val="21"/>
          <w:lang w:eastAsia="zh-CN"/>
        </w:rPr>
        <w:tab/>
      </w:r>
      <w:r w:rsidRPr="00AF2B90">
        <w:rPr>
          <w:rFonts w:eastAsia="黑体" w:hAnsi="宋体"/>
          <w:sz w:val="21"/>
          <w:szCs w:val="21"/>
          <w:lang w:eastAsia="zh-CN"/>
        </w:rPr>
        <w:t>进一步加强针对法官、检察官、律师和其他法律专业人员的法律培训和能力建设方案，内容涉及《公约》、《任择议定书》、委员会的一般性建议和委员会关于个人来文和查询的意见，以使她们能够直接适用、援引和</w:t>
      </w:r>
      <w:r w:rsidRPr="00AF2B90">
        <w:rPr>
          <w:rFonts w:eastAsia="黑体"/>
          <w:sz w:val="21"/>
          <w:szCs w:val="21"/>
          <w:lang w:eastAsia="zh-CN"/>
        </w:rPr>
        <w:t>/</w:t>
      </w:r>
      <w:r w:rsidRPr="00AF2B90">
        <w:rPr>
          <w:rFonts w:eastAsia="黑体" w:hAnsi="宋体"/>
          <w:sz w:val="21"/>
          <w:szCs w:val="21"/>
          <w:lang w:eastAsia="zh-CN"/>
        </w:rPr>
        <w:t>或参考《公约》的规定，并根据《公约》对国内立法作出解释。</w:t>
      </w:r>
    </w:p>
    <w:p w:rsidR="00523EC6" w:rsidRPr="00AF2B90" w:rsidRDefault="00523EC6" w:rsidP="00523EC6">
      <w:pPr>
        <w:pStyle w:val="H23G"/>
        <w:spacing w:before="0" w:line="320" w:lineRule="exact"/>
        <w:ind w:left="1264" w:right="1264" w:firstLine="0"/>
        <w:rPr>
          <w:rFonts w:eastAsia="黑体"/>
          <w:b w:val="0"/>
          <w:sz w:val="21"/>
          <w:szCs w:val="21"/>
          <w:lang w:eastAsia="zh-CN"/>
        </w:rPr>
      </w:pPr>
      <w:r w:rsidRPr="00AF2B90">
        <w:rPr>
          <w:rFonts w:eastAsia="黑体" w:hAnsi="宋体"/>
          <w:b w:val="0"/>
          <w:sz w:val="21"/>
          <w:szCs w:val="21"/>
          <w:lang w:eastAsia="zh-CN"/>
        </w:rPr>
        <w:t>国家政府的责任和问责</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13.</w:t>
      </w:r>
      <w:r w:rsidRPr="00AF2B90">
        <w:rPr>
          <w:rFonts w:eastAsia="宋体"/>
          <w:sz w:val="21"/>
          <w:szCs w:val="21"/>
          <w:lang w:eastAsia="zh-CN"/>
        </w:rPr>
        <w:tab/>
      </w:r>
      <w:r w:rsidRPr="00AF2B90">
        <w:rPr>
          <w:rFonts w:eastAsia="宋体" w:hAnsi="宋体"/>
          <w:sz w:val="21"/>
          <w:szCs w:val="21"/>
          <w:lang w:eastAsia="zh-CN"/>
        </w:rPr>
        <w:t>虽然委员会认识到缔约国复杂的地区化制度，但它提醒缔约国政府，其有责任确保《公约》在所有地区得到执行。委员会仍感到关切的是，缔约国各地区在实现妇女人权方面存在的重大差距。</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14.</w:t>
      </w:r>
      <w:r w:rsidRPr="00AF2B90">
        <w:rPr>
          <w:rFonts w:eastAsia="宋体"/>
          <w:sz w:val="21"/>
          <w:szCs w:val="21"/>
          <w:lang w:eastAsia="zh-CN"/>
        </w:rPr>
        <w:tab/>
      </w:r>
      <w:r w:rsidRPr="00AF2B90">
        <w:rPr>
          <w:rFonts w:eastAsia="黑体" w:hAnsi="宋体"/>
          <w:sz w:val="21"/>
          <w:szCs w:val="21"/>
          <w:lang w:val="en-US" w:eastAsia="zh-CN"/>
        </w:rPr>
        <w:t>委员会建议缔约国建立一套有效机制，以确保问责制并在全国各地透明、连贯和一致地执行《公约》。</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沦为难民和寻求庇护的妇女</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15.</w:t>
      </w:r>
      <w:r w:rsidRPr="00AF2B90">
        <w:rPr>
          <w:rFonts w:eastAsia="宋体"/>
          <w:sz w:val="21"/>
          <w:szCs w:val="21"/>
          <w:lang w:eastAsia="zh-CN"/>
        </w:rPr>
        <w:tab/>
      </w:r>
      <w:r w:rsidRPr="00AF2B90">
        <w:rPr>
          <w:rFonts w:eastAsia="宋体" w:hAnsi="宋体"/>
          <w:sz w:val="21"/>
          <w:szCs w:val="21"/>
          <w:lang w:eastAsia="zh-CN"/>
        </w:rPr>
        <w:t>委员会赞扬缔约国作出了巨大的和持续的努力，进行海上救援，接收和收容大量逃离武装冲突或迫害的人员，并向他们提供保护和援助。它还欢迎将基于性别的迫害列为承认难民身份的理由。然而，委员会关切的是，来自欧洲联盟成员国的支持不够，不足以减轻缔约国和收容社区的负担。委员会还对以下各方面表示关切：</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没有全面统一的框架，包括明确的程序、准则和标准，用于确定有特殊需要的和脆弱的个人，特别是难民妇女和女童以及寻求庇护的妇女和女童，并向他们提供援助；</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由于越来越多的难民和寻求庇护者涌入该国，收容中心数量不足，现有中心人满为患，条件达不到标准；</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缺乏向被行政拘留的难民和寻求庇护者，特别是有特殊需要的和脆弱的妇女提供的服务；</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为处理难民妇女和寻求庇护妇女事务的民间社会组织提供的资金支持不足；</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(e)</w:t>
      </w:r>
      <w:r w:rsidRPr="00AF2B90">
        <w:rPr>
          <w:rFonts w:eastAsia="宋体"/>
          <w:sz w:val="21"/>
          <w:szCs w:val="21"/>
          <w:lang w:eastAsia="zh-CN"/>
        </w:rPr>
        <w:tab/>
      </w:r>
      <w:r w:rsidRPr="00AF2B90">
        <w:rPr>
          <w:rFonts w:eastAsia="宋体" w:hAnsi="宋体"/>
          <w:sz w:val="21"/>
          <w:szCs w:val="21"/>
          <w:lang w:eastAsia="zh-CN"/>
        </w:rPr>
        <w:t>计划禁令使非政府组织的救援船无法让获救人员在意大利港口上岸。</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bCs/>
          <w:sz w:val="21"/>
          <w:szCs w:val="21"/>
          <w:lang w:eastAsia="zh-CN"/>
        </w:rPr>
        <w:t>16.</w:t>
      </w:r>
      <w:r w:rsidRPr="00AF2B90">
        <w:rPr>
          <w:rFonts w:eastAsia="宋体"/>
          <w:bCs/>
          <w:sz w:val="21"/>
          <w:szCs w:val="21"/>
          <w:lang w:eastAsia="zh-CN"/>
        </w:rPr>
        <w:tab/>
      </w:r>
      <w:r w:rsidRPr="00AF2B90">
        <w:rPr>
          <w:rFonts w:eastAsia="黑体" w:hAnsi="宋体"/>
          <w:sz w:val="21"/>
          <w:szCs w:val="21"/>
          <w:lang w:val="en-US" w:eastAsia="zh-CN"/>
        </w:rPr>
        <w:t>根据其关于妇女的难民身份、庇护、国籍和无国籍状态的性别相关方面的第</w:t>
      </w:r>
      <w:r w:rsidRPr="00AF2B90">
        <w:rPr>
          <w:rFonts w:eastAsia="黑体"/>
          <w:sz w:val="21"/>
          <w:szCs w:val="21"/>
          <w:lang w:val="en-US" w:eastAsia="zh-CN"/>
        </w:rPr>
        <w:t>32(2014)</w:t>
      </w:r>
      <w:r w:rsidRPr="00AF2B90">
        <w:rPr>
          <w:rFonts w:eastAsia="黑体" w:hAnsi="宋体"/>
          <w:sz w:val="21"/>
          <w:szCs w:val="21"/>
          <w:lang w:val="en-US" w:eastAsia="zh-CN"/>
        </w:rPr>
        <w:t>号一般性建议，委员会建议缔约国：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lastRenderedPageBreak/>
        <w:tab/>
        <w:t>(a)</w:t>
      </w:r>
      <w:r w:rsidRPr="00AF2B90">
        <w:rPr>
          <w:rFonts w:eastAsia="黑体"/>
          <w:sz w:val="21"/>
          <w:szCs w:val="21"/>
          <w:lang w:val="en-US" w:eastAsia="zh-CN"/>
        </w:rPr>
        <w:tab/>
      </w:r>
      <w:r w:rsidRPr="00AF2B90">
        <w:rPr>
          <w:rFonts w:eastAsia="黑体" w:hAnsi="宋体"/>
          <w:sz w:val="21"/>
          <w:szCs w:val="21"/>
          <w:lang w:val="en-US" w:eastAsia="zh-CN"/>
        </w:rPr>
        <w:t>制定适合不同性别、考虑到不同文化和年龄的个人筛选和评估程序，以确保有系统地尽早确定难民和寻求庇护者，特别是曾经遭受或可能会遭受基于性别的暴力的妇女和女童；</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增加收容中心的可用场所数量，确保以适当的接收标准收容难民和寻求庇护者，并特别关注妇女和女童的需要；</w:t>
      </w:r>
    </w:p>
    <w:p w:rsidR="00523EC6" w:rsidRPr="00AF2B90" w:rsidRDefault="00523EC6" w:rsidP="00523EC6">
      <w:pPr>
        <w:pStyle w:val="SingleTxtG"/>
        <w:tabs>
          <w:tab w:val="left" w:pos="1701"/>
        </w:tabs>
        <w:spacing w:after="140" w:line="320" w:lineRule="exact"/>
        <w:ind w:left="1264" w:right="1264"/>
        <w:rPr>
          <w:rFonts w:eastAsia="宋体"/>
          <w:i/>
          <w:sz w:val="21"/>
          <w:szCs w:val="21"/>
          <w:lang w:eastAsia="zh-CN"/>
        </w:rPr>
      </w:pPr>
      <w:r w:rsidRPr="00AF2B90">
        <w:rPr>
          <w:rFonts w:eastAsia="黑体"/>
          <w:sz w:val="21"/>
          <w:szCs w:val="21"/>
          <w:lang w:eastAsia="zh-CN"/>
        </w:rPr>
        <w:tab/>
        <w:t>(c)</w:t>
      </w:r>
      <w:r w:rsidRPr="00AF2B90">
        <w:rPr>
          <w:rFonts w:eastAsia="宋体"/>
          <w:i/>
          <w:sz w:val="21"/>
          <w:szCs w:val="21"/>
          <w:lang w:eastAsia="zh-CN"/>
        </w:rPr>
        <w:tab/>
      </w:r>
      <w:r w:rsidRPr="00AF2B90">
        <w:rPr>
          <w:rFonts w:eastAsia="黑体" w:hAnsi="宋体"/>
          <w:sz w:val="21"/>
          <w:szCs w:val="21"/>
          <w:lang w:eastAsia="zh-CN"/>
        </w:rPr>
        <w:t>为被行政拘留的难民和寻求庇护者，特别是有特殊需要和脆弱的妇女提供足够的服务；</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bCs/>
          <w:sz w:val="21"/>
          <w:szCs w:val="21"/>
          <w:lang w:eastAsia="zh-CN"/>
        </w:rPr>
        <w:tab/>
      </w:r>
      <w:r w:rsidRPr="00AF2B90">
        <w:rPr>
          <w:rFonts w:eastAsia="黑体"/>
          <w:sz w:val="21"/>
          <w:szCs w:val="21"/>
          <w:lang w:val="en-US" w:eastAsia="zh-CN"/>
        </w:rPr>
        <w:t>(d)</w:t>
      </w:r>
      <w:r w:rsidRPr="00AF2B90">
        <w:rPr>
          <w:rFonts w:eastAsia="黑体"/>
          <w:sz w:val="21"/>
          <w:szCs w:val="21"/>
          <w:lang w:val="en-US" w:eastAsia="zh-CN"/>
        </w:rPr>
        <w:tab/>
      </w:r>
      <w:r w:rsidRPr="00AF2B90">
        <w:rPr>
          <w:rFonts w:eastAsia="黑体" w:hAnsi="宋体"/>
          <w:sz w:val="21"/>
          <w:szCs w:val="21"/>
          <w:lang w:val="en-US" w:eastAsia="zh-CN"/>
        </w:rPr>
        <w:t>确保移民拘留只在以个案为基础逐一确定具有严格意义上的必要性、相称性、合法性和非任意性后，作为最后手段适用，并且拘留时间尽可能短；</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(e)</w:t>
      </w:r>
      <w:r w:rsidRPr="00AF2B90">
        <w:rPr>
          <w:rFonts w:eastAsia="黑体"/>
          <w:sz w:val="21"/>
          <w:szCs w:val="21"/>
          <w:lang w:val="en-US" w:eastAsia="zh-CN"/>
        </w:rPr>
        <w:tab/>
      </w:r>
      <w:r w:rsidRPr="00AF2B90">
        <w:rPr>
          <w:rFonts w:eastAsia="黑体" w:hAnsi="宋体"/>
          <w:sz w:val="21"/>
          <w:szCs w:val="21"/>
          <w:lang w:val="en-US" w:eastAsia="zh-CN"/>
        </w:rPr>
        <w:t>对所有需要国际保护的妇女和女童严格遵循不驱回原则，并修正驱逐程序，确保在未进行个人风险评估的情况下，不驱逐任何个人；</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(f)</w:t>
      </w:r>
      <w:r w:rsidRPr="00AF2B90">
        <w:rPr>
          <w:rFonts w:eastAsia="黑体"/>
          <w:sz w:val="21"/>
          <w:szCs w:val="21"/>
          <w:lang w:val="en-US" w:eastAsia="zh-CN"/>
        </w:rPr>
        <w:tab/>
      </w:r>
      <w:r w:rsidRPr="00AF2B90">
        <w:rPr>
          <w:rFonts w:eastAsia="黑体" w:hAnsi="宋体"/>
          <w:sz w:val="21"/>
          <w:szCs w:val="21"/>
          <w:lang w:val="en-US" w:eastAsia="zh-CN"/>
        </w:rPr>
        <w:t>加强与处理难民妇女和寻求庇护妇女事务的民间社会组织合作，并为它们提供资金支持；</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(g)</w:t>
      </w:r>
      <w:r w:rsidRPr="00AF2B90">
        <w:rPr>
          <w:rFonts w:eastAsia="黑体"/>
          <w:sz w:val="21"/>
          <w:szCs w:val="21"/>
          <w:lang w:val="en-US" w:eastAsia="zh-CN"/>
        </w:rPr>
        <w:tab/>
      </w:r>
      <w:r w:rsidRPr="00AF2B90">
        <w:rPr>
          <w:rFonts w:eastAsia="黑体" w:hAnsi="宋体"/>
          <w:sz w:val="21"/>
          <w:szCs w:val="21"/>
          <w:lang w:val="en-US" w:eastAsia="zh-CN"/>
        </w:rPr>
        <w:t>继续允许非政府组织的救援船停靠意大利港口，并让获救人员上岸；</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(h)</w:t>
      </w:r>
      <w:r w:rsidRPr="00AF2B90">
        <w:rPr>
          <w:rFonts w:eastAsia="黑体"/>
          <w:sz w:val="21"/>
          <w:szCs w:val="21"/>
          <w:lang w:val="en-US" w:eastAsia="zh-CN"/>
        </w:rPr>
        <w:tab/>
      </w:r>
      <w:r w:rsidRPr="00AF2B90">
        <w:rPr>
          <w:rFonts w:eastAsia="黑体" w:hAnsi="宋体"/>
          <w:sz w:val="21"/>
          <w:szCs w:val="21"/>
          <w:lang w:val="en-US" w:eastAsia="zh-CN"/>
        </w:rPr>
        <w:t>寻求和加强与该区域各国，特别是欧洲联盟成员国的合作，以分担经济负担，满足难民的需要，包括重新安置和人道主义接纳的机会。</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立法框架和诉诸法律</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17.</w:t>
      </w:r>
      <w:r w:rsidRPr="00AF2B90">
        <w:rPr>
          <w:rFonts w:eastAsia="宋体"/>
          <w:sz w:val="21"/>
          <w:szCs w:val="21"/>
          <w:lang w:eastAsia="zh-CN"/>
        </w:rPr>
        <w:tab/>
      </w:r>
      <w:r w:rsidRPr="00AF2B90">
        <w:rPr>
          <w:rFonts w:eastAsia="宋体" w:hAnsi="宋体"/>
          <w:sz w:val="21"/>
          <w:szCs w:val="21"/>
          <w:lang w:eastAsia="zh-CN"/>
        </w:rPr>
        <w:t>委员会注意到旨在打击基于性别的歧视和使性别平等成为现实的众多法律和条例，特别是对《男女机会平等法典》进行补充和修正的第</w:t>
      </w:r>
      <w:r w:rsidRPr="00AF2B90">
        <w:rPr>
          <w:rFonts w:eastAsia="宋体"/>
          <w:sz w:val="21"/>
          <w:szCs w:val="21"/>
          <w:lang w:eastAsia="zh-CN"/>
        </w:rPr>
        <w:t>5/2010</w:t>
      </w:r>
      <w:r w:rsidRPr="00AF2B90">
        <w:rPr>
          <w:rFonts w:eastAsia="宋体" w:hAnsi="宋体"/>
          <w:sz w:val="21"/>
          <w:szCs w:val="21"/>
          <w:lang w:eastAsia="zh-CN"/>
        </w:rPr>
        <w:t>号立法法令。委员会还注意到，与国家反种族歧视办公室合作执行了欧洲委员会和欧洲联盟关于罗姆族、辛提族和卡米南提族妇女诉诸法律的联合方案。然而，委员会关切的是：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缔约国的反歧视立法的效力有限；</w:t>
      </w:r>
    </w:p>
    <w:p w:rsidR="00523EC6" w:rsidRPr="00AF2B90" w:rsidRDefault="00523EC6" w:rsidP="00523EC6">
      <w:pPr>
        <w:pStyle w:val="SingleTxtG"/>
        <w:tabs>
          <w:tab w:val="left" w:pos="1701"/>
        </w:tabs>
        <w:spacing w:after="140" w:line="320" w:lineRule="exact"/>
        <w:ind w:left="1264" w:right="1264"/>
        <w:rPr>
          <w:rFonts w:eastAsia="宋体"/>
          <w:sz w:val="21"/>
          <w:szCs w:val="21"/>
          <w:highlight w:val="yellow"/>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为女同性恋、双性恋和跨性别妇女以及双性人提供的反歧视保护</w:t>
      </w:r>
      <w:r w:rsidRPr="00CB707C">
        <w:rPr>
          <w:rFonts w:eastAsia="宋体" w:hAnsi="宋体"/>
          <w:sz w:val="21"/>
          <w:szCs w:val="21"/>
          <w:lang w:eastAsia="zh-CN"/>
        </w:rPr>
        <w:t>不</w:t>
      </w:r>
      <w:r w:rsidRPr="00AF2B90">
        <w:rPr>
          <w:rFonts w:eastAsia="宋体" w:hAnsi="宋体"/>
          <w:sz w:val="21"/>
          <w:szCs w:val="21"/>
          <w:lang w:eastAsia="zh-CN"/>
        </w:rPr>
        <w:t>系统；</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由于不懂法律，诉讼程序费用高、诉讼时间长，法律援助不足，司法部门存在性别偏见以及不能获得足够赔偿，妇女在主张自己的权利时面临诸多困难；</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未能将禁止交叉形式的歧视的原则充分纳入国家法律和公共政策。</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bCs/>
          <w:sz w:val="21"/>
          <w:szCs w:val="21"/>
          <w:lang w:eastAsia="zh-CN"/>
        </w:rPr>
        <w:t>18.</w:t>
      </w:r>
      <w:r w:rsidRPr="00AF2B90">
        <w:rPr>
          <w:rFonts w:eastAsia="黑体"/>
          <w:bCs/>
          <w:sz w:val="21"/>
          <w:szCs w:val="21"/>
          <w:lang w:eastAsia="zh-CN"/>
        </w:rPr>
        <w:tab/>
      </w:r>
      <w:r w:rsidRPr="00AF2B90">
        <w:rPr>
          <w:rFonts w:eastAsia="黑体" w:hAnsi="宋体"/>
          <w:sz w:val="21"/>
          <w:szCs w:val="21"/>
          <w:lang w:val="en-US" w:eastAsia="zh-CN"/>
        </w:rPr>
        <w:t>依据关于妇女诉诸法律问题的第</w:t>
      </w:r>
      <w:r w:rsidRPr="00AF2B90">
        <w:rPr>
          <w:rFonts w:eastAsia="黑体"/>
          <w:sz w:val="21"/>
          <w:szCs w:val="21"/>
          <w:lang w:val="en-US" w:eastAsia="zh-CN"/>
        </w:rPr>
        <w:t>33(2015)</w:t>
      </w:r>
      <w:r w:rsidRPr="00AF2B90">
        <w:rPr>
          <w:rFonts w:eastAsia="黑体" w:hAnsi="宋体"/>
          <w:sz w:val="21"/>
          <w:szCs w:val="21"/>
          <w:lang w:val="en-US" w:eastAsia="zh-CN"/>
        </w:rPr>
        <w:t>号一般性建议，委员会建议缔约国：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加强关于性别平等和消除基于性或性别的歧视的立法框架；</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修正《宪法》第</w:t>
      </w:r>
      <w:r w:rsidRPr="00AF2B90">
        <w:rPr>
          <w:rFonts w:eastAsia="黑体"/>
          <w:sz w:val="21"/>
          <w:szCs w:val="21"/>
          <w:lang w:val="en-US" w:eastAsia="zh-CN"/>
        </w:rPr>
        <w:t>3</w:t>
      </w:r>
      <w:r w:rsidRPr="00AF2B90">
        <w:rPr>
          <w:rFonts w:eastAsia="黑体" w:hAnsi="宋体"/>
          <w:sz w:val="21"/>
          <w:szCs w:val="21"/>
          <w:lang w:val="en-US" w:eastAsia="zh-CN"/>
        </w:rPr>
        <w:t>条和第</w:t>
      </w:r>
      <w:r w:rsidRPr="00AF2B90">
        <w:rPr>
          <w:rFonts w:eastAsia="黑体"/>
          <w:sz w:val="21"/>
          <w:szCs w:val="21"/>
          <w:lang w:val="en-US" w:eastAsia="zh-CN"/>
        </w:rPr>
        <w:t>2</w:t>
      </w:r>
      <w:hyperlink r:id="rId22" w:history="1">
        <w:r w:rsidRPr="00523EC6">
          <w:rPr>
            <w:rStyle w:val="ad"/>
            <w:rFonts w:eastAsia="黑体"/>
            <w:sz w:val="21"/>
            <w:szCs w:val="21"/>
            <w:lang w:val="en-US" w:eastAsia="zh-CN"/>
          </w:rPr>
          <w:t>05/199</w:t>
        </w:r>
      </w:hyperlink>
      <w:r w:rsidRPr="00AF2B90">
        <w:rPr>
          <w:rFonts w:eastAsia="黑体"/>
          <w:sz w:val="21"/>
          <w:szCs w:val="21"/>
          <w:lang w:val="en-US" w:eastAsia="zh-CN"/>
        </w:rPr>
        <w:t>3</w:t>
      </w:r>
      <w:r w:rsidRPr="00AF2B90">
        <w:rPr>
          <w:rFonts w:eastAsia="黑体" w:hAnsi="宋体"/>
          <w:sz w:val="21"/>
          <w:szCs w:val="21"/>
          <w:lang w:val="en-US" w:eastAsia="zh-CN"/>
        </w:rPr>
        <w:t>号法，以保护女同性恋、双性恋和跨性别妇女以及双性人免遭交叉</w:t>
      </w:r>
      <w:r>
        <w:rPr>
          <w:rFonts w:eastAsia="黑体" w:hAnsi="宋体" w:hint="eastAsia"/>
          <w:sz w:val="21"/>
          <w:szCs w:val="21"/>
          <w:lang w:val="en-US" w:eastAsia="zh-CN"/>
        </w:rPr>
        <w:t>形</w:t>
      </w:r>
      <w:r w:rsidRPr="00AF2B90">
        <w:rPr>
          <w:rFonts w:eastAsia="黑体" w:hAnsi="宋体"/>
          <w:sz w:val="21"/>
          <w:szCs w:val="21"/>
          <w:lang w:val="en-US" w:eastAsia="zh-CN"/>
        </w:rPr>
        <w:t>式的歧视或仇恨犯罪行为的侵害；</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lastRenderedPageBreak/>
        <w:tab/>
        <w:t>(c)</w:t>
      </w:r>
      <w:r w:rsidRPr="00AF2B90">
        <w:rPr>
          <w:rFonts w:eastAsia="黑体"/>
          <w:sz w:val="21"/>
          <w:szCs w:val="21"/>
          <w:lang w:val="en-US" w:eastAsia="zh-CN"/>
        </w:rPr>
        <w:tab/>
      </w:r>
      <w:r w:rsidRPr="00AF2B90">
        <w:rPr>
          <w:rFonts w:eastAsia="黑体" w:hAnsi="宋体"/>
          <w:sz w:val="21"/>
          <w:szCs w:val="21"/>
          <w:lang w:val="en-US" w:eastAsia="zh-CN"/>
        </w:rPr>
        <w:t>优先采取措施，加快法律程序，提高基于性别的暴力侵害妇女行为受害人的待遇，并消除司法部门持有的性别陈规定型观念；</w:t>
      </w:r>
    </w:p>
    <w:p w:rsidR="00523EC6" w:rsidRPr="00AF2B90" w:rsidRDefault="00523EC6" w:rsidP="00523EC6">
      <w:pPr>
        <w:pStyle w:val="SingleTxtG"/>
        <w:tabs>
          <w:tab w:val="left" w:pos="1701"/>
        </w:tabs>
        <w:spacing w:after="140" w:line="320" w:lineRule="exact"/>
        <w:ind w:left="1264" w:right="1264"/>
        <w:rPr>
          <w:rFonts w:eastAsia="黑体"/>
          <w:bCs/>
          <w:sz w:val="21"/>
          <w:szCs w:val="21"/>
          <w:lang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bCs/>
          <w:sz w:val="21"/>
          <w:szCs w:val="21"/>
          <w:lang w:eastAsia="zh-CN"/>
        </w:rPr>
        <w:t>确保法院充分解决交叉形式的歧视，包括对法官和律师进行培训。</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妇女、和平与安全</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19.</w:t>
      </w:r>
      <w:r w:rsidRPr="00AF2B90">
        <w:rPr>
          <w:rFonts w:eastAsia="宋体"/>
          <w:sz w:val="21"/>
          <w:szCs w:val="21"/>
          <w:lang w:eastAsia="zh-CN"/>
        </w:rPr>
        <w:tab/>
      </w:r>
      <w:r w:rsidRPr="00AF2B90">
        <w:rPr>
          <w:rFonts w:eastAsia="宋体" w:hAnsi="宋体"/>
          <w:sz w:val="21"/>
          <w:szCs w:val="21"/>
          <w:lang w:eastAsia="zh-CN"/>
        </w:rPr>
        <w:t>委员会赞扬缔约国承诺执行安全理事会第</w:t>
      </w:r>
      <w:r>
        <w:rPr>
          <w:rFonts w:eastAsia="宋体"/>
          <w:sz w:val="21"/>
          <w:szCs w:val="21"/>
          <w:lang w:eastAsia="zh-CN"/>
        </w:rPr>
        <w:fldChar w:fldCharType="begin"/>
      </w:r>
      <w:r>
        <w:rPr>
          <w:rFonts w:eastAsia="宋体"/>
          <w:sz w:val="21"/>
          <w:szCs w:val="21"/>
          <w:lang w:eastAsia="zh-CN"/>
        </w:rPr>
        <w:instrText xml:space="preserve"> HYPERLINK "https://undocs.org/ch/S/RES/1325(2000)" </w:instrText>
      </w:r>
      <w:r>
        <w:rPr>
          <w:rFonts w:eastAsia="宋体"/>
          <w:sz w:val="21"/>
          <w:szCs w:val="21"/>
          <w:lang w:eastAsia="zh-CN"/>
        </w:rPr>
      </w:r>
      <w:r>
        <w:rPr>
          <w:rFonts w:eastAsia="宋体"/>
          <w:sz w:val="21"/>
          <w:szCs w:val="21"/>
          <w:lang w:eastAsia="zh-CN"/>
        </w:rPr>
        <w:fldChar w:fldCharType="separate"/>
      </w:r>
      <w:r w:rsidRPr="00523EC6">
        <w:rPr>
          <w:rStyle w:val="ad"/>
          <w:rFonts w:eastAsia="宋体"/>
          <w:sz w:val="21"/>
          <w:szCs w:val="21"/>
          <w:lang w:eastAsia="zh-CN"/>
        </w:rPr>
        <w:t>1325(2000)</w:t>
      </w:r>
      <w:r>
        <w:rPr>
          <w:rFonts w:eastAsia="宋体"/>
          <w:sz w:val="21"/>
          <w:szCs w:val="21"/>
          <w:lang w:eastAsia="zh-CN"/>
        </w:rPr>
        <w:fldChar w:fldCharType="end"/>
      </w:r>
      <w:r w:rsidRPr="00AF2B90">
        <w:rPr>
          <w:rFonts w:eastAsia="宋体" w:hAnsi="宋体"/>
          <w:sz w:val="21"/>
          <w:szCs w:val="21"/>
          <w:lang w:eastAsia="zh-CN"/>
        </w:rPr>
        <w:t>号决议，于</w:t>
      </w:r>
      <w:r w:rsidRPr="00AF2B90">
        <w:rPr>
          <w:rFonts w:eastAsia="宋体"/>
          <w:sz w:val="21"/>
          <w:szCs w:val="21"/>
          <w:lang w:eastAsia="zh-CN"/>
        </w:rPr>
        <w:t>2016</w:t>
      </w:r>
      <w:r w:rsidRPr="00AF2B90">
        <w:rPr>
          <w:rFonts w:eastAsia="宋体" w:hAnsi="宋体"/>
          <w:sz w:val="21"/>
          <w:szCs w:val="21"/>
          <w:lang w:eastAsia="zh-CN"/>
        </w:rPr>
        <w:t>年</w:t>
      </w:r>
      <w:r w:rsidRPr="00AF2B90">
        <w:rPr>
          <w:rFonts w:eastAsia="宋体"/>
          <w:sz w:val="21"/>
          <w:szCs w:val="21"/>
          <w:lang w:eastAsia="zh-CN"/>
        </w:rPr>
        <w:t>12</w:t>
      </w:r>
      <w:r w:rsidRPr="00AF2B90">
        <w:rPr>
          <w:rFonts w:eastAsia="宋体" w:hAnsi="宋体"/>
          <w:sz w:val="21"/>
          <w:szCs w:val="21"/>
          <w:lang w:eastAsia="zh-CN"/>
        </w:rPr>
        <w:t>月推出其《</w:t>
      </w:r>
      <w:r w:rsidRPr="00AF2B90">
        <w:rPr>
          <w:rFonts w:eastAsia="宋体"/>
          <w:sz w:val="21"/>
          <w:szCs w:val="21"/>
          <w:lang w:eastAsia="zh-CN"/>
        </w:rPr>
        <w:t>2016-2019</w:t>
      </w:r>
      <w:r w:rsidRPr="00AF2B90">
        <w:rPr>
          <w:rFonts w:eastAsia="宋体" w:hAnsi="宋体"/>
          <w:sz w:val="21"/>
          <w:szCs w:val="21"/>
          <w:lang w:eastAsia="zh-CN"/>
        </w:rPr>
        <w:t>年期间妇女、和平与安全国家行动计划》，以及在促进处于冲突或冲突后局势中的国家的妇女、和平与安全议程方面发挥作用。然而，委员会关切的是，缔约国向包括冲突地区在内的地区出口武器，并且缔约国未能履行其根据《武器贸易条约》和《欧洲联盟武器出口行为守则》承担的义务，建立用来进行性别暴力风险评估的特定机制。</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bCs/>
          <w:sz w:val="21"/>
          <w:szCs w:val="21"/>
          <w:lang w:eastAsia="zh-CN"/>
        </w:rPr>
        <w:t>20.</w:t>
      </w:r>
      <w:r w:rsidRPr="00AF2B90">
        <w:rPr>
          <w:rFonts w:eastAsia="宋体"/>
          <w:bCs/>
          <w:sz w:val="21"/>
          <w:szCs w:val="21"/>
          <w:lang w:eastAsia="zh-CN"/>
        </w:rPr>
        <w:tab/>
      </w:r>
      <w:r w:rsidRPr="00AF2B90">
        <w:rPr>
          <w:rFonts w:eastAsia="黑体" w:hAnsi="宋体"/>
          <w:sz w:val="21"/>
          <w:szCs w:val="21"/>
          <w:lang w:val="en-US" w:eastAsia="zh-CN"/>
        </w:rPr>
        <w:t>委员会建议缔约国将有关武器出口管制的立法规定与《武器贸易条约》第</w:t>
      </w:r>
      <w:r w:rsidRPr="00AF2B90">
        <w:rPr>
          <w:rFonts w:eastAsia="黑体"/>
          <w:sz w:val="21"/>
          <w:szCs w:val="21"/>
          <w:lang w:val="en-US" w:eastAsia="zh-CN"/>
        </w:rPr>
        <w:t>7</w:t>
      </w:r>
      <w:r w:rsidRPr="00AF2B90">
        <w:rPr>
          <w:rFonts w:eastAsia="黑体" w:hAnsi="宋体"/>
          <w:sz w:val="21"/>
          <w:szCs w:val="21"/>
          <w:lang w:val="en-US" w:eastAsia="zh-CN"/>
        </w:rPr>
        <w:t>条第</w:t>
      </w:r>
      <w:r>
        <w:rPr>
          <w:rFonts w:eastAsia="黑体" w:hAnsi="宋体" w:hint="eastAsia"/>
          <w:sz w:val="21"/>
          <w:szCs w:val="21"/>
          <w:lang w:val="en-US" w:eastAsia="zh-CN"/>
        </w:rPr>
        <w:t>(</w:t>
      </w:r>
      <w:r w:rsidRPr="00AF2B90">
        <w:rPr>
          <w:rFonts w:eastAsia="黑体"/>
          <w:sz w:val="21"/>
          <w:szCs w:val="21"/>
          <w:lang w:val="en-US" w:eastAsia="zh-CN"/>
        </w:rPr>
        <w:t>4</w:t>
      </w:r>
      <w:r>
        <w:rPr>
          <w:rFonts w:eastAsia="黑体" w:hAnsi="宋体" w:hint="eastAsia"/>
          <w:sz w:val="21"/>
          <w:szCs w:val="21"/>
          <w:lang w:val="en-US" w:eastAsia="zh-CN"/>
        </w:rPr>
        <w:t>)</w:t>
      </w:r>
      <w:r w:rsidRPr="00AF2B90">
        <w:rPr>
          <w:rFonts w:eastAsia="黑体" w:hAnsi="宋体"/>
          <w:sz w:val="21"/>
          <w:szCs w:val="21"/>
          <w:lang w:val="en-US" w:eastAsia="zh-CN"/>
        </w:rPr>
        <w:t>款以及欧洲联盟理事会对有关军事技术和设备出口管制的共同规则作出规定的第</w:t>
      </w:r>
      <w:r w:rsidRPr="00AF2B90">
        <w:rPr>
          <w:rFonts w:eastAsia="黑体"/>
          <w:sz w:val="21"/>
          <w:szCs w:val="21"/>
          <w:lang w:val="en-US" w:eastAsia="zh-CN"/>
        </w:rPr>
        <w:t>20</w:t>
      </w:r>
      <w:hyperlink r:id="rId23" w:history="1">
        <w:r w:rsidRPr="00523EC6">
          <w:rPr>
            <w:rStyle w:val="ad"/>
            <w:rFonts w:eastAsia="黑体"/>
            <w:sz w:val="21"/>
            <w:szCs w:val="21"/>
            <w:lang w:val="en-US" w:eastAsia="zh-CN"/>
          </w:rPr>
          <w:t>08/944</w:t>
        </w:r>
      </w:hyperlink>
      <w:r w:rsidRPr="00AF2B90">
        <w:rPr>
          <w:rFonts w:eastAsia="黑体"/>
          <w:sz w:val="21"/>
          <w:szCs w:val="21"/>
          <w:lang w:val="en-US" w:eastAsia="zh-CN"/>
        </w:rPr>
        <w:t>/CFSP</w:t>
      </w:r>
      <w:r w:rsidRPr="00AF2B90">
        <w:rPr>
          <w:rFonts w:eastAsia="黑体" w:hAnsi="宋体"/>
          <w:sz w:val="21"/>
          <w:szCs w:val="21"/>
          <w:lang w:val="en-US" w:eastAsia="zh-CN"/>
        </w:rPr>
        <w:t>号理事会共同立场保持统一。委员会还建议缔约国将性别方面纳入其与购买意大利武器的国家的战略对话中，并在颁发出口许可证之前对小武器和轻武器的滥用对妇女，包括那些居住在冲突区的妇女带来的影响进行全面和透明的评估。</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提高妇女地位的国家机制</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21.</w:t>
      </w:r>
      <w:r w:rsidRPr="00AF2B90">
        <w:rPr>
          <w:rFonts w:eastAsia="宋体"/>
          <w:sz w:val="21"/>
          <w:szCs w:val="21"/>
          <w:lang w:eastAsia="zh-CN"/>
        </w:rPr>
        <w:tab/>
      </w:r>
      <w:r w:rsidRPr="00AF2B90">
        <w:rPr>
          <w:rFonts w:eastAsia="宋体" w:hAnsi="宋体"/>
          <w:sz w:val="21"/>
          <w:szCs w:val="21"/>
          <w:lang w:eastAsia="zh-CN"/>
        </w:rPr>
        <w:t>委员会欢迎缔约国设立了旨在消除对妇女歧视的一些新机构和机制，以及延长了部长会议主席和各政府部门内的现有机制的任务授权期限。然而，委员会关切的是：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未能给提高妇女地位的国家机制分配足够的人力、技术和财政资源，以在各领域和各级政府有效协调和执行性别平等计划、政策和方案；</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没有国家一级的关于性别平等的总体综合政策；</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国家机制存在复杂性，因为需要使性别平等主流化方面的工作得到明确和协调一致；</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bCs/>
          <w:iCs/>
          <w:sz w:val="21"/>
          <w:szCs w:val="21"/>
          <w:lang w:val="en-US" w:eastAsia="zh-CN"/>
        </w:rPr>
        <w:t>家庭政策司优先给予家庭保护，而不是在消除对妇女的歧视方面优先给予保护。</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22.</w:t>
      </w:r>
      <w:r w:rsidRPr="00AF2B90">
        <w:rPr>
          <w:rFonts w:eastAsia="黑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增加为机会平等司分配的资源，以确保保持对妇女权利的明确重视，并考虑重新设立机会平等部，作为一个能够启动、协调和执行性别平等政策的高级别机制；</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lastRenderedPageBreak/>
        <w:tab/>
        <w:t>(b)</w:t>
      </w:r>
      <w:r w:rsidRPr="00AF2B90">
        <w:rPr>
          <w:rFonts w:eastAsia="黑体"/>
          <w:sz w:val="21"/>
          <w:szCs w:val="21"/>
          <w:lang w:val="en-US" w:eastAsia="zh-CN"/>
        </w:rPr>
        <w:tab/>
      </w:r>
      <w:r w:rsidRPr="00AF2B90">
        <w:rPr>
          <w:rFonts w:eastAsia="黑体" w:hAnsi="宋体"/>
          <w:sz w:val="21"/>
          <w:szCs w:val="21"/>
          <w:lang w:val="en-US" w:eastAsia="zh-CN"/>
        </w:rPr>
        <w:t>加快通过并有效执行国家性别政策，并确保所有部委和权力下放的政府机构在制定和执行所有法律、法规和方案中始终适用将性别平等观念纳入主流的做法；</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val="en-US" w:eastAsia="zh-CN"/>
        </w:rPr>
        <w:t>加强国家机制各部门之间的协调，明确界定它们与妇女权利有关的任务和责任，对这种协调进行定期监督和评价，并确保国家机制在地区和地方一级有其代表；</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(d)</w:t>
      </w:r>
      <w:r w:rsidRPr="00AF2B90">
        <w:rPr>
          <w:rFonts w:eastAsia="黑体"/>
          <w:sz w:val="21"/>
          <w:szCs w:val="21"/>
          <w:lang w:eastAsia="zh-CN"/>
        </w:rPr>
        <w:tab/>
      </w:r>
      <w:r w:rsidRPr="00AF2B90">
        <w:rPr>
          <w:rFonts w:eastAsia="黑体" w:hAnsi="宋体"/>
          <w:bCs/>
          <w:iCs/>
          <w:sz w:val="21"/>
          <w:szCs w:val="21"/>
          <w:lang w:eastAsia="zh-CN"/>
        </w:rPr>
        <w:t>确保家庭政策司在目标以及行动上完全遵守《公约》规定的原则。</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国家人权机构</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23.</w:t>
      </w:r>
      <w:r w:rsidRPr="00AF2B90">
        <w:rPr>
          <w:rFonts w:eastAsia="宋体"/>
          <w:sz w:val="21"/>
          <w:szCs w:val="21"/>
          <w:lang w:eastAsia="zh-CN"/>
        </w:rPr>
        <w:tab/>
      </w:r>
      <w:r w:rsidRPr="00AF2B90">
        <w:rPr>
          <w:rFonts w:eastAsia="宋体" w:hAnsi="宋体"/>
          <w:sz w:val="21"/>
          <w:szCs w:val="21"/>
          <w:lang w:eastAsia="zh-CN"/>
        </w:rPr>
        <w:t>委员会注意到代表团提供的关于设立国家人权机构的未决法案的信息。然而，委员会继续对该法仍然迟迟未获通过表示关切。</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24.</w:t>
      </w:r>
      <w:r w:rsidRPr="00AF2B90">
        <w:rPr>
          <w:rFonts w:eastAsia="黑体"/>
          <w:sz w:val="21"/>
          <w:szCs w:val="21"/>
          <w:lang w:eastAsia="zh-CN"/>
        </w:rPr>
        <w:tab/>
      </w:r>
      <w:r w:rsidRPr="00AF2B90">
        <w:rPr>
          <w:rFonts w:eastAsia="黑体" w:hAnsi="宋体"/>
          <w:sz w:val="21"/>
          <w:szCs w:val="21"/>
          <w:lang w:eastAsia="zh-CN"/>
        </w:rPr>
        <w:t>委员会建议缔约国设立一个有充足资源支持的国家人权机构，该机构必须遵循关</w:t>
      </w:r>
      <w:r w:rsidRPr="00CB707C">
        <w:rPr>
          <w:rFonts w:eastAsia="黑体" w:hAnsi="宋体"/>
          <w:sz w:val="21"/>
          <w:szCs w:val="21"/>
          <w:lang w:eastAsia="zh-CN"/>
        </w:rPr>
        <w:t>于</w:t>
      </w:r>
      <w:r w:rsidRPr="00950AC9">
        <w:rPr>
          <w:rFonts w:eastAsia="黑体" w:hAnsi="宋体" w:hint="eastAsia"/>
          <w:sz w:val="21"/>
          <w:szCs w:val="21"/>
          <w:lang w:eastAsia="zh-CN"/>
        </w:rPr>
        <w:t>促进和保护人权的国家机构</w:t>
      </w:r>
      <w:r>
        <w:rPr>
          <w:rFonts w:eastAsia="黑体" w:hAnsi="宋体" w:hint="eastAsia"/>
          <w:sz w:val="21"/>
          <w:szCs w:val="21"/>
          <w:lang w:val="en-US" w:eastAsia="zh-CN"/>
        </w:rPr>
        <w:t>地位的原则</w:t>
      </w:r>
      <w:r>
        <w:rPr>
          <w:rFonts w:eastAsia="黑体" w:hAnsi="宋体" w:hint="eastAsia"/>
          <w:sz w:val="21"/>
          <w:szCs w:val="21"/>
          <w:lang w:val="en-US" w:eastAsia="zh-CN"/>
        </w:rPr>
        <w:t>(</w:t>
      </w:r>
      <w:r w:rsidRPr="00AF2B90">
        <w:rPr>
          <w:rFonts w:eastAsia="黑体" w:hAnsi="宋体"/>
          <w:sz w:val="21"/>
          <w:szCs w:val="21"/>
          <w:lang w:eastAsia="zh-CN"/>
        </w:rPr>
        <w:t>《巴黎原则》</w:t>
      </w:r>
      <w:r>
        <w:rPr>
          <w:rFonts w:eastAsia="黑体" w:hAnsi="宋体" w:hint="eastAsia"/>
          <w:sz w:val="21"/>
          <w:szCs w:val="21"/>
          <w:lang w:val="en-US" w:eastAsia="zh-CN"/>
        </w:rPr>
        <w:t>)</w:t>
      </w:r>
      <w:r>
        <w:rPr>
          <w:rFonts w:eastAsia="黑体" w:hAnsi="宋体" w:hint="eastAsia"/>
          <w:sz w:val="21"/>
          <w:szCs w:val="21"/>
          <w:lang w:val="en-US" w:eastAsia="zh-CN"/>
        </w:rPr>
        <w:t>，该原则授权</w:t>
      </w:r>
      <w:r>
        <w:rPr>
          <w:rFonts w:eastAsia="黑体" w:hAnsi="宋体" w:hint="eastAsia"/>
          <w:sz w:val="21"/>
          <w:szCs w:val="21"/>
          <w:lang w:eastAsia="zh-CN"/>
        </w:rPr>
        <w:t>国家机构保护和促进所有人权，包括妇女权利。</w:t>
      </w:r>
    </w:p>
    <w:p w:rsidR="00523EC6" w:rsidRPr="00AF2B90" w:rsidRDefault="00523EC6" w:rsidP="00523EC6">
      <w:pPr>
        <w:pStyle w:val="H23G"/>
        <w:spacing w:before="0" w:line="320" w:lineRule="exact"/>
        <w:ind w:left="1264" w:right="1264"/>
        <w:rPr>
          <w:rFonts w:eastAsia="宋体"/>
          <w:b w:val="0"/>
          <w:i/>
          <w:sz w:val="21"/>
          <w:szCs w:val="21"/>
          <w:lang w:eastAsia="zh-CN"/>
        </w:rPr>
      </w:pPr>
      <w:r w:rsidRPr="00AF2B90">
        <w:rPr>
          <w:rFonts w:eastAsia="宋体"/>
          <w:b w:val="0"/>
          <w:i/>
          <w:sz w:val="21"/>
          <w:szCs w:val="21"/>
          <w:lang w:eastAsia="zh-CN"/>
        </w:rPr>
        <w:tab/>
      </w:r>
      <w:r w:rsidRPr="00AF2B90">
        <w:rPr>
          <w:rFonts w:eastAsia="宋体"/>
          <w:b w:val="0"/>
          <w:i/>
          <w:sz w:val="21"/>
          <w:szCs w:val="21"/>
          <w:lang w:eastAsia="zh-CN"/>
        </w:rPr>
        <w:tab/>
      </w:r>
      <w:r w:rsidRPr="00AF2B90">
        <w:rPr>
          <w:rFonts w:eastAsia="黑体" w:hAnsi="宋体"/>
          <w:b w:val="0"/>
          <w:sz w:val="21"/>
          <w:szCs w:val="21"/>
          <w:lang w:eastAsia="zh-CN"/>
        </w:rPr>
        <w:t>陈规定型观念</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25.</w:t>
      </w:r>
      <w:r w:rsidRPr="00AF2B90">
        <w:rPr>
          <w:rFonts w:eastAsia="宋体"/>
          <w:sz w:val="21"/>
          <w:szCs w:val="21"/>
          <w:lang w:eastAsia="zh-CN"/>
        </w:rPr>
        <w:tab/>
      </w:r>
      <w:r w:rsidRPr="00AF2B90">
        <w:rPr>
          <w:rFonts w:eastAsia="宋体" w:hAnsi="宋体"/>
          <w:sz w:val="21"/>
          <w:szCs w:val="21"/>
          <w:lang w:eastAsia="zh-CN"/>
        </w:rPr>
        <w:t>委员会注意到缔约国努力打击歧视性的性别</w:t>
      </w:r>
      <w:r>
        <w:rPr>
          <w:rFonts w:eastAsia="宋体" w:hAnsi="宋体" w:hint="eastAsia"/>
          <w:sz w:val="21"/>
          <w:szCs w:val="21"/>
          <w:lang w:eastAsia="zh-CN"/>
        </w:rPr>
        <w:t>陈规</w:t>
      </w:r>
      <w:r w:rsidRPr="00AF2B90">
        <w:rPr>
          <w:rFonts w:eastAsia="宋体" w:hAnsi="宋体"/>
          <w:sz w:val="21"/>
          <w:szCs w:val="21"/>
          <w:lang w:eastAsia="zh-CN"/>
        </w:rPr>
        <w:t>定型观念，包括提倡分担家务和育儿责任，并通过加强广告自律研究所的作用，消除媒体中对妇女有成见的描述。然而，委员会关切地注意到：</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关于妇女和男子在家庭和社会中的角色和责任的根深蒂固的定型观念固化了妇女作为母亲和家庭主妇的传统角色，损害了她们的社会地位和教育与职业前景；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为消除教育系统中，包括学校课程和教科书中的陈规定型观念而采取的措施有限</w:t>
      </w:r>
      <w:r>
        <w:rPr>
          <w:rFonts w:eastAsia="宋体" w:hint="eastAsia"/>
          <w:sz w:val="21"/>
          <w:szCs w:val="21"/>
          <w:lang w:eastAsia="zh-CN"/>
        </w:rPr>
        <w:t>；</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男子组织在媒体中的影响力越来越大，它们以陈规定型观念对妇女进行负面描述；</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移民、难民和寻求庇护妇女以及罗姆族、辛提族和卡米南提族妇女和女童容易受到更严重的歧视和仇外行为的影响，当前的社会和政治背景加剧了这种影响。</w:t>
      </w:r>
    </w:p>
    <w:p w:rsidR="00523EC6" w:rsidRPr="00AF2B90" w:rsidRDefault="00523EC6" w:rsidP="00523EC6">
      <w:pPr>
        <w:pStyle w:val="SingleTxtG"/>
        <w:spacing w:after="140" w:line="320" w:lineRule="exact"/>
        <w:ind w:left="1264" w:right="1264"/>
        <w:rPr>
          <w:rFonts w:eastAsia="黑体"/>
          <w:sz w:val="21"/>
          <w:szCs w:val="21"/>
          <w:lang w:eastAsia="zh-CN"/>
        </w:rPr>
      </w:pPr>
      <w:r w:rsidRPr="00AF2B90">
        <w:rPr>
          <w:rFonts w:eastAsia="宋体"/>
          <w:sz w:val="21"/>
          <w:szCs w:val="21"/>
          <w:lang w:eastAsia="zh-CN"/>
        </w:rPr>
        <w:t>26.</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tab/>
      </w:r>
      <w:r w:rsidRPr="00AF2B90">
        <w:rPr>
          <w:rFonts w:eastAsia="黑体"/>
          <w:sz w:val="21"/>
          <w:szCs w:val="21"/>
          <w:lang w:val="en-US" w:eastAsia="zh-CN"/>
        </w:rPr>
        <w:t>(a)</w:t>
      </w:r>
      <w:r w:rsidRPr="00AF2B90">
        <w:rPr>
          <w:rFonts w:eastAsia="黑体"/>
          <w:sz w:val="21"/>
          <w:szCs w:val="21"/>
          <w:lang w:val="en-US" w:eastAsia="zh-CN"/>
        </w:rPr>
        <w:tab/>
      </w:r>
      <w:r w:rsidRPr="00AF2B90">
        <w:rPr>
          <w:rFonts w:eastAsia="黑体" w:hAnsi="宋体"/>
          <w:sz w:val="21"/>
          <w:szCs w:val="21"/>
          <w:lang w:val="en-US" w:eastAsia="zh-CN"/>
        </w:rPr>
        <w:t>制定一项全面战略，采取积极主动和持续的措施，消除和改变重男轻女的态度和性别</w:t>
      </w:r>
      <w:r>
        <w:rPr>
          <w:rFonts w:eastAsia="黑体" w:hAnsi="宋体" w:hint="eastAsia"/>
          <w:sz w:val="21"/>
          <w:szCs w:val="21"/>
          <w:lang w:val="en-US" w:eastAsia="zh-CN"/>
        </w:rPr>
        <w:t>陈规</w:t>
      </w:r>
      <w:r w:rsidRPr="00AF2B90">
        <w:rPr>
          <w:rFonts w:eastAsia="黑体" w:hAnsi="宋体"/>
          <w:sz w:val="21"/>
          <w:szCs w:val="21"/>
          <w:lang w:val="en-US" w:eastAsia="zh-CN"/>
        </w:rPr>
        <w:t>定型观念，特别侧重于属于少数群体的妇女，因为她们往往是仇恨言论和出于种族动机的暴力的目标，其方法是修订教科书和课程，针对广大妇女和男子以及在媒体和广告机构开展专门的提高认识运动；</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lastRenderedPageBreak/>
        <w:tab/>
      </w:r>
      <w:r w:rsidRPr="00AF2B90">
        <w:rPr>
          <w:rFonts w:eastAsia="黑体"/>
          <w:sz w:val="21"/>
          <w:szCs w:val="21"/>
          <w:lang w:val="en-US" w:eastAsia="zh-CN"/>
        </w:rPr>
        <w:t>(b)</w:t>
      </w:r>
      <w:r w:rsidRPr="00AF2B90">
        <w:rPr>
          <w:rFonts w:eastAsia="黑体"/>
          <w:sz w:val="21"/>
          <w:szCs w:val="21"/>
          <w:lang w:val="en-US" w:eastAsia="zh-CN"/>
        </w:rPr>
        <w:tab/>
      </w:r>
      <w:r w:rsidRPr="00AF2B90">
        <w:rPr>
          <w:rFonts w:eastAsia="黑体" w:hAnsi="宋体"/>
          <w:sz w:val="21"/>
          <w:szCs w:val="21"/>
          <w:lang w:val="en-US" w:eastAsia="zh-CN"/>
        </w:rPr>
        <w:t>接触有关行为体，实行更严格的规章制度，并在可能的情况下采用创新措施，以促进媒体和广告对妇女进行正面和非定型的刻画。</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基于性别的暴力侵害妇女行为</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27.</w:t>
      </w:r>
      <w:r w:rsidRPr="00AF2B90">
        <w:rPr>
          <w:rFonts w:eastAsia="宋体"/>
          <w:sz w:val="21"/>
          <w:szCs w:val="21"/>
          <w:lang w:eastAsia="zh-CN"/>
        </w:rPr>
        <w:tab/>
      </w:r>
      <w:r w:rsidRPr="00AF2B90">
        <w:rPr>
          <w:rFonts w:eastAsia="宋体" w:hAnsi="宋体"/>
          <w:sz w:val="21"/>
          <w:szCs w:val="21"/>
          <w:lang w:eastAsia="zh-CN"/>
        </w:rPr>
        <w:t>委员会欢迎为打击基于性别的暴力侵害妇女行为而采取的措施，包括通过并执行关于紧急安全规定以及打击性别暴力的第</w:t>
      </w:r>
      <w:r w:rsidRPr="00AF2B90">
        <w:rPr>
          <w:rFonts w:eastAsia="宋体"/>
          <w:sz w:val="21"/>
          <w:szCs w:val="21"/>
          <w:lang w:eastAsia="zh-CN"/>
        </w:rPr>
        <w:t>1</w:t>
      </w:r>
      <w:hyperlink r:id="rId24" w:history="1">
        <w:r w:rsidRPr="00523EC6">
          <w:rPr>
            <w:rStyle w:val="ad"/>
            <w:rFonts w:eastAsia="宋体"/>
            <w:sz w:val="21"/>
            <w:szCs w:val="21"/>
            <w:lang w:eastAsia="zh-CN"/>
          </w:rPr>
          <w:t>19/201</w:t>
        </w:r>
      </w:hyperlink>
      <w:r w:rsidRPr="00AF2B90">
        <w:rPr>
          <w:rFonts w:eastAsia="宋体"/>
          <w:sz w:val="21"/>
          <w:szCs w:val="21"/>
          <w:lang w:eastAsia="zh-CN"/>
        </w:rPr>
        <w:t>3</w:t>
      </w:r>
      <w:r w:rsidRPr="00AF2B90">
        <w:rPr>
          <w:rFonts w:eastAsia="宋体" w:hAnsi="宋体"/>
          <w:sz w:val="21"/>
          <w:szCs w:val="21"/>
          <w:lang w:eastAsia="zh-CN"/>
        </w:rPr>
        <w:t>号法，并欢迎设立关于暴力问题的国家观察站和关于性别暴力问题的国家数据库。然而，委员会仍然关切的是：</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(a)</w:t>
      </w:r>
      <w:r w:rsidRPr="00AF2B90">
        <w:rPr>
          <w:kern w:val="0"/>
          <w:szCs w:val="21"/>
        </w:rPr>
        <w:tab/>
      </w:r>
      <w:r w:rsidRPr="00AF2B90">
        <w:rPr>
          <w:rFonts w:hAnsi="宋体"/>
          <w:kern w:val="0"/>
          <w:szCs w:val="21"/>
        </w:rPr>
        <w:t>缔约国基于性别的暴力侵害妇女和女童行为发生率偏高；</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(b)</w:t>
      </w:r>
      <w:r w:rsidRPr="00AF2B90">
        <w:rPr>
          <w:kern w:val="0"/>
          <w:szCs w:val="21"/>
        </w:rPr>
        <w:tab/>
      </w:r>
      <w:r w:rsidRPr="00AF2B90">
        <w:rPr>
          <w:rFonts w:hAnsi="宋体"/>
          <w:kern w:val="0"/>
          <w:szCs w:val="21"/>
        </w:rPr>
        <w:t>少报漏报基于性别的暴力侵害妇女行为，起诉率和定罪率低，从而导致施暴者逍遥法外；</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(c)</w:t>
      </w:r>
      <w:r w:rsidRPr="00AF2B90">
        <w:rPr>
          <w:kern w:val="0"/>
          <w:szCs w:val="21"/>
        </w:rPr>
        <w:tab/>
      </w:r>
      <w:r w:rsidRPr="00AF2B90">
        <w:rPr>
          <w:rFonts w:hAnsi="宋体"/>
          <w:kern w:val="0"/>
          <w:szCs w:val="21"/>
        </w:rPr>
        <w:t>家庭暴力受害妇女向民事法院寻求实施禁止令的机会有限；</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(d)</w:t>
      </w:r>
      <w:r w:rsidRPr="00AF2B90">
        <w:rPr>
          <w:kern w:val="0"/>
          <w:szCs w:val="21"/>
        </w:rPr>
        <w:tab/>
      </w:r>
      <w:r w:rsidRPr="00AF2B90">
        <w:rPr>
          <w:rFonts w:hAnsi="宋体"/>
          <w:kern w:val="0"/>
          <w:szCs w:val="21"/>
        </w:rPr>
        <w:t>虽然这些程序不是强制性的，但在基于性别的暴力侵害妇女案件中，法院继续让受害人转向调停和调解等替代性争议解决方式，此外对于相对较轻的</w:t>
      </w:r>
      <w:r>
        <w:rPr>
          <w:rFonts w:hAnsi="宋体" w:hint="eastAsia"/>
          <w:kern w:val="0"/>
          <w:szCs w:val="21"/>
        </w:rPr>
        <w:t>盯梢</w:t>
      </w:r>
      <w:r w:rsidRPr="00AF2B90">
        <w:rPr>
          <w:rFonts w:hAnsi="宋体"/>
          <w:kern w:val="0"/>
          <w:szCs w:val="21"/>
        </w:rPr>
        <w:t>骚扰案件，新的做法是使用恢复性司法机制，而这可能会被推广到其他形式的基于性别的暴力侵害妇女行为的案件中；</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(e)</w:t>
      </w:r>
      <w:r w:rsidRPr="00AF2B90">
        <w:rPr>
          <w:kern w:val="0"/>
          <w:szCs w:val="21"/>
        </w:rPr>
        <w:tab/>
      </w:r>
      <w:r w:rsidRPr="00AF2B90">
        <w:rPr>
          <w:rFonts w:hAnsi="宋体"/>
          <w:kern w:val="0"/>
          <w:szCs w:val="21"/>
        </w:rPr>
        <w:t>针对妇女实施的种族主义、仇外行为和性别歧视行为交叉出现，且产生了累积影响；</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(f)</w:t>
      </w:r>
      <w:r w:rsidRPr="00AF2B90">
        <w:rPr>
          <w:kern w:val="0"/>
          <w:szCs w:val="21"/>
        </w:rPr>
        <w:tab/>
      </w:r>
      <w:r w:rsidRPr="00AF2B90">
        <w:rPr>
          <w:rFonts w:hAnsi="宋体"/>
          <w:kern w:val="0"/>
          <w:szCs w:val="21"/>
        </w:rPr>
        <w:t>缺乏探究基于性别的暴力侵害妇女行为的结构性原因的研究，缺乏旨在增强妇女权能的措施；</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(g)</w:t>
      </w:r>
      <w:r w:rsidRPr="00AF2B90">
        <w:rPr>
          <w:kern w:val="0"/>
          <w:szCs w:val="21"/>
        </w:rPr>
        <w:tab/>
      </w:r>
      <w:r w:rsidRPr="00AF2B90">
        <w:rPr>
          <w:rFonts w:hAnsi="宋体"/>
          <w:kern w:val="0"/>
          <w:szCs w:val="21"/>
        </w:rPr>
        <w:t>在为暴力行为受害妇女提供的援助和保护服务，包括提供的庇护所的可用性和质量方面存在地区和地方差距，并且少数群体妇女不仅遭受暴力，还遭受交叉形式的歧视。</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28.</w:t>
      </w:r>
      <w:r w:rsidRPr="00AF2B90">
        <w:rPr>
          <w:rFonts w:eastAsia="宋体"/>
          <w:sz w:val="21"/>
          <w:szCs w:val="21"/>
          <w:lang w:eastAsia="zh-CN"/>
        </w:rPr>
        <w:tab/>
      </w:r>
      <w:r w:rsidRPr="00AF2B90">
        <w:rPr>
          <w:rFonts w:eastAsia="黑体" w:hAnsi="宋体"/>
          <w:sz w:val="21"/>
          <w:szCs w:val="21"/>
          <w:lang w:val="en-US" w:eastAsia="zh-CN"/>
        </w:rPr>
        <w:t>委员会回顾《公约》的规定及其关于暴力侵害妇女行为的第</w:t>
      </w:r>
      <w:r w:rsidRPr="00AF2B90">
        <w:rPr>
          <w:rFonts w:eastAsia="黑体"/>
          <w:sz w:val="21"/>
          <w:szCs w:val="21"/>
          <w:lang w:val="en-US" w:eastAsia="zh-CN"/>
        </w:rPr>
        <w:t>19(1992)</w:t>
      </w:r>
      <w:r w:rsidRPr="00AF2B90">
        <w:rPr>
          <w:rFonts w:eastAsia="黑体" w:hAnsi="宋体"/>
          <w:sz w:val="21"/>
          <w:szCs w:val="21"/>
          <w:lang w:val="en-US" w:eastAsia="zh-CN"/>
        </w:rPr>
        <w:t>号一般性建议和对第</w:t>
      </w:r>
      <w:r w:rsidRPr="00AF2B90">
        <w:rPr>
          <w:rFonts w:eastAsia="黑体"/>
          <w:sz w:val="21"/>
          <w:szCs w:val="21"/>
          <w:lang w:val="en-US" w:eastAsia="zh-CN"/>
        </w:rPr>
        <w:t>19</w:t>
      </w:r>
      <w:r w:rsidRPr="00AF2B90">
        <w:rPr>
          <w:rFonts w:eastAsia="黑体" w:hAnsi="宋体"/>
          <w:sz w:val="21"/>
          <w:szCs w:val="21"/>
          <w:lang w:val="en-US" w:eastAsia="zh-CN"/>
        </w:rPr>
        <w:t>号一般性建议进行更新的关于基于性别的暴力侵害妇女行为的第</w:t>
      </w:r>
      <w:r w:rsidRPr="00AF2B90">
        <w:rPr>
          <w:rFonts w:eastAsia="黑体"/>
          <w:sz w:val="21"/>
          <w:szCs w:val="21"/>
          <w:lang w:val="en-US" w:eastAsia="zh-CN"/>
        </w:rPr>
        <w:t>35(2017)</w:t>
      </w:r>
      <w:r w:rsidRPr="00AF2B90">
        <w:rPr>
          <w:rFonts w:eastAsia="黑体" w:hAnsi="宋体"/>
          <w:sz w:val="21"/>
          <w:szCs w:val="21"/>
          <w:lang w:val="en-US" w:eastAsia="zh-CN"/>
        </w:rPr>
        <w:t>号一般性建议，并建议缔约国：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加快通过一部全面的法律，以防止、打击和惩罚一切形式的暴力侵害妇女行为，通过新的</w:t>
      </w:r>
      <w:r>
        <w:rPr>
          <w:rFonts w:eastAsia="黑体" w:hAnsi="宋体" w:hint="eastAsia"/>
          <w:sz w:val="21"/>
          <w:szCs w:val="21"/>
          <w:lang w:val="en-US" w:eastAsia="zh-CN"/>
        </w:rPr>
        <w:t>《</w:t>
      </w:r>
      <w:r w:rsidRPr="005756DC">
        <w:rPr>
          <w:rFonts w:eastAsia="黑体" w:hAnsi="宋体"/>
          <w:sz w:val="21"/>
          <w:szCs w:val="21"/>
          <w:lang w:val="en-US" w:eastAsia="zh-CN"/>
        </w:rPr>
        <w:t>反性别暴力国家行动计划</w:t>
      </w:r>
      <w:r>
        <w:rPr>
          <w:rFonts w:eastAsia="黑体" w:hAnsi="宋体" w:hint="eastAsia"/>
          <w:sz w:val="21"/>
          <w:szCs w:val="21"/>
          <w:lang w:val="en-US" w:eastAsia="zh-CN"/>
        </w:rPr>
        <w:t>》</w:t>
      </w:r>
      <w:r w:rsidRPr="00AF2B90">
        <w:rPr>
          <w:rFonts w:eastAsia="黑体" w:hAnsi="宋体"/>
          <w:sz w:val="21"/>
          <w:szCs w:val="21"/>
          <w:lang w:val="en-US" w:eastAsia="zh-CN"/>
        </w:rPr>
        <w:t>，并确保分配充足的人力、技术和财政资源，以对它们进行系统的和有效的执行、监测和评估；</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评价警察和司法部门对性犯罪控诉的回应，并对法官、检察官、警察和其他执法人员进行强制性能力建设，内容涉及严格执行关于基于性别的暴力侵害妇女行为的刑法规定以及采取对性别敏感的程序对暴力受害妇女进行访谈；</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lastRenderedPageBreak/>
        <w:tab/>
        <w:t>(c)</w:t>
      </w:r>
      <w:r w:rsidRPr="00AF2B90">
        <w:rPr>
          <w:rFonts w:eastAsia="黑体"/>
          <w:sz w:val="21"/>
          <w:szCs w:val="21"/>
          <w:lang w:val="en-US" w:eastAsia="zh-CN"/>
        </w:rPr>
        <w:tab/>
      </w:r>
      <w:r w:rsidRPr="00AF2B90">
        <w:rPr>
          <w:rFonts w:eastAsia="黑体" w:hAnsi="宋体"/>
          <w:sz w:val="21"/>
          <w:szCs w:val="21"/>
          <w:lang w:val="en-US" w:eastAsia="zh-CN"/>
        </w:rPr>
        <w:t>通过消除受害人的耻辱感、提高警察和司法部门的敏感性以及提高对这类行为的犯罪性质的认识，鼓励妇女向执法机构举报家庭暴力和性暴力事件，并确保妇女能够有效诉诸民事法院，以争取对施虐伴侣实行禁止令；</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eastAsia="zh-CN"/>
        </w:rPr>
        <w:t>确保法庭不将调停、调解和恢复性司法等替代性争端解决机制用于性别暴力案件，以避免它们对妇女正式诉诸司法构成障碍，并使所有相关国家立法规定与《伊斯坦布尔公约》保持统一。</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(e)</w:t>
      </w:r>
      <w:r w:rsidRPr="00AF2B90">
        <w:rPr>
          <w:rFonts w:eastAsia="黑体"/>
          <w:sz w:val="21"/>
          <w:szCs w:val="21"/>
          <w:lang w:val="en-US" w:eastAsia="zh-CN"/>
        </w:rPr>
        <w:tab/>
      </w:r>
      <w:r w:rsidRPr="00AF2B90">
        <w:rPr>
          <w:rFonts w:eastAsia="黑体" w:hAnsi="宋体"/>
          <w:sz w:val="21"/>
          <w:szCs w:val="21"/>
          <w:lang w:val="en-US" w:eastAsia="zh-CN"/>
        </w:rPr>
        <w:t>确保侵害妇女的种族主义、仇外主义和性别歧视行为得到彻底调查，对施害者起诉，作出与其罪行严重程度相称</w:t>
      </w:r>
      <w:r>
        <w:rPr>
          <w:rFonts w:eastAsia="黑体" w:hAnsi="宋体" w:hint="eastAsia"/>
          <w:sz w:val="21"/>
          <w:szCs w:val="21"/>
          <w:lang w:val="en-US" w:eastAsia="zh-CN"/>
        </w:rPr>
        <w:t>的</w:t>
      </w:r>
      <w:r w:rsidRPr="00AF2B90">
        <w:rPr>
          <w:rFonts w:eastAsia="黑体" w:hAnsi="宋体"/>
          <w:sz w:val="21"/>
          <w:szCs w:val="21"/>
          <w:lang w:val="en-US" w:eastAsia="zh-CN"/>
        </w:rPr>
        <w:t>判决；</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tab/>
      </w:r>
      <w:r w:rsidRPr="00AF2B90">
        <w:rPr>
          <w:rFonts w:eastAsia="黑体"/>
          <w:sz w:val="21"/>
          <w:szCs w:val="21"/>
          <w:lang w:val="en-US" w:eastAsia="zh-CN"/>
        </w:rPr>
        <w:t>(f)</w:t>
      </w:r>
      <w:r w:rsidRPr="00AF2B90">
        <w:rPr>
          <w:rFonts w:eastAsia="黑体"/>
          <w:sz w:val="21"/>
          <w:szCs w:val="21"/>
          <w:lang w:val="en-US" w:eastAsia="zh-CN"/>
        </w:rPr>
        <w:tab/>
      </w:r>
      <w:r w:rsidRPr="00AF2B90">
        <w:rPr>
          <w:rFonts w:eastAsia="黑体" w:hAnsi="宋体"/>
          <w:sz w:val="21"/>
          <w:szCs w:val="21"/>
          <w:lang w:val="en-US" w:eastAsia="zh-CN"/>
        </w:rPr>
        <w:t>加强为暴力受害妇女提供的保护和援助，包括加强庇护所的能力和确保它们能够满足受害人的需要并覆盖缔约国全境，分配充足的人力、技术和财政资源，并加强国家与向受害人提供庇护和复原服务的非政府组织的合作</w:t>
      </w:r>
      <w:r>
        <w:rPr>
          <w:rFonts w:eastAsia="黑体" w:hAnsi="宋体" w:hint="eastAsia"/>
          <w:sz w:val="21"/>
          <w:szCs w:val="21"/>
          <w:lang w:val="en-US" w:eastAsia="zh-CN"/>
        </w:rPr>
        <w:t>；</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(g)</w:t>
      </w:r>
      <w:r w:rsidRPr="00AF2B90">
        <w:rPr>
          <w:rFonts w:eastAsia="黑体"/>
          <w:sz w:val="21"/>
          <w:szCs w:val="21"/>
          <w:lang w:val="en-US" w:eastAsia="zh-CN"/>
        </w:rPr>
        <w:tab/>
      </w:r>
      <w:r w:rsidRPr="00AF2B90">
        <w:rPr>
          <w:rFonts w:eastAsia="黑体" w:hAnsi="宋体"/>
          <w:sz w:val="21"/>
          <w:szCs w:val="21"/>
          <w:lang w:val="en-US" w:eastAsia="zh-CN"/>
        </w:rPr>
        <w:t>收集有关家庭暴力和性暴力的统计数据，按性别、年龄、国籍以及受害人与施暴者之间的关系分列。</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人口贩运和意图营利使人卖淫</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29.</w:t>
      </w:r>
      <w:r w:rsidRPr="00AF2B90">
        <w:rPr>
          <w:rFonts w:eastAsia="宋体"/>
          <w:sz w:val="21"/>
          <w:szCs w:val="21"/>
          <w:lang w:eastAsia="zh-CN"/>
        </w:rPr>
        <w:tab/>
      </w:r>
      <w:r w:rsidRPr="00AF2B90">
        <w:rPr>
          <w:rFonts w:eastAsia="宋体" w:hAnsi="宋体"/>
          <w:sz w:val="21"/>
          <w:szCs w:val="21"/>
          <w:lang w:eastAsia="zh-CN"/>
        </w:rPr>
        <w:t>委员会欢迎通过了《</w:t>
      </w:r>
      <w:r w:rsidRPr="00AF2B90">
        <w:rPr>
          <w:rFonts w:eastAsia="宋体"/>
          <w:sz w:val="21"/>
          <w:szCs w:val="21"/>
          <w:lang w:eastAsia="zh-CN"/>
        </w:rPr>
        <w:t>2016-2021</w:t>
      </w:r>
      <w:r>
        <w:rPr>
          <w:rFonts w:eastAsia="宋体" w:hAnsi="宋体" w:hint="eastAsia"/>
          <w:sz w:val="21"/>
          <w:szCs w:val="21"/>
          <w:lang w:eastAsia="zh-CN"/>
        </w:rPr>
        <w:t>期间</w:t>
      </w:r>
      <w:r w:rsidRPr="00AF2B90">
        <w:rPr>
          <w:rFonts w:eastAsia="宋体" w:hAnsi="宋体"/>
          <w:sz w:val="21"/>
          <w:szCs w:val="21"/>
          <w:lang w:eastAsia="zh-CN"/>
        </w:rPr>
        <w:t>打击贩运和严重剥削人口国家行动计划》。然而，它关切的是向缔约国贩运妇女和女童以及随后的强迫卖淫的行为普遍存在，特别是在最近移民流动背景下。它还关切：</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没有全面关于贩运人口的对性别敏感的全面法律；</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人口贩运案件起诉率和定罪率低；</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没有适当机制可以用来确认并转送需要保护的人口贩运受害人，而它们往往被视为罪犯和非正常移民，而非受害人，并且关于按性别、年龄和国籍分列的人口贩运受害人数据不足；</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缺乏足够的资源，无法有效执行现有保护制度，保护人口贩运受害人，特别是属于人口贩运受害人或有可能成为人口贩运受害人的移民、难民和寻求庇护妇女。</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(e)</w:t>
      </w:r>
      <w:r w:rsidRPr="00AF2B90">
        <w:rPr>
          <w:rFonts w:eastAsia="宋体"/>
          <w:sz w:val="21"/>
          <w:szCs w:val="21"/>
          <w:lang w:eastAsia="zh-CN"/>
        </w:rPr>
        <w:tab/>
      </w:r>
      <w:r w:rsidRPr="00AF2B90">
        <w:rPr>
          <w:rFonts w:eastAsia="宋体" w:hAnsi="宋体"/>
          <w:sz w:val="21"/>
          <w:szCs w:val="21"/>
          <w:lang w:eastAsia="zh-CN"/>
        </w:rPr>
        <w:t>缺乏针对人口贩运受害人的复原和重新融入社会措施，如包括赔偿在内的获得咨询、医疗、心理支持和补救的措施；</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(f)</w:t>
      </w:r>
      <w:r w:rsidRPr="00AF2B90">
        <w:rPr>
          <w:rFonts w:eastAsia="宋体"/>
          <w:sz w:val="21"/>
          <w:szCs w:val="21"/>
          <w:lang w:eastAsia="zh-CN"/>
        </w:rPr>
        <w:tab/>
      </w:r>
      <w:r w:rsidRPr="00AF2B90">
        <w:rPr>
          <w:rFonts w:eastAsia="宋体" w:hAnsi="宋体"/>
          <w:sz w:val="21"/>
          <w:szCs w:val="21"/>
          <w:lang w:eastAsia="zh-CN"/>
        </w:rPr>
        <w:t>希望脱离卖淫业的妇女和女童没有其他收入机会。</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30.</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采取全面的和对性别敏感的反贩运立法规定；</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lastRenderedPageBreak/>
        <w:tab/>
        <w:t>(b)</w:t>
      </w:r>
      <w:r w:rsidRPr="00AF2B90">
        <w:rPr>
          <w:rFonts w:eastAsia="黑体"/>
          <w:sz w:val="21"/>
          <w:szCs w:val="21"/>
          <w:lang w:val="en-US" w:eastAsia="zh-CN"/>
        </w:rPr>
        <w:tab/>
      </w:r>
      <w:r w:rsidRPr="00AF2B90">
        <w:rPr>
          <w:rFonts w:eastAsia="黑体" w:hAnsi="宋体"/>
          <w:sz w:val="21"/>
          <w:szCs w:val="21"/>
          <w:lang w:val="en-US" w:eastAsia="zh-CN"/>
        </w:rPr>
        <w:t>调查、起诉和惩罚人口贩运的所有案件，特别是妇女和女童贩运的案件，并确保对贩运者判处与其罪行严重程度相称的惩罚；</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val="en-US" w:eastAsia="zh-CN"/>
        </w:rPr>
        <w:t>采取适当机制尽早确定和</w:t>
      </w:r>
      <w:r w:rsidRPr="00AF2B90">
        <w:rPr>
          <w:rFonts w:eastAsia="黑体" w:hAnsi="宋体"/>
          <w:sz w:val="21"/>
          <w:szCs w:val="21"/>
          <w:lang w:eastAsia="zh-CN"/>
        </w:rPr>
        <w:t>确认并转送人口贩运受害人，以便她们能够在乘船到达后以及在整个庇护程序期间获得协调一致的保护和援助；</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分配足够的资源，以有效持续地执行保护人口贩运受害人的现有保护制度，特别是属于人口贩运受害人或有可能成为人口贩运受害人的移民、难民和寻求庇护妇女；</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(e)</w:t>
      </w:r>
      <w:r w:rsidRPr="00AF2B90">
        <w:rPr>
          <w:rFonts w:eastAsia="黑体"/>
          <w:sz w:val="21"/>
          <w:szCs w:val="21"/>
          <w:lang w:val="en-US" w:eastAsia="zh-CN"/>
        </w:rPr>
        <w:tab/>
      </w:r>
      <w:r w:rsidRPr="00AF2B90">
        <w:rPr>
          <w:rFonts w:eastAsia="黑体" w:hAnsi="宋体"/>
          <w:sz w:val="21"/>
          <w:szCs w:val="21"/>
          <w:lang w:val="en-US" w:eastAsia="zh-CN"/>
        </w:rPr>
        <w:t>防止和打击与人口贩运有关的其他形式的剥削行为，特别是性剥削和强迫劳动、奴役和现代形式的奴役；</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tab/>
      </w:r>
      <w:r w:rsidRPr="00AF2B90">
        <w:rPr>
          <w:rFonts w:eastAsia="黑体"/>
          <w:sz w:val="21"/>
          <w:szCs w:val="21"/>
          <w:lang w:val="en-US" w:eastAsia="zh-CN"/>
        </w:rPr>
        <w:t>(f)</w:t>
      </w:r>
      <w:r w:rsidRPr="00AF2B90">
        <w:rPr>
          <w:rFonts w:eastAsia="黑体"/>
          <w:sz w:val="21"/>
          <w:szCs w:val="21"/>
          <w:lang w:val="en-US" w:eastAsia="zh-CN"/>
        </w:rPr>
        <w:tab/>
      </w:r>
      <w:r w:rsidRPr="00AF2B90">
        <w:rPr>
          <w:rFonts w:eastAsia="黑体" w:hAnsi="宋体"/>
          <w:sz w:val="21"/>
          <w:szCs w:val="21"/>
          <w:lang w:eastAsia="zh-CN"/>
        </w:rPr>
        <w:t>为人口贩运受害人提供充分获得保健和咨询的机会，并通过向社会工作中心提供人力、技术和财政资源和有针对性地培训社会工作者，加强这类服务；</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(g)</w:t>
      </w:r>
      <w:r w:rsidRPr="00AF2B90">
        <w:rPr>
          <w:rFonts w:eastAsia="黑体"/>
          <w:sz w:val="21"/>
          <w:szCs w:val="21"/>
          <w:lang w:val="en-US" w:eastAsia="zh-CN"/>
        </w:rPr>
        <w:tab/>
      </w:r>
      <w:r w:rsidRPr="00AF2B90">
        <w:rPr>
          <w:rFonts w:eastAsia="黑体" w:hAnsi="宋体"/>
          <w:sz w:val="21"/>
          <w:szCs w:val="21"/>
          <w:lang w:val="en-US" w:eastAsia="zh-CN"/>
        </w:rPr>
        <w:t>确保人口贩运的所有受害人，不分种族、国籍或社会背景和法律地位，均获得有效的保护和补救，包括复原和补偿；</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(h)</w:t>
      </w:r>
      <w:r w:rsidRPr="00AF2B90">
        <w:rPr>
          <w:rFonts w:eastAsia="黑体"/>
          <w:sz w:val="21"/>
          <w:szCs w:val="21"/>
          <w:lang w:val="en-US" w:eastAsia="zh-CN"/>
        </w:rPr>
        <w:tab/>
      </w:r>
      <w:r w:rsidRPr="00AF2B90">
        <w:rPr>
          <w:rFonts w:eastAsia="黑体" w:hAnsi="宋体"/>
          <w:sz w:val="21"/>
          <w:szCs w:val="21"/>
          <w:lang w:eastAsia="zh-CN"/>
        </w:rPr>
        <w:t>加强为希望脱离卖淫业的妇女和女童提供的援助，包括为她们提供替代创收机会，并加大努力减少卖淫需求和提高顾客对提供这些服务的妇女和女童的绝望处境的认识；</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w:t>
      </w:r>
      <w:proofErr w:type="spellStart"/>
      <w:r w:rsidRPr="00AF2B90">
        <w:rPr>
          <w:rFonts w:eastAsia="黑体"/>
          <w:sz w:val="21"/>
          <w:szCs w:val="21"/>
          <w:lang w:val="en-US" w:eastAsia="zh-CN"/>
        </w:rPr>
        <w:t>i</w:t>
      </w:r>
      <w:proofErr w:type="spellEnd"/>
      <w:r w:rsidRPr="00AF2B90">
        <w:rPr>
          <w:rFonts w:eastAsia="黑体"/>
          <w:sz w:val="21"/>
          <w:szCs w:val="21"/>
          <w:lang w:val="en-US" w:eastAsia="zh-CN"/>
        </w:rPr>
        <w:t>)</w:t>
      </w:r>
      <w:r w:rsidRPr="00AF2B90">
        <w:rPr>
          <w:rFonts w:eastAsia="黑体"/>
          <w:sz w:val="21"/>
          <w:szCs w:val="21"/>
          <w:lang w:val="en-US" w:eastAsia="zh-CN"/>
        </w:rPr>
        <w:tab/>
      </w:r>
      <w:r w:rsidRPr="00AF2B90">
        <w:rPr>
          <w:rFonts w:eastAsia="黑体" w:hAnsi="宋体"/>
          <w:sz w:val="21"/>
          <w:szCs w:val="21"/>
          <w:lang w:val="en-US" w:eastAsia="zh-CN"/>
        </w:rPr>
        <w:t>加强措施，消除人口贩运的根源，如贫穷以及妇女和女童失业率偏高；</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(j)</w:t>
      </w:r>
      <w:r w:rsidRPr="00AF2B90">
        <w:rPr>
          <w:rFonts w:eastAsia="黑体"/>
          <w:sz w:val="21"/>
          <w:szCs w:val="21"/>
          <w:lang w:val="en-US" w:eastAsia="zh-CN"/>
        </w:rPr>
        <w:tab/>
      </w:r>
      <w:r w:rsidRPr="00AF2B90">
        <w:rPr>
          <w:rFonts w:eastAsia="黑体" w:hAnsi="宋体"/>
          <w:sz w:val="21"/>
          <w:szCs w:val="21"/>
          <w:lang w:val="en-US" w:eastAsia="zh-CN"/>
        </w:rPr>
        <w:t>寻求与原籍国、过境国和目的地国开展国际、区域和双边合作，包括通过交流信息和统一程序来阻止贩运行为并将贩运者绳之以法。</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参与政治和公共生活</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31.</w:t>
      </w:r>
      <w:r w:rsidRPr="00AF2B90">
        <w:rPr>
          <w:rFonts w:eastAsia="宋体"/>
          <w:sz w:val="21"/>
          <w:szCs w:val="21"/>
          <w:lang w:eastAsia="zh-CN"/>
        </w:rPr>
        <w:tab/>
      </w:r>
      <w:r w:rsidRPr="00AF2B90">
        <w:rPr>
          <w:rFonts w:eastAsia="宋体" w:hAnsi="宋体"/>
          <w:sz w:val="21"/>
          <w:szCs w:val="21"/>
          <w:lang w:eastAsia="zh-CN"/>
        </w:rPr>
        <w:t>委员会注意到缔约国为增加妇女参与政治和公共生活而采取的立法措施，包括规定国家、地方和欧洲选举的强制性配额以及上市公司和国有公司董事会的强制性配额，妇女代表的比例因此逐步增加，在国家议会中占到</w:t>
      </w:r>
      <w:r w:rsidRPr="00AF2B90">
        <w:rPr>
          <w:rFonts w:eastAsia="宋体"/>
          <w:sz w:val="21"/>
          <w:szCs w:val="21"/>
          <w:lang w:eastAsia="zh-CN"/>
        </w:rPr>
        <w:t>30.1</w:t>
      </w:r>
      <w:r>
        <w:rPr>
          <w:rFonts w:eastAsia="宋体" w:hAnsi="宋体"/>
          <w:sz w:val="21"/>
          <w:szCs w:val="21"/>
          <w:lang w:eastAsia="zh-CN"/>
        </w:rPr>
        <w:t>%</w:t>
      </w:r>
      <w:r w:rsidRPr="00AF2B90">
        <w:rPr>
          <w:rFonts w:eastAsia="宋体" w:hAnsi="宋体"/>
          <w:sz w:val="21"/>
          <w:szCs w:val="21"/>
          <w:lang w:eastAsia="zh-CN"/>
        </w:rPr>
        <w:t>、在区政府为</w:t>
      </w:r>
      <w:r w:rsidRPr="00AF2B90">
        <w:rPr>
          <w:rFonts w:eastAsia="宋体"/>
          <w:sz w:val="21"/>
          <w:szCs w:val="21"/>
          <w:lang w:eastAsia="zh-CN"/>
        </w:rPr>
        <w:t>35</w:t>
      </w:r>
      <w:r>
        <w:rPr>
          <w:rFonts w:eastAsia="宋体" w:hAnsi="宋体"/>
          <w:sz w:val="21"/>
          <w:szCs w:val="21"/>
          <w:lang w:eastAsia="zh-CN"/>
        </w:rPr>
        <w:t>%</w:t>
      </w:r>
      <w:r w:rsidRPr="00AF2B90">
        <w:rPr>
          <w:rFonts w:eastAsia="宋体" w:hAnsi="宋体"/>
          <w:sz w:val="21"/>
          <w:szCs w:val="21"/>
          <w:lang w:eastAsia="zh-CN"/>
        </w:rPr>
        <w:t>，在欧洲议会为</w:t>
      </w:r>
      <w:r w:rsidRPr="00AF2B90">
        <w:rPr>
          <w:rFonts w:eastAsia="宋体"/>
          <w:sz w:val="21"/>
          <w:szCs w:val="21"/>
          <w:lang w:eastAsia="zh-CN"/>
        </w:rPr>
        <w:t>39.7</w:t>
      </w:r>
      <w:r>
        <w:rPr>
          <w:rFonts w:eastAsia="宋体" w:hAnsi="宋体"/>
          <w:sz w:val="21"/>
          <w:szCs w:val="21"/>
          <w:lang w:eastAsia="zh-CN"/>
        </w:rPr>
        <w:t>%</w:t>
      </w:r>
      <w:r w:rsidRPr="00AF2B90">
        <w:rPr>
          <w:rFonts w:eastAsia="宋体" w:hAnsi="宋体"/>
          <w:sz w:val="21"/>
          <w:szCs w:val="21"/>
          <w:lang w:eastAsia="zh-CN"/>
        </w:rPr>
        <w:t>，在上市公司和国有公司董事会为</w:t>
      </w:r>
      <w:r w:rsidRPr="00AF2B90">
        <w:rPr>
          <w:rFonts w:eastAsia="宋体"/>
          <w:sz w:val="21"/>
          <w:szCs w:val="21"/>
          <w:lang w:eastAsia="zh-CN"/>
        </w:rPr>
        <w:t>27.6</w:t>
      </w:r>
      <w:r>
        <w:rPr>
          <w:rFonts w:eastAsia="宋体" w:hAnsi="宋体"/>
          <w:sz w:val="21"/>
          <w:szCs w:val="21"/>
          <w:lang w:eastAsia="zh-CN"/>
        </w:rPr>
        <w:t>%</w:t>
      </w:r>
      <w:r w:rsidRPr="00AF2B90">
        <w:rPr>
          <w:rFonts w:eastAsia="宋体" w:hAnsi="宋体"/>
          <w:sz w:val="21"/>
          <w:szCs w:val="21"/>
          <w:lang w:eastAsia="zh-CN"/>
        </w:rPr>
        <w:t>。然而，委员会仍然关切的是：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缔约国妇女在国家议会和地区议会以及在部长级职位、司法部门、董事会以及公共行政部门中的高级职位中，包括在外交职务中的代表性仍然不足。</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参与政治的妇女往往因为自身的性别受到性别攻击和歧视，承受政党、媒体以及选民对其持有的负面文化态度和性别</w:t>
      </w:r>
      <w:r>
        <w:rPr>
          <w:rFonts w:eastAsia="宋体" w:hAnsi="宋体" w:hint="eastAsia"/>
          <w:sz w:val="21"/>
          <w:szCs w:val="21"/>
          <w:lang w:eastAsia="zh-CN"/>
        </w:rPr>
        <w:t>陈规</w:t>
      </w:r>
      <w:r w:rsidRPr="00AF2B90">
        <w:rPr>
          <w:rFonts w:eastAsia="宋体" w:hAnsi="宋体"/>
          <w:sz w:val="21"/>
          <w:szCs w:val="21"/>
          <w:lang w:eastAsia="zh-CN"/>
        </w:rPr>
        <w:t>定型观念。</w:t>
      </w:r>
    </w:p>
    <w:p w:rsidR="00523EC6" w:rsidRPr="00AF2B90" w:rsidRDefault="00523EC6" w:rsidP="00523EC6">
      <w:pPr>
        <w:pStyle w:val="SingleTxtG"/>
        <w:spacing w:after="140" w:line="320" w:lineRule="exact"/>
        <w:ind w:left="1264" w:right="1264"/>
        <w:rPr>
          <w:rFonts w:eastAsia="黑体"/>
          <w:sz w:val="21"/>
          <w:szCs w:val="21"/>
          <w:lang w:eastAsia="zh-CN"/>
        </w:rPr>
      </w:pPr>
      <w:r w:rsidRPr="00AF2B90">
        <w:rPr>
          <w:rFonts w:eastAsia="宋体"/>
          <w:sz w:val="21"/>
          <w:szCs w:val="21"/>
          <w:lang w:eastAsia="zh-CN"/>
        </w:rPr>
        <w:t>32.</w:t>
      </w:r>
      <w:r w:rsidRPr="00AF2B90">
        <w:rPr>
          <w:rFonts w:eastAsia="宋体"/>
          <w:sz w:val="21"/>
          <w:szCs w:val="21"/>
          <w:lang w:eastAsia="zh-CN"/>
        </w:rPr>
        <w:tab/>
      </w:r>
      <w:r w:rsidRPr="00AF2B90">
        <w:rPr>
          <w:rFonts w:eastAsia="黑体" w:hAnsi="宋体"/>
          <w:sz w:val="21"/>
          <w:szCs w:val="21"/>
          <w:lang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(a)</w:t>
      </w:r>
      <w:r w:rsidRPr="00AF2B90">
        <w:rPr>
          <w:rFonts w:eastAsia="黑体"/>
          <w:sz w:val="21"/>
          <w:szCs w:val="21"/>
          <w:lang w:eastAsia="zh-CN"/>
        </w:rPr>
        <w:tab/>
      </w:r>
      <w:r w:rsidRPr="00AF2B90">
        <w:rPr>
          <w:rFonts w:eastAsia="黑体" w:hAnsi="宋体"/>
          <w:sz w:val="21"/>
          <w:szCs w:val="21"/>
          <w:lang w:eastAsia="zh-CN"/>
        </w:rPr>
        <w:t>加强妇女在政治生活决策职位中的代表性，包括在部长级职位、司法部门、董事会以及公共行政部门的高级职位中，包括在外交职务中的代表性，并为</w:t>
      </w:r>
      <w:r w:rsidRPr="00AF2B90">
        <w:rPr>
          <w:rFonts w:eastAsia="黑体" w:hAnsi="宋体"/>
          <w:sz w:val="21"/>
          <w:szCs w:val="21"/>
          <w:lang w:eastAsia="zh-CN"/>
        </w:rPr>
        <w:lastRenderedPageBreak/>
        <w:t>此根据《公约》第四条第</w:t>
      </w:r>
      <w:r w:rsidRPr="00AF2B90">
        <w:rPr>
          <w:rFonts w:eastAsia="黑体"/>
          <w:sz w:val="21"/>
          <w:szCs w:val="21"/>
          <w:lang w:eastAsia="zh-CN"/>
        </w:rPr>
        <w:t>1</w:t>
      </w:r>
      <w:r w:rsidRPr="00AF2B90">
        <w:rPr>
          <w:rFonts w:eastAsia="黑体" w:hAnsi="宋体"/>
          <w:sz w:val="21"/>
          <w:szCs w:val="21"/>
          <w:lang w:eastAsia="zh-CN"/>
        </w:rPr>
        <w:t>款和委员会关于暂行特别措施的第</w:t>
      </w:r>
      <w:r w:rsidRPr="00AF2B90">
        <w:rPr>
          <w:rFonts w:eastAsia="黑体"/>
          <w:sz w:val="21"/>
          <w:szCs w:val="21"/>
          <w:lang w:eastAsia="zh-CN"/>
        </w:rPr>
        <w:t>25(2004)</w:t>
      </w:r>
      <w:r w:rsidRPr="00AF2B90">
        <w:rPr>
          <w:rFonts w:eastAsia="黑体" w:hAnsi="宋体"/>
          <w:sz w:val="21"/>
          <w:szCs w:val="21"/>
          <w:lang w:eastAsia="zh-CN"/>
        </w:rPr>
        <w:t>号一般性建议采取措施，包括暂行特别措施，例如采取性别均等制度，以加速征聘和任命妇女担任公共行政部门的高级职位；</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(b)</w:t>
      </w:r>
      <w:r w:rsidRPr="00AF2B90">
        <w:rPr>
          <w:rFonts w:eastAsia="黑体"/>
          <w:sz w:val="21"/>
          <w:szCs w:val="21"/>
          <w:lang w:eastAsia="zh-CN"/>
        </w:rPr>
        <w:tab/>
      </w:r>
      <w:r w:rsidRPr="00AF2B90">
        <w:rPr>
          <w:rFonts w:eastAsia="黑体" w:hAnsi="宋体"/>
          <w:sz w:val="21"/>
          <w:szCs w:val="21"/>
          <w:lang w:eastAsia="zh-CN"/>
        </w:rPr>
        <w:t>在选举法改革中将性别均等原则引入议会两院；</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(c)</w:t>
      </w:r>
      <w:r w:rsidRPr="00AF2B90">
        <w:rPr>
          <w:rFonts w:eastAsia="黑体"/>
          <w:sz w:val="21"/>
          <w:szCs w:val="21"/>
          <w:lang w:eastAsia="zh-CN"/>
        </w:rPr>
        <w:tab/>
      </w:r>
      <w:r w:rsidRPr="00AF2B90">
        <w:rPr>
          <w:rFonts w:eastAsia="黑体" w:hAnsi="宋体"/>
          <w:sz w:val="21"/>
          <w:szCs w:val="21"/>
          <w:lang w:eastAsia="zh-CN"/>
        </w:rPr>
        <w:t>加强针对政治家、新闻记者、教师和一般公众的提高认识运动，以增强这样的理解，即妇女在与男子平等的基础上充分、平等、自由和民主地参与政治和公共生活是充分落实妇女人权的要求；</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(d)</w:t>
      </w:r>
      <w:r w:rsidRPr="00AF2B90">
        <w:rPr>
          <w:rFonts w:eastAsia="黑体"/>
          <w:sz w:val="21"/>
          <w:szCs w:val="21"/>
          <w:lang w:eastAsia="zh-CN"/>
        </w:rPr>
        <w:tab/>
      </w:r>
      <w:r w:rsidRPr="00AF2B90">
        <w:rPr>
          <w:rFonts w:eastAsia="黑体" w:hAnsi="宋体"/>
          <w:sz w:val="21"/>
          <w:szCs w:val="21"/>
          <w:lang w:eastAsia="zh-CN"/>
        </w:rPr>
        <w:t>继续为妇女提供领导技能、竞选和选区建设方面的培训，使她们为成为候选人</w:t>
      </w:r>
      <w:r>
        <w:rPr>
          <w:rFonts w:eastAsia="黑体" w:hAnsi="宋体" w:hint="eastAsia"/>
          <w:sz w:val="21"/>
          <w:szCs w:val="21"/>
          <w:lang w:eastAsia="zh-CN"/>
        </w:rPr>
        <w:t>做</w:t>
      </w:r>
      <w:r w:rsidRPr="00AF2B90">
        <w:rPr>
          <w:rFonts w:eastAsia="黑体" w:hAnsi="宋体"/>
          <w:sz w:val="21"/>
          <w:szCs w:val="21"/>
          <w:lang w:eastAsia="zh-CN"/>
        </w:rPr>
        <w:t>好准备；</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(e)</w:t>
      </w:r>
      <w:r w:rsidRPr="00AF2B90">
        <w:rPr>
          <w:rFonts w:eastAsia="黑体"/>
          <w:sz w:val="21"/>
          <w:szCs w:val="21"/>
          <w:lang w:eastAsia="zh-CN"/>
        </w:rPr>
        <w:tab/>
      </w:r>
      <w:r w:rsidRPr="00AF2B90">
        <w:rPr>
          <w:rFonts w:eastAsia="黑体" w:hAnsi="宋体"/>
          <w:sz w:val="21"/>
          <w:szCs w:val="21"/>
          <w:lang w:eastAsia="zh-CN"/>
        </w:rPr>
        <w:t>考虑通过具体立法打击政治骚扰和性别歧视攻击。</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国籍</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33.</w:t>
      </w:r>
      <w:r w:rsidRPr="00AF2B90">
        <w:rPr>
          <w:rFonts w:eastAsia="宋体"/>
          <w:sz w:val="21"/>
          <w:szCs w:val="21"/>
          <w:lang w:eastAsia="zh-CN"/>
        </w:rPr>
        <w:tab/>
      </w:r>
      <w:r w:rsidRPr="00AF2B90">
        <w:rPr>
          <w:rFonts w:eastAsia="宋体" w:hAnsi="宋体"/>
          <w:sz w:val="21"/>
          <w:szCs w:val="21"/>
          <w:lang w:eastAsia="zh-CN"/>
        </w:rPr>
        <w:t>委员会关切的是，由于各种因素，无国籍状态给妇女和儿童带来了严重的影响，影响到无国籍人员的事实处境，包括据称的大量无国籍罗姆族儿童。委员会关切地注意到：</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确定无国籍人员，特别是无国籍妇女的国家框架中存在结构性差距；</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由于举证标准过高，且程序费用过高，妇女可能会因文盲或缺少资源等原因无法达到标准，在获得身份确定的机会方面受限；</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国籍法仅适用于父母被正式承认为无国籍人员的儿童，而这种身份的获取对妇女来说可能特别麻烦；</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由于法律的适用不朔及既往，父母在子女出生后被正式承认为无国籍人员并不意味着子女将获得意大利国籍，这会过度影响到单亲母亲的子女。</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val="en-US" w:eastAsia="zh-CN"/>
        </w:rPr>
        <w:t>34.</w:t>
      </w:r>
      <w:r w:rsidRPr="00AF2B90">
        <w:rPr>
          <w:rFonts w:eastAsia="宋体"/>
          <w:sz w:val="21"/>
          <w:szCs w:val="21"/>
          <w:lang w:val="en-US" w:eastAsia="zh-CN"/>
        </w:rPr>
        <w:tab/>
      </w:r>
      <w:r w:rsidRPr="00AF2B90">
        <w:rPr>
          <w:rFonts w:eastAsia="黑体" w:hAnsi="宋体"/>
          <w:sz w:val="21"/>
          <w:szCs w:val="21"/>
          <w:lang w:val="en-US" w:eastAsia="zh-CN"/>
        </w:rPr>
        <w:t>委员会建议缔约国加速通过第</w:t>
      </w:r>
      <w:r w:rsidRPr="00AF2B90">
        <w:rPr>
          <w:rFonts w:eastAsia="黑体"/>
          <w:sz w:val="21"/>
          <w:szCs w:val="21"/>
          <w:lang w:val="en-US" w:eastAsia="zh-CN"/>
        </w:rPr>
        <w:t>2148</w:t>
      </w:r>
      <w:r w:rsidRPr="00AF2B90">
        <w:rPr>
          <w:rFonts w:eastAsia="黑体" w:hAnsi="宋体"/>
          <w:sz w:val="21"/>
          <w:szCs w:val="21"/>
          <w:lang w:val="en-US" w:eastAsia="zh-CN"/>
        </w:rPr>
        <w:t>号法</w:t>
      </w:r>
      <w:r w:rsidRPr="00561B85">
        <w:rPr>
          <w:rFonts w:eastAsia="黑体" w:hAnsi="宋体"/>
          <w:sz w:val="21"/>
          <w:szCs w:val="21"/>
          <w:lang w:val="en-US" w:eastAsia="zh-CN"/>
        </w:rPr>
        <w:t>案</w:t>
      </w:r>
      <w:r w:rsidRPr="00AF2B90">
        <w:rPr>
          <w:rFonts w:eastAsia="黑体" w:hAnsi="宋体"/>
          <w:sz w:val="21"/>
          <w:szCs w:val="21"/>
          <w:lang w:val="en-US" w:eastAsia="zh-CN"/>
        </w:rPr>
        <w:t>，并进行以下事项：</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消除程序性障碍和困难，完善与无国籍人员，特别是与确认和保护妇女和女童有关的程序；</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为无国籍人员获得国籍提供便利，特别要侧重于妇女和儿童；</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val="en-US" w:eastAsia="zh-CN"/>
        </w:rPr>
        <w:t>使未获得正式承认的无国籍人员的子女，包括单身母亲的子女能够获得意大利国籍；</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确保</w:t>
      </w:r>
      <w:r w:rsidRPr="00AF2B90">
        <w:rPr>
          <w:rFonts w:eastAsia="黑体" w:hAnsi="宋体"/>
          <w:sz w:val="21"/>
          <w:szCs w:val="21"/>
          <w:lang w:eastAsia="zh-CN"/>
        </w:rPr>
        <w:t>国籍法的适用朔及既往，以便父母在其出生后被正式承认为无国籍人员的儿童能够获得意大利国籍；</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(e)</w:t>
      </w:r>
      <w:r w:rsidRPr="00AF2B90">
        <w:rPr>
          <w:rFonts w:eastAsia="黑体"/>
          <w:sz w:val="21"/>
          <w:szCs w:val="21"/>
          <w:lang w:val="en-US" w:eastAsia="zh-CN"/>
        </w:rPr>
        <w:tab/>
      </w:r>
      <w:r w:rsidRPr="00AF2B90">
        <w:rPr>
          <w:rFonts w:eastAsia="黑体" w:hAnsi="宋体"/>
          <w:sz w:val="21"/>
          <w:szCs w:val="21"/>
          <w:lang w:val="en-US" w:eastAsia="zh-CN"/>
        </w:rPr>
        <w:t>确保在进行无国籍状态确定程序中遵循关于程序保障的国际标准，并以对性别敏感的方式适用它们。</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lastRenderedPageBreak/>
        <w:tab/>
      </w:r>
      <w:r w:rsidRPr="00AF2B90">
        <w:rPr>
          <w:rFonts w:eastAsia="黑体"/>
          <w:b w:val="0"/>
          <w:sz w:val="21"/>
          <w:szCs w:val="21"/>
          <w:lang w:eastAsia="zh-CN"/>
        </w:rPr>
        <w:tab/>
      </w:r>
      <w:r w:rsidRPr="00AF2B90">
        <w:rPr>
          <w:rFonts w:eastAsia="黑体" w:hAnsi="宋体"/>
          <w:b w:val="0"/>
          <w:sz w:val="21"/>
          <w:szCs w:val="21"/>
          <w:lang w:eastAsia="zh-CN"/>
        </w:rPr>
        <w:t>教育</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35.</w:t>
      </w:r>
      <w:r w:rsidRPr="00AF2B90">
        <w:rPr>
          <w:rFonts w:eastAsia="宋体"/>
          <w:sz w:val="21"/>
          <w:szCs w:val="21"/>
          <w:lang w:eastAsia="zh-CN"/>
        </w:rPr>
        <w:tab/>
      </w:r>
      <w:r w:rsidRPr="00AF2B90">
        <w:rPr>
          <w:rFonts w:eastAsia="宋体" w:hAnsi="宋体"/>
          <w:sz w:val="21"/>
          <w:szCs w:val="21"/>
          <w:lang w:eastAsia="zh-CN"/>
        </w:rPr>
        <w:t>委员会对各级教育，特别是高等教育中妇女和女童的高入学率表示欢迎。委员会还欢迎为确保性别平等原则渗透到各级教育和克服带有性别</w:t>
      </w:r>
      <w:r>
        <w:rPr>
          <w:rFonts w:eastAsia="宋体" w:hAnsi="宋体" w:hint="eastAsia"/>
          <w:sz w:val="21"/>
          <w:szCs w:val="21"/>
          <w:lang w:eastAsia="zh-CN"/>
        </w:rPr>
        <w:t>陈规</w:t>
      </w:r>
      <w:r w:rsidRPr="00AF2B90">
        <w:rPr>
          <w:rFonts w:eastAsia="宋体" w:hAnsi="宋体"/>
          <w:sz w:val="21"/>
          <w:szCs w:val="21"/>
          <w:lang w:eastAsia="zh-CN"/>
        </w:rPr>
        <w:t>定型观念的教育和职业选择而采取的措施。然而，委员会关切的是：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妇女仍然集中在传统上由女性占主导地位的学习领域和职业道路，而她们在职业培训以及在包括数学、信息技术和科学在内的高等教育的某些领域代表性不足；</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妇女在参与自然科学和技术相关研究方面，继续存在横向隔离；</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学校教育中缺乏关于性和生殖健康权利的强制性全面适龄教育；</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罗姆族、辛提族和卡米南提族女童中的上学率低、辍学率高，并且没有为《</w:t>
      </w:r>
      <w:r w:rsidRPr="00AF2B90">
        <w:rPr>
          <w:rFonts w:eastAsia="宋体"/>
          <w:sz w:val="21"/>
          <w:szCs w:val="21"/>
          <w:lang w:eastAsia="zh-CN"/>
        </w:rPr>
        <w:t>2012-2020</w:t>
      </w:r>
      <w:r w:rsidRPr="00AF2B90">
        <w:rPr>
          <w:rFonts w:eastAsia="宋体" w:hAnsi="宋体"/>
          <w:sz w:val="21"/>
          <w:szCs w:val="21"/>
          <w:lang w:eastAsia="zh-CN"/>
        </w:rPr>
        <w:t>年期间将罗姆族、辛提族和卡米南提族社区纳入教育的国家战略》的执行开展性别影响评估。</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36.</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eastAsia="zh-CN"/>
        </w:rPr>
        <w:t>消除可能阻碍女童进入包括数学、信息技术和科学在内传统上由男性占主导地位的学习领域的歧视性陈规定型观念和结构性障碍；</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确保从教课书中消除所有性别陈规定型观念，并确保学校大纲、学术课程和教师职业培训涵盖妇女权利和性别平等原则；</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val="en-US" w:eastAsia="zh-CN"/>
        </w:rPr>
        <w:t>根据世界卫生组织欧洲区域办事处和德国联邦卫生教育中心联合制订的《欧洲性教育标准》，</w:t>
      </w:r>
      <w:r>
        <w:rPr>
          <w:rFonts w:eastAsia="黑体" w:hAnsi="宋体" w:hint="eastAsia"/>
          <w:sz w:val="21"/>
          <w:szCs w:val="21"/>
          <w:lang w:val="en-US" w:eastAsia="zh-CN"/>
        </w:rPr>
        <w:t>确定</w:t>
      </w:r>
      <w:r w:rsidRPr="00AF2B90">
        <w:rPr>
          <w:rFonts w:eastAsia="黑体" w:hAnsi="宋体"/>
          <w:sz w:val="21"/>
          <w:szCs w:val="21"/>
          <w:lang w:val="en-US" w:eastAsia="zh-CN"/>
        </w:rPr>
        <w:t>和执行《情感教育、性教育和生殖健康教育国家指导方针》，以作为正规学校课程的一部分，为男女儿童提供关于性和生殖健康权利的强制性全面适龄教育，包括有关负责任的性行为、预防早孕和性传播感染的教育；</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采取有效措施，使罗姆族女童留在学校，并通过奖学金以及免费提供教科书等暂行特别措施，提高她们的入学率，并为</w:t>
      </w:r>
      <w:r w:rsidRPr="00AF2B90">
        <w:rPr>
          <w:rFonts w:eastAsia="黑体" w:hAnsi="宋体"/>
          <w:sz w:val="21"/>
          <w:szCs w:val="21"/>
          <w:lang w:eastAsia="zh-CN"/>
        </w:rPr>
        <w:t>将罗姆族、辛提族和卡米南提族社区纳入教育的</w:t>
      </w:r>
      <w:r w:rsidRPr="00AF2B90">
        <w:rPr>
          <w:rFonts w:eastAsia="黑体" w:hAnsi="宋体"/>
          <w:sz w:val="21"/>
          <w:szCs w:val="21"/>
          <w:lang w:val="en-US" w:eastAsia="zh-CN"/>
        </w:rPr>
        <w:t>国家战略的执行开展性别影响评估。</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就业</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37.</w:t>
      </w:r>
      <w:r w:rsidRPr="00AF2B90">
        <w:rPr>
          <w:rFonts w:eastAsia="宋体"/>
          <w:sz w:val="21"/>
          <w:szCs w:val="21"/>
          <w:lang w:eastAsia="zh-CN"/>
        </w:rPr>
        <w:tab/>
      </w:r>
      <w:r w:rsidRPr="00AF2B90">
        <w:rPr>
          <w:rFonts w:eastAsia="宋体" w:hAnsi="宋体"/>
          <w:sz w:val="21"/>
          <w:szCs w:val="21"/>
          <w:lang w:eastAsia="zh-CN"/>
        </w:rPr>
        <w:t>委员会欢迎缔约国为支持妇女参与劳动力市场和促进家庭与工作生活的协调以及鼓励分担育儿责任而采取的措施。然而，令人关切的是，为应对经济和金融危机而采取的紧缩措施给妇女，特别是残疾妇女、老年妇女和家庭女工造成了严重和不成比例的影响。妇女面临失业、社会保障和赡养金削减、薪金冻结、全职工作转为兼职且工作超时的问题。委员会特别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lastRenderedPageBreak/>
        <w:tab/>
        <w:t>(a)</w:t>
      </w:r>
      <w:r w:rsidRPr="00AF2B90">
        <w:rPr>
          <w:rFonts w:eastAsia="宋体"/>
          <w:sz w:val="21"/>
          <w:szCs w:val="21"/>
          <w:lang w:eastAsia="zh-CN"/>
        </w:rPr>
        <w:tab/>
      </w:r>
      <w:r w:rsidRPr="00AF2B90">
        <w:rPr>
          <w:rFonts w:eastAsia="宋体" w:hAnsi="宋体"/>
          <w:sz w:val="21"/>
          <w:szCs w:val="21"/>
          <w:lang w:eastAsia="zh-CN"/>
        </w:rPr>
        <w:t>妇女，特别是生活在南方的青年和受过高等教育的妇女中的失业率过高，妇女企业家相较于男性企业家的比例偏低；</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劳动力市场被分割，继续存在横向及纵向职业隔离，妇女集中在兼职工作和低收入工作领域；</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公共及私营部门的工资持续存在性别差距，这对妇女的职业发展和养恤金福利产生了不利影响；</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大量妇女产后离开了劳动力队伍，重新进入劳动力市场困难重重，此外，虽然进行了改革，但男子休育儿假的情况仍然很少；</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(e)</w:t>
      </w:r>
      <w:r w:rsidRPr="00AF2B90">
        <w:rPr>
          <w:rFonts w:eastAsia="宋体"/>
          <w:sz w:val="21"/>
          <w:szCs w:val="21"/>
          <w:lang w:eastAsia="zh-CN"/>
        </w:rPr>
        <w:tab/>
      </w:r>
      <w:r w:rsidRPr="00AF2B90">
        <w:rPr>
          <w:rFonts w:eastAsia="宋体" w:hAnsi="宋体"/>
          <w:sz w:val="21"/>
          <w:szCs w:val="21"/>
          <w:lang w:eastAsia="zh-CN"/>
        </w:rPr>
        <w:t>生活在农村地区的妇女、移民、难民和寻求庇护妇女、罗姆族、辛提族和卡米南提族妇女以及残疾妇女进入劳动力市场的机会有限。</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38.</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采取措施，包括根据《公约》第四条第</w:t>
      </w:r>
      <w:r w:rsidRPr="00AF2B90">
        <w:rPr>
          <w:rFonts w:eastAsia="黑体"/>
          <w:sz w:val="21"/>
          <w:szCs w:val="21"/>
          <w:lang w:val="en-US" w:eastAsia="zh-CN"/>
        </w:rPr>
        <w:t>1</w:t>
      </w:r>
      <w:r w:rsidRPr="00AF2B90">
        <w:rPr>
          <w:rFonts w:eastAsia="黑体" w:hAnsi="宋体"/>
          <w:sz w:val="21"/>
          <w:szCs w:val="21"/>
          <w:lang w:val="en-US" w:eastAsia="zh-CN"/>
        </w:rPr>
        <w:t>款和委员会第</w:t>
      </w:r>
      <w:r w:rsidRPr="00AF2B90">
        <w:rPr>
          <w:rFonts w:eastAsia="黑体"/>
          <w:sz w:val="21"/>
          <w:szCs w:val="21"/>
          <w:lang w:val="en-US" w:eastAsia="zh-CN"/>
        </w:rPr>
        <w:t>25</w:t>
      </w:r>
      <w:r w:rsidRPr="00AF2B90">
        <w:rPr>
          <w:rFonts w:eastAsia="黑体" w:hAnsi="宋体"/>
          <w:sz w:val="21"/>
          <w:szCs w:val="21"/>
          <w:lang w:val="en-US" w:eastAsia="zh-CN"/>
        </w:rPr>
        <w:t>号一般性建议采取暂行特别措施，目的是实现劳动力市场上实质性的男女平等，包括生活在南方的具有高等教育资格的青年妇女享受到此种平等，并建立针对不同群体失业妇女的特别培训方案和辅导课程，包括关于促进妇女创业的培训方案和辅导课程；</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采取有效措施，包括技能培训和激励措施，鼓励妇女从事非传统领域的工作，并消除公共和私营部门中的横向及纵向职业隔离；</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eastAsia="zh-CN"/>
        </w:rPr>
        <w:t>采</w:t>
      </w:r>
      <w:r w:rsidRPr="00AF2B90">
        <w:rPr>
          <w:rFonts w:eastAsia="黑体" w:hAnsi="宋体"/>
          <w:sz w:val="21"/>
          <w:szCs w:val="21"/>
          <w:lang w:val="en-US" w:eastAsia="zh-CN"/>
        </w:rPr>
        <w:t>取措施缩小和消除性别工资差距，包括性别中立分析工作分类和评估方法以及定期工资调查；</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增加妇女获得全职就业的机会，包括促进男女平等分担家务和家庭工作，提供更多、更完善的儿童保育设施，增加对男子行使育儿假权利的激励；</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(e)</w:t>
      </w:r>
      <w:r w:rsidRPr="00AF2B90">
        <w:rPr>
          <w:rFonts w:eastAsia="黑体"/>
          <w:sz w:val="21"/>
          <w:szCs w:val="21"/>
          <w:lang w:val="en-US" w:eastAsia="zh-CN"/>
        </w:rPr>
        <w:tab/>
      </w:r>
      <w:r w:rsidRPr="00AF2B90">
        <w:rPr>
          <w:rFonts w:eastAsia="黑体" w:hAnsi="宋体"/>
          <w:sz w:val="21"/>
          <w:szCs w:val="21"/>
          <w:lang w:val="en-US" w:eastAsia="zh-CN"/>
        </w:rPr>
        <w:t>采取暂行特别措施，加速促进妇女平等参与劳动力市场，特别是移民、沦为难民和寻求庇护的妇女、罗姆族、辛提族、卡米南提族妇女以及老年妇女、</w:t>
      </w:r>
      <w:r w:rsidRPr="00CB707C">
        <w:rPr>
          <w:rFonts w:eastAsia="黑体" w:hAnsi="宋体"/>
          <w:spacing w:val="6"/>
          <w:sz w:val="21"/>
          <w:szCs w:val="21"/>
          <w:lang w:val="en-US" w:eastAsia="zh-CN"/>
        </w:rPr>
        <w:t>单身母亲和残疾妇女的平等参与，并对这些妇女的就业和工作条件进行全面的研究。</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移徙女工</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39.</w:t>
      </w:r>
      <w:r w:rsidRPr="00AF2B90">
        <w:rPr>
          <w:rFonts w:eastAsia="宋体"/>
          <w:sz w:val="21"/>
          <w:szCs w:val="21"/>
          <w:lang w:eastAsia="zh-CN"/>
        </w:rPr>
        <w:tab/>
      </w:r>
      <w:r w:rsidRPr="00AF2B90">
        <w:rPr>
          <w:rFonts w:eastAsia="宋体" w:hAnsi="宋体"/>
          <w:sz w:val="21"/>
          <w:szCs w:val="21"/>
          <w:lang w:eastAsia="zh-CN"/>
        </w:rPr>
        <w:t>委员会注意到缔约国为打击劳动剥削而采取的措施，包括制定新法打击农业部门的未申报工作和劳动剥削。然而，委员会关切的是：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移徙女工，特别是在农业部门工作或从事家庭佣工的非正常移徙女工以及农场性剥削受害妇女继续面临劳动剥削；</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雇主蓄意不遵守有关职业安全和最低生活条件的规则，且缺乏有效的劳动监察；</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lastRenderedPageBreak/>
        <w:tab/>
        <w:t>(c)</w:t>
      </w:r>
      <w:r w:rsidRPr="00AF2B90">
        <w:rPr>
          <w:rFonts w:eastAsia="宋体"/>
          <w:sz w:val="21"/>
          <w:szCs w:val="21"/>
          <w:lang w:eastAsia="zh-CN"/>
        </w:rPr>
        <w:tab/>
      </w:r>
      <w:r w:rsidRPr="00AF2B90">
        <w:rPr>
          <w:rFonts w:eastAsia="宋体" w:hAnsi="宋体"/>
          <w:sz w:val="21"/>
          <w:szCs w:val="21"/>
          <w:lang w:eastAsia="zh-CN"/>
        </w:rPr>
        <w:t>缺乏明确有效的程序供移徙女工就恶劣工作条件，包括拖欠工资问题进行申诉；</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移徙女工难以获得基本社会服务，特别是地方当局提供的那些服务。</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40.</w:t>
      </w:r>
      <w:r w:rsidRPr="00AF2B90">
        <w:rPr>
          <w:rFonts w:eastAsia="黑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确保有效执行法律，以打击农业部门中的未申报工作和劳动剥削；</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加强国家劳动监察局的能力，以执行立法规定，打击劳动剥削，监测农场中妇女的工作条件，防止发生性剥削案件，并确保侵犯移徙女工权利的雇主受到惩罚；</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val="en-US" w:eastAsia="zh-CN"/>
        </w:rPr>
        <w:t>建立有效的申诉程序，使移徙女工能够起诉雇主而不用担心遭到报复、逮捕、拘留或驱逐，并为此目的修订</w:t>
      </w:r>
      <w:r w:rsidRPr="00AF2B90">
        <w:rPr>
          <w:rFonts w:eastAsia="黑体"/>
          <w:sz w:val="21"/>
          <w:szCs w:val="21"/>
          <w:lang w:val="en-US" w:eastAsia="zh-CN"/>
        </w:rPr>
        <w:t>2007</w:t>
      </w:r>
      <w:r w:rsidRPr="00AF2B90">
        <w:rPr>
          <w:rFonts w:eastAsia="黑体" w:hAnsi="宋体"/>
          <w:sz w:val="21"/>
          <w:szCs w:val="21"/>
          <w:lang w:val="en-US" w:eastAsia="zh-CN"/>
        </w:rPr>
        <w:t>年</w:t>
      </w:r>
      <w:r w:rsidRPr="00AF2B90">
        <w:rPr>
          <w:rFonts w:eastAsia="黑体"/>
          <w:sz w:val="21"/>
          <w:szCs w:val="21"/>
          <w:lang w:val="en-US" w:eastAsia="zh-CN"/>
        </w:rPr>
        <w:t>6</w:t>
      </w:r>
      <w:r w:rsidRPr="00AF2B90">
        <w:rPr>
          <w:rFonts w:eastAsia="黑体" w:hAnsi="宋体"/>
          <w:sz w:val="21"/>
          <w:szCs w:val="21"/>
          <w:lang w:val="en-US" w:eastAsia="zh-CN"/>
        </w:rPr>
        <w:t>月</w:t>
      </w:r>
      <w:r w:rsidRPr="00AF2B90">
        <w:rPr>
          <w:rFonts w:eastAsia="黑体"/>
          <w:sz w:val="21"/>
          <w:szCs w:val="21"/>
          <w:lang w:val="en-US" w:eastAsia="zh-CN"/>
        </w:rPr>
        <w:t>22</w:t>
      </w:r>
      <w:r w:rsidRPr="00AF2B90">
        <w:rPr>
          <w:rFonts w:eastAsia="黑体" w:hAnsi="宋体"/>
          <w:sz w:val="21"/>
          <w:szCs w:val="21"/>
          <w:lang w:val="en-US" w:eastAsia="zh-CN"/>
        </w:rPr>
        <w:t>日第</w:t>
      </w:r>
      <w:r w:rsidRPr="00AF2B90">
        <w:rPr>
          <w:rFonts w:eastAsia="黑体"/>
          <w:sz w:val="21"/>
          <w:szCs w:val="21"/>
          <w:lang w:val="en-US" w:eastAsia="zh-CN"/>
        </w:rPr>
        <w:t>109</w:t>
      </w:r>
      <w:r w:rsidRPr="00AF2B90">
        <w:rPr>
          <w:rFonts w:eastAsia="黑体" w:hAnsi="宋体"/>
          <w:sz w:val="21"/>
          <w:szCs w:val="21"/>
          <w:lang w:val="en-US" w:eastAsia="zh-CN"/>
        </w:rPr>
        <w:t>号立法法令，即所谓的</w:t>
      </w:r>
      <w:r w:rsidRPr="00216960">
        <w:rPr>
          <w:rFonts w:ascii="宋体" w:eastAsia="宋体" w:hAnsi="宋体"/>
          <w:sz w:val="21"/>
          <w:szCs w:val="21"/>
          <w:lang w:val="en-US" w:eastAsia="zh-CN"/>
        </w:rPr>
        <w:t>“</w:t>
      </w:r>
      <w:r w:rsidRPr="00AF2B90">
        <w:rPr>
          <w:rFonts w:eastAsia="黑体" w:hAnsi="宋体"/>
          <w:sz w:val="21"/>
          <w:szCs w:val="21"/>
          <w:lang w:val="en-US" w:eastAsia="zh-CN"/>
        </w:rPr>
        <w:t>罗萨尔诺法</w:t>
      </w:r>
      <w:r w:rsidRPr="00216960">
        <w:rPr>
          <w:rFonts w:ascii="宋体" w:eastAsia="宋体" w:hAnsi="宋体"/>
          <w:sz w:val="21"/>
          <w:szCs w:val="21"/>
          <w:lang w:val="en-US" w:eastAsia="zh-CN"/>
        </w:rPr>
        <w:t>”</w:t>
      </w:r>
      <w:r w:rsidRPr="00AF2B90">
        <w:rPr>
          <w:rFonts w:eastAsia="黑体" w:hAnsi="宋体"/>
          <w:sz w:val="21"/>
          <w:szCs w:val="21"/>
          <w:lang w:val="en-US" w:eastAsia="zh-CN"/>
        </w:rPr>
        <w:t>；</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向所有移徙女工提供获得基本服务的机会，无论其移民身份如何。</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保健</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41.</w:t>
      </w:r>
      <w:r w:rsidRPr="00AF2B90">
        <w:rPr>
          <w:rFonts w:eastAsia="宋体"/>
          <w:sz w:val="21"/>
          <w:szCs w:val="21"/>
          <w:lang w:eastAsia="zh-CN"/>
        </w:rPr>
        <w:tab/>
      </w:r>
      <w:r w:rsidRPr="00AF2B90">
        <w:rPr>
          <w:rFonts w:eastAsia="宋体" w:hAnsi="宋体"/>
          <w:sz w:val="21"/>
          <w:szCs w:val="21"/>
          <w:lang w:eastAsia="zh-CN"/>
        </w:rPr>
        <w:t>委员会关切以下问题：</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由于分配给保健领域的公共资金减少且该部门的部分私有化，对妇女，特别是弱势和边缘化群体的妇女的健康产生了不利影响；</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各地区在提供基本水平的援助方面存在差距；</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预防性传播疾病领域，特别是艾滋病毒领域的资金减少，新一代避孕药具的费用增加；</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堕胎服务的可利用性和可获取性有限，因为大量卫生人员以良心为由拒绝进行这类手术，且缺乏提供这些服务的保健中心，导致孕妇不得不接受不安全的堕胎；</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(e)</w:t>
      </w:r>
      <w:r w:rsidRPr="00AF2B90">
        <w:rPr>
          <w:rFonts w:eastAsia="宋体"/>
          <w:sz w:val="21"/>
          <w:szCs w:val="21"/>
          <w:lang w:eastAsia="zh-CN"/>
        </w:rPr>
        <w:tab/>
      </w:r>
      <w:r w:rsidRPr="00AF2B90">
        <w:rPr>
          <w:rFonts w:eastAsia="宋体" w:hAnsi="宋体"/>
          <w:sz w:val="21"/>
          <w:szCs w:val="21"/>
          <w:lang w:eastAsia="zh-CN"/>
        </w:rPr>
        <w:t>在未经其本人自愿作出知情同意的情况下，对双性儿童实施不可逆转的双性变异手术和其他治疗。</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42.</w:t>
      </w:r>
      <w:r w:rsidRPr="00AF2B90">
        <w:rPr>
          <w:rFonts w:eastAsia="宋体"/>
          <w:sz w:val="21"/>
          <w:szCs w:val="21"/>
          <w:lang w:eastAsia="zh-CN"/>
        </w:rPr>
        <w:tab/>
      </w:r>
      <w:r w:rsidRPr="00CB707C">
        <w:rPr>
          <w:rFonts w:eastAsia="黑体" w:hAnsi="宋体"/>
          <w:spacing w:val="6"/>
          <w:sz w:val="21"/>
          <w:szCs w:val="21"/>
          <w:lang w:val="en-US" w:eastAsia="zh-CN"/>
        </w:rPr>
        <w:t>委员会回顾了其关于妇女与健康问题的第</w:t>
      </w:r>
      <w:r w:rsidRPr="00CB707C">
        <w:rPr>
          <w:rFonts w:eastAsia="黑体"/>
          <w:spacing w:val="6"/>
          <w:sz w:val="21"/>
          <w:szCs w:val="21"/>
          <w:lang w:val="en-US" w:eastAsia="zh-CN"/>
        </w:rPr>
        <w:t>24(1999)</w:t>
      </w:r>
      <w:r w:rsidRPr="00CB707C">
        <w:rPr>
          <w:rFonts w:eastAsia="黑体" w:hAnsi="宋体"/>
          <w:spacing w:val="6"/>
          <w:sz w:val="21"/>
          <w:szCs w:val="21"/>
          <w:lang w:val="en-US" w:eastAsia="zh-CN"/>
        </w:rPr>
        <w:t>号一般性建议，建议缔约国：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增加为卫生部门划拨的预算，以确保充分实现所有妇女和女童享有健康权，包括性和生殖健康权利；</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(b)</w:t>
      </w:r>
      <w:r w:rsidRPr="00AF2B90">
        <w:rPr>
          <w:rFonts w:eastAsia="黑体"/>
          <w:sz w:val="21"/>
          <w:szCs w:val="21"/>
          <w:lang w:eastAsia="zh-CN"/>
        </w:rPr>
        <w:tab/>
      </w:r>
      <w:r w:rsidRPr="00AF2B90">
        <w:rPr>
          <w:rFonts w:eastAsia="黑体" w:hAnsi="宋体"/>
          <w:sz w:val="21"/>
          <w:szCs w:val="21"/>
          <w:lang w:eastAsia="zh-CN"/>
        </w:rPr>
        <w:t>确保在缔约国全国均等地提供基本水平的援助；</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lastRenderedPageBreak/>
        <w:tab/>
      </w:r>
      <w:r w:rsidRPr="00AF2B90">
        <w:rPr>
          <w:rFonts w:eastAsia="黑体"/>
          <w:sz w:val="21"/>
          <w:szCs w:val="21"/>
          <w:lang w:val="en-US" w:eastAsia="zh-CN"/>
        </w:rPr>
        <w:t>(c)</w:t>
      </w:r>
      <w:r w:rsidRPr="00AF2B90">
        <w:rPr>
          <w:rFonts w:eastAsia="黑体"/>
          <w:sz w:val="21"/>
          <w:szCs w:val="21"/>
          <w:lang w:val="en-US" w:eastAsia="zh-CN"/>
        </w:rPr>
        <w:tab/>
      </w:r>
      <w:r w:rsidRPr="00AF2B90">
        <w:rPr>
          <w:rFonts w:eastAsia="黑体" w:hAnsi="宋体"/>
          <w:sz w:val="21"/>
          <w:szCs w:val="21"/>
          <w:lang w:val="en-US" w:eastAsia="zh-CN"/>
        </w:rPr>
        <w:t>增加为</w:t>
      </w:r>
      <w:r w:rsidRPr="00AF2B90">
        <w:rPr>
          <w:rFonts w:eastAsia="黑体" w:hAnsi="宋体"/>
          <w:sz w:val="21"/>
          <w:szCs w:val="21"/>
          <w:lang w:eastAsia="zh-CN"/>
        </w:rPr>
        <w:t>预防性传播疾病，特别是艾滋病毒划拨的预算</w:t>
      </w:r>
      <w:r w:rsidRPr="00AF2B90">
        <w:rPr>
          <w:rFonts w:eastAsia="黑体" w:hAnsi="宋体"/>
          <w:sz w:val="21"/>
          <w:szCs w:val="21"/>
          <w:lang w:val="en-US" w:eastAsia="zh-CN"/>
        </w:rPr>
        <w:t>，并提高获得新一代避孕药具的机会，包括确保国家保健服务机构的覆盖范围；</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确保在缔约国全国充分适用第</w:t>
      </w:r>
      <w:r w:rsidRPr="00AF2B90">
        <w:rPr>
          <w:rFonts w:eastAsia="黑体"/>
          <w:sz w:val="21"/>
          <w:szCs w:val="21"/>
          <w:lang w:val="en-US" w:eastAsia="zh-CN"/>
        </w:rPr>
        <w:t>1</w:t>
      </w:r>
      <w:hyperlink r:id="rId25" w:history="1">
        <w:r w:rsidRPr="00523EC6">
          <w:rPr>
            <w:rStyle w:val="ad"/>
            <w:rFonts w:eastAsia="黑体"/>
            <w:sz w:val="21"/>
            <w:szCs w:val="21"/>
            <w:lang w:val="en-US" w:eastAsia="zh-CN"/>
          </w:rPr>
          <w:t>94/78</w:t>
        </w:r>
      </w:hyperlink>
      <w:r w:rsidRPr="00AF2B90">
        <w:rPr>
          <w:rFonts w:eastAsia="黑体" w:hAnsi="宋体"/>
          <w:sz w:val="21"/>
          <w:szCs w:val="21"/>
          <w:lang w:val="en-US" w:eastAsia="zh-CN"/>
        </w:rPr>
        <w:t>号法，包括确定现有障碍并采取所有省份共同适用的程序，以保障获得堕胎服务和适当转诊服务的机会，并确保卫生人员以良心为由拒绝提供堕胎服务不对希望终止妊娠的妇女造成阻碍；</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(e)</w:t>
      </w:r>
      <w:r w:rsidRPr="00AF2B90">
        <w:rPr>
          <w:rFonts w:eastAsia="黑体"/>
          <w:sz w:val="21"/>
          <w:szCs w:val="21"/>
          <w:lang w:val="en-US" w:eastAsia="zh-CN"/>
        </w:rPr>
        <w:tab/>
      </w:r>
      <w:r w:rsidRPr="00AF2B90">
        <w:rPr>
          <w:rFonts w:eastAsia="黑体" w:hAnsi="宋体"/>
          <w:sz w:val="21"/>
          <w:szCs w:val="21"/>
          <w:lang w:val="en-US" w:eastAsia="zh-CN"/>
        </w:rPr>
        <w:t>针对双性儿童，制定和执行基于权利的保健协定，确保儿童及其父母适当了解所有选项，尽最大可能确保儿童能够参与有关医疗干预的决策，确保他们的选择得到尊重，并确保不对任何儿童实施不必要的手术或治疗。</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增强妇女经济权能</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43.</w:t>
      </w:r>
      <w:r w:rsidRPr="00AF2B90">
        <w:rPr>
          <w:rFonts w:eastAsia="宋体"/>
          <w:sz w:val="21"/>
          <w:szCs w:val="21"/>
          <w:lang w:eastAsia="zh-CN"/>
        </w:rPr>
        <w:tab/>
      </w:r>
      <w:r w:rsidRPr="00AF2B90">
        <w:rPr>
          <w:rFonts w:eastAsia="宋体" w:hAnsi="宋体"/>
          <w:sz w:val="21"/>
          <w:szCs w:val="21"/>
          <w:lang w:eastAsia="zh-CN"/>
        </w:rPr>
        <w:t>委员会关切的是：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由于妇女是福利国家提供的社会服务的主要受益者，紧缩措施对她们带来了不成比例的影响；</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低水平的社会福利和非常严格的资格标准导致出现许多生活贫穷的妇女，特别是单亲母亲、老年妇女和那些没有就业经历的妇女被排除在社会保护之外的情况；</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妇女在体育联合会和文化机构中的代表性不足，女子体育竞技和艺术活动的广播时间在全部广播时间中所占比例明显较低。</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44.</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eastAsia="zh-CN"/>
        </w:rPr>
      </w:pPr>
      <w:r w:rsidRPr="00AF2B90">
        <w:rPr>
          <w:rFonts w:eastAsia="黑体"/>
          <w:sz w:val="21"/>
          <w:szCs w:val="21"/>
          <w:lang w:eastAsia="zh-CN"/>
        </w:rPr>
        <w:tab/>
        <w:t>(a)</w:t>
      </w:r>
      <w:r w:rsidRPr="00AF2B90">
        <w:rPr>
          <w:rFonts w:eastAsia="黑体"/>
          <w:sz w:val="21"/>
          <w:szCs w:val="21"/>
          <w:lang w:eastAsia="zh-CN"/>
        </w:rPr>
        <w:tab/>
      </w:r>
      <w:r w:rsidRPr="00AF2B90">
        <w:rPr>
          <w:rFonts w:eastAsia="黑体" w:hAnsi="宋体"/>
          <w:sz w:val="21"/>
          <w:szCs w:val="21"/>
          <w:lang w:val="en-US" w:eastAsia="zh-CN"/>
        </w:rPr>
        <w:t>对这类法律和政策给妇女及其家庭的生活带来的影响进行系统评估；</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tab/>
      </w:r>
      <w:r w:rsidRPr="00AF2B90">
        <w:rPr>
          <w:rFonts w:eastAsia="黑体"/>
          <w:sz w:val="21"/>
          <w:szCs w:val="21"/>
          <w:lang w:val="en-US" w:eastAsia="zh-CN"/>
        </w:rPr>
        <w:t>(b)</w:t>
      </w:r>
      <w:r w:rsidRPr="00AF2B90">
        <w:rPr>
          <w:rFonts w:eastAsia="黑体"/>
          <w:sz w:val="21"/>
          <w:szCs w:val="21"/>
          <w:lang w:val="en-US" w:eastAsia="zh-CN"/>
        </w:rPr>
        <w:tab/>
      </w:r>
      <w:r w:rsidRPr="00AF2B90">
        <w:rPr>
          <w:rFonts w:eastAsia="黑体" w:hAnsi="宋体"/>
          <w:sz w:val="21"/>
          <w:szCs w:val="21"/>
          <w:lang w:val="en-US" w:eastAsia="zh-CN"/>
        </w:rPr>
        <w:t>审查对给妇女造成严重影响的紧缩法律，特别是与儿童津贴、社会福利和养恤金计划有关的法律；</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(c)</w:t>
      </w:r>
      <w:r w:rsidRPr="00AF2B90">
        <w:rPr>
          <w:rFonts w:eastAsia="黑体"/>
          <w:sz w:val="21"/>
          <w:szCs w:val="21"/>
          <w:lang w:val="en-US" w:eastAsia="zh-CN"/>
        </w:rPr>
        <w:tab/>
      </w:r>
      <w:r w:rsidRPr="00AF2B90">
        <w:rPr>
          <w:rFonts w:eastAsia="黑体" w:hAnsi="宋体"/>
          <w:sz w:val="21"/>
          <w:szCs w:val="21"/>
          <w:lang w:val="en-US" w:eastAsia="zh-CN"/>
        </w:rPr>
        <w:t>密切监测国家社会保障方案，并确保以对性别敏感的方式予以执行；</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努力在体育和文化活动中实现实质性的性别平等，包括为此采取暂行特别措施。</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农村妇女</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45.</w:t>
      </w:r>
      <w:r w:rsidRPr="00AF2B90">
        <w:rPr>
          <w:rFonts w:eastAsia="宋体"/>
          <w:sz w:val="21"/>
          <w:szCs w:val="21"/>
          <w:lang w:eastAsia="zh-CN"/>
        </w:rPr>
        <w:tab/>
      </w:r>
      <w:r w:rsidRPr="00AF2B90">
        <w:rPr>
          <w:rFonts w:eastAsia="宋体" w:hAnsi="宋体"/>
          <w:sz w:val="21"/>
          <w:szCs w:val="21"/>
          <w:lang w:eastAsia="zh-CN"/>
        </w:rPr>
        <w:t>委员会注意到旨在增强农村妇女经济权能的各种方案，但关切的是，生活在欠发达地区的农村妇女在充分和平等地享有和行使其《公约》规定的权利上面临一些特定的障碍。委员会特别关切：</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农村妇女，特别是农村移徙妇女在获得社会和保健服务、争取经济机会以及参与影响她们的政策的相关决策进程方面面临经济和社会困境；</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lastRenderedPageBreak/>
        <w:tab/>
        <w:t>(b)</w:t>
      </w:r>
      <w:r w:rsidRPr="00AF2B90">
        <w:rPr>
          <w:rFonts w:eastAsia="宋体"/>
          <w:sz w:val="21"/>
          <w:szCs w:val="21"/>
          <w:lang w:eastAsia="zh-CN"/>
        </w:rPr>
        <w:tab/>
      </w:r>
      <w:r w:rsidRPr="00AF2B90">
        <w:rPr>
          <w:rFonts w:eastAsia="宋体" w:hAnsi="宋体"/>
          <w:sz w:val="21"/>
          <w:szCs w:val="21"/>
          <w:lang w:eastAsia="zh-CN"/>
        </w:rPr>
        <w:t>由于丈夫以登记农场主的身份占主导地位这种传统和社会模式，妇女经营的家庭农场数量偏少。</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46.</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采取针对性措施，包括其《</w:t>
      </w:r>
      <w:r w:rsidRPr="00AF2B90">
        <w:rPr>
          <w:rFonts w:eastAsia="黑体"/>
          <w:sz w:val="21"/>
          <w:szCs w:val="21"/>
          <w:lang w:val="en-US" w:eastAsia="zh-CN"/>
        </w:rPr>
        <w:t>2015-2020</w:t>
      </w:r>
      <w:r w:rsidRPr="00AF2B90">
        <w:rPr>
          <w:rFonts w:eastAsia="黑体" w:hAnsi="宋体"/>
          <w:sz w:val="21"/>
          <w:szCs w:val="21"/>
          <w:lang w:val="en-US" w:eastAsia="zh-CN"/>
        </w:rPr>
        <w:t>年农村发展方案》中的措施，确保生活在欠发达地区的农村妇女有效获得社会和保健服务、争取</w:t>
      </w:r>
      <w:r w:rsidRPr="00AF2B90">
        <w:rPr>
          <w:rFonts w:eastAsia="黑体" w:hAnsi="宋体"/>
          <w:sz w:val="21"/>
          <w:szCs w:val="21"/>
          <w:lang w:eastAsia="zh-CN"/>
        </w:rPr>
        <w:t>经济机会以及参与影响她们的政策的相关决策进程；</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加强和确保有效执行现有增强农村妇女经济权能的现有政策和方案，包括促进她们对土地的所有权。</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残疾妇女</w:t>
      </w:r>
    </w:p>
    <w:p w:rsidR="00523EC6" w:rsidRPr="00AF2B90" w:rsidRDefault="00523EC6" w:rsidP="00523EC6">
      <w:pPr>
        <w:pStyle w:val="SingleTxtG"/>
        <w:spacing w:after="140" w:line="320" w:lineRule="exact"/>
        <w:ind w:left="1264" w:right="1264"/>
        <w:rPr>
          <w:rFonts w:eastAsia="宋体"/>
          <w:sz w:val="21"/>
          <w:szCs w:val="21"/>
          <w:lang w:eastAsia="zh-CN"/>
        </w:rPr>
      </w:pPr>
      <w:r w:rsidRPr="00AF2B90">
        <w:rPr>
          <w:rFonts w:eastAsia="宋体"/>
          <w:sz w:val="21"/>
          <w:szCs w:val="21"/>
          <w:lang w:eastAsia="zh-CN"/>
        </w:rPr>
        <w:t>47.</w:t>
      </w:r>
      <w:r w:rsidRPr="00AF2B90">
        <w:rPr>
          <w:rFonts w:eastAsia="宋体"/>
          <w:sz w:val="21"/>
          <w:szCs w:val="21"/>
          <w:lang w:eastAsia="zh-CN"/>
        </w:rPr>
        <w:tab/>
      </w:r>
      <w:r w:rsidRPr="00AF2B90">
        <w:rPr>
          <w:rFonts w:eastAsia="宋体" w:hAnsi="宋体"/>
          <w:sz w:val="21"/>
          <w:szCs w:val="21"/>
          <w:lang w:eastAsia="zh-CN"/>
        </w:rPr>
        <w:t>委员会欢迎通过《国家残疾人行动计划》和第</w:t>
      </w:r>
      <w:hyperlink r:id="rId26" w:history="1">
        <w:r w:rsidRPr="00523EC6">
          <w:rPr>
            <w:rStyle w:val="ad"/>
            <w:rFonts w:eastAsia="宋体"/>
            <w:sz w:val="21"/>
            <w:szCs w:val="21"/>
            <w:lang w:eastAsia="zh-CN"/>
          </w:rPr>
          <w:t>66/201</w:t>
        </w:r>
      </w:hyperlink>
      <w:r w:rsidRPr="00AF2B90">
        <w:rPr>
          <w:rFonts w:eastAsia="宋体"/>
          <w:sz w:val="21"/>
          <w:szCs w:val="21"/>
          <w:lang w:eastAsia="zh-CN"/>
        </w:rPr>
        <w:t>7</w:t>
      </w:r>
      <w:r w:rsidRPr="00AF2B90">
        <w:rPr>
          <w:rFonts w:eastAsia="宋体" w:hAnsi="宋体"/>
          <w:sz w:val="21"/>
          <w:szCs w:val="21"/>
          <w:lang w:eastAsia="zh-CN"/>
        </w:rPr>
        <w:t>号立法法令，以促进学校接纳残疾学生，并欢迎设立残疾人信息中心。然而，令委员会感到关切的是：</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(a)</w:t>
      </w:r>
      <w:r w:rsidRPr="00AF2B90">
        <w:rPr>
          <w:rFonts w:eastAsia="宋体"/>
          <w:sz w:val="21"/>
          <w:szCs w:val="21"/>
          <w:lang w:eastAsia="zh-CN"/>
        </w:rPr>
        <w:tab/>
      </w:r>
      <w:r w:rsidRPr="00AF2B90">
        <w:rPr>
          <w:rFonts w:eastAsia="宋体" w:hAnsi="宋体"/>
          <w:sz w:val="21"/>
          <w:szCs w:val="21"/>
          <w:lang w:eastAsia="zh-CN"/>
        </w:rPr>
        <w:t>残疾妇女和女童在获得受教育、就业和保健的机会上面临歧视，她们被排除在公共和社会生活以及决策进程之外；</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(b)</w:t>
      </w:r>
      <w:r w:rsidRPr="00AF2B90">
        <w:rPr>
          <w:rFonts w:eastAsia="宋体"/>
          <w:sz w:val="21"/>
          <w:szCs w:val="21"/>
          <w:lang w:eastAsia="zh-CN"/>
        </w:rPr>
        <w:tab/>
      </w:r>
      <w:r w:rsidRPr="00AF2B90">
        <w:rPr>
          <w:rFonts w:eastAsia="宋体" w:hAnsi="宋体"/>
          <w:sz w:val="21"/>
          <w:szCs w:val="21"/>
          <w:lang w:eastAsia="zh-CN"/>
        </w:rPr>
        <w:t>为促进将残疾人纳入开放劳动力市场设定的配额非常低，而且通常未获执行；</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(c)</w:t>
      </w:r>
      <w:r w:rsidRPr="00AF2B90">
        <w:rPr>
          <w:rFonts w:eastAsia="宋体"/>
          <w:sz w:val="21"/>
          <w:szCs w:val="21"/>
          <w:lang w:eastAsia="zh-CN"/>
        </w:rPr>
        <w:tab/>
      </w:r>
      <w:r w:rsidRPr="00AF2B90">
        <w:rPr>
          <w:rFonts w:eastAsia="宋体" w:hAnsi="宋体"/>
          <w:sz w:val="21"/>
          <w:szCs w:val="21"/>
          <w:lang w:eastAsia="zh-CN"/>
        </w:rPr>
        <w:t>现行政策造成性别歧视后果，即妇女</w:t>
      </w:r>
      <w:r w:rsidRPr="00666043">
        <w:rPr>
          <w:rFonts w:ascii="宋体" w:eastAsia="宋体" w:hAnsi="宋体"/>
          <w:sz w:val="21"/>
          <w:szCs w:val="21"/>
          <w:lang w:eastAsia="zh-CN"/>
        </w:rPr>
        <w:t>“被迫”</w:t>
      </w:r>
      <w:r w:rsidRPr="00AF2B90">
        <w:rPr>
          <w:rFonts w:eastAsia="宋体" w:hAnsi="宋体"/>
          <w:sz w:val="21"/>
          <w:szCs w:val="21"/>
          <w:lang w:eastAsia="zh-CN"/>
        </w:rPr>
        <w:t>留在家中照料其残疾的家庭成员，而不是在劳动力市场上就业。</w:t>
      </w:r>
    </w:p>
    <w:p w:rsidR="00523EC6" w:rsidRPr="00AF2B90" w:rsidRDefault="00523EC6" w:rsidP="00523EC6">
      <w:pPr>
        <w:pStyle w:val="SingleTxtG"/>
        <w:tabs>
          <w:tab w:val="left" w:pos="1701"/>
        </w:tabs>
        <w:spacing w:after="140" w:line="320" w:lineRule="exact"/>
        <w:ind w:left="1264" w:right="1264"/>
        <w:rPr>
          <w:rFonts w:eastAsia="宋体"/>
          <w:sz w:val="21"/>
          <w:szCs w:val="21"/>
          <w:lang w:eastAsia="zh-CN"/>
        </w:rPr>
      </w:pPr>
      <w:r w:rsidRPr="00AF2B90">
        <w:rPr>
          <w:rFonts w:eastAsia="宋体"/>
          <w:sz w:val="21"/>
          <w:szCs w:val="21"/>
          <w:lang w:eastAsia="zh-CN"/>
        </w:rPr>
        <w:tab/>
        <w:t>(d)</w:t>
      </w:r>
      <w:r w:rsidRPr="00AF2B90">
        <w:rPr>
          <w:rFonts w:eastAsia="宋体"/>
          <w:sz w:val="21"/>
          <w:szCs w:val="21"/>
          <w:lang w:eastAsia="zh-CN"/>
        </w:rPr>
        <w:tab/>
      </w:r>
      <w:r w:rsidRPr="00AF2B90">
        <w:rPr>
          <w:rFonts w:eastAsia="宋体" w:hAnsi="宋体"/>
          <w:sz w:val="21"/>
          <w:szCs w:val="21"/>
          <w:lang w:eastAsia="zh-CN"/>
        </w:rPr>
        <w:t>残疾妇女处于经济依赖的境地，这使她们容易遭受暴力侵害。</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宋体"/>
          <w:sz w:val="21"/>
          <w:szCs w:val="21"/>
          <w:lang w:eastAsia="zh-CN"/>
        </w:rPr>
        <w:t>48.</w:t>
      </w:r>
      <w:r w:rsidRPr="00AF2B90">
        <w:rPr>
          <w:rFonts w:eastAsia="宋体"/>
          <w:sz w:val="21"/>
          <w:szCs w:val="21"/>
          <w:lang w:eastAsia="zh-CN"/>
        </w:rPr>
        <w:tab/>
      </w:r>
      <w:r w:rsidRPr="00AF2B90">
        <w:rPr>
          <w:rFonts w:eastAsia="黑体" w:hAnsi="宋体"/>
          <w:sz w:val="21"/>
          <w:szCs w:val="21"/>
          <w:lang w:val="en-US" w:eastAsia="zh-CN"/>
        </w:rPr>
        <w:t>委员会建议缔约国：</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(a)</w:t>
      </w:r>
      <w:r w:rsidRPr="00AF2B90">
        <w:rPr>
          <w:rFonts w:eastAsia="黑体"/>
          <w:sz w:val="21"/>
          <w:szCs w:val="21"/>
          <w:lang w:val="en-US" w:eastAsia="zh-CN"/>
        </w:rPr>
        <w:tab/>
      </w:r>
      <w:r w:rsidRPr="00AF2B90">
        <w:rPr>
          <w:rFonts w:eastAsia="黑体" w:hAnsi="宋体"/>
          <w:sz w:val="21"/>
          <w:szCs w:val="21"/>
          <w:lang w:val="en-US" w:eastAsia="zh-CN"/>
        </w:rPr>
        <w:t>采取针对性措施，促进残疾妇女获得包容性教育、进入开放的劳动力市</w:t>
      </w:r>
      <w:r w:rsidRPr="00CB707C">
        <w:rPr>
          <w:rFonts w:eastAsia="黑体" w:hAnsi="宋体"/>
          <w:spacing w:val="6"/>
          <w:sz w:val="21"/>
          <w:szCs w:val="21"/>
          <w:lang w:val="en-US" w:eastAsia="zh-CN"/>
        </w:rPr>
        <w:t>场、享受到医疗保健，包括性和生殖健康权利，参与公共和社会生活以及决策过程；</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(b)</w:t>
      </w:r>
      <w:r w:rsidRPr="00AF2B90">
        <w:rPr>
          <w:rFonts w:eastAsia="黑体"/>
          <w:sz w:val="21"/>
          <w:szCs w:val="21"/>
          <w:lang w:val="en-US" w:eastAsia="zh-CN"/>
        </w:rPr>
        <w:tab/>
      </w:r>
      <w:r w:rsidRPr="00AF2B90">
        <w:rPr>
          <w:rFonts w:eastAsia="黑体" w:hAnsi="宋体"/>
          <w:sz w:val="21"/>
          <w:szCs w:val="21"/>
          <w:lang w:val="en-US" w:eastAsia="zh-CN"/>
        </w:rPr>
        <w:t>提高和有效地执行公共及私营公司的配额，以促进残疾人，特别是残疾妇女融入开放的劳动力市场；</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eastAsia="zh-CN"/>
        </w:rPr>
        <w:tab/>
      </w:r>
      <w:r w:rsidRPr="00AF2B90">
        <w:rPr>
          <w:rFonts w:eastAsia="黑体"/>
          <w:sz w:val="21"/>
          <w:szCs w:val="21"/>
          <w:lang w:val="en-US" w:eastAsia="zh-CN"/>
        </w:rPr>
        <w:t>(c)</w:t>
      </w:r>
      <w:r w:rsidRPr="00AF2B90">
        <w:rPr>
          <w:rFonts w:eastAsia="黑体"/>
          <w:sz w:val="21"/>
          <w:szCs w:val="21"/>
          <w:lang w:val="en-US" w:eastAsia="zh-CN"/>
        </w:rPr>
        <w:tab/>
      </w:r>
      <w:r w:rsidRPr="00AF2B90">
        <w:rPr>
          <w:rFonts w:eastAsia="黑体" w:hAnsi="宋体"/>
          <w:sz w:val="21"/>
          <w:szCs w:val="21"/>
          <w:lang w:val="en-US" w:eastAsia="zh-CN"/>
        </w:rPr>
        <w:t>增加预算支持，以使全国各地的残疾妇女能够独立生活并平等地获得服务，包括个人援助；</w:t>
      </w:r>
    </w:p>
    <w:p w:rsidR="00523EC6" w:rsidRPr="00AF2B90" w:rsidRDefault="00523EC6" w:rsidP="00523EC6">
      <w:pPr>
        <w:pStyle w:val="SingleTxtG"/>
        <w:tabs>
          <w:tab w:val="left" w:pos="1701"/>
        </w:tabs>
        <w:spacing w:after="140" w:line="320" w:lineRule="exact"/>
        <w:ind w:left="1264" w:right="1264"/>
        <w:rPr>
          <w:rFonts w:eastAsia="黑体"/>
          <w:sz w:val="21"/>
          <w:szCs w:val="21"/>
          <w:lang w:val="en-US" w:eastAsia="zh-CN"/>
        </w:rPr>
      </w:pPr>
      <w:r w:rsidRPr="00AF2B90">
        <w:rPr>
          <w:rFonts w:eastAsia="黑体"/>
          <w:sz w:val="21"/>
          <w:szCs w:val="21"/>
          <w:lang w:val="en-US" w:eastAsia="zh-CN"/>
        </w:rPr>
        <w:tab/>
        <w:t>(d)</w:t>
      </w:r>
      <w:r w:rsidRPr="00AF2B90">
        <w:rPr>
          <w:rFonts w:eastAsia="黑体"/>
          <w:sz w:val="21"/>
          <w:szCs w:val="21"/>
          <w:lang w:val="en-US" w:eastAsia="zh-CN"/>
        </w:rPr>
        <w:tab/>
      </w:r>
      <w:r w:rsidRPr="00AF2B90">
        <w:rPr>
          <w:rFonts w:eastAsia="黑体" w:hAnsi="宋体"/>
          <w:sz w:val="21"/>
          <w:szCs w:val="21"/>
          <w:lang w:val="en-US" w:eastAsia="zh-CN"/>
        </w:rPr>
        <w:t>开展提高认识运动，并为国家官员提供关于残疾妇女和女童权利和特殊需要的能力建设。</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被拘留妇女</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49.</w:t>
      </w:r>
      <w:r w:rsidRPr="00AF2B90">
        <w:rPr>
          <w:kern w:val="0"/>
          <w:szCs w:val="21"/>
        </w:rPr>
        <w:tab/>
      </w:r>
      <w:r w:rsidRPr="00AF2B90">
        <w:rPr>
          <w:rFonts w:hAnsi="宋体"/>
          <w:kern w:val="0"/>
          <w:szCs w:val="21"/>
        </w:rPr>
        <w:t>委员会欢迎通过第</w:t>
      </w:r>
      <w:hyperlink r:id="rId27" w:history="1">
        <w:r w:rsidRPr="00523EC6">
          <w:rPr>
            <w:rStyle w:val="ad"/>
            <w:kern w:val="0"/>
            <w:szCs w:val="21"/>
          </w:rPr>
          <w:t>62/201</w:t>
        </w:r>
      </w:hyperlink>
      <w:r w:rsidRPr="00AF2B90">
        <w:rPr>
          <w:kern w:val="0"/>
          <w:szCs w:val="21"/>
        </w:rPr>
        <w:t>1</w:t>
      </w:r>
      <w:r w:rsidRPr="00AF2B90">
        <w:rPr>
          <w:rFonts w:hAnsi="宋体"/>
          <w:kern w:val="0"/>
          <w:szCs w:val="21"/>
        </w:rPr>
        <w:t>号法，其中对保护狱中母亲及其未成年子女之间的关系作了规定。然而，委员会仍感关切的是：</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lastRenderedPageBreak/>
        <w:tab/>
        <w:t>(a)</w:t>
      </w:r>
      <w:r w:rsidRPr="00AF2B90">
        <w:rPr>
          <w:kern w:val="0"/>
          <w:szCs w:val="21"/>
        </w:rPr>
        <w:tab/>
      </w:r>
      <w:r w:rsidRPr="00AF2B90">
        <w:rPr>
          <w:rFonts w:hAnsi="宋体"/>
          <w:kern w:val="0"/>
          <w:szCs w:val="21"/>
        </w:rPr>
        <w:t>缺乏按性别分列的被拘留妇女人数的数据，包括审前羁押和行政拘留的妇女数据，监狱因审前羁押人数多而严重过度拥挤，没有机会获得基本保健和社会服务；</w:t>
      </w:r>
    </w:p>
    <w:p w:rsidR="00523EC6" w:rsidRPr="00CB707C"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spacing w:val="6"/>
          <w:kern w:val="0"/>
          <w:szCs w:val="21"/>
        </w:rPr>
      </w:pPr>
      <w:r w:rsidRPr="00AF2B90">
        <w:rPr>
          <w:kern w:val="0"/>
          <w:szCs w:val="21"/>
        </w:rPr>
        <w:tab/>
        <w:t>(b)</w:t>
      </w:r>
      <w:r w:rsidRPr="00AF2B90">
        <w:rPr>
          <w:kern w:val="0"/>
          <w:szCs w:val="21"/>
        </w:rPr>
        <w:tab/>
      </w:r>
      <w:r w:rsidRPr="00CB707C">
        <w:rPr>
          <w:rFonts w:hAnsi="宋体"/>
          <w:spacing w:val="6"/>
          <w:kern w:val="0"/>
          <w:szCs w:val="21"/>
        </w:rPr>
        <w:t>被拘留妇女获得教育、工作技能培训、工作机会和保健服务的机会有限；</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(c)</w:t>
      </w:r>
      <w:r w:rsidRPr="00AF2B90">
        <w:rPr>
          <w:kern w:val="0"/>
          <w:szCs w:val="21"/>
        </w:rPr>
        <w:tab/>
      </w:r>
      <w:r w:rsidRPr="00AF2B90">
        <w:rPr>
          <w:rFonts w:hAnsi="宋体"/>
          <w:kern w:val="0"/>
          <w:szCs w:val="21"/>
        </w:rPr>
        <w:t>缺乏替代羁押的办法，特别是无法为怀孕妇女和有子女的母亲提供替代办法。</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bCs/>
          <w:kern w:val="0"/>
          <w:szCs w:val="21"/>
        </w:rPr>
      </w:pPr>
      <w:r w:rsidRPr="00AF2B90">
        <w:rPr>
          <w:kern w:val="0"/>
          <w:szCs w:val="21"/>
        </w:rPr>
        <w:t>50.</w:t>
      </w:r>
      <w:r w:rsidRPr="00AF2B90">
        <w:rPr>
          <w:kern w:val="0"/>
          <w:szCs w:val="21"/>
        </w:rPr>
        <w:tab/>
      </w:r>
      <w:r w:rsidRPr="00AF2B90">
        <w:rPr>
          <w:rFonts w:eastAsia="黑体" w:hAnsi="宋体"/>
          <w:bCs/>
          <w:kern w:val="0"/>
          <w:szCs w:val="21"/>
        </w:rPr>
        <w:t>委员会回顾《联合国女性囚犯待遇和女性罪犯非拘禁措施规则》</w:t>
      </w:r>
      <w:r>
        <w:rPr>
          <w:rFonts w:eastAsia="黑体" w:hAnsi="宋体"/>
          <w:bCs/>
          <w:kern w:val="0"/>
          <w:szCs w:val="21"/>
        </w:rPr>
        <w:t>(</w:t>
      </w:r>
      <w:r w:rsidRPr="00AF2B90">
        <w:rPr>
          <w:rFonts w:eastAsia="黑体" w:hAnsi="宋体"/>
          <w:bCs/>
          <w:kern w:val="0"/>
          <w:szCs w:val="21"/>
        </w:rPr>
        <w:t>《曼谷规则》</w:t>
      </w:r>
      <w:r>
        <w:rPr>
          <w:rFonts w:eastAsia="黑体" w:hAnsi="宋体"/>
          <w:bCs/>
          <w:kern w:val="0"/>
          <w:szCs w:val="21"/>
        </w:rPr>
        <w:t>)</w:t>
      </w:r>
      <w:r w:rsidRPr="00AF2B90">
        <w:rPr>
          <w:rFonts w:eastAsia="黑体" w:hAnsi="宋体"/>
          <w:bCs/>
          <w:kern w:val="0"/>
          <w:szCs w:val="21"/>
        </w:rPr>
        <w:t>，建议缔约国：</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(a)</w:t>
      </w:r>
      <w:r w:rsidRPr="00AF2B90">
        <w:rPr>
          <w:rFonts w:eastAsia="黑体"/>
          <w:kern w:val="0"/>
          <w:szCs w:val="21"/>
        </w:rPr>
        <w:tab/>
      </w:r>
      <w:r w:rsidRPr="00AF2B90">
        <w:rPr>
          <w:rFonts w:eastAsia="黑体" w:hAnsi="宋体"/>
          <w:kern w:val="0"/>
          <w:szCs w:val="21"/>
        </w:rPr>
        <w:t>收集按性别分列的被拘留妇女人数数据，包括审前羁押和行政拘留的妇女的数据，并提供有关她们的拘留条件，特别是有关她们获得基本保健和社会服务机会的信息。</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(b)</w:t>
      </w:r>
      <w:r w:rsidRPr="00AF2B90">
        <w:rPr>
          <w:rFonts w:eastAsia="黑体"/>
          <w:kern w:val="0"/>
          <w:szCs w:val="21"/>
        </w:rPr>
        <w:tab/>
      </w:r>
      <w:r w:rsidRPr="00AF2B90">
        <w:rPr>
          <w:rFonts w:eastAsia="黑体" w:hAnsi="宋体"/>
          <w:bCs/>
          <w:kern w:val="0"/>
          <w:szCs w:val="21"/>
        </w:rPr>
        <w:t>制定监狱工作人员强制性能力建设方案，内容涉及性别平等及妇女的尊严和权利；</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(c)</w:t>
      </w:r>
      <w:r w:rsidRPr="00AF2B90">
        <w:rPr>
          <w:rFonts w:eastAsia="黑体"/>
          <w:kern w:val="0"/>
          <w:szCs w:val="21"/>
        </w:rPr>
        <w:tab/>
      </w:r>
      <w:r w:rsidRPr="00AF2B90">
        <w:rPr>
          <w:rFonts w:eastAsia="黑体" w:hAnsi="宋体"/>
          <w:bCs/>
          <w:kern w:val="0"/>
          <w:szCs w:val="21"/>
        </w:rPr>
        <w:t>分配人力、技术和财政资源，以扩大教育、就业方案和保健服务的覆盖范围，并将妇女纳入审前羁押；</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(d)</w:t>
      </w:r>
      <w:r w:rsidRPr="00AF2B90">
        <w:rPr>
          <w:rFonts w:eastAsia="黑体"/>
          <w:kern w:val="0"/>
          <w:szCs w:val="21"/>
        </w:rPr>
        <w:tab/>
      </w:r>
      <w:r w:rsidRPr="00AF2B90">
        <w:rPr>
          <w:rFonts w:eastAsia="黑体" w:hAnsi="宋体"/>
          <w:bCs/>
          <w:kern w:val="0"/>
          <w:szCs w:val="21"/>
        </w:rPr>
        <w:t>提供替代拘留的办法，特别是针对怀孕妇女和幼儿母亲的替代办法，考虑到儿童的最大利益</w:t>
      </w:r>
      <w:r>
        <w:rPr>
          <w:rFonts w:eastAsia="黑体" w:hAnsi="宋体" w:hint="eastAsia"/>
          <w:bCs/>
          <w:kern w:val="0"/>
          <w:szCs w:val="21"/>
        </w:rPr>
        <w:t>。</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婚姻与家庭关系</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51.</w:t>
      </w:r>
      <w:r w:rsidRPr="00AF2B90">
        <w:rPr>
          <w:kern w:val="0"/>
          <w:szCs w:val="21"/>
        </w:rPr>
        <w:tab/>
      </w:r>
      <w:r w:rsidRPr="00AF2B90">
        <w:rPr>
          <w:rFonts w:hAnsi="宋体"/>
          <w:kern w:val="0"/>
          <w:szCs w:val="21"/>
        </w:rPr>
        <w:t>委员会欢迎减少离婚程序环节的法律改革。虽然委员会注意到最高法院作出决定质疑所谓的</w:t>
      </w:r>
      <w:r w:rsidRPr="001D2FFD">
        <w:rPr>
          <w:rFonts w:ascii="宋体" w:hAnsi="宋体"/>
          <w:kern w:val="0"/>
          <w:szCs w:val="21"/>
        </w:rPr>
        <w:t>“亲子疏离综合</w:t>
      </w:r>
      <w:r>
        <w:rPr>
          <w:rFonts w:ascii="宋体" w:hAnsi="宋体" w:hint="eastAsia"/>
          <w:kern w:val="0"/>
          <w:szCs w:val="21"/>
        </w:rPr>
        <w:t>征</w:t>
      </w:r>
      <w:r w:rsidRPr="001D2FFD">
        <w:rPr>
          <w:rFonts w:ascii="宋体" w:hAnsi="宋体"/>
          <w:kern w:val="0"/>
          <w:szCs w:val="21"/>
        </w:rPr>
        <w:t>”</w:t>
      </w:r>
      <w:r w:rsidRPr="00AF2B90">
        <w:rPr>
          <w:rFonts w:hAnsi="宋体"/>
          <w:kern w:val="0"/>
          <w:szCs w:val="21"/>
        </w:rPr>
        <w:t>理论的有效性以及意大利心理学学会和卫生部对它的否认，但委员会感到关切的是：</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(a)</w:t>
      </w:r>
      <w:r w:rsidRPr="00AF2B90">
        <w:rPr>
          <w:kern w:val="0"/>
          <w:szCs w:val="21"/>
        </w:rPr>
        <w:tab/>
      </w:r>
      <w:r w:rsidRPr="00AF2B90">
        <w:rPr>
          <w:rFonts w:hAnsi="宋体"/>
          <w:kern w:val="0"/>
          <w:szCs w:val="21"/>
        </w:rPr>
        <w:t>在儿童监护权诉讼中，该概念继续被专家用作心理报告的依据；</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(b)</w:t>
      </w:r>
      <w:r w:rsidRPr="00AF2B90">
        <w:rPr>
          <w:kern w:val="0"/>
          <w:szCs w:val="21"/>
        </w:rPr>
        <w:tab/>
      </w:r>
      <w:r w:rsidRPr="00AF2B90">
        <w:rPr>
          <w:rFonts w:hAnsi="宋体"/>
          <w:kern w:val="0"/>
          <w:szCs w:val="21"/>
        </w:rPr>
        <w:t>现行立法机制未能充分涉及需要在确定子女的监护权时考虑家庭范围内的性别暴力的问题。</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(c)</w:t>
      </w:r>
      <w:r w:rsidRPr="00AF2B90">
        <w:rPr>
          <w:kern w:val="0"/>
          <w:szCs w:val="21"/>
        </w:rPr>
        <w:tab/>
      </w:r>
      <w:r w:rsidRPr="00AF2B90">
        <w:rPr>
          <w:rFonts w:hAnsi="宋体"/>
          <w:kern w:val="0"/>
          <w:szCs w:val="21"/>
        </w:rPr>
        <w:t>虽然默认的婚姻财产制度是共同财产制度，但许多夫妇选择签订分割财产协议，而这往往导致对妇女不利的结果；</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kern w:val="0"/>
          <w:szCs w:val="21"/>
        </w:rPr>
      </w:pPr>
      <w:r w:rsidRPr="00AF2B90">
        <w:rPr>
          <w:kern w:val="0"/>
          <w:szCs w:val="21"/>
        </w:rPr>
        <w:tab/>
        <w:t>(d)</w:t>
      </w:r>
      <w:r w:rsidRPr="00AF2B90">
        <w:rPr>
          <w:kern w:val="0"/>
          <w:szCs w:val="21"/>
        </w:rPr>
        <w:tab/>
      </w:r>
      <w:r w:rsidRPr="00AF2B90">
        <w:rPr>
          <w:rFonts w:hAnsi="宋体"/>
          <w:kern w:val="0"/>
          <w:szCs w:val="21"/>
        </w:rPr>
        <w:t>在父亲未能支付子女抚养费的情况下，各区适用的服务和权利不一致。</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kern w:val="0"/>
          <w:szCs w:val="21"/>
        </w:rPr>
        <w:t>52.</w:t>
      </w:r>
      <w:r w:rsidRPr="00AF2B90">
        <w:rPr>
          <w:kern w:val="0"/>
          <w:szCs w:val="21"/>
        </w:rPr>
        <w:tab/>
      </w:r>
      <w:r w:rsidRPr="00AF2B90">
        <w:rPr>
          <w:rFonts w:eastAsia="黑体" w:hAnsi="宋体"/>
          <w:kern w:val="0"/>
          <w:szCs w:val="21"/>
        </w:rPr>
        <w:t>委员会建议缔约国：</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(a)</w:t>
      </w:r>
      <w:r w:rsidRPr="00AF2B90">
        <w:rPr>
          <w:rFonts w:eastAsia="黑体"/>
          <w:kern w:val="0"/>
          <w:szCs w:val="21"/>
        </w:rPr>
        <w:tab/>
      </w:r>
      <w:r w:rsidRPr="00AF2B90">
        <w:rPr>
          <w:rFonts w:eastAsia="黑体" w:hAnsi="宋体"/>
          <w:kern w:val="0"/>
          <w:szCs w:val="21"/>
        </w:rPr>
        <w:t>采取一切必要措施，阻止专家和法庭在监护权案件中使用</w:t>
      </w:r>
      <w:r w:rsidRPr="00382F9F">
        <w:rPr>
          <w:rFonts w:ascii="宋体" w:hAnsi="宋体"/>
          <w:kern w:val="0"/>
          <w:szCs w:val="21"/>
        </w:rPr>
        <w:t>“</w:t>
      </w:r>
      <w:r w:rsidRPr="00AF2B90">
        <w:rPr>
          <w:rFonts w:eastAsia="黑体" w:hAnsi="宋体"/>
          <w:kern w:val="0"/>
          <w:szCs w:val="21"/>
        </w:rPr>
        <w:t>亲子疏离综合</w:t>
      </w:r>
      <w:r>
        <w:rPr>
          <w:rFonts w:eastAsia="黑体" w:hAnsi="宋体" w:hint="eastAsia"/>
          <w:kern w:val="0"/>
          <w:szCs w:val="21"/>
        </w:rPr>
        <w:t>征</w:t>
      </w:r>
      <w:r w:rsidRPr="00382F9F">
        <w:rPr>
          <w:rFonts w:ascii="宋体" w:hAnsi="宋体"/>
          <w:kern w:val="0"/>
          <w:szCs w:val="21"/>
        </w:rPr>
        <w:t>”</w:t>
      </w:r>
      <w:r w:rsidRPr="00AF2B90">
        <w:rPr>
          <w:rFonts w:eastAsia="黑体" w:hAnsi="宋体"/>
          <w:kern w:val="0"/>
          <w:szCs w:val="21"/>
        </w:rPr>
        <w:t>的概念；</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lastRenderedPageBreak/>
        <w:tab/>
        <w:t>(b)</w:t>
      </w:r>
      <w:r w:rsidRPr="00AF2B90">
        <w:rPr>
          <w:rFonts w:eastAsia="黑体"/>
          <w:kern w:val="0"/>
          <w:szCs w:val="21"/>
        </w:rPr>
        <w:tab/>
      </w:r>
      <w:r w:rsidRPr="00AF2B90">
        <w:rPr>
          <w:rFonts w:eastAsia="黑体" w:hAnsi="宋体"/>
          <w:kern w:val="0"/>
          <w:szCs w:val="21"/>
        </w:rPr>
        <w:t>对于涉及家庭范围内性别暴力的案件，在确定子女的监护权时，充分考虑到妇女和子女的具体需要；</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(c)</w:t>
      </w:r>
      <w:r w:rsidRPr="00AF2B90">
        <w:rPr>
          <w:rFonts w:eastAsia="黑体"/>
          <w:kern w:val="0"/>
          <w:szCs w:val="21"/>
        </w:rPr>
        <w:tab/>
      </w:r>
      <w:r w:rsidRPr="00AF2B90">
        <w:rPr>
          <w:rFonts w:eastAsia="黑体" w:hAnsi="宋体"/>
          <w:kern w:val="0"/>
          <w:szCs w:val="21"/>
        </w:rPr>
        <w:t>确保妇女充分了解和知晓她们决定签订涉及离婚或分居后的婚姻财产分配的婚前协议的后果；</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(d)</w:t>
      </w:r>
      <w:r w:rsidRPr="00AF2B90">
        <w:rPr>
          <w:rFonts w:eastAsia="黑体"/>
          <w:kern w:val="0"/>
          <w:szCs w:val="21"/>
        </w:rPr>
        <w:tab/>
      </w:r>
      <w:r w:rsidRPr="00AF2B90">
        <w:rPr>
          <w:rFonts w:eastAsia="黑体" w:hAnsi="宋体"/>
          <w:kern w:val="0"/>
          <w:szCs w:val="21"/>
        </w:rPr>
        <w:t>建立一种机制，考虑到离异夫妻在收入水平和人的潜力上存在差距，其理由是妇女以牺牲其职业生涯为代价，在育儿和家庭工作方面的投资更高。</w:t>
      </w:r>
    </w:p>
    <w:p w:rsidR="00523EC6" w:rsidRPr="00AF2B90" w:rsidRDefault="00523EC6" w:rsidP="00523EC6">
      <w:pPr>
        <w:tabs>
          <w:tab w:val="left" w:pos="1134"/>
          <w:tab w:val="left" w:pos="1742"/>
          <w:tab w:val="left" w:pos="2218"/>
          <w:tab w:val="left" w:pos="2693"/>
          <w:tab w:val="left" w:pos="3182"/>
          <w:tab w:val="left" w:pos="3658"/>
          <w:tab w:val="left" w:pos="4133"/>
          <w:tab w:val="left" w:pos="4622"/>
          <w:tab w:val="left" w:pos="5098"/>
          <w:tab w:val="left" w:pos="5573"/>
          <w:tab w:val="left" w:pos="6048"/>
        </w:tabs>
        <w:spacing w:after="140"/>
        <w:ind w:left="1264" w:right="1264"/>
        <w:rPr>
          <w:rFonts w:eastAsia="黑体"/>
          <w:kern w:val="0"/>
          <w:szCs w:val="21"/>
        </w:rPr>
      </w:pPr>
      <w:r w:rsidRPr="00AF2B90">
        <w:rPr>
          <w:rFonts w:eastAsia="黑体"/>
          <w:kern w:val="0"/>
          <w:szCs w:val="21"/>
        </w:rPr>
        <w:tab/>
        <w:t>(e)</w:t>
      </w:r>
      <w:r w:rsidRPr="00AF2B90">
        <w:rPr>
          <w:rFonts w:eastAsia="黑体"/>
          <w:kern w:val="0"/>
          <w:szCs w:val="21"/>
        </w:rPr>
        <w:tab/>
      </w:r>
      <w:r w:rsidRPr="00AF2B90">
        <w:rPr>
          <w:rFonts w:eastAsia="黑体" w:hAnsi="宋体"/>
          <w:kern w:val="0"/>
          <w:szCs w:val="21"/>
        </w:rPr>
        <w:t>通过立法，保证在父亲无法支付子女抚养费的情况下，各地区平等落实为所有意大利儿童提供的服务，并尊重他们的权利。</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《北京宣言》和《行动纲要》</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53.</w:t>
      </w:r>
      <w:r w:rsidRPr="00AF2B90">
        <w:rPr>
          <w:rFonts w:eastAsia="黑体"/>
          <w:sz w:val="21"/>
          <w:szCs w:val="21"/>
          <w:lang w:eastAsia="zh-CN"/>
        </w:rPr>
        <w:tab/>
      </w:r>
      <w:r w:rsidRPr="00AF2B90">
        <w:rPr>
          <w:rFonts w:eastAsia="黑体" w:hAnsi="宋体"/>
          <w:sz w:val="21"/>
          <w:szCs w:val="21"/>
          <w:lang w:val="en-US" w:eastAsia="zh-CN"/>
        </w:rPr>
        <w:t>委员会呼吁缔约国利用《北京宣言》和《行动纲要》，努力执行《公约》各项规定。</w:t>
      </w:r>
    </w:p>
    <w:p w:rsidR="00523EC6" w:rsidRPr="00AF2B90" w:rsidRDefault="00523EC6" w:rsidP="00523EC6">
      <w:pPr>
        <w:pStyle w:val="SingleTxtG"/>
        <w:spacing w:after="140" w:line="320" w:lineRule="exact"/>
        <w:ind w:left="1264" w:right="1264"/>
        <w:rPr>
          <w:rFonts w:eastAsia="黑体"/>
          <w:sz w:val="21"/>
          <w:szCs w:val="21"/>
          <w:lang w:eastAsia="zh-CN"/>
        </w:rPr>
      </w:pPr>
      <w:r w:rsidRPr="00AF2B90">
        <w:rPr>
          <w:rFonts w:eastAsia="黑体" w:hAnsi="宋体"/>
          <w:sz w:val="21"/>
          <w:szCs w:val="21"/>
          <w:lang w:eastAsia="zh-CN"/>
        </w:rPr>
        <w:t>《</w:t>
      </w:r>
      <w:r w:rsidRPr="00AF2B90">
        <w:rPr>
          <w:rFonts w:eastAsia="黑体"/>
          <w:sz w:val="21"/>
          <w:szCs w:val="21"/>
          <w:lang w:val="en-US" w:eastAsia="zh-CN"/>
        </w:rPr>
        <w:t>2030</w:t>
      </w:r>
      <w:r w:rsidRPr="00AF2B90">
        <w:rPr>
          <w:rFonts w:eastAsia="黑体" w:hAnsi="宋体"/>
          <w:sz w:val="21"/>
          <w:szCs w:val="21"/>
          <w:lang w:val="en-US" w:eastAsia="zh-CN"/>
        </w:rPr>
        <w:t>年可持续发展议程</w:t>
      </w:r>
      <w:r w:rsidRPr="00AF2B90">
        <w:rPr>
          <w:rFonts w:eastAsia="黑体" w:hAnsi="宋体"/>
          <w:sz w:val="21"/>
          <w:szCs w:val="21"/>
          <w:lang w:eastAsia="zh-CN"/>
        </w:rPr>
        <w:t>》</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54.</w:t>
      </w:r>
      <w:r w:rsidRPr="00AF2B90">
        <w:rPr>
          <w:rFonts w:eastAsia="黑体"/>
          <w:sz w:val="21"/>
          <w:szCs w:val="21"/>
          <w:lang w:eastAsia="zh-CN"/>
        </w:rPr>
        <w:tab/>
      </w:r>
      <w:r w:rsidRPr="00AF2B90">
        <w:rPr>
          <w:rFonts w:eastAsia="黑体" w:hAnsi="宋体"/>
          <w:sz w:val="21"/>
          <w:szCs w:val="21"/>
          <w:lang w:val="en-US" w:eastAsia="zh-CN"/>
        </w:rPr>
        <w:t>委员会呼吁在《</w:t>
      </w:r>
      <w:r w:rsidRPr="00AF2B90">
        <w:rPr>
          <w:rFonts w:eastAsia="黑体"/>
          <w:sz w:val="21"/>
          <w:szCs w:val="21"/>
          <w:lang w:val="en-US" w:eastAsia="zh-CN"/>
        </w:rPr>
        <w:t>2030</w:t>
      </w:r>
      <w:r w:rsidRPr="00AF2B90">
        <w:rPr>
          <w:rFonts w:eastAsia="黑体" w:hAnsi="宋体"/>
          <w:sz w:val="21"/>
          <w:szCs w:val="21"/>
          <w:lang w:val="en-US" w:eastAsia="zh-CN"/>
        </w:rPr>
        <w:t>年可持续发展议程》的整个执行过程中按照《公约》规定实现实质性的性别平等。</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传播</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55.</w:t>
      </w:r>
      <w:r w:rsidRPr="00AF2B90">
        <w:rPr>
          <w:rFonts w:eastAsia="黑体"/>
          <w:sz w:val="21"/>
          <w:szCs w:val="21"/>
          <w:lang w:eastAsia="zh-CN"/>
        </w:rPr>
        <w:tab/>
      </w:r>
      <w:r w:rsidRPr="00AF2B90">
        <w:rPr>
          <w:rFonts w:eastAsia="黑体" w:hAnsi="宋体"/>
          <w:sz w:val="21"/>
          <w:szCs w:val="21"/>
          <w:lang w:val="en-US" w:eastAsia="zh-CN"/>
        </w:rPr>
        <w:t>委员会请缔约国及时使用官方语文向各级</w:t>
      </w:r>
      <w:r>
        <w:rPr>
          <w:rFonts w:eastAsia="黑体" w:hAnsi="宋体"/>
          <w:sz w:val="21"/>
          <w:szCs w:val="21"/>
          <w:lang w:val="en-US" w:eastAsia="zh-CN"/>
        </w:rPr>
        <w:t>(</w:t>
      </w:r>
      <w:r w:rsidRPr="00AF2B90">
        <w:rPr>
          <w:rFonts w:eastAsia="黑体" w:hAnsi="宋体"/>
          <w:sz w:val="21"/>
          <w:szCs w:val="21"/>
          <w:lang w:val="en-US" w:eastAsia="zh-CN"/>
        </w:rPr>
        <w:t>国家、区域和地方</w:t>
      </w:r>
      <w:r>
        <w:rPr>
          <w:rFonts w:eastAsia="黑体" w:hAnsi="宋体"/>
          <w:sz w:val="21"/>
          <w:szCs w:val="21"/>
          <w:lang w:val="en-US" w:eastAsia="zh-CN"/>
        </w:rPr>
        <w:t>)</w:t>
      </w:r>
      <w:r w:rsidRPr="00AF2B90">
        <w:rPr>
          <w:rFonts w:eastAsia="黑体" w:hAnsi="宋体"/>
          <w:sz w:val="21"/>
          <w:szCs w:val="21"/>
          <w:lang w:val="en-US" w:eastAsia="zh-CN"/>
        </w:rPr>
        <w:t>所有有关国家机构，特别是政府、各部委、国民议会和司法机构传播本结论性意见，以使其得到充分落实。</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批准其他条约</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56.</w:t>
      </w:r>
      <w:r w:rsidRPr="00AF2B90">
        <w:rPr>
          <w:rFonts w:eastAsia="黑体"/>
          <w:sz w:val="21"/>
          <w:szCs w:val="21"/>
          <w:lang w:eastAsia="zh-CN"/>
        </w:rPr>
        <w:tab/>
      </w:r>
      <w:r w:rsidRPr="00AF2B90">
        <w:rPr>
          <w:rFonts w:eastAsia="黑体" w:hAnsi="宋体"/>
          <w:sz w:val="21"/>
          <w:szCs w:val="21"/>
          <w:lang w:val="en-US" w:eastAsia="zh-CN"/>
        </w:rPr>
        <w:t>委员会指出，缔约国加入九项主要国际人权文书</w:t>
      </w:r>
      <w:r w:rsidRPr="00523EC6">
        <w:rPr>
          <w:rStyle w:val="a3"/>
          <w:rFonts w:eastAsia="黑体"/>
          <w:w w:val="100"/>
          <w:sz w:val="21"/>
          <w:szCs w:val="21"/>
          <w:lang w:val="en-US"/>
        </w:rPr>
        <w:footnoteReference w:id="2"/>
      </w:r>
      <w:r w:rsidRPr="00AF2B90">
        <w:rPr>
          <w:rFonts w:eastAsia="黑体" w:hAnsi="宋体"/>
          <w:sz w:val="21"/>
          <w:szCs w:val="21"/>
          <w:lang w:val="en-US" w:eastAsia="zh-CN"/>
        </w:rPr>
        <w:t>将有助于促进妇女在生活的各个方面享受其人权和基本自由。因此，委员会鼓励意大利政府考虑批准其尚未加入的《保护所有移徙工人及其家庭成员权利国际公约》。</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r w:rsidRPr="00AF2B90">
        <w:rPr>
          <w:rFonts w:eastAsia="黑体" w:hAnsi="宋体"/>
          <w:b w:val="0"/>
          <w:sz w:val="21"/>
          <w:szCs w:val="21"/>
          <w:lang w:eastAsia="zh-CN"/>
        </w:rPr>
        <w:t>结论性意见的后续行动</w:t>
      </w:r>
    </w:p>
    <w:p w:rsidR="00523EC6" w:rsidRPr="00AF2B90" w:rsidRDefault="00523EC6" w:rsidP="00523EC6">
      <w:pPr>
        <w:pStyle w:val="SingleTxtG"/>
        <w:spacing w:after="140" w:line="320" w:lineRule="exact"/>
        <w:ind w:left="1264" w:right="1264"/>
        <w:rPr>
          <w:rFonts w:eastAsia="黑体"/>
          <w:sz w:val="21"/>
          <w:szCs w:val="21"/>
          <w:lang w:val="en-US" w:eastAsia="zh-CN"/>
        </w:rPr>
      </w:pPr>
      <w:r w:rsidRPr="00AF2B90">
        <w:rPr>
          <w:rFonts w:eastAsia="黑体"/>
          <w:sz w:val="21"/>
          <w:szCs w:val="21"/>
          <w:lang w:eastAsia="zh-CN"/>
        </w:rPr>
        <w:t>57.</w:t>
      </w:r>
      <w:r w:rsidRPr="00AF2B90">
        <w:rPr>
          <w:rFonts w:eastAsia="黑体"/>
          <w:sz w:val="21"/>
          <w:szCs w:val="21"/>
          <w:lang w:eastAsia="zh-CN"/>
        </w:rPr>
        <w:tab/>
      </w:r>
      <w:r w:rsidRPr="00AF2B90">
        <w:rPr>
          <w:rFonts w:eastAsia="黑体" w:hAnsi="宋体"/>
          <w:sz w:val="21"/>
          <w:szCs w:val="21"/>
          <w:lang w:val="en-US" w:eastAsia="zh-CN"/>
        </w:rPr>
        <w:t>委员会请缔约国在两年内提出书面资料，说明为执行上文第</w:t>
      </w:r>
      <w:r w:rsidRPr="00AF2B90">
        <w:rPr>
          <w:rFonts w:eastAsia="黑体"/>
          <w:sz w:val="21"/>
          <w:szCs w:val="21"/>
          <w:lang w:val="en-US" w:eastAsia="zh-CN"/>
        </w:rPr>
        <w:t>15</w:t>
      </w:r>
      <w:r w:rsidRPr="00AF2B90" w:rsidDel="008D3EF9">
        <w:rPr>
          <w:rFonts w:eastAsia="黑体" w:hAnsi="宋体"/>
          <w:sz w:val="21"/>
          <w:szCs w:val="21"/>
          <w:lang w:val="en-US" w:eastAsia="zh-CN"/>
        </w:rPr>
        <w:t xml:space="preserve"> </w:t>
      </w:r>
      <w:r w:rsidRPr="00AF2B90">
        <w:rPr>
          <w:rFonts w:eastAsia="黑体"/>
          <w:sz w:val="21"/>
          <w:szCs w:val="21"/>
          <w:lang w:val="en-US" w:eastAsia="zh-CN"/>
        </w:rPr>
        <w:t>(a)</w:t>
      </w:r>
      <w:r w:rsidRPr="00AF2B90">
        <w:rPr>
          <w:rFonts w:eastAsia="黑体" w:hAnsi="宋体"/>
          <w:sz w:val="21"/>
          <w:szCs w:val="21"/>
          <w:lang w:val="en-US" w:eastAsia="zh-CN"/>
        </w:rPr>
        <w:t>和</w:t>
      </w:r>
      <w:r w:rsidRPr="00AF2B90">
        <w:rPr>
          <w:rFonts w:eastAsia="黑体"/>
          <w:sz w:val="21"/>
          <w:szCs w:val="21"/>
          <w:lang w:val="en-US" w:eastAsia="zh-CN"/>
        </w:rPr>
        <w:t>(b)</w:t>
      </w:r>
      <w:r w:rsidRPr="008D3EF9">
        <w:rPr>
          <w:rFonts w:eastAsia="黑体" w:hAnsi="宋体"/>
          <w:sz w:val="21"/>
          <w:szCs w:val="21"/>
          <w:lang w:val="en-US" w:eastAsia="zh-CN"/>
        </w:rPr>
        <w:t xml:space="preserve"> </w:t>
      </w:r>
      <w:r w:rsidRPr="00AF2B90">
        <w:rPr>
          <w:rFonts w:eastAsia="黑体" w:hAnsi="宋体"/>
          <w:sz w:val="21"/>
          <w:szCs w:val="21"/>
          <w:lang w:val="en-US" w:eastAsia="zh-CN"/>
        </w:rPr>
        <w:t>段、第</w:t>
      </w:r>
      <w:r w:rsidRPr="00AF2B90">
        <w:rPr>
          <w:rFonts w:eastAsia="黑体"/>
          <w:sz w:val="21"/>
          <w:szCs w:val="21"/>
          <w:lang w:val="en-US" w:eastAsia="zh-CN"/>
        </w:rPr>
        <w:t>21</w:t>
      </w:r>
      <w:r w:rsidRPr="00AF2B90" w:rsidDel="008D3EF9">
        <w:rPr>
          <w:rFonts w:eastAsia="黑体" w:hAnsi="宋体"/>
          <w:sz w:val="21"/>
          <w:szCs w:val="21"/>
          <w:lang w:val="en-US" w:eastAsia="zh-CN"/>
        </w:rPr>
        <w:t xml:space="preserve"> </w:t>
      </w:r>
      <w:r w:rsidRPr="00AF2B90">
        <w:rPr>
          <w:rFonts w:eastAsia="黑体"/>
          <w:sz w:val="21"/>
          <w:szCs w:val="21"/>
          <w:lang w:val="en-US" w:eastAsia="zh-CN"/>
        </w:rPr>
        <w:t>(b)</w:t>
      </w:r>
      <w:r w:rsidRPr="008D3EF9">
        <w:rPr>
          <w:rFonts w:eastAsia="黑体" w:hAnsi="宋体"/>
          <w:sz w:val="21"/>
          <w:szCs w:val="21"/>
          <w:lang w:val="en-US" w:eastAsia="zh-CN"/>
        </w:rPr>
        <w:t xml:space="preserve"> </w:t>
      </w:r>
      <w:r w:rsidRPr="00AF2B90">
        <w:rPr>
          <w:rFonts w:eastAsia="黑体" w:hAnsi="宋体"/>
          <w:sz w:val="21"/>
          <w:szCs w:val="21"/>
          <w:lang w:val="en-US" w:eastAsia="zh-CN"/>
        </w:rPr>
        <w:t>段和第</w:t>
      </w:r>
      <w:r w:rsidRPr="00AF2B90">
        <w:rPr>
          <w:rFonts w:eastAsia="黑体"/>
          <w:sz w:val="21"/>
          <w:szCs w:val="21"/>
          <w:lang w:val="en-US" w:eastAsia="zh-CN"/>
        </w:rPr>
        <w:t>23</w:t>
      </w:r>
      <w:r w:rsidRPr="00AF2B90">
        <w:rPr>
          <w:rFonts w:eastAsia="黑体" w:hAnsi="宋体"/>
          <w:sz w:val="21"/>
          <w:szCs w:val="21"/>
          <w:lang w:val="en-US" w:eastAsia="zh-CN"/>
        </w:rPr>
        <w:t>段所载建议而采取的步骤。</w:t>
      </w:r>
    </w:p>
    <w:p w:rsidR="00523EC6" w:rsidRPr="00AF2B90" w:rsidRDefault="00523EC6" w:rsidP="00523EC6">
      <w:pPr>
        <w:pStyle w:val="H23G"/>
        <w:spacing w:before="0" w:line="320" w:lineRule="exact"/>
        <w:ind w:left="1264" w:right="1264"/>
        <w:rPr>
          <w:rFonts w:eastAsia="黑体"/>
          <w:b w:val="0"/>
          <w:sz w:val="21"/>
          <w:szCs w:val="21"/>
          <w:lang w:eastAsia="zh-CN"/>
        </w:rPr>
      </w:pPr>
      <w:r w:rsidRPr="00AF2B90">
        <w:rPr>
          <w:rFonts w:eastAsia="黑体"/>
          <w:b w:val="0"/>
          <w:sz w:val="21"/>
          <w:szCs w:val="21"/>
          <w:lang w:eastAsia="zh-CN"/>
        </w:rPr>
        <w:tab/>
      </w:r>
      <w:r w:rsidRPr="00AF2B90">
        <w:rPr>
          <w:rFonts w:eastAsia="黑体"/>
          <w:b w:val="0"/>
          <w:sz w:val="21"/>
          <w:szCs w:val="21"/>
          <w:lang w:eastAsia="zh-CN"/>
        </w:rPr>
        <w:tab/>
      </w:r>
      <w:bookmarkStart w:id="1" w:name="_GoBack"/>
      <w:bookmarkEnd w:id="1"/>
      <w:r w:rsidRPr="00AF2B90">
        <w:rPr>
          <w:rFonts w:eastAsia="黑体" w:hAnsi="宋体"/>
          <w:b w:val="0"/>
          <w:sz w:val="21"/>
          <w:szCs w:val="21"/>
          <w:lang w:eastAsia="zh-CN"/>
        </w:rPr>
        <w:t>编写下一次报告</w:t>
      </w:r>
    </w:p>
    <w:p w:rsidR="00523EC6" w:rsidRPr="00AF2B90" w:rsidRDefault="00523EC6" w:rsidP="00523EC6">
      <w:pPr>
        <w:pStyle w:val="SingleTxt"/>
        <w:rPr>
          <w:kern w:val="0"/>
          <w:szCs w:val="21"/>
        </w:rPr>
      </w:pPr>
      <w:r w:rsidRPr="00AF2B90">
        <w:rPr>
          <w:rFonts w:eastAsia="黑体"/>
          <w:kern w:val="0"/>
          <w:szCs w:val="21"/>
        </w:rPr>
        <w:t>58.</w:t>
      </w:r>
      <w:r w:rsidRPr="00AF2B90">
        <w:rPr>
          <w:rFonts w:eastAsia="黑体"/>
          <w:kern w:val="0"/>
          <w:szCs w:val="21"/>
        </w:rPr>
        <w:tab/>
      </w:r>
      <w:r w:rsidRPr="00AF2B90">
        <w:rPr>
          <w:rFonts w:eastAsia="黑体" w:hAnsi="宋体"/>
          <w:kern w:val="0"/>
          <w:szCs w:val="21"/>
        </w:rPr>
        <w:t>委员会请缔约国定于</w:t>
      </w:r>
      <w:r w:rsidRPr="00AF2B90">
        <w:rPr>
          <w:rFonts w:eastAsia="黑体"/>
          <w:kern w:val="0"/>
          <w:szCs w:val="21"/>
        </w:rPr>
        <w:t>2021</w:t>
      </w:r>
      <w:r w:rsidRPr="00AF2B90">
        <w:rPr>
          <w:rFonts w:eastAsia="黑体" w:hAnsi="宋体"/>
          <w:kern w:val="0"/>
          <w:szCs w:val="21"/>
        </w:rPr>
        <w:t>年</w:t>
      </w:r>
      <w:r w:rsidRPr="00AF2B90">
        <w:rPr>
          <w:rFonts w:eastAsia="黑体"/>
          <w:kern w:val="0"/>
          <w:szCs w:val="21"/>
        </w:rPr>
        <w:t>7</w:t>
      </w:r>
      <w:r w:rsidRPr="00AF2B90">
        <w:rPr>
          <w:rFonts w:eastAsia="黑体" w:hAnsi="宋体"/>
          <w:kern w:val="0"/>
          <w:szCs w:val="21"/>
        </w:rPr>
        <w:t>月提交其第八次定期报告。该报告应准时提交，如有延迟，则应涵盖截至提交之时的整个期间。</w:t>
      </w:r>
    </w:p>
    <w:p w:rsidR="00523EC6" w:rsidRPr="00AF2B90" w:rsidRDefault="00523EC6" w:rsidP="00523EC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64"/>
        <w:rPr>
          <w:rFonts w:eastAsia="黑体"/>
          <w:kern w:val="0"/>
          <w:szCs w:val="21"/>
          <w:lang w:val="en-GB"/>
        </w:rPr>
      </w:pPr>
      <w:r w:rsidRPr="00AF2B90">
        <w:rPr>
          <w:rFonts w:eastAsia="黑体"/>
          <w:kern w:val="0"/>
          <w:szCs w:val="21"/>
        </w:rPr>
        <w:lastRenderedPageBreak/>
        <w:t>59.</w:t>
      </w:r>
      <w:r w:rsidRPr="00AF2B90">
        <w:rPr>
          <w:rFonts w:eastAsia="黑体"/>
          <w:kern w:val="0"/>
          <w:szCs w:val="21"/>
        </w:rPr>
        <w:tab/>
      </w:r>
      <w:r w:rsidRPr="00AF2B90">
        <w:rPr>
          <w:rFonts w:eastAsia="黑体" w:hAnsi="宋体"/>
          <w:kern w:val="0"/>
          <w:szCs w:val="21"/>
        </w:rPr>
        <w:t>委员会请缔约国遵守包括共同核心文件和条约专要文件准则在内的根据国际人权条约统一提交报告准则</w:t>
      </w:r>
      <w:r>
        <w:rPr>
          <w:rFonts w:eastAsia="黑体" w:hAnsi="宋体"/>
          <w:kern w:val="0"/>
          <w:szCs w:val="21"/>
        </w:rPr>
        <w:t>(</w:t>
      </w:r>
      <w:r w:rsidRPr="00AF2B90">
        <w:rPr>
          <w:rFonts w:eastAsia="黑体" w:hAnsi="宋体"/>
          <w:kern w:val="0"/>
          <w:szCs w:val="21"/>
        </w:rPr>
        <w:t>见</w:t>
      </w:r>
      <w:hyperlink r:id="rId28" w:history="1">
        <w:r w:rsidRPr="00523EC6">
          <w:rPr>
            <w:rStyle w:val="ad"/>
            <w:rFonts w:eastAsia="黑体"/>
            <w:kern w:val="0"/>
            <w:szCs w:val="21"/>
          </w:rPr>
          <w:t>HRI/GEN/2/Rev.6</w:t>
        </w:r>
      </w:hyperlink>
      <w:r w:rsidRPr="00AF2B90">
        <w:rPr>
          <w:rFonts w:eastAsia="黑体" w:hAnsi="宋体"/>
          <w:kern w:val="0"/>
          <w:szCs w:val="21"/>
        </w:rPr>
        <w:t>，第一章</w:t>
      </w:r>
      <w:r>
        <w:rPr>
          <w:rFonts w:eastAsia="黑体" w:hAnsi="宋体"/>
          <w:kern w:val="0"/>
          <w:szCs w:val="21"/>
        </w:rPr>
        <w:t>)</w:t>
      </w:r>
      <w:r w:rsidRPr="00AF2B90">
        <w:rPr>
          <w:rFonts w:eastAsia="黑体" w:hAnsi="宋体"/>
          <w:kern w:val="0"/>
          <w:szCs w:val="21"/>
        </w:rPr>
        <w:t>。</w:t>
      </w:r>
    </w:p>
    <w:p w:rsidR="00523EC6" w:rsidRPr="00AF2B90" w:rsidRDefault="00523EC6" w:rsidP="00523EC6">
      <w:pPr>
        <w:pStyle w:val="SingleTxt"/>
        <w:spacing w:after="0" w:line="240" w:lineRule="auto"/>
        <w:rPr>
          <w:kern w:val="0"/>
          <w:szCs w:val="21"/>
        </w:rPr>
      </w:pPr>
      <w:r>
        <w:rPr>
          <w:noProof/>
          <w:kern w:val="0"/>
          <w:szCs w:val="21"/>
        </w:rPr>
        <mc:AlternateContent>
          <mc:Choice Requires="wps">
            <w:drawing>
              <wp:anchor distT="4294967292" distB="4294967292" distL="114300" distR="114300" simplePos="0" relativeHeight="251659264" behindDoc="0" locked="0" layoutInCell="1" allowOverlap="1">
                <wp:simplePos x="0" y="0"/>
                <wp:positionH relativeFrom="column">
                  <wp:align>center</wp:align>
                </wp:positionH>
                <wp:positionV relativeFrom="paragraph">
                  <wp:posOffset>380999</wp:posOffset>
                </wp:positionV>
                <wp:extent cx="914400" cy="0"/>
                <wp:effectExtent l="0" t="0" r="19050" b="19050"/>
                <wp:wrapNone/>
                <wp:docPr id="6"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直接连接符 6" o:spid="_x0000_s1026" style="position:absolute;left:0;text-align:left;z-index:251659264;visibility:visible;mso-wrap-style:square;mso-width-percent:0;mso-height-percent:0;mso-wrap-distance-left:9pt;mso-wrap-distance-top:-1e-4mm;mso-wrap-distance-right:9pt;mso-wrap-distance-bottom:-1e-4mm;mso-position-horizontal:center;mso-position-horizontal-relative:text;mso-position-vertical:absolute;mso-position-vertical-relative:text;mso-width-percent:0;mso-height-percent:0;mso-width-relative:page;mso-height-relative:page"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" strokecolor="#010000" strokeweight=".25pt">
                <o:lock v:ext="edit" shapetype="f"/>
              </v:line>
            </w:pict>
          </mc:Fallback>
        </mc:AlternateContent>
      </w:r>
    </w:p>
    <w:p w:rsidR="00B31E9D" w:rsidRPr="00523EC6" w:rsidRDefault="00B31E9D" w:rsidP="00523EC6">
      <w:pPr>
        <w:pStyle w:val="SingleTxt"/>
        <w:tabs>
          <w:tab w:val="clear" w:pos="2988"/>
          <w:tab w:val="clear" w:pos="3419"/>
          <w:tab w:val="clear" w:pos="3850"/>
          <w:tab w:val="clear" w:pos="4281"/>
          <w:tab w:val="clear" w:pos="4712"/>
          <w:tab w:val="clear" w:pos="5143"/>
          <w:tab w:val="clear" w:pos="5574"/>
          <w:tab w:val="clear" w:pos="6005"/>
          <w:tab w:val="clear" w:pos="6435"/>
          <w:tab w:val="right" w:pos="1195"/>
          <w:tab w:val="left" w:pos="1264"/>
          <w:tab w:val="left" w:pos="1695"/>
          <w:tab w:val="left" w:pos="2126"/>
          <w:tab w:val="left" w:pos="2557"/>
        </w:tabs>
        <w:ind w:hanging="432"/>
        <w:rPr>
          <w:rFonts w:hint="eastAsia"/>
        </w:rPr>
      </w:pPr>
    </w:p>
    <w:sectPr w:rsidR="00B31E9D" w:rsidRPr="00523EC6" w:rsidSect="000B0995">
      <w:type w:val="continuous"/>
      <w:pgSz w:w="12240" w:h="15840" w:code="1"/>
      <w:pgMar w:top="1742" w:right="1200" w:bottom="1898" w:left="1200"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21:23:00Z" w:initials="Start">
    <w:p w:rsidR="006C7320" w:rsidRDefault="006C732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NO&gt;&gt;N1722748C&lt;&lt;ODS JOB NO&gt;&gt;</w:t>
      </w:r>
    </w:p>
    <w:p w:rsidR="006C7320" w:rsidRDefault="006C7320">
      <w:pPr>
        <w:pStyle w:val="a7"/>
      </w:pPr>
      <w:r>
        <w:t>&lt;&lt;ODS DOC SYMBOL1&gt;&gt;CEDAW/C/ITA/CO/7&lt;&lt;ODS DOC SYMBOL1&gt;&gt;</w:t>
      </w:r>
    </w:p>
    <w:p w:rsidR="006C7320" w:rsidRDefault="006C7320">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2B3" w:rsidRDefault="003A72B3">
      <w:r>
        <w:separator/>
      </w:r>
    </w:p>
  </w:endnote>
  <w:endnote w:type="continuationSeparator" w:id="0">
    <w:p w:rsidR="003A72B3" w:rsidRDefault="003A7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altName w:val="Arial"/>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C7320" w:rsidTr="006C7320">
      <w:tblPrEx>
        <w:tblCellMar>
          <w:top w:w="0" w:type="dxa"/>
          <w:bottom w:w="0" w:type="dxa"/>
        </w:tblCellMar>
      </w:tblPrEx>
      <w:tc>
        <w:tcPr>
          <w:tcW w:w="5028" w:type="dxa"/>
          <w:shd w:val="clear" w:color="auto" w:fill="auto"/>
        </w:tcPr>
        <w:p w:rsidR="006C7320" w:rsidRPr="006C7320" w:rsidRDefault="006C7320" w:rsidP="006C732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17-11286 (C)</w:t>
          </w:r>
          <w:r>
            <w:rPr>
              <w:b w:val="0"/>
              <w:w w:val="103"/>
              <w:sz w:val="14"/>
            </w:rPr>
            <w:fldChar w:fldCharType="end"/>
          </w:r>
        </w:p>
      </w:tc>
      <w:tc>
        <w:tcPr>
          <w:tcW w:w="5028" w:type="dxa"/>
          <w:shd w:val="clear" w:color="auto" w:fill="auto"/>
        </w:tcPr>
        <w:p w:rsidR="006C7320" w:rsidRPr="006C7320" w:rsidRDefault="006C7320" w:rsidP="006C7320">
          <w:pPr>
            <w:pStyle w:val="ac"/>
            <w:jc w:val="left"/>
            <w:rPr>
              <w:w w:val="103"/>
            </w:rPr>
          </w:pPr>
          <w:r>
            <w:rPr>
              <w:w w:val="103"/>
            </w:rPr>
            <w:fldChar w:fldCharType="begin"/>
          </w:r>
          <w:r>
            <w:rPr>
              <w:w w:val="103"/>
            </w:rPr>
            <w:instrText xml:space="preserve"> PAGE  \* Arabic  \* MERGEFORMAT </w:instrText>
          </w:r>
          <w:r>
            <w:rPr>
              <w:w w:val="103"/>
            </w:rPr>
            <w:fldChar w:fldCharType="separate"/>
          </w:r>
          <w:r w:rsidR="008D0F43">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D0F43">
            <w:rPr>
              <w:w w:val="103"/>
            </w:rPr>
            <w:t>19</w:t>
          </w:r>
          <w:r>
            <w:rPr>
              <w:w w:val="103"/>
            </w:rPr>
            <w:fldChar w:fldCharType="end"/>
          </w:r>
        </w:p>
      </w:tc>
    </w:tr>
  </w:tbl>
  <w:p w:rsidR="006C7320" w:rsidRPr="006C7320" w:rsidRDefault="006C7320" w:rsidP="006C732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C7320" w:rsidTr="006C7320">
      <w:tblPrEx>
        <w:tblCellMar>
          <w:top w:w="0" w:type="dxa"/>
          <w:bottom w:w="0" w:type="dxa"/>
        </w:tblCellMar>
      </w:tblPrEx>
      <w:tc>
        <w:tcPr>
          <w:tcW w:w="5028" w:type="dxa"/>
          <w:shd w:val="clear" w:color="auto" w:fill="auto"/>
        </w:tcPr>
        <w:p w:rsidR="006C7320" w:rsidRPr="006C7320" w:rsidRDefault="006C7320" w:rsidP="006C7320">
          <w:pPr>
            <w:pStyle w:val="ac"/>
            <w:jc w:val="right"/>
          </w:pPr>
          <w:r>
            <w:fldChar w:fldCharType="begin"/>
          </w:r>
          <w:r>
            <w:instrText xml:space="preserve"> PAGE  \* Arabic  \* MERGEFORMAT </w:instrText>
          </w:r>
          <w:r>
            <w:fldChar w:fldCharType="separate"/>
          </w:r>
          <w:r w:rsidR="008D0F43">
            <w:t>19</w:t>
          </w:r>
          <w:r>
            <w:fldChar w:fldCharType="end"/>
          </w:r>
          <w:r>
            <w:t>/</w:t>
          </w:r>
          <w:fldSimple w:instr=" NUMPAGES  \* Arabic  \* MERGEFORMAT ">
            <w:r w:rsidR="008D0F43">
              <w:t>19</w:t>
            </w:r>
          </w:fldSimple>
        </w:p>
      </w:tc>
      <w:tc>
        <w:tcPr>
          <w:tcW w:w="5028" w:type="dxa"/>
          <w:shd w:val="clear" w:color="auto" w:fill="auto"/>
        </w:tcPr>
        <w:p w:rsidR="006C7320" w:rsidRPr="006C7320" w:rsidRDefault="006C7320" w:rsidP="006C732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17-11286 (C)</w:t>
          </w:r>
          <w:r>
            <w:rPr>
              <w:b w:val="0"/>
              <w:w w:val="103"/>
              <w:sz w:val="14"/>
            </w:rPr>
            <w:fldChar w:fldCharType="end"/>
          </w:r>
        </w:p>
      </w:tc>
    </w:tr>
  </w:tbl>
  <w:p w:rsidR="006C7320" w:rsidRPr="006C7320" w:rsidRDefault="006C7320" w:rsidP="006C732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6C7320" w:rsidTr="006C7320">
      <w:tblPrEx>
        <w:tblCellMar>
          <w:top w:w="0" w:type="dxa"/>
          <w:bottom w:w="0" w:type="dxa"/>
        </w:tblCellMar>
      </w:tblPrEx>
      <w:tc>
        <w:tcPr>
          <w:tcW w:w="3744" w:type="dxa"/>
        </w:tcPr>
        <w:p w:rsidR="006C7320" w:rsidRDefault="000E3C3A" w:rsidP="006C7320">
          <w:pPr>
            <w:pStyle w:val="Release"/>
          </w:pPr>
          <w:r w:rsidRPr="000E3C3A">
            <w:t>17-11286 X (C)</w:t>
          </w:r>
          <w:r w:rsidR="006C7320">
            <w:rPr>
              <w:noProof/>
            </w:rPr>
            <w:drawing>
              <wp:anchor distT="0" distB="0" distL="114300" distR="114300" simplePos="0" relativeHeight="251658240" behindDoc="0" locked="0" layoutInCell="1" allowOverlap="1" wp14:anchorId="23DD4542" wp14:editId="7AB6ADC5">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ITA/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TA/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210917    2</w:t>
          </w:r>
          <w:r>
            <w:rPr>
              <w:rFonts w:hint="eastAsia"/>
            </w:rPr>
            <w:t>2</w:t>
          </w:r>
          <w:r w:rsidR="006C7320">
            <w:t>0917</w:t>
          </w:r>
        </w:p>
        <w:p w:rsidR="006C7320" w:rsidRPr="006C7320" w:rsidRDefault="006C7320" w:rsidP="006C7320">
          <w:pPr>
            <w:spacing w:before="80" w:line="210" w:lineRule="exact"/>
            <w:rPr>
              <w:rFonts w:ascii="Barcode 3 of 9 by request" w:hAnsi="Barcode 3 of 9 by request"/>
              <w:sz w:val="24"/>
            </w:rPr>
          </w:pPr>
          <w:r>
            <w:rPr>
              <w:rFonts w:ascii="Barcode 3 of 9 by request" w:hAnsi="Barcode 3 of 9 by request"/>
              <w:sz w:val="24"/>
            </w:rPr>
            <w:t>*1711286*</w:t>
          </w:r>
        </w:p>
      </w:tc>
      <w:tc>
        <w:tcPr>
          <w:tcW w:w="5028" w:type="dxa"/>
        </w:tcPr>
        <w:p w:rsidR="006C7320" w:rsidRDefault="006C7320" w:rsidP="006C7320">
          <w:pPr>
            <w:pStyle w:val="ac"/>
            <w:jc w:val="right"/>
            <w:rPr>
              <w:b w:val="0"/>
              <w:sz w:val="21"/>
            </w:rPr>
          </w:pPr>
          <w:r>
            <w:rPr>
              <w:b w:val="0"/>
              <w:sz w:val="21"/>
            </w:rPr>
            <w:drawing>
              <wp:inline distT="0" distB="0" distL="0" distR="0" wp14:anchorId="4D3552A1" wp14:editId="11AFD24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6C7320" w:rsidRPr="006C7320" w:rsidRDefault="006C7320" w:rsidP="006C7320">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2B3" w:rsidRPr="00523EC6" w:rsidRDefault="00523EC6" w:rsidP="00523EC6">
      <w:pPr>
        <w:pStyle w:val="ac"/>
        <w:spacing w:after="80"/>
        <w:ind w:left="792"/>
        <w:rPr>
          <w:sz w:val="16"/>
        </w:rPr>
      </w:pPr>
      <w:r w:rsidRPr="00523EC6">
        <w:rPr>
          <w:sz w:val="16"/>
        </w:rPr>
        <w:t>__________________</w:t>
      </w:r>
    </w:p>
  </w:footnote>
  <w:footnote w:type="continuationSeparator" w:id="0">
    <w:p w:rsidR="003A72B3" w:rsidRPr="00523EC6" w:rsidRDefault="00523EC6" w:rsidP="00523EC6">
      <w:pPr>
        <w:pStyle w:val="ac"/>
        <w:spacing w:after="80"/>
        <w:ind w:left="792"/>
        <w:rPr>
          <w:sz w:val="16"/>
        </w:rPr>
      </w:pPr>
      <w:r w:rsidRPr="00523EC6">
        <w:rPr>
          <w:sz w:val="16"/>
        </w:rPr>
        <w:t>__________________</w:t>
      </w:r>
    </w:p>
  </w:footnote>
  <w:footnote w:id="1">
    <w:p w:rsidR="00523EC6" w:rsidRPr="00AF2B90" w:rsidRDefault="00523EC6" w:rsidP="00523EC6">
      <w:pPr>
        <w:pStyle w:val="a5"/>
        <w:tabs>
          <w:tab w:val="clear" w:pos="418"/>
          <w:tab w:val="right" w:pos="1195"/>
          <w:tab w:val="left" w:pos="1264"/>
          <w:tab w:val="left" w:pos="1695"/>
          <w:tab w:val="left" w:pos="2126"/>
          <w:tab w:val="left" w:pos="2557"/>
        </w:tabs>
        <w:ind w:left="1264" w:right="1264" w:hanging="432"/>
        <w:rPr>
          <w:rFonts w:eastAsiaTheme="minorEastAsia"/>
          <w:lang w:val="fr-CH"/>
        </w:rPr>
      </w:pPr>
      <w:r w:rsidRPr="00AF2B90">
        <w:tab/>
      </w:r>
      <w:r w:rsidRPr="00AF2B90">
        <w:rPr>
          <w:rStyle w:val="a3"/>
          <w:w w:val="100"/>
          <w:kern w:val="0"/>
          <w:szCs w:val="18"/>
        </w:rPr>
        <w:t>*</w:t>
      </w:r>
      <w:r w:rsidRPr="00AF2B90">
        <w:rPr>
          <w:rFonts w:hint="eastAsia"/>
        </w:rPr>
        <w:tab/>
      </w:r>
      <w:r w:rsidRPr="00AF2B90">
        <w:rPr>
          <w:rFonts w:hint="eastAsia"/>
        </w:rPr>
        <w:t>委员会第六十七届会议</w:t>
      </w:r>
      <w:r w:rsidRPr="00AF2B90">
        <w:rPr>
          <w:rFonts w:hint="eastAsia"/>
        </w:rPr>
        <w:t>(2017</w:t>
      </w:r>
      <w:r w:rsidRPr="00AF2B90">
        <w:rPr>
          <w:rFonts w:hint="eastAsia"/>
        </w:rPr>
        <w:t>年</w:t>
      </w:r>
      <w:r w:rsidRPr="00AF2B90">
        <w:rPr>
          <w:rFonts w:hint="eastAsia"/>
        </w:rPr>
        <w:t>7</w:t>
      </w:r>
      <w:r w:rsidRPr="00AF2B90">
        <w:rPr>
          <w:rFonts w:hint="eastAsia"/>
        </w:rPr>
        <w:t>月</w:t>
      </w:r>
      <w:r w:rsidRPr="00AF2B90">
        <w:rPr>
          <w:rFonts w:hint="eastAsia"/>
        </w:rPr>
        <w:t>3</w:t>
      </w:r>
      <w:r w:rsidRPr="00AF2B90">
        <w:rPr>
          <w:rFonts w:hint="eastAsia"/>
        </w:rPr>
        <w:t>日至</w:t>
      </w:r>
      <w:r w:rsidRPr="00AF2B90">
        <w:rPr>
          <w:rFonts w:hint="eastAsia"/>
        </w:rPr>
        <w:t>21</w:t>
      </w:r>
      <w:r w:rsidRPr="00AF2B90">
        <w:rPr>
          <w:rFonts w:hint="eastAsia"/>
        </w:rPr>
        <w:t>日</w:t>
      </w:r>
      <w:r w:rsidRPr="00AF2B90">
        <w:rPr>
          <w:rFonts w:hint="eastAsia"/>
        </w:rPr>
        <w:t>)</w:t>
      </w:r>
      <w:r w:rsidRPr="00AF2B90">
        <w:rPr>
          <w:rFonts w:hint="eastAsia"/>
        </w:rPr>
        <w:t>上通过。</w:t>
      </w:r>
    </w:p>
  </w:footnote>
  <w:footnote w:id="2">
    <w:p w:rsidR="00523EC6" w:rsidRPr="00AF2B90" w:rsidRDefault="00523EC6" w:rsidP="00523EC6">
      <w:pPr>
        <w:pStyle w:val="a5"/>
        <w:tabs>
          <w:tab w:val="clear" w:pos="418"/>
          <w:tab w:val="right" w:pos="1195"/>
          <w:tab w:val="left" w:pos="1264"/>
          <w:tab w:val="left" w:pos="1695"/>
          <w:tab w:val="left" w:pos="2126"/>
          <w:tab w:val="left" w:pos="2557"/>
        </w:tabs>
        <w:ind w:left="1264" w:right="1264" w:hanging="432"/>
      </w:pPr>
      <w:r w:rsidRPr="00AF2B90">
        <w:tab/>
      </w:r>
      <w:r w:rsidRPr="00AF2B90">
        <w:rPr>
          <w:rStyle w:val="a3"/>
          <w:w w:val="100"/>
          <w:kern w:val="0"/>
        </w:rPr>
        <w:footnoteRef/>
      </w:r>
      <w:r w:rsidRPr="00AF2B90">
        <w:tab/>
      </w:r>
      <w:r w:rsidRPr="00AF2B90">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C7320" w:rsidTr="006C7320">
      <w:tblPrEx>
        <w:tblCellMar>
          <w:top w:w="0" w:type="dxa"/>
          <w:bottom w:w="0" w:type="dxa"/>
        </w:tblCellMar>
      </w:tblPrEx>
      <w:trPr>
        <w:trHeight w:hRule="exact" w:val="864"/>
      </w:trPr>
      <w:tc>
        <w:tcPr>
          <w:tcW w:w="4838" w:type="dxa"/>
          <w:shd w:val="clear" w:color="auto" w:fill="auto"/>
          <w:vAlign w:val="bottom"/>
        </w:tcPr>
        <w:p w:rsidR="006C7320" w:rsidRPr="006C7320" w:rsidRDefault="006C7320" w:rsidP="006C732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CEDAW/C/ITA/CO/7</w:t>
          </w:r>
          <w:r>
            <w:rPr>
              <w:b/>
              <w:sz w:val="17"/>
            </w:rPr>
            <w:fldChar w:fldCharType="end"/>
          </w:r>
        </w:p>
      </w:tc>
      <w:tc>
        <w:tcPr>
          <w:tcW w:w="5028" w:type="dxa"/>
          <w:shd w:val="clear" w:color="auto" w:fill="auto"/>
          <w:vAlign w:val="bottom"/>
        </w:tcPr>
        <w:p w:rsidR="006C7320" w:rsidRDefault="006C7320" w:rsidP="006C7320">
          <w:pPr>
            <w:pStyle w:val="ab"/>
          </w:pPr>
        </w:p>
      </w:tc>
    </w:tr>
  </w:tbl>
  <w:p w:rsidR="006C7320" w:rsidRPr="006C7320" w:rsidRDefault="006C7320" w:rsidP="006C732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C7320" w:rsidTr="006C7320">
      <w:tblPrEx>
        <w:tblCellMar>
          <w:top w:w="0" w:type="dxa"/>
          <w:bottom w:w="0" w:type="dxa"/>
        </w:tblCellMar>
      </w:tblPrEx>
      <w:trPr>
        <w:trHeight w:hRule="exact" w:val="864"/>
      </w:trPr>
      <w:tc>
        <w:tcPr>
          <w:tcW w:w="4838" w:type="dxa"/>
          <w:shd w:val="clear" w:color="auto" w:fill="auto"/>
          <w:vAlign w:val="bottom"/>
        </w:tcPr>
        <w:p w:rsidR="006C7320" w:rsidRDefault="006C7320" w:rsidP="006C7320">
          <w:pPr>
            <w:pStyle w:val="ab"/>
          </w:pPr>
        </w:p>
      </w:tc>
      <w:tc>
        <w:tcPr>
          <w:tcW w:w="5028" w:type="dxa"/>
          <w:shd w:val="clear" w:color="auto" w:fill="auto"/>
          <w:vAlign w:val="bottom"/>
        </w:tcPr>
        <w:p w:rsidR="006C7320" w:rsidRPr="006C7320" w:rsidRDefault="006C7320" w:rsidP="006C732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CEDAW/C/ITA/CO/7</w:t>
          </w:r>
          <w:r>
            <w:rPr>
              <w:b/>
              <w:sz w:val="17"/>
            </w:rPr>
            <w:fldChar w:fldCharType="end"/>
          </w:r>
        </w:p>
      </w:tc>
    </w:tr>
  </w:tbl>
  <w:p w:rsidR="006C7320" w:rsidRPr="006C7320" w:rsidRDefault="006C7320" w:rsidP="006C732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C7320" w:rsidTr="006C732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7320" w:rsidRDefault="006C7320" w:rsidP="006C7320">
          <w:pPr>
            <w:pStyle w:val="ab"/>
            <w:spacing w:after="120"/>
          </w:pPr>
        </w:p>
      </w:tc>
      <w:tc>
        <w:tcPr>
          <w:tcW w:w="1872" w:type="dxa"/>
          <w:tcBorders>
            <w:bottom w:val="single" w:sz="4" w:space="0" w:color="auto"/>
          </w:tcBorders>
          <w:shd w:val="clear" w:color="auto" w:fill="auto"/>
          <w:vAlign w:val="bottom"/>
        </w:tcPr>
        <w:p w:rsidR="006C7320" w:rsidRPr="006C7320" w:rsidRDefault="006C7320" w:rsidP="006C732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6C7320" w:rsidRDefault="006C7320" w:rsidP="006C7320">
          <w:pPr>
            <w:pStyle w:val="ab"/>
            <w:spacing w:after="120"/>
          </w:pPr>
        </w:p>
      </w:tc>
      <w:tc>
        <w:tcPr>
          <w:tcW w:w="6523" w:type="dxa"/>
          <w:gridSpan w:val="3"/>
          <w:tcBorders>
            <w:bottom w:val="single" w:sz="4" w:space="0" w:color="auto"/>
          </w:tcBorders>
          <w:shd w:val="clear" w:color="auto" w:fill="auto"/>
          <w:vAlign w:val="bottom"/>
        </w:tcPr>
        <w:p w:rsidR="006C7320" w:rsidRPr="006C7320" w:rsidRDefault="006C7320" w:rsidP="006C7320">
          <w:pPr>
            <w:spacing w:after="80" w:line="240" w:lineRule="auto"/>
            <w:jc w:val="right"/>
            <w:rPr>
              <w:position w:val="-4"/>
            </w:rPr>
          </w:pPr>
          <w:r>
            <w:rPr>
              <w:position w:val="-4"/>
              <w:sz w:val="40"/>
            </w:rPr>
            <w:t>CEDAW</w:t>
          </w:r>
          <w:r>
            <w:rPr>
              <w:position w:val="-4"/>
            </w:rPr>
            <w:t>/C/ITA/CO/7</w:t>
          </w:r>
        </w:p>
      </w:tc>
    </w:tr>
    <w:tr w:rsidR="006C7320" w:rsidRPr="006C7320" w:rsidTr="006C73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7320" w:rsidRPr="006C7320" w:rsidRDefault="006C7320" w:rsidP="006C7320">
          <w:pPr>
            <w:pStyle w:val="ab"/>
            <w:spacing w:before="109"/>
            <w:ind w:left="-72"/>
          </w:pPr>
          <w:r>
            <w:t xml:space="preserve"> </w:t>
          </w:r>
          <w:r>
            <w:drawing>
              <wp:inline distT="0" distB="0" distL="0" distR="0" wp14:anchorId="0155E891" wp14:editId="57C7B7A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C7320" w:rsidRPr="006C7320" w:rsidRDefault="006C7320" w:rsidP="006C732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C7320" w:rsidRPr="006C7320" w:rsidRDefault="006C7320" w:rsidP="006C7320">
          <w:pPr>
            <w:pStyle w:val="ab"/>
            <w:spacing w:before="109"/>
          </w:pPr>
        </w:p>
      </w:tc>
      <w:tc>
        <w:tcPr>
          <w:tcW w:w="3180" w:type="dxa"/>
          <w:gridSpan w:val="2"/>
          <w:tcBorders>
            <w:top w:val="single" w:sz="4" w:space="0" w:color="auto"/>
            <w:bottom w:val="single" w:sz="12" w:space="0" w:color="auto"/>
          </w:tcBorders>
          <w:shd w:val="clear" w:color="auto" w:fill="auto"/>
        </w:tcPr>
        <w:p w:rsidR="006C7320" w:rsidRDefault="006C7320" w:rsidP="006C7320">
          <w:pPr>
            <w:pStyle w:val="Distr"/>
          </w:pPr>
          <w:r>
            <w:t>Distr.: General</w:t>
          </w:r>
        </w:p>
        <w:p w:rsidR="006C7320" w:rsidRDefault="006C7320" w:rsidP="006C7320">
          <w:pPr>
            <w:pStyle w:val="Publication"/>
          </w:pPr>
          <w:r>
            <w:t>24 July 2017</w:t>
          </w:r>
        </w:p>
        <w:p w:rsidR="006C7320" w:rsidRDefault="006C7320" w:rsidP="006C7320">
          <w:pPr>
            <w:spacing w:line="240" w:lineRule="exact"/>
          </w:pPr>
          <w:r>
            <w:t>Chinese</w:t>
          </w:r>
        </w:p>
        <w:p w:rsidR="006C7320" w:rsidRDefault="006C7320" w:rsidP="006C7320">
          <w:pPr>
            <w:pStyle w:val="Original"/>
          </w:pPr>
          <w:r>
            <w:t>Original: English</w:t>
          </w:r>
        </w:p>
        <w:p w:rsidR="006C7320" w:rsidRPr="006C7320" w:rsidRDefault="006C7320" w:rsidP="006C7320"/>
      </w:tc>
    </w:tr>
  </w:tbl>
  <w:p w:rsidR="006C7320" w:rsidRPr="006C7320" w:rsidRDefault="006C7320" w:rsidP="006C7320">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6*"/>
    <w:docVar w:name="CreationDt" w:val="21/09/2017 21:23:03"/>
    <w:docVar w:name="DocCategory" w:val="Doc"/>
    <w:docVar w:name="DocType" w:val="Final"/>
    <w:docVar w:name="DutyStation" w:val="New York"/>
    <w:docVar w:name="FooterJN" w:val="17-11286 (C)"/>
    <w:docVar w:name="jobn" w:val="17-11286 (C)"/>
    <w:docVar w:name="jobnDT" w:val="17-11286 (C)   210917"/>
    <w:docVar w:name="jobnDTDT" w:val="17-11286 (C)   210917   210917"/>
    <w:docVar w:name="JobNo" w:val="1711286C"/>
    <w:docVar w:name="LocalDrive" w:val="0"/>
    <w:docVar w:name="OandT" w:val="GB"/>
    <w:docVar w:name="sss1" w:val="CEDAW/C/ITA/CO/7"/>
    <w:docVar w:name="sss2" w:val="-"/>
    <w:docVar w:name="Symbol1" w:val="CEDAW/C/ITA/CO/7"/>
    <w:docVar w:name="Symbol2" w:val="-"/>
  </w:docVars>
  <w:rsids>
    <w:rsidRoot w:val="003A72B3"/>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608A"/>
    <w:rsid w:val="00066B28"/>
    <w:rsid w:val="0006787D"/>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3C3A"/>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2B3"/>
    <w:rsid w:val="003A7B88"/>
    <w:rsid w:val="003C4125"/>
    <w:rsid w:val="003C448D"/>
    <w:rsid w:val="003C7B20"/>
    <w:rsid w:val="003D075F"/>
    <w:rsid w:val="003D5B4D"/>
    <w:rsid w:val="003E4565"/>
    <w:rsid w:val="003E5999"/>
    <w:rsid w:val="003E748F"/>
    <w:rsid w:val="003E7612"/>
    <w:rsid w:val="003F4BD2"/>
    <w:rsid w:val="003F7BF8"/>
    <w:rsid w:val="004044EF"/>
    <w:rsid w:val="00413A7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23EC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4B40"/>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7CF"/>
    <w:rsid w:val="00615A9C"/>
    <w:rsid w:val="00617802"/>
    <w:rsid w:val="006201CE"/>
    <w:rsid w:val="006328DE"/>
    <w:rsid w:val="006353DE"/>
    <w:rsid w:val="00640671"/>
    <w:rsid w:val="006432CB"/>
    <w:rsid w:val="006461E3"/>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2F63"/>
    <w:rsid w:val="006A5CFB"/>
    <w:rsid w:val="006A654B"/>
    <w:rsid w:val="006B769C"/>
    <w:rsid w:val="006C2998"/>
    <w:rsid w:val="006C4AD7"/>
    <w:rsid w:val="006C4BB3"/>
    <w:rsid w:val="006C7320"/>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0F4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6D8D"/>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rsid w:val="00523EC6"/>
    <w:rPr>
      <w:rFonts w:eastAsia="宋体"/>
      <w:noProof/>
      <w:kern w:val="14"/>
      <w:sz w:val="18"/>
      <w:lang w:val="en-US"/>
    </w:rPr>
  </w:style>
  <w:style w:type="paragraph" w:customStyle="1" w:styleId="SingleTxtG">
    <w:name w:val="_ Single Txt_G"/>
    <w:basedOn w:val="a"/>
    <w:link w:val="SingleTxtGChar"/>
    <w:qFormat/>
    <w:rsid w:val="00523EC6"/>
    <w:pPr>
      <w:suppressAutoHyphens/>
      <w:spacing w:after="120" w:line="240" w:lineRule="atLeast"/>
      <w:ind w:left="1134" w:right="1134"/>
    </w:pPr>
    <w:rPr>
      <w:rFonts w:eastAsiaTheme="minorEastAsia"/>
      <w:kern w:val="0"/>
      <w:sz w:val="20"/>
      <w:lang w:val="en-GB" w:eastAsia="en-US"/>
    </w:rPr>
  </w:style>
  <w:style w:type="paragraph" w:customStyle="1" w:styleId="H23G">
    <w:name w:val="_ H_2/3_G"/>
    <w:basedOn w:val="a"/>
    <w:next w:val="a"/>
    <w:qFormat/>
    <w:rsid w:val="00523EC6"/>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523EC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rsid w:val="00523EC6"/>
    <w:rPr>
      <w:rFonts w:eastAsia="宋体"/>
      <w:noProof/>
      <w:kern w:val="14"/>
      <w:sz w:val="18"/>
      <w:lang w:val="en-US"/>
    </w:rPr>
  </w:style>
  <w:style w:type="paragraph" w:customStyle="1" w:styleId="SingleTxtG">
    <w:name w:val="_ Single Txt_G"/>
    <w:basedOn w:val="a"/>
    <w:link w:val="SingleTxtGChar"/>
    <w:qFormat/>
    <w:rsid w:val="00523EC6"/>
    <w:pPr>
      <w:suppressAutoHyphens/>
      <w:spacing w:after="120" w:line="240" w:lineRule="atLeast"/>
      <w:ind w:left="1134" w:right="1134"/>
    </w:pPr>
    <w:rPr>
      <w:rFonts w:eastAsiaTheme="minorEastAsia"/>
      <w:kern w:val="0"/>
      <w:sz w:val="20"/>
      <w:lang w:val="en-GB" w:eastAsia="en-US"/>
    </w:rPr>
  </w:style>
  <w:style w:type="paragraph" w:customStyle="1" w:styleId="H23G">
    <w:name w:val="_ H_2/3_G"/>
    <w:basedOn w:val="a"/>
    <w:next w:val="a"/>
    <w:qFormat/>
    <w:rsid w:val="00523EC6"/>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523EC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S/RES/81/201" TargetMode="External"/><Relationship Id="rId26" Type="http://schemas.openxmlformats.org/officeDocument/2006/relationships/hyperlink" Target="https://undocs.org/ch/S/RES/66/201" TargetMode="External"/><Relationship Id="rId3" Type="http://schemas.openxmlformats.org/officeDocument/2006/relationships/styles" Target="styles.xml"/><Relationship Id="rId21" Type="http://schemas.openxmlformats.org/officeDocument/2006/relationships/hyperlink" Target="https://undocs.org/ch/S/RES/20/20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ESP/6" TargetMode="External"/><Relationship Id="rId25" Type="http://schemas.openxmlformats.org/officeDocument/2006/relationships/hyperlink" Target="https://undocs.org/ch/S/RES/19/201" TargetMode="External"/><Relationship Id="rId2" Type="http://schemas.openxmlformats.org/officeDocument/2006/relationships/numbering" Target="numbering.xml"/><Relationship Id="rId16" Type="http://schemas.openxmlformats.org/officeDocument/2006/relationships/hyperlink" Target="http://undocs.org/CEDAW/C/ESP/7" TargetMode="External"/><Relationship Id="rId20" Type="http://schemas.openxmlformats.org/officeDocument/2006/relationships/hyperlink" Target="https://undocs.org/ch/S/RES/24/20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S/RES/19/20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S/RES/05/199" TargetMode="External"/><Relationship Id="rId28" Type="http://schemas.openxmlformats.org/officeDocument/2006/relationships/hyperlink" Target="https://undocs.org/ch/HRI/GEN/2/Rev.6" TargetMode="External"/><Relationship Id="rId10" Type="http://schemas.openxmlformats.org/officeDocument/2006/relationships/header" Target="header2.xml"/><Relationship Id="rId19" Type="http://schemas.openxmlformats.org/officeDocument/2006/relationships/hyperlink" Target="https://undocs.org/ch/S/RES/80/20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S/RES/05/199" TargetMode="External"/><Relationship Id="rId27" Type="http://schemas.openxmlformats.org/officeDocument/2006/relationships/hyperlink" Target="https://undocs.org/ch/S/RES/66/20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9A87C-339B-4C85-ACF8-4B202EA44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13381</Words>
  <Characters>14281</Characters>
  <Application>Microsoft Office Word</Application>
  <DocSecurity>0</DocSecurity>
  <Lines>549</Lines>
  <Paragraphs>266</Paragraphs>
  <ScaleCrop>false</ScaleCrop>
  <Company>United Nations</Company>
  <LinksUpToDate>false</LinksUpToDate>
  <CharactersWithSpaces>14755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Bin Guo</cp:lastModifiedBy>
  <cp:revision>4</cp:revision>
  <dcterms:created xsi:type="dcterms:W3CDTF">2017-09-22T01:27:00Z</dcterms:created>
  <dcterms:modified xsi:type="dcterms:W3CDTF">2017-09-22T01:28:00Z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vt:lpwstr>
  </property>
  <property fmtid="{D5CDD505-2E9C-101B-9397-08002B2CF9AE}" pid="3" name="ODSRefJobNo">
    <vt:lpwstr>1722748C</vt:lpwstr>
  </property>
  <property fmtid="{D5CDD505-2E9C-101B-9397-08002B2CF9AE}" pid="4" name="Symbol1">
    <vt:lpwstr>CEDAW/C/ITA/CO/7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24 July 2017</vt:lpwstr>
  </property>
  <property fmtid="{D5CDD505-2E9C-101B-9397-08002B2CF9AE}" pid="11" name="Original">
    <vt:lpwstr>English</vt:lpwstr>
  </property>
  <property fmtid="{D5CDD505-2E9C-101B-9397-08002B2CF9AE}" pid="12" name="Release Date">
    <vt:lpwstr>210917</vt:lpwstr>
  </property>
  <property fmtid="{D5CDD505-2E9C-101B-9397-08002B2CF9AE}" pid="13" name="Title1">
    <vt:lpwstr>消除对妇女歧视委员会</vt:lpwstr>
  </property>
  <property fmtid="{D5CDD505-2E9C-101B-9397-08002B2CF9AE}" pid="14" name="Comment">
    <vt:lpwstr/>
  </property>
  <property fmtid="{D5CDD505-2E9C-101B-9397-08002B2CF9AE}" pid="15" name="DraftPages">
    <vt:lpwstr> </vt:lpwstr>
  </property>
  <property fmtid="{D5CDD505-2E9C-101B-9397-08002B2CF9AE}" pid="16" name="Operator">
    <vt:lpwstr>GB</vt:lpwstr>
  </property>
</Properties>
</file>