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2715760" w14:textId="77777777" w:rsidTr="000E62AA">
        <w:trPr>
          <w:trHeight w:hRule="exact" w:val="851"/>
        </w:trPr>
        <w:tc>
          <w:tcPr>
            <w:tcW w:w="1280" w:type="dxa"/>
            <w:tcBorders>
              <w:bottom w:val="single" w:sz="4" w:space="0" w:color="auto"/>
            </w:tcBorders>
          </w:tcPr>
          <w:p w14:paraId="4B90EF5D" w14:textId="77777777" w:rsidR="00A1364C" w:rsidRPr="00F124C6" w:rsidRDefault="00A1364C" w:rsidP="00D02719"/>
        </w:tc>
        <w:tc>
          <w:tcPr>
            <w:tcW w:w="2273" w:type="dxa"/>
            <w:tcBorders>
              <w:bottom w:val="single" w:sz="4" w:space="0" w:color="auto"/>
            </w:tcBorders>
            <w:vAlign w:val="bottom"/>
          </w:tcPr>
          <w:p w14:paraId="123B9C07" w14:textId="77777777" w:rsidR="00A1364C" w:rsidRPr="00B1020B" w:rsidRDefault="00A1364C" w:rsidP="000E62AA">
            <w:pPr>
              <w:spacing w:after="80" w:line="300" w:lineRule="exact"/>
              <w:rPr>
                <w:rFonts w:ascii="Time New Roman" w:eastAsia="SimHei" w:hAnsi="Time New Roman" w:hint="eastAsia"/>
                <w:sz w:val="28"/>
              </w:rPr>
            </w:pPr>
            <w:r w:rsidRPr="00B1020B">
              <w:rPr>
                <w:rFonts w:ascii="宋体" w:eastAsia="SimHei" w:hAnsi="宋体" w:cs="宋体" w:hint="eastAsia"/>
                <w:sz w:val="28"/>
              </w:rPr>
              <w:t>联</w:t>
            </w:r>
            <w:r w:rsidR="00B1020B">
              <w:rPr>
                <w:rFonts w:ascii="宋体" w:eastAsia="SimHei" w:hAnsi="宋体" w:cs="宋体" w:hint="eastAsia"/>
                <w:sz w:val="28"/>
              </w:rPr>
              <w:t xml:space="preserve"> </w:t>
            </w:r>
            <w:r w:rsidRPr="00B1020B">
              <w:rPr>
                <w:rFonts w:ascii="宋体" w:eastAsia="SimHei" w:hAnsi="宋体" w:cs="宋体" w:hint="eastAsia"/>
                <w:sz w:val="28"/>
              </w:rPr>
              <w:t>合</w:t>
            </w:r>
            <w:r w:rsidR="00B1020B">
              <w:rPr>
                <w:rFonts w:ascii="宋体" w:eastAsia="SimHei" w:hAnsi="宋体" w:cs="宋体" w:hint="eastAsia"/>
                <w:sz w:val="28"/>
              </w:rPr>
              <w:t xml:space="preserve"> </w:t>
            </w:r>
            <w:r w:rsidRPr="00B1020B">
              <w:rPr>
                <w:rFonts w:ascii="宋体" w:eastAsia="SimHei" w:hAnsi="宋体" w:cs="宋体" w:hint="eastAsia"/>
                <w:sz w:val="28"/>
              </w:rPr>
              <w:t>国</w:t>
            </w:r>
          </w:p>
        </w:tc>
        <w:tc>
          <w:tcPr>
            <w:tcW w:w="6086" w:type="dxa"/>
            <w:gridSpan w:val="2"/>
            <w:tcBorders>
              <w:bottom w:val="single" w:sz="4" w:space="0" w:color="auto"/>
            </w:tcBorders>
            <w:vAlign w:val="bottom"/>
          </w:tcPr>
          <w:p w14:paraId="13DD78D6" w14:textId="33417CAE" w:rsidR="00A1364C" w:rsidRPr="00584C06" w:rsidRDefault="00584C06" w:rsidP="000E62AA">
            <w:pPr>
              <w:spacing w:line="240" w:lineRule="atLeast"/>
              <w:jc w:val="right"/>
              <w:rPr>
                <w:sz w:val="20"/>
                <w:szCs w:val="21"/>
              </w:rPr>
            </w:pPr>
            <w:r>
              <w:rPr>
                <w:sz w:val="40"/>
                <w:szCs w:val="21"/>
              </w:rPr>
              <w:t>A</w:t>
            </w:r>
            <w:r>
              <w:rPr>
                <w:sz w:val="20"/>
                <w:szCs w:val="21"/>
              </w:rPr>
              <w:t>/HRC/RES/62/12</w:t>
            </w:r>
          </w:p>
        </w:tc>
      </w:tr>
      <w:tr w:rsidR="00A1364C" w:rsidRPr="00F124C6" w14:paraId="1227A06A" w14:textId="77777777" w:rsidTr="000E62AA">
        <w:trPr>
          <w:trHeight w:hRule="exact" w:val="2835"/>
        </w:trPr>
        <w:tc>
          <w:tcPr>
            <w:tcW w:w="1280" w:type="dxa"/>
            <w:tcBorders>
              <w:top w:val="single" w:sz="4" w:space="0" w:color="auto"/>
              <w:bottom w:val="single" w:sz="12" w:space="0" w:color="auto"/>
            </w:tcBorders>
          </w:tcPr>
          <w:p w14:paraId="4131C91A" w14:textId="77777777" w:rsidR="00A1364C" w:rsidRPr="00F124C6" w:rsidRDefault="00A1364C" w:rsidP="000E62AA">
            <w:pPr>
              <w:spacing w:line="120" w:lineRule="atLeast"/>
              <w:rPr>
                <w:sz w:val="10"/>
                <w:szCs w:val="10"/>
              </w:rPr>
            </w:pPr>
          </w:p>
          <w:p w14:paraId="2DFCD25F" w14:textId="77777777" w:rsidR="00A1364C" w:rsidRPr="00F124C6" w:rsidRDefault="00A1364C" w:rsidP="000E62AA">
            <w:pPr>
              <w:spacing w:line="120" w:lineRule="atLeast"/>
              <w:rPr>
                <w:sz w:val="10"/>
                <w:szCs w:val="10"/>
              </w:rPr>
            </w:pPr>
            <w:r>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1F5DE1" w14:textId="77777777" w:rsidR="00A1364C" w:rsidRPr="00D74986" w:rsidRDefault="00A1364C" w:rsidP="00692A2B">
            <w:pPr>
              <w:spacing w:before="240" w:line="480" w:lineRule="exact"/>
              <w:rPr>
                <w:rFonts w:ascii="Time New Roman" w:eastAsia="SimHei" w:hAnsi="Time New Roman" w:hint="eastAsia"/>
                <w:spacing w:val="200"/>
                <w:sz w:val="40"/>
                <w:szCs w:val="40"/>
              </w:rPr>
            </w:pPr>
            <w:r w:rsidRPr="00D74986">
              <w:rPr>
                <w:rFonts w:ascii="宋体" w:eastAsia="SimHei" w:hAnsi="宋体" w:cs="宋体" w:hint="eastAsia"/>
                <w:spacing w:val="200"/>
                <w:sz w:val="40"/>
                <w:szCs w:val="40"/>
              </w:rPr>
              <w:t>大会</w:t>
            </w:r>
          </w:p>
        </w:tc>
        <w:tc>
          <w:tcPr>
            <w:tcW w:w="2819" w:type="dxa"/>
            <w:tcBorders>
              <w:top w:val="single" w:sz="4" w:space="0" w:color="auto"/>
              <w:bottom w:val="single" w:sz="12" w:space="0" w:color="auto"/>
            </w:tcBorders>
          </w:tcPr>
          <w:p w14:paraId="696152A2" w14:textId="607DF1A9" w:rsidR="00A1364C" w:rsidRPr="00F124C6" w:rsidRDefault="00584C06" w:rsidP="000E62AA">
            <w:pPr>
              <w:spacing w:before="240" w:line="240" w:lineRule="atLeast"/>
              <w:rPr>
                <w:sz w:val="20"/>
              </w:rPr>
            </w:pPr>
            <w:r>
              <w:rPr>
                <w:sz w:val="20"/>
              </w:rPr>
              <w:t>Distr.: General</w:t>
            </w:r>
          </w:p>
          <w:p w14:paraId="55ABFF25" w14:textId="2FB33FC6" w:rsidR="00A1364C" w:rsidRPr="00F124C6" w:rsidRDefault="00584C06" w:rsidP="007A4727">
            <w:pPr>
              <w:spacing w:line="240" w:lineRule="atLeast"/>
              <w:rPr>
                <w:sz w:val="20"/>
              </w:rPr>
            </w:pPr>
            <w:r>
              <w:rPr>
                <w:sz w:val="20"/>
              </w:rPr>
              <w:t>8 July</w:t>
            </w:r>
            <w:r w:rsidR="008B4347">
              <w:rPr>
                <w:sz w:val="20"/>
              </w:rPr>
              <w:t xml:space="preserve"> </w:t>
            </w:r>
            <w:r>
              <w:rPr>
                <w:sz w:val="20"/>
              </w:rPr>
              <w:t>2</w:t>
            </w:r>
            <w:r w:rsidR="008B4347">
              <w:rPr>
                <w:sz w:val="20"/>
              </w:rPr>
              <w:t>0</w:t>
            </w:r>
            <w:r>
              <w:rPr>
                <w:sz w:val="20"/>
              </w:rPr>
              <w:t>26</w:t>
            </w:r>
          </w:p>
          <w:p w14:paraId="426816AB" w14:textId="5FA3E7C8" w:rsidR="00A1364C" w:rsidRPr="00F124C6" w:rsidRDefault="00584C06" w:rsidP="000E62AA">
            <w:pPr>
              <w:spacing w:line="240" w:lineRule="atLeast"/>
              <w:rPr>
                <w:sz w:val="20"/>
              </w:rPr>
            </w:pPr>
            <w:r>
              <w:rPr>
                <w:sz w:val="20"/>
              </w:rPr>
              <w:t>Chinese</w:t>
            </w:r>
            <w:r w:rsidR="00A1364C" w:rsidRPr="00F124C6">
              <w:rPr>
                <w:sz w:val="20"/>
              </w:rPr>
              <w:t xml:space="preserve"> </w:t>
            </w:r>
          </w:p>
          <w:p w14:paraId="2E3A6B00" w14:textId="497127A6" w:rsidR="00A1364C" w:rsidRPr="00F124C6" w:rsidRDefault="00584C06" w:rsidP="000E62AA">
            <w:pPr>
              <w:spacing w:line="240" w:lineRule="atLeast"/>
            </w:pPr>
            <w:r>
              <w:rPr>
                <w:sz w:val="20"/>
              </w:rPr>
              <w:t>Original: English</w:t>
            </w:r>
          </w:p>
        </w:tc>
      </w:tr>
    </w:tbl>
    <w:p w14:paraId="60EF4402" w14:textId="77777777" w:rsidR="00584C06" w:rsidRDefault="00584C06" w:rsidP="00C7253F">
      <w:pPr>
        <w:spacing w:before="120"/>
        <w:rPr>
          <w:rFonts w:eastAsia="SimHei"/>
          <w:sz w:val="24"/>
          <w:szCs w:val="24"/>
          <w:lang w:val="fr-CH"/>
        </w:rPr>
      </w:pPr>
      <w:r>
        <w:rPr>
          <w:rFonts w:eastAsia="SimHei" w:hint="eastAsia"/>
          <w:sz w:val="24"/>
          <w:szCs w:val="24"/>
          <w:lang w:val="fr-CH"/>
        </w:rPr>
        <w:t>人权理事会</w:t>
      </w:r>
    </w:p>
    <w:p w14:paraId="5610E8BA" w14:textId="4578B16D" w:rsidR="00584C06" w:rsidRDefault="00584C06" w:rsidP="00C7253F">
      <w:pPr>
        <w:rPr>
          <w:rFonts w:eastAsia="SimHei"/>
          <w:szCs w:val="21"/>
          <w:lang w:val="fr-CH"/>
        </w:rPr>
      </w:pPr>
      <w:r>
        <w:rPr>
          <w:rFonts w:eastAsia="SimHei" w:hint="eastAsia"/>
          <w:szCs w:val="21"/>
          <w:lang w:val="fr-CH"/>
        </w:rPr>
        <w:t>第</w:t>
      </w:r>
      <w:r w:rsidRPr="00584C06">
        <w:rPr>
          <w:rFonts w:eastAsia="SimHei"/>
          <w:szCs w:val="21"/>
          <w:lang w:val="fr-CH"/>
        </w:rPr>
        <w:t>六十二</w:t>
      </w:r>
      <w:r>
        <w:rPr>
          <w:rFonts w:eastAsia="SimHei" w:hint="eastAsia"/>
          <w:szCs w:val="21"/>
          <w:lang w:val="fr-CH"/>
        </w:rPr>
        <w:t>届会议</w:t>
      </w:r>
    </w:p>
    <w:p w14:paraId="61BD05E7" w14:textId="0FC5EB57" w:rsidR="00584C06" w:rsidRDefault="00584C06" w:rsidP="00C7253F">
      <w:pPr>
        <w:rPr>
          <w:szCs w:val="21"/>
          <w:lang w:val="fr-CH"/>
        </w:rPr>
      </w:pPr>
      <w:r>
        <w:rPr>
          <w:szCs w:val="21"/>
          <w:lang w:val="fr-CH"/>
        </w:rPr>
        <w:t>2</w:t>
      </w:r>
      <w:r w:rsidRPr="00584C06">
        <w:rPr>
          <w:szCs w:val="21"/>
          <w:lang w:val="fr-CH"/>
        </w:rPr>
        <w:t>0</w:t>
      </w:r>
      <w:r>
        <w:rPr>
          <w:szCs w:val="21"/>
          <w:lang w:val="fr-CH"/>
        </w:rPr>
        <w:t>26</w:t>
      </w:r>
      <w:r w:rsidRPr="00584C06">
        <w:rPr>
          <w:szCs w:val="21"/>
          <w:lang w:val="fr-CH"/>
        </w:rPr>
        <w:t>年</w:t>
      </w:r>
      <w:r>
        <w:rPr>
          <w:szCs w:val="21"/>
          <w:lang w:val="fr-CH"/>
        </w:rPr>
        <w:t>6</w:t>
      </w:r>
      <w:r w:rsidRPr="00584C06">
        <w:rPr>
          <w:szCs w:val="21"/>
          <w:lang w:val="fr-CH"/>
        </w:rPr>
        <w:t>月</w:t>
      </w:r>
      <w:r>
        <w:rPr>
          <w:szCs w:val="21"/>
          <w:lang w:val="fr-CH"/>
        </w:rPr>
        <w:t>15</w:t>
      </w:r>
      <w:r w:rsidRPr="00584C06">
        <w:rPr>
          <w:szCs w:val="21"/>
          <w:lang w:val="fr-CH"/>
        </w:rPr>
        <w:t>日至</w:t>
      </w:r>
      <w:r>
        <w:rPr>
          <w:szCs w:val="21"/>
          <w:lang w:val="fr-CH"/>
        </w:rPr>
        <w:t>7</w:t>
      </w:r>
      <w:r w:rsidRPr="00584C06">
        <w:rPr>
          <w:szCs w:val="21"/>
          <w:lang w:val="fr-CH"/>
        </w:rPr>
        <w:t>月</w:t>
      </w:r>
      <w:r>
        <w:rPr>
          <w:szCs w:val="21"/>
          <w:lang w:val="fr-CH"/>
        </w:rPr>
        <w:t>8</w:t>
      </w:r>
      <w:r w:rsidRPr="00584C06">
        <w:rPr>
          <w:szCs w:val="21"/>
          <w:lang w:val="fr-CH"/>
        </w:rPr>
        <w:t>日</w:t>
      </w:r>
    </w:p>
    <w:p w14:paraId="22DC7161" w14:textId="6EBB53AC" w:rsidR="00584C06" w:rsidRPr="00584C06" w:rsidRDefault="00584C06" w:rsidP="00C7253F">
      <w:pPr>
        <w:rPr>
          <w:b/>
          <w:bCs/>
          <w:szCs w:val="21"/>
          <w:lang w:val="fr-CH"/>
        </w:rPr>
      </w:pPr>
      <w:r>
        <w:rPr>
          <w:lang w:val="zh-CN"/>
        </w:rPr>
        <w:t>议程项目</w:t>
      </w:r>
      <w:r>
        <w:rPr>
          <w:lang w:val="zh-CN"/>
        </w:rPr>
        <w:t>3</w:t>
      </w:r>
    </w:p>
    <w:p w14:paraId="2B98630F" w14:textId="1E58BF3E" w:rsidR="00584C06" w:rsidRDefault="00584C06" w:rsidP="00C7253F">
      <w:pPr>
        <w:rPr>
          <w:rFonts w:eastAsia="SimHei"/>
          <w:lang w:val="fr-CH"/>
        </w:rPr>
      </w:pPr>
      <w:r w:rsidRPr="00584C06">
        <w:rPr>
          <w:rFonts w:eastAsia="SimHei"/>
          <w:lang w:val="fr-CH"/>
        </w:rPr>
        <w:t>促进和保护所有人权</w:t>
      </w:r>
      <w:r w:rsidRPr="00584C06">
        <w:rPr>
          <w:rFonts w:eastAsia="SimHei" w:hint="eastAsia"/>
          <w:spacing w:val="-50"/>
          <w:lang w:val="fr-CH"/>
        </w:rPr>
        <w:t>―</w:t>
      </w:r>
      <w:r w:rsidRPr="00584C06">
        <w:rPr>
          <w:rFonts w:eastAsia="SimHei" w:hint="eastAsia"/>
          <w:lang w:val="fr-CH"/>
        </w:rPr>
        <w:t>―</w:t>
      </w:r>
      <w:r w:rsidRPr="00584C06">
        <w:rPr>
          <w:rFonts w:eastAsia="SimHei"/>
          <w:lang w:val="fr-CH"/>
        </w:rPr>
        <w:t>公民权利、政治权利、</w:t>
      </w:r>
      <w:r>
        <w:rPr>
          <w:rFonts w:eastAsia="SimHei"/>
          <w:lang w:val="fr-CH"/>
        </w:rPr>
        <w:br/>
      </w:r>
      <w:r w:rsidRPr="00584C06">
        <w:rPr>
          <w:rFonts w:eastAsia="SimHei"/>
          <w:lang w:val="fr-CH"/>
        </w:rPr>
        <w:t>经济、社会及文化权利</w:t>
      </w:r>
      <w:r>
        <w:rPr>
          <w:rFonts w:eastAsia="SimHei"/>
          <w:lang w:val="fr-CH"/>
        </w:rPr>
        <w:t>，</w:t>
      </w:r>
      <w:r w:rsidRPr="00584C06">
        <w:rPr>
          <w:rFonts w:eastAsia="SimHei"/>
          <w:lang w:val="fr-CH"/>
        </w:rPr>
        <w:t>包括发展权</w:t>
      </w:r>
    </w:p>
    <w:p w14:paraId="3F75B89D" w14:textId="53268632" w:rsidR="00584C06" w:rsidRPr="00584C06" w:rsidRDefault="00584C06" w:rsidP="00584C06">
      <w:pPr>
        <w:pStyle w:val="HChGC"/>
      </w:pPr>
      <w:r w:rsidRPr="00584C06">
        <w:rPr>
          <w:lang w:val="fr-CH"/>
        </w:rPr>
        <w:tab/>
      </w:r>
      <w:r w:rsidRPr="00584C06">
        <w:rPr>
          <w:lang w:val="fr-CH"/>
        </w:rPr>
        <w:tab/>
      </w:r>
      <w:r w:rsidRPr="00584C06">
        <w:rPr>
          <w:lang w:val="fr-CH"/>
        </w:rPr>
        <w:t>人权理事会</w:t>
      </w:r>
      <w:r>
        <w:rPr>
          <w:lang w:val="fr-CH"/>
        </w:rPr>
        <w:t>2</w:t>
      </w:r>
      <w:r w:rsidRPr="00584C06">
        <w:rPr>
          <w:lang w:val="fr-CH"/>
        </w:rPr>
        <w:t>0</w:t>
      </w:r>
      <w:r>
        <w:rPr>
          <w:lang w:val="fr-CH"/>
        </w:rPr>
        <w:t>26</w:t>
      </w:r>
      <w:r w:rsidRPr="00584C06">
        <w:rPr>
          <w:lang w:val="fr-CH"/>
        </w:rPr>
        <w:t>年</w:t>
      </w:r>
      <w:r>
        <w:rPr>
          <w:lang w:val="fr-CH"/>
        </w:rPr>
        <w:t>7</w:t>
      </w:r>
      <w:r w:rsidRPr="00584C06">
        <w:rPr>
          <w:lang w:val="fr-CH"/>
        </w:rPr>
        <w:t>月</w:t>
      </w:r>
      <w:r>
        <w:rPr>
          <w:lang w:val="fr-CH"/>
        </w:rPr>
        <w:t>6</w:t>
      </w:r>
      <w:r w:rsidRPr="00584C06">
        <w:rPr>
          <w:lang w:val="fr-CH"/>
        </w:rPr>
        <w:t>日通过的决议</w:t>
      </w:r>
    </w:p>
    <w:p w14:paraId="2238417E" w14:textId="0A9B0442" w:rsidR="00584C06" w:rsidRPr="00584C06" w:rsidRDefault="00584C06" w:rsidP="00584C06">
      <w:pPr>
        <w:pStyle w:val="H1GC"/>
      </w:pPr>
      <w:r>
        <w:rPr>
          <w:lang w:val="fr-CH"/>
        </w:rPr>
        <w:tab/>
        <w:t>62/12.</w:t>
      </w:r>
      <w:r>
        <w:rPr>
          <w:lang w:val="fr-CH"/>
        </w:rPr>
        <w:tab/>
      </w:r>
      <w:r w:rsidRPr="00584C06">
        <w:rPr>
          <w:lang w:val="fr-CH"/>
        </w:rPr>
        <w:t>审判员、陪审员、助审员的独立性和公正性以及律师的独立性</w:t>
      </w:r>
      <w:r>
        <w:rPr>
          <w:lang w:val="fr-CH"/>
        </w:rPr>
        <w:t>：</w:t>
      </w:r>
      <w:r w:rsidRPr="00584C06">
        <w:rPr>
          <w:lang w:val="fr-CH"/>
        </w:rPr>
        <w:t>法官和律师独立性特别报告员的任务</w:t>
      </w:r>
    </w:p>
    <w:p w14:paraId="63354C2C" w14:textId="1403D9E9" w:rsidR="00584C06" w:rsidRPr="00584C06" w:rsidRDefault="00584C06" w:rsidP="00584C06">
      <w:pPr>
        <w:pStyle w:val="SingleTxtGC"/>
      </w:pPr>
      <w:r w:rsidRPr="00584C06">
        <w:rPr>
          <w:lang w:val="fr-CH"/>
        </w:rPr>
        <w:tab/>
      </w:r>
      <w:r w:rsidRPr="00584C06">
        <w:rPr>
          <w:rFonts w:ascii="Time New Roman" w:eastAsia="KaiTi" w:hAnsi="Time New Roman"/>
          <w:b/>
          <w:bCs/>
          <w:lang w:val="fr-CH"/>
        </w:rPr>
        <w:t>人权理事会</w:t>
      </w:r>
      <w:r>
        <w:rPr>
          <w:lang w:val="fr-CH"/>
        </w:rPr>
        <w:t>，</w:t>
      </w:r>
    </w:p>
    <w:p w14:paraId="0EB8262E" w14:textId="5E891346" w:rsidR="00584C06" w:rsidRPr="00584C06" w:rsidRDefault="00584C06" w:rsidP="00584C06">
      <w:pPr>
        <w:pStyle w:val="SingleTxtGC"/>
      </w:pPr>
      <w:r w:rsidRPr="00584C06">
        <w:rPr>
          <w:rFonts w:eastAsia="KaiTi"/>
          <w:b/>
          <w:iCs/>
          <w:lang w:val="fr-CH"/>
        </w:rPr>
        <w:tab/>
      </w:r>
      <w:r w:rsidRPr="00584C06">
        <w:rPr>
          <w:rFonts w:eastAsia="KaiTi"/>
          <w:b/>
          <w:iCs/>
          <w:lang w:val="fr-CH"/>
        </w:rPr>
        <w:t>遵循</w:t>
      </w:r>
      <w:r w:rsidRPr="00584C06">
        <w:rPr>
          <w:lang w:val="fr-CH"/>
        </w:rPr>
        <w:t>《联合国宪章》的宗旨和原则</w:t>
      </w:r>
      <w:r>
        <w:rPr>
          <w:lang w:val="fr-CH"/>
        </w:rPr>
        <w:t>，</w:t>
      </w:r>
      <w:r w:rsidRPr="00584C06">
        <w:rPr>
          <w:lang w:val="fr-CH"/>
        </w:rPr>
        <w:t>《世界人权宣言》第七、第八、第九、第十、第十一条和《公民及政治权利国际公约》第二、第四、第九、第十四、第二十六条</w:t>
      </w:r>
      <w:r>
        <w:rPr>
          <w:lang w:val="fr-CH"/>
        </w:rPr>
        <w:t>，</w:t>
      </w:r>
      <w:r w:rsidRPr="00584C06">
        <w:rPr>
          <w:lang w:val="fr-CH"/>
        </w:rPr>
        <w:t>并铭记《维也纳宣言和行动纲领》和所有相关人权文书</w:t>
      </w:r>
      <w:r>
        <w:rPr>
          <w:lang w:val="fr-CH"/>
        </w:rPr>
        <w:t>，</w:t>
      </w:r>
    </w:p>
    <w:p w14:paraId="499D5F4B" w14:textId="04C37BFD" w:rsidR="00584C06" w:rsidRPr="00584C06" w:rsidRDefault="00584C06" w:rsidP="00584C06">
      <w:pPr>
        <w:pStyle w:val="SingleTxtGC"/>
      </w:pPr>
      <w:r w:rsidRPr="00584C06">
        <w:rPr>
          <w:lang w:val="fr-CH"/>
        </w:rPr>
        <w:tab/>
      </w:r>
      <w:r w:rsidRPr="00584C06">
        <w:rPr>
          <w:rFonts w:eastAsia="KaiTi"/>
          <w:b/>
          <w:iCs/>
          <w:lang w:val="fr-CH"/>
        </w:rPr>
        <w:t>回顾</w:t>
      </w:r>
      <w:r w:rsidRPr="00584C06">
        <w:rPr>
          <w:lang w:val="fr-CH"/>
        </w:rPr>
        <w:t>《关于司法机关独立的基本原则》、《关于律师作用的基本原则》、《关于检察官作用的准则》、《班加罗尔司法行为原则》以及《联合国关于在刑事司法系统中获得法律援助机会的原则和准则》</w:t>
      </w:r>
      <w:r>
        <w:rPr>
          <w:lang w:val="fr-CH"/>
        </w:rPr>
        <w:t>，</w:t>
      </w:r>
    </w:p>
    <w:p w14:paraId="355D9D02" w14:textId="5675C859" w:rsidR="00584C06" w:rsidRPr="00584C06" w:rsidRDefault="00584C06" w:rsidP="00584C06">
      <w:pPr>
        <w:pStyle w:val="SingleTxtGC"/>
      </w:pPr>
      <w:r w:rsidRPr="00584C06">
        <w:rPr>
          <w:lang w:val="fr-CH"/>
        </w:rPr>
        <w:tab/>
      </w:r>
      <w:r w:rsidRPr="00584C06">
        <w:rPr>
          <w:rFonts w:eastAsia="KaiTi"/>
          <w:b/>
          <w:iCs/>
          <w:lang w:val="fr-CH"/>
        </w:rPr>
        <w:t>又回顾</w:t>
      </w:r>
      <w:r w:rsidRPr="00584C06">
        <w:rPr>
          <w:lang w:val="fr-CH"/>
        </w:rPr>
        <w:t>人权理事会、人权委员会和大会以往所有有关司法机关独立性和公正性以及关于司法系统廉正性的决议和决定</w:t>
      </w:r>
      <w:r>
        <w:rPr>
          <w:lang w:val="fr-CH"/>
        </w:rPr>
        <w:t>，</w:t>
      </w:r>
    </w:p>
    <w:p w14:paraId="635D2A9E" w14:textId="20FF5F41" w:rsidR="00584C06" w:rsidRPr="00584C06" w:rsidRDefault="00584C06" w:rsidP="00584C06">
      <w:pPr>
        <w:pStyle w:val="SingleTxtGC"/>
      </w:pPr>
      <w:r>
        <w:rPr>
          <w:rFonts w:eastAsia="KaiTi"/>
          <w:b/>
          <w:iCs/>
          <w:lang w:val="fr-CH"/>
        </w:rPr>
        <w:tab/>
      </w:r>
      <w:r w:rsidRPr="00584C06">
        <w:rPr>
          <w:rFonts w:eastAsia="KaiTi"/>
          <w:b/>
          <w:iCs/>
          <w:lang w:val="fr-CH"/>
        </w:rPr>
        <w:t>还回顾</w:t>
      </w:r>
      <w:r w:rsidRPr="00584C06">
        <w:rPr>
          <w:lang w:val="fr-CH"/>
        </w:rPr>
        <w:t>人权理事会</w:t>
      </w:r>
      <w:r>
        <w:rPr>
          <w:lang w:val="fr-CH"/>
        </w:rPr>
        <w:t>2</w:t>
      </w:r>
      <w:r w:rsidRPr="00584C06">
        <w:rPr>
          <w:lang w:val="fr-CH"/>
        </w:rPr>
        <w:t>00</w:t>
      </w:r>
      <w:r>
        <w:rPr>
          <w:lang w:val="fr-CH"/>
        </w:rPr>
        <w:t>7</w:t>
      </w:r>
      <w:r w:rsidRPr="00584C06">
        <w:rPr>
          <w:lang w:val="fr-CH"/>
        </w:rPr>
        <w:t>年</w:t>
      </w:r>
      <w:r>
        <w:rPr>
          <w:lang w:val="fr-CH"/>
        </w:rPr>
        <w:t>6</w:t>
      </w:r>
      <w:r w:rsidRPr="00584C06">
        <w:rPr>
          <w:lang w:val="fr-CH"/>
        </w:rPr>
        <w:t>月</w:t>
      </w:r>
      <w:r>
        <w:rPr>
          <w:lang w:val="fr-CH"/>
        </w:rPr>
        <w:t>18</w:t>
      </w:r>
      <w:r w:rsidRPr="00584C06">
        <w:rPr>
          <w:lang w:val="fr-CH"/>
        </w:rPr>
        <w:t>日关于人权理事会体制建设的第</w:t>
      </w:r>
      <w:r>
        <w:rPr>
          <w:lang w:val="fr-CH"/>
        </w:rPr>
        <w:t>5/1</w:t>
      </w:r>
      <w:r w:rsidRPr="00584C06">
        <w:rPr>
          <w:lang w:val="fr-CH"/>
        </w:rPr>
        <w:t>号决议和关于人权理事会特别程序任务负责人行为守则的第</w:t>
      </w:r>
      <w:r>
        <w:rPr>
          <w:lang w:val="fr-CH"/>
        </w:rPr>
        <w:t>5/2</w:t>
      </w:r>
      <w:r w:rsidRPr="00584C06">
        <w:rPr>
          <w:lang w:val="fr-CH"/>
        </w:rPr>
        <w:t>号决议</w:t>
      </w:r>
      <w:r>
        <w:rPr>
          <w:lang w:val="fr-CH"/>
        </w:rPr>
        <w:t>，</w:t>
      </w:r>
      <w:r w:rsidRPr="00584C06">
        <w:rPr>
          <w:lang w:val="fr-CH"/>
        </w:rPr>
        <w:t>强调任务负责人应根据这两项决议及其附件履行职责</w:t>
      </w:r>
      <w:r>
        <w:rPr>
          <w:lang w:val="fr-CH"/>
        </w:rPr>
        <w:t>，</w:t>
      </w:r>
    </w:p>
    <w:p w14:paraId="0838E7E3" w14:textId="5318D581" w:rsidR="00584C06" w:rsidRPr="00584C06" w:rsidRDefault="00584C06" w:rsidP="00584C06">
      <w:pPr>
        <w:pStyle w:val="SingleTxtGC"/>
      </w:pPr>
      <w:r w:rsidRPr="00584C06">
        <w:rPr>
          <w:lang w:val="fr-CH"/>
        </w:rPr>
        <w:tab/>
      </w:r>
      <w:r w:rsidRPr="00584C06">
        <w:rPr>
          <w:rFonts w:eastAsia="KaiTi"/>
          <w:b/>
          <w:iCs/>
          <w:lang w:val="fr-CH"/>
        </w:rPr>
        <w:t>注意到</w:t>
      </w:r>
      <w:r w:rsidRPr="00584C06">
        <w:rPr>
          <w:lang w:val="fr-CH"/>
        </w:rPr>
        <w:t>法官和律师独立性特别报告员提交人权理事会的报告</w:t>
      </w:r>
      <w:r w:rsidRPr="00584C06">
        <w:rPr>
          <w:vertAlign w:val="superscript"/>
          <w:lang w:val="fr-CH"/>
        </w:rPr>
        <w:footnoteReference w:id="2"/>
      </w:r>
      <w:r w:rsidRPr="00584C06">
        <w:rPr>
          <w:lang w:val="fr-CH"/>
        </w:rPr>
        <w:t>和提交大会的报告</w:t>
      </w:r>
      <w:r w:rsidRPr="00584C06">
        <w:rPr>
          <w:vertAlign w:val="superscript"/>
          <w:lang w:val="fr-CH"/>
        </w:rPr>
        <w:footnoteReference w:id="3"/>
      </w:r>
      <w:r>
        <w:rPr>
          <w:lang w:val="fr-CH"/>
        </w:rPr>
        <w:t>，</w:t>
      </w:r>
    </w:p>
    <w:p w14:paraId="0A24A5F1" w14:textId="3C47343C" w:rsidR="00584C06" w:rsidRPr="00584C06" w:rsidRDefault="00584C06" w:rsidP="00584C06">
      <w:pPr>
        <w:pStyle w:val="SingleTxtGC"/>
      </w:pPr>
      <w:r w:rsidRPr="00584C06">
        <w:rPr>
          <w:lang w:val="fr-CH"/>
        </w:rPr>
        <w:tab/>
      </w:r>
      <w:r w:rsidRPr="00584C06">
        <w:rPr>
          <w:rFonts w:eastAsia="KaiTi"/>
          <w:b/>
          <w:iCs/>
          <w:lang w:val="fr-CH"/>
        </w:rPr>
        <w:t>又注意到</w:t>
      </w:r>
      <w:r w:rsidRPr="00584C06">
        <w:rPr>
          <w:lang w:val="fr-CH"/>
        </w:rPr>
        <w:t>各条约机构通过的所有相关的一般性建议和一般性意见</w:t>
      </w:r>
      <w:r>
        <w:rPr>
          <w:lang w:val="fr-CH"/>
        </w:rPr>
        <w:t>，</w:t>
      </w:r>
    </w:p>
    <w:p w14:paraId="3AFEC40D" w14:textId="7A9A075F" w:rsidR="00584C06" w:rsidRPr="00584C06" w:rsidRDefault="00584C06" w:rsidP="00584C06">
      <w:pPr>
        <w:pStyle w:val="SingleTxtGC"/>
      </w:pPr>
      <w:r w:rsidRPr="00584C06">
        <w:rPr>
          <w:lang w:val="fr-CH"/>
        </w:rPr>
        <w:tab/>
      </w:r>
      <w:r w:rsidRPr="00584C06">
        <w:rPr>
          <w:rFonts w:eastAsia="KaiTi"/>
          <w:b/>
          <w:iCs/>
          <w:lang w:val="fr-CH"/>
        </w:rPr>
        <w:t>重申</w:t>
      </w:r>
      <w:r w:rsidRPr="00584C06">
        <w:rPr>
          <w:lang w:val="fr-CH"/>
        </w:rPr>
        <w:t>独立、公正且资源充足的司法机关、独立的法律职业群体、客观公正并能相应履行职能的检察机关</w:t>
      </w:r>
      <w:r>
        <w:rPr>
          <w:lang w:val="fr-CH"/>
        </w:rPr>
        <w:t>，</w:t>
      </w:r>
      <w:r w:rsidRPr="00584C06">
        <w:rPr>
          <w:lang w:val="fr-CH"/>
        </w:rPr>
        <w:t>以及廉正的司法系统</w:t>
      </w:r>
      <w:r>
        <w:rPr>
          <w:lang w:val="fr-CH"/>
        </w:rPr>
        <w:t>，</w:t>
      </w:r>
      <w:r w:rsidRPr="00584C06">
        <w:rPr>
          <w:lang w:val="fr-CH"/>
        </w:rPr>
        <w:t>是法治和当代民主制度的关</w:t>
      </w:r>
      <w:r w:rsidRPr="00584C06">
        <w:rPr>
          <w:lang w:val="fr-CH"/>
        </w:rPr>
        <w:lastRenderedPageBreak/>
        <w:t>键支柱</w:t>
      </w:r>
      <w:r>
        <w:rPr>
          <w:lang w:val="fr-CH"/>
        </w:rPr>
        <w:t>，</w:t>
      </w:r>
      <w:r w:rsidRPr="00584C06">
        <w:rPr>
          <w:lang w:val="fr-CH"/>
        </w:rPr>
        <w:t>是实现《</w:t>
      </w:r>
      <w:r>
        <w:rPr>
          <w:lang w:val="fr-CH"/>
        </w:rPr>
        <w:t>2</w:t>
      </w:r>
      <w:r w:rsidRPr="00584C06">
        <w:rPr>
          <w:lang w:val="fr-CH"/>
        </w:rPr>
        <w:t>0</w:t>
      </w:r>
      <w:r>
        <w:rPr>
          <w:lang w:val="fr-CH"/>
        </w:rPr>
        <w:t>3</w:t>
      </w:r>
      <w:r w:rsidRPr="00584C06">
        <w:rPr>
          <w:lang w:val="fr-CH"/>
        </w:rPr>
        <w:t>0</w:t>
      </w:r>
      <w:r w:rsidRPr="00584C06">
        <w:rPr>
          <w:lang w:val="fr-CH"/>
        </w:rPr>
        <w:t>年可持续发展议程》可持续发展目标</w:t>
      </w:r>
      <w:r>
        <w:rPr>
          <w:lang w:val="fr-CH"/>
        </w:rPr>
        <w:t>16</w:t>
      </w:r>
      <w:r w:rsidRPr="00584C06">
        <w:rPr>
          <w:lang w:val="fr-CH"/>
        </w:rPr>
        <w:t>的必要条件</w:t>
      </w:r>
      <w:r>
        <w:rPr>
          <w:lang w:val="fr-CH"/>
        </w:rPr>
        <w:t>，</w:t>
      </w:r>
      <w:r w:rsidRPr="00584C06">
        <w:rPr>
          <w:lang w:val="fr-CH"/>
        </w:rPr>
        <w:t>也是现代治理正常运作和保护人权</w:t>
      </w:r>
      <w:r>
        <w:rPr>
          <w:lang w:val="fr-CH"/>
        </w:rPr>
        <w:t>，</w:t>
      </w:r>
      <w:r w:rsidRPr="00584C06">
        <w:rPr>
          <w:lang w:val="fr-CH"/>
        </w:rPr>
        <w:t>包括确保公正审判和无歧视的司法行政的先决条件</w:t>
      </w:r>
      <w:r>
        <w:rPr>
          <w:lang w:val="fr-CH"/>
        </w:rPr>
        <w:t>，</w:t>
      </w:r>
    </w:p>
    <w:p w14:paraId="5AB3F4B9" w14:textId="3345B39E" w:rsidR="00584C06" w:rsidRPr="00584C06" w:rsidRDefault="00584C06" w:rsidP="00584C06">
      <w:pPr>
        <w:pStyle w:val="SingleTxtGC"/>
      </w:pPr>
      <w:r>
        <w:rPr>
          <w:lang w:val="fr-CH"/>
        </w:rPr>
        <w:tab/>
      </w:r>
      <w:r w:rsidRPr="00584C06">
        <w:rPr>
          <w:rFonts w:eastAsia="KaiTi"/>
          <w:b/>
          <w:iCs/>
          <w:lang w:val="fr-CH"/>
        </w:rPr>
        <w:t>回顾</w:t>
      </w:r>
      <w:r w:rsidRPr="00584C06">
        <w:rPr>
          <w:lang w:val="fr-CH"/>
        </w:rPr>
        <w:t>检察官应依法公平、一贯、迅速地履行职责</w:t>
      </w:r>
      <w:r>
        <w:rPr>
          <w:lang w:val="fr-CH"/>
        </w:rPr>
        <w:t>，</w:t>
      </w:r>
      <w:r w:rsidRPr="00584C06">
        <w:rPr>
          <w:lang w:val="fr-CH"/>
        </w:rPr>
        <w:t>尊重和保护人的尊严并捍卫人权</w:t>
      </w:r>
      <w:r>
        <w:rPr>
          <w:lang w:val="fr-CH"/>
        </w:rPr>
        <w:t>，</w:t>
      </w:r>
      <w:r w:rsidRPr="00584C06">
        <w:rPr>
          <w:lang w:val="fr-CH"/>
        </w:rPr>
        <w:t>从而促进正当程序和刑事司法系统的顺利运行</w:t>
      </w:r>
      <w:r>
        <w:rPr>
          <w:lang w:val="fr-CH"/>
        </w:rPr>
        <w:t>；</w:t>
      </w:r>
      <w:r w:rsidRPr="00584C06">
        <w:rPr>
          <w:lang w:val="fr-CH"/>
        </w:rPr>
        <w:t>检察官应避免基于种族、肤色、性别、语言、宗教、政治或其他意见、民族或社会出身、财产、出生或其他身份的一切形式偏见、歧视和污名化</w:t>
      </w:r>
      <w:r>
        <w:rPr>
          <w:lang w:val="fr-CH"/>
        </w:rPr>
        <w:t>，</w:t>
      </w:r>
      <w:r w:rsidRPr="00584C06">
        <w:rPr>
          <w:lang w:val="fr-CH"/>
        </w:rPr>
        <w:t>并与之作斗争</w:t>
      </w:r>
      <w:r>
        <w:rPr>
          <w:lang w:val="fr-CH"/>
        </w:rPr>
        <w:t>，</w:t>
      </w:r>
    </w:p>
    <w:p w14:paraId="44C03A6B" w14:textId="7FF5FBF4" w:rsidR="00584C06" w:rsidRPr="00584C06" w:rsidRDefault="00584C06" w:rsidP="00584C06">
      <w:pPr>
        <w:pStyle w:val="SingleTxtGC"/>
        <w:rPr>
          <w:iCs/>
        </w:rPr>
      </w:pPr>
      <w:r>
        <w:rPr>
          <w:rFonts w:eastAsia="KaiTi"/>
          <w:b/>
          <w:iCs/>
          <w:lang w:val="fr-CH"/>
        </w:rPr>
        <w:tab/>
      </w:r>
      <w:r w:rsidRPr="00584C06">
        <w:rPr>
          <w:rFonts w:eastAsia="KaiTi"/>
          <w:b/>
          <w:iCs/>
          <w:lang w:val="fr-CH"/>
        </w:rPr>
        <w:t>认识到</w:t>
      </w:r>
      <w:r w:rsidRPr="00584C06">
        <w:rPr>
          <w:lang w:val="fr-CH"/>
        </w:rPr>
        <w:t>按照《关于司法机关独立的基本原则》</w:t>
      </w:r>
      <w:r>
        <w:rPr>
          <w:lang w:val="fr-CH"/>
        </w:rPr>
        <w:t>，</w:t>
      </w:r>
      <w:r w:rsidRPr="00584C06">
        <w:rPr>
          <w:lang w:val="fr-CH"/>
        </w:rPr>
        <w:t>司法选拔程序应基于客观且预先确立的标准</w:t>
      </w:r>
      <w:r>
        <w:rPr>
          <w:lang w:val="fr-CH"/>
        </w:rPr>
        <w:t>，</w:t>
      </w:r>
      <w:r w:rsidRPr="00584C06">
        <w:rPr>
          <w:lang w:val="fr-CH"/>
        </w:rPr>
        <w:t>纳入廉正审查和确保公正的保障措施</w:t>
      </w:r>
      <w:r>
        <w:rPr>
          <w:lang w:val="fr-CH"/>
        </w:rPr>
        <w:t>，</w:t>
      </w:r>
      <w:r w:rsidRPr="00584C06">
        <w:rPr>
          <w:lang w:val="fr-CH"/>
        </w:rPr>
        <w:t>并在实施过程中消除直接和间接的歧视与偏见</w:t>
      </w:r>
      <w:r>
        <w:rPr>
          <w:lang w:val="fr-CH"/>
        </w:rPr>
        <w:t>，</w:t>
      </w:r>
      <w:r w:rsidRPr="00584C06">
        <w:rPr>
          <w:lang w:val="fr-CH"/>
        </w:rPr>
        <w:t>同时促进多样性、性别平等和代表性</w:t>
      </w:r>
      <w:r>
        <w:rPr>
          <w:lang w:val="fr-CH"/>
        </w:rPr>
        <w:t>，</w:t>
      </w:r>
      <w:r w:rsidRPr="00584C06">
        <w:rPr>
          <w:lang w:val="fr-CH"/>
        </w:rPr>
        <w:t>让司法机关能够反映其所服务社会的面貌</w:t>
      </w:r>
      <w:r>
        <w:rPr>
          <w:lang w:val="fr-CH"/>
        </w:rPr>
        <w:t>，</w:t>
      </w:r>
    </w:p>
    <w:p w14:paraId="1D8DF337" w14:textId="3AB1FFE7" w:rsidR="00584C06" w:rsidRPr="00584C06" w:rsidRDefault="00584C06" w:rsidP="00584C06">
      <w:pPr>
        <w:pStyle w:val="SingleTxtGC"/>
      </w:pPr>
      <w:r w:rsidRPr="00584C06">
        <w:rPr>
          <w:lang w:val="fr-CH"/>
        </w:rPr>
        <w:tab/>
      </w:r>
      <w:r w:rsidRPr="00584C06">
        <w:rPr>
          <w:rFonts w:eastAsia="KaiTi"/>
          <w:b/>
          <w:iCs/>
          <w:lang w:val="fr-CH"/>
        </w:rPr>
        <w:t>谴责</w:t>
      </w:r>
      <w:r w:rsidRPr="00584C06">
        <w:rPr>
          <w:lang w:val="fr-CH"/>
        </w:rPr>
        <w:t>对法官、律师、检察官和法院官员</w:t>
      </w:r>
      <w:r>
        <w:rPr>
          <w:lang w:val="fr-CH"/>
        </w:rPr>
        <w:t>，</w:t>
      </w:r>
      <w:r w:rsidRPr="00584C06">
        <w:rPr>
          <w:lang w:val="fr-CH"/>
        </w:rPr>
        <w:t>包括在国际法院任职者独立性日益频繁的攻击</w:t>
      </w:r>
      <w:r>
        <w:rPr>
          <w:lang w:val="fr-CH"/>
        </w:rPr>
        <w:t>，</w:t>
      </w:r>
      <w:r w:rsidRPr="00584C06">
        <w:rPr>
          <w:lang w:val="fr-CH"/>
        </w:rPr>
        <w:t>特别是威胁、恐吓、压制或骚扰</w:t>
      </w:r>
      <w:r>
        <w:rPr>
          <w:lang w:val="fr-CH"/>
        </w:rPr>
        <w:t>，</w:t>
      </w:r>
      <w:r w:rsidRPr="00584C06">
        <w:rPr>
          <w:lang w:val="fr-CH"/>
        </w:rPr>
        <w:t>和其他形式的报复</w:t>
      </w:r>
      <w:r>
        <w:rPr>
          <w:lang w:val="fr-CH"/>
        </w:rPr>
        <w:t>，</w:t>
      </w:r>
      <w:r w:rsidRPr="00584C06">
        <w:rPr>
          <w:lang w:val="fr-CH"/>
        </w:rPr>
        <w:t>包括在境外产生影响的报复</w:t>
      </w:r>
      <w:r>
        <w:rPr>
          <w:lang w:val="fr-CH"/>
        </w:rPr>
        <w:t>，</w:t>
      </w:r>
      <w:r w:rsidRPr="00584C06">
        <w:rPr>
          <w:lang w:val="fr-CH"/>
        </w:rPr>
        <w:t>以及对他们履行专业职能的干涉</w:t>
      </w:r>
      <w:r>
        <w:rPr>
          <w:lang w:val="fr-CH"/>
        </w:rPr>
        <w:t>，</w:t>
      </w:r>
      <w:r w:rsidRPr="00584C06">
        <w:rPr>
          <w:lang w:val="fr-CH"/>
        </w:rPr>
        <w:t>将他们与其当事人或当事人主张相捆绑的做法</w:t>
      </w:r>
      <w:r>
        <w:rPr>
          <w:lang w:val="fr-CH"/>
        </w:rPr>
        <w:t>，</w:t>
      </w:r>
      <w:r w:rsidRPr="00584C06">
        <w:rPr>
          <w:lang w:val="fr-CH"/>
        </w:rPr>
        <w:t>这些行为均导致法治遭到侵蚀</w:t>
      </w:r>
      <w:r>
        <w:rPr>
          <w:lang w:val="fr-CH"/>
        </w:rPr>
        <w:t>，</w:t>
      </w:r>
    </w:p>
    <w:p w14:paraId="69B83E60" w14:textId="290E56AE" w:rsidR="00584C06" w:rsidRPr="00584C06" w:rsidRDefault="00584C06" w:rsidP="00584C06">
      <w:pPr>
        <w:pStyle w:val="SingleTxtGC"/>
      </w:pPr>
      <w:r>
        <w:rPr>
          <w:lang w:val="fr-CH"/>
        </w:rPr>
        <w:tab/>
      </w:r>
      <w:r w:rsidRPr="00584C06">
        <w:rPr>
          <w:rFonts w:eastAsia="KaiTi"/>
          <w:b/>
          <w:iCs/>
          <w:lang w:val="fr-CH"/>
        </w:rPr>
        <w:t>表示严重关切</w:t>
      </w:r>
      <w:r w:rsidRPr="00584C06">
        <w:rPr>
          <w:lang w:val="fr-CH"/>
        </w:rPr>
        <w:t>反公众参与策略性诉讼</w:t>
      </w:r>
      <w:r>
        <w:rPr>
          <w:lang w:val="fr-CH"/>
        </w:rPr>
        <w:t>，</w:t>
      </w:r>
      <w:r w:rsidRPr="00584C06">
        <w:rPr>
          <w:lang w:val="fr-CH"/>
        </w:rPr>
        <w:t>包括工商业实体提起的此类诉讼日益增多</w:t>
      </w:r>
      <w:r>
        <w:rPr>
          <w:lang w:val="fr-CH"/>
        </w:rPr>
        <w:t>，</w:t>
      </w:r>
      <w:r w:rsidRPr="00584C06">
        <w:rPr>
          <w:lang w:val="fr-CH"/>
        </w:rPr>
        <w:t>此类诉讼滥用诉讼策略</w:t>
      </w:r>
      <w:r>
        <w:rPr>
          <w:lang w:val="fr-CH"/>
        </w:rPr>
        <w:t>，</w:t>
      </w:r>
      <w:r w:rsidRPr="00584C06">
        <w:rPr>
          <w:lang w:val="fr-CH"/>
        </w:rPr>
        <w:t>向律师施压、恐吓律师或耗尽律师的资源和斗志</w:t>
      </w:r>
      <w:r>
        <w:rPr>
          <w:lang w:val="fr-CH"/>
        </w:rPr>
        <w:t>，</w:t>
      </w:r>
      <w:r w:rsidRPr="00584C06">
        <w:rPr>
          <w:lang w:val="fr-CH"/>
        </w:rPr>
        <w:t>以此妨碍律师履行工作职责</w:t>
      </w:r>
      <w:r>
        <w:rPr>
          <w:lang w:val="fr-CH"/>
        </w:rPr>
        <w:t>，</w:t>
      </w:r>
      <w:r w:rsidRPr="00584C06">
        <w:rPr>
          <w:lang w:val="fr-CH"/>
        </w:rPr>
        <w:t>包括妨碍他们处理公共利益相关事务</w:t>
      </w:r>
      <w:r>
        <w:rPr>
          <w:lang w:val="fr-CH"/>
        </w:rPr>
        <w:t>，</w:t>
      </w:r>
    </w:p>
    <w:p w14:paraId="5C3DC7F5" w14:textId="17BC84F5" w:rsidR="00584C06" w:rsidRPr="00584C06" w:rsidRDefault="00584C06" w:rsidP="00584C06">
      <w:pPr>
        <w:pStyle w:val="SingleTxtGC"/>
      </w:pPr>
      <w:r>
        <w:rPr>
          <w:lang w:val="fr-CH"/>
        </w:rPr>
        <w:tab/>
      </w:r>
      <w:r w:rsidRPr="00584C06">
        <w:rPr>
          <w:rFonts w:eastAsia="KaiTi"/>
          <w:b/>
          <w:iCs/>
          <w:lang w:val="fr-CH"/>
        </w:rPr>
        <w:t>回顾</w:t>
      </w:r>
      <w:r w:rsidRPr="00584C06">
        <w:rPr>
          <w:lang w:val="fr-CH"/>
        </w:rPr>
        <w:t>每个国家均应提供有效的补救框架</w:t>
      </w:r>
      <w:r>
        <w:rPr>
          <w:lang w:val="fr-CH"/>
        </w:rPr>
        <w:t>，</w:t>
      </w:r>
      <w:r w:rsidRPr="00584C06">
        <w:rPr>
          <w:lang w:val="fr-CH"/>
        </w:rPr>
        <w:t>对在人权方面遭遇不公或侵犯的情况予以纠正</w:t>
      </w:r>
      <w:r>
        <w:rPr>
          <w:lang w:val="fr-CH"/>
        </w:rPr>
        <w:t>；</w:t>
      </w:r>
      <w:r w:rsidRPr="00584C06">
        <w:rPr>
          <w:lang w:val="fr-CH"/>
        </w:rPr>
        <w:t>司法行政</w:t>
      </w:r>
      <w:r>
        <w:rPr>
          <w:lang w:val="fr-CH"/>
        </w:rPr>
        <w:t>，</w:t>
      </w:r>
      <w:r w:rsidRPr="00584C06">
        <w:rPr>
          <w:lang w:val="fr-CH"/>
        </w:rPr>
        <w:t>包括执法和检察机构</w:t>
      </w:r>
      <w:r>
        <w:rPr>
          <w:lang w:val="fr-CH"/>
        </w:rPr>
        <w:t>，</w:t>
      </w:r>
      <w:r w:rsidRPr="00584C06">
        <w:rPr>
          <w:lang w:val="fr-CH"/>
        </w:rPr>
        <w:t>特别是符合相关国际文书所载适用标准的独立司法机关和法律职业群体</w:t>
      </w:r>
      <w:r>
        <w:rPr>
          <w:lang w:val="fr-CH"/>
        </w:rPr>
        <w:t>，</w:t>
      </w:r>
      <w:r w:rsidRPr="00584C06">
        <w:rPr>
          <w:lang w:val="fr-CH"/>
        </w:rPr>
        <w:t>对于充分和无歧视地实现人权至关重要</w:t>
      </w:r>
      <w:r>
        <w:rPr>
          <w:lang w:val="fr-CH"/>
        </w:rPr>
        <w:t>，</w:t>
      </w:r>
      <w:r w:rsidRPr="00584C06">
        <w:rPr>
          <w:lang w:val="fr-CH"/>
        </w:rPr>
        <w:t>对于民主和可持续发展进程必不可少</w:t>
      </w:r>
      <w:r>
        <w:rPr>
          <w:lang w:val="fr-CH"/>
        </w:rPr>
        <w:t>，</w:t>
      </w:r>
    </w:p>
    <w:p w14:paraId="492CEF19" w14:textId="5341FE53" w:rsidR="00584C06" w:rsidRPr="00584C06" w:rsidRDefault="00584C06" w:rsidP="00584C06">
      <w:pPr>
        <w:pStyle w:val="SingleTxtGC"/>
      </w:pPr>
      <w:r>
        <w:rPr>
          <w:lang w:val="fr-CH"/>
        </w:rPr>
        <w:tab/>
      </w:r>
      <w:r w:rsidRPr="00584C06">
        <w:rPr>
          <w:rFonts w:eastAsia="KaiTi"/>
          <w:b/>
          <w:iCs/>
          <w:lang w:val="fr-CH"/>
        </w:rPr>
        <w:t>又回顾</w:t>
      </w:r>
      <w:r w:rsidRPr="00584C06">
        <w:rPr>
          <w:lang w:val="fr-CH"/>
        </w:rPr>
        <w:t>必须确保法官、检察官、律师和法庭官员具备履行职能所需的专业资质</w:t>
      </w:r>
      <w:r>
        <w:rPr>
          <w:lang w:val="fr-CH"/>
        </w:rPr>
        <w:t>，</w:t>
      </w:r>
      <w:r w:rsidRPr="00584C06">
        <w:rPr>
          <w:lang w:val="fr-CH"/>
        </w:rPr>
        <w:t>为此应改进招聘方式</w:t>
      </w:r>
      <w:r>
        <w:rPr>
          <w:lang w:val="fr-CH"/>
        </w:rPr>
        <w:t>，</w:t>
      </w:r>
      <w:r w:rsidRPr="00584C06">
        <w:rPr>
          <w:lang w:val="fr-CH"/>
        </w:rPr>
        <w:t>以及开展法律和专业培训、有针对性的跨学科人权培训</w:t>
      </w:r>
      <w:r>
        <w:rPr>
          <w:lang w:val="fr-CH"/>
        </w:rPr>
        <w:t>，</w:t>
      </w:r>
      <w:r w:rsidRPr="00584C06">
        <w:rPr>
          <w:lang w:val="fr-CH"/>
        </w:rPr>
        <w:t>并提供适当履行其在确保法治方面所担职责需要的一切手段</w:t>
      </w:r>
      <w:r>
        <w:rPr>
          <w:lang w:val="fr-CH"/>
        </w:rPr>
        <w:t>，</w:t>
      </w:r>
    </w:p>
    <w:p w14:paraId="5BDD7DE7" w14:textId="05C1CE01" w:rsidR="00584C06" w:rsidRPr="00584C06" w:rsidRDefault="00584C06" w:rsidP="00584C06">
      <w:pPr>
        <w:pStyle w:val="SingleTxtGC"/>
      </w:pPr>
      <w:r>
        <w:rPr>
          <w:lang w:val="fr-CH"/>
        </w:rPr>
        <w:tab/>
      </w:r>
      <w:r w:rsidRPr="00584C06">
        <w:rPr>
          <w:rFonts w:eastAsia="KaiTi"/>
          <w:b/>
          <w:iCs/>
          <w:lang w:val="fr-CH"/>
        </w:rPr>
        <w:t>强调</w:t>
      </w:r>
      <w:r w:rsidRPr="00584C06">
        <w:rPr>
          <w:lang w:val="fr-CH"/>
        </w:rPr>
        <w:t>必须确保司法机关的问责制、透明度和廉正性</w:t>
      </w:r>
      <w:r>
        <w:rPr>
          <w:lang w:val="fr-CH"/>
        </w:rPr>
        <w:t>，</w:t>
      </w:r>
      <w:r w:rsidRPr="00584C06">
        <w:rPr>
          <w:lang w:val="fr-CH"/>
        </w:rPr>
        <w:t>这既是司法独立的基本要素</w:t>
      </w:r>
      <w:r>
        <w:rPr>
          <w:lang w:val="fr-CH"/>
        </w:rPr>
        <w:t>，</w:t>
      </w:r>
      <w:r w:rsidRPr="00584C06">
        <w:rPr>
          <w:lang w:val="fr-CH"/>
        </w:rPr>
        <w:t>也是按照《关于司法机关独立的基本原则》及其他相关规范、原则和标准所实施的法治中固有的理念</w:t>
      </w:r>
      <w:r>
        <w:rPr>
          <w:lang w:val="fr-CH"/>
        </w:rPr>
        <w:t>，</w:t>
      </w:r>
    </w:p>
    <w:p w14:paraId="5B33EF5E" w14:textId="7ABDB280" w:rsidR="00584C06" w:rsidRPr="00584C06" w:rsidRDefault="00584C06" w:rsidP="00584C06">
      <w:pPr>
        <w:pStyle w:val="SingleTxtGC"/>
      </w:pPr>
      <w:r>
        <w:rPr>
          <w:lang w:val="fr-CH"/>
        </w:rPr>
        <w:tab/>
      </w:r>
      <w:r w:rsidRPr="00584C06">
        <w:rPr>
          <w:rFonts w:eastAsia="KaiTi"/>
          <w:b/>
          <w:iCs/>
          <w:lang w:val="fr-CH"/>
        </w:rPr>
        <w:t>强调</w:t>
      </w:r>
      <w:r w:rsidRPr="00584C06">
        <w:rPr>
          <w:lang w:val="fr-CH"/>
        </w:rPr>
        <w:t>法官、检察官和律师在捍卫人权</w:t>
      </w:r>
      <w:r>
        <w:rPr>
          <w:lang w:val="fr-CH"/>
        </w:rPr>
        <w:t>，</w:t>
      </w:r>
      <w:r w:rsidRPr="00584C06">
        <w:rPr>
          <w:lang w:val="fr-CH"/>
        </w:rPr>
        <w:t>包括免受酷刑和其他残忍、不人道或有辱人格的待遇或处罚这一不容克减的绝对权利方面发挥着关键作用</w:t>
      </w:r>
      <w:r>
        <w:rPr>
          <w:lang w:val="fr-CH"/>
        </w:rPr>
        <w:t>，</w:t>
      </w:r>
    </w:p>
    <w:p w14:paraId="7272CAED" w14:textId="1ACFBA73" w:rsidR="00584C06" w:rsidRPr="00584C06" w:rsidRDefault="00584C06" w:rsidP="00584C06">
      <w:pPr>
        <w:pStyle w:val="SingleTxtGC"/>
      </w:pPr>
      <w:r>
        <w:rPr>
          <w:rFonts w:eastAsia="KaiTi"/>
          <w:b/>
          <w:iCs/>
          <w:lang w:val="fr-CH"/>
        </w:rPr>
        <w:tab/>
      </w:r>
      <w:r w:rsidRPr="00584C06">
        <w:rPr>
          <w:rFonts w:eastAsia="KaiTi"/>
          <w:b/>
          <w:iCs/>
          <w:lang w:val="fr-CH"/>
        </w:rPr>
        <w:t>又强调</w:t>
      </w:r>
      <w:r w:rsidRPr="00584C06">
        <w:rPr>
          <w:lang w:val="fr-CH"/>
        </w:rPr>
        <w:t>建立和维护相应法律框架的重要性</w:t>
      </w:r>
      <w:r>
        <w:rPr>
          <w:lang w:val="fr-CH"/>
        </w:rPr>
        <w:t>，</w:t>
      </w:r>
      <w:r w:rsidRPr="00584C06">
        <w:rPr>
          <w:lang w:val="fr-CH"/>
        </w:rPr>
        <w:t>以防止法官、检察官、律师、陪审员和助审员仅因履行专业职责便受到攻击、威胁、骚扰和恐吓</w:t>
      </w:r>
      <w:r>
        <w:rPr>
          <w:lang w:val="fr-CH"/>
        </w:rPr>
        <w:t>；</w:t>
      </w:r>
      <w:r w:rsidRPr="00584C06">
        <w:rPr>
          <w:lang w:val="fr-CH"/>
        </w:rPr>
        <w:t>司法机关、检察机关和其他法律机构和组织应制定体现国际人权标准的安全有效的程序</w:t>
      </w:r>
      <w:r>
        <w:rPr>
          <w:lang w:val="fr-CH"/>
        </w:rPr>
        <w:t>，</w:t>
      </w:r>
      <w:r w:rsidRPr="00584C06">
        <w:rPr>
          <w:lang w:val="fr-CH"/>
        </w:rPr>
        <w:t>酌情保护申诉人的匿名身份并避免二次伤害</w:t>
      </w:r>
      <w:r>
        <w:rPr>
          <w:lang w:val="fr-CH"/>
        </w:rPr>
        <w:t>，</w:t>
      </w:r>
      <w:r w:rsidRPr="00584C06">
        <w:rPr>
          <w:lang w:val="fr-CH"/>
        </w:rPr>
        <w:t>同时将性别视角纳入主流</w:t>
      </w:r>
      <w:r>
        <w:rPr>
          <w:lang w:val="fr-CH"/>
        </w:rPr>
        <w:t>，</w:t>
      </w:r>
      <w:r w:rsidRPr="00584C06">
        <w:rPr>
          <w:lang w:val="fr-CH"/>
        </w:rPr>
        <w:t>并应对妇女参与司法体系时可能面临的具体威胁</w:t>
      </w:r>
      <w:r>
        <w:rPr>
          <w:lang w:val="fr-CH"/>
        </w:rPr>
        <w:t>，</w:t>
      </w:r>
    </w:p>
    <w:p w14:paraId="38DFE7E0" w14:textId="2E309C87" w:rsidR="00584C06" w:rsidRPr="00584C06" w:rsidRDefault="00584C06" w:rsidP="00584C06">
      <w:pPr>
        <w:pStyle w:val="SingleTxtGC"/>
        <w:rPr>
          <w:rFonts w:eastAsia="KaiTi"/>
          <w:b/>
        </w:rPr>
      </w:pPr>
      <w:r>
        <w:rPr>
          <w:rFonts w:eastAsia="KaiTi"/>
          <w:b/>
          <w:iCs/>
          <w:lang w:val="fr-CH"/>
        </w:rPr>
        <w:tab/>
      </w:r>
      <w:r w:rsidRPr="00584C06">
        <w:rPr>
          <w:rFonts w:eastAsia="KaiTi"/>
          <w:b/>
          <w:iCs/>
          <w:lang w:val="fr-CH"/>
        </w:rPr>
        <w:t>承认</w:t>
      </w:r>
      <w:r w:rsidRPr="00584C06">
        <w:rPr>
          <w:lang w:val="fr-CH"/>
        </w:rPr>
        <w:t>包括人工智能工具在内的数字技术若在采取充分保障措施的前提下加以应用</w:t>
      </w:r>
      <w:r>
        <w:rPr>
          <w:lang w:val="fr-CH"/>
        </w:rPr>
        <w:t>，</w:t>
      </w:r>
      <w:r w:rsidRPr="00584C06">
        <w:rPr>
          <w:lang w:val="fr-CH"/>
        </w:rPr>
        <w:t>有可能改善司法系统的运作</w:t>
      </w:r>
      <w:r>
        <w:rPr>
          <w:lang w:val="fr-CH"/>
        </w:rPr>
        <w:t>，</w:t>
      </w:r>
    </w:p>
    <w:p w14:paraId="00CF46EF" w14:textId="19F1BD37" w:rsidR="00584C06" w:rsidRPr="00584C06" w:rsidRDefault="00584C06" w:rsidP="00584C06">
      <w:pPr>
        <w:pStyle w:val="SingleTxtGC"/>
      </w:pPr>
      <w:r>
        <w:rPr>
          <w:rFonts w:eastAsia="KaiTi"/>
          <w:b/>
          <w:iCs/>
          <w:lang w:val="fr-CH"/>
        </w:rPr>
        <w:tab/>
      </w:r>
      <w:r w:rsidRPr="00584C06">
        <w:rPr>
          <w:rFonts w:eastAsia="KaiTi"/>
          <w:b/>
          <w:iCs/>
          <w:lang w:val="fr-CH"/>
        </w:rPr>
        <w:t>同时强调</w:t>
      </w:r>
      <w:r w:rsidRPr="00584C06">
        <w:rPr>
          <w:lang w:val="fr-CH"/>
        </w:rPr>
        <w:t>司法部门的数字化发展必须符合国际人权法</w:t>
      </w:r>
      <w:r>
        <w:rPr>
          <w:lang w:val="fr-CH"/>
        </w:rPr>
        <w:t>，</w:t>
      </w:r>
      <w:r w:rsidRPr="00584C06">
        <w:rPr>
          <w:lang w:val="fr-CH"/>
        </w:rPr>
        <w:t>并遵循正当程序原则和公正审判标准</w:t>
      </w:r>
      <w:r>
        <w:rPr>
          <w:lang w:val="fr-CH"/>
        </w:rPr>
        <w:t>，</w:t>
      </w:r>
    </w:p>
    <w:p w14:paraId="2AE0E809" w14:textId="219CC01B" w:rsidR="00584C06" w:rsidRPr="00584C06" w:rsidRDefault="00584C06" w:rsidP="00584C06">
      <w:pPr>
        <w:pStyle w:val="SingleTxtGC"/>
      </w:pPr>
      <w:r>
        <w:rPr>
          <w:lang w:val="fr-CH"/>
        </w:rPr>
        <w:lastRenderedPageBreak/>
        <w:tab/>
      </w:r>
      <w:r w:rsidRPr="00584C06">
        <w:rPr>
          <w:rFonts w:eastAsia="KaiTi"/>
          <w:b/>
          <w:iCs/>
          <w:lang w:val="fr-CH"/>
        </w:rPr>
        <w:t>强调</w:t>
      </w:r>
      <w:r w:rsidRPr="00584C06">
        <w:rPr>
          <w:lang w:val="fr-CH"/>
        </w:rPr>
        <w:t>独立公正的司法机构、客观公正的检察机构和独立的法律职业群体</w:t>
      </w:r>
      <w:r>
        <w:rPr>
          <w:lang w:val="fr-CH"/>
        </w:rPr>
        <w:t>，</w:t>
      </w:r>
      <w:r w:rsidRPr="00584C06">
        <w:rPr>
          <w:lang w:val="fr-CH"/>
        </w:rPr>
        <w:t>通过促进男女均衡代表性并建立性别响应型程序</w:t>
      </w:r>
      <w:r>
        <w:rPr>
          <w:lang w:val="fr-CH"/>
        </w:rPr>
        <w:t>，</w:t>
      </w:r>
      <w:r w:rsidRPr="00584C06">
        <w:rPr>
          <w:lang w:val="fr-CH"/>
        </w:rPr>
        <w:t>对于有效保护妇女人权</w:t>
      </w:r>
      <w:r>
        <w:rPr>
          <w:lang w:val="fr-CH"/>
        </w:rPr>
        <w:t>，</w:t>
      </w:r>
      <w:r w:rsidRPr="00584C06">
        <w:rPr>
          <w:lang w:val="fr-CH"/>
        </w:rPr>
        <w:t>包括保护妇女免受一切形式的暴力及免受法院系统的二次伤害</w:t>
      </w:r>
      <w:r>
        <w:rPr>
          <w:lang w:val="fr-CH"/>
        </w:rPr>
        <w:t>，</w:t>
      </w:r>
      <w:r w:rsidRPr="00584C06">
        <w:rPr>
          <w:lang w:val="fr-CH"/>
        </w:rPr>
        <w:t>以及对于确保司法行政中没有性别歧视和性别成见</w:t>
      </w:r>
      <w:r>
        <w:rPr>
          <w:lang w:val="fr-CH"/>
        </w:rPr>
        <w:t>，</w:t>
      </w:r>
      <w:r w:rsidRPr="00584C06">
        <w:rPr>
          <w:lang w:val="fr-CH"/>
        </w:rPr>
        <w:t>都是不可或缺的</w:t>
      </w:r>
      <w:r>
        <w:rPr>
          <w:lang w:val="fr-CH"/>
        </w:rPr>
        <w:t>，</w:t>
      </w:r>
    </w:p>
    <w:p w14:paraId="1132775E" w14:textId="4C84AC3B" w:rsidR="00584C06" w:rsidRPr="00584C06" w:rsidRDefault="00584C06" w:rsidP="00584C06">
      <w:pPr>
        <w:pStyle w:val="SingleTxtGC"/>
      </w:pPr>
      <w:r>
        <w:rPr>
          <w:lang w:val="fr-CH"/>
        </w:rPr>
        <w:tab/>
      </w:r>
      <w:r w:rsidRPr="00584C06">
        <w:rPr>
          <w:rFonts w:eastAsia="KaiTi"/>
          <w:b/>
          <w:iCs/>
          <w:lang w:val="fr-CH"/>
        </w:rPr>
        <w:t>承认</w:t>
      </w:r>
      <w:r w:rsidRPr="00584C06">
        <w:rPr>
          <w:lang w:val="fr-CH"/>
        </w:rPr>
        <w:t>律师专业协会在维护职业标准和职业道德、保护其成员免受迫害及不当限制和侵犯、为所有有需要者提供法律服务方面发挥着关键作用</w:t>
      </w:r>
      <w:r>
        <w:rPr>
          <w:lang w:val="fr-CH"/>
        </w:rPr>
        <w:t>，</w:t>
      </w:r>
    </w:p>
    <w:p w14:paraId="581A04CF" w14:textId="4F3D838D" w:rsidR="00584C06" w:rsidRPr="00584C06" w:rsidRDefault="00584C06" w:rsidP="00584C06">
      <w:pPr>
        <w:pStyle w:val="SingleTxtGC"/>
      </w:pPr>
      <w:r>
        <w:rPr>
          <w:lang w:val="fr-CH"/>
        </w:rPr>
        <w:tab/>
      </w:r>
      <w:r w:rsidRPr="00584C06">
        <w:rPr>
          <w:rFonts w:eastAsia="KaiTi"/>
          <w:b/>
          <w:iCs/>
          <w:lang w:val="fr-CH"/>
        </w:rPr>
        <w:t>认识到</w:t>
      </w:r>
      <w:r w:rsidRPr="00584C06">
        <w:rPr>
          <w:lang w:val="fr-CH"/>
        </w:rPr>
        <w:t>独立、自我管理的律师协会和法官及检察官职业协会</w:t>
      </w:r>
      <w:r>
        <w:rPr>
          <w:lang w:val="fr-CH"/>
        </w:rPr>
        <w:t>，</w:t>
      </w:r>
      <w:r w:rsidRPr="00584C06">
        <w:rPr>
          <w:lang w:val="fr-CH"/>
        </w:rPr>
        <w:t>以及致力于捍卫法官和律师独立性原则的非政府组织的重要性</w:t>
      </w:r>
      <w:r>
        <w:rPr>
          <w:lang w:val="fr-CH"/>
        </w:rPr>
        <w:t>，</w:t>
      </w:r>
      <w:r w:rsidRPr="00584C06">
        <w:rPr>
          <w:lang w:val="fr-CH"/>
        </w:rPr>
        <w:t>以及律师和法律职业群体、律师协会、法学会以及国家和国际律师组织在维护法治、促进和保护人权方面可以发挥的关键作用</w:t>
      </w:r>
      <w:r>
        <w:rPr>
          <w:lang w:val="fr-CH"/>
        </w:rPr>
        <w:t>，</w:t>
      </w:r>
    </w:p>
    <w:p w14:paraId="79376F78" w14:textId="6A268D07" w:rsidR="00584C06" w:rsidRPr="00584C06" w:rsidRDefault="00584C06" w:rsidP="00584C06">
      <w:pPr>
        <w:pStyle w:val="SingleTxtGC"/>
      </w:pPr>
      <w:r>
        <w:rPr>
          <w:lang w:val="fr-CH"/>
        </w:rPr>
        <w:tab/>
      </w:r>
      <w:r w:rsidRPr="00584C06">
        <w:rPr>
          <w:rFonts w:eastAsia="KaiTi"/>
          <w:b/>
          <w:iCs/>
          <w:lang w:val="fr-CH"/>
        </w:rPr>
        <w:t>表示关切的是</w:t>
      </w:r>
      <w:r>
        <w:rPr>
          <w:lang w:val="fr-CH"/>
        </w:rPr>
        <w:t>，</w:t>
      </w:r>
      <w:r w:rsidRPr="00584C06">
        <w:rPr>
          <w:lang w:val="fr-CH"/>
        </w:rPr>
        <w:t>存在法律职业入行或继续从业受到行政部门管控或任意干预的情况</w:t>
      </w:r>
      <w:r>
        <w:rPr>
          <w:lang w:val="fr-CH"/>
        </w:rPr>
        <w:t>，</w:t>
      </w:r>
      <w:r w:rsidRPr="00584C06">
        <w:rPr>
          <w:lang w:val="fr-CH"/>
        </w:rPr>
        <w:t>特别是律师执业许可制度被滥用的情况</w:t>
      </w:r>
      <w:r>
        <w:rPr>
          <w:lang w:val="fr-CH"/>
        </w:rPr>
        <w:t>，</w:t>
      </w:r>
    </w:p>
    <w:p w14:paraId="5EBC5743" w14:textId="049AB6E2" w:rsidR="00584C06" w:rsidRPr="00584C06" w:rsidRDefault="00584C06" w:rsidP="00584C06">
      <w:pPr>
        <w:pStyle w:val="SingleTxtGC"/>
      </w:pPr>
      <w:r>
        <w:rPr>
          <w:lang w:val="fr-CH"/>
        </w:rPr>
        <w:tab/>
      </w:r>
      <w:r w:rsidRPr="00584C06">
        <w:rPr>
          <w:rFonts w:eastAsia="KaiTi"/>
          <w:b/>
          <w:iCs/>
          <w:lang w:val="fr-CH"/>
        </w:rPr>
        <w:t>认识到</w:t>
      </w:r>
      <w:r w:rsidRPr="00584C06">
        <w:rPr>
          <w:lang w:val="fr-CH"/>
        </w:rPr>
        <w:t>可及且有效的法律援助是建立在法治基础上的公正、人道和高效司法行政系统的一项基本要素</w:t>
      </w:r>
      <w:r>
        <w:rPr>
          <w:lang w:val="fr-CH"/>
        </w:rPr>
        <w:t>，</w:t>
      </w:r>
    </w:p>
    <w:p w14:paraId="7A6C8B2A" w14:textId="2DB882AD" w:rsidR="00584C06" w:rsidRPr="00584C06" w:rsidRDefault="00584C06" w:rsidP="00584C06">
      <w:pPr>
        <w:pStyle w:val="SingleTxtGC"/>
      </w:pPr>
      <w:r>
        <w:rPr>
          <w:lang w:val="fr-CH"/>
        </w:rPr>
        <w:tab/>
      </w:r>
      <w:r w:rsidRPr="00584C06">
        <w:rPr>
          <w:rFonts w:eastAsia="KaiTi"/>
          <w:b/>
          <w:iCs/>
          <w:lang w:val="fr-CH"/>
        </w:rPr>
        <w:t>注意到</w:t>
      </w:r>
      <w:r w:rsidRPr="00584C06">
        <w:rPr>
          <w:lang w:val="fr-CH"/>
        </w:rPr>
        <w:t>妇女、儿童和少数群体成员</w:t>
      </w:r>
      <w:r>
        <w:rPr>
          <w:lang w:val="fr-CH"/>
        </w:rPr>
        <w:t>，</w:t>
      </w:r>
      <w:r w:rsidRPr="00584C06">
        <w:rPr>
          <w:lang w:val="fr-CH"/>
        </w:rPr>
        <w:t>特别是接触司法系统的弱势人员的权利和特殊需求</w:t>
      </w:r>
      <w:r>
        <w:rPr>
          <w:lang w:val="fr-CH"/>
        </w:rPr>
        <w:t>，</w:t>
      </w:r>
      <w:r w:rsidRPr="00584C06">
        <w:rPr>
          <w:lang w:val="fr-CH"/>
        </w:rPr>
        <w:t>他们可能需要与其接触的专业人员</w:t>
      </w:r>
      <w:r>
        <w:rPr>
          <w:lang w:val="fr-CH"/>
        </w:rPr>
        <w:t>，</w:t>
      </w:r>
      <w:r w:rsidRPr="00584C06">
        <w:rPr>
          <w:lang w:val="fr-CH"/>
        </w:rPr>
        <w:t>特别是律师、检察官和法官给予特别关注和保护并具备相应技能</w:t>
      </w:r>
      <w:r>
        <w:rPr>
          <w:lang w:val="fr-CH"/>
        </w:rPr>
        <w:t>，</w:t>
      </w:r>
    </w:p>
    <w:p w14:paraId="3123C4B1" w14:textId="33C5133E" w:rsidR="00584C06" w:rsidRPr="00584C06" w:rsidRDefault="00584C06" w:rsidP="00584C06">
      <w:pPr>
        <w:pStyle w:val="SingleTxtGC"/>
      </w:pPr>
      <w:r>
        <w:rPr>
          <w:lang w:val="fr-CH"/>
        </w:rPr>
        <w:tab/>
      </w:r>
      <w:r w:rsidRPr="00584C06">
        <w:rPr>
          <w:rFonts w:eastAsia="KaiTi"/>
          <w:b/>
          <w:iCs/>
          <w:lang w:val="fr-CH"/>
        </w:rPr>
        <w:t>重申</w:t>
      </w:r>
      <w:r w:rsidRPr="00584C06">
        <w:rPr>
          <w:lang w:val="fr-CH"/>
        </w:rPr>
        <w:t>基于保密原则的律师与委托人之间特权关系的重要性</w:t>
      </w:r>
      <w:r>
        <w:rPr>
          <w:lang w:val="fr-CH"/>
        </w:rPr>
        <w:t>，</w:t>
      </w:r>
      <w:r w:rsidRPr="00584C06">
        <w:rPr>
          <w:lang w:val="fr-CH"/>
        </w:rPr>
        <w:t>以及有必要保护这种关系免受包括监视在内的不当干涉</w:t>
      </w:r>
      <w:r>
        <w:rPr>
          <w:lang w:val="fr-CH"/>
        </w:rPr>
        <w:t>，</w:t>
      </w:r>
    </w:p>
    <w:p w14:paraId="443D8CA6" w14:textId="69F4961C" w:rsidR="00584C06" w:rsidRPr="00584C06" w:rsidRDefault="00584C06" w:rsidP="00584C06">
      <w:pPr>
        <w:pStyle w:val="SingleTxtGC"/>
      </w:pPr>
      <w:r>
        <w:rPr>
          <w:rFonts w:eastAsia="KaiTi"/>
          <w:b/>
          <w:iCs/>
          <w:lang w:val="fr-CH"/>
        </w:rPr>
        <w:tab/>
      </w:r>
      <w:r w:rsidRPr="00584C06">
        <w:rPr>
          <w:rFonts w:eastAsia="KaiTi"/>
          <w:b/>
          <w:iCs/>
          <w:lang w:val="fr-CH"/>
        </w:rPr>
        <w:t>注意到</w:t>
      </w:r>
      <w:r w:rsidRPr="00584C06">
        <w:rPr>
          <w:lang w:val="fr-CH"/>
        </w:rPr>
        <w:t>特殊情况和危机局势、武装冲突及占领局势对司法系统构成的威胁和挑战</w:t>
      </w:r>
      <w:r>
        <w:rPr>
          <w:lang w:val="fr-CH"/>
        </w:rPr>
        <w:t>，</w:t>
      </w:r>
      <w:r w:rsidRPr="00584C06">
        <w:rPr>
          <w:lang w:val="fr-CH"/>
        </w:rPr>
        <w:t>包括在司法可及性方面的威胁和挑战</w:t>
      </w:r>
      <w:r>
        <w:rPr>
          <w:lang w:val="fr-CH"/>
        </w:rPr>
        <w:t>，</w:t>
      </w:r>
      <w:r w:rsidRPr="00584C06">
        <w:rPr>
          <w:lang w:val="fr-CH"/>
        </w:rPr>
        <w:t>并重申国家为应对这些情况而采取的紧急措施</w:t>
      </w:r>
      <w:r>
        <w:rPr>
          <w:lang w:val="fr-CH"/>
        </w:rPr>
        <w:t>，</w:t>
      </w:r>
      <w:r w:rsidRPr="00584C06">
        <w:rPr>
          <w:lang w:val="fr-CH"/>
        </w:rPr>
        <w:t>包括与司法行政有关的措施</w:t>
      </w:r>
      <w:r>
        <w:rPr>
          <w:lang w:val="fr-CH"/>
        </w:rPr>
        <w:t>，</w:t>
      </w:r>
      <w:r w:rsidRPr="00584C06">
        <w:rPr>
          <w:lang w:val="fr-CH"/>
        </w:rPr>
        <w:t>必须是必要的</w:t>
      </w:r>
      <w:r>
        <w:rPr>
          <w:lang w:val="fr-CH"/>
        </w:rPr>
        <w:t>，</w:t>
      </w:r>
      <w:r w:rsidRPr="00584C06">
        <w:rPr>
          <w:lang w:val="fr-CH"/>
        </w:rPr>
        <w:t>且须与所评估风险相称、以非歧视方式适用</w:t>
      </w:r>
      <w:r>
        <w:rPr>
          <w:lang w:val="fr-CH"/>
        </w:rPr>
        <w:t>，</w:t>
      </w:r>
      <w:r w:rsidRPr="00584C06">
        <w:rPr>
          <w:lang w:val="fr-CH"/>
        </w:rPr>
        <w:t>具有明确重点和时限</w:t>
      </w:r>
      <w:r>
        <w:rPr>
          <w:lang w:val="fr-CH"/>
        </w:rPr>
        <w:t>，</w:t>
      </w:r>
      <w:r w:rsidRPr="00584C06">
        <w:rPr>
          <w:lang w:val="fr-CH"/>
        </w:rPr>
        <w:t>并须符合国家在适用的国际人权法下的义务</w:t>
      </w:r>
      <w:r>
        <w:rPr>
          <w:lang w:val="fr-CH"/>
        </w:rPr>
        <w:t>，</w:t>
      </w:r>
    </w:p>
    <w:p w14:paraId="084987B0" w14:textId="5F98923D" w:rsidR="00584C06" w:rsidRPr="00584C06" w:rsidRDefault="00584C06" w:rsidP="00584C06">
      <w:pPr>
        <w:pStyle w:val="SingleTxtGC"/>
      </w:pPr>
      <w:r>
        <w:rPr>
          <w:lang w:val="fr-CH"/>
        </w:rPr>
        <w:tab/>
      </w:r>
      <w:r w:rsidRPr="00584C06">
        <w:rPr>
          <w:rFonts w:eastAsia="KaiTi"/>
          <w:b/>
          <w:iCs/>
          <w:lang w:val="fr-CH"/>
        </w:rPr>
        <w:t>认识到</w:t>
      </w:r>
      <w:r w:rsidRPr="00584C06">
        <w:rPr>
          <w:lang w:val="fr-CH"/>
        </w:rPr>
        <w:t>区域文书和倡议在保护律师方面的作用</w:t>
      </w:r>
      <w:r>
        <w:rPr>
          <w:lang w:val="fr-CH"/>
        </w:rPr>
        <w:t>，</w:t>
      </w:r>
      <w:r w:rsidRPr="00584C06">
        <w:rPr>
          <w:lang w:val="fr-CH"/>
        </w:rPr>
        <w:t>并在这方面注意到《欧洲委员会保护律师职业公约》的通过</w:t>
      </w:r>
      <w:r>
        <w:rPr>
          <w:lang w:val="fr-CH"/>
        </w:rPr>
        <w:t>，</w:t>
      </w:r>
      <w:r w:rsidRPr="00584C06">
        <w:rPr>
          <w:lang w:val="fr-CH"/>
        </w:rPr>
        <w:t>该公约为各国提供了保护律师方面的标准</w:t>
      </w:r>
      <w:r>
        <w:rPr>
          <w:lang w:val="fr-CH"/>
        </w:rPr>
        <w:t>，</w:t>
      </w:r>
      <w:r w:rsidRPr="00584C06">
        <w:rPr>
          <w:lang w:val="fr-CH"/>
        </w:rPr>
        <w:t>便于客观衡量进展并查明不足</w:t>
      </w:r>
      <w:r>
        <w:rPr>
          <w:lang w:val="fr-CH"/>
        </w:rPr>
        <w:t>，</w:t>
      </w:r>
    </w:p>
    <w:p w14:paraId="07E71414" w14:textId="672F93AD" w:rsidR="00584C06" w:rsidRPr="00584C06" w:rsidRDefault="00584C06" w:rsidP="00584C06">
      <w:pPr>
        <w:pStyle w:val="SingleTxtGC"/>
      </w:pPr>
      <w:r>
        <w:rPr>
          <w:rFonts w:eastAsia="KaiTi"/>
          <w:b/>
          <w:iCs/>
          <w:lang w:val="fr-CH"/>
        </w:rPr>
        <w:tab/>
      </w:r>
      <w:r w:rsidRPr="00584C06">
        <w:rPr>
          <w:rFonts w:eastAsia="KaiTi"/>
          <w:b/>
          <w:iCs/>
          <w:lang w:val="fr-CH"/>
        </w:rPr>
        <w:t>重申</w:t>
      </w:r>
      <w:r w:rsidRPr="00584C06">
        <w:rPr>
          <w:lang w:val="fr-CH"/>
        </w:rPr>
        <w:t>人权理事会关于将法官和律师独立性特别报告员任务延长三年的各项决议</w:t>
      </w:r>
      <w:r>
        <w:rPr>
          <w:lang w:val="fr-CH"/>
        </w:rPr>
        <w:t>，</w:t>
      </w:r>
      <w:r w:rsidRPr="00584C06">
        <w:rPr>
          <w:lang w:val="fr-CH"/>
        </w:rPr>
        <w:t>并承认任务负责人必须能够在其任务框架内与联合国人权事务高级专员办事处密切合作</w:t>
      </w:r>
      <w:r>
        <w:rPr>
          <w:lang w:val="fr-CH"/>
        </w:rPr>
        <w:t>，</w:t>
      </w:r>
      <w:r w:rsidRPr="00584C06">
        <w:rPr>
          <w:lang w:val="fr-CH"/>
        </w:rPr>
        <w:t>包括在咨询服务和技术合作领域密切合作</w:t>
      </w:r>
      <w:r>
        <w:rPr>
          <w:lang w:val="fr-CH"/>
        </w:rPr>
        <w:t>，</w:t>
      </w:r>
      <w:r w:rsidRPr="00584C06">
        <w:rPr>
          <w:lang w:val="fr-CH"/>
        </w:rPr>
        <w:t>以努力保障法官和律师的独立性</w:t>
      </w:r>
      <w:r>
        <w:rPr>
          <w:lang w:val="fr-CH"/>
        </w:rPr>
        <w:t>，</w:t>
      </w:r>
    </w:p>
    <w:p w14:paraId="46F9EC07" w14:textId="27413615" w:rsidR="00584C06" w:rsidRPr="00584C06" w:rsidRDefault="00584C06" w:rsidP="00584C06">
      <w:pPr>
        <w:pStyle w:val="SingleTxtGC"/>
      </w:pPr>
      <w:r>
        <w:rPr>
          <w:lang w:val="fr-CH"/>
        </w:rPr>
        <w:tab/>
        <w:t>1.</w:t>
      </w:r>
      <w:r w:rsidRPr="00584C06">
        <w:rPr>
          <w:lang w:val="fr-CH"/>
        </w:rPr>
        <w:tab/>
      </w:r>
      <w:r w:rsidRPr="00584C06">
        <w:rPr>
          <w:rFonts w:eastAsia="KaiTi"/>
          <w:b/>
          <w:iCs/>
          <w:lang w:val="fr-CH"/>
        </w:rPr>
        <w:t>赞扬</w:t>
      </w:r>
      <w:r w:rsidRPr="00584C06">
        <w:rPr>
          <w:lang w:val="fr-CH"/>
        </w:rPr>
        <w:t>法官和律师独立性特别报告员在履行任务过程中所开展的重要工作</w:t>
      </w:r>
      <w:r>
        <w:rPr>
          <w:lang w:val="fr-CH"/>
        </w:rPr>
        <w:t>；</w:t>
      </w:r>
    </w:p>
    <w:p w14:paraId="7CE09B2F" w14:textId="0BC47C21" w:rsidR="00584C06" w:rsidRPr="00584C06" w:rsidRDefault="00584C06" w:rsidP="00584C06">
      <w:pPr>
        <w:pStyle w:val="SingleTxtGC"/>
      </w:pPr>
      <w:r>
        <w:rPr>
          <w:lang w:val="fr-CH"/>
        </w:rPr>
        <w:tab/>
        <w:t>2.</w:t>
      </w:r>
      <w:r w:rsidRPr="00584C06">
        <w:rPr>
          <w:lang w:val="fr-CH"/>
        </w:rPr>
        <w:tab/>
      </w:r>
      <w:r w:rsidRPr="00584C06">
        <w:rPr>
          <w:rFonts w:eastAsia="KaiTi"/>
          <w:b/>
          <w:iCs/>
          <w:lang w:val="fr-CH"/>
        </w:rPr>
        <w:t>促请</w:t>
      </w:r>
      <w:r w:rsidRPr="00584C06">
        <w:rPr>
          <w:lang w:val="fr-CH"/>
        </w:rPr>
        <w:t>所有国家保障法官和律师的独立性以及检察官的客观性和公正性</w:t>
      </w:r>
      <w:r>
        <w:rPr>
          <w:lang w:val="fr-CH"/>
        </w:rPr>
        <w:t>，</w:t>
      </w:r>
      <w:r w:rsidRPr="00584C06">
        <w:rPr>
          <w:lang w:val="fr-CH"/>
        </w:rPr>
        <w:t>并保障他们能相应地履行职能</w:t>
      </w:r>
      <w:r>
        <w:rPr>
          <w:lang w:val="fr-CH"/>
        </w:rPr>
        <w:t>，</w:t>
      </w:r>
      <w:r w:rsidRPr="00584C06">
        <w:rPr>
          <w:lang w:val="fr-CH"/>
        </w:rPr>
        <w:t>包括为此采取有效的立法、执法和其他适当措施</w:t>
      </w:r>
      <w:r>
        <w:rPr>
          <w:lang w:val="fr-CH"/>
        </w:rPr>
        <w:t>，</w:t>
      </w:r>
      <w:r w:rsidRPr="00584C06">
        <w:rPr>
          <w:lang w:val="fr-CH"/>
        </w:rPr>
        <w:t>使他们能在不受任何干涉、骚扰、威胁或恐吓的情况下履行专业职责</w:t>
      </w:r>
      <w:r>
        <w:rPr>
          <w:lang w:val="fr-CH"/>
        </w:rPr>
        <w:t>；</w:t>
      </w:r>
    </w:p>
    <w:p w14:paraId="4FAE67B0" w14:textId="0BDAAFD2" w:rsidR="00584C06" w:rsidRPr="00584C06" w:rsidRDefault="00584C06" w:rsidP="00584C06">
      <w:pPr>
        <w:pStyle w:val="SingleTxtGC"/>
      </w:pPr>
      <w:r>
        <w:rPr>
          <w:lang w:val="fr-CH"/>
        </w:rPr>
        <w:tab/>
        <w:t>3.</w:t>
      </w:r>
      <w:r w:rsidRPr="00584C06">
        <w:rPr>
          <w:lang w:val="fr-CH"/>
        </w:rPr>
        <w:tab/>
      </w:r>
      <w:r w:rsidRPr="00584C06">
        <w:rPr>
          <w:rFonts w:eastAsia="KaiTi"/>
          <w:b/>
          <w:iCs/>
          <w:lang w:val="fr-CH"/>
        </w:rPr>
        <w:t>鼓励</w:t>
      </w:r>
      <w:r w:rsidRPr="00584C06">
        <w:rPr>
          <w:lang w:val="fr-CH"/>
        </w:rPr>
        <w:t>各国促进司法机关人员构成的多样性</w:t>
      </w:r>
      <w:r>
        <w:rPr>
          <w:lang w:val="fr-CH"/>
        </w:rPr>
        <w:t>，</w:t>
      </w:r>
      <w:r w:rsidRPr="00584C06">
        <w:rPr>
          <w:lang w:val="fr-CH"/>
        </w:rPr>
        <w:t>包括纳入性别视角</w:t>
      </w:r>
      <w:r>
        <w:rPr>
          <w:lang w:val="fr-CH"/>
        </w:rPr>
        <w:t>，</w:t>
      </w:r>
      <w:r w:rsidRPr="00584C06">
        <w:rPr>
          <w:lang w:val="fr-CH"/>
        </w:rPr>
        <w:t>积极促进社会各阶层男女在各级别的均衡代表性</w:t>
      </w:r>
      <w:r>
        <w:rPr>
          <w:lang w:val="fr-CH"/>
        </w:rPr>
        <w:t>，</w:t>
      </w:r>
      <w:r w:rsidRPr="00584C06">
        <w:rPr>
          <w:lang w:val="fr-CH"/>
        </w:rPr>
        <w:t>以及少数群体和其他弱势群体人员的均衡代表性</w:t>
      </w:r>
      <w:r>
        <w:rPr>
          <w:lang w:val="fr-CH"/>
        </w:rPr>
        <w:t>；</w:t>
      </w:r>
      <w:r w:rsidRPr="00584C06">
        <w:rPr>
          <w:lang w:val="fr-CH"/>
        </w:rPr>
        <w:t>确保入职司法机关的要求以及司法人员的选拔程序不具歧视性、</w:t>
      </w:r>
      <w:r w:rsidRPr="00584C06">
        <w:rPr>
          <w:lang w:val="fr-CH"/>
        </w:rPr>
        <w:lastRenderedPageBreak/>
        <w:t>公开且透明</w:t>
      </w:r>
      <w:r>
        <w:rPr>
          <w:lang w:val="fr-CH"/>
        </w:rPr>
        <w:t>，</w:t>
      </w:r>
      <w:r w:rsidRPr="00584C06">
        <w:rPr>
          <w:lang w:val="fr-CH"/>
        </w:rPr>
        <w:t>以客观标准为基础</w:t>
      </w:r>
      <w:r>
        <w:rPr>
          <w:lang w:val="fr-CH"/>
        </w:rPr>
        <w:t>，</w:t>
      </w:r>
      <w:r w:rsidRPr="00584C06">
        <w:rPr>
          <w:lang w:val="fr-CH"/>
        </w:rPr>
        <w:t>并保证基于个人才能、在平等的工作条件下任用具有清正廉洁品质和能力、接受过适当法律培训并具备法律资质的人员</w:t>
      </w:r>
      <w:r>
        <w:rPr>
          <w:lang w:val="fr-CH"/>
        </w:rPr>
        <w:t>；</w:t>
      </w:r>
    </w:p>
    <w:p w14:paraId="70CCB076" w14:textId="5F97B6BF" w:rsidR="00584C06" w:rsidRPr="00584C06" w:rsidRDefault="00584C06" w:rsidP="00584C06">
      <w:pPr>
        <w:pStyle w:val="SingleTxtGC"/>
      </w:pPr>
      <w:r>
        <w:rPr>
          <w:lang w:val="fr-CH"/>
        </w:rPr>
        <w:tab/>
        <w:t>4.</w:t>
      </w:r>
      <w:r w:rsidRPr="00584C06">
        <w:rPr>
          <w:lang w:val="fr-CH"/>
        </w:rPr>
        <w:tab/>
      </w:r>
      <w:r w:rsidRPr="00584C06">
        <w:rPr>
          <w:rFonts w:eastAsia="KaiTi"/>
          <w:b/>
          <w:iCs/>
          <w:lang w:val="fr-CH"/>
        </w:rPr>
        <w:t>促请</w:t>
      </w:r>
      <w:r w:rsidRPr="00584C06">
        <w:rPr>
          <w:lang w:val="fr-CH"/>
        </w:rPr>
        <w:t>各国促进所有妇女充分、平等和有意义地参与和享有代表性</w:t>
      </w:r>
      <w:r>
        <w:rPr>
          <w:lang w:val="fr-CH"/>
        </w:rPr>
        <w:t>，</w:t>
      </w:r>
      <w:r w:rsidRPr="00584C06">
        <w:rPr>
          <w:lang w:val="fr-CH"/>
        </w:rPr>
        <w:t>以及促进妇女平等享有司法行政各级职位的任职机会</w:t>
      </w:r>
      <w:r>
        <w:rPr>
          <w:lang w:val="fr-CH"/>
        </w:rPr>
        <w:t>；</w:t>
      </w:r>
      <w:r w:rsidRPr="00584C06">
        <w:rPr>
          <w:lang w:val="fr-CH"/>
        </w:rPr>
        <w:t>鼓励各国采纳实质性和程序性标准</w:t>
      </w:r>
      <w:r>
        <w:rPr>
          <w:lang w:val="fr-CH"/>
        </w:rPr>
        <w:t>，</w:t>
      </w:r>
      <w:r w:rsidRPr="00584C06">
        <w:rPr>
          <w:lang w:val="fr-CH"/>
        </w:rPr>
        <w:t>推动实现性别平衡</w:t>
      </w:r>
      <w:r>
        <w:rPr>
          <w:lang w:val="fr-CH"/>
        </w:rPr>
        <w:t>，</w:t>
      </w:r>
      <w:r w:rsidRPr="00584C06">
        <w:rPr>
          <w:lang w:val="fr-CH"/>
        </w:rPr>
        <w:t>并确保妇女在司法系统</w:t>
      </w:r>
      <w:r>
        <w:rPr>
          <w:lang w:val="fr-CH"/>
        </w:rPr>
        <w:t>，</w:t>
      </w:r>
      <w:r w:rsidRPr="00584C06">
        <w:rPr>
          <w:lang w:val="fr-CH"/>
        </w:rPr>
        <w:t>包括司法机关和检察机关的公共决策职责中全面、平等、有意义的参与和代表性</w:t>
      </w:r>
      <w:r>
        <w:rPr>
          <w:lang w:val="fr-CH"/>
        </w:rPr>
        <w:t>；</w:t>
      </w:r>
    </w:p>
    <w:p w14:paraId="779AA3C9" w14:textId="5A4AA4B6" w:rsidR="00584C06" w:rsidRPr="00584C06" w:rsidRDefault="00584C06" w:rsidP="00584C06">
      <w:pPr>
        <w:pStyle w:val="SingleTxtGC"/>
      </w:pPr>
      <w:r>
        <w:rPr>
          <w:lang w:val="fr-CH"/>
        </w:rPr>
        <w:tab/>
        <w:t>5.</w:t>
      </w:r>
      <w:r w:rsidRPr="00584C06">
        <w:rPr>
          <w:lang w:val="fr-CH"/>
        </w:rPr>
        <w:tab/>
      </w:r>
      <w:r w:rsidRPr="00584C06">
        <w:rPr>
          <w:rFonts w:eastAsia="KaiTi"/>
          <w:b/>
          <w:iCs/>
          <w:lang w:val="fr-CH"/>
        </w:rPr>
        <w:t>强调</w:t>
      </w:r>
      <w:r w:rsidRPr="00584C06">
        <w:rPr>
          <w:lang w:val="fr-CH"/>
        </w:rPr>
        <w:t>法官的任期、独立性、安全、适当薪酬、工作条件、退休金和退休年龄应通过法律予以充分保障</w:t>
      </w:r>
      <w:r>
        <w:rPr>
          <w:lang w:val="fr-CH"/>
        </w:rPr>
        <w:t>；</w:t>
      </w:r>
      <w:r w:rsidRPr="00584C06">
        <w:rPr>
          <w:lang w:val="fr-CH"/>
        </w:rPr>
        <w:t>法官的任期保障是司法独立的基本保障</w:t>
      </w:r>
      <w:r>
        <w:rPr>
          <w:lang w:val="fr-CH"/>
        </w:rPr>
        <w:t>；</w:t>
      </w:r>
      <w:r w:rsidRPr="00584C06">
        <w:rPr>
          <w:lang w:val="fr-CH"/>
        </w:rPr>
        <w:t>撤销法官职务的理由必须明确</w:t>
      </w:r>
      <w:r>
        <w:rPr>
          <w:lang w:val="fr-CH"/>
        </w:rPr>
        <w:t>，</w:t>
      </w:r>
      <w:r w:rsidRPr="00584C06">
        <w:rPr>
          <w:lang w:val="fr-CH"/>
        </w:rPr>
        <w:t>符合法律规定的具体情形</w:t>
      </w:r>
      <w:r>
        <w:rPr>
          <w:lang w:val="fr-CH"/>
        </w:rPr>
        <w:t>，</w:t>
      </w:r>
      <w:r w:rsidRPr="00584C06">
        <w:rPr>
          <w:lang w:val="fr-CH"/>
        </w:rPr>
        <w:t>并说明因何原因无能力履职或导致不再胜任职务的不端行为</w:t>
      </w:r>
      <w:r>
        <w:rPr>
          <w:lang w:val="fr-CH"/>
        </w:rPr>
        <w:t>；</w:t>
      </w:r>
      <w:r w:rsidRPr="00584C06">
        <w:rPr>
          <w:lang w:val="fr-CH"/>
        </w:rPr>
        <w:t>对法官进行纪律处分、停职或撤职的程序须符合正当程序</w:t>
      </w:r>
      <w:r>
        <w:rPr>
          <w:lang w:val="fr-CH"/>
        </w:rPr>
        <w:t>；</w:t>
      </w:r>
    </w:p>
    <w:p w14:paraId="028A5F38" w14:textId="7C9DC676" w:rsidR="00584C06" w:rsidRPr="00584C06" w:rsidRDefault="00584C06" w:rsidP="00584C06">
      <w:pPr>
        <w:pStyle w:val="SingleTxtGC"/>
      </w:pPr>
      <w:r>
        <w:rPr>
          <w:lang w:val="fr-CH"/>
        </w:rPr>
        <w:tab/>
        <w:t>6.</w:t>
      </w:r>
      <w:r w:rsidRPr="00584C06">
        <w:rPr>
          <w:lang w:val="fr-CH"/>
        </w:rPr>
        <w:tab/>
      </w:r>
      <w:r w:rsidRPr="00584C06">
        <w:rPr>
          <w:rFonts w:eastAsia="KaiTi"/>
          <w:b/>
          <w:iCs/>
          <w:lang w:val="fr-CH"/>
        </w:rPr>
        <w:t>鼓励</w:t>
      </w:r>
      <w:r w:rsidRPr="00584C06">
        <w:rPr>
          <w:lang w:val="fr-CH"/>
        </w:rPr>
        <w:t>各国在综合司法体系的框架内酌情制定恢复性司法领域的政策、程序和方案</w:t>
      </w:r>
      <w:r>
        <w:rPr>
          <w:lang w:val="fr-CH"/>
        </w:rPr>
        <w:t>；</w:t>
      </w:r>
    </w:p>
    <w:p w14:paraId="11738AF0" w14:textId="4BD38FBB" w:rsidR="00584C06" w:rsidRPr="00584C06" w:rsidRDefault="00584C06" w:rsidP="00584C06">
      <w:pPr>
        <w:pStyle w:val="SingleTxtGC"/>
      </w:pPr>
      <w:r>
        <w:rPr>
          <w:lang w:val="fr-CH"/>
        </w:rPr>
        <w:tab/>
        <w:t>7.</w:t>
      </w:r>
      <w:r w:rsidRPr="00584C06">
        <w:rPr>
          <w:lang w:val="fr-CH"/>
        </w:rPr>
        <w:tab/>
      </w:r>
      <w:r w:rsidRPr="00584C06">
        <w:rPr>
          <w:rFonts w:eastAsia="KaiTi"/>
          <w:b/>
          <w:iCs/>
          <w:lang w:val="fr-CH"/>
        </w:rPr>
        <w:t>又鼓励</w:t>
      </w:r>
      <w:r w:rsidRPr="00584C06">
        <w:rPr>
          <w:lang w:val="fr-CH"/>
        </w:rPr>
        <w:t>各国在与律师协会、法官和检察官协会以及协助司法系统的教育机构等相关国家实体合作的基础上</w:t>
      </w:r>
      <w:r>
        <w:rPr>
          <w:lang w:val="fr-CH"/>
        </w:rPr>
        <w:t>，</w:t>
      </w:r>
      <w:r w:rsidRPr="00584C06">
        <w:rPr>
          <w:lang w:val="fr-CH"/>
        </w:rPr>
        <w:t>考虑就性别、儿童、残疾人、土著人民和移民等问题制定指导意见</w:t>
      </w:r>
      <w:r>
        <w:rPr>
          <w:lang w:val="fr-CH"/>
        </w:rPr>
        <w:t>，</w:t>
      </w:r>
      <w:r w:rsidRPr="00584C06">
        <w:rPr>
          <w:lang w:val="fr-CH"/>
        </w:rPr>
        <w:t>为法官、律师、检察官和司法系统其他行为者的工作提供参考</w:t>
      </w:r>
      <w:r>
        <w:rPr>
          <w:lang w:val="fr-CH"/>
        </w:rPr>
        <w:t>；</w:t>
      </w:r>
    </w:p>
    <w:p w14:paraId="18A5D762" w14:textId="0E3DE44F" w:rsidR="00584C06" w:rsidRPr="00584C06" w:rsidRDefault="00584C06" w:rsidP="00584C06">
      <w:pPr>
        <w:pStyle w:val="SingleTxtGC"/>
      </w:pPr>
      <w:r>
        <w:rPr>
          <w:lang w:val="fr-CH"/>
        </w:rPr>
        <w:tab/>
        <w:t>8.</w:t>
      </w:r>
      <w:r w:rsidRPr="00584C06">
        <w:rPr>
          <w:lang w:val="fr-CH"/>
        </w:rPr>
        <w:tab/>
      </w:r>
      <w:r w:rsidRPr="00584C06">
        <w:rPr>
          <w:rFonts w:eastAsia="KaiTi"/>
          <w:b/>
          <w:iCs/>
          <w:lang w:val="fr-CH"/>
        </w:rPr>
        <w:t>特别指出</w:t>
      </w:r>
      <w:r w:rsidRPr="00584C06">
        <w:rPr>
          <w:lang w:val="fr-CH"/>
        </w:rPr>
        <w:t>不得因律师履行职责而将律师与其当事人划等号</w:t>
      </w:r>
      <w:r>
        <w:rPr>
          <w:lang w:val="fr-CH"/>
        </w:rPr>
        <w:t>，</w:t>
      </w:r>
      <w:r w:rsidRPr="00584C06">
        <w:rPr>
          <w:lang w:val="fr-CH"/>
        </w:rPr>
        <w:t>也不得因律师履行职责而将律师视为认同当事人的主张</w:t>
      </w:r>
      <w:r>
        <w:rPr>
          <w:lang w:val="fr-CH"/>
        </w:rPr>
        <w:t>；</w:t>
      </w:r>
    </w:p>
    <w:p w14:paraId="2D448BF1" w14:textId="776C6956" w:rsidR="00584C06" w:rsidRPr="00584C06" w:rsidRDefault="00584C06" w:rsidP="00584C06">
      <w:pPr>
        <w:pStyle w:val="SingleTxtGC"/>
      </w:pPr>
      <w:r>
        <w:rPr>
          <w:lang w:val="fr-CH"/>
        </w:rPr>
        <w:tab/>
        <w:t>9.</w:t>
      </w:r>
      <w:r w:rsidRPr="00584C06">
        <w:rPr>
          <w:lang w:val="fr-CH"/>
        </w:rPr>
        <w:tab/>
      </w:r>
      <w:r w:rsidRPr="00584C06">
        <w:rPr>
          <w:rFonts w:eastAsia="KaiTi"/>
          <w:b/>
          <w:iCs/>
          <w:lang w:val="fr-CH"/>
        </w:rPr>
        <w:t>强调</w:t>
      </w:r>
      <w:r w:rsidRPr="00584C06">
        <w:rPr>
          <w:lang w:val="fr-CH"/>
        </w:rPr>
        <w:t>律师</w:t>
      </w:r>
      <w:r>
        <w:rPr>
          <w:lang w:val="fr-CH"/>
        </w:rPr>
        <w:t>，</w:t>
      </w:r>
      <w:r w:rsidRPr="00584C06">
        <w:rPr>
          <w:lang w:val="fr-CH"/>
        </w:rPr>
        <w:t>包括在国际法院任职者应能够自由、独立地履行职责</w:t>
      </w:r>
      <w:r>
        <w:rPr>
          <w:lang w:val="fr-CH"/>
        </w:rPr>
        <w:t>，</w:t>
      </w:r>
      <w:r w:rsidRPr="00584C06">
        <w:rPr>
          <w:lang w:val="fr-CH"/>
        </w:rPr>
        <w:t>且无需担心遭受报复</w:t>
      </w:r>
      <w:r>
        <w:rPr>
          <w:lang w:val="fr-CH"/>
        </w:rPr>
        <w:t>；</w:t>
      </w:r>
    </w:p>
    <w:p w14:paraId="39B95F03" w14:textId="151202C1" w:rsidR="00584C06" w:rsidRPr="00584C06" w:rsidRDefault="00584C06" w:rsidP="00584C06">
      <w:pPr>
        <w:pStyle w:val="SingleTxtGC"/>
      </w:pPr>
      <w:r>
        <w:rPr>
          <w:lang w:val="fr-CH"/>
        </w:rPr>
        <w:tab/>
        <w:t>10.</w:t>
      </w:r>
      <w:r w:rsidRPr="00584C06">
        <w:rPr>
          <w:lang w:val="fr-CH"/>
        </w:rPr>
        <w:tab/>
      </w:r>
      <w:r w:rsidRPr="00584C06">
        <w:rPr>
          <w:rFonts w:eastAsia="KaiTi"/>
          <w:b/>
          <w:iCs/>
          <w:lang w:val="fr-CH"/>
        </w:rPr>
        <w:t>促请</w:t>
      </w:r>
      <w:r w:rsidRPr="00584C06">
        <w:rPr>
          <w:lang w:val="fr-CH"/>
        </w:rPr>
        <w:t>各国确保检察官能以客观公正的方式履行职能</w:t>
      </w:r>
      <w:r>
        <w:rPr>
          <w:lang w:val="fr-CH"/>
        </w:rPr>
        <w:t>，</w:t>
      </w:r>
      <w:r w:rsidRPr="00584C06">
        <w:rPr>
          <w:lang w:val="fr-CH"/>
        </w:rPr>
        <w:t>不受不当干涉且无需担心遭到报复</w:t>
      </w:r>
      <w:r>
        <w:rPr>
          <w:lang w:val="fr-CH"/>
        </w:rPr>
        <w:t>，</w:t>
      </w:r>
      <w:r w:rsidRPr="00584C06">
        <w:rPr>
          <w:lang w:val="fr-CH"/>
        </w:rPr>
        <w:t>并谴责国家行为体或非国家行为体对检察官、其家属和职业伙伴实施的一切形式的暴力、恐吓、报复或骚扰</w:t>
      </w:r>
      <w:r>
        <w:rPr>
          <w:lang w:val="fr-CH"/>
        </w:rPr>
        <w:t>，</w:t>
      </w:r>
      <w:r w:rsidRPr="00584C06">
        <w:rPr>
          <w:lang w:val="fr-CH"/>
        </w:rPr>
        <w:t>同时提醒各国有责任保护检察官、维护其廉正性</w:t>
      </w:r>
      <w:r>
        <w:rPr>
          <w:lang w:val="fr-CH"/>
        </w:rPr>
        <w:t>，</w:t>
      </w:r>
      <w:r w:rsidRPr="00584C06">
        <w:rPr>
          <w:lang w:val="fr-CH"/>
        </w:rPr>
        <w:t>并将施害者绳之以法</w:t>
      </w:r>
      <w:r>
        <w:rPr>
          <w:lang w:val="fr-CH"/>
        </w:rPr>
        <w:t>；</w:t>
      </w:r>
    </w:p>
    <w:p w14:paraId="177ED45A" w14:textId="6F0058FD" w:rsidR="00584C06" w:rsidRPr="00584C06" w:rsidRDefault="00584C06" w:rsidP="00584C06">
      <w:pPr>
        <w:pStyle w:val="SingleTxtGC"/>
      </w:pPr>
      <w:r>
        <w:rPr>
          <w:lang w:val="fr-CH"/>
        </w:rPr>
        <w:tab/>
        <w:t>11.</w:t>
      </w:r>
      <w:r w:rsidRPr="00584C06">
        <w:rPr>
          <w:lang w:val="fr-CH"/>
        </w:rPr>
        <w:tab/>
      </w:r>
      <w:r w:rsidRPr="00584C06">
        <w:rPr>
          <w:rFonts w:eastAsia="KaiTi"/>
          <w:b/>
          <w:iCs/>
          <w:lang w:val="fr-CH"/>
        </w:rPr>
        <w:t>又促请</w:t>
      </w:r>
      <w:r w:rsidRPr="00584C06">
        <w:rPr>
          <w:lang w:val="fr-CH"/>
        </w:rPr>
        <w:t>各国通过并实施相关法律和政策</w:t>
      </w:r>
      <w:r>
        <w:rPr>
          <w:lang w:val="fr-CH"/>
        </w:rPr>
        <w:t>，</w:t>
      </w:r>
      <w:r w:rsidRPr="00584C06">
        <w:rPr>
          <w:lang w:val="fr-CH"/>
        </w:rPr>
        <w:t>保护律师和法律职业群体成员</w:t>
      </w:r>
      <w:r>
        <w:rPr>
          <w:lang w:val="fr-CH"/>
        </w:rPr>
        <w:t>，</w:t>
      </w:r>
      <w:r w:rsidRPr="00584C06">
        <w:rPr>
          <w:lang w:val="fr-CH"/>
        </w:rPr>
        <w:t>包括保护他们免受反公众参与策略性诉讼的侵害</w:t>
      </w:r>
      <w:r>
        <w:rPr>
          <w:lang w:val="fr-CH"/>
        </w:rPr>
        <w:t>，</w:t>
      </w:r>
      <w:r w:rsidRPr="00584C06">
        <w:rPr>
          <w:lang w:val="fr-CH"/>
        </w:rPr>
        <w:t>以及免受滥用金融法、诽谤法或名誉损害法的侵害</w:t>
      </w:r>
      <w:r>
        <w:rPr>
          <w:lang w:val="fr-CH"/>
        </w:rPr>
        <w:t>，</w:t>
      </w:r>
      <w:r w:rsidRPr="00584C06">
        <w:rPr>
          <w:lang w:val="fr-CH"/>
        </w:rPr>
        <w:t>这种滥用尤其被用于向律师和法律职业群体成员施压、恐吓或阻止他们履行专业职责</w:t>
      </w:r>
      <w:r>
        <w:rPr>
          <w:lang w:val="fr-CH"/>
        </w:rPr>
        <w:t>，</w:t>
      </w:r>
      <w:r w:rsidRPr="00584C06">
        <w:rPr>
          <w:lang w:val="fr-CH"/>
        </w:rPr>
        <w:t>包括阻止他们为政治敏感案件辩护</w:t>
      </w:r>
      <w:r>
        <w:rPr>
          <w:lang w:val="fr-CH"/>
        </w:rPr>
        <w:t>；</w:t>
      </w:r>
      <w:r w:rsidRPr="00584C06">
        <w:rPr>
          <w:lang w:val="fr-CH"/>
        </w:rPr>
        <w:t>并为检察官、法官、律师和法医专业人员提供培训</w:t>
      </w:r>
      <w:r>
        <w:rPr>
          <w:lang w:val="fr-CH"/>
        </w:rPr>
        <w:t>，</w:t>
      </w:r>
      <w:r w:rsidRPr="00584C06">
        <w:rPr>
          <w:lang w:val="fr-CH"/>
        </w:rPr>
        <w:t>帮助他们识别此类案件并有效应对</w:t>
      </w:r>
      <w:r>
        <w:rPr>
          <w:lang w:val="fr-CH"/>
        </w:rPr>
        <w:t>；</w:t>
      </w:r>
    </w:p>
    <w:p w14:paraId="77A54780" w14:textId="7B62C88F" w:rsidR="00584C06" w:rsidRPr="00584C06" w:rsidRDefault="00584C06" w:rsidP="00584C06">
      <w:pPr>
        <w:pStyle w:val="SingleTxtGC"/>
      </w:pPr>
      <w:r>
        <w:rPr>
          <w:lang w:val="fr-CH"/>
        </w:rPr>
        <w:tab/>
        <w:t>12.</w:t>
      </w:r>
      <w:r w:rsidRPr="00584C06">
        <w:rPr>
          <w:lang w:val="fr-CH"/>
        </w:rPr>
        <w:tab/>
      </w:r>
      <w:r w:rsidRPr="00584C06">
        <w:rPr>
          <w:rFonts w:eastAsia="KaiTi"/>
          <w:b/>
          <w:iCs/>
          <w:lang w:val="fr-CH"/>
        </w:rPr>
        <w:t>表示严重关切</w:t>
      </w:r>
      <w:r w:rsidRPr="00584C06">
        <w:rPr>
          <w:lang w:val="fr-CH"/>
        </w:rPr>
        <w:t>针对律师和法律职业群体其他成员的大量攻击</w:t>
      </w:r>
      <w:r>
        <w:rPr>
          <w:lang w:val="fr-CH"/>
        </w:rPr>
        <w:t>，</w:t>
      </w:r>
      <w:r w:rsidRPr="00584C06">
        <w:rPr>
          <w:lang w:val="fr-CH"/>
        </w:rPr>
        <w:t>包括国家为报复专业履职行为或因履职行为而采取的旨在伤害、压制和恐吓在境外执业的法律职业群体成员的镇压措施</w:t>
      </w:r>
      <w:r>
        <w:rPr>
          <w:lang w:val="fr-CH"/>
        </w:rPr>
        <w:t>，</w:t>
      </w:r>
      <w:r w:rsidRPr="00584C06">
        <w:rPr>
          <w:lang w:val="fr-CH"/>
        </w:rPr>
        <w:t>以及对其自由执业进行任意或非法干涉或限制的情形</w:t>
      </w:r>
      <w:r>
        <w:rPr>
          <w:lang w:val="fr-CH"/>
        </w:rPr>
        <w:t>；</w:t>
      </w:r>
      <w:r w:rsidRPr="00584C06">
        <w:rPr>
          <w:lang w:val="fr-CH"/>
        </w:rPr>
        <w:t>呼吁各国确保对律师遭受的任何形式的攻击或干涉迅速展开彻底且公正的调查</w:t>
      </w:r>
      <w:r>
        <w:rPr>
          <w:lang w:val="fr-CH"/>
        </w:rPr>
        <w:t>，</w:t>
      </w:r>
      <w:r w:rsidRPr="00584C06">
        <w:rPr>
          <w:lang w:val="fr-CH"/>
        </w:rPr>
        <w:t>并追究施害者的责任</w:t>
      </w:r>
      <w:r>
        <w:rPr>
          <w:lang w:val="fr-CH"/>
        </w:rPr>
        <w:t>；</w:t>
      </w:r>
    </w:p>
    <w:p w14:paraId="1AB4EC4B" w14:textId="17B51076" w:rsidR="00584C06" w:rsidRPr="00584C06" w:rsidRDefault="00584C06" w:rsidP="00584C06">
      <w:pPr>
        <w:pStyle w:val="SingleTxtGC"/>
      </w:pPr>
      <w:r>
        <w:rPr>
          <w:lang w:val="fr-CH"/>
        </w:rPr>
        <w:tab/>
        <w:t>13.</w:t>
      </w:r>
      <w:r w:rsidRPr="00584C06">
        <w:rPr>
          <w:lang w:val="fr-CH"/>
        </w:rPr>
        <w:tab/>
      </w:r>
      <w:r w:rsidRPr="00584C06">
        <w:rPr>
          <w:rFonts w:eastAsia="KaiTi"/>
          <w:b/>
          <w:iCs/>
          <w:lang w:val="fr-CH"/>
        </w:rPr>
        <w:t>促请</w:t>
      </w:r>
      <w:r w:rsidRPr="00584C06">
        <w:rPr>
          <w:lang w:val="fr-CH"/>
        </w:rPr>
        <w:t>各国与律师协会、法官和检察官协会以及教育机构等相关国家实体合作</w:t>
      </w:r>
      <w:r>
        <w:rPr>
          <w:lang w:val="fr-CH"/>
        </w:rPr>
        <w:t>，</w:t>
      </w:r>
      <w:r w:rsidRPr="00584C06">
        <w:rPr>
          <w:lang w:val="fr-CH"/>
        </w:rPr>
        <w:t>支持法官、检察官和律师在初次任职时以及在整个职业生涯中定期接受充分培训</w:t>
      </w:r>
      <w:r>
        <w:rPr>
          <w:lang w:val="fr-CH"/>
        </w:rPr>
        <w:t>，</w:t>
      </w:r>
      <w:r w:rsidRPr="00584C06">
        <w:rPr>
          <w:lang w:val="fr-CH"/>
        </w:rPr>
        <w:t>包括人权培训</w:t>
      </w:r>
      <w:r>
        <w:rPr>
          <w:lang w:val="fr-CH"/>
        </w:rPr>
        <w:t>，</w:t>
      </w:r>
      <w:r w:rsidRPr="00584C06">
        <w:rPr>
          <w:lang w:val="fr-CH"/>
        </w:rPr>
        <w:t>培训内容应纳入区域和国际人权法</w:t>
      </w:r>
      <w:r>
        <w:rPr>
          <w:lang w:val="fr-CH"/>
        </w:rPr>
        <w:t>，</w:t>
      </w:r>
      <w:r w:rsidRPr="00584C06">
        <w:rPr>
          <w:lang w:val="fr-CH"/>
        </w:rPr>
        <w:t>以及在适用且相关情况下纳入条约机构和区域人权法院等人权机制的结论性意见和决定</w:t>
      </w:r>
      <w:r>
        <w:rPr>
          <w:lang w:val="fr-CH"/>
        </w:rPr>
        <w:t>；</w:t>
      </w:r>
    </w:p>
    <w:p w14:paraId="29D9B737" w14:textId="184531BF" w:rsidR="00584C06" w:rsidRPr="00584C06" w:rsidRDefault="00584C06" w:rsidP="00584C06">
      <w:pPr>
        <w:pStyle w:val="SingleTxtGC"/>
      </w:pPr>
      <w:r>
        <w:rPr>
          <w:lang w:val="fr-CH"/>
        </w:rPr>
        <w:lastRenderedPageBreak/>
        <w:tab/>
        <w:t>14.</w:t>
      </w:r>
      <w:r w:rsidRPr="00584C06">
        <w:rPr>
          <w:lang w:val="fr-CH"/>
        </w:rPr>
        <w:tab/>
      </w:r>
      <w:r w:rsidRPr="00584C06">
        <w:rPr>
          <w:rFonts w:eastAsia="KaiTi"/>
          <w:b/>
          <w:iCs/>
          <w:lang w:val="fr-CH"/>
        </w:rPr>
        <w:t>鼓励</w:t>
      </w:r>
      <w:r w:rsidRPr="00584C06">
        <w:rPr>
          <w:lang w:val="fr-CH"/>
        </w:rPr>
        <w:t>各国采取措施消除司法行政中的歧视</w:t>
      </w:r>
      <w:r>
        <w:rPr>
          <w:lang w:val="fr-CH"/>
        </w:rPr>
        <w:t>，</w:t>
      </w:r>
      <w:r w:rsidRPr="00584C06">
        <w:rPr>
          <w:lang w:val="fr-CH"/>
        </w:rPr>
        <w:t>特别是为此目的向所有法官、律师和检察官提供有针对性的跨学科人权培训</w:t>
      </w:r>
      <w:r>
        <w:rPr>
          <w:lang w:val="fr-CH"/>
        </w:rPr>
        <w:t>，</w:t>
      </w:r>
      <w:r w:rsidRPr="00584C06">
        <w:rPr>
          <w:lang w:val="fr-CH"/>
        </w:rPr>
        <w:t>包括反种族主义、多元文化、性别响应、年龄响应和残障响应培训</w:t>
      </w:r>
      <w:r>
        <w:rPr>
          <w:lang w:val="fr-CH"/>
        </w:rPr>
        <w:t>；</w:t>
      </w:r>
    </w:p>
    <w:p w14:paraId="205674C7" w14:textId="31922CAD" w:rsidR="00584C06" w:rsidRPr="00584C06" w:rsidRDefault="00584C06" w:rsidP="00584C06">
      <w:pPr>
        <w:pStyle w:val="SingleTxtGC"/>
      </w:pPr>
      <w:r>
        <w:rPr>
          <w:lang w:val="fr-CH"/>
        </w:rPr>
        <w:tab/>
        <w:t>15.</w:t>
      </w:r>
      <w:r w:rsidRPr="00584C06">
        <w:rPr>
          <w:lang w:val="fr-CH"/>
        </w:rPr>
        <w:tab/>
      </w:r>
      <w:r w:rsidRPr="00584C06">
        <w:rPr>
          <w:rFonts w:eastAsia="KaiTi"/>
          <w:b/>
          <w:iCs/>
          <w:lang w:val="fr-CH"/>
        </w:rPr>
        <w:t>特别指出</w:t>
      </w:r>
      <w:r w:rsidRPr="00584C06">
        <w:rPr>
          <w:lang w:val="fr-CH"/>
        </w:rPr>
        <w:t>各国必须根据其国际人权义务和相关良好做法</w:t>
      </w:r>
      <w:r>
        <w:rPr>
          <w:lang w:val="fr-CH"/>
        </w:rPr>
        <w:t>，</w:t>
      </w:r>
      <w:r w:rsidRPr="00584C06">
        <w:rPr>
          <w:lang w:val="fr-CH"/>
        </w:rPr>
        <w:t>建立和实施有效且可持续的法律援助制度</w:t>
      </w:r>
      <w:r>
        <w:rPr>
          <w:lang w:val="fr-CH"/>
        </w:rPr>
        <w:t>，</w:t>
      </w:r>
      <w:r w:rsidRPr="00584C06">
        <w:rPr>
          <w:lang w:val="fr-CH"/>
        </w:rPr>
        <w:t>以确保在符合适当资格标准的前提下</w:t>
      </w:r>
      <w:r>
        <w:rPr>
          <w:lang w:val="fr-CH"/>
        </w:rPr>
        <w:t>，</w:t>
      </w:r>
      <w:r w:rsidRPr="00584C06">
        <w:rPr>
          <w:lang w:val="fr-CH"/>
        </w:rPr>
        <w:t>法律程序各个阶段中法律援助的可及性</w:t>
      </w:r>
      <w:r>
        <w:rPr>
          <w:lang w:val="fr-CH"/>
        </w:rPr>
        <w:t>；</w:t>
      </w:r>
      <w:r w:rsidRPr="00584C06">
        <w:rPr>
          <w:lang w:val="fr-CH"/>
        </w:rPr>
        <w:t>鼓励各国采取性别、年龄和残障响应型措施</w:t>
      </w:r>
      <w:r>
        <w:rPr>
          <w:lang w:val="fr-CH"/>
        </w:rPr>
        <w:t>，</w:t>
      </w:r>
      <w:r w:rsidRPr="00584C06">
        <w:rPr>
          <w:lang w:val="fr-CH"/>
        </w:rPr>
        <w:t>包括提高认识方案</w:t>
      </w:r>
      <w:r>
        <w:rPr>
          <w:lang w:val="fr-CH"/>
        </w:rPr>
        <w:t>，</w:t>
      </w:r>
      <w:r w:rsidRPr="00584C06">
        <w:rPr>
          <w:lang w:val="fr-CH"/>
        </w:rPr>
        <w:t>确保妇女切实获得法律援助和公设辩护服务</w:t>
      </w:r>
      <w:r>
        <w:rPr>
          <w:lang w:val="fr-CH"/>
        </w:rPr>
        <w:t>；</w:t>
      </w:r>
    </w:p>
    <w:p w14:paraId="2FCAA7D2" w14:textId="4FC8BCD7" w:rsidR="00584C06" w:rsidRPr="00584C06" w:rsidRDefault="00584C06" w:rsidP="00584C06">
      <w:pPr>
        <w:pStyle w:val="SingleTxtGC"/>
      </w:pPr>
      <w:r>
        <w:rPr>
          <w:lang w:val="fr-CH"/>
        </w:rPr>
        <w:tab/>
        <w:t>16.</w:t>
      </w:r>
      <w:r w:rsidRPr="00584C06">
        <w:rPr>
          <w:lang w:val="fr-CH"/>
        </w:rPr>
        <w:tab/>
      </w:r>
      <w:r w:rsidRPr="00584C06">
        <w:rPr>
          <w:rFonts w:eastAsia="KaiTi"/>
          <w:b/>
          <w:iCs/>
          <w:lang w:val="fr-CH"/>
        </w:rPr>
        <w:t>请</w:t>
      </w:r>
      <w:r w:rsidRPr="00584C06">
        <w:rPr>
          <w:lang w:val="fr-CH"/>
        </w:rPr>
        <w:t>各国采取措施</w:t>
      </w:r>
      <w:r>
        <w:rPr>
          <w:lang w:val="fr-CH"/>
        </w:rPr>
        <w:t>，</w:t>
      </w:r>
      <w:r w:rsidRPr="00584C06">
        <w:rPr>
          <w:lang w:val="fr-CH"/>
        </w:rPr>
        <w:t>包括制定国内立法</w:t>
      </w:r>
      <w:r>
        <w:rPr>
          <w:lang w:val="fr-CH"/>
        </w:rPr>
        <w:t>，</w:t>
      </w:r>
      <w:r w:rsidRPr="00584C06">
        <w:rPr>
          <w:lang w:val="fr-CH"/>
        </w:rPr>
        <w:t>为律师设立独立、自我管理的职业协会</w:t>
      </w:r>
      <w:r>
        <w:rPr>
          <w:lang w:val="fr-CH"/>
        </w:rPr>
        <w:t>，</w:t>
      </w:r>
      <w:r w:rsidRPr="00584C06">
        <w:rPr>
          <w:lang w:val="fr-CH"/>
        </w:rPr>
        <w:t>并承认律师在维护法治以及促进和保护人权方面发挥的关键作用</w:t>
      </w:r>
      <w:r>
        <w:rPr>
          <w:lang w:val="fr-CH"/>
        </w:rPr>
        <w:t>；</w:t>
      </w:r>
    </w:p>
    <w:p w14:paraId="0C94FF9B" w14:textId="630175B2" w:rsidR="00584C06" w:rsidRPr="00584C06" w:rsidRDefault="00584C06" w:rsidP="00584C06">
      <w:pPr>
        <w:pStyle w:val="SingleTxtGC"/>
      </w:pPr>
      <w:r>
        <w:rPr>
          <w:lang w:val="fr-CH"/>
        </w:rPr>
        <w:tab/>
        <w:t>17.</w:t>
      </w:r>
      <w:r w:rsidRPr="00584C06">
        <w:rPr>
          <w:lang w:val="fr-CH"/>
        </w:rPr>
        <w:tab/>
      </w:r>
      <w:r w:rsidRPr="00584C06">
        <w:rPr>
          <w:rFonts w:eastAsia="KaiTi"/>
          <w:b/>
          <w:iCs/>
          <w:lang w:val="fr-CH"/>
        </w:rPr>
        <w:t>促请</w:t>
      </w:r>
      <w:r w:rsidRPr="00584C06">
        <w:rPr>
          <w:lang w:val="fr-CH"/>
        </w:rPr>
        <w:t>各国确保将要通过或已通过的反恐或国家安全相关法律规定符合本国在公正审判权、人身自由权以及针对侵犯人权行为获得有效补救权方面的国际义务</w:t>
      </w:r>
      <w:r>
        <w:rPr>
          <w:lang w:val="fr-CH"/>
        </w:rPr>
        <w:t>，</w:t>
      </w:r>
      <w:r w:rsidRPr="00584C06">
        <w:rPr>
          <w:lang w:val="fr-CH"/>
        </w:rPr>
        <w:t>以及国际法中与法官、检察官和律师作用相关的其他规定</w:t>
      </w:r>
      <w:r>
        <w:rPr>
          <w:lang w:val="fr-CH"/>
        </w:rPr>
        <w:t>；</w:t>
      </w:r>
    </w:p>
    <w:p w14:paraId="4B1E8864" w14:textId="4A0D1597" w:rsidR="00584C06" w:rsidRPr="00584C06" w:rsidRDefault="00584C06" w:rsidP="00584C06">
      <w:pPr>
        <w:pStyle w:val="SingleTxtGC"/>
      </w:pPr>
      <w:r>
        <w:rPr>
          <w:lang w:val="fr-CH"/>
        </w:rPr>
        <w:tab/>
        <w:t>18.</w:t>
      </w:r>
      <w:r w:rsidRPr="00584C06">
        <w:rPr>
          <w:lang w:val="fr-CH"/>
        </w:rPr>
        <w:tab/>
      </w:r>
      <w:r w:rsidRPr="00584C06">
        <w:rPr>
          <w:rFonts w:eastAsia="KaiTi"/>
          <w:b/>
          <w:iCs/>
          <w:lang w:val="fr-CH"/>
        </w:rPr>
        <w:t>敦促</w:t>
      </w:r>
      <w:r w:rsidRPr="00584C06">
        <w:rPr>
          <w:lang w:val="fr-CH"/>
        </w:rPr>
        <w:t>各国确保司法机关拥有必要的资源和能力</w:t>
      </w:r>
      <w:r>
        <w:rPr>
          <w:lang w:val="fr-CH"/>
        </w:rPr>
        <w:t>，</w:t>
      </w:r>
      <w:r w:rsidRPr="00584C06">
        <w:rPr>
          <w:lang w:val="fr-CH"/>
        </w:rPr>
        <w:t>在特殊情况和危机局势</w:t>
      </w:r>
      <w:r>
        <w:rPr>
          <w:lang w:val="fr-CH"/>
        </w:rPr>
        <w:t>，</w:t>
      </w:r>
      <w:r w:rsidRPr="00584C06">
        <w:rPr>
          <w:lang w:val="fr-CH"/>
        </w:rPr>
        <w:t>包括在武装冲突和占领局势下</w:t>
      </w:r>
      <w:r>
        <w:rPr>
          <w:lang w:val="fr-CH"/>
        </w:rPr>
        <w:t>，</w:t>
      </w:r>
      <w:r w:rsidRPr="00584C06">
        <w:rPr>
          <w:lang w:val="fr-CH"/>
        </w:rPr>
        <w:t>助力维护其职能、问责制、透明度和廉正性</w:t>
      </w:r>
      <w:r>
        <w:rPr>
          <w:lang w:val="fr-CH"/>
        </w:rPr>
        <w:t>，</w:t>
      </w:r>
      <w:r w:rsidRPr="00584C06">
        <w:rPr>
          <w:lang w:val="fr-CH"/>
        </w:rPr>
        <w:t>并确保正当程序和司法活动的持续开展</w:t>
      </w:r>
      <w:r>
        <w:rPr>
          <w:lang w:val="fr-CH"/>
        </w:rPr>
        <w:t>，</w:t>
      </w:r>
      <w:r w:rsidRPr="00584C06">
        <w:rPr>
          <w:lang w:val="fr-CH"/>
        </w:rPr>
        <w:t>包括按照公正审判权及其他权利和基本自由方面的规定</w:t>
      </w:r>
      <w:r>
        <w:rPr>
          <w:lang w:val="fr-CH"/>
        </w:rPr>
        <w:t>，</w:t>
      </w:r>
      <w:r w:rsidRPr="00584C06">
        <w:rPr>
          <w:lang w:val="fr-CH"/>
        </w:rPr>
        <w:t>高效地保障诉诸司法的权利</w:t>
      </w:r>
      <w:r>
        <w:rPr>
          <w:lang w:val="fr-CH"/>
        </w:rPr>
        <w:t>；</w:t>
      </w:r>
    </w:p>
    <w:p w14:paraId="6D634F2C" w14:textId="73021938" w:rsidR="00584C06" w:rsidRPr="00584C06" w:rsidRDefault="00584C06" w:rsidP="00584C06">
      <w:pPr>
        <w:pStyle w:val="SingleTxtGC"/>
        <w:rPr>
          <w:rFonts w:eastAsia="KaiTi"/>
          <w:b/>
        </w:rPr>
      </w:pPr>
      <w:r>
        <w:rPr>
          <w:lang w:val="fr-CH"/>
        </w:rPr>
        <w:tab/>
        <w:t>19.</w:t>
      </w:r>
      <w:r w:rsidRPr="00584C06">
        <w:rPr>
          <w:lang w:val="fr-CH"/>
        </w:rPr>
        <w:tab/>
      </w:r>
      <w:r w:rsidRPr="00584C06">
        <w:rPr>
          <w:rFonts w:eastAsia="KaiTi"/>
          <w:b/>
          <w:iCs/>
          <w:lang w:val="fr-CH"/>
        </w:rPr>
        <w:t>鼓励</w:t>
      </w:r>
      <w:r w:rsidRPr="00584C06">
        <w:rPr>
          <w:lang w:val="fr-CH"/>
        </w:rPr>
        <w:t>各国为司法机构配备安全、可靠和以负责任方式开发的数字技术</w:t>
      </w:r>
      <w:r>
        <w:rPr>
          <w:lang w:val="fr-CH"/>
        </w:rPr>
        <w:t>，</w:t>
      </w:r>
      <w:r w:rsidRPr="00584C06">
        <w:rPr>
          <w:lang w:val="fr-CH"/>
        </w:rPr>
        <w:t>包括人工智能</w:t>
      </w:r>
      <w:r>
        <w:rPr>
          <w:lang w:val="fr-CH"/>
        </w:rPr>
        <w:t>，</w:t>
      </w:r>
      <w:r w:rsidRPr="00584C06">
        <w:rPr>
          <w:lang w:val="fr-CH"/>
        </w:rPr>
        <w:t>助力确保诉诸司法的机会和公正审判权</w:t>
      </w:r>
      <w:r>
        <w:rPr>
          <w:lang w:val="fr-CH"/>
        </w:rPr>
        <w:t>，</w:t>
      </w:r>
      <w:r w:rsidRPr="00584C06">
        <w:rPr>
          <w:lang w:val="fr-CH"/>
        </w:rPr>
        <w:t>并为法官、检察官、律师和司法工作人员提供适当的数字培训</w:t>
      </w:r>
      <w:r>
        <w:rPr>
          <w:lang w:val="fr-CH"/>
        </w:rPr>
        <w:t>，</w:t>
      </w:r>
      <w:r w:rsidRPr="00584C06">
        <w:rPr>
          <w:lang w:val="fr-CH"/>
        </w:rPr>
        <w:t>确保有效和负责任地使用此类技术</w:t>
      </w:r>
      <w:r>
        <w:rPr>
          <w:lang w:val="fr-CH"/>
        </w:rPr>
        <w:t>，</w:t>
      </w:r>
      <w:r w:rsidRPr="00584C06">
        <w:rPr>
          <w:lang w:val="fr-CH"/>
        </w:rPr>
        <w:t>同时强调人工智能在司法行政中的应用必须始终接受人类监督</w:t>
      </w:r>
      <w:r>
        <w:rPr>
          <w:lang w:val="fr-CH"/>
        </w:rPr>
        <w:t>，</w:t>
      </w:r>
      <w:r w:rsidRPr="00584C06">
        <w:rPr>
          <w:lang w:val="fr-CH"/>
        </w:rPr>
        <w:t>并以透明方式开展相关人权影响评估</w:t>
      </w:r>
      <w:r>
        <w:rPr>
          <w:lang w:val="fr-CH"/>
        </w:rPr>
        <w:t>，</w:t>
      </w:r>
      <w:r w:rsidRPr="00584C06">
        <w:rPr>
          <w:lang w:val="fr-CH"/>
        </w:rPr>
        <w:t>以有效预防或减轻此类技术可能对人权造成的潜在风险</w:t>
      </w:r>
      <w:r>
        <w:rPr>
          <w:lang w:val="fr-CH"/>
        </w:rPr>
        <w:t>；</w:t>
      </w:r>
    </w:p>
    <w:p w14:paraId="15E14BF0" w14:textId="328E719B" w:rsidR="00584C06" w:rsidRPr="00584C06" w:rsidRDefault="00584C06" w:rsidP="00584C06">
      <w:pPr>
        <w:pStyle w:val="SingleTxtGC"/>
      </w:pPr>
      <w:r>
        <w:rPr>
          <w:lang w:val="fr-CH"/>
        </w:rPr>
        <w:tab/>
        <w:t>20.</w:t>
      </w:r>
      <w:r w:rsidRPr="00584C06">
        <w:rPr>
          <w:lang w:val="fr-CH"/>
        </w:rPr>
        <w:tab/>
      </w:r>
      <w:r w:rsidRPr="00584C06">
        <w:rPr>
          <w:rFonts w:eastAsia="KaiTi"/>
          <w:b/>
          <w:iCs/>
          <w:lang w:val="fr-CH"/>
        </w:rPr>
        <w:t>请</w:t>
      </w:r>
      <w:r w:rsidRPr="00584C06">
        <w:rPr>
          <w:lang w:val="fr-CH"/>
        </w:rPr>
        <w:t>特别报告员在与其任务有关的领域内</w:t>
      </w:r>
      <w:r>
        <w:rPr>
          <w:lang w:val="fr-CH"/>
        </w:rPr>
        <w:t>，</w:t>
      </w:r>
      <w:r w:rsidRPr="00584C06">
        <w:rPr>
          <w:lang w:val="fr-CH"/>
        </w:rPr>
        <w:t>与联合国系统内的相关利益攸关方协作</w:t>
      </w:r>
      <w:r>
        <w:rPr>
          <w:lang w:val="fr-CH"/>
        </w:rPr>
        <w:t>；</w:t>
      </w:r>
    </w:p>
    <w:p w14:paraId="7F2B00E3" w14:textId="1DA90F51" w:rsidR="00584C06" w:rsidRPr="00584C06" w:rsidRDefault="00584C06" w:rsidP="00584C06">
      <w:pPr>
        <w:pStyle w:val="SingleTxtGC"/>
      </w:pPr>
      <w:r>
        <w:rPr>
          <w:lang w:val="fr-CH"/>
        </w:rPr>
        <w:tab/>
        <w:t>21.</w:t>
      </w:r>
      <w:r w:rsidRPr="00584C06">
        <w:rPr>
          <w:lang w:val="fr-CH"/>
        </w:rPr>
        <w:tab/>
      </w:r>
      <w:r w:rsidRPr="00584C06">
        <w:rPr>
          <w:rFonts w:eastAsia="KaiTi"/>
          <w:b/>
          <w:iCs/>
          <w:lang w:val="fr-CH"/>
        </w:rPr>
        <w:t>鼓励</w:t>
      </w:r>
      <w:r w:rsidRPr="00584C06">
        <w:rPr>
          <w:lang w:val="fr-CH"/>
        </w:rPr>
        <w:t>特别报告员在相关国家提出要求时</w:t>
      </w:r>
      <w:r>
        <w:rPr>
          <w:lang w:val="fr-CH"/>
        </w:rPr>
        <w:t>，</w:t>
      </w:r>
      <w:r w:rsidRPr="00584C06">
        <w:rPr>
          <w:lang w:val="fr-CH"/>
        </w:rPr>
        <w:t>协助提供技术援助和能力建设</w:t>
      </w:r>
      <w:r>
        <w:rPr>
          <w:lang w:val="fr-CH"/>
        </w:rPr>
        <w:t>，</w:t>
      </w:r>
      <w:r w:rsidRPr="00584C06">
        <w:rPr>
          <w:lang w:val="fr-CH"/>
        </w:rPr>
        <w:t>传播各项准则和最佳做法</w:t>
      </w:r>
      <w:r>
        <w:rPr>
          <w:lang w:val="fr-CH"/>
        </w:rPr>
        <w:t>，</w:t>
      </w:r>
      <w:r w:rsidRPr="00584C06">
        <w:rPr>
          <w:lang w:val="fr-CH"/>
        </w:rPr>
        <w:t>包括为此与相关利益攸关方协作并与联合国人权事务高级专员办事处磋商</w:t>
      </w:r>
      <w:r>
        <w:rPr>
          <w:lang w:val="fr-CH"/>
        </w:rPr>
        <w:t>，</w:t>
      </w:r>
      <w:r w:rsidRPr="00584C06">
        <w:rPr>
          <w:lang w:val="fr-CH"/>
        </w:rPr>
        <w:t>以期建立和加强法治</w:t>
      </w:r>
      <w:r>
        <w:rPr>
          <w:lang w:val="fr-CH"/>
        </w:rPr>
        <w:t>，</w:t>
      </w:r>
      <w:r w:rsidRPr="00584C06">
        <w:rPr>
          <w:lang w:val="fr-CH"/>
        </w:rPr>
        <w:t>并在此过程中特别关注司法行政以及独立且称职的司法机关和法律职业群体的作用</w:t>
      </w:r>
      <w:r>
        <w:rPr>
          <w:lang w:val="fr-CH"/>
        </w:rPr>
        <w:t>；</w:t>
      </w:r>
    </w:p>
    <w:p w14:paraId="2FCE0857" w14:textId="79BD5F41" w:rsidR="00584C06" w:rsidRPr="00584C06" w:rsidRDefault="00584C06" w:rsidP="00584C06">
      <w:pPr>
        <w:pStyle w:val="SingleTxtGC"/>
      </w:pPr>
      <w:r>
        <w:rPr>
          <w:lang w:val="fr-CH"/>
        </w:rPr>
        <w:tab/>
        <w:t>22.</w:t>
      </w:r>
      <w:r w:rsidRPr="00584C06">
        <w:rPr>
          <w:lang w:val="fr-CH"/>
        </w:rPr>
        <w:tab/>
      </w:r>
      <w:r w:rsidRPr="00584C06">
        <w:rPr>
          <w:rFonts w:eastAsia="KaiTi"/>
          <w:b/>
          <w:iCs/>
          <w:lang w:val="fr-CH"/>
        </w:rPr>
        <w:t>鼓励</w:t>
      </w:r>
      <w:r w:rsidRPr="00584C06">
        <w:rPr>
          <w:lang w:val="fr-CH"/>
        </w:rPr>
        <w:t>在保障法官和律师独立性、检察官的客观性和公正性及其相应履行职能的能力方面面临困难、或决心采取措施进一步落实这些原则的各国政府</w:t>
      </w:r>
      <w:r>
        <w:rPr>
          <w:lang w:val="fr-CH"/>
        </w:rPr>
        <w:t>，</w:t>
      </w:r>
      <w:r w:rsidRPr="00584C06">
        <w:rPr>
          <w:lang w:val="fr-CH"/>
        </w:rPr>
        <w:t>与特别报告员进行磋商并考虑请特别报告员提供服务</w:t>
      </w:r>
      <w:r>
        <w:rPr>
          <w:lang w:val="fr-CH"/>
        </w:rPr>
        <w:t>，</w:t>
      </w:r>
      <w:r w:rsidRPr="00584C06">
        <w:rPr>
          <w:lang w:val="fr-CH"/>
        </w:rPr>
        <w:t>例如邀请任务负责人访问本国</w:t>
      </w:r>
      <w:r>
        <w:rPr>
          <w:lang w:val="fr-CH"/>
        </w:rPr>
        <w:t>；</w:t>
      </w:r>
    </w:p>
    <w:p w14:paraId="0E22BF76" w14:textId="70FC2FBB" w:rsidR="00584C06" w:rsidRPr="00584C06" w:rsidRDefault="00584C06" w:rsidP="00584C06">
      <w:pPr>
        <w:pStyle w:val="SingleTxtGC"/>
      </w:pPr>
      <w:r>
        <w:rPr>
          <w:lang w:val="fr-CH"/>
        </w:rPr>
        <w:tab/>
        <w:t>23.</w:t>
      </w:r>
      <w:r w:rsidRPr="00584C06">
        <w:rPr>
          <w:lang w:val="fr-CH"/>
        </w:rPr>
        <w:tab/>
      </w:r>
      <w:r w:rsidRPr="00584C06">
        <w:rPr>
          <w:rFonts w:eastAsia="KaiTi"/>
          <w:b/>
          <w:iCs/>
          <w:lang w:val="fr-CH"/>
        </w:rPr>
        <w:t>鼓励</w:t>
      </w:r>
      <w:r w:rsidRPr="00584C06">
        <w:rPr>
          <w:lang w:val="fr-CH"/>
        </w:rPr>
        <w:t>各国政府适当考虑联合国各人权机制提出的建议</w:t>
      </w:r>
      <w:r>
        <w:rPr>
          <w:lang w:val="fr-CH"/>
        </w:rPr>
        <w:t>，</w:t>
      </w:r>
      <w:r w:rsidRPr="00584C06">
        <w:rPr>
          <w:lang w:val="fr-CH"/>
        </w:rPr>
        <w:t>落实普遍定期审议进程中所支持的有关司法机关独立性和有效性及其有效执行的建议</w:t>
      </w:r>
      <w:r>
        <w:rPr>
          <w:lang w:val="fr-CH"/>
        </w:rPr>
        <w:t>；</w:t>
      </w:r>
      <w:r w:rsidRPr="00584C06">
        <w:rPr>
          <w:lang w:val="fr-CH"/>
        </w:rPr>
        <w:t>请国际社会、区域组织和联合国系统为所有落实工作提供支持</w:t>
      </w:r>
      <w:r>
        <w:rPr>
          <w:lang w:val="fr-CH"/>
        </w:rPr>
        <w:t>；</w:t>
      </w:r>
    </w:p>
    <w:p w14:paraId="6617BAC7" w14:textId="15C00129" w:rsidR="00584C06" w:rsidRPr="00584C06" w:rsidRDefault="00584C06" w:rsidP="00584C06">
      <w:pPr>
        <w:pStyle w:val="SingleTxtGC"/>
      </w:pPr>
      <w:r>
        <w:rPr>
          <w:lang w:val="fr-CH"/>
        </w:rPr>
        <w:tab/>
        <w:t>24.</w:t>
      </w:r>
      <w:r w:rsidRPr="00584C06">
        <w:rPr>
          <w:lang w:val="fr-CH"/>
        </w:rPr>
        <w:tab/>
      </w:r>
      <w:r w:rsidRPr="00584C06">
        <w:rPr>
          <w:rFonts w:eastAsia="KaiTi"/>
          <w:b/>
          <w:iCs/>
          <w:lang w:val="fr-CH"/>
        </w:rPr>
        <w:t>请</w:t>
      </w:r>
      <w:r w:rsidRPr="00584C06">
        <w:rPr>
          <w:lang w:val="fr-CH"/>
        </w:rPr>
        <w:t>联合国各机构、基金和方案继续开展在司法行政和法治领域的活动</w:t>
      </w:r>
      <w:r>
        <w:rPr>
          <w:lang w:val="fr-CH"/>
        </w:rPr>
        <w:t>，</w:t>
      </w:r>
      <w:r w:rsidRPr="00584C06">
        <w:rPr>
          <w:lang w:val="fr-CH"/>
        </w:rPr>
        <w:t>包括应国家请求在国家层面开展活动</w:t>
      </w:r>
      <w:r>
        <w:rPr>
          <w:lang w:val="fr-CH"/>
        </w:rPr>
        <w:t>；</w:t>
      </w:r>
      <w:r w:rsidRPr="00584C06">
        <w:rPr>
          <w:lang w:val="fr-CH"/>
        </w:rPr>
        <w:t>鼓励各国将此类活动纳入其国家能力建设计划</w:t>
      </w:r>
      <w:r>
        <w:rPr>
          <w:lang w:val="fr-CH"/>
        </w:rPr>
        <w:t>；</w:t>
      </w:r>
      <w:r w:rsidRPr="00584C06">
        <w:rPr>
          <w:lang w:val="fr-CH"/>
        </w:rPr>
        <w:t>强调应向司法行政相关机构提供适当的资金</w:t>
      </w:r>
      <w:r>
        <w:rPr>
          <w:lang w:val="fr-CH"/>
        </w:rPr>
        <w:t>；</w:t>
      </w:r>
    </w:p>
    <w:p w14:paraId="376544E0" w14:textId="01F94EDA" w:rsidR="00584C06" w:rsidRPr="00584C06" w:rsidRDefault="00584C06" w:rsidP="00584C06">
      <w:pPr>
        <w:pStyle w:val="SingleTxtGC"/>
      </w:pPr>
      <w:r>
        <w:rPr>
          <w:lang w:val="fr-CH"/>
        </w:rPr>
        <w:tab/>
        <w:t>25.</w:t>
      </w:r>
      <w:r w:rsidRPr="00584C06">
        <w:rPr>
          <w:lang w:val="fr-CH"/>
        </w:rPr>
        <w:tab/>
      </w:r>
      <w:r w:rsidRPr="00584C06">
        <w:rPr>
          <w:rFonts w:eastAsia="KaiTi"/>
          <w:b/>
          <w:iCs/>
          <w:lang w:val="fr-CH"/>
        </w:rPr>
        <w:t>鼓励</w:t>
      </w:r>
      <w:r w:rsidRPr="00584C06">
        <w:rPr>
          <w:lang w:val="fr-CH"/>
        </w:rPr>
        <w:t>各国确保其法律框架、实施细则和司法手册完全符合其国际义务</w:t>
      </w:r>
      <w:r>
        <w:rPr>
          <w:lang w:val="fr-CH"/>
        </w:rPr>
        <w:t>，</w:t>
      </w:r>
      <w:r w:rsidRPr="00584C06">
        <w:rPr>
          <w:lang w:val="fr-CH"/>
        </w:rPr>
        <w:t>并考虑到司法行政和法治领域的相关承诺</w:t>
      </w:r>
      <w:r>
        <w:rPr>
          <w:lang w:val="fr-CH"/>
        </w:rPr>
        <w:t>；</w:t>
      </w:r>
    </w:p>
    <w:p w14:paraId="43102462" w14:textId="5452A336" w:rsidR="00584C06" w:rsidRPr="00584C06" w:rsidRDefault="00584C06" w:rsidP="00584C06">
      <w:pPr>
        <w:pStyle w:val="SingleTxtGC"/>
      </w:pPr>
      <w:r>
        <w:rPr>
          <w:lang w:val="fr-CH"/>
        </w:rPr>
        <w:lastRenderedPageBreak/>
        <w:tab/>
        <w:t>26.</w:t>
      </w:r>
      <w:r w:rsidRPr="00584C06">
        <w:rPr>
          <w:lang w:val="fr-CH"/>
        </w:rPr>
        <w:tab/>
      </w:r>
      <w:r w:rsidRPr="00584C06">
        <w:rPr>
          <w:rFonts w:eastAsia="KaiTi"/>
          <w:b/>
          <w:iCs/>
          <w:lang w:val="fr-CH"/>
        </w:rPr>
        <w:t>决定</w:t>
      </w:r>
      <w:r w:rsidRPr="00584C06">
        <w:rPr>
          <w:lang w:val="fr-CH"/>
        </w:rPr>
        <w:t>将法官和律师独立性特别报告员的任务延长三年</w:t>
      </w:r>
      <w:r>
        <w:rPr>
          <w:lang w:val="fr-CH"/>
        </w:rPr>
        <w:t>，</w:t>
      </w:r>
      <w:r w:rsidRPr="00584C06">
        <w:rPr>
          <w:lang w:val="fr-CH"/>
        </w:rPr>
        <w:t>职权范围与人权理事会</w:t>
      </w:r>
      <w:r>
        <w:rPr>
          <w:lang w:val="fr-CH"/>
        </w:rPr>
        <w:t>2</w:t>
      </w:r>
      <w:r w:rsidRPr="00584C06">
        <w:rPr>
          <w:lang w:val="fr-CH"/>
        </w:rPr>
        <w:t>0</w:t>
      </w:r>
      <w:r>
        <w:rPr>
          <w:lang w:val="fr-CH"/>
        </w:rPr>
        <w:t>23</w:t>
      </w:r>
      <w:r w:rsidRPr="00584C06">
        <w:rPr>
          <w:lang w:val="fr-CH"/>
        </w:rPr>
        <w:t>年</w:t>
      </w:r>
      <w:r>
        <w:rPr>
          <w:lang w:val="fr-CH"/>
        </w:rPr>
        <w:t>7</w:t>
      </w:r>
      <w:r w:rsidRPr="00584C06">
        <w:rPr>
          <w:lang w:val="fr-CH"/>
        </w:rPr>
        <w:t>月</w:t>
      </w:r>
      <w:r>
        <w:rPr>
          <w:lang w:val="fr-CH"/>
        </w:rPr>
        <w:t>13</w:t>
      </w:r>
      <w:r w:rsidRPr="00584C06">
        <w:rPr>
          <w:lang w:val="fr-CH"/>
        </w:rPr>
        <w:t>日第</w:t>
      </w:r>
      <w:r>
        <w:rPr>
          <w:lang w:val="fr-CH"/>
        </w:rPr>
        <w:t>53/12</w:t>
      </w:r>
      <w:r w:rsidRPr="00584C06">
        <w:rPr>
          <w:lang w:val="fr-CH"/>
        </w:rPr>
        <w:t>号决议的规定相同</w:t>
      </w:r>
      <w:r>
        <w:rPr>
          <w:lang w:val="fr-CH"/>
        </w:rPr>
        <w:t>；</w:t>
      </w:r>
    </w:p>
    <w:p w14:paraId="5D50A9BA" w14:textId="014C3A4C" w:rsidR="00584C06" w:rsidRPr="00584C06" w:rsidRDefault="00584C06" w:rsidP="00584C06">
      <w:pPr>
        <w:pStyle w:val="SingleTxtGC"/>
      </w:pPr>
      <w:r>
        <w:rPr>
          <w:lang w:val="fr-CH"/>
        </w:rPr>
        <w:tab/>
        <w:t>27.</w:t>
      </w:r>
      <w:r w:rsidRPr="00584C06">
        <w:rPr>
          <w:lang w:val="fr-CH"/>
        </w:rPr>
        <w:tab/>
      </w:r>
      <w:r w:rsidRPr="00584C06">
        <w:rPr>
          <w:rFonts w:eastAsia="KaiTi"/>
          <w:b/>
          <w:iCs/>
          <w:lang w:val="fr-CH"/>
        </w:rPr>
        <w:t>敦促</w:t>
      </w:r>
      <w:r w:rsidRPr="00584C06">
        <w:rPr>
          <w:lang w:val="fr-CH"/>
        </w:rPr>
        <w:t>各国政府与特别报告员合作并协助其履行任务</w:t>
      </w:r>
      <w:r>
        <w:rPr>
          <w:lang w:val="fr-CH"/>
        </w:rPr>
        <w:t>，</w:t>
      </w:r>
      <w:r w:rsidRPr="00584C06">
        <w:rPr>
          <w:lang w:val="fr-CH"/>
        </w:rPr>
        <w:t>提供特别报告员所要求的一切信息</w:t>
      </w:r>
      <w:r>
        <w:rPr>
          <w:lang w:val="fr-CH"/>
        </w:rPr>
        <w:t>，</w:t>
      </w:r>
      <w:r w:rsidRPr="00584C06">
        <w:rPr>
          <w:lang w:val="fr-CH"/>
        </w:rPr>
        <w:t>在答复特别报告员来函方面不作无故拖延</w:t>
      </w:r>
      <w:r>
        <w:rPr>
          <w:lang w:val="fr-CH"/>
        </w:rPr>
        <w:t>；</w:t>
      </w:r>
    </w:p>
    <w:p w14:paraId="7A8C3483" w14:textId="64651A66" w:rsidR="00584C06" w:rsidRPr="00584C06" w:rsidRDefault="00584C06" w:rsidP="00584C06">
      <w:pPr>
        <w:pStyle w:val="SingleTxtGC"/>
      </w:pPr>
      <w:r>
        <w:rPr>
          <w:lang w:val="fr-CH"/>
        </w:rPr>
        <w:tab/>
        <w:t>28.</w:t>
      </w:r>
      <w:r w:rsidRPr="00584C06">
        <w:rPr>
          <w:lang w:val="fr-CH"/>
        </w:rPr>
        <w:tab/>
      </w:r>
      <w:r w:rsidRPr="00584C06">
        <w:rPr>
          <w:rFonts w:eastAsia="KaiTi"/>
          <w:b/>
          <w:iCs/>
          <w:lang w:val="fr-CH"/>
        </w:rPr>
        <w:t>促请</w:t>
      </w:r>
      <w:r w:rsidRPr="00584C06">
        <w:rPr>
          <w:lang w:val="fr-CH"/>
        </w:rPr>
        <w:t>各国政府认真考虑积极回应特别报告员提出的国别访问请求</w:t>
      </w:r>
      <w:r>
        <w:rPr>
          <w:lang w:val="fr-CH"/>
        </w:rPr>
        <w:t>；</w:t>
      </w:r>
      <w:r w:rsidRPr="00584C06">
        <w:rPr>
          <w:lang w:val="fr-CH"/>
        </w:rPr>
        <w:t>敦促各国就特别报告员所提建议的后续行动和落实情况与特别报告员开展建设性对话</w:t>
      </w:r>
      <w:r>
        <w:rPr>
          <w:lang w:val="fr-CH"/>
        </w:rPr>
        <w:t>，</w:t>
      </w:r>
      <w:r w:rsidRPr="00584C06">
        <w:rPr>
          <w:lang w:val="fr-CH"/>
        </w:rPr>
        <w:t>以便她能更有效地履行任务</w:t>
      </w:r>
      <w:r>
        <w:rPr>
          <w:lang w:val="fr-CH"/>
        </w:rPr>
        <w:t>；</w:t>
      </w:r>
    </w:p>
    <w:p w14:paraId="6FC76DAA" w14:textId="15B29C04" w:rsidR="00584C06" w:rsidRPr="00584C06" w:rsidRDefault="00584C06" w:rsidP="00584C06">
      <w:pPr>
        <w:pStyle w:val="SingleTxtGC"/>
      </w:pPr>
      <w:r>
        <w:rPr>
          <w:lang w:val="fr-CH"/>
        </w:rPr>
        <w:tab/>
        <w:t>29.</w:t>
      </w:r>
      <w:r w:rsidRPr="00584C06">
        <w:rPr>
          <w:lang w:val="fr-CH"/>
        </w:rPr>
        <w:tab/>
      </w:r>
      <w:r w:rsidRPr="00584C06">
        <w:rPr>
          <w:rFonts w:eastAsia="KaiTi"/>
          <w:b/>
          <w:iCs/>
          <w:lang w:val="fr-CH"/>
        </w:rPr>
        <w:t>鼓励</w:t>
      </w:r>
      <w:r w:rsidRPr="00584C06">
        <w:rPr>
          <w:lang w:val="fr-CH"/>
        </w:rPr>
        <w:t>联合国</w:t>
      </w:r>
      <w:r>
        <w:rPr>
          <w:lang w:val="fr-CH"/>
        </w:rPr>
        <w:t>，</w:t>
      </w:r>
      <w:r w:rsidRPr="00584C06">
        <w:rPr>
          <w:lang w:val="fr-CH"/>
        </w:rPr>
        <w:t>包括联合国各专门机构以及区域组织、国家人权机构、独立专家、律师协会、法官和检察官职业协会、非政府组织及其他相关利益攸关方</w:t>
      </w:r>
      <w:r>
        <w:rPr>
          <w:lang w:val="fr-CH"/>
        </w:rPr>
        <w:t>，</w:t>
      </w:r>
      <w:r w:rsidRPr="00584C06">
        <w:rPr>
          <w:lang w:val="fr-CH"/>
        </w:rPr>
        <w:t>在特别报告员履行任务时与其尽可能充分地合作</w:t>
      </w:r>
      <w:r>
        <w:rPr>
          <w:lang w:val="fr-CH"/>
        </w:rPr>
        <w:t>；</w:t>
      </w:r>
    </w:p>
    <w:p w14:paraId="50C6F823" w14:textId="0018060C" w:rsidR="00584C06" w:rsidRPr="00584C06" w:rsidRDefault="00584C06" w:rsidP="00584C06">
      <w:pPr>
        <w:pStyle w:val="SingleTxtGC"/>
      </w:pPr>
      <w:r>
        <w:rPr>
          <w:lang w:val="fr-CH"/>
        </w:rPr>
        <w:tab/>
        <w:t>30.</w:t>
      </w:r>
      <w:r w:rsidRPr="00584C06">
        <w:rPr>
          <w:lang w:val="fr-CH"/>
        </w:rPr>
        <w:tab/>
      </w:r>
      <w:r w:rsidRPr="00584C06">
        <w:rPr>
          <w:rFonts w:eastAsia="KaiTi"/>
          <w:b/>
          <w:iCs/>
          <w:lang w:val="fr-CH"/>
        </w:rPr>
        <w:t>请</w:t>
      </w:r>
      <w:r w:rsidRPr="00584C06">
        <w:rPr>
          <w:lang w:val="fr-CH"/>
        </w:rPr>
        <w:t>秘书长和联合国人权事务高级专员向特别报告员提供有效履行任务所需的一切人力和财政资源</w:t>
      </w:r>
      <w:r>
        <w:rPr>
          <w:lang w:val="fr-CH"/>
        </w:rPr>
        <w:t>；</w:t>
      </w:r>
    </w:p>
    <w:p w14:paraId="7C2A2769" w14:textId="34AC9D80" w:rsidR="00584C06" w:rsidRPr="00584C06" w:rsidRDefault="00584C06" w:rsidP="00584C06">
      <w:pPr>
        <w:pStyle w:val="SingleTxtGC"/>
      </w:pPr>
      <w:r>
        <w:rPr>
          <w:lang w:val="fr-CH"/>
        </w:rPr>
        <w:tab/>
        <w:t>31.</w:t>
      </w:r>
      <w:r w:rsidRPr="00584C06">
        <w:rPr>
          <w:lang w:val="fr-CH"/>
        </w:rPr>
        <w:tab/>
      </w:r>
      <w:r w:rsidRPr="00584C06">
        <w:rPr>
          <w:rFonts w:eastAsia="KaiTi"/>
          <w:b/>
          <w:iCs/>
          <w:lang w:val="fr-CH"/>
        </w:rPr>
        <w:t>决定</w:t>
      </w:r>
      <w:r w:rsidRPr="00584C06">
        <w:rPr>
          <w:lang w:val="fr-CH"/>
        </w:rPr>
        <w:t>根据理事会年度工作方案继续审议这一议题。</w:t>
      </w:r>
    </w:p>
    <w:p w14:paraId="6B310BB4" w14:textId="62D26660" w:rsidR="00584C06" w:rsidRPr="00584C06" w:rsidRDefault="00584C06" w:rsidP="00584C06">
      <w:pPr>
        <w:pStyle w:val="SingleTxtGC"/>
        <w:jc w:val="right"/>
        <w:rPr>
          <w:rFonts w:eastAsia="KaiTi"/>
          <w:bCs/>
          <w:iCs/>
        </w:rPr>
      </w:pPr>
      <w:bookmarkStart w:id="0" w:name="_Hlk202551653"/>
      <w:r w:rsidRPr="00584C06">
        <w:rPr>
          <w:rFonts w:eastAsia="KaiTi"/>
          <w:bCs/>
          <w:iCs/>
          <w:lang w:val="fr-CH"/>
        </w:rPr>
        <w:t>2</w:t>
      </w:r>
      <w:r w:rsidRPr="00584C06">
        <w:rPr>
          <w:rFonts w:eastAsia="KaiTi"/>
          <w:bCs/>
          <w:iCs/>
          <w:lang w:val="fr-CH"/>
        </w:rPr>
        <w:t>0</w:t>
      </w:r>
      <w:r w:rsidRPr="00584C06">
        <w:rPr>
          <w:rFonts w:eastAsia="KaiTi"/>
          <w:bCs/>
          <w:iCs/>
          <w:lang w:val="fr-CH"/>
        </w:rPr>
        <w:t>26</w:t>
      </w:r>
      <w:r w:rsidRPr="00584C06">
        <w:rPr>
          <w:rFonts w:eastAsia="KaiTi"/>
          <w:bCs/>
          <w:iCs/>
          <w:lang w:val="fr-CH"/>
        </w:rPr>
        <w:t>年</w:t>
      </w:r>
      <w:r w:rsidRPr="00584C06">
        <w:rPr>
          <w:rFonts w:eastAsia="KaiTi"/>
          <w:bCs/>
          <w:iCs/>
          <w:lang w:val="fr-CH"/>
        </w:rPr>
        <w:t>7</w:t>
      </w:r>
      <w:r w:rsidRPr="00584C06">
        <w:rPr>
          <w:rFonts w:eastAsia="KaiTi"/>
          <w:bCs/>
          <w:iCs/>
          <w:lang w:val="fr-CH"/>
        </w:rPr>
        <w:t>月</w:t>
      </w:r>
      <w:r w:rsidRPr="00584C06">
        <w:rPr>
          <w:rFonts w:eastAsia="KaiTi"/>
          <w:bCs/>
          <w:iCs/>
          <w:lang w:val="fr-CH"/>
        </w:rPr>
        <w:t>6</w:t>
      </w:r>
      <w:r w:rsidRPr="00584C06">
        <w:rPr>
          <w:rFonts w:eastAsia="KaiTi"/>
          <w:bCs/>
          <w:iCs/>
          <w:lang w:val="fr-CH"/>
        </w:rPr>
        <w:t>日</w:t>
      </w:r>
      <w:r>
        <w:rPr>
          <w:rFonts w:eastAsia="KaiTi"/>
          <w:bCs/>
          <w:iCs/>
          <w:lang w:val="fr-CH"/>
        </w:rPr>
        <w:br/>
      </w:r>
      <w:r w:rsidRPr="00584C06">
        <w:rPr>
          <w:rFonts w:eastAsia="KaiTi"/>
          <w:bCs/>
          <w:iCs/>
          <w:lang w:val="fr-CH"/>
        </w:rPr>
        <w:t>第</w:t>
      </w:r>
      <w:r w:rsidRPr="00584C06">
        <w:rPr>
          <w:rFonts w:eastAsia="KaiTi"/>
          <w:bCs/>
          <w:iCs/>
          <w:lang w:val="fr-CH"/>
        </w:rPr>
        <w:t>32</w:t>
      </w:r>
      <w:r w:rsidRPr="00584C06">
        <w:rPr>
          <w:rFonts w:eastAsia="KaiTi"/>
          <w:bCs/>
          <w:iCs/>
          <w:lang w:val="fr-CH"/>
        </w:rPr>
        <w:t>次会议</w:t>
      </w:r>
    </w:p>
    <w:p w14:paraId="539AE5B6" w14:textId="2446022E" w:rsidR="00584C06" w:rsidRPr="00584C06" w:rsidRDefault="00584C06" w:rsidP="00584C06">
      <w:pPr>
        <w:pStyle w:val="SingleTxtGC"/>
        <w:rPr>
          <w:bCs/>
        </w:rPr>
      </w:pPr>
      <w:r w:rsidRPr="00584C06">
        <w:rPr>
          <w:bCs/>
          <w:lang w:val="fr-CH"/>
        </w:rPr>
        <w:t>[</w:t>
      </w:r>
      <w:r w:rsidRPr="00584C06">
        <w:rPr>
          <w:bCs/>
          <w:lang w:val="fr-CH"/>
        </w:rPr>
        <w:t>未经表决获得通过。</w:t>
      </w:r>
      <w:r w:rsidRPr="00584C06">
        <w:rPr>
          <w:bCs/>
          <w:lang w:val="fr-CH"/>
        </w:rPr>
        <w:t>]</w:t>
      </w:r>
      <w:bookmarkEnd w:id="0"/>
    </w:p>
    <w:p w14:paraId="1541CBF1" w14:textId="49FDF8EC" w:rsidR="00584C06" w:rsidRDefault="00584C06" w:rsidP="00584C06">
      <w:pPr>
        <w:pStyle w:val="SingleTxtGC"/>
        <w:rPr>
          <w:u w:val="single"/>
        </w:rPr>
      </w:pPr>
    </w:p>
    <w:p w14:paraId="250A8420" w14:textId="77777777" w:rsidR="00584C06" w:rsidRPr="002D6A9C" w:rsidRDefault="00584C0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74769EF" w14:textId="39845701" w:rsidR="00584C06" w:rsidRPr="00584C06" w:rsidRDefault="00584C06" w:rsidP="00584C06">
      <w:pPr>
        <w:pStyle w:val="SingleTxtGC"/>
        <w:rPr>
          <w:lang w:val="fr-CH"/>
        </w:rPr>
      </w:pPr>
    </w:p>
    <w:sectPr w:rsidR="00584C06" w:rsidRPr="00584C06"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1BE00" w14:textId="77777777" w:rsidR="00201EC7" w:rsidRPr="000D319F" w:rsidRDefault="00201EC7" w:rsidP="000D319F">
      <w:pPr>
        <w:pStyle w:val="af0"/>
        <w:spacing w:after="240"/>
        <w:ind w:left="907"/>
        <w:rPr>
          <w:rFonts w:asciiTheme="majorBidi" w:eastAsia="宋体" w:hAnsiTheme="majorBidi" w:cstheme="majorBidi"/>
          <w:sz w:val="21"/>
          <w:szCs w:val="21"/>
          <w:lang w:val="en-US"/>
        </w:rPr>
      </w:pPr>
    </w:p>
    <w:p w14:paraId="2022CBFC" w14:textId="77777777" w:rsidR="00201EC7" w:rsidRPr="000D319F" w:rsidRDefault="00201EC7"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5DFD6AA8" w14:textId="77777777" w:rsidR="00201EC7" w:rsidRPr="000D319F" w:rsidRDefault="00201EC7" w:rsidP="000D319F">
      <w:pPr>
        <w:pStyle w:val="af0"/>
      </w:pPr>
    </w:p>
  </w:endnote>
  <w:endnote w:type="continuationNotice" w:id="1">
    <w:p w14:paraId="16BD9D72" w14:textId="77777777" w:rsidR="00201EC7" w:rsidRDefault="00201E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8D055" w14:textId="77777777" w:rsidR="00584C06" w:rsidRPr="00584C06" w:rsidRDefault="00584C06" w:rsidP="00584C0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84C06">
      <w:rPr>
        <w:rStyle w:val="af2"/>
        <w:b w:val="0"/>
        <w:snapToGrid w:val="0"/>
        <w:sz w:val="16"/>
      </w:rPr>
      <w:t>GE.26-10037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B0F48" w14:textId="77777777" w:rsidR="00584C06" w:rsidRPr="00584C06" w:rsidRDefault="00584C06" w:rsidP="00584C06">
    <w:pPr>
      <w:pStyle w:val="af0"/>
      <w:tabs>
        <w:tab w:val="right" w:pos="9638"/>
      </w:tabs>
      <w:rPr>
        <w:rStyle w:val="af2"/>
      </w:rPr>
    </w:pPr>
    <w:r>
      <w:t>GE.26-10037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A9244" w14:textId="432783BB" w:rsidR="002956FD" w:rsidRPr="00487939" w:rsidRDefault="00584C06"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1601413" wp14:editId="3DEF05BA">
          <wp:simplePos x="0" y="0"/>
          <wp:positionH relativeFrom="column">
            <wp:align>right</wp:align>
          </wp:positionH>
          <wp:positionV relativeFrom="paragraph">
            <wp:posOffset>-69850</wp:posOffset>
          </wp:positionV>
          <wp:extent cx="571500" cy="571500"/>
          <wp:effectExtent l="0" t="0" r="0" b="0"/>
          <wp:wrapNone/>
          <wp:docPr id="12270019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GE.26-10037</w:t>
    </w:r>
    <w:r w:rsidR="00731A42" w:rsidRPr="00EE277A">
      <w:rPr>
        <w:sz w:val="20"/>
        <w:lang w:eastAsia="zh-CN"/>
      </w:rPr>
      <w:t xml:space="preserve"> (C)</w:t>
    </w:r>
    <w:r w:rsidR="008B4347">
      <w:rPr>
        <w:sz w:val="20"/>
        <w:lang w:eastAsia="zh-CN"/>
      </w:rPr>
      <w:tab/>
    </w:r>
    <w:r>
      <w:rPr>
        <w:sz w:val="20"/>
        <w:lang w:eastAsia="zh-CN"/>
      </w:rPr>
      <w:t>1607</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Pr>
        <w:sz w:val="20"/>
        <w:lang w:eastAsia="zh-CN"/>
      </w:rPr>
      <w:t>2807</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8FCBF" w14:textId="77777777" w:rsidR="00201EC7" w:rsidRPr="000157B1" w:rsidRDefault="00201EC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668260E" w14:textId="77777777" w:rsidR="00201EC7" w:rsidRPr="000157B1" w:rsidRDefault="00201EC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85EEF53" w14:textId="77777777" w:rsidR="00201EC7" w:rsidRDefault="00201EC7"/>
  </w:footnote>
  <w:footnote w:id="2">
    <w:p w14:paraId="482497A4" w14:textId="622546E8" w:rsidR="00584C06" w:rsidRDefault="00584C06" w:rsidP="00584C06">
      <w:pPr>
        <w:pStyle w:val="a6"/>
        <w:widowControl w:val="0"/>
        <w:tabs>
          <w:tab w:val="clear" w:pos="1021"/>
          <w:tab w:val="right" w:pos="1020"/>
        </w:tabs>
      </w:pPr>
      <w:r>
        <w:rPr>
          <w:lang w:val="zh-CN"/>
        </w:rPr>
        <w:tab/>
      </w:r>
      <w:r>
        <w:rPr>
          <w:rStyle w:val="a8"/>
          <w:lang w:val="zh-CN"/>
        </w:rPr>
        <w:footnoteRef/>
      </w:r>
      <w:r>
        <w:rPr>
          <w:lang w:val="zh-CN"/>
        </w:rPr>
        <w:tab/>
      </w:r>
      <w:hyperlink r:id="rId1" w:history="1">
        <w:r w:rsidRPr="00584C06">
          <w:rPr>
            <w:rStyle w:val="af7"/>
            <w:lang w:val="zh-CN"/>
          </w:rPr>
          <w:t>A/HRC/62/43</w:t>
        </w:r>
      </w:hyperlink>
      <w:r>
        <w:rPr>
          <w:lang w:val="zh-CN"/>
        </w:rPr>
        <w:t>.</w:t>
      </w:r>
    </w:p>
  </w:footnote>
  <w:footnote w:id="3">
    <w:p w14:paraId="3EDA4D83" w14:textId="48833FFD" w:rsidR="00584C06" w:rsidRDefault="00584C06" w:rsidP="00584C06">
      <w:pPr>
        <w:pStyle w:val="a6"/>
        <w:widowControl w:val="0"/>
        <w:tabs>
          <w:tab w:val="clear" w:pos="1021"/>
          <w:tab w:val="right" w:pos="1020"/>
        </w:tabs>
      </w:pPr>
      <w:r>
        <w:rPr>
          <w:lang w:val="zh-CN"/>
        </w:rPr>
        <w:tab/>
      </w:r>
      <w:r>
        <w:rPr>
          <w:rStyle w:val="a8"/>
          <w:lang w:val="zh-CN"/>
        </w:rPr>
        <w:footnoteRef/>
      </w:r>
      <w:r>
        <w:rPr>
          <w:lang w:val="zh-CN"/>
        </w:rPr>
        <w:tab/>
      </w:r>
      <w:hyperlink r:id="rId2" w:history="1">
        <w:r w:rsidRPr="00584C06">
          <w:rPr>
            <w:rStyle w:val="af7"/>
            <w:lang w:val="zh-CN"/>
          </w:rPr>
          <w:t>A/80/169</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D8C70" w14:textId="77777777" w:rsidR="002956FD" w:rsidRDefault="00584C06" w:rsidP="00584C06">
    <w:pPr>
      <w:pStyle w:val="af3"/>
    </w:pPr>
    <w:r>
      <w:t>A/HRC/RES/62/12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5356F" w14:textId="77777777" w:rsidR="002956FD" w:rsidRPr="00202A30" w:rsidRDefault="00584C06" w:rsidP="00584C06">
    <w:pPr>
      <w:pStyle w:val="af3"/>
      <w:jc w:val="right"/>
    </w:pPr>
    <w:r>
      <w:t>A/HRC/RES/62/12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427"/>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201EC7"/>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3D4427"/>
    <w:rsid w:val="00427F63"/>
    <w:rsid w:val="00474C6B"/>
    <w:rsid w:val="004972E2"/>
    <w:rsid w:val="004C3F04"/>
    <w:rsid w:val="004C4A0A"/>
    <w:rsid w:val="00557D9A"/>
    <w:rsid w:val="00565E69"/>
    <w:rsid w:val="00584C06"/>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82D61"/>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6522"/>
    <w:rsid w:val="00BF6D17"/>
    <w:rsid w:val="00C121D5"/>
    <w:rsid w:val="00C17349"/>
    <w:rsid w:val="00C278FA"/>
    <w:rsid w:val="00C32BBF"/>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7750D"/>
    <w:rsid w:val="00D85827"/>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675D2"/>
  <w15:docId w15:val="{0070A315-E3F5-447E-8A86-C0E2BFBF4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SimHei"/>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SimHei"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SimHei"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SimHei"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SimHei"/>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SimHei"/>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SimHei"/>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SimHei"/>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KaiTi"/>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SimHei"/>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SimHei"/>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SimHei"/>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SimHei"/>
      <w:bCs/>
      <w:kern w:val="2"/>
      <w:sz w:val="21"/>
      <w:szCs w:val="36"/>
    </w:rPr>
  </w:style>
  <w:style w:type="character" w:customStyle="1" w:styleId="60">
    <w:name w:val="标题 6 字符"/>
    <w:basedOn w:val="a0"/>
    <w:link w:val="6"/>
    <w:rsid w:val="00D93FA6"/>
    <w:rPr>
      <w:rFonts w:ascii="Arial" w:eastAsia="SimHei"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SimHei" w:hAnsi="Arial"/>
      <w:kern w:val="2"/>
      <w:sz w:val="21"/>
      <w:szCs w:val="24"/>
    </w:rPr>
  </w:style>
  <w:style w:type="character" w:customStyle="1" w:styleId="90">
    <w:name w:val="标题 9 字符"/>
    <w:basedOn w:val="a0"/>
    <w:link w:val="9"/>
    <w:rsid w:val="00D93FA6"/>
    <w:rPr>
      <w:rFonts w:ascii="Arial" w:eastAsia="SimHei"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584C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A/80/169" TargetMode="External"/><Relationship Id="rId1" Type="http://schemas.openxmlformats.org/officeDocument/2006/relationships/hyperlink" Target="https://docs.un.org/zh/A/HRC/62/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6</Pages>
  <Words>2903</Words>
  <Characters>2962</Characters>
  <Application>Microsoft Office Word</Application>
  <DocSecurity>0</DocSecurity>
  <Lines>113</Lines>
  <Paragraphs>78</Paragraphs>
  <ScaleCrop>false</ScaleCrop>
  <Company>DCM</Company>
  <LinksUpToDate>false</LinksUpToDate>
  <CharactersWithSpaces>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A/HRC/RES/62/12</dc:title>
  <dc:subject>2610037</dc:subject>
  <dc:creator>yang</dc:creator>
  <cp:keywords/>
  <dc:description/>
  <cp:lastModifiedBy>Xiaoqing Yang</cp:lastModifiedBy>
  <cp:revision>2</cp:revision>
  <cp:lastPrinted>2014-05-09T11:28:00Z</cp:lastPrinted>
  <dcterms:created xsi:type="dcterms:W3CDTF">2026-07-28T10:06:00Z</dcterms:created>
  <dcterms:modified xsi:type="dcterms:W3CDTF">2026-07-28T10:06:00Z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