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шестая сессия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7–25 августа 2006 года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вопросов, связанных с рассмотрением периодических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Чешская Республика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Предсессионная рабочая группа рассмотрела третий периодический до</w:t>
      </w:r>
      <w:r>
        <w:t>к</w:t>
      </w:r>
      <w:r>
        <w:t>лад Чешской Республики (CEDAW/C/CZE/3).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Конституция, законодательство и национальный механизм для улучшения положения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Просьба представить информацию о процессе подготовки третьего п</w:t>
      </w:r>
      <w:r>
        <w:t>е</w:t>
      </w:r>
      <w:r>
        <w:t>риодического доклада Чешской Республики и, в частности, сообщить, какие государственные органы и учреждения принимали участие в этом процессе, каковы были масштабы и характер такого участия, проводились ли консульт</w:t>
      </w:r>
      <w:r>
        <w:t>а</w:t>
      </w:r>
      <w:r>
        <w:t>ции с неправительственными организациями и был ли доклад представлен в парл</w:t>
      </w:r>
      <w:r>
        <w:t>а</w:t>
      </w:r>
      <w:r>
        <w:t>мент.</w:t>
      </w:r>
    </w:p>
    <w:p w:rsidR="00000000" w:rsidRDefault="00000000">
      <w:pPr>
        <w:pStyle w:val="SingleTxt"/>
      </w:pPr>
      <w:r>
        <w:t>2.</w:t>
      </w:r>
      <w:r>
        <w:tab/>
        <w:t>В соответствии с поправкой к статье 10 Конституции Чешской Республ</w:t>
      </w:r>
      <w:r>
        <w:t>и</w:t>
      </w:r>
      <w:r>
        <w:t>ки (вступившей в силу 1 июня 2002 года) международные соглашения имеют преимущественную силу перед национальными законами (пункт 27). Просьба представить информацию о правовом статусе Конвенции в национальной пр</w:t>
      </w:r>
      <w:r>
        <w:t>а</w:t>
      </w:r>
      <w:r>
        <w:t>вовой системе и любых случаях, когда Конвенция имела преимущественную силу перед национальным законом и/или когда она использовалась в наци</w:t>
      </w:r>
      <w:r>
        <w:t>о</w:t>
      </w:r>
      <w:r>
        <w:t>нальных судах.</w:t>
      </w:r>
    </w:p>
    <w:p w:rsidR="00000000" w:rsidRDefault="00000000">
      <w:pPr>
        <w:pStyle w:val="SingleTxt"/>
      </w:pPr>
      <w:r>
        <w:t>3.</w:t>
      </w:r>
      <w:r>
        <w:tab/>
        <w:t>В докладе отмечается, что в Законе о занятости предусмотрено запрещ</w:t>
      </w:r>
      <w:r>
        <w:t>е</w:t>
      </w:r>
      <w:r>
        <w:t>ние дискриминации (пункт 17) и что в настоящее время разрабатывается новый закон (пункт 30). Просьба представить информацию о других законах, соде</w:t>
      </w:r>
      <w:r>
        <w:t>р</w:t>
      </w:r>
      <w:r>
        <w:t>жащих положения, запрещающие дискриминацию в отношении женщин в о</w:t>
      </w:r>
      <w:r>
        <w:t>б</w:t>
      </w:r>
      <w:r>
        <w:t>ластях, охваченных Конвенцией, и о средствах правовой защиты в случае такой ди</w:t>
      </w:r>
      <w:r>
        <w:t>с</w:t>
      </w:r>
      <w:r>
        <w:t>криминации.</w:t>
      </w:r>
    </w:p>
    <w:p w:rsidR="00000000" w:rsidRDefault="00000000">
      <w:pPr>
        <w:pStyle w:val="SingleTxt"/>
      </w:pPr>
      <w:r>
        <w:t>4.</w:t>
      </w:r>
      <w:r>
        <w:tab/>
        <w:t>В докладе говорится, что политика, направленная на обеспечение равных возможностей, особенно неудовлетворительным образом проводится на реги</w:t>
      </w:r>
      <w:r>
        <w:t>о</w:t>
      </w:r>
      <w:r>
        <w:t>нальном и муниципальном уровнях (пункт 20) и что для оказания правительс</w:t>
      </w:r>
      <w:r>
        <w:t>т</w:t>
      </w:r>
      <w:r>
        <w:t>ву помощи в решении этой проблемы был создан консультативный совет (Г</w:t>
      </w:r>
      <w:r>
        <w:t>о</w:t>
      </w:r>
      <w:r>
        <w:t>сударственный совет по обеспечению равных возможностей для мужчин и женщин). Как выполняются рекомендации Совета и какое воздействие они ок</w:t>
      </w:r>
      <w:r>
        <w:t>а</w:t>
      </w:r>
      <w:r>
        <w:t>зывают на расширение возможностей женщин в области зан</w:t>
      </w:r>
      <w:r>
        <w:t>я</w:t>
      </w:r>
      <w:r>
        <w:t>тости?</w:t>
      </w:r>
    </w:p>
    <w:p w:rsidR="00000000" w:rsidRDefault="00000000">
      <w:pPr>
        <w:pStyle w:val="SingleTxt"/>
      </w:pPr>
      <w:r>
        <w:t>5.</w:t>
      </w:r>
      <w:r>
        <w:tab/>
        <w:t>Просьба представить информацию о результатах усилий правительства по укреплению национальных механизмов с помощью упомянутого в докладе (пункт 21) совместного проекта под названием «Совершенствование госуда</w:t>
      </w:r>
      <w:r>
        <w:t>р</w:t>
      </w:r>
      <w:r>
        <w:t>ственного институционального механизма для введения, осуществления и м</w:t>
      </w:r>
      <w:r>
        <w:t>о</w:t>
      </w:r>
      <w:r>
        <w:t>ниторинга равного обращения в отношении мужчин и женщин».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6.</w:t>
      </w:r>
      <w:r>
        <w:tab/>
        <w:t>В своих предыдущих заключительных замечаниях Комитет рекомендовал разработать политику и осуществить программы по обеспечению искоренения традиционных гендерных стереотипов в семье, на рабочем месте, в области политики и в обществе. С учетом этой рекомендации в докладе рассматрив</w:t>
      </w:r>
      <w:r>
        <w:t>а</w:t>
      </w:r>
      <w:r>
        <w:t>ются результаты проведенных исследований, подтверждающие распростране</w:t>
      </w:r>
      <w:r>
        <w:t>н</w:t>
      </w:r>
      <w:r>
        <w:t>ность традиционных стереотипных представлений о женщинах (пункты 71–</w:t>
      </w:r>
      <w:r>
        <w:br/>
        <w:t>76). Какие практические меры, помимо подготовки государственных служ</w:t>
      </w:r>
      <w:r>
        <w:t>а</w:t>
      </w:r>
      <w:r>
        <w:t>щих, принимает в настоящее время правительство в целях создания условий, способствующих обеспечению гендерного равенства и справедливого распр</w:t>
      </w:r>
      <w:r>
        <w:t>е</w:t>
      </w:r>
      <w:r>
        <w:t>деления семейных обяза</w:t>
      </w:r>
      <w:r>
        <w:t>н</w:t>
      </w:r>
      <w:r>
        <w:t>ностей?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7.</w:t>
      </w:r>
      <w:r>
        <w:tab/>
        <w:t>В докладе Специального докладчика Комиссии по правам человека по в</w:t>
      </w:r>
      <w:r>
        <w:t>о</w:t>
      </w:r>
      <w:r>
        <w:t>просу о насилии в отношении женщин (E/CN.4/2003/75/Add.1, пункт 1965) и в предыдущих заключительных замечаниях Комитета была выражена озабоче</w:t>
      </w:r>
      <w:r>
        <w:t>н</w:t>
      </w:r>
      <w:r>
        <w:t>ность в связи с используемым правительством определением изнасилования, которое основывается на применении силы, а не на отсутствии согласия, а также в связи с тем, что изнасилование не считается преступлением в отнош</w:t>
      </w:r>
      <w:r>
        <w:t>е</w:t>
      </w:r>
      <w:r>
        <w:t>ниях между супругами. В докладе отмечаются препятствия законодательного характера на пути решения проблемы насилия в семье и недостаточная защ</w:t>
      </w:r>
      <w:r>
        <w:t>и</w:t>
      </w:r>
      <w:r>
        <w:t>щенность пострадавших из</w:t>
      </w:r>
      <w:r>
        <w:noBreakHyphen/>
        <w:t>за требования об их согласии на судебное пресл</w:t>
      </w:r>
      <w:r>
        <w:t>е</w:t>
      </w:r>
      <w:r>
        <w:t>дование. Просьба представить подробную информацию о принятых мерах з</w:t>
      </w:r>
      <w:r>
        <w:t>а</w:t>
      </w:r>
      <w:r>
        <w:t>конодательного характера по решению проблемы насилия в отношении же</w:t>
      </w:r>
      <w:r>
        <w:t>н</w:t>
      </w:r>
      <w:r>
        <w:t>щин, в том числе мерах в области уголовного законодательства и гражданско-правовых мерах, таких, например, как запретительные приказы, а также о н</w:t>
      </w:r>
      <w:r>
        <w:t>о</w:t>
      </w:r>
      <w:r>
        <w:t>вом уголовно-процессуальном кодексе, который должен был вступить в силу 1 января 2005 года и в котором проблема насилия в семье рассматривается н</w:t>
      </w:r>
      <w:r>
        <w:t>е</w:t>
      </w:r>
      <w:r>
        <w:t>посредс</w:t>
      </w:r>
      <w:r>
        <w:t>т</w:t>
      </w:r>
      <w:r>
        <w:t>венным образом (пункт 49).</w:t>
      </w:r>
    </w:p>
    <w:p w:rsidR="00000000" w:rsidRDefault="00000000">
      <w:pPr>
        <w:pStyle w:val="SingleTxt"/>
      </w:pPr>
      <w:r>
        <w:t>8.</w:t>
      </w:r>
      <w:r>
        <w:tab/>
        <w:t>В докладе отмечается, что с 1 января 2004 года будет вестись статистика преступлений, связанных с насилием в семье (пункт 46). Просьба представить статистические данные, собранные к настоящему врем</w:t>
      </w:r>
      <w:r>
        <w:t>е</w:t>
      </w:r>
      <w:r>
        <w:t>ни.</w:t>
      </w:r>
    </w:p>
    <w:p w:rsidR="00000000" w:rsidRDefault="00000000">
      <w:pPr>
        <w:pStyle w:val="SingleTxt"/>
      </w:pPr>
      <w:r>
        <w:t>9.</w:t>
      </w:r>
      <w:r>
        <w:tab/>
        <w:t>В 2003 году в Чешской Республике было проведено международное о</w:t>
      </w:r>
      <w:r>
        <w:t>б</w:t>
      </w:r>
      <w:r>
        <w:t>следование по проблемам насилия в отношении женщин. Просьба представить информацию о результатах и уроках этого обследования, а также о принятых в связи с ними мерах.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эксплуатация проституции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10.</w:t>
      </w:r>
      <w:r>
        <w:tab/>
        <w:t>В поправке (Закон № 134/2002) к Уголовному кодексу дается более по</w:t>
      </w:r>
      <w:r>
        <w:t>л</w:t>
      </w:r>
      <w:r>
        <w:t>ное определение торговли людьми, поэтому сейчас незаконный ввоз того или иного лица в Чешскую Республику или его незаконный вывоз из страны счит</w:t>
      </w:r>
      <w:r>
        <w:t>а</w:t>
      </w:r>
      <w:r>
        <w:t>ется преступлением. Однако, как отмечается в докладе, эта поправка касается лишь преступлений сексуального характера и не распространяется на торговлю людьми, осуществляемую в иных целях, например в целях использования пр</w:t>
      </w:r>
      <w:r>
        <w:t>и</w:t>
      </w:r>
      <w:r>
        <w:t>нудительного труда и изъятия органов. В докладе правительства говорится, что в настоящее время готовится законопроект о ратификации как Конвенции пр</w:t>
      </w:r>
      <w:r>
        <w:t>о</w:t>
      </w:r>
      <w:r>
        <w:t>тив транснациональной организованной преступности, так и Протокола о пр</w:t>
      </w:r>
      <w:r>
        <w:t>е</w:t>
      </w:r>
      <w:r>
        <w:t>дупреждении и пресечении торговли людьми, особенно женщинами и детьми, и наказании за нее. Просьба сообщить о том, что мешает внесению поправок в национальное законод</w:t>
      </w:r>
      <w:r>
        <w:t>а</w:t>
      </w:r>
      <w:r>
        <w:t>тельство.</w:t>
      </w:r>
    </w:p>
    <w:p w:rsidR="00000000" w:rsidRDefault="00000000">
      <w:pPr>
        <w:pStyle w:val="SingleTxt"/>
      </w:pPr>
      <w:r>
        <w:t>11.</w:t>
      </w:r>
      <w:r>
        <w:tab/>
        <w:t>Просьба представить информацию о собранных данных и полученных р</w:t>
      </w:r>
      <w:r>
        <w:t>е</w:t>
      </w:r>
      <w:r>
        <w:t>зультатах в рамках «Проекта предотвращения, искоренения и судебного пр</w:t>
      </w:r>
      <w:r>
        <w:t>е</w:t>
      </w:r>
      <w:r>
        <w:t>следования торговли людьми, особенно женщинами и детьми» (пункт 96), а также в рамках м</w:t>
      </w:r>
      <w:r>
        <w:t>о</w:t>
      </w:r>
      <w:r>
        <w:t>дели поддержки и защиты жертв торговли людьми.</w:t>
      </w:r>
    </w:p>
    <w:p w:rsidR="00000000" w:rsidRDefault="00000000">
      <w:pPr>
        <w:pStyle w:val="SingleTxt"/>
      </w:pPr>
      <w:r>
        <w:t>12.</w:t>
      </w:r>
      <w:r>
        <w:tab/>
        <w:t>В докладе сообщается об увеличении незаконного притока иностранных женщин в Чешскую Республику. Просьба представить статистические данные о количестве жертв, которым была оказана помощь, и наказанных преступн</w:t>
      </w:r>
      <w:r>
        <w:t>и</w:t>
      </w:r>
      <w:r>
        <w:t>ков, а также об услугах по реабилитации и защите пострадавших. Просьба с</w:t>
      </w:r>
      <w:r>
        <w:t>о</w:t>
      </w:r>
      <w:r>
        <w:t>общить также, не является ли условием оказания таких услуг дача свидетел</w:t>
      </w:r>
      <w:r>
        <w:t>ь</w:t>
      </w:r>
      <w:r>
        <w:t>ских показаний против лиц, занимающихся торго</w:t>
      </w:r>
      <w:r>
        <w:t>в</w:t>
      </w:r>
      <w:r>
        <w:t>лей людьми.</w:t>
      </w:r>
    </w:p>
    <w:p w:rsidR="00000000" w:rsidRDefault="00000000">
      <w:pPr>
        <w:pStyle w:val="SingleTxt"/>
      </w:pPr>
      <w:r>
        <w:t>13.</w:t>
      </w:r>
      <w:r>
        <w:tab/>
        <w:t>В своем докладе правительство отмечает, что в Чешской Республике «с</w:t>
      </w:r>
      <w:r>
        <w:t>о</w:t>
      </w:r>
      <w:r>
        <w:t>вершенно новым явлением» стали витрины с полуобнаженными женщинами, предлагаемыми потенциальным клиентам в качестве товара (пункт 103). В докладе также изложены цели готовящегося законопроекта о регулировании проституции, а также представлены данные о мерах, принимаемых полицией. Просьба сообщить, принят ли этот законопроект и скольким женщинам он уже обеспечил з</w:t>
      </w:r>
      <w:r>
        <w:t>а</w:t>
      </w:r>
      <w:r>
        <w:t>щиту.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14.</w:t>
      </w:r>
      <w:r>
        <w:tab/>
        <w:t>Просьба представить обновленные статистические данные о политич</w:t>
      </w:r>
      <w:r>
        <w:t>е</w:t>
      </w:r>
      <w:r>
        <w:t>ском участии женщин в деятельности парламента и правительства, в том числе министерства иностранных дел и судебных органов. Какие усилия предприн</w:t>
      </w:r>
      <w:r>
        <w:t>и</w:t>
      </w:r>
      <w:r>
        <w:t>маются государством-участником в целях обеспечения равной представленн</w:t>
      </w:r>
      <w:r>
        <w:t>о</w:t>
      </w:r>
      <w:r>
        <w:t>сти женщин и мужчин в государственных органах во всех областях и на всех уровнях? Включают ли эти усилия специальные меры временного характера в соответствии с пунктом 1 статьи 4 Конвенции и общей рекомендации № 25 Комитета?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15.</w:t>
      </w:r>
      <w:r>
        <w:tab/>
        <w:t>В докладе отмечается, что вследствие произошедшей в 2001 году «пер</w:t>
      </w:r>
      <w:r>
        <w:t>е</w:t>
      </w:r>
      <w:r>
        <w:t>дачи некоторых объектов, прав и обязанностей» из ведения национального правительства в ведение регионов возможности министерства просвещения оказались весьма ограниченными в плане «внедрения нововведений и привл</w:t>
      </w:r>
      <w:r>
        <w:t>е</w:t>
      </w:r>
      <w:r>
        <w:t>чения к участию в проектах других организаций и спонсоров» (пункт 139). Просьба внести дополнительную ясность в это заявление и, в частности, с</w:t>
      </w:r>
      <w:r>
        <w:t>о</w:t>
      </w:r>
      <w:r>
        <w:t>общить, каким образом оно влияет на возможности государства-участника в плане полного соблюдения им своих обязательств по ст</w:t>
      </w:r>
      <w:r>
        <w:t>а</w:t>
      </w:r>
      <w:r>
        <w:t>тье 11 Конвенции.</w:t>
      </w:r>
    </w:p>
    <w:p w:rsidR="00000000" w:rsidRDefault="00000000">
      <w:pPr>
        <w:pStyle w:val="SingleTxt"/>
      </w:pPr>
      <w:r>
        <w:t>16.</w:t>
      </w:r>
      <w:r>
        <w:tab/>
        <w:t>В своих заключительных замечаниях в 2000 году Комитет с озабоченн</w:t>
      </w:r>
      <w:r>
        <w:t>о</w:t>
      </w:r>
      <w:r>
        <w:t>стью отметил, что «правительство, как представляется, неохотно направляет девушек в научные и технические учебные заведения». Предлагает ли прав</w:t>
      </w:r>
      <w:r>
        <w:t>и</w:t>
      </w:r>
      <w:r>
        <w:t>тельство финансовые стимулы, например стипендии, для молодых женщин, к</w:t>
      </w:r>
      <w:r>
        <w:t>о</w:t>
      </w:r>
      <w:r>
        <w:t>торые хотели бы получить образование в научной, технической и других о</w:t>
      </w:r>
      <w:r>
        <w:t>б</w:t>
      </w:r>
      <w:r>
        <w:t>ластях, главенствующее положение в которых традиционно занимают мужч</w:t>
      </w:r>
      <w:r>
        <w:t>и</w:t>
      </w:r>
      <w:r>
        <w:t>ны?</w:t>
      </w:r>
    </w:p>
    <w:p w:rsidR="00000000" w:rsidRDefault="00000000">
      <w:pPr>
        <w:pStyle w:val="SingleTxt"/>
      </w:pPr>
      <w:r>
        <w:t>17.</w:t>
      </w:r>
      <w:r>
        <w:tab/>
        <w:t>Специальный докладчик Комиссии по правам человека по современным формам расизма, расовой дискриминации, ксенофобии и связанной с ними н</w:t>
      </w:r>
      <w:r>
        <w:t>е</w:t>
      </w:r>
      <w:r>
        <w:t>терпимости отметил, что в рамках системы образования Чешской Республики дети народности рома (70–80 процентов) обучаются в «специальных» школах, условия в которых ниже стандартов, принятых в обычных школах системы о</w:t>
      </w:r>
      <w:r>
        <w:t>б</w:t>
      </w:r>
      <w:r>
        <w:t>разования (E/CN.4/2000/16/Add.1, пункт 15). Какие меры принимает прав</w:t>
      </w:r>
      <w:r>
        <w:t>и</w:t>
      </w:r>
      <w:r>
        <w:t>тельство для ликвидации сегрегации или «параллельной системы образов</w:t>
      </w:r>
      <w:r>
        <w:t>а</w:t>
      </w:r>
      <w:r>
        <w:t>ния», упоминаемой Специальным докладчиком, в рамках своей системы обр</w:t>
      </w:r>
      <w:r>
        <w:t>а</w:t>
      </w:r>
      <w:r>
        <w:t>зования и какую выгоду получают от этих мер женщины и девочки народности рома?</w:t>
      </w:r>
    </w:p>
    <w:p w:rsidR="00000000" w:rsidRDefault="00000000">
      <w:pPr>
        <w:pStyle w:val="SingleTxt"/>
      </w:pPr>
      <w:r>
        <w:t>18.</w:t>
      </w:r>
      <w:r>
        <w:tab/>
        <w:t>Просьба также представить статистические данные о масштабах отсева девочек народности рома и о программах поддержки их дальнейшего образ</w:t>
      </w:r>
      <w:r>
        <w:t>о</w:t>
      </w:r>
      <w:r>
        <w:t>вания.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19.</w:t>
      </w:r>
      <w:r>
        <w:tab/>
        <w:t>В докладе отмечается, что в соответствии с поправкой к Закону о занят</w:t>
      </w:r>
      <w:r>
        <w:t>о</w:t>
      </w:r>
      <w:r>
        <w:t>сти и полномочиях органов власти Чешской Республики в области занятости и Трудовым кодексом предусмотрена «возможность осуществления так называ</w:t>
      </w:r>
      <w:r>
        <w:t>е</w:t>
      </w:r>
      <w:r>
        <w:t>мых позитивных действий в пользу лиц того пола, который недопредставлен в основных видах деятельности компаний, равно как и позитивных действий по устранению дискриминации, вызванной другими причинами» (пункт 18). В докладе также отмечается, что до сих пор наблюдается сопротивление внедр</w:t>
      </w:r>
      <w:r>
        <w:t>е</w:t>
      </w:r>
      <w:r>
        <w:t>нию любых форм позитивных действий и что более половины министерств не приняли соответствующих мер (пункт 158). Как правительство планирует пр</w:t>
      </w:r>
      <w:r>
        <w:t>е</w:t>
      </w:r>
      <w:r>
        <w:t>одолеть такое сопротивление в интересах обеспечения соблюдения пункта 1 статьи 4 Конвенции и общей рекомендации № 25 Ком</w:t>
      </w:r>
      <w:r>
        <w:t>и</w:t>
      </w:r>
      <w:r>
        <w:t>тета?</w:t>
      </w:r>
    </w:p>
    <w:p w:rsidR="00000000" w:rsidRDefault="00000000">
      <w:pPr>
        <w:pStyle w:val="SingleTxt"/>
      </w:pPr>
      <w:r>
        <w:t>20.</w:t>
      </w:r>
      <w:r>
        <w:tab/>
        <w:t>В своих предыдущих заключительных замечаниях Комитет выразил оз</w:t>
      </w:r>
      <w:r>
        <w:t>а</w:t>
      </w:r>
      <w:r>
        <w:t>боченность по поводу отсутствия инициированных женщинами судебных ра</w:t>
      </w:r>
      <w:r>
        <w:t>з</w:t>
      </w:r>
      <w:r>
        <w:t>бирательств в связи с проявлениями дискриминации в Чешской Республике. В докладе говорится, что, хотя в 1999–2002 годах велся учет случаев дискрим</w:t>
      </w:r>
      <w:r>
        <w:t>и</w:t>
      </w:r>
      <w:r>
        <w:t>нации в области занятости, ни одно из дел не было доведено до суда и, соо</w:t>
      </w:r>
      <w:r>
        <w:t>т</w:t>
      </w:r>
      <w:r>
        <w:t>ветственно, ни один из трудовых споров, связанных с дискриминацией по пр</w:t>
      </w:r>
      <w:r>
        <w:t>и</w:t>
      </w:r>
      <w:r>
        <w:t>знаку пола, не был разрешен в судебном порядке (пункт 62). В чем, по мнению правительства, состоят причины нежелания женщин прибегать к средствам правовой защиты и какие меры принимаются для того, чтобы обеспечить им возможности пользоваться такими сре</w:t>
      </w:r>
      <w:r>
        <w:t>д</w:t>
      </w:r>
      <w:r>
        <w:t xml:space="preserve">ствами? </w:t>
      </w:r>
    </w:p>
    <w:p w:rsidR="00000000" w:rsidRDefault="00000000">
      <w:pPr>
        <w:pStyle w:val="SingleTxt"/>
      </w:pPr>
      <w:r>
        <w:t>21.</w:t>
      </w:r>
      <w:r>
        <w:tab/>
        <w:t>В докладе отмечается, что в настоящее время разрабатывается новый тр</w:t>
      </w:r>
      <w:r>
        <w:t>у</w:t>
      </w:r>
      <w:r>
        <w:t>довой кодекс, в котором «будут предусмотрены условия, позволяющие сотру</w:t>
      </w:r>
      <w:r>
        <w:t>д</w:t>
      </w:r>
      <w:r>
        <w:t>никам, как мужчинам, так и женщинам, совмещать семейные и трудовые об</w:t>
      </w:r>
      <w:r>
        <w:t>я</w:t>
      </w:r>
      <w:r>
        <w:t>занности, в том числе с использованием нетрадиционных форм организации труда» (пункт 232). Просьба представить обновленную информацию о том, на каком этапе находится эта работа, а также любую дополнительную информ</w:t>
      </w:r>
      <w:r>
        <w:t>а</w:t>
      </w:r>
      <w:r>
        <w:t>цию о предпринимаемых правительством усилиях по обеспечению того, чтобы как в государственном, так и в частном секторах допускались гибкие формы организ</w:t>
      </w:r>
      <w:r>
        <w:t>а</w:t>
      </w:r>
      <w:r>
        <w:t>ции труда.</w:t>
      </w:r>
    </w:p>
    <w:p w:rsidR="00000000" w:rsidRDefault="00000000">
      <w:pPr>
        <w:pStyle w:val="SingleTxt"/>
      </w:pPr>
      <w:r>
        <w:t>22.</w:t>
      </w:r>
      <w:r>
        <w:tab/>
        <w:t>Какие меры принимаются для обеспечения уязвимым группам женщин, и особенно женщинам народности рома, дополнительных экономических во</w:t>
      </w:r>
      <w:r>
        <w:t>з</w:t>
      </w:r>
      <w:r>
        <w:t>можн</w:t>
      </w:r>
      <w:r>
        <w:t>о</w:t>
      </w:r>
      <w:r>
        <w:t>стей?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23.</w:t>
      </w:r>
      <w:r>
        <w:tab/>
        <w:t>В докладе упоминается Национальная программа государства-участника в области здравоохранения (пункты 252–254). Просьба указать, предусмотрено ли в рамках этой Программы проведение информационно-пропагандистских кампаний в целях поощрения дискуссий в рамках всех возрастных групп по т</w:t>
      </w:r>
      <w:r>
        <w:t>а</w:t>
      </w:r>
      <w:r>
        <w:t>ким вопросам, как заболевания, передаваемые половым путем, применение противозачаточных средств, насилие в отношении женщин и психические з</w:t>
      </w:r>
      <w:r>
        <w:t>а</w:t>
      </w:r>
      <w:r>
        <w:t>болевания. Если этот компонент отсутствует, просьба указать, каким образом обеспечивается повышение уровня информированности общественности по таким вопр</w:t>
      </w:r>
      <w:r>
        <w:t>о</w:t>
      </w:r>
      <w:r>
        <w:t>сам.</w:t>
      </w:r>
    </w:p>
    <w:p w:rsidR="00000000" w:rsidRDefault="00000000">
      <w:pPr>
        <w:pStyle w:val="SingleTxt"/>
      </w:pPr>
      <w:r>
        <w:t>24.</w:t>
      </w:r>
      <w:r>
        <w:tab/>
        <w:t>В докладе отмечаются также высокий уровень заболеваемости раком ма</w:t>
      </w:r>
      <w:r>
        <w:t>т</w:t>
      </w:r>
      <w:r>
        <w:t>ки (пункт 266), поскольку «лишь немногие женщины регулярно проходят пр</w:t>
      </w:r>
      <w:r>
        <w:t>о</w:t>
      </w:r>
      <w:r>
        <w:t>филактические обследования». Просьба указать, какие действия предусматр</w:t>
      </w:r>
      <w:r>
        <w:t>и</w:t>
      </w:r>
      <w:r>
        <w:t>ваются или планируются в целях поощрения женщин к тому, чтобы они в по</w:t>
      </w:r>
      <w:r>
        <w:t>л</w:t>
      </w:r>
      <w:r>
        <w:t>ной мере пользовались возможностями программ профилактики заболеваний.</w:t>
      </w:r>
    </w:p>
    <w:p w:rsidR="00000000" w:rsidRDefault="00000000">
      <w:pPr>
        <w:pStyle w:val="SingleTxt"/>
      </w:pPr>
      <w:r>
        <w:t>25.</w:t>
      </w:r>
      <w:r>
        <w:tab/>
        <w:t>В своих заключительных замечаниях по второму периодическому докладу Комитет выразил озабоченность в связи с масштабами потребления женщин</w:t>
      </w:r>
      <w:r>
        <w:t>а</w:t>
      </w:r>
      <w:r>
        <w:t>ми предписанных седативных средств и барбитуратов и просил представить дополнительную информацию по этому вопросу в третьем периодическом до</w:t>
      </w:r>
      <w:r>
        <w:t>к</w:t>
      </w:r>
      <w:r>
        <w:t>ладе правительства. Таблица 76 доклада свидетельствует о неуклонном росте масштабов потребления седативных средств и барбитуратов женщинами. Просьба сообщить, проводились ли какие-либо исследования с целью устано</w:t>
      </w:r>
      <w:r>
        <w:t>в</w:t>
      </w:r>
      <w:r>
        <w:t>ления причин такой тенденции и какие меры принимаются в настоящее время в целях профилактики подобного рода злоупотреблений и поиска альтернати</w:t>
      </w:r>
      <w:r>
        <w:t>в</w:t>
      </w:r>
      <w:r>
        <w:t>ных путей решения оказания помощи женщинам, в том числе сельским же</w:t>
      </w:r>
      <w:r>
        <w:t>н</w:t>
      </w:r>
      <w:r>
        <w:t>щинам и женщинам из числа меньшинств, которые сталкиваются с проблемами психологического/психического х</w:t>
      </w:r>
      <w:r>
        <w:t>а</w:t>
      </w:r>
      <w:r>
        <w:t>рактера.</w:t>
      </w:r>
    </w:p>
    <w:p w:rsidR="00000000" w:rsidRDefault="00000000">
      <w:pPr>
        <w:pStyle w:val="SingleTxt"/>
      </w:pPr>
      <w:r>
        <w:t>26.</w:t>
      </w:r>
      <w:r>
        <w:tab/>
        <w:t>В докладе отмечается, что в настоящее время разрабатывается проект з</w:t>
      </w:r>
      <w:r>
        <w:t>а</w:t>
      </w:r>
      <w:r>
        <w:t>кона о здравоохранении, который расширяет возможности применения стер</w:t>
      </w:r>
      <w:r>
        <w:t>и</w:t>
      </w:r>
      <w:r>
        <w:t>лизации не по медицинским показаниям (пункт 272). Просьба представить и</w:t>
      </w:r>
      <w:r>
        <w:t>н</w:t>
      </w:r>
      <w:r>
        <w:t>формацию о том, в какой стадии находится этот закон, и уточнить условия, п</w:t>
      </w:r>
      <w:r>
        <w:t>о</w:t>
      </w:r>
      <w:r>
        <w:t>зволяющие применять такую процед</w:t>
      </w:r>
      <w:r>
        <w:t>у</w:t>
      </w:r>
      <w:r>
        <w:t>ру.</w:t>
      </w:r>
    </w:p>
    <w:p w:rsidR="00000000" w:rsidRDefault="00000000">
      <w:pPr>
        <w:pStyle w:val="SingleTxt"/>
      </w:pPr>
      <w:r>
        <w:t>27.</w:t>
      </w:r>
      <w:r>
        <w:tab/>
        <w:t>В заключительной части доклада Уполномоченного Чешской Республики по правам человека от 23 декабря 2005 года отмечается, что «Омбудсмен убе</w:t>
      </w:r>
      <w:r>
        <w:t>ж</w:t>
      </w:r>
      <w:r>
        <w:t>ден в том, что в Чешской Республике существует проблема стерилизации, ос</w:t>
      </w:r>
      <w:r>
        <w:t>у</w:t>
      </w:r>
      <w:r>
        <w:t>ществляемой либо с неприемлемой мотивацией, либо незаконным путем, и что перед чешским обществом стоит задача решения этой проблемы». Просьба представить информацию о принимаемых или планируемых мерах, включая меры законодательного характера, в связи с этой проблемой, в том числе и</w:t>
      </w:r>
      <w:r>
        <w:t>н</w:t>
      </w:r>
      <w:r>
        <w:t>формацию о компенсациях жертвам принудительной стерилизации и преслед</w:t>
      </w:r>
      <w:r>
        <w:t>о</w:t>
      </w:r>
      <w:r>
        <w:t>вание в судебном порядке лиц, ответственных за такие злоупо</w:t>
      </w:r>
      <w:r>
        <w:t>т</w:t>
      </w:r>
      <w:r>
        <w:t>ребления.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 и женщины, принадлежащие к этническим меньшинствам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28.</w:t>
      </w:r>
      <w:r>
        <w:tab/>
        <w:t>В докладе говорится о предпринимаемых усилиях по укреплению экон</w:t>
      </w:r>
      <w:r>
        <w:t>о</w:t>
      </w:r>
      <w:r>
        <w:t>мического потенциала сельских женщин, учитывая «фактическое ухудшение их положения» (пункт 279). Просьба представить оценку результатов усилий, предпринятых министерством труда и социального обеспечения и министерс</w:t>
      </w:r>
      <w:r>
        <w:t>т</w:t>
      </w:r>
      <w:r>
        <w:t>вом сельского хозяйства совместно с различными организациями в целях укр</w:t>
      </w:r>
      <w:r>
        <w:t>е</w:t>
      </w:r>
      <w:r>
        <w:t>пления экономического потенциала женщин, проживающих в сельских общ</w:t>
      </w:r>
      <w:r>
        <w:t>и</w:t>
      </w:r>
      <w:r>
        <w:t>нах.</w:t>
      </w:r>
    </w:p>
    <w:p w:rsidR="00000000" w:rsidRDefault="00000000">
      <w:pPr>
        <w:pStyle w:val="SingleTxt"/>
      </w:pPr>
      <w:r>
        <w:t>29.</w:t>
      </w:r>
      <w:r>
        <w:tab/>
        <w:t>Какие программы осуществляются или планируются для решения пр</w:t>
      </w:r>
      <w:r>
        <w:t>о</w:t>
      </w:r>
      <w:r>
        <w:t>блемы отсутствия у женщин народности рома документов, необходимых для доступа к услугам, имеющим важное значение для реализации их основных гражданских, политических, социальных и экономических прав (свидетельства о рождении, удостоверения личн</w:t>
      </w:r>
      <w:r>
        <w:t>о</w:t>
      </w:r>
      <w:r>
        <w:t>сти, паспорта и т.д.)?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Равенство в браке и гражданское право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30.</w:t>
      </w:r>
      <w:r>
        <w:tab/>
        <w:t>Учитывая тот факт, что в Чешской Республике растет число разводов (пункт 285 и таблицы 78–84) и по</w:t>
      </w:r>
      <w:r>
        <w:noBreakHyphen/>
        <w:t>прежнему преобладает традиционная модель семьи (пункт 224), просьба сообщить, какую роль играет государство-участник в деле расширения экономических возможностей одиноких женщин, воспит</w:t>
      </w:r>
      <w:r>
        <w:t>ы</w:t>
      </w:r>
      <w:r>
        <w:t>вающих д</w:t>
      </w:r>
      <w:r>
        <w:t>е</w:t>
      </w:r>
      <w:r>
        <w:t>тей?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31.</w:t>
      </w:r>
      <w:r>
        <w:tab/>
        <w:t>Просьба представить информацию о принимаемых мерах по пропаганде и поощрению применения Факультативного протокола к Конве</w:t>
      </w:r>
      <w:r>
        <w:t>н</w:t>
      </w:r>
      <w:r>
        <w:t>ции.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NO&gt;&gt;N0625020R&lt;&lt;ODS JOB NO&gt;&gt;</w:t>
      </w:r>
    </w:p>
    <w:p w:rsidR="00000000" w:rsidRDefault="00000000">
      <w:pPr>
        <w:pStyle w:val="CommentText"/>
      </w:pPr>
      <w:r>
        <w:t>&lt;&lt;ODS DOC SYMBOL1&gt;&gt;CEDAW/C/CZE/Q/3&lt;&lt;ODS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06-25020 (R)    060306    070306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*0625020*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CEDAW/C/CZE/Q/3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CEDAW/C/CZE/Q/3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/C/CZE/Q/3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22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7/03/2006 10:13:20"/>
    <w:docVar w:name="DocCategory" w:val="Doc"/>
    <w:docVar w:name="DocType" w:val="Final"/>
    <w:docVar w:name="JobNo" w:val="0625020R"/>
    <w:docVar w:name="OandT" w:val=" "/>
    <w:docVar w:name="Symbol1" w:val="CEDAW/C/CZE/Q/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6</Pages>
  <Words>2228</Words>
  <Characters>12702</Characters>
  <Application>Microsoft Office Word</Application>
  <DocSecurity>4</DocSecurity>
  <Lines>105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15598</CharactersWithSpaces>
  <SharedDoc>false</SharedDoc>
  <HLinks>
    <vt:vector size="6" baseType="variant">
      <vt:variant>
        <vt:i4>4522087</vt:i4>
      </vt:variant>
      <vt:variant>
        <vt:i4>32070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Tatiana.Panichkina</dc:creator>
  <cp:keywords/>
  <dc:description/>
  <cp:lastModifiedBy>Lyubov.Kolyvagina</cp:lastModifiedBy>
  <cp:revision>5</cp:revision>
  <cp:lastPrinted>2006-03-07T20:42:00Z</cp:lastPrinted>
  <dcterms:created xsi:type="dcterms:W3CDTF">2006-03-07T20:36:00Z</dcterms:created>
  <dcterms:modified xsi:type="dcterms:W3CDTF">2006-03-07T20:55:00Z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0625020</vt:lpwstr>
  </property>
  <property fmtid="{D5CDD505-2E9C-101B-9397-08002B2CF9AE}" pid="3" name="Symbol1">
    <vt:lpwstr>CEDAW/C/CZE/Q/3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Kolyvagina</vt:lpwstr>
  </property>
</Properties>
</file>