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禁止酷刑委员会</w:t>
      </w:r>
    </w:p>
    <w:p w:rsidR="00000000" w:rsidRDefault="00000000">
      <w:pPr>
        <w:rPr>
          <w:rFonts w:hint="eastAsia"/>
        </w:rPr>
      </w:pPr>
      <w:r>
        <w:rPr>
          <w:rFonts w:hint="eastAsia"/>
        </w:rPr>
        <w:t>第三十八届会议</w:t>
      </w:r>
    </w:p>
    <w:p w:rsidR="00000000" w:rsidRDefault="00000000">
      <w:pPr>
        <w:spacing w:after="240"/>
        <w:rPr>
          <w:rFonts w:hint="eastAsia"/>
        </w:rPr>
      </w:pPr>
      <w:r>
        <w:rPr>
          <w:rFonts w:hint="eastAsia"/>
        </w:rPr>
        <w:t>2007</w:t>
      </w:r>
      <w:r>
        <w:rPr>
          <w:rFonts w:hint="eastAsia"/>
        </w:rPr>
        <w:t>年</w:t>
      </w:r>
      <w:r>
        <w:rPr>
          <w:rFonts w:hint="eastAsia"/>
        </w:rPr>
        <w:t>4</w:t>
      </w:r>
      <w:r>
        <w:rPr>
          <w:rFonts w:hint="eastAsia"/>
        </w:rPr>
        <w:t>月</w:t>
      </w:r>
      <w:r>
        <w:rPr>
          <w:rFonts w:hint="eastAsia"/>
        </w:rPr>
        <w:t>30</w:t>
      </w:r>
      <w:r>
        <w:rPr>
          <w:rFonts w:hint="eastAsia"/>
        </w:rPr>
        <w:t>日至</w:t>
      </w:r>
      <w:r>
        <w:rPr>
          <w:rFonts w:hint="eastAsia"/>
        </w:rPr>
        <w:t>5</w:t>
      </w:r>
      <w:r>
        <w:rPr>
          <w:rFonts w:hint="eastAsia"/>
        </w:rPr>
        <w:t>月</w:t>
      </w:r>
      <w:r>
        <w:rPr>
          <w:rFonts w:hint="eastAsia"/>
        </w:rPr>
        <w:t>18</w:t>
      </w:r>
      <w:r>
        <w:rPr>
          <w:rFonts w:hint="eastAsia"/>
        </w:rPr>
        <w:t>日，日内瓦</w:t>
      </w:r>
    </w:p>
    <w:p w:rsidR="00000000" w:rsidRDefault="00000000">
      <w:pPr>
        <w:pStyle w:val="Heading2"/>
        <w:rPr>
          <w:rFonts w:hint="eastAsia"/>
        </w:rPr>
      </w:pPr>
      <w:r>
        <w:rPr>
          <w:rFonts w:hint="eastAsia"/>
        </w:rPr>
        <w:t>审议缔约国根据《公约》第</w:t>
      </w:r>
      <w:r>
        <w:rPr>
          <w:rFonts w:hint="eastAsia"/>
        </w:rPr>
        <w:t>19</w:t>
      </w:r>
      <w:r>
        <w:rPr>
          <w:rFonts w:hint="eastAsia"/>
        </w:rPr>
        <w:t>条提交的报告</w:t>
      </w:r>
    </w:p>
    <w:p w:rsidR="00000000" w:rsidRDefault="00000000">
      <w:pPr>
        <w:pStyle w:val="Heading3"/>
        <w:rPr>
          <w:rFonts w:hint="eastAsia"/>
        </w:rPr>
      </w:pPr>
      <w:r>
        <w:rPr>
          <w:rFonts w:hint="eastAsia"/>
        </w:rPr>
        <w:t>禁止酷刑委员会的结论和建议</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日</w:t>
      </w:r>
      <w:r>
        <w:rPr>
          <w:rFonts w:ascii="Time New Roman" w:eastAsia="SimHei" w:hAnsi="Time New Roman" w:hint="eastAsia"/>
          <w:u w:val="none"/>
        </w:rPr>
        <w:t xml:space="preserve">  </w:t>
      </w:r>
      <w:r>
        <w:rPr>
          <w:rFonts w:ascii="Time New Roman" w:eastAsia="SimHei" w:hAnsi="Time New Roman" w:hint="eastAsia"/>
          <w:u w:val="none"/>
        </w:rPr>
        <w:t>本</w:t>
      </w:r>
    </w:p>
    <w:p w:rsidR="00000000" w:rsidRDefault="00000000">
      <w:pPr>
        <w:spacing w:after="240"/>
        <w:rPr>
          <w:rFonts w:hint="eastAsia"/>
        </w:rPr>
      </w:pPr>
      <w:r>
        <w:rPr>
          <w:rFonts w:hint="eastAsia"/>
        </w:rPr>
        <w:tab/>
        <w:t xml:space="preserve">1.  </w:t>
      </w:r>
      <w:r>
        <w:rPr>
          <w:rFonts w:hint="eastAsia"/>
        </w:rPr>
        <w:t>委员会在</w:t>
      </w:r>
      <w:r>
        <w:rPr>
          <w:rFonts w:hint="eastAsia"/>
        </w:rPr>
        <w:t>2007</w:t>
      </w:r>
      <w:r>
        <w:rPr>
          <w:rFonts w:hint="eastAsia"/>
        </w:rPr>
        <w:t>年</w:t>
      </w:r>
      <w:r>
        <w:rPr>
          <w:rFonts w:hint="eastAsia"/>
        </w:rPr>
        <w:t>5</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767</w:t>
      </w:r>
      <w:r>
        <w:rPr>
          <w:rFonts w:hint="eastAsia"/>
        </w:rPr>
        <w:t>次和</w:t>
      </w:r>
      <w:r>
        <w:rPr>
          <w:rFonts w:hint="eastAsia"/>
        </w:rPr>
        <w:t>769</w:t>
      </w:r>
      <w:r>
        <w:rPr>
          <w:rFonts w:hint="eastAsia"/>
        </w:rPr>
        <w:t>次会议</w:t>
      </w:r>
      <w:r>
        <w:rPr>
          <w:rFonts w:hint="eastAsia"/>
        </w:rPr>
        <w:t>(CAT/C/SR.767</w:t>
      </w:r>
      <w:r>
        <w:rPr>
          <w:rFonts w:hint="eastAsia"/>
        </w:rPr>
        <w:t>和</w:t>
      </w:r>
      <w:r>
        <w:rPr>
          <w:rFonts w:hint="eastAsia"/>
        </w:rPr>
        <w:t>CAT/C/SR.769)</w:t>
      </w:r>
      <w:r>
        <w:rPr>
          <w:rFonts w:hint="eastAsia"/>
        </w:rPr>
        <w:t>上审议了日本的初次报告</w:t>
      </w:r>
      <w:r>
        <w:rPr>
          <w:rFonts w:hint="eastAsia"/>
        </w:rPr>
        <w:t>(CAT/C/JPN/1)</w:t>
      </w:r>
      <w:r>
        <w:rPr>
          <w:rFonts w:hint="eastAsia"/>
        </w:rPr>
        <w:t>，并在</w:t>
      </w:r>
      <w:r>
        <w:rPr>
          <w:rFonts w:hint="eastAsia"/>
        </w:rPr>
        <w:t>2007</w:t>
      </w:r>
      <w:r>
        <w:rPr>
          <w:rFonts w:hint="eastAsia"/>
        </w:rPr>
        <w:t>年</w:t>
      </w:r>
      <w:r>
        <w:rPr>
          <w:rFonts w:hint="eastAsia"/>
        </w:rPr>
        <w:t>5</w:t>
      </w:r>
      <w:r>
        <w:rPr>
          <w:rFonts w:hint="eastAsia"/>
        </w:rPr>
        <w:t>月</w:t>
      </w:r>
      <w:r>
        <w:rPr>
          <w:rFonts w:hint="eastAsia"/>
        </w:rPr>
        <w:t>16</w:t>
      </w:r>
      <w:r>
        <w:rPr>
          <w:rFonts w:hint="eastAsia"/>
        </w:rPr>
        <w:t>日和</w:t>
      </w:r>
      <w:r>
        <w:rPr>
          <w:rFonts w:hint="eastAsia"/>
        </w:rPr>
        <w:t>18</w:t>
      </w:r>
      <w:r>
        <w:rPr>
          <w:rFonts w:hint="eastAsia"/>
        </w:rPr>
        <w:t>日举行的第</w:t>
      </w:r>
      <w:r>
        <w:rPr>
          <w:rFonts w:hint="eastAsia"/>
        </w:rPr>
        <w:t>778</w:t>
      </w:r>
      <w:r>
        <w:rPr>
          <w:rFonts w:hint="eastAsia"/>
        </w:rPr>
        <w:t>次和</w:t>
      </w:r>
      <w:r>
        <w:rPr>
          <w:rFonts w:hint="eastAsia"/>
        </w:rPr>
        <w:t>779</w:t>
      </w:r>
      <w:r>
        <w:rPr>
          <w:rFonts w:hint="eastAsia"/>
        </w:rPr>
        <w:t>次会议</w:t>
      </w:r>
      <w:r>
        <w:rPr>
          <w:rFonts w:hint="eastAsia"/>
        </w:rPr>
        <w:t>(CAT/C/SR.778</w:t>
      </w:r>
      <w:r>
        <w:rPr>
          <w:rFonts w:hint="eastAsia"/>
        </w:rPr>
        <w:t>和</w:t>
      </w:r>
      <w:r>
        <w:rPr>
          <w:rFonts w:hint="eastAsia"/>
        </w:rPr>
        <w:t>CAT/C/SR.779)</w:t>
      </w:r>
      <w:r>
        <w:rPr>
          <w:rFonts w:hint="eastAsia"/>
        </w:rPr>
        <w:t>上通过了以下结论和建议。</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日本提交初次报告，以及有机会开始建设性的对话。特别是，委员会赞赏地注意到该代表团对委员会口头提出的许多问题所做的澄清和说明。委员会还欢迎该政府派出代表各个部门的庞大代表团，显示了该缔约国对履行其《公约》规定的义务的重视。委员会还欢迎在讨论报告期间非政府组织出席会议。</w:t>
      </w:r>
    </w:p>
    <w:p w:rsidR="00000000" w:rsidRDefault="00000000">
      <w:pPr>
        <w:spacing w:after="320"/>
        <w:rPr>
          <w:rFonts w:hint="eastAsia"/>
        </w:rPr>
      </w:pPr>
      <w:r>
        <w:br w:type="page"/>
      </w:r>
      <w:r>
        <w:rPr>
          <w:rFonts w:hint="eastAsia"/>
        </w:rPr>
        <w:tab/>
        <w:t xml:space="preserve">3.  </w:t>
      </w:r>
      <w:r>
        <w:rPr>
          <w:rFonts w:hint="eastAsia"/>
        </w:rPr>
        <w:t>然而，委员会感到遗憾的是本应</w:t>
      </w:r>
      <w:r>
        <w:rPr>
          <w:rFonts w:hint="eastAsia"/>
        </w:rPr>
        <w:t>2000</w:t>
      </w:r>
      <w:r>
        <w:rPr>
          <w:rFonts w:hint="eastAsia"/>
        </w:rPr>
        <w:t>年</w:t>
      </w:r>
      <w:r>
        <w:rPr>
          <w:rFonts w:hint="eastAsia"/>
        </w:rPr>
        <w:t>7</w:t>
      </w:r>
      <w:r>
        <w:rPr>
          <w:rFonts w:hint="eastAsia"/>
        </w:rPr>
        <w:t>月到期的报告迟了五年才提交。委员会还注意到该份报告并不完全符合委员会关于编写初次报告的准则，因为其中缺乏关于《公约》的各项条款是如何在缔约国付诸实施的详尽资料。初次报告主要是限于法令条款而不是对《公约》规定的权利的实施情况进行有例子有数据的分析。</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委员会欢迎该缔约国已批准了多数国际人权公约。</w:t>
      </w:r>
    </w:p>
    <w:p w:rsidR="00000000" w:rsidRDefault="00000000">
      <w:pPr>
        <w:rPr>
          <w:rFonts w:hint="eastAsia"/>
        </w:rPr>
      </w:pPr>
      <w:r>
        <w:rPr>
          <w:rFonts w:hint="eastAsia"/>
        </w:rPr>
        <w:tab/>
        <w:t xml:space="preserve">5.  </w:t>
      </w:r>
      <w:r>
        <w:rPr>
          <w:rFonts w:hint="eastAsia"/>
        </w:rPr>
        <w:t>委员会还欢迎通过了：</w:t>
      </w:r>
    </w:p>
    <w:p w:rsidR="00000000" w:rsidRDefault="00000000">
      <w:pPr>
        <w:numPr>
          <w:ilvl w:val="0"/>
          <w:numId w:val="107"/>
        </w:numPr>
        <w:rPr>
          <w:rFonts w:hint="eastAsia"/>
        </w:rPr>
      </w:pPr>
      <w:r>
        <w:rPr>
          <w:rFonts w:hint="eastAsia"/>
        </w:rPr>
        <w:t>部分修改移民控制和难民确认法</w:t>
      </w:r>
      <w:r>
        <w:rPr>
          <w:rFonts w:hint="eastAsia"/>
        </w:rPr>
        <w:t>(2004</w:t>
      </w:r>
      <w:r>
        <w:rPr>
          <w:rFonts w:hint="eastAsia"/>
        </w:rPr>
        <w:t>年第</w:t>
      </w:r>
      <w:r>
        <w:rPr>
          <w:rFonts w:hint="eastAsia"/>
        </w:rPr>
        <w:t>73</w:t>
      </w:r>
      <w:r>
        <w:rPr>
          <w:rFonts w:hint="eastAsia"/>
        </w:rPr>
        <w:t>号法</w:t>
      </w:r>
      <w:r>
        <w:rPr>
          <w:rFonts w:hint="eastAsia"/>
        </w:rPr>
        <w:t>)</w:t>
      </w:r>
    </w:p>
    <w:p w:rsidR="00000000" w:rsidRDefault="00000000">
      <w:pPr>
        <w:numPr>
          <w:ilvl w:val="0"/>
          <w:numId w:val="107"/>
        </w:numPr>
        <w:rPr>
          <w:rFonts w:hint="eastAsia"/>
        </w:rPr>
      </w:pPr>
      <w:r>
        <w:rPr>
          <w:rFonts w:hint="eastAsia"/>
        </w:rPr>
        <w:t>2005</w:t>
      </w:r>
      <w:r>
        <w:rPr>
          <w:rFonts w:hint="eastAsia"/>
        </w:rPr>
        <w:t>年</w:t>
      </w:r>
      <w:r>
        <w:rPr>
          <w:rFonts w:hint="eastAsia"/>
        </w:rPr>
        <w:t>5</w:t>
      </w:r>
      <w:r>
        <w:rPr>
          <w:rFonts w:hint="eastAsia"/>
        </w:rPr>
        <w:t>月</w:t>
      </w:r>
      <w:r>
        <w:rPr>
          <w:rFonts w:hint="eastAsia"/>
        </w:rPr>
        <w:t>24</w:t>
      </w:r>
      <w:r>
        <w:rPr>
          <w:rFonts w:hint="eastAsia"/>
        </w:rPr>
        <w:t>日生效并于</w:t>
      </w:r>
      <w:r>
        <w:rPr>
          <w:rFonts w:hint="eastAsia"/>
        </w:rPr>
        <w:t>2006</w:t>
      </w:r>
      <w:r>
        <w:rPr>
          <w:rFonts w:hint="eastAsia"/>
        </w:rPr>
        <w:t>年</w:t>
      </w:r>
      <w:r>
        <w:rPr>
          <w:rFonts w:hint="eastAsia"/>
        </w:rPr>
        <w:t>6</w:t>
      </w:r>
      <w:r>
        <w:rPr>
          <w:rFonts w:hint="eastAsia"/>
        </w:rPr>
        <w:t>月</w:t>
      </w:r>
      <w:r>
        <w:rPr>
          <w:rFonts w:hint="eastAsia"/>
        </w:rPr>
        <w:t>2</w:t>
      </w:r>
      <w:r>
        <w:rPr>
          <w:rFonts w:hint="eastAsia"/>
        </w:rPr>
        <w:t>日修订的刑事和拘留设施以及罪犯待遇法令</w:t>
      </w:r>
    </w:p>
    <w:p w:rsidR="00000000" w:rsidRDefault="00000000">
      <w:pPr>
        <w:rPr>
          <w:rFonts w:hint="eastAsia"/>
        </w:rPr>
      </w:pPr>
      <w:r>
        <w:rPr>
          <w:rFonts w:hint="eastAsia"/>
        </w:rPr>
        <w:tab/>
        <w:t xml:space="preserve">6.  </w:t>
      </w:r>
      <w:r>
        <w:rPr>
          <w:rFonts w:hint="eastAsia"/>
        </w:rPr>
        <w:t>委员会注意到为改进对拘留设施的监督和防止再次发生暴力行为已建立了新的机制，例如刑事机构视察员委员会以及刑事机关犯人投诉审查和调查小组。此外，委员会欢迎已宣布自</w:t>
      </w:r>
      <w:r>
        <w:rPr>
          <w:rFonts w:hint="eastAsia"/>
        </w:rPr>
        <w:t>2007</w:t>
      </w:r>
      <w:r>
        <w:rPr>
          <w:rFonts w:hint="eastAsia"/>
        </w:rPr>
        <w:t>年</w:t>
      </w:r>
      <w:r>
        <w:rPr>
          <w:rFonts w:hint="eastAsia"/>
        </w:rPr>
        <w:t>6</w:t>
      </w:r>
      <w:r>
        <w:rPr>
          <w:rFonts w:hint="eastAsia"/>
        </w:rPr>
        <w:t>月起设立警方拘留所视察员委员会。</w:t>
      </w:r>
    </w:p>
    <w:p w:rsidR="00000000" w:rsidRDefault="00000000">
      <w:pPr>
        <w:rPr>
          <w:rFonts w:hint="eastAsia"/>
        </w:rPr>
      </w:pPr>
      <w:r>
        <w:rPr>
          <w:rFonts w:hint="eastAsia"/>
        </w:rPr>
        <w:tab/>
        <w:t xml:space="preserve">7.  </w:t>
      </w:r>
      <w:r>
        <w:rPr>
          <w:rFonts w:hint="eastAsia"/>
        </w:rPr>
        <w:t>委员会欢迎教化局关于刑事机关工作人员培训教材和实践方面的活动，其中现在已包括人权标准以及行为科学和心理学。</w:t>
      </w:r>
    </w:p>
    <w:p w:rsidR="00000000" w:rsidRDefault="00000000">
      <w:pPr>
        <w:rPr>
          <w:rFonts w:hint="eastAsia"/>
        </w:rPr>
      </w:pPr>
      <w:r>
        <w:rPr>
          <w:rFonts w:hint="eastAsia"/>
        </w:rPr>
        <w:tab/>
        <w:t xml:space="preserve">8.  </w:t>
      </w:r>
      <w:r>
        <w:rPr>
          <w:rFonts w:hint="eastAsia"/>
        </w:rPr>
        <w:t>委员会还欢迎该缔约国采取行动打击拐卖，特别是</w:t>
      </w:r>
      <w:r>
        <w:rPr>
          <w:rFonts w:hint="eastAsia"/>
        </w:rPr>
        <w:t>2004</w:t>
      </w:r>
      <w:r>
        <w:rPr>
          <w:rFonts w:hint="eastAsia"/>
        </w:rPr>
        <w:t>年</w:t>
      </w:r>
      <w:r>
        <w:rPr>
          <w:rFonts w:hint="eastAsia"/>
        </w:rPr>
        <w:t>12</w:t>
      </w:r>
      <w:r>
        <w:rPr>
          <w:rFonts w:hint="eastAsia"/>
        </w:rPr>
        <w:t>月通过了国家行动计划打击拐卖人口，以及修订了相关的法律和刑法及移民控制和难民确认法令中的相关规定。</w:t>
      </w:r>
    </w:p>
    <w:p w:rsidR="00000000" w:rsidRDefault="00000000">
      <w:pPr>
        <w:spacing w:after="240"/>
        <w:rPr>
          <w:rFonts w:hint="eastAsia"/>
        </w:rPr>
      </w:pPr>
      <w:r>
        <w:rPr>
          <w:rFonts w:hint="eastAsia"/>
        </w:rPr>
        <w:tab/>
        <w:t xml:space="preserve">9.  </w:t>
      </w:r>
      <w:r>
        <w:rPr>
          <w:rFonts w:hint="eastAsia"/>
        </w:rPr>
        <w:t>委员会还欢迎该缔约国在编写报告的框架范围内与民间社会进行了磋商。</w:t>
      </w:r>
    </w:p>
    <w:p w:rsidR="00000000" w:rsidRDefault="00000000">
      <w:pPr>
        <w:pStyle w:val="Heading3"/>
        <w:rPr>
          <w:rFonts w:hint="eastAsia"/>
        </w:rPr>
      </w:pPr>
      <w:r>
        <w:rPr>
          <w:rFonts w:hint="eastAsia"/>
          <w:u w:val="none"/>
        </w:rPr>
        <w:t xml:space="preserve">C.  </w:t>
      </w:r>
      <w:r>
        <w:rPr>
          <w:rFonts w:hint="eastAsia"/>
        </w:rPr>
        <w:t>主要关切问题和建议</w:t>
      </w:r>
    </w:p>
    <w:p w:rsidR="00000000" w:rsidRDefault="00000000">
      <w:pPr>
        <w:pStyle w:val="Heading4"/>
        <w:rPr>
          <w:rFonts w:hint="eastAsia"/>
        </w:rPr>
      </w:pPr>
      <w:r>
        <w:rPr>
          <w:rFonts w:hint="eastAsia"/>
        </w:rPr>
        <w:t>酷刑的定义</w:t>
      </w:r>
    </w:p>
    <w:p w:rsidR="00000000" w:rsidRDefault="00000000">
      <w:pPr>
        <w:rPr>
          <w:rFonts w:hint="eastAsia"/>
        </w:rPr>
      </w:pPr>
      <w:r>
        <w:rPr>
          <w:rFonts w:hint="eastAsia"/>
        </w:rPr>
        <w:tab/>
        <w:t xml:space="preserve">10.  </w:t>
      </w:r>
      <w:r>
        <w:rPr>
          <w:rFonts w:hint="eastAsia"/>
        </w:rPr>
        <w:t>尽管该缔约国坚称，在《公约》第</w:t>
      </w:r>
      <w:r>
        <w:rPr>
          <w:rFonts w:hint="eastAsia"/>
        </w:rPr>
        <w:t>1</w:t>
      </w:r>
      <w:r>
        <w:rPr>
          <w:rFonts w:hint="eastAsia"/>
        </w:rPr>
        <w:t>条的含义内可被称为“酷刑”的所有行为根据日本刑法都是应被惩罚的罪行，但委员会关切地注意到《公约》第</w:t>
      </w:r>
      <w:r>
        <w:rPr>
          <w:rFonts w:hint="eastAsia"/>
        </w:rPr>
        <w:t>1</w:t>
      </w:r>
      <w:r>
        <w:rPr>
          <w:rFonts w:hint="eastAsia"/>
        </w:rPr>
        <w:t>条所规定的酷刑的定义仍然没有被纳入该缔约国的刑法中。特别是，委员会关注到按照《公约》定义所规定的“精神酷刑”在刑法第</w:t>
      </w:r>
      <w:r>
        <w:rPr>
          <w:rFonts w:hint="eastAsia"/>
        </w:rPr>
        <w:t>195</w:t>
      </w:r>
      <w:r>
        <w:rPr>
          <w:rFonts w:hint="eastAsia"/>
        </w:rPr>
        <w:t>和</w:t>
      </w:r>
      <w:r>
        <w:rPr>
          <w:rFonts w:hint="eastAsia"/>
        </w:rPr>
        <w:t>196</w:t>
      </w:r>
      <w:r>
        <w:rPr>
          <w:rFonts w:hint="eastAsia"/>
        </w:rPr>
        <w:t>条中没有明确的界定，并且对于相关的行为，例如恫吓，的惩罚太轻。此外，委员会关切的是，日本的立法并不包括所有类别的政府官员、以官方身份行事的个人、或在政府官员或其他以官方身份行事的人的唆使、同意或默认下行事的个人，例如自卫队的成员和移民局官员。</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该缔约国应在国内法中纳入《公约》第</w:t>
      </w:r>
      <w:r>
        <w:rPr>
          <w:rFonts w:ascii="Time New Roman" w:eastAsia="SimHei" w:hAnsi="Time New Roman" w:hint="eastAsia"/>
          <w:b/>
        </w:rPr>
        <w:t>1</w:t>
      </w:r>
      <w:r>
        <w:rPr>
          <w:rFonts w:ascii="Time New Roman" w:eastAsia="SimHei" w:hAnsi="Time New Roman" w:hint="eastAsia"/>
        </w:rPr>
        <w:t>条中关于酷刑的定义，范围应包括使酷刑构成一种应予适当惩罚的具体罪行的所有方面。</w:t>
      </w:r>
    </w:p>
    <w:p w:rsidR="00000000" w:rsidRDefault="00000000">
      <w:pPr>
        <w:pStyle w:val="Heading4"/>
        <w:rPr>
          <w:rFonts w:hint="eastAsia"/>
        </w:rPr>
      </w:pPr>
      <w:r>
        <w:rPr>
          <w:rFonts w:hint="eastAsia"/>
        </w:rPr>
        <w:t>《公约》在国内的适用性</w:t>
      </w:r>
    </w:p>
    <w:p w:rsidR="00000000" w:rsidRDefault="00000000">
      <w:pPr>
        <w:rPr>
          <w:rFonts w:hint="eastAsia"/>
        </w:rPr>
      </w:pPr>
      <w:r>
        <w:rPr>
          <w:rFonts w:hint="eastAsia"/>
        </w:rPr>
        <w:tab/>
        <w:t xml:space="preserve">11.  </w:t>
      </w:r>
      <w:r>
        <w:rPr>
          <w:rFonts w:hint="eastAsia"/>
        </w:rPr>
        <w:t>委员会对于没有提供资料说明《公约》的直接适用性表示遗憾，特别是国内法院以及战时适用《公约》的任何例子。</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该缔约国应向委员会提供关于采取措施以确保法院直接适用《公约》以及这方面的例子的资料。该缔约国应提供关于《公约》在战时适用的资料。</w:t>
      </w:r>
    </w:p>
    <w:p w:rsidR="00000000" w:rsidRDefault="00000000">
      <w:pPr>
        <w:pStyle w:val="Heading4"/>
        <w:rPr>
          <w:rFonts w:hint="eastAsia"/>
        </w:rPr>
      </w:pPr>
      <w:r>
        <w:rPr>
          <w:rFonts w:hint="eastAsia"/>
        </w:rPr>
        <w:t>时</w:t>
      </w:r>
      <w:r>
        <w:rPr>
          <w:rFonts w:hint="eastAsia"/>
        </w:rPr>
        <w:t xml:space="preserve">  </w:t>
      </w:r>
      <w:r>
        <w:rPr>
          <w:rFonts w:hint="eastAsia"/>
        </w:rPr>
        <w:t>效</w:t>
      </w:r>
    </w:p>
    <w:p w:rsidR="00000000" w:rsidRDefault="00000000">
      <w:pPr>
        <w:rPr>
          <w:rFonts w:hint="eastAsia"/>
        </w:rPr>
      </w:pPr>
      <w:r>
        <w:rPr>
          <w:rFonts w:hint="eastAsia"/>
        </w:rPr>
        <w:tab/>
        <w:t xml:space="preserve">12.  </w:t>
      </w:r>
      <w:r>
        <w:rPr>
          <w:rFonts w:hint="eastAsia"/>
        </w:rPr>
        <w:t>委员会关切地注意到对于相当于酷刑或虐待的行为规定了时效。委员会关切的是，相当于酷刑和虐待行为的时效会妨碍对这些严重罪行的调查、起诉和惩罚。特别是，委员会感到遗憾的是，以时效相关的理由驳回了第二次世界大战期间军人性奴役受害者，即所谓的“慰安妇”提出的诉状。</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审查其关于时效的规则和规定并使其完全符合《公约》所规定的义务，以便相当于酷刑和虐待的行为，包括试图行使酷刑和任何个人的构成酷刑同谋或参与酷刑的行为，都能得到调查、起诉和惩罚，不受时间限制。</w:t>
      </w:r>
    </w:p>
    <w:p w:rsidR="00000000" w:rsidRDefault="00000000">
      <w:pPr>
        <w:pStyle w:val="Heading4"/>
        <w:rPr>
          <w:rFonts w:hint="eastAsia"/>
        </w:rPr>
      </w:pPr>
      <w:r>
        <w:rPr>
          <w:rFonts w:hint="eastAsia"/>
        </w:rPr>
        <w:t>司法独立</w:t>
      </w:r>
    </w:p>
    <w:p w:rsidR="00000000" w:rsidRDefault="00000000">
      <w:pPr>
        <w:rPr>
          <w:rFonts w:hint="eastAsia"/>
        </w:rPr>
      </w:pPr>
      <w:r>
        <w:rPr>
          <w:rFonts w:hint="eastAsia"/>
        </w:rPr>
        <w:tab/>
        <w:t xml:space="preserve">13.  </w:t>
      </w:r>
      <w:r>
        <w:rPr>
          <w:rFonts w:hint="eastAsia"/>
        </w:rPr>
        <w:t>委员会对于司法独立程度不够表示关切，特别是法官的任期和缺乏某种必要的安全保障。</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该缔约国应采取一切必要措施加强司法独立性，特别是确保法官任期的安全性。</w:t>
      </w:r>
    </w:p>
    <w:p w:rsidR="00000000" w:rsidRDefault="00000000">
      <w:pPr>
        <w:pStyle w:val="Heading4"/>
        <w:rPr>
          <w:rFonts w:hint="eastAsia"/>
        </w:rPr>
      </w:pPr>
      <w:r>
        <w:rPr>
          <w:rFonts w:hint="eastAsia"/>
        </w:rPr>
        <w:t>不驱回</w:t>
      </w:r>
    </w:p>
    <w:p w:rsidR="00000000" w:rsidRDefault="00000000">
      <w:pPr>
        <w:rPr>
          <w:rFonts w:hint="eastAsia"/>
        </w:rPr>
      </w:pPr>
      <w:r>
        <w:rPr>
          <w:rFonts w:hint="eastAsia"/>
        </w:rPr>
        <w:tab/>
        <w:t xml:space="preserve">14.  </w:t>
      </w:r>
      <w:r>
        <w:rPr>
          <w:rFonts w:hint="eastAsia"/>
        </w:rPr>
        <w:t>委员会对于缔约国的国内法中某些条款以及惯例不符合《公约》第</w:t>
      </w:r>
      <w:r>
        <w:rPr>
          <w:rFonts w:hint="eastAsia"/>
        </w:rPr>
        <w:t>3</w:t>
      </w:r>
      <w:r>
        <w:rPr>
          <w:rFonts w:hint="eastAsia"/>
        </w:rPr>
        <w:t>条表示关切，特别是：</w:t>
      </w:r>
    </w:p>
    <w:p w:rsidR="00000000" w:rsidRDefault="00000000">
      <w:pPr>
        <w:numPr>
          <w:ilvl w:val="0"/>
          <w:numId w:val="108"/>
        </w:numPr>
        <w:rPr>
          <w:rFonts w:hint="eastAsia"/>
        </w:rPr>
      </w:pPr>
      <w:r>
        <w:rPr>
          <w:rFonts w:hint="eastAsia"/>
        </w:rPr>
        <w:t>2006</w:t>
      </w:r>
      <w:r>
        <w:rPr>
          <w:rFonts w:hint="eastAsia"/>
        </w:rPr>
        <w:t>年移民控制和难民确认法令没有明确禁止向存在酷刑风险的国家遣返；而且，审查当局并不系统地调查第</w:t>
      </w:r>
      <w:r>
        <w:rPr>
          <w:rFonts w:hint="eastAsia"/>
        </w:rPr>
        <w:t>3</w:t>
      </w:r>
      <w:r>
        <w:rPr>
          <w:rFonts w:hint="eastAsia"/>
        </w:rPr>
        <w:t>条的适用性；</w:t>
      </w:r>
    </w:p>
    <w:p w:rsidR="00000000" w:rsidRDefault="00000000">
      <w:pPr>
        <w:numPr>
          <w:ilvl w:val="0"/>
          <w:numId w:val="108"/>
        </w:numPr>
        <w:rPr>
          <w:rFonts w:hint="eastAsia"/>
        </w:rPr>
      </w:pPr>
      <w:r>
        <w:rPr>
          <w:rFonts w:hint="eastAsia"/>
        </w:rPr>
        <w:t>没有独立的机关审查难民确认申请；</w:t>
      </w:r>
    </w:p>
    <w:p w:rsidR="00000000" w:rsidRDefault="00000000">
      <w:pPr>
        <w:numPr>
          <w:ilvl w:val="0"/>
          <w:numId w:val="108"/>
        </w:numPr>
        <w:rPr>
          <w:rFonts w:hint="eastAsia"/>
        </w:rPr>
      </w:pPr>
      <w:r>
        <w:rPr>
          <w:rFonts w:hint="eastAsia"/>
        </w:rPr>
        <w:t>防止着陆拘留设施和移民拘留中心的条件有许多关于暴力、在驱逐期间非法使用限制刑具、虐待、性骚扰、没有适当的医疗条件的指控。特别是，委员会担心的是，迄今为止在这类拘留中心中只有一例被承认为虐待。</w:t>
      </w:r>
    </w:p>
    <w:p w:rsidR="00000000" w:rsidRDefault="00000000">
      <w:pPr>
        <w:numPr>
          <w:ilvl w:val="0"/>
          <w:numId w:val="108"/>
        </w:numPr>
        <w:rPr>
          <w:rFonts w:hint="eastAsia"/>
        </w:rPr>
      </w:pPr>
      <w:r>
        <w:rPr>
          <w:rFonts w:hint="eastAsia"/>
        </w:rPr>
        <w:t>对于移民拘留中心和防止着陆设施没有独立的监督机制，特别是没有一个独立的机构可以接受被拘留人关于移民局工作人员施行暴力指控的投诉。委员会还对于没有公开宣布关于任命第三方难民裁决顾问的条件表示关切；</w:t>
      </w:r>
    </w:p>
    <w:p w:rsidR="00000000" w:rsidRDefault="00000000">
      <w:pPr>
        <w:numPr>
          <w:ilvl w:val="0"/>
          <w:numId w:val="108"/>
        </w:numPr>
        <w:rPr>
          <w:rFonts w:hint="eastAsia"/>
        </w:rPr>
      </w:pPr>
      <w:r>
        <w:rPr>
          <w:rFonts w:hint="eastAsia"/>
        </w:rPr>
        <w:t>鉴于司法部不允许难民确认申请者在申请的第一阶段选择法律代表以及政府的法律援助事实上只限于非居民，因此，对于审查移民官员的决定缺乏一种独立的机构；</w:t>
      </w:r>
    </w:p>
    <w:p w:rsidR="00000000" w:rsidRDefault="00000000">
      <w:pPr>
        <w:numPr>
          <w:ilvl w:val="0"/>
          <w:numId w:val="108"/>
        </w:numPr>
        <w:rPr>
          <w:rFonts w:hint="eastAsia"/>
        </w:rPr>
      </w:pPr>
      <w:r>
        <w:rPr>
          <w:rFonts w:hint="eastAsia"/>
        </w:rPr>
        <w:t>没有足够的保证让所有寻求庇护者获得司法审查，并有指控说在行政程序结束后立即就实行驱逐；</w:t>
      </w:r>
    </w:p>
    <w:p w:rsidR="00000000" w:rsidRDefault="00000000">
      <w:pPr>
        <w:numPr>
          <w:ilvl w:val="0"/>
          <w:numId w:val="108"/>
        </w:numPr>
        <w:rPr>
          <w:rFonts w:hint="eastAsia"/>
        </w:rPr>
      </w:pPr>
      <w:r>
        <w:rPr>
          <w:rFonts w:hint="eastAsia"/>
        </w:rPr>
        <w:t>在拒绝庇护申请和驱逐之间庇护寻求者在拘留所的时间过长，特别是关于无限期和长期拘留的案子的报导；</w:t>
      </w:r>
    </w:p>
    <w:p w:rsidR="00000000" w:rsidRDefault="00000000">
      <w:pPr>
        <w:numPr>
          <w:ilvl w:val="0"/>
          <w:numId w:val="108"/>
        </w:numPr>
        <w:rPr>
          <w:rFonts w:hint="eastAsia"/>
        </w:rPr>
      </w:pPr>
      <w:r>
        <w:rPr>
          <w:rFonts w:hint="eastAsia"/>
        </w:rPr>
        <w:t>修改后的</w:t>
      </w:r>
      <w:r>
        <w:rPr>
          <w:rFonts w:hint="eastAsia"/>
        </w:rPr>
        <w:t>2006</w:t>
      </w:r>
      <w:r>
        <w:rPr>
          <w:rFonts w:hint="eastAsia"/>
        </w:rPr>
        <w:t>年移民法中所采用的临时居留制度的严格性和有限影响。</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该缔约国应确保与移民拘留和驱逐相关的所有措施和做法都完全符合《公约》第</w:t>
      </w:r>
      <w:r>
        <w:rPr>
          <w:rFonts w:ascii="Time New Roman" w:eastAsia="SimHei" w:hAnsi="Time New Roman" w:hint="eastAsia"/>
          <w:b/>
        </w:rPr>
        <w:t>3</w:t>
      </w:r>
      <w:r>
        <w:rPr>
          <w:rFonts w:ascii="Time New Roman" w:eastAsia="SimHei" w:hAnsi="Time New Roman" w:hint="eastAsia"/>
        </w:rPr>
        <w:t>条。特别是，该缔约国应明确禁止向有足够理由相信要被遣返的个人会有酷刑危险的国家遣返，并应设立一个独立的机构审查庇护申请。该缔约国应确保庇护申请和遣返审理要有应有的过程，并应立即设立一个独立的当局审查关于在移民拘留设施中的待遇的投诉。该缔约国应确定等待遣返人员的拘留时间限度，特别是为弱势群体，并公布关于在发出书面驱逐令之后拘留要求的信息。</w:t>
      </w:r>
    </w:p>
    <w:p w:rsidR="00000000" w:rsidRDefault="00000000">
      <w:pPr>
        <w:pStyle w:val="Heading4"/>
        <w:rPr>
          <w:rFonts w:hint="eastAsia"/>
        </w:rPr>
      </w:pPr>
      <w:r>
        <w:t>Daiyo Kangoku</w:t>
      </w:r>
      <w:r>
        <w:rPr>
          <w:rFonts w:hint="eastAsia"/>
        </w:rPr>
        <w:t>(</w:t>
      </w:r>
      <w:r>
        <w:rPr>
          <w:rFonts w:hint="eastAsia"/>
        </w:rPr>
        <w:t>替代监狱制度中的拘留</w:t>
      </w:r>
      <w:r>
        <w:rPr>
          <w:rFonts w:hint="eastAsia"/>
        </w:rPr>
        <w:t>)</w:t>
      </w:r>
    </w:p>
    <w:p w:rsidR="00000000" w:rsidRDefault="00000000">
      <w:pPr>
        <w:rPr>
          <w:rFonts w:hint="eastAsia"/>
        </w:rPr>
      </w:pPr>
      <w:r>
        <w:rPr>
          <w:rFonts w:hint="eastAsia"/>
        </w:rPr>
        <w:tab/>
        <w:t xml:space="preserve">15.  </w:t>
      </w:r>
      <w:r>
        <w:rPr>
          <w:rFonts w:hint="eastAsia"/>
        </w:rPr>
        <w:t>委员会对于普遍系统的利用</w:t>
      </w:r>
      <w:r>
        <w:t>Daiyo Kangoku</w:t>
      </w:r>
      <w:r>
        <w:rPr>
          <w:rFonts w:hint="eastAsia"/>
        </w:rPr>
        <w:t>替代监狱制度长期拘留被逮捕的人员，甚至在他们出庭以后也这么做，并且一直关到定罪，深表关切。这种做法，加上对被拘留者的拘留和审讯缺乏足够的程序性保证，增加了对其权利的侵犯的可能性，并导致实际上没有尊重假定无罪的原则、沉默的权利和辩护的权利。特别是，委员会严重关切：</w:t>
      </w:r>
    </w:p>
    <w:p w:rsidR="00000000" w:rsidRDefault="00000000">
      <w:pPr>
        <w:numPr>
          <w:ilvl w:val="0"/>
          <w:numId w:val="109"/>
        </w:numPr>
        <w:rPr>
          <w:rFonts w:hint="eastAsia"/>
        </w:rPr>
      </w:pPr>
      <w:r>
        <w:rPr>
          <w:rFonts w:hint="eastAsia"/>
        </w:rPr>
        <w:t>在调查期间直到定罪被关在警察设施而不是拘留中心的人数过多，特别是调查的审问阶段；</w:t>
      </w:r>
    </w:p>
    <w:p w:rsidR="00000000" w:rsidRDefault="00000000">
      <w:pPr>
        <w:numPr>
          <w:ilvl w:val="0"/>
          <w:numId w:val="109"/>
        </w:numPr>
        <w:rPr>
          <w:rFonts w:hint="eastAsia"/>
        </w:rPr>
      </w:pPr>
      <w:r>
        <w:rPr>
          <w:rFonts w:hint="eastAsia"/>
        </w:rPr>
        <w:t>调查职能和拘留职能之间的区分不够，从而使调查人员能参与被拘留人员的转移，并随后负责调查其案子；</w:t>
      </w:r>
    </w:p>
    <w:p w:rsidR="00000000" w:rsidRDefault="00000000">
      <w:pPr>
        <w:numPr>
          <w:ilvl w:val="0"/>
          <w:numId w:val="109"/>
        </w:numPr>
        <w:rPr>
          <w:rFonts w:hint="eastAsia"/>
        </w:rPr>
      </w:pPr>
      <w:r>
        <w:rPr>
          <w:rFonts w:hint="eastAsia"/>
        </w:rPr>
        <w:t>不适当的使用派出所进行长期拘留，并对于被警察拘留的人员缺乏适当和及时的医疗护理；</w:t>
      </w:r>
    </w:p>
    <w:p w:rsidR="00000000" w:rsidRDefault="00000000">
      <w:pPr>
        <w:numPr>
          <w:ilvl w:val="0"/>
          <w:numId w:val="109"/>
        </w:numPr>
        <w:rPr>
          <w:rFonts w:hint="eastAsia"/>
        </w:rPr>
      </w:pPr>
      <w:r>
        <w:rPr>
          <w:rFonts w:hint="eastAsia"/>
        </w:rPr>
        <w:t>在定罪之前在派出所的审讯前拘留时间长，平均每项指控长达</w:t>
      </w:r>
      <w:r>
        <w:rPr>
          <w:rFonts w:hint="eastAsia"/>
        </w:rPr>
        <w:t>23</w:t>
      </w:r>
      <w:r>
        <w:rPr>
          <w:rFonts w:hint="eastAsia"/>
        </w:rPr>
        <w:t>天；</w:t>
      </w:r>
    </w:p>
    <w:p w:rsidR="00000000" w:rsidRDefault="00000000">
      <w:pPr>
        <w:numPr>
          <w:ilvl w:val="0"/>
          <w:numId w:val="109"/>
        </w:numPr>
        <w:rPr>
          <w:rFonts w:hint="eastAsia"/>
        </w:rPr>
      </w:pPr>
      <w:r>
        <w:rPr>
          <w:rFonts w:hint="eastAsia"/>
        </w:rPr>
        <w:t>法院对于在派出所的审前拘留缺乏有效的司法控制和审查，这从法院发出的极大数量的拘留令可以看出；</w:t>
      </w:r>
    </w:p>
    <w:p w:rsidR="00000000" w:rsidRDefault="00000000">
      <w:pPr>
        <w:numPr>
          <w:ilvl w:val="0"/>
          <w:numId w:val="109"/>
        </w:numPr>
        <w:rPr>
          <w:rFonts w:hint="eastAsia"/>
        </w:rPr>
      </w:pPr>
      <w:r>
        <w:rPr>
          <w:rFonts w:hint="eastAsia"/>
        </w:rPr>
        <w:t>没有定罪前保释制度；</w:t>
      </w:r>
    </w:p>
    <w:p w:rsidR="00000000" w:rsidRDefault="00000000">
      <w:pPr>
        <w:numPr>
          <w:ilvl w:val="0"/>
          <w:numId w:val="109"/>
        </w:numPr>
        <w:rPr>
          <w:rFonts w:hint="eastAsia"/>
        </w:rPr>
      </w:pPr>
      <w:r>
        <w:rPr>
          <w:rFonts w:hint="eastAsia"/>
        </w:rPr>
        <w:t>没有一种对所有嫌疑人在定罪前不论其受指控的罪行类型如何，而提供法院任命的律师的制度。目前，法院任命的律师只限于重罪案子；</w:t>
      </w:r>
    </w:p>
    <w:p w:rsidR="00000000" w:rsidRDefault="00000000">
      <w:pPr>
        <w:numPr>
          <w:ilvl w:val="0"/>
          <w:numId w:val="109"/>
        </w:numPr>
        <w:rPr>
          <w:rFonts w:hint="eastAsia"/>
        </w:rPr>
      </w:pPr>
      <w:r>
        <w:rPr>
          <w:rFonts w:hint="eastAsia"/>
        </w:rPr>
        <w:t>对于在审前拘留中的被拘留人获得辩护咨询的机会有限，特别是检察官对于辩护律师和被拘留人之间会面指定具体日期和时间的霸道的权力，导致在审讯过程中没有辩护律师；</w:t>
      </w:r>
    </w:p>
    <w:p w:rsidR="00000000" w:rsidRDefault="00000000">
      <w:pPr>
        <w:numPr>
          <w:ilvl w:val="0"/>
          <w:numId w:val="109"/>
        </w:numPr>
        <w:rPr>
          <w:rFonts w:hint="eastAsia"/>
        </w:rPr>
      </w:pPr>
      <w:r>
        <w:rPr>
          <w:rFonts w:hint="eastAsia"/>
        </w:rPr>
        <w:t>法律代表获得警方记录中所有相关资料的机会有限，特别是检察官有权决定在定罪时可以披露什么样的证据；</w:t>
      </w:r>
    </w:p>
    <w:p w:rsidR="00000000" w:rsidRDefault="00000000">
      <w:pPr>
        <w:numPr>
          <w:ilvl w:val="0"/>
          <w:numId w:val="109"/>
        </w:numPr>
        <w:rPr>
          <w:rFonts w:hint="eastAsia"/>
        </w:rPr>
      </w:pPr>
      <w:r>
        <w:rPr>
          <w:rFonts w:hint="eastAsia"/>
        </w:rPr>
        <w:t>对于关在警察派出所的被拘留人没有可以利用的独立有效的检察和投诉机制；</w:t>
      </w:r>
    </w:p>
    <w:p w:rsidR="00000000" w:rsidRDefault="00000000">
      <w:pPr>
        <w:numPr>
          <w:ilvl w:val="0"/>
          <w:numId w:val="109"/>
        </w:numPr>
        <w:rPr>
          <w:rFonts w:hint="eastAsia"/>
        </w:rPr>
      </w:pPr>
      <w:r>
        <w:rPr>
          <w:rFonts w:hint="eastAsia"/>
        </w:rPr>
        <w:t>在警察拘留设施中使用口衔，与此相反，这在刑事机构中已经废除。</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该缔约国应立即采取有效措施使审前拘留完全符合最低国际标准，特别是，该缔约国应修改</w:t>
      </w:r>
      <w:r>
        <w:rPr>
          <w:rFonts w:ascii="Time New Roman" w:eastAsia="SimHei" w:hAnsi="Time New Roman" w:hint="eastAsia"/>
          <w:b/>
        </w:rPr>
        <w:t>2006</w:t>
      </w:r>
      <w:r>
        <w:rPr>
          <w:rFonts w:ascii="Time New Roman" w:eastAsia="SimHei" w:hAnsi="Time New Roman" w:hint="eastAsia"/>
        </w:rPr>
        <w:t>年监狱法，以便对审前拘留期间使用警察派出所加以限制。作为优先事项，该缔约国应：</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修改立法确保将调查功能和拘留</w:t>
      </w:r>
      <w:r>
        <w:rPr>
          <w:rFonts w:ascii="Time New Roman" w:eastAsia="SimHei" w:hAnsi="Time New Roman" w:hint="eastAsia"/>
        </w:rPr>
        <w:t>(</w:t>
      </w:r>
      <w:r>
        <w:rPr>
          <w:rFonts w:ascii="Time New Roman" w:eastAsia="SimHei" w:hAnsi="Time New Roman" w:hint="eastAsia"/>
        </w:rPr>
        <w:t>包括转移程序</w:t>
      </w:r>
      <w:r>
        <w:rPr>
          <w:rFonts w:ascii="Time New Roman" w:eastAsia="SimHei" w:hAnsi="Time New Roman" w:hint="eastAsia"/>
        </w:rPr>
        <w:t>)</w:t>
      </w:r>
      <w:r>
        <w:rPr>
          <w:rFonts w:ascii="Time New Roman" w:eastAsia="SimHei" w:hAnsi="Time New Roman" w:hint="eastAsia"/>
        </w:rPr>
        <w:t>功能完全区分开来，不让警察拘留官员参加调查，以及不让调查人员参与与拘留相关的事务；</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对于被拘留人员在警方拘留所的最多时间作出限制，使其符合国际最低标准；</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确保从被逮捕时刻起所有被拘留人员都能获得法律援助，在审问期间辩护律师在场以及在定罪后他们能得到警方记录中所有相关资料，以便使其能为辩护作好准备，并要确保在被警察拘留期间的人员能及时得到适当的医疗护理；</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通过确保县警察局能从制度上保证由律师协会推荐的一名律师成为</w:t>
      </w:r>
      <w:r>
        <w:rPr>
          <w:rFonts w:ascii="Time New Roman" w:eastAsia="SimHei" w:hAnsi="Time New Roman" w:hint="eastAsia"/>
        </w:rPr>
        <w:t>2007</w:t>
      </w:r>
      <w:r>
        <w:rPr>
          <w:rFonts w:ascii="Time New Roman" w:eastAsia="SimHei" w:hAnsi="Time New Roman" w:hint="eastAsia"/>
        </w:rPr>
        <w:t>年</w:t>
      </w:r>
      <w:r>
        <w:rPr>
          <w:rFonts w:ascii="Time New Roman" w:eastAsia="SimHei" w:hAnsi="Time New Roman" w:hint="eastAsia"/>
        </w:rPr>
        <w:t>6</w:t>
      </w:r>
      <w:r>
        <w:rPr>
          <w:rFonts w:ascii="Time New Roman" w:eastAsia="SimHei" w:hAnsi="Time New Roman" w:hint="eastAsia"/>
        </w:rPr>
        <w:t>月要成立的警察拘留视察员委员会成员等措施，保证警察拘留外部监督的独立性；</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建立一个独立于公共安全委员会的有效的投诉系统，以审理被派出所拘留的人员提出的投诉；</w:t>
      </w:r>
    </w:p>
    <w:p w:rsidR="00000000" w:rsidRDefault="00000000">
      <w:pPr>
        <w:numPr>
          <w:ilvl w:val="0"/>
          <w:numId w:val="110"/>
        </w:numPr>
        <w:ind w:left="2571"/>
        <w:rPr>
          <w:rFonts w:ascii="Time New Roman" w:eastAsia="SimHei" w:hAnsi="Time New Roman" w:hint="eastAsia"/>
        </w:rPr>
      </w:pPr>
      <w:r>
        <w:rPr>
          <w:rFonts w:ascii="Time New Roman" w:eastAsia="SimHei" w:hAnsi="Time New Roman" w:hint="eastAsia"/>
        </w:rPr>
        <w:t>考虑采取替代审讯前阶段拘留做法的其他措施；</w:t>
      </w:r>
    </w:p>
    <w:p w:rsidR="00000000" w:rsidRDefault="00000000">
      <w:pPr>
        <w:numPr>
          <w:ilvl w:val="0"/>
          <w:numId w:val="110"/>
        </w:numPr>
        <w:spacing w:after="240"/>
        <w:ind w:left="2571"/>
        <w:rPr>
          <w:rFonts w:ascii="Time New Roman" w:eastAsia="SimHei" w:hAnsi="Time New Roman" w:hint="eastAsia"/>
        </w:rPr>
      </w:pPr>
      <w:r>
        <w:rPr>
          <w:rFonts w:ascii="Time New Roman" w:eastAsia="SimHei" w:hAnsi="Time New Roman" w:hint="eastAsia"/>
        </w:rPr>
        <w:t>在警察拘留设施中废除使用口衔。</w:t>
      </w:r>
    </w:p>
    <w:p w:rsidR="00000000" w:rsidRDefault="00000000">
      <w:pPr>
        <w:pStyle w:val="Heading4"/>
        <w:rPr>
          <w:rFonts w:hint="eastAsia"/>
        </w:rPr>
      </w:pPr>
      <w:r>
        <w:rPr>
          <w:rFonts w:hint="eastAsia"/>
        </w:rPr>
        <w:t>审讯规则和口供</w:t>
      </w:r>
    </w:p>
    <w:p w:rsidR="00000000" w:rsidRDefault="00000000">
      <w:pPr>
        <w:rPr>
          <w:rFonts w:hint="eastAsia"/>
        </w:rPr>
      </w:pPr>
      <w:r>
        <w:rPr>
          <w:rFonts w:hint="eastAsia"/>
        </w:rPr>
        <w:tab/>
        <w:t xml:space="preserve">16.  </w:t>
      </w:r>
      <w:r>
        <w:rPr>
          <w:rFonts w:hint="eastAsia"/>
        </w:rPr>
        <w:t>委员会对于在刑事审判中有大量的案子根据口供定罪深表关切，特别是鉴于对使用审前拘留没有有效的司法控制并且定罪的数量比宣判无罪高出太多。委员会还对于没有手段核查对于被拘留者在被警方拘留期间受审讯的做法是否恰当表示关切，特别对于审讯的持续时间没有严格的时间限制，以及在所有审讯期间要有辩护律师在场并不是强制性的。此外，委员会还关切，根据国内立法，由于不符合《公约》的审讯而作出的自愿口供可被法院接受，这是违反《公约》第</w:t>
      </w:r>
      <w:r>
        <w:rPr>
          <w:rFonts w:hint="eastAsia"/>
        </w:rPr>
        <w:t>15</w:t>
      </w:r>
      <w:r>
        <w:rPr>
          <w:rFonts w:hint="eastAsia"/>
        </w:rPr>
        <w:t>条的。</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确保对于被警方拘留的人员或在替代监狱中人员的审讯能受到不同机制的系统监督，例如对于所有审讯过程的电子和录像记录；在审讯期间确保被拘留人能接触辩护律师并有其在场；并将音像录音资料提供刑事审判使用。此外，该缔约国应立即通过对于审讯时间的严格规定，并对不遵守规定作出适当制裁。该缔约国应修改其刑事诉讼法以确保完全符合《公约》第</w:t>
      </w:r>
      <w:r>
        <w:rPr>
          <w:rFonts w:ascii="Time New Roman" w:eastAsia="SimHei" w:hAnsi="Time New Roman" w:hint="eastAsia"/>
          <w:b/>
        </w:rPr>
        <w:t>15</w:t>
      </w:r>
      <w:r>
        <w:rPr>
          <w:rFonts w:ascii="Time New Roman" w:eastAsia="SimHei" w:hAnsi="Time New Roman" w:hint="eastAsia"/>
        </w:rPr>
        <w:t>条。该缔约国应向委员会提供资料，说明在强迫、酷刑或威胁下，或在长期逮捕或监禁后作出口供而又没有用证据核实的口供的数量。</w:t>
      </w:r>
    </w:p>
    <w:p w:rsidR="00000000" w:rsidRDefault="00000000">
      <w:pPr>
        <w:pStyle w:val="Heading4"/>
        <w:rPr>
          <w:rFonts w:hint="eastAsia"/>
        </w:rPr>
      </w:pPr>
      <w:r>
        <w:rPr>
          <w:rFonts w:hint="eastAsia"/>
        </w:rPr>
        <w:t>刑事机关中的拘留条件</w:t>
      </w:r>
    </w:p>
    <w:p w:rsidR="00000000" w:rsidRDefault="00000000">
      <w:pPr>
        <w:rPr>
          <w:rFonts w:hint="eastAsia"/>
        </w:rPr>
      </w:pPr>
      <w:r>
        <w:rPr>
          <w:rFonts w:hint="eastAsia"/>
        </w:rPr>
        <w:tab/>
        <w:t xml:space="preserve">17.  </w:t>
      </w:r>
      <w:r>
        <w:rPr>
          <w:rFonts w:hint="eastAsia"/>
        </w:rPr>
        <w:t>委员会对于刑事机构中拘留的一般条件，包括人满为患的状况表示关切。委员会欢迎在刑事机构中已废除使用皮革手铐的做法，但同时关切地注意到关于不适当使用“</w:t>
      </w:r>
      <w:r>
        <w:rPr>
          <w:rFonts w:hint="eastAsia"/>
        </w:rPr>
        <w:t>2</w:t>
      </w:r>
      <w:r>
        <w:rPr>
          <w:rFonts w:hint="eastAsia"/>
        </w:rPr>
        <w:t>型皮革手铐”作为惩罚的事件的指控。委员会对于过分拖延向囚犯提供医疗帮助以及在监狱系统中没有独立的医务工作人员的指控表示关切。</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采取有效措施，改善拘留场所的条件，使其符合国际最低标准，特别应采取措施解决目前人满为患的问题。该缔约国应确保对限制性刑具的严格监督，特别是要采取措施防止将其用作处罚手段。此外，该缔约国应确保向所有囚犯在任何时间迅速提供充分独立的医疗帮助。该缔约国应考虑将医疗设施和工作人员置于卫生部管辖之下。</w:t>
      </w:r>
    </w:p>
    <w:p w:rsidR="00000000" w:rsidRDefault="00000000">
      <w:pPr>
        <w:pStyle w:val="Heading4"/>
        <w:rPr>
          <w:rFonts w:hint="eastAsia"/>
        </w:rPr>
      </w:pPr>
      <w:r>
        <w:rPr>
          <w:rFonts w:hint="eastAsia"/>
        </w:rPr>
        <w:t>单独监禁的使用</w:t>
      </w:r>
    </w:p>
    <w:p w:rsidR="00000000" w:rsidRDefault="00000000">
      <w:pPr>
        <w:rPr>
          <w:rFonts w:hint="eastAsia"/>
        </w:rPr>
      </w:pPr>
      <w:r>
        <w:rPr>
          <w:rFonts w:hint="eastAsia"/>
        </w:rPr>
        <w:tab/>
        <w:t xml:space="preserve">18.  </w:t>
      </w:r>
      <w:r>
        <w:rPr>
          <w:rFonts w:hint="eastAsia"/>
        </w:rPr>
        <w:t>委员会对于尽管</w:t>
      </w:r>
      <w:r>
        <w:rPr>
          <w:rFonts w:hint="eastAsia"/>
        </w:rPr>
        <w:t>2005</w:t>
      </w:r>
      <w:r>
        <w:rPr>
          <w:rFonts w:hint="eastAsia"/>
        </w:rPr>
        <w:t>年刑事机关和服刑囚犯待遇法令的新条款限制使用单独监禁，仍有关于长期使用单独监禁的指控深表关切。特别是，委员会对以下方面的关切：</w:t>
      </w:r>
    </w:p>
    <w:p w:rsidR="00000000" w:rsidRDefault="00000000">
      <w:pPr>
        <w:numPr>
          <w:ilvl w:val="0"/>
          <w:numId w:val="111"/>
        </w:numPr>
        <w:rPr>
          <w:rFonts w:hint="eastAsia"/>
        </w:rPr>
      </w:pPr>
      <w:r>
        <w:rPr>
          <w:rFonts w:hint="eastAsia"/>
        </w:rPr>
        <w:t>由于对</w:t>
      </w:r>
      <w:r>
        <w:rPr>
          <w:rFonts w:hint="eastAsia"/>
        </w:rPr>
        <w:t>3</w:t>
      </w:r>
      <w:r>
        <w:rPr>
          <w:rFonts w:hint="eastAsia"/>
        </w:rPr>
        <w:t>个月规则的延长没有限制，对单独监禁事实上没有时间限制；</w:t>
      </w:r>
    </w:p>
    <w:p w:rsidR="00000000" w:rsidRDefault="00000000">
      <w:pPr>
        <w:numPr>
          <w:ilvl w:val="0"/>
          <w:numId w:val="111"/>
        </w:numPr>
        <w:rPr>
          <w:rFonts w:hint="eastAsia"/>
        </w:rPr>
      </w:pPr>
      <w:r>
        <w:rPr>
          <w:rFonts w:hint="eastAsia"/>
        </w:rPr>
        <w:t>对于十年以上单独监禁的人数，其中一例已超过</w:t>
      </w:r>
      <w:r>
        <w:rPr>
          <w:rFonts w:hint="eastAsia"/>
        </w:rPr>
        <w:t>42</w:t>
      </w:r>
      <w:r>
        <w:rPr>
          <w:rFonts w:hint="eastAsia"/>
        </w:rPr>
        <w:t>年；</w:t>
      </w:r>
    </w:p>
    <w:p w:rsidR="00000000" w:rsidRDefault="00000000">
      <w:pPr>
        <w:numPr>
          <w:ilvl w:val="0"/>
          <w:numId w:val="111"/>
        </w:numPr>
        <w:rPr>
          <w:rFonts w:hint="eastAsia"/>
        </w:rPr>
      </w:pPr>
      <w:r>
        <w:rPr>
          <w:rFonts w:hint="eastAsia"/>
        </w:rPr>
        <w:t>对于使用单独监禁作为惩罚手段的指控；</w:t>
      </w:r>
    </w:p>
    <w:p w:rsidR="00000000" w:rsidRDefault="00000000">
      <w:pPr>
        <w:numPr>
          <w:ilvl w:val="0"/>
          <w:numId w:val="111"/>
        </w:numPr>
        <w:rPr>
          <w:rFonts w:hint="eastAsia"/>
        </w:rPr>
      </w:pPr>
      <w:r>
        <w:rPr>
          <w:rFonts w:hint="eastAsia"/>
        </w:rPr>
        <w:t>对于因精神疾病而单独监禁的囚犯没有足够的筛检；</w:t>
      </w:r>
    </w:p>
    <w:p w:rsidR="00000000" w:rsidRDefault="00000000">
      <w:pPr>
        <w:numPr>
          <w:ilvl w:val="0"/>
          <w:numId w:val="111"/>
        </w:numPr>
        <w:rPr>
          <w:rFonts w:hint="eastAsia"/>
        </w:rPr>
      </w:pPr>
      <w:r>
        <w:rPr>
          <w:rFonts w:hint="eastAsia"/>
        </w:rPr>
        <w:t>对于服刑人员进行单独监禁的决定没有有效的追索程序；</w:t>
      </w:r>
    </w:p>
    <w:p w:rsidR="00000000" w:rsidRDefault="00000000">
      <w:pPr>
        <w:numPr>
          <w:ilvl w:val="0"/>
          <w:numId w:val="111"/>
        </w:numPr>
        <w:rPr>
          <w:rFonts w:hint="eastAsia"/>
        </w:rPr>
      </w:pPr>
      <w:r>
        <w:rPr>
          <w:rFonts w:hint="eastAsia"/>
        </w:rPr>
        <w:t>对于确定是否需要单独监禁缺乏标准。</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修改其现行的立法，以便确保根据国际最低标准单独监禁是有限定时间的例外措施。特别是，该缔约国应考虑系统的审查所有长期单独监禁的案子，进行专门的心理和精神评估，以便释放那些监禁可被认为是违反《公约》的被拘留人。</w:t>
      </w:r>
    </w:p>
    <w:p w:rsidR="00000000" w:rsidRDefault="00000000">
      <w:pPr>
        <w:pStyle w:val="Heading4"/>
        <w:rPr>
          <w:rFonts w:hint="eastAsia"/>
        </w:rPr>
      </w:pPr>
      <w:r>
        <w:rPr>
          <w:rFonts w:hint="eastAsia"/>
        </w:rPr>
        <w:t>死</w:t>
      </w:r>
      <w:r>
        <w:rPr>
          <w:rFonts w:hint="eastAsia"/>
        </w:rPr>
        <w:t xml:space="preserve">  </w:t>
      </w:r>
      <w:r>
        <w:rPr>
          <w:rFonts w:hint="eastAsia"/>
        </w:rPr>
        <w:t>刑</w:t>
      </w:r>
    </w:p>
    <w:p w:rsidR="00000000" w:rsidRDefault="00000000">
      <w:pPr>
        <w:rPr>
          <w:rFonts w:hint="eastAsia"/>
        </w:rPr>
      </w:pPr>
      <w:r>
        <w:rPr>
          <w:rFonts w:hint="eastAsia"/>
        </w:rPr>
        <w:tab/>
        <w:t xml:space="preserve">19.  </w:t>
      </w:r>
      <w:r>
        <w:rPr>
          <w:rFonts w:hint="eastAsia"/>
        </w:rPr>
        <w:t>委员会注意到最近的立法扩大了死囚探视和通信的规定，委员会深切关切在国内法中有若干关于被判处死刑的人的规定可相当于酷刑或虐待，特别是：</w:t>
      </w:r>
    </w:p>
    <w:p w:rsidR="00000000" w:rsidRDefault="00000000">
      <w:pPr>
        <w:numPr>
          <w:ilvl w:val="0"/>
          <w:numId w:val="112"/>
        </w:numPr>
        <w:rPr>
          <w:rFonts w:hint="eastAsia"/>
        </w:rPr>
      </w:pPr>
      <w:r>
        <w:rPr>
          <w:rFonts w:hint="eastAsia"/>
        </w:rPr>
        <w:t>在宣布了最后判决之后的单独监禁的原则。给出了在死囚牢房的时间，在有些情况下可超过</w:t>
      </w:r>
      <w:r>
        <w:rPr>
          <w:rFonts w:hint="eastAsia"/>
        </w:rPr>
        <w:t>30</w:t>
      </w:r>
      <w:r>
        <w:rPr>
          <w:rFonts w:hint="eastAsia"/>
        </w:rPr>
        <w:t>年；</w:t>
      </w:r>
    </w:p>
    <w:p w:rsidR="00000000" w:rsidRDefault="00000000">
      <w:pPr>
        <w:numPr>
          <w:ilvl w:val="0"/>
          <w:numId w:val="112"/>
        </w:numPr>
        <w:rPr>
          <w:rFonts w:hint="eastAsia"/>
        </w:rPr>
      </w:pPr>
      <w:r>
        <w:rPr>
          <w:rFonts w:hint="eastAsia"/>
        </w:rPr>
        <w:t>对于处决时间的没有必要的保密和任意性，据称是为了尊重囚犯及其家属的隐私。特别是，委员会对于处决的时期始终不确定而对囚犯及其家属造成的心理压力表示遗憾，因为囚犯只是在被处决前几个小时才得到通知；</w:t>
      </w:r>
    </w:p>
    <w:p w:rsidR="00000000" w:rsidRDefault="00000000">
      <w:pPr>
        <w:ind w:left="1040"/>
        <w:rPr>
          <w:rFonts w:ascii="SimHei" w:eastAsia="SimHei" w:hint="eastAsia"/>
        </w:rPr>
      </w:pPr>
      <w:r>
        <w:rPr>
          <w:rFonts w:ascii="SimHei" w:eastAsia="SimHei" w:hint="eastAsia"/>
        </w:rPr>
        <w:tab/>
        <w:t>该缔约国应采取一切必要措施改善死囚的拘禁条件，以便使其符合国际最低标准。</w:t>
      </w:r>
    </w:p>
    <w:p w:rsidR="00000000" w:rsidRDefault="00000000">
      <w:pPr>
        <w:rPr>
          <w:rFonts w:hint="eastAsia"/>
        </w:rPr>
      </w:pPr>
      <w:r>
        <w:rPr>
          <w:rFonts w:hint="eastAsia"/>
        </w:rPr>
        <w:tab/>
        <w:t xml:space="preserve">20.  </w:t>
      </w:r>
      <w:r>
        <w:rPr>
          <w:rFonts w:hint="eastAsia"/>
        </w:rPr>
        <w:t>委员会对于死囚犯享受法律保障的限制表示严重关切，特别是在以下方面：</w:t>
      </w:r>
    </w:p>
    <w:p w:rsidR="00000000" w:rsidRDefault="00000000">
      <w:pPr>
        <w:numPr>
          <w:ilvl w:val="0"/>
          <w:numId w:val="113"/>
        </w:numPr>
        <w:rPr>
          <w:rFonts w:hint="eastAsia"/>
        </w:rPr>
      </w:pPr>
      <w:r>
        <w:rPr>
          <w:rFonts w:hint="eastAsia"/>
        </w:rPr>
        <w:t>对于死囚犯在保密情况下接触其法律代表的限制，包括在上诉要求复审期间不可能要求与他们单独会晤；缺乏保密通信的替代手段，以及在最后判决宣布后无法接触国家辩护律师；</w:t>
      </w:r>
    </w:p>
    <w:p w:rsidR="00000000" w:rsidRDefault="00000000">
      <w:pPr>
        <w:numPr>
          <w:ilvl w:val="0"/>
          <w:numId w:val="113"/>
        </w:numPr>
        <w:rPr>
          <w:rFonts w:hint="eastAsia"/>
        </w:rPr>
      </w:pPr>
      <w:r>
        <w:rPr>
          <w:rFonts w:hint="eastAsia"/>
        </w:rPr>
        <w:t>对于死刑囚犯没有强制性的上诉制度；</w:t>
      </w:r>
    </w:p>
    <w:p w:rsidR="00000000" w:rsidRDefault="00000000">
      <w:pPr>
        <w:numPr>
          <w:ilvl w:val="0"/>
          <w:numId w:val="113"/>
        </w:numPr>
        <w:rPr>
          <w:rFonts w:hint="eastAsia"/>
        </w:rPr>
      </w:pPr>
      <w:r>
        <w:rPr>
          <w:rFonts w:hint="eastAsia"/>
        </w:rPr>
        <w:t>复审程序或要求赦免并不能导致暂停处决；</w:t>
      </w:r>
    </w:p>
    <w:p w:rsidR="00000000" w:rsidRDefault="00000000">
      <w:pPr>
        <w:numPr>
          <w:ilvl w:val="0"/>
          <w:numId w:val="113"/>
        </w:numPr>
        <w:rPr>
          <w:rFonts w:hint="eastAsia"/>
        </w:rPr>
      </w:pPr>
      <w:r>
        <w:rPr>
          <w:rFonts w:hint="eastAsia"/>
        </w:rPr>
        <w:t>没有一种机制以查明可能患有精神病的死囚犯；</w:t>
      </w:r>
    </w:p>
    <w:p w:rsidR="00000000" w:rsidRDefault="00000000">
      <w:pPr>
        <w:numPr>
          <w:ilvl w:val="0"/>
          <w:numId w:val="113"/>
        </w:numPr>
        <w:rPr>
          <w:rFonts w:hint="eastAsia"/>
        </w:rPr>
      </w:pPr>
      <w:r>
        <w:rPr>
          <w:rFonts w:hint="eastAsia"/>
        </w:rPr>
        <w:t>在过去</w:t>
      </w:r>
      <w:r>
        <w:rPr>
          <w:rFonts w:hint="eastAsia"/>
        </w:rPr>
        <w:t>30</w:t>
      </w:r>
      <w:r>
        <w:rPr>
          <w:rFonts w:hint="eastAsia"/>
        </w:rPr>
        <w:t>年中没有将死刑减刑的案例。</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考虑采取措施立即暂停处决和实行减刑，并进行程序改革，其中应包括采取赦免措施的可能性。对于所有死刑判决都应有强制性的上诉权。此外，该缔约国应确保其立法应规定在死刑判决执行有拖延的情况下死刑有减刑的可能性。该缔约国应确保所有死囚都得到《公约》规定的保护。</w:t>
      </w:r>
    </w:p>
    <w:p w:rsidR="00000000" w:rsidRDefault="00000000">
      <w:pPr>
        <w:pStyle w:val="Heading4"/>
        <w:rPr>
          <w:rFonts w:hint="eastAsia"/>
        </w:rPr>
      </w:pPr>
      <w:r>
        <w:rPr>
          <w:rFonts w:hint="eastAsia"/>
        </w:rPr>
        <w:t>迅速公正的调查，申诉权</w:t>
      </w:r>
    </w:p>
    <w:p w:rsidR="00000000" w:rsidRDefault="00000000">
      <w:pPr>
        <w:rPr>
          <w:rFonts w:hint="eastAsia"/>
        </w:rPr>
      </w:pPr>
      <w:r>
        <w:rPr>
          <w:rFonts w:hint="eastAsia"/>
        </w:rPr>
        <w:tab/>
        <w:t xml:space="preserve">21.  </w:t>
      </w:r>
      <w:r>
        <w:rPr>
          <w:rFonts w:hint="eastAsia"/>
        </w:rPr>
        <w:t>委员会对以下情况表示关切：</w:t>
      </w:r>
    </w:p>
    <w:p w:rsidR="00000000" w:rsidRDefault="00000000">
      <w:pPr>
        <w:numPr>
          <w:ilvl w:val="0"/>
          <w:numId w:val="114"/>
        </w:numPr>
        <w:rPr>
          <w:rFonts w:hint="eastAsia"/>
        </w:rPr>
      </w:pPr>
      <w:r>
        <w:rPr>
          <w:rFonts w:hint="eastAsia"/>
        </w:rPr>
        <w:t>对于被警察拘留的人没有一种有效的申诉制度。委员会感到遗憾的是，</w:t>
      </w:r>
      <w:r>
        <w:rPr>
          <w:rFonts w:hint="eastAsia"/>
        </w:rPr>
        <w:t>2006</w:t>
      </w:r>
      <w:r>
        <w:rPr>
          <w:rFonts w:hint="eastAsia"/>
        </w:rPr>
        <w:t>年刑法并没有设立一个有这种权限的独立机构。委员会注意到缺乏关于</w:t>
      </w:r>
      <w:r>
        <w:rPr>
          <w:rFonts w:hint="eastAsia"/>
        </w:rPr>
        <w:t>2007</w:t>
      </w:r>
      <w:r>
        <w:rPr>
          <w:rFonts w:hint="eastAsia"/>
        </w:rPr>
        <w:t>年</w:t>
      </w:r>
      <w:r>
        <w:rPr>
          <w:rFonts w:hint="eastAsia"/>
        </w:rPr>
        <w:t>6</w:t>
      </w:r>
      <w:r>
        <w:rPr>
          <w:rFonts w:hint="eastAsia"/>
        </w:rPr>
        <w:t>月要设立的警察拘留所视察员委员会的资料；</w:t>
      </w:r>
    </w:p>
    <w:p w:rsidR="00000000" w:rsidRDefault="00000000">
      <w:pPr>
        <w:numPr>
          <w:ilvl w:val="0"/>
          <w:numId w:val="114"/>
        </w:numPr>
        <w:rPr>
          <w:rFonts w:hint="eastAsia"/>
        </w:rPr>
      </w:pPr>
      <w:r>
        <w:rPr>
          <w:rFonts w:hint="eastAsia"/>
        </w:rPr>
        <w:t>刑事机关视察员委员会没有权力调查酷刑或虐待行为案件或指称的权力；</w:t>
      </w:r>
    </w:p>
    <w:p w:rsidR="00000000" w:rsidRDefault="00000000">
      <w:pPr>
        <w:numPr>
          <w:ilvl w:val="0"/>
          <w:numId w:val="114"/>
        </w:numPr>
        <w:rPr>
          <w:rFonts w:hint="eastAsia"/>
        </w:rPr>
      </w:pPr>
      <w:r>
        <w:rPr>
          <w:rFonts w:hint="eastAsia"/>
        </w:rPr>
        <w:t>刑事机关囚犯申诉审查和调查小组缺乏独立性，因为其秘书处工作人员由司法部人员担任，其对案子进行直接调查的权力有限，因为它不能直接访谈犯人和官员，它也无法直接查阅任何相关文件；</w:t>
      </w:r>
    </w:p>
    <w:p w:rsidR="00000000" w:rsidRDefault="00000000">
      <w:pPr>
        <w:numPr>
          <w:ilvl w:val="0"/>
          <w:numId w:val="114"/>
        </w:numPr>
        <w:rPr>
          <w:rFonts w:hint="eastAsia"/>
        </w:rPr>
      </w:pPr>
      <w:r>
        <w:rPr>
          <w:rFonts w:hint="eastAsia"/>
        </w:rPr>
        <w:t>对于犯人的申诉权的时效限制，以及辩护律师不可能协助其客户提出申诉；</w:t>
      </w:r>
    </w:p>
    <w:p w:rsidR="00000000" w:rsidRDefault="00000000">
      <w:pPr>
        <w:numPr>
          <w:ilvl w:val="0"/>
          <w:numId w:val="114"/>
        </w:numPr>
        <w:rPr>
          <w:rFonts w:hint="eastAsia"/>
        </w:rPr>
      </w:pPr>
      <w:r>
        <w:rPr>
          <w:rFonts w:hint="eastAsia"/>
        </w:rPr>
        <w:t>关于犯人由于提出申诉和案子应提出赔偿的时间已经过期为理由被驳回而造成的消极后果的报导；</w:t>
      </w:r>
    </w:p>
    <w:p w:rsidR="00000000" w:rsidRDefault="00000000">
      <w:pPr>
        <w:numPr>
          <w:ilvl w:val="0"/>
          <w:numId w:val="114"/>
        </w:numPr>
        <w:rPr>
          <w:rFonts w:hint="eastAsia"/>
        </w:rPr>
      </w:pPr>
      <w:r>
        <w:rPr>
          <w:rFonts w:hint="eastAsia"/>
        </w:rPr>
        <w:t>缺乏关于收到的申诉的数目的资料，以及关于调查启动和完成的数目及其结果的资料，包括关于犯人的数目以及判决情况的资料。</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考虑设立一种独立的机制，授予权力对所有报导的关于个人在警方设施或刑事机构审判前拘留期间和刑事机构中囚犯的关于受酷刑和虐待行为的指控或投诉进行及时、公正和有效的调查。该缔约国应采取一切必要的措施，确保囚犯的申诉权能行使，包括对于刑事和虐待行为申诉的任何时效限制应予取消；确保囚犯能利用法律代表提出申诉；建立防止恐吓证人的保护机制；并审查所有限制提出赔偿的权利的裁决。该缔约国应提供按罪行、种族、年龄和性别分类的关于指控由执法官员进行的酷刑和虐待的申诉的详细统计数据，以及关于相关的调查、起诉和刑事制裁或纪录制裁的详细资料。</w:t>
      </w:r>
    </w:p>
    <w:p w:rsidR="00000000" w:rsidRDefault="00000000">
      <w:pPr>
        <w:pStyle w:val="Heading4"/>
        <w:rPr>
          <w:rFonts w:hint="eastAsia"/>
        </w:rPr>
      </w:pPr>
      <w:r>
        <w:rPr>
          <w:rFonts w:hint="eastAsia"/>
        </w:rPr>
        <w:t>人权教育和培训</w:t>
      </w:r>
    </w:p>
    <w:p w:rsidR="00000000" w:rsidRDefault="00000000">
      <w:pPr>
        <w:rPr>
          <w:rFonts w:hint="eastAsia"/>
        </w:rPr>
      </w:pPr>
      <w:r>
        <w:rPr>
          <w:rFonts w:hint="eastAsia"/>
        </w:rPr>
        <w:tab/>
        <w:t xml:space="preserve">22.  </w:t>
      </w:r>
      <w:r>
        <w:rPr>
          <w:rFonts w:hint="eastAsia"/>
        </w:rPr>
        <w:t>委员会注意到，据称存在一本审讯员培训手册，其中有违反《公约》的审讯程序。此外，委员会对于人权教育，特别是关于妇女和儿童权利的教育只是向刑事机关官员系统的提供，并且没有全面纳入警方拘留所官员、调查员、法官或移民安全人员的课程表示关切。</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确保与执法人员，特别是调查员的教育课程相关的所有资料都要公布。此外，各类执法人员以及法官和移民官员，应定期接受关于其工作所涉人权影响的培训，尤其要把重点放在酷刑及儿童和妇女的权利上。</w:t>
      </w:r>
    </w:p>
    <w:p w:rsidR="00000000" w:rsidRDefault="00000000">
      <w:pPr>
        <w:pStyle w:val="Heading4"/>
        <w:rPr>
          <w:rFonts w:hint="eastAsia"/>
        </w:rPr>
      </w:pPr>
      <w:r>
        <w:rPr>
          <w:rFonts w:hint="eastAsia"/>
        </w:rPr>
        <w:t>培训和康复</w:t>
      </w:r>
    </w:p>
    <w:p w:rsidR="00000000" w:rsidRDefault="00000000">
      <w:pPr>
        <w:rPr>
          <w:rFonts w:hint="eastAsia"/>
        </w:rPr>
      </w:pPr>
      <w:r>
        <w:rPr>
          <w:rFonts w:hint="eastAsia"/>
        </w:rPr>
        <w:tab/>
        <w:t xml:space="preserve">23.  </w:t>
      </w:r>
      <w:r>
        <w:rPr>
          <w:rFonts w:hint="eastAsia"/>
        </w:rPr>
        <w:t>委员会对于有报导说虐待的受害者在获得补救和充分赔偿方面面临困难表示关切。委员会还对于赔偿的权利受到限制表示关切，例如时效限制和对于移民的对等规则。委员会感到遗憾的是，缺乏关于酷刑或虐待受害者提出赔偿要求和给予赔偿的资料。</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采取一切必要措施确保酷刑或虐待行为的所有受害者都能充分行使其纠正权，包括赔偿和康复。该缔约国应采取措施在国内设立康复服务。该缔约国应向委员会提供关于向受害者提供赔偿或康复的资料。</w:t>
      </w:r>
    </w:p>
    <w:p w:rsidR="00000000" w:rsidRDefault="00000000">
      <w:pPr>
        <w:rPr>
          <w:rFonts w:hint="eastAsia"/>
        </w:rPr>
      </w:pPr>
      <w:r>
        <w:rPr>
          <w:rFonts w:hint="eastAsia"/>
        </w:rPr>
        <w:tab/>
        <w:t xml:space="preserve">24.  </w:t>
      </w:r>
      <w:r>
        <w:rPr>
          <w:rFonts w:hint="eastAsia"/>
        </w:rPr>
        <w:t>委员会对于性暴力受害者得到的补偿不够表示关切，这特别包括在第二次世界大战期间日本军方性奴役行为的幸存者，以及没有实行有效的教育和其他措施预防违反《公约》的性暴力和基于性别的违约行为。该缔约国的代表承认战争时期暴力的幸存者遭受了“无法弥合的创伤”，但由于该缔约国的对事实的官方否认、掩盖或没有披露其他事实、没有对酷刑行为犯有刑事责任的人绳之以法、以及对受害者和幸存者没有提供充分的补偿而使其继续经历着虐待和反复的折磨。</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委员会认为，教育</w:t>
      </w:r>
      <w:r>
        <w:rPr>
          <w:rFonts w:ascii="Time New Roman" w:eastAsia="SimHei" w:hAnsi="Time New Roman" w:hint="eastAsia"/>
        </w:rPr>
        <w:t>(</w:t>
      </w:r>
      <w:r>
        <w:rPr>
          <w:rFonts w:ascii="Time New Roman" w:eastAsia="SimHei" w:hAnsi="Time New Roman" w:hint="eastAsia"/>
        </w:rPr>
        <w:t>《公约》第</w:t>
      </w:r>
      <w:r>
        <w:rPr>
          <w:rFonts w:ascii="Time New Roman" w:eastAsia="SimHei" w:hAnsi="Time New Roman" w:hint="eastAsia"/>
        </w:rPr>
        <w:t>10</w:t>
      </w:r>
      <w:r>
        <w:rPr>
          <w:rFonts w:ascii="Time New Roman" w:eastAsia="SimHei" w:hAnsi="Time New Roman" w:hint="eastAsia"/>
        </w:rPr>
        <w:t>条</w:t>
      </w:r>
      <w:r>
        <w:rPr>
          <w:rFonts w:ascii="Time New Roman" w:eastAsia="SimHei" w:hAnsi="Time New Roman" w:hint="eastAsia"/>
        </w:rPr>
        <w:t>)</w:t>
      </w:r>
      <w:r>
        <w:rPr>
          <w:rFonts w:ascii="Time New Roman" w:eastAsia="SimHei" w:hAnsi="Time New Roman" w:hint="eastAsia"/>
        </w:rPr>
        <w:t>和补救措施</w:t>
      </w:r>
      <w:r>
        <w:rPr>
          <w:rFonts w:ascii="Time New Roman" w:eastAsia="SimHei" w:hAnsi="Time New Roman" w:hint="eastAsia"/>
        </w:rPr>
        <w:t>(</w:t>
      </w:r>
      <w:r>
        <w:rPr>
          <w:rFonts w:ascii="Time New Roman" w:eastAsia="SimHei" w:hAnsi="Time New Roman" w:hint="eastAsia"/>
        </w:rPr>
        <w:t>《公约》第</w:t>
      </w:r>
      <w:r>
        <w:rPr>
          <w:rFonts w:ascii="Time New Roman" w:eastAsia="SimHei" w:hAnsi="Time New Roman" w:hint="eastAsia"/>
        </w:rPr>
        <w:t>14</w:t>
      </w:r>
      <w:r>
        <w:rPr>
          <w:rFonts w:ascii="Time New Roman" w:eastAsia="SimHei" w:hAnsi="Time New Roman" w:hint="eastAsia"/>
        </w:rPr>
        <w:t>条</w:t>
      </w:r>
      <w:r>
        <w:rPr>
          <w:rFonts w:ascii="Time New Roman" w:eastAsia="SimHei" w:hAnsi="Time New Roman" w:hint="eastAsia"/>
        </w:rPr>
        <w:t>)</w:t>
      </w:r>
      <w:r>
        <w:rPr>
          <w:rFonts w:ascii="Time New Roman" w:eastAsia="SimHei" w:hAnsi="Time New Roman" w:hint="eastAsia"/>
        </w:rPr>
        <w:t>其本身都是防止进一步违反缔约国在这方面根据《公约》所承担的义务的手段。官方继续否认、不起诉、和不提供充分的补偿都会造成该缔约国未能履行其根据《公约》所承担的义务，防止酷刑和虐待，包括通过教育和康复措施这么做。委员会建议，该缔约国采取措施开展教育以铲除这一性暴力和基于性别的暴力的歧视性的根源，并向受害者提供补偿措施，包括采取步骤防止有罪不罚的现象。</w:t>
      </w:r>
    </w:p>
    <w:p w:rsidR="00000000" w:rsidRDefault="00000000">
      <w:pPr>
        <w:pStyle w:val="Heading4"/>
        <w:rPr>
          <w:rFonts w:hint="eastAsia"/>
        </w:rPr>
      </w:pPr>
      <w:r>
        <w:rPr>
          <w:rFonts w:hint="eastAsia"/>
        </w:rPr>
        <w:t>基于性别的暴力和贩运</w:t>
      </w:r>
    </w:p>
    <w:p w:rsidR="00000000" w:rsidRDefault="00000000">
      <w:pPr>
        <w:rPr>
          <w:rFonts w:hint="eastAsia"/>
        </w:rPr>
      </w:pPr>
      <w:r>
        <w:rPr>
          <w:rFonts w:hint="eastAsia"/>
        </w:rPr>
        <w:tab/>
        <w:t xml:space="preserve">25.  </w:t>
      </w:r>
      <w:r>
        <w:rPr>
          <w:rFonts w:hint="eastAsia"/>
        </w:rPr>
        <w:t>委员会对于继续指称存在基于性别的暴力和对被拘留的妇女和儿童虐待的报导表示关切，其中包括执法人员的性暴力行为。委员会还对该缔约国的立法对于强奸的覆盖范围的限制表示关切，只包括涉及男女性器官的性交行为，不包括其他形式的性虐待和对男性受害者的强奸。此外，委员会对于跨境贩运人口继续是该缔约国的一个严重问题表示关切，政府发放的娱乐签证的广泛使用为此提供了便利，以及为查明受害者的配套措施不充分，导致被拐卖的受害者被当作非法移民处理，在没有补救或纠正的情况下予以遣返。委员会还关切没有有效的措施来预防和法办由军人对妇女和女孩犯下的暴力行为，包括驻扎在军事基地的外国军人。</w:t>
      </w:r>
    </w:p>
    <w:p w:rsidR="00000000" w:rsidRDefault="00000000">
      <w:pPr>
        <w:spacing w:after="240"/>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采取预防措施打击性暴力和对妇女的暴力，包括家庭暴力和基于性别的暴力，以及及时公正的调查所有对于暴力或虐待的指控，以便将那些肇事者绳之以法。委员会要求该缔约国加强措施打击贩运人口，包括限制娱乐签证的用途以确保不被用于为贩运提供便利，并为此拨出充足的资源，以及在这一方面加强刑法的执法力度。该缔约国还应为执法官员和司法人员开展培训方案以确保他们关心受害者的权利和需要，并设立专门的警察单位，为这样的受害者提供更好的保护和适当的照顾，包括尤其是能进入平安之家、庇护所和获得心理社会援助。该缔约国应确保所有受害者能向法院提出补救的索赔，包括驻在军事基地的外国军人造成的受害者。</w:t>
      </w:r>
    </w:p>
    <w:p w:rsidR="00000000" w:rsidRDefault="00000000">
      <w:pPr>
        <w:pStyle w:val="Heading4"/>
        <w:rPr>
          <w:rFonts w:hint="eastAsia"/>
        </w:rPr>
      </w:pPr>
      <w:r>
        <w:rPr>
          <w:rFonts w:hint="eastAsia"/>
        </w:rPr>
        <w:t>残疾人士</w:t>
      </w:r>
    </w:p>
    <w:p w:rsidR="00000000" w:rsidRDefault="00000000">
      <w:pPr>
        <w:rPr>
          <w:rFonts w:hint="eastAsia"/>
        </w:rPr>
      </w:pPr>
      <w:r>
        <w:rPr>
          <w:rFonts w:hint="eastAsia"/>
        </w:rPr>
        <w:tab/>
        <w:t xml:space="preserve">26.  </w:t>
      </w:r>
      <w:r>
        <w:rPr>
          <w:rFonts w:hint="eastAsia"/>
        </w:rPr>
        <w:t>委员会对于私人医院中指定的私人精神病医生在发放对于有精神残疾的人士的拘留令中所发挥的作用表示关切，并对于拘留令、私人精神病所的管理的司法监控不够，以及病人关于酷刑或虐待行为的投诉表示关切。</w:t>
      </w:r>
    </w:p>
    <w:p w:rsidR="00000000" w:rsidRDefault="00000000">
      <w:pPr>
        <w:ind w:left="10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rPr>
        <w:t>该缔约国应采取一切必要措施确保在公私营精神病院中对拘留程序的有效彻底的司法监控。</w:t>
      </w:r>
    </w:p>
    <w:p w:rsidR="00000000" w:rsidRDefault="00000000">
      <w:pPr>
        <w:rPr>
          <w:rFonts w:hint="eastAsia"/>
        </w:rPr>
      </w:pPr>
      <w:r>
        <w:rPr>
          <w:rFonts w:hint="eastAsia"/>
        </w:rPr>
        <w:tab/>
        <w:t xml:space="preserve">27.  </w:t>
      </w:r>
      <w:r>
        <w:rPr>
          <w:rFonts w:hint="eastAsia"/>
        </w:rPr>
        <w:t>委员会鼓励该缔约国考虑根据《公约》第</w:t>
      </w:r>
      <w:r>
        <w:rPr>
          <w:rFonts w:hint="eastAsia"/>
        </w:rPr>
        <w:t>22</w:t>
      </w:r>
      <w:r>
        <w:rPr>
          <w:rFonts w:hint="eastAsia"/>
        </w:rPr>
        <w:t>条作出宣布，从而承认委员会受理个人来文的权限；委员会还鼓励缔约国考虑批准《公约任择议定书》。</w:t>
      </w:r>
    </w:p>
    <w:p w:rsidR="00000000" w:rsidRDefault="00000000">
      <w:pPr>
        <w:rPr>
          <w:rFonts w:hint="eastAsia"/>
        </w:rPr>
      </w:pPr>
      <w:r>
        <w:rPr>
          <w:rFonts w:hint="eastAsia"/>
        </w:rPr>
        <w:tab/>
        <w:t xml:space="preserve">28.  </w:t>
      </w:r>
      <w:r>
        <w:rPr>
          <w:rFonts w:hint="eastAsia"/>
        </w:rPr>
        <w:t>委员会鼓励该缔约国考虑参加国际刑事法院罗马规约。</w:t>
      </w:r>
    </w:p>
    <w:p w:rsidR="00000000" w:rsidRDefault="00000000">
      <w:pPr>
        <w:rPr>
          <w:rFonts w:hint="eastAsia"/>
        </w:rPr>
      </w:pPr>
      <w:r>
        <w:rPr>
          <w:rFonts w:hint="eastAsia"/>
        </w:rPr>
        <w:tab/>
        <w:t xml:space="preserve">29.  </w:t>
      </w:r>
      <w:r>
        <w:rPr>
          <w:rFonts w:hint="eastAsia"/>
        </w:rPr>
        <w:t>委员会鼓励该缔约国以适当的文字通过官方网站、媒体和非政府组织广泛传播提交本委员会的报告以及委员会的结论和建议。</w:t>
      </w:r>
    </w:p>
    <w:p w:rsidR="00000000" w:rsidRDefault="00000000">
      <w:pPr>
        <w:rPr>
          <w:rFonts w:hint="eastAsia"/>
        </w:rPr>
      </w:pPr>
      <w:r>
        <w:rPr>
          <w:rFonts w:hint="eastAsia"/>
        </w:rPr>
        <w:tab/>
        <w:t xml:space="preserve">30.  </w:t>
      </w:r>
      <w:r>
        <w:rPr>
          <w:rFonts w:hint="eastAsia"/>
        </w:rPr>
        <w:t>委员会请缔约国根据国际人权条约机构最近建议的报告编写统一准则中的核心文件的要求提交其核心文件</w:t>
      </w:r>
      <w:r>
        <w:rPr>
          <w:rFonts w:hint="eastAsia"/>
        </w:rPr>
        <w:t>(HRI/MC/2006/3</w:t>
      </w:r>
      <w:r>
        <w:rPr>
          <w:rFonts w:hint="eastAsia"/>
        </w:rPr>
        <w:t>和</w:t>
      </w:r>
      <w:r>
        <w:t>Corr.1</w:t>
      </w:r>
      <w:r>
        <w:rPr>
          <w:rFonts w:hint="eastAsia"/>
        </w:rPr>
        <w:t>)</w:t>
      </w:r>
      <w:r>
        <w:rPr>
          <w:rFonts w:hint="eastAsia"/>
        </w:rPr>
        <w:t>。</w:t>
      </w:r>
    </w:p>
    <w:p w:rsidR="00000000" w:rsidRDefault="00000000">
      <w:pPr>
        <w:rPr>
          <w:rFonts w:hint="eastAsia"/>
        </w:rPr>
      </w:pPr>
      <w:r>
        <w:rPr>
          <w:rFonts w:hint="eastAsia"/>
        </w:rPr>
        <w:tab/>
        <w:t xml:space="preserve">31.  </w:t>
      </w:r>
      <w:r>
        <w:rPr>
          <w:rFonts w:hint="eastAsia"/>
        </w:rPr>
        <w:t>委员会要求该缔约国在一年之内提供资料说明其对</w:t>
      </w:r>
      <w:r>
        <w:rPr>
          <w:rFonts w:hint="eastAsia"/>
        </w:rPr>
        <w:t>14</w:t>
      </w:r>
      <w:r>
        <w:rPr>
          <w:rFonts w:hint="eastAsia"/>
        </w:rPr>
        <w:t>、</w:t>
      </w:r>
      <w:r>
        <w:rPr>
          <w:rFonts w:hint="eastAsia"/>
        </w:rPr>
        <w:t>15</w:t>
      </w:r>
      <w:r>
        <w:rPr>
          <w:rFonts w:hint="eastAsia"/>
        </w:rPr>
        <w:t>、</w:t>
      </w:r>
      <w:r>
        <w:rPr>
          <w:rFonts w:hint="eastAsia"/>
        </w:rPr>
        <w:t>16</w:t>
      </w:r>
      <w:r>
        <w:rPr>
          <w:rFonts w:hint="eastAsia"/>
        </w:rPr>
        <w:t>和</w:t>
      </w:r>
      <w:r>
        <w:rPr>
          <w:rFonts w:hint="eastAsia"/>
        </w:rPr>
        <w:t>24</w:t>
      </w:r>
      <w:r>
        <w:rPr>
          <w:rFonts w:hint="eastAsia"/>
        </w:rPr>
        <w:t>段中所载的委员会建议的反应。</w:t>
      </w:r>
    </w:p>
    <w:p w:rsidR="00000000" w:rsidRDefault="00000000">
      <w:pPr>
        <w:rPr>
          <w:rFonts w:hint="eastAsia"/>
        </w:rPr>
      </w:pPr>
      <w:r>
        <w:rPr>
          <w:rFonts w:hint="eastAsia"/>
        </w:rPr>
        <w:tab/>
        <w:t xml:space="preserve">32.  </w:t>
      </w:r>
      <w:r>
        <w:rPr>
          <w:rFonts w:hint="eastAsia"/>
        </w:rPr>
        <w:t>请该缔约国在</w:t>
      </w:r>
      <w:r>
        <w:rPr>
          <w:rFonts w:hint="eastAsia"/>
        </w:rPr>
        <w:t>2011</w:t>
      </w:r>
      <w:r>
        <w:rPr>
          <w:rFonts w:hint="eastAsia"/>
        </w:rPr>
        <w:t>年</w:t>
      </w:r>
      <w:r>
        <w:rPr>
          <w:rFonts w:hint="eastAsia"/>
        </w:rPr>
        <w:t>6</w:t>
      </w:r>
      <w:r>
        <w:rPr>
          <w:rFonts w:hint="eastAsia"/>
        </w:rPr>
        <w:t>月</w:t>
      </w:r>
      <w:r>
        <w:rPr>
          <w:rFonts w:hint="eastAsia"/>
        </w:rPr>
        <w:t>30</w:t>
      </w:r>
      <w:r>
        <w:rPr>
          <w:rFonts w:hint="eastAsia"/>
        </w:rPr>
        <w:t>日之前提交其第二份定期报告。</w:t>
      </w:r>
    </w:p>
    <w:p w:rsidR="00000000" w:rsidRDefault="00000000">
      <w:pPr>
        <w:jc w:val="center"/>
      </w:pPr>
    </w:p>
    <w:p w:rsidR="00000000" w:rsidRDefault="00000000">
      <w:pPr>
        <w:jc w:val="cente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w:t>
          </w:r>
          <w:r>
            <w:rPr>
              <w:rFonts w:hint="eastAsia"/>
              <w:lang w:eastAsia="zh-CN"/>
            </w:rPr>
            <w:t>43371</w:t>
          </w:r>
          <w:r>
            <w:t xml:space="preserve"> (C)</w:t>
          </w:r>
        </w:p>
      </w:tc>
      <w:tc>
        <w:tcPr>
          <w:tcW w:w="1050" w:type="dxa"/>
        </w:tcPr>
        <w:p w:rsidR="00000000" w:rsidRDefault="00000000">
          <w:pPr>
            <w:pStyle w:val="Footer"/>
          </w:pPr>
          <w:r>
            <w:rPr>
              <w:rFonts w:hint="eastAsia"/>
              <w:lang w:eastAsia="zh-CN"/>
            </w:rPr>
            <w:t>1708</w:t>
          </w:r>
          <w:r>
            <w:t>07</w:t>
          </w:r>
        </w:p>
      </w:tc>
      <w:tc>
        <w:tcPr>
          <w:tcW w:w="6061" w:type="dxa"/>
        </w:tcPr>
        <w:p w:rsidR="00000000" w:rsidRDefault="00000000">
          <w:pPr>
            <w:pStyle w:val="Footer"/>
          </w:pPr>
          <w:r>
            <w:t>230807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CAT/C/JPN/CO/l</w:t>
    </w:r>
  </w:p>
  <w:p w:rsidR="00000000" w:rsidRDefault="00000000">
    <w:pPr>
      <w:pStyle w:val="Header"/>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CAT/C/JPN/CO/l</w:t>
    </w:r>
  </w:p>
  <w:p w:rsidR="00000000" w:rsidRDefault="00000000">
    <w:pPr>
      <w:pStyle w:val="Header"/>
      <w:rPr>
        <w:rStyle w:val="PageNumber"/>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rPr>
        <w:rStyle w:val="PageNumber"/>
      </w:rPr>
    </w:pPr>
  </w:p>
  <w:p w:rsidR="00000000" w:rsidRDefault="00000000">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990"/>
      <w:gridCol w:w="2849"/>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yAlign="inline"/>
            <w:rPr>
              <w:rFonts w:ascii="Time New Roman" w:hAnsi="Time New Roman"/>
              <w:b/>
            </w:rPr>
          </w:pPr>
          <w:r>
            <w:rPr>
              <w:rFonts w:hint="eastAsia"/>
            </w:rPr>
            <w:t>联合国</w:t>
          </w:r>
        </w:p>
      </w:tc>
      <w:tc>
        <w:tcPr>
          <w:tcW w:w="4990" w:type="dxa"/>
          <w:tcBorders>
            <w:top w:val="nil"/>
            <w:left w:val="nil"/>
            <w:bottom w:val="single" w:sz="4" w:space="0" w:color="auto"/>
            <w:right w:val="nil"/>
          </w:tcBorders>
        </w:tcPr>
        <w:p w:rsidR="00000000" w:rsidRDefault="00000000">
          <w:pPr>
            <w:pStyle w:val="1L"/>
            <w:framePr w:w="0" w:hRule="auto" w:hSpace="0" w:wrap="auto" w:vAnchor="margin" w:hAnchor="text" w:yAlign="inline"/>
          </w:pPr>
        </w:p>
      </w:tc>
      <w:tc>
        <w:tcPr>
          <w:tcW w:w="2849" w:type="dxa"/>
          <w:tcBorders>
            <w:top w:val="nil"/>
            <w:left w:val="nil"/>
            <w:bottom w:val="single" w:sz="4" w:space="0" w:color="auto"/>
            <w:right w:val="nil"/>
          </w:tcBorders>
          <w:vAlign w:val="bottom"/>
        </w:tcPr>
        <w:p w:rsidR="00000000" w:rsidRDefault="00000000">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5441" r:id="rId2"/>
            </w:object>
          </w:r>
        </w:p>
      </w:tc>
      <w:tc>
        <w:tcPr>
          <w:tcW w:w="4990" w:type="dxa"/>
          <w:tcBorders>
            <w:top w:val="single" w:sz="4" w:space="0" w:color="auto"/>
            <w:left w:val="nil"/>
            <w:bottom w:val="single" w:sz="36" w:space="0" w:color="auto"/>
            <w:right w:val="nil"/>
          </w:tcBorders>
        </w:tcPr>
        <w:p w:rsidR="00000000" w:rsidRDefault="00000000">
          <w:pPr>
            <w:pStyle w:val="1m1"/>
            <w:spacing w:line="312" w:lineRule="auto"/>
            <w:rPr>
              <w:rFonts w:ascii="Time New Roman" w:hAnsi="Time New Roman"/>
              <w:spacing w:val="0"/>
              <w:sz w:val="24"/>
            </w:rPr>
          </w:pPr>
        </w:p>
        <w:p w:rsidR="00000000" w:rsidRDefault="00000000">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000000" w:rsidRDefault="00000000">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000000" w:rsidRDefault="00000000">
          <w:pPr>
            <w:pStyle w:val="1m1"/>
            <w:spacing w:before="360" w:line="312" w:lineRule="auto"/>
            <w:rPr>
              <w:spacing w:val="0"/>
              <w:sz w:val="32"/>
            </w:rPr>
          </w:pPr>
        </w:p>
      </w:tc>
      <w:tc>
        <w:tcPr>
          <w:tcW w:w="2849"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pPr>
          <w:r>
            <w:t>GENERAL</w:t>
          </w:r>
        </w:p>
        <w:p w:rsidR="00000000" w:rsidRDefault="00000000">
          <w:pPr>
            <w:pStyle w:val="Header"/>
            <w:rPr>
              <w:sz w:val="12"/>
            </w:rPr>
          </w:pPr>
        </w:p>
        <w:p w:rsidR="00000000" w:rsidRDefault="00000000">
          <w:pPr>
            <w:pStyle w:val="Header"/>
          </w:pPr>
          <w:r>
            <w:t>CAT/C/JPN/CO/l</w:t>
          </w:r>
        </w:p>
        <w:p w:rsidR="00000000" w:rsidRDefault="00000000">
          <w:pPr>
            <w:pStyle w:val="Header"/>
          </w:pPr>
          <w:r>
            <w:rPr>
              <w:rFonts w:hint="eastAsia"/>
              <w:lang w:eastAsia="zh-CN"/>
            </w:rPr>
            <w:t xml:space="preserve">7 </w:t>
          </w:r>
          <w:r>
            <w:rPr>
              <w:lang w:val="en-US" w:eastAsia="zh-CN"/>
            </w:rPr>
            <w:t>August</w:t>
          </w:r>
          <w:r>
            <w:t xml:space="preserve"> 2007</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val="264"/>
      </w:trPr>
      <w:tc>
        <w:tcPr>
          <w:tcW w:w="1625" w:type="dxa"/>
          <w:tcBorders>
            <w:top w:val="single" w:sz="36" w:space="0" w:color="auto"/>
            <w:left w:val="nil"/>
            <w:bottom w:val="nil"/>
            <w:right w:val="nil"/>
          </w:tcBorders>
          <w:noWrap/>
        </w:tcPr>
        <w:p w:rsidR="00000000" w:rsidRDefault="00000000">
          <w:pPr>
            <w:rPr>
              <w:sz w:val="16"/>
            </w:rPr>
          </w:pPr>
        </w:p>
      </w:tc>
      <w:tc>
        <w:tcPr>
          <w:tcW w:w="4990"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2849" w:type="dxa"/>
          <w:tcBorders>
            <w:top w:val="single" w:sz="36"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58F6"/>
    <w:multiLevelType w:val="hybridMultilevel"/>
    <w:tmpl w:val="2A4E50E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0AF3D0B"/>
    <w:multiLevelType w:val="hybridMultilevel"/>
    <w:tmpl w:val="2ED6243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1A33B3F"/>
    <w:multiLevelType w:val="hybridMultilevel"/>
    <w:tmpl w:val="5E60E658"/>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5">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0504585"/>
    <w:multiLevelType w:val="hybridMultilevel"/>
    <w:tmpl w:val="89C616F4"/>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4">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6">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27A350D4"/>
    <w:multiLevelType w:val="hybridMultilevel"/>
    <w:tmpl w:val="3784113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0">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4">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7">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8">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2">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7">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9">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52">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3">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6">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8">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9">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3">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7">
    <w:nsid w:val="67974933"/>
    <w:multiLevelType w:val="hybridMultilevel"/>
    <w:tmpl w:val="F3CC881C"/>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9">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1">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6FDB66DB"/>
    <w:multiLevelType w:val="hybridMultilevel"/>
    <w:tmpl w:val="64A47670"/>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735D0E5E"/>
    <w:multiLevelType w:val="hybridMultilevel"/>
    <w:tmpl w:val="CAD02BAE"/>
    <w:lvl w:ilvl="0" w:tplc="D340BE62">
      <w:start w:val="1"/>
      <w:numFmt w:val="lowerLetter"/>
      <w:lvlRestart w:val="0"/>
      <w:lvlText w:val="(%1)"/>
      <w:lvlJc w:val="right"/>
      <w:pPr>
        <w:tabs>
          <w:tab w:val="num" w:pos="1531"/>
        </w:tabs>
        <w:ind w:left="1531" w:hanging="170"/>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0">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4">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5">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6">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29"/>
  </w:num>
  <w:num w:numId="2">
    <w:abstractNumId w:val="30"/>
  </w:num>
  <w:num w:numId="3">
    <w:abstractNumId w:val="51"/>
  </w:num>
  <w:num w:numId="4">
    <w:abstractNumId w:val="34"/>
  </w:num>
  <w:num w:numId="5">
    <w:abstractNumId w:val="81"/>
  </w:num>
  <w:num w:numId="6">
    <w:abstractNumId w:val="1"/>
  </w:num>
  <w:num w:numId="7">
    <w:abstractNumId w:val="44"/>
  </w:num>
  <w:num w:numId="8">
    <w:abstractNumId w:val="26"/>
  </w:num>
  <w:num w:numId="9">
    <w:abstractNumId w:val="9"/>
  </w:num>
  <w:num w:numId="10">
    <w:abstractNumId w:val="16"/>
  </w:num>
  <w:num w:numId="11">
    <w:abstractNumId w:val="74"/>
  </w:num>
  <w:num w:numId="12">
    <w:abstractNumId w:val="19"/>
  </w:num>
  <w:num w:numId="13">
    <w:abstractNumId w:val="79"/>
  </w:num>
  <w:num w:numId="14">
    <w:abstractNumId w:val="48"/>
  </w:num>
  <w:num w:numId="15">
    <w:abstractNumId w:val="52"/>
  </w:num>
  <w:num w:numId="16">
    <w:abstractNumId w:val="5"/>
  </w:num>
  <w:num w:numId="17">
    <w:abstractNumId w:val="85"/>
  </w:num>
  <w:num w:numId="18">
    <w:abstractNumId w:val="72"/>
  </w:num>
  <w:num w:numId="19">
    <w:abstractNumId w:val="69"/>
  </w:num>
  <w:num w:numId="20">
    <w:abstractNumId w:val="7"/>
  </w:num>
  <w:num w:numId="21">
    <w:abstractNumId w:val="50"/>
  </w:num>
  <w:num w:numId="22">
    <w:abstractNumId w:val="54"/>
  </w:num>
  <w:num w:numId="23">
    <w:abstractNumId w:val="83"/>
  </w:num>
  <w:num w:numId="24">
    <w:abstractNumId w:val="62"/>
  </w:num>
  <w:num w:numId="25">
    <w:abstractNumId w:val="60"/>
  </w:num>
  <w:num w:numId="26">
    <w:abstractNumId w:val="43"/>
  </w:num>
  <w:num w:numId="27">
    <w:abstractNumId w:val="11"/>
  </w:num>
  <w:num w:numId="28">
    <w:abstractNumId w:val="8"/>
  </w:num>
  <w:num w:numId="29">
    <w:abstractNumId w:val="86"/>
  </w:num>
  <w:num w:numId="30">
    <w:abstractNumId w:val="2"/>
  </w:num>
  <w:num w:numId="31">
    <w:abstractNumId w:val="18"/>
  </w:num>
  <w:num w:numId="32">
    <w:abstractNumId w:val="51"/>
  </w:num>
  <w:num w:numId="33">
    <w:abstractNumId w:val="34"/>
  </w:num>
  <w:num w:numId="34">
    <w:abstractNumId w:val="78"/>
  </w:num>
  <w:num w:numId="35">
    <w:abstractNumId w:val="28"/>
  </w:num>
  <w:num w:numId="36">
    <w:abstractNumId w:val="68"/>
  </w:num>
  <w:num w:numId="37">
    <w:abstractNumId w:val="66"/>
  </w:num>
  <w:num w:numId="38">
    <w:abstractNumId w:val="35"/>
  </w:num>
  <w:num w:numId="39">
    <w:abstractNumId w:val="55"/>
  </w:num>
  <w:num w:numId="40">
    <w:abstractNumId w:val="59"/>
  </w:num>
  <w:num w:numId="41">
    <w:abstractNumId w:val="75"/>
  </w:num>
  <w:num w:numId="42">
    <w:abstractNumId w:val="6"/>
  </w:num>
  <w:num w:numId="43">
    <w:abstractNumId w:val="32"/>
  </w:num>
  <w:num w:numId="44">
    <w:abstractNumId w:val="34"/>
  </w:num>
  <w:num w:numId="45">
    <w:abstractNumId w:val="51"/>
  </w:num>
  <w:num w:numId="46">
    <w:abstractNumId w:val="34"/>
  </w:num>
  <w:num w:numId="47">
    <w:abstractNumId w:val="34"/>
  </w:num>
  <w:num w:numId="48">
    <w:abstractNumId w:val="51"/>
  </w:num>
  <w:num w:numId="49">
    <w:abstractNumId w:val="51"/>
  </w:num>
  <w:num w:numId="50">
    <w:abstractNumId w:val="34"/>
  </w:num>
  <w:num w:numId="51">
    <w:abstractNumId w:val="51"/>
  </w:num>
  <w:num w:numId="52">
    <w:abstractNumId w:val="34"/>
  </w:num>
  <w:num w:numId="53">
    <w:abstractNumId w:val="34"/>
  </w:num>
  <w:num w:numId="54">
    <w:abstractNumId w:val="51"/>
  </w:num>
  <w:num w:numId="55">
    <w:abstractNumId w:val="34"/>
  </w:num>
  <w:num w:numId="56">
    <w:abstractNumId w:val="51"/>
  </w:num>
  <w:num w:numId="57">
    <w:abstractNumId w:val="34"/>
  </w:num>
  <w:num w:numId="58">
    <w:abstractNumId w:val="51"/>
  </w:num>
  <w:num w:numId="59">
    <w:abstractNumId w:val="84"/>
  </w:num>
  <w:num w:numId="60">
    <w:abstractNumId w:val="58"/>
  </w:num>
  <w:num w:numId="61">
    <w:abstractNumId w:val="70"/>
  </w:num>
  <w:num w:numId="62">
    <w:abstractNumId w:val="25"/>
  </w:num>
  <w:num w:numId="63">
    <w:abstractNumId w:val="33"/>
  </w:num>
  <w:num w:numId="64">
    <w:abstractNumId w:val="15"/>
  </w:num>
  <w:num w:numId="65">
    <w:abstractNumId w:val="63"/>
  </w:num>
  <w:num w:numId="66">
    <w:abstractNumId w:val="56"/>
  </w:num>
  <w:num w:numId="67">
    <w:abstractNumId w:val="38"/>
  </w:num>
  <w:num w:numId="68">
    <w:abstractNumId w:val="17"/>
  </w:num>
  <w:num w:numId="69">
    <w:abstractNumId w:val="57"/>
  </w:num>
  <w:num w:numId="70">
    <w:abstractNumId w:val="14"/>
  </w:num>
  <w:num w:numId="71">
    <w:abstractNumId w:val="37"/>
  </w:num>
  <w:num w:numId="72">
    <w:abstractNumId w:val="46"/>
  </w:num>
  <w:num w:numId="73">
    <w:abstractNumId w:val="82"/>
  </w:num>
  <w:num w:numId="74">
    <w:abstractNumId w:val="53"/>
  </w:num>
  <w:num w:numId="75">
    <w:abstractNumId w:val="39"/>
  </w:num>
  <w:num w:numId="76">
    <w:abstractNumId w:val="31"/>
  </w:num>
  <w:num w:numId="77">
    <w:abstractNumId w:val="4"/>
  </w:num>
  <w:num w:numId="78">
    <w:abstractNumId w:val="4"/>
  </w:num>
  <w:num w:numId="79">
    <w:abstractNumId w:val="34"/>
  </w:num>
  <w:num w:numId="80">
    <w:abstractNumId w:val="4"/>
  </w:num>
  <w:num w:numId="81">
    <w:abstractNumId w:val="51"/>
  </w:num>
  <w:num w:numId="82">
    <w:abstractNumId w:val="34"/>
  </w:num>
  <w:num w:numId="83">
    <w:abstractNumId w:val="47"/>
  </w:num>
  <w:num w:numId="84">
    <w:abstractNumId w:val="21"/>
  </w:num>
  <w:num w:numId="85">
    <w:abstractNumId w:val="65"/>
  </w:num>
  <w:num w:numId="86">
    <w:abstractNumId w:val="64"/>
  </w:num>
  <w:num w:numId="87">
    <w:abstractNumId w:val="3"/>
  </w:num>
  <w:num w:numId="88">
    <w:abstractNumId w:val="49"/>
  </w:num>
  <w:num w:numId="89">
    <w:abstractNumId w:val="20"/>
  </w:num>
  <w:num w:numId="90">
    <w:abstractNumId w:val="45"/>
  </w:num>
  <w:num w:numId="91">
    <w:abstractNumId w:val="10"/>
  </w:num>
  <w:num w:numId="92">
    <w:abstractNumId w:val="61"/>
  </w:num>
  <w:num w:numId="93">
    <w:abstractNumId w:val="42"/>
  </w:num>
  <w:num w:numId="94">
    <w:abstractNumId w:val="76"/>
  </w:num>
  <w:num w:numId="95">
    <w:abstractNumId w:val="71"/>
  </w:num>
  <w:num w:numId="96">
    <w:abstractNumId w:val="23"/>
  </w:num>
  <w:num w:numId="97">
    <w:abstractNumId w:val="40"/>
  </w:num>
  <w:num w:numId="98">
    <w:abstractNumId w:val="41"/>
  </w:num>
  <w:num w:numId="99">
    <w:abstractNumId w:val="24"/>
  </w:num>
  <w:num w:numId="100">
    <w:abstractNumId w:val="80"/>
  </w:num>
  <w:num w:numId="101">
    <w:abstractNumId w:val="80"/>
  </w:num>
  <w:num w:numId="102">
    <w:abstractNumId w:val="24"/>
  </w:num>
  <w:num w:numId="103">
    <w:abstractNumId w:val="24"/>
  </w:num>
  <w:num w:numId="104">
    <w:abstractNumId w:val="80"/>
  </w:num>
  <w:num w:numId="105">
    <w:abstractNumId w:val="24"/>
  </w:num>
  <w:num w:numId="106">
    <w:abstractNumId w:val="36"/>
  </w:num>
  <w:num w:numId="107">
    <w:abstractNumId w:val="77"/>
  </w:num>
  <w:num w:numId="108">
    <w:abstractNumId w:val="22"/>
  </w:num>
  <w:num w:numId="109">
    <w:abstractNumId w:val="67"/>
  </w:num>
  <w:num w:numId="110">
    <w:abstractNumId w:val="12"/>
  </w:num>
  <w:num w:numId="111">
    <w:abstractNumId w:val="73"/>
  </w:num>
  <w:num w:numId="112">
    <w:abstractNumId w:val="0"/>
  </w:num>
  <w:num w:numId="113">
    <w:abstractNumId w:val="13"/>
  </w:num>
  <w:num w:numId="1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81"/>
      </w:numPr>
      <w:tabs>
        <w:tab w:val="clear" w:pos="510"/>
      </w:tabs>
    </w:pPr>
  </w:style>
  <w:style w:type="paragraph" w:customStyle="1" w:styleId="a">
    <w:name w:val="悬挂符号●"/>
    <w:basedOn w:val="Normal"/>
    <w:pPr>
      <w:numPr>
        <w:numId w:val="8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customStyle="1" w:styleId="ad">
    <w:name w:val="正文缩进"/>
    <w:basedOn w:val="Normal"/>
    <w:pPr>
      <w:ind w:left="1021" w:firstLine="510"/>
    </w:pPr>
  </w:style>
  <w:style w:type="paragraph" w:customStyle="1" w:styleId="ae">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106"/>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7418</Words>
  <Characters>7762</Characters>
  <Application>Microsoft Office Word</Application>
  <DocSecurity>4</DocSecurity>
  <Lines>306</Lines>
  <Paragraphs>121</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7946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PENG</dc:creator>
  <cp:keywords/>
  <dc:description/>
  <cp:lastModifiedBy>TIAN</cp:lastModifiedBy>
  <cp:revision>2</cp:revision>
  <cp:lastPrinted>2007-08-23T09:07:00Z</cp:lastPrinted>
  <dcterms:created xsi:type="dcterms:W3CDTF">2007-08-23T09:13:00Z</dcterms:created>
  <dcterms:modified xsi:type="dcterms:W3CDTF">2007-08-23T09:13:00Z</dcterms:modified>
</cp:coreProperties>
</file>