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AF2943" w14:paraId="6B801F3E" w14:textId="77777777" w:rsidTr="00DD7D05">
        <w:trPr>
          <w:trHeight w:val="851"/>
        </w:trPr>
        <w:tc>
          <w:tcPr>
            <w:tcW w:w="1259" w:type="dxa"/>
            <w:tcBorders>
              <w:top w:val="nil"/>
              <w:left w:val="nil"/>
              <w:bottom w:val="single" w:sz="4" w:space="0" w:color="auto"/>
              <w:right w:val="nil"/>
            </w:tcBorders>
          </w:tcPr>
          <w:p w14:paraId="79A2F8C5" w14:textId="77777777" w:rsidR="00EC2011" w:rsidRPr="00AF2943" w:rsidRDefault="00EC2011" w:rsidP="00DD7D05">
            <w:pPr>
              <w:pStyle w:val="SingleTxtG"/>
            </w:pPr>
          </w:p>
        </w:tc>
        <w:tc>
          <w:tcPr>
            <w:tcW w:w="2236" w:type="dxa"/>
            <w:tcBorders>
              <w:top w:val="nil"/>
              <w:left w:val="nil"/>
              <w:bottom w:val="single" w:sz="4" w:space="0" w:color="auto"/>
              <w:right w:val="nil"/>
            </w:tcBorders>
            <w:vAlign w:val="bottom"/>
          </w:tcPr>
          <w:p w14:paraId="7C2E9C91" w14:textId="77777777" w:rsidR="00EC2011" w:rsidRPr="00AF2943" w:rsidRDefault="00EC2011" w:rsidP="00DD7D05">
            <w:pPr>
              <w:spacing w:after="80" w:line="300" w:lineRule="exact"/>
              <w:rPr>
                <w:sz w:val="28"/>
                <w:szCs w:val="28"/>
              </w:rPr>
            </w:pPr>
            <w:r w:rsidRPr="00AF2943">
              <w:rPr>
                <w:sz w:val="28"/>
                <w:szCs w:val="28"/>
              </w:rPr>
              <w:t>United Nations</w:t>
            </w:r>
          </w:p>
        </w:tc>
        <w:tc>
          <w:tcPr>
            <w:tcW w:w="6144" w:type="dxa"/>
            <w:gridSpan w:val="2"/>
            <w:tcBorders>
              <w:top w:val="nil"/>
              <w:left w:val="nil"/>
              <w:bottom w:val="single" w:sz="4" w:space="0" w:color="auto"/>
              <w:right w:val="nil"/>
            </w:tcBorders>
            <w:vAlign w:val="bottom"/>
          </w:tcPr>
          <w:p w14:paraId="23396262" w14:textId="77777777" w:rsidR="00EC2011" w:rsidRPr="00AF2943" w:rsidRDefault="0009550D" w:rsidP="0009550D">
            <w:pPr>
              <w:suppressAutoHyphens w:val="0"/>
              <w:spacing w:after="20"/>
              <w:jc w:val="right"/>
            </w:pPr>
            <w:r w:rsidRPr="00AF2943">
              <w:rPr>
                <w:sz w:val="40"/>
              </w:rPr>
              <w:t>A</w:t>
            </w:r>
            <w:r w:rsidRPr="00AF2943">
              <w:t>/HRC/60/35/Add.1</w:t>
            </w:r>
          </w:p>
        </w:tc>
      </w:tr>
      <w:tr w:rsidR="00EC2011" w:rsidRPr="00AF2943" w14:paraId="2D41A6DF" w14:textId="77777777" w:rsidTr="00DD7D05">
        <w:trPr>
          <w:trHeight w:val="2835"/>
        </w:trPr>
        <w:tc>
          <w:tcPr>
            <w:tcW w:w="1259" w:type="dxa"/>
            <w:tcBorders>
              <w:top w:val="single" w:sz="4" w:space="0" w:color="auto"/>
              <w:left w:val="nil"/>
              <w:bottom w:val="single" w:sz="12" w:space="0" w:color="auto"/>
              <w:right w:val="nil"/>
            </w:tcBorders>
          </w:tcPr>
          <w:p w14:paraId="2D3B7EF7" w14:textId="77777777" w:rsidR="00EC2011" w:rsidRPr="00AF2943" w:rsidRDefault="00EC2011" w:rsidP="00DD7D05">
            <w:pPr>
              <w:spacing w:before="120"/>
              <w:jc w:val="center"/>
            </w:pPr>
            <w:r w:rsidRPr="00AF2943">
              <w:rPr>
                <w:noProof/>
                <w:lang w:eastAsia="fr-CH"/>
              </w:rPr>
              <w:drawing>
                <wp:inline distT="0" distB="0" distL="0" distR="0" wp14:anchorId="035F9EA8" wp14:editId="065632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E82A3DE" w14:textId="77777777" w:rsidR="00EC2011" w:rsidRPr="00AF2943" w:rsidRDefault="00EC2011" w:rsidP="00DD7D05">
            <w:pPr>
              <w:spacing w:before="120" w:line="420" w:lineRule="exact"/>
              <w:rPr>
                <w:b/>
                <w:sz w:val="40"/>
                <w:szCs w:val="40"/>
              </w:rPr>
            </w:pPr>
            <w:r w:rsidRPr="00AF2943">
              <w:rPr>
                <w:b/>
                <w:sz w:val="40"/>
                <w:szCs w:val="40"/>
              </w:rPr>
              <w:t>General Assembly</w:t>
            </w:r>
          </w:p>
        </w:tc>
        <w:tc>
          <w:tcPr>
            <w:tcW w:w="2930" w:type="dxa"/>
            <w:tcBorders>
              <w:top w:val="single" w:sz="4" w:space="0" w:color="auto"/>
              <w:left w:val="nil"/>
              <w:bottom w:val="single" w:sz="12" w:space="0" w:color="auto"/>
              <w:right w:val="nil"/>
            </w:tcBorders>
          </w:tcPr>
          <w:p w14:paraId="54D56931" w14:textId="147C578A" w:rsidR="00EC2011" w:rsidRPr="00AF2943" w:rsidRDefault="0009550D" w:rsidP="0009550D">
            <w:pPr>
              <w:spacing w:before="240"/>
            </w:pPr>
            <w:r w:rsidRPr="00AF2943">
              <w:t>Distr.: General</w:t>
            </w:r>
          </w:p>
          <w:p w14:paraId="1A316C12" w14:textId="4D6D87B6" w:rsidR="0009550D" w:rsidRPr="00AF2943" w:rsidRDefault="0009550D" w:rsidP="0009550D">
            <w:pPr>
              <w:suppressAutoHyphens w:val="0"/>
            </w:pPr>
            <w:r w:rsidRPr="00AF2943">
              <w:t>9 July 2025</w:t>
            </w:r>
          </w:p>
          <w:p w14:paraId="750BBE43" w14:textId="77777777" w:rsidR="0009550D" w:rsidRPr="00AF2943" w:rsidRDefault="0009550D" w:rsidP="0009550D">
            <w:pPr>
              <w:suppressAutoHyphens w:val="0"/>
            </w:pPr>
          </w:p>
          <w:p w14:paraId="5E8EF45E" w14:textId="11BDB3C0" w:rsidR="0009550D" w:rsidRPr="00AF2943" w:rsidRDefault="0009550D" w:rsidP="0009550D">
            <w:pPr>
              <w:suppressAutoHyphens w:val="0"/>
            </w:pPr>
            <w:r w:rsidRPr="00AF2943">
              <w:t>Original: English</w:t>
            </w:r>
          </w:p>
        </w:tc>
      </w:tr>
    </w:tbl>
    <w:p w14:paraId="34156FA2" w14:textId="77777777" w:rsidR="0009550D" w:rsidRPr="00AF2943" w:rsidRDefault="0009550D" w:rsidP="0009550D">
      <w:pPr>
        <w:spacing w:before="120"/>
        <w:rPr>
          <w:b/>
          <w:bCs/>
          <w:color w:val="000000" w:themeColor="text1"/>
          <w:sz w:val="24"/>
          <w:szCs w:val="24"/>
        </w:rPr>
      </w:pPr>
      <w:r w:rsidRPr="00AF2943">
        <w:rPr>
          <w:b/>
          <w:bCs/>
          <w:color w:val="000000" w:themeColor="text1"/>
          <w:sz w:val="24"/>
          <w:szCs w:val="24"/>
        </w:rPr>
        <w:t>Human Rights Council</w:t>
      </w:r>
    </w:p>
    <w:p w14:paraId="35685DD0" w14:textId="77777777" w:rsidR="0009550D" w:rsidRPr="00AF2943" w:rsidRDefault="0009550D" w:rsidP="0009550D">
      <w:pPr>
        <w:rPr>
          <w:b/>
          <w:bCs/>
          <w:color w:val="000000" w:themeColor="text1"/>
        </w:rPr>
      </w:pPr>
      <w:r w:rsidRPr="00AF2943">
        <w:rPr>
          <w:b/>
          <w:bCs/>
          <w:color w:val="000000" w:themeColor="text1"/>
        </w:rPr>
        <w:t>Sixtieth session</w:t>
      </w:r>
    </w:p>
    <w:p w14:paraId="7FE3C4BB" w14:textId="77777777" w:rsidR="0009550D" w:rsidRPr="00AF2943" w:rsidRDefault="0009550D" w:rsidP="0009550D">
      <w:pPr>
        <w:rPr>
          <w:color w:val="000000" w:themeColor="text1"/>
        </w:rPr>
      </w:pPr>
      <w:r w:rsidRPr="00AF2943">
        <w:rPr>
          <w:color w:val="000000" w:themeColor="text1"/>
        </w:rPr>
        <w:t>8 September–3 October 2025</w:t>
      </w:r>
    </w:p>
    <w:p w14:paraId="5FFF47C5" w14:textId="77777777" w:rsidR="0009550D" w:rsidRPr="00AF2943" w:rsidRDefault="0009550D" w:rsidP="0009550D">
      <w:pPr>
        <w:rPr>
          <w:color w:val="000000" w:themeColor="text1"/>
        </w:rPr>
      </w:pPr>
      <w:r w:rsidRPr="00AF2943">
        <w:rPr>
          <w:color w:val="000000" w:themeColor="text1"/>
        </w:rPr>
        <w:t>Agenda item 3</w:t>
      </w:r>
    </w:p>
    <w:p w14:paraId="5F714AEC" w14:textId="77777777" w:rsidR="0009550D" w:rsidRPr="00AF2943" w:rsidRDefault="0009550D" w:rsidP="0009550D">
      <w:pPr>
        <w:rPr>
          <w:b/>
          <w:bCs/>
          <w:color w:val="000000" w:themeColor="text1"/>
        </w:rPr>
      </w:pPr>
      <w:r w:rsidRPr="00AF2943">
        <w:rPr>
          <w:b/>
          <w:bCs/>
          <w:color w:val="000000" w:themeColor="text1"/>
        </w:rPr>
        <w:t xml:space="preserve">Promotion and protection of all human rights, civil, </w:t>
      </w:r>
      <w:r w:rsidRPr="00AF2943">
        <w:rPr>
          <w:b/>
          <w:bCs/>
          <w:color w:val="000000" w:themeColor="text1"/>
        </w:rPr>
        <w:br/>
        <w:t xml:space="preserve">political, economic, social and cultural rights, </w:t>
      </w:r>
      <w:r w:rsidRPr="00AF2943">
        <w:rPr>
          <w:b/>
          <w:bCs/>
          <w:color w:val="000000" w:themeColor="text1"/>
        </w:rPr>
        <w:br/>
        <w:t xml:space="preserve">including the right to development </w:t>
      </w:r>
    </w:p>
    <w:p w14:paraId="18543154" w14:textId="77777777" w:rsidR="0009550D" w:rsidRPr="00AF2943" w:rsidRDefault="0009550D" w:rsidP="0009550D">
      <w:pPr>
        <w:pStyle w:val="HChG"/>
      </w:pPr>
      <w:r w:rsidRPr="00AF2943">
        <w:tab/>
      </w:r>
      <w:r w:rsidRPr="00AF2943">
        <w:tab/>
        <w:t>Visit to Lithuania</w:t>
      </w:r>
    </w:p>
    <w:p w14:paraId="70F52513" w14:textId="617F93F9" w:rsidR="0009550D" w:rsidRPr="00AF2943" w:rsidRDefault="0009550D" w:rsidP="0009550D">
      <w:pPr>
        <w:pStyle w:val="H1G"/>
      </w:pPr>
      <w:r w:rsidRPr="00AF2943">
        <w:tab/>
      </w:r>
      <w:r w:rsidRPr="00AF2943">
        <w:tab/>
        <w:t>Report of the Working Group on Enforced or Involuntary Disappearances</w:t>
      </w:r>
      <w:r w:rsidRPr="00AF2943">
        <w:rPr>
          <w:b w:val="0"/>
          <w:bCs/>
          <w:sz w:val="20"/>
          <w:szCs w:val="16"/>
        </w:rPr>
        <w:footnoteReference w:customMarkFollows="1" w:id="2"/>
        <w:t>*</w:t>
      </w:r>
    </w:p>
    <w:tbl>
      <w:tblPr>
        <w:tblStyle w:val="TableGrid"/>
        <w:tblW w:w="0" w:type="auto"/>
        <w:jc w:val="center"/>
        <w:tblLook w:val="05E0" w:firstRow="1" w:lastRow="1" w:firstColumn="1" w:lastColumn="1" w:noHBand="0" w:noVBand="1"/>
      </w:tblPr>
      <w:tblGrid>
        <w:gridCol w:w="9629"/>
      </w:tblGrid>
      <w:tr w:rsidR="0009550D" w:rsidRPr="00AF2943" w14:paraId="3FD76593" w14:textId="77777777" w:rsidTr="0009550D">
        <w:trPr>
          <w:jc w:val="center"/>
        </w:trPr>
        <w:tc>
          <w:tcPr>
            <w:tcW w:w="9637" w:type="dxa"/>
            <w:tcBorders>
              <w:bottom w:val="nil"/>
            </w:tcBorders>
          </w:tcPr>
          <w:p w14:paraId="30016048" w14:textId="06065487" w:rsidR="0009550D" w:rsidRPr="00AF2943" w:rsidRDefault="0009550D" w:rsidP="0009550D">
            <w:pPr>
              <w:tabs>
                <w:tab w:val="left" w:pos="255"/>
              </w:tabs>
              <w:suppressAutoHyphens w:val="0"/>
              <w:spacing w:before="240" w:after="120"/>
              <w:rPr>
                <w:sz w:val="24"/>
                <w:lang w:val="en-GB"/>
              </w:rPr>
            </w:pPr>
            <w:r w:rsidRPr="00AF2943">
              <w:rPr>
                <w:lang w:val="en-GB"/>
              </w:rPr>
              <w:tab/>
            </w:r>
            <w:r w:rsidRPr="00AF2943">
              <w:rPr>
                <w:i/>
                <w:sz w:val="24"/>
                <w:lang w:val="en-GB"/>
              </w:rPr>
              <w:t>Summary</w:t>
            </w:r>
          </w:p>
        </w:tc>
      </w:tr>
      <w:tr w:rsidR="0009550D" w:rsidRPr="00AF2943" w14:paraId="2513837B" w14:textId="77777777" w:rsidTr="0009550D">
        <w:trPr>
          <w:jc w:val="center"/>
        </w:trPr>
        <w:tc>
          <w:tcPr>
            <w:tcW w:w="9637" w:type="dxa"/>
            <w:tcBorders>
              <w:top w:val="nil"/>
              <w:bottom w:val="nil"/>
            </w:tcBorders>
            <w:shd w:val="clear" w:color="auto" w:fill="auto"/>
          </w:tcPr>
          <w:p w14:paraId="456093D1" w14:textId="3F2A2CBE" w:rsidR="0009550D" w:rsidRPr="00AF2943" w:rsidRDefault="0009550D" w:rsidP="0009550D">
            <w:pPr>
              <w:pStyle w:val="SingleTxtG"/>
              <w:rPr>
                <w:lang w:val="en-GB"/>
              </w:rPr>
            </w:pPr>
            <w:r w:rsidRPr="00AF2943">
              <w:rPr>
                <w:lang w:val="en-GB"/>
              </w:rPr>
              <w:tab/>
              <w:t>A delegation of the Working Group on Enforced or Involuntary Disappearances conducted a seven-day visit to Lithuania from 20 to 26 November 2024.</w:t>
            </w:r>
          </w:p>
        </w:tc>
      </w:tr>
      <w:tr w:rsidR="0009550D" w:rsidRPr="00AF2943" w14:paraId="0736A0CF" w14:textId="77777777" w:rsidTr="0009550D">
        <w:trPr>
          <w:jc w:val="center"/>
        </w:trPr>
        <w:tc>
          <w:tcPr>
            <w:tcW w:w="9637" w:type="dxa"/>
            <w:tcBorders>
              <w:top w:val="nil"/>
              <w:bottom w:val="nil"/>
            </w:tcBorders>
            <w:shd w:val="clear" w:color="auto" w:fill="auto"/>
          </w:tcPr>
          <w:p w14:paraId="5A764B61" w14:textId="035A3C7E" w:rsidR="0009550D" w:rsidRPr="00AF2943" w:rsidRDefault="0009550D" w:rsidP="0009550D">
            <w:pPr>
              <w:pStyle w:val="SingleTxtG"/>
              <w:rPr>
                <w:lang w:val="en-GB"/>
              </w:rPr>
            </w:pPr>
            <w:r w:rsidRPr="00AF2943">
              <w:rPr>
                <w:lang w:val="en-GB"/>
              </w:rPr>
              <w:tab/>
              <w:t xml:space="preserve">The Working Group commends Lithuania for having ratified almost </w:t>
            </w:r>
            <w:proofErr w:type="gramStart"/>
            <w:r w:rsidRPr="00AF2943">
              <w:rPr>
                <w:lang w:val="en-GB"/>
              </w:rPr>
              <w:t>all of</w:t>
            </w:r>
            <w:proofErr w:type="gramEnd"/>
            <w:r w:rsidRPr="00AF2943">
              <w:rPr>
                <w:lang w:val="en-GB"/>
              </w:rPr>
              <w:t xml:space="preserve"> the core international human rights treaties, including the International Convention for the Protection of All Persons from Enforced Disappearance, and for having put in place a robust legal framework to prevent and terminate acts of enforced disappearance by, among other things, criminalizing enforced disappearance as a stand-alone crime, in line with international standards.</w:t>
            </w:r>
          </w:p>
        </w:tc>
      </w:tr>
      <w:tr w:rsidR="0009550D" w:rsidRPr="00AF2943" w14:paraId="6EAC47C6" w14:textId="77777777" w:rsidTr="0009550D">
        <w:trPr>
          <w:jc w:val="center"/>
        </w:trPr>
        <w:tc>
          <w:tcPr>
            <w:tcW w:w="9637" w:type="dxa"/>
            <w:tcBorders>
              <w:top w:val="nil"/>
              <w:bottom w:val="nil"/>
            </w:tcBorders>
            <w:shd w:val="clear" w:color="auto" w:fill="auto"/>
          </w:tcPr>
          <w:p w14:paraId="69C9681E" w14:textId="136279DE" w:rsidR="0009550D" w:rsidRPr="00AF2943" w:rsidRDefault="0009550D" w:rsidP="0009550D">
            <w:pPr>
              <w:pStyle w:val="SingleTxtG"/>
              <w:rPr>
                <w:lang w:val="en-GB"/>
              </w:rPr>
            </w:pPr>
            <w:r w:rsidRPr="00AF2943">
              <w:rPr>
                <w:lang w:val="en-GB"/>
              </w:rPr>
              <w:tab/>
              <w:t>The Working Group has not received any reports of enforced disappearances attributed to Lithuania under its humanitarian procedure. However, it notes with concern the involvement of Lithuania in extraordinary renditions and the corresponding secret detention programme of the Central Intelligence Agency of the United States of America. Despite the recognition by multiple international mechanisms of the involvement of Lithuania in the that programme, there has been no official acknowledgment by Lithuanian authorities of their international responsibility, nor have they issued any public apologies to the persons concerned. In addition, no progress has been made in relation to criminal investigations and prosecutions related to the renditions and subsequent enforced disappearances and no one has been granted the status of victim in the ongoing pretrial investigations.</w:t>
            </w:r>
          </w:p>
        </w:tc>
      </w:tr>
      <w:tr w:rsidR="0009550D" w:rsidRPr="00AF2943" w14:paraId="76885E66" w14:textId="77777777" w:rsidTr="0009550D">
        <w:trPr>
          <w:jc w:val="center"/>
        </w:trPr>
        <w:tc>
          <w:tcPr>
            <w:tcW w:w="9637" w:type="dxa"/>
            <w:tcBorders>
              <w:top w:val="nil"/>
              <w:bottom w:val="nil"/>
            </w:tcBorders>
            <w:shd w:val="clear" w:color="auto" w:fill="auto"/>
          </w:tcPr>
          <w:p w14:paraId="043168A6" w14:textId="32F8B63B" w:rsidR="0009550D" w:rsidRPr="00AF2943" w:rsidRDefault="0009550D" w:rsidP="0009550D">
            <w:pPr>
              <w:pStyle w:val="SingleTxtG"/>
              <w:rPr>
                <w:lang w:val="en-GB"/>
              </w:rPr>
            </w:pPr>
            <w:r w:rsidRPr="00AF2943">
              <w:rPr>
                <w:lang w:val="en-GB"/>
              </w:rPr>
              <w:tab/>
              <w:t xml:space="preserve">The Working Group notes that, in recent years, Lithuania has experienced a significant increase in the number of migrants arriving in the country. The country hosts many Belarusians who were forced to leave their country due to the worsening human rights situation and Ukrainians who were forced to leave their country </w:t>
            </w:r>
            <w:proofErr w:type="gramStart"/>
            <w:r w:rsidRPr="00AF2943">
              <w:rPr>
                <w:lang w:val="en-GB"/>
              </w:rPr>
              <w:t>as a result of</w:t>
            </w:r>
            <w:proofErr w:type="gramEnd"/>
            <w:r w:rsidRPr="00AF2943">
              <w:rPr>
                <w:lang w:val="en-GB"/>
              </w:rPr>
              <w:t xml:space="preserve"> the full-scale invasion by the Russian Federation in February 2022. Since 2021, there has also been an influx of persons of various nationalities who have entered – or tried to enter – Lithuania irregularly from Belarus. The Working Group acknowledges the difficult situation that the Lithuanian authorities must deal with, especially in the current geopolitical context. This </w:t>
            </w:r>
            <w:r w:rsidRPr="00AF2943">
              <w:rPr>
                <w:lang w:val="en-GB"/>
              </w:rPr>
              <w:lastRenderedPageBreak/>
              <w:t>poses significant challenges, some of which are of relevance in the context of the Declaration on the Protection of All Persons from Enforced Disappearance. In particular, the Working Group notes that the practice of pushbacks, which results in migrants being summarily forced back over an international border without their protection needs being assessed, is currently allowed under Lithuanian law. The practice raises grave concerns, as it effectively removes the persons subjected to it from the protection of the law and exposes them to a heightened risk of disappearance.</w:t>
            </w:r>
          </w:p>
        </w:tc>
      </w:tr>
      <w:tr w:rsidR="0009550D" w:rsidRPr="00AF2943" w14:paraId="5D207310" w14:textId="77777777" w:rsidTr="0009550D">
        <w:trPr>
          <w:jc w:val="center"/>
        </w:trPr>
        <w:tc>
          <w:tcPr>
            <w:tcW w:w="9637" w:type="dxa"/>
            <w:tcBorders>
              <w:top w:val="nil"/>
              <w:bottom w:val="nil"/>
            </w:tcBorders>
            <w:shd w:val="clear" w:color="auto" w:fill="auto"/>
          </w:tcPr>
          <w:p w14:paraId="15CFBA08" w14:textId="36AF3FE8" w:rsidR="0009550D" w:rsidRPr="00AF2943" w:rsidRDefault="0009550D" w:rsidP="0009550D">
            <w:pPr>
              <w:pStyle w:val="SingleTxtG"/>
              <w:rPr>
                <w:lang w:val="en-GB"/>
              </w:rPr>
            </w:pPr>
            <w:r w:rsidRPr="00AF2943">
              <w:rPr>
                <w:lang w:val="en-GB"/>
              </w:rPr>
              <w:lastRenderedPageBreak/>
              <w:tab/>
              <w:t>The Working Group reiterates its willingness to continue its constructive dialogue with the Government of Lithuania and offers its unreserved support for the full implementation of the Declaration.</w:t>
            </w:r>
          </w:p>
        </w:tc>
      </w:tr>
      <w:tr w:rsidR="0009550D" w:rsidRPr="00AF2943" w14:paraId="59AD1B11" w14:textId="77777777" w:rsidTr="0009550D">
        <w:trPr>
          <w:jc w:val="center"/>
        </w:trPr>
        <w:tc>
          <w:tcPr>
            <w:tcW w:w="9637" w:type="dxa"/>
            <w:tcBorders>
              <w:top w:val="nil"/>
            </w:tcBorders>
          </w:tcPr>
          <w:p w14:paraId="78A7D541" w14:textId="77777777" w:rsidR="0009550D" w:rsidRPr="00AF2943" w:rsidRDefault="0009550D" w:rsidP="0009550D">
            <w:pPr>
              <w:suppressAutoHyphens w:val="0"/>
              <w:rPr>
                <w:lang w:val="en-GB"/>
              </w:rPr>
            </w:pPr>
          </w:p>
        </w:tc>
      </w:tr>
    </w:tbl>
    <w:p w14:paraId="5D3670A8" w14:textId="77777777" w:rsidR="0009550D" w:rsidRPr="00AF2943" w:rsidRDefault="0009550D" w:rsidP="0009550D">
      <w:pPr>
        <w:pStyle w:val="SingleTxtG"/>
      </w:pPr>
      <w:r w:rsidRPr="00AF2943">
        <w:br w:type="page"/>
      </w:r>
    </w:p>
    <w:p w14:paraId="0C8CD0CD" w14:textId="77777777" w:rsidR="0009550D" w:rsidRPr="00AF2943" w:rsidRDefault="0009550D" w:rsidP="00D10190">
      <w:pPr>
        <w:pStyle w:val="HChG"/>
      </w:pPr>
      <w:r w:rsidRPr="00AF2943">
        <w:lastRenderedPageBreak/>
        <w:tab/>
        <w:t>Annex</w:t>
      </w:r>
    </w:p>
    <w:p w14:paraId="1132EDF1" w14:textId="77777777" w:rsidR="0009550D" w:rsidRPr="00AF2943" w:rsidRDefault="0009550D" w:rsidP="00D10190">
      <w:pPr>
        <w:pStyle w:val="HChG"/>
      </w:pPr>
      <w:r w:rsidRPr="00AF2943">
        <w:tab/>
      </w:r>
      <w:r w:rsidRPr="00AF2943">
        <w:tab/>
        <w:t>Report of the Working Group on Enforced or Involuntary Disappearances on its visit to Lithuania</w:t>
      </w:r>
    </w:p>
    <w:p w14:paraId="69DEE322" w14:textId="77777777" w:rsidR="0009550D" w:rsidRPr="00AF2943" w:rsidRDefault="0009550D" w:rsidP="00D10190">
      <w:pPr>
        <w:pStyle w:val="HChG"/>
        <w:rPr>
          <w:lang w:eastAsia="zh-CN"/>
        </w:rPr>
      </w:pPr>
      <w:r w:rsidRPr="00AF2943">
        <w:rPr>
          <w:lang w:eastAsia="zh-CN"/>
        </w:rPr>
        <w:tab/>
        <w:t>I.</w:t>
      </w:r>
      <w:r w:rsidRPr="00AF2943">
        <w:rPr>
          <w:lang w:eastAsia="zh-CN"/>
        </w:rPr>
        <w:tab/>
        <w:t>Introduction</w:t>
      </w:r>
    </w:p>
    <w:p w14:paraId="26BC6C1D" w14:textId="5961CA2D" w:rsidR="0009550D" w:rsidRPr="00AF2943" w:rsidRDefault="0009550D" w:rsidP="0009550D">
      <w:pPr>
        <w:pStyle w:val="SingleTxtG"/>
        <w:rPr>
          <w:lang w:eastAsia="zh-CN"/>
        </w:rPr>
      </w:pPr>
      <w:r w:rsidRPr="00AF2943">
        <w:rPr>
          <w:lang w:eastAsia="zh-CN"/>
        </w:rPr>
        <w:t>1.</w:t>
      </w:r>
      <w:r w:rsidRPr="00AF2943">
        <w:rPr>
          <w:lang w:eastAsia="zh-CN"/>
        </w:rPr>
        <w:tab/>
        <w:t>The Working Group on Enforced or Involuntary Disappearances, represented by Gabriella Citroni (Chair) and Grażyna Baranowska (Vice-Chair), conducted a seven-day visit to Lithuania from 20 to 26 November 2024. The Working Group wishes to thank the Government of Lithuania for extending an invitation to visit the country. The Working Group thanks the Ministry of Foreign Affairs</w:t>
      </w:r>
      <w:proofErr w:type="gramStart"/>
      <w:r w:rsidRPr="00AF2943">
        <w:rPr>
          <w:lang w:eastAsia="zh-CN"/>
        </w:rPr>
        <w:t>, in particular, for</w:t>
      </w:r>
      <w:proofErr w:type="gramEnd"/>
      <w:r w:rsidRPr="00AF2943">
        <w:rPr>
          <w:lang w:eastAsia="zh-CN"/>
        </w:rPr>
        <w:t xml:space="preserve"> the exceptional cooperation offered prior to, during and after the visit. The Working Group also thanks the Government of Lithuania for its feedback on the present report.</w:t>
      </w:r>
    </w:p>
    <w:p w14:paraId="258C696E" w14:textId="11DA15F3" w:rsidR="0009550D" w:rsidRPr="00AF2943" w:rsidRDefault="0009550D" w:rsidP="0009550D">
      <w:pPr>
        <w:pStyle w:val="SingleTxtG"/>
        <w:rPr>
          <w:lang w:eastAsia="zh-CN"/>
        </w:rPr>
      </w:pPr>
      <w:r w:rsidRPr="00AF2943">
        <w:rPr>
          <w:lang w:eastAsia="zh-CN"/>
        </w:rPr>
        <w:t>2.</w:t>
      </w:r>
      <w:r w:rsidRPr="00AF2943">
        <w:rPr>
          <w:lang w:eastAsia="zh-CN"/>
        </w:rPr>
        <w:tab/>
        <w:t>In accordance with the Working Group</w:t>
      </w:r>
      <w:r w:rsidR="00932724" w:rsidRPr="00AF2943">
        <w:rPr>
          <w:lang w:eastAsia="zh-CN"/>
        </w:rPr>
        <w:t>’</w:t>
      </w:r>
      <w:r w:rsidRPr="00AF2943">
        <w:rPr>
          <w:lang w:eastAsia="zh-CN"/>
        </w:rPr>
        <w:t>s mandate, the purpose of the visit was to obtain first-hand information on the country</w:t>
      </w:r>
      <w:r w:rsidR="00932724" w:rsidRPr="00AF2943">
        <w:rPr>
          <w:lang w:eastAsia="zh-CN"/>
        </w:rPr>
        <w:t>’</w:t>
      </w:r>
      <w:r w:rsidRPr="00AF2943">
        <w:rPr>
          <w:lang w:eastAsia="zh-CN"/>
        </w:rPr>
        <w:t xml:space="preserve">s human rights situation </w:t>
      </w:r>
      <w:proofErr w:type="gramStart"/>
      <w:r w:rsidRPr="00AF2943">
        <w:rPr>
          <w:lang w:eastAsia="zh-CN"/>
        </w:rPr>
        <w:t>in the area of</w:t>
      </w:r>
      <w:proofErr w:type="gramEnd"/>
      <w:r w:rsidRPr="00AF2943">
        <w:rPr>
          <w:lang w:eastAsia="zh-CN"/>
        </w:rPr>
        <w:t xml:space="preserve"> enforced disappearance, to identify the progress achieved in ensuring the rights to truth, justice, reparation and memory, and to identify the main challenges that the country is currently facing, including with regard to the prevention of enforced disappearance.</w:t>
      </w:r>
    </w:p>
    <w:p w14:paraId="16B57316" w14:textId="2AA77B59" w:rsidR="0009550D" w:rsidRPr="00AF2943" w:rsidRDefault="0009550D" w:rsidP="0009550D">
      <w:pPr>
        <w:pStyle w:val="SingleTxtG"/>
        <w:rPr>
          <w:lang w:eastAsia="zh-CN"/>
        </w:rPr>
      </w:pPr>
      <w:r w:rsidRPr="00AF2943">
        <w:rPr>
          <w:lang w:eastAsia="zh-CN"/>
        </w:rPr>
        <w:t>3.</w:t>
      </w:r>
      <w:r w:rsidRPr="00AF2943">
        <w:rPr>
          <w:lang w:eastAsia="zh-CN"/>
        </w:rPr>
        <w:tab/>
        <w:t>During the visit, the delegation met with representatives of the Ministry of Justice, the Ministry of National Defence, the Ministry of the Interior, including the Lithuanian Criminal Police Bureau and the State Border Guard Service, the Supreme Court, the Supreme Administrative Court, the Prosecutor General</w:t>
      </w:r>
      <w:r w:rsidR="00932724" w:rsidRPr="00AF2943">
        <w:rPr>
          <w:lang w:eastAsia="zh-CN"/>
        </w:rPr>
        <w:t>’</w:t>
      </w:r>
      <w:r w:rsidRPr="00AF2943">
        <w:rPr>
          <w:lang w:eastAsia="zh-CN"/>
        </w:rPr>
        <w:t>s Office, the Seimas Ombudspersons</w:t>
      </w:r>
      <w:r w:rsidR="00932724" w:rsidRPr="00AF2943">
        <w:rPr>
          <w:lang w:eastAsia="zh-CN"/>
        </w:rPr>
        <w:t>’</w:t>
      </w:r>
      <w:r w:rsidRPr="00AF2943">
        <w:rPr>
          <w:lang w:eastAsia="zh-CN"/>
        </w:rPr>
        <w:t xml:space="preserve"> Office, the Office of the Ombudsperson for Child</w:t>
      </w:r>
      <w:r w:rsidR="00932724" w:rsidRPr="00AF2943">
        <w:rPr>
          <w:lang w:eastAsia="zh-CN"/>
        </w:rPr>
        <w:t>’</w:t>
      </w:r>
      <w:r w:rsidRPr="00AF2943">
        <w:rPr>
          <w:lang w:eastAsia="zh-CN"/>
        </w:rPr>
        <w:t>s Rights and the Committee on Human Rights.</w:t>
      </w:r>
    </w:p>
    <w:p w14:paraId="4A0CC977" w14:textId="77777777" w:rsidR="0009550D" w:rsidRPr="00AF2943" w:rsidRDefault="0009550D" w:rsidP="0009550D">
      <w:pPr>
        <w:pStyle w:val="SingleTxtG"/>
        <w:rPr>
          <w:lang w:eastAsia="zh-CN"/>
        </w:rPr>
      </w:pPr>
      <w:r w:rsidRPr="00AF2943">
        <w:rPr>
          <w:lang w:eastAsia="zh-CN"/>
        </w:rPr>
        <w:t>4.</w:t>
      </w:r>
      <w:r w:rsidRPr="00AF2943">
        <w:rPr>
          <w:lang w:eastAsia="zh-CN"/>
        </w:rPr>
        <w:tab/>
        <w:t>The delegation visited the Pabradė Foreigners Registration Centre, where most persons who have entered Lithuania irregularly are initially kept. Moreover, the delegation visited facilities in Antaviliai that were used and controlled in 2005 and 2006 by the Central Intelligence Agency of the United States of America for its extraordinary rendition programme.</w:t>
      </w:r>
    </w:p>
    <w:p w14:paraId="6799B617" w14:textId="77777777" w:rsidR="0009550D" w:rsidRPr="00AF2943" w:rsidRDefault="0009550D" w:rsidP="0009550D">
      <w:pPr>
        <w:pStyle w:val="SingleTxtG"/>
        <w:rPr>
          <w:lang w:eastAsia="zh-CN"/>
        </w:rPr>
      </w:pPr>
      <w:r w:rsidRPr="00AF2943">
        <w:rPr>
          <w:lang w:eastAsia="zh-CN"/>
        </w:rPr>
        <w:t>5.</w:t>
      </w:r>
      <w:r w:rsidRPr="00AF2943">
        <w:rPr>
          <w:lang w:eastAsia="zh-CN"/>
        </w:rPr>
        <w:tab/>
        <w:t>The delegation also paid a visit to the Museum of Occupations and Freedom Fights in Vilnius, which memorializes, among others, persons who were forcibly disappeared by the Soviet regime in the 1940s and 1950s.</w:t>
      </w:r>
    </w:p>
    <w:p w14:paraId="0EEB84B9" w14:textId="6B736CFF" w:rsidR="0009550D" w:rsidRPr="00AF2943" w:rsidRDefault="0009550D" w:rsidP="0009550D">
      <w:pPr>
        <w:pStyle w:val="SingleTxtG"/>
        <w:rPr>
          <w:lang w:eastAsia="zh-CN"/>
        </w:rPr>
      </w:pPr>
      <w:r w:rsidRPr="00AF2943">
        <w:rPr>
          <w:lang w:eastAsia="zh-CN"/>
        </w:rPr>
        <w:t>6.</w:t>
      </w:r>
      <w:r w:rsidRPr="00AF2943">
        <w:rPr>
          <w:lang w:eastAsia="zh-CN"/>
        </w:rPr>
        <w:tab/>
        <w:t>Throughout the visit, the delegation held meetings with human rights defenders, lawyers, academics, other civil society representatives and representatives of the United</w:t>
      </w:r>
      <w:r w:rsidR="00026FB7" w:rsidRPr="00AF2943">
        <w:rPr>
          <w:lang w:eastAsia="zh-CN"/>
        </w:rPr>
        <w:t> </w:t>
      </w:r>
      <w:r w:rsidRPr="00AF2943">
        <w:rPr>
          <w:lang w:eastAsia="zh-CN"/>
        </w:rPr>
        <w:t>Nations High Commissioner for Refugees and the Lithuanian Red Cross Society. The Working Group wishes to thank all the stakeholders with whom the delegation met.</w:t>
      </w:r>
    </w:p>
    <w:p w14:paraId="7C4F640D" w14:textId="77777777" w:rsidR="0009550D" w:rsidRPr="00AF2943" w:rsidRDefault="0009550D" w:rsidP="00D10190">
      <w:pPr>
        <w:pStyle w:val="HChG"/>
        <w:rPr>
          <w:lang w:eastAsia="zh-CN"/>
        </w:rPr>
      </w:pPr>
      <w:r w:rsidRPr="00AF2943">
        <w:rPr>
          <w:lang w:eastAsia="zh-CN"/>
        </w:rPr>
        <w:tab/>
        <w:t>II.</w:t>
      </w:r>
      <w:r w:rsidRPr="00AF2943">
        <w:rPr>
          <w:lang w:eastAsia="zh-CN"/>
        </w:rPr>
        <w:tab/>
        <w:t>Background</w:t>
      </w:r>
    </w:p>
    <w:p w14:paraId="0CBE456E" w14:textId="77777777" w:rsidR="0009550D" w:rsidRPr="00AF2943" w:rsidRDefault="0009550D" w:rsidP="0009550D">
      <w:pPr>
        <w:pStyle w:val="SingleTxtG"/>
        <w:rPr>
          <w:lang w:eastAsia="zh-CN"/>
        </w:rPr>
      </w:pPr>
      <w:r w:rsidRPr="00AF2943">
        <w:rPr>
          <w:lang w:eastAsia="zh-CN"/>
        </w:rPr>
        <w:t>7.</w:t>
      </w:r>
      <w:r w:rsidRPr="00AF2943">
        <w:rPr>
          <w:lang w:eastAsia="zh-CN"/>
        </w:rPr>
        <w:tab/>
        <w:t>The Working Group does not have any reports of enforced disappearances registered under Lithuania in the context of its humanitarian procedure. However, it has referred to the involvement of Lithuania in extraordinary renditions and the corresponding Central Intelligence Agency secret detention programme, including the perpetration of enforced disappearances, in the joint study on global practices in relation to secret detention in the context of countering terrorism</w:t>
      </w:r>
      <w:r w:rsidRPr="00AF2943">
        <w:rPr>
          <w:rStyle w:val="FootnoteReference"/>
        </w:rPr>
        <w:footnoteReference w:id="3"/>
      </w:r>
      <w:r w:rsidRPr="00AF2943">
        <w:rPr>
          <w:lang w:eastAsia="zh-CN"/>
        </w:rPr>
        <w:t xml:space="preserve"> and in a general allegation submitted to Lithuania in 2012.</w:t>
      </w:r>
      <w:r w:rsidRPr="00AF2943">
        <w:rPr>
          <w:rStyle w:val="FootnoteReference"/>
        </w:rPr>
        <w:footnoteReference w:id="4"/>
      </w:r>
      <w:r w:rsidRPr="00AF2943">
        <w:rPr>
          <w:lang w:eastAsia="zh-CN"/>
        </w:rPr>
        <w:t xml:space="preserve"> The Working Group emphasizes that those practices entailed the commission of enforced disappearance. In this regard, the Working Group recalls that, in order to constitute an enforced disappearance, the deprivation of liberty of a person must be followed by a refusal to acknowledge such deprivation of liberty or by concealment of the fate or whereabouts of </w:t>
      </w:r>
      <w:r w:rsidRPr="00AF2943">
        <w:rPr>
          <w:lang w:eastAsia="zh-CN"/>
        </w:rPr>
        <w:lastRenderedPageBreak/>
        <w:t>the disappeared person, which place such a person outside the protection of the law, regardless of the duration of the said deprivation of liberty or concealment.</w:t>
      </w:r>
      <w:r w:rsidRPr="00AF2943">
        <w:rPr>
          <w:rStyle w:val="FootnoteReference"/>
        </w:rPr>
        <w:footnoteReference w:id="5"/>
      </w:r>
      <w:r w:rsidRPr="00AF2943">
        <w:rPr>
          <w:lang w:eastAsia="zh-CN"/>
        </w:rPr>
        <w:t xml:space="preserve"> </w:t>
      </w:r>
    </w:p>
    <w:p w14:paraId="7A7A466D" w14:textId="77777777" w:rsidR="0009550D" w:rsidRPr="00AF2943" w:rsidRDefault="0009550D" w:rsidP="0009550D">
      <w:pPr>
        <w:pStyle w:val="SingleTxtG"/>
        <w:rPr>
          <w:lang w:eastAsia="zh-CN"/>
        </w:rPr>
      </w:pPr>
      <w:r w:rsidRPr="00AF2943">
        <w:rPr>
          <w:lang w:eastAsia="zh-CN"/>
        </w:rPr>
        <w:t>8.</w:t>
      </w:r>
      <w:r w:rsidRPr="00AF2943">
        <w:rPr>
          <w:lang w:eastAsia="zh-CN"/>
        </w:rPr>
        <w:tab/>
        <w:t>On 21 October 2011, the Working Group, together with other special procedures, sent to Lithuania a joint allegation letter requesting the State: (a) to provide information on measures taken to investigate the allegations contained in the joint study and, if found true, to rectify the situation in compliance with international human rights norms and standards; (b) to implement the related recommendations; and (c) to provide any other relevant information.</w:t>
      </w:r>
      <w:r w:rsidRPr="00AF2943">
        <w:rPr>
          <w:rStyle w:val="FootnoteReference"/>
        </w:rPr>
        <w:footnoteReference w:id="6"/>
      </w:r>
      <w:r w:rsidRPr="00AF2943">
        <w:rPr>
          <w:lang w:eastAsia="zh-CN"/>
        </w:rPr>
        <w:t xml:space="preserve"> The Working Group regrets that no response was received.</w:t>
      </w:r>
    </w:p>
    <w:p w14:paraId="3FECD003" w14:textId="77777777" w:rsidR="0009550D" w:rsidRPr="00AF2943" w:rsidRDefault="0009550D" w:rsidP="0009550D">
      <w:pPr>
        <w:pStyle w:val="SingleTxtG"/>
        <w:rPr>
          <w:lang w:eastAsia="zh-CN"/>
        </w:rPr>
      </w:pPr>
      <w:r w:rsidRPr="00AF2943">
        <w:rPr>
          <w:lang w:eastAsia="zh-CN"/>
        </w:rPr>
        <w:t>9.</w:t>
      </w:r>
      <w:r w:rsidRPr="00AF2943">
        <w:rPr>
          <w:lang w:eastAsia="zh-CN"/>
        </w:rPr>
        <w:tab/>
        <w:t>The Working Group is concerned that, despite recognition by the European Court of Human Rights</w:t>
      </w:r>
      <w:r w:rsidRPr="00AF2943">
        <w:rPr>
          <w:rStyle w:val="FootnoteReference"/>
        </w:rPr>
        <w:footnoteReference w:id="7"/>
      </w:r>
      <w:r w:rsidRPr="00AF2943">
        <w:rPr>
          <w:lang w:eastAsia="zh-CN"/>
        </w:rPr>
        <w:t xml:space="preserve"> and by the treaty bodies and special procedures of the involvement of Lithuania in the extraordinary rendition programme, which entailed the enforced disappearance of at least five individuals on Lithuanian territory, there has been no official acknowledgment by Lithuanian authorities of their international responsibility, nor have they issued any public apologies to the persons concerned.</w:t>
      </w:r>
      <w:r w:rsidRPr="00AF2943">
        <w:rPr>
          <w:rStyle w:val="FootnoteReference"/>
        </w:rPr>
        <w:footnoteReference w:id="8"/>
      </w:r>
      <w:r w:rsidRPr="00AF2943">
        <w:rPr>
          <w:lang w:eastAsia="zh-CN"/>
        </w:rPr>
        <w:t xml:space="preserve"> This lack of recognition jeopardizes the right to know the truth, in both its individual and its collective dimensions, and also has implications in terms of guarantees of non-repetition.</w:t>
      </w:r>
    </w:p>
    <w:p w14:paraId="7AF4EC36" w14:textId="77777777" w:rsidR="0009550D" w:rsidRPr="00AF2943" w:rsidRDefault="0009550D" w:rsidP="0009550D">
      <w:pPr>
        <w:pStyle w:val="SingleTxtG"/>
        <w:rPr>
          <w:lang w:eastAsia="zh-CN"/>
        </w:rPr>
      </w:pPr>
      <w:r w:rsidRPr="00AF2943">
        <w:rPr>
          <w:lang w:eastAsia="zh-CN"/>
        </w:rPr>
        <w:t>10.</w:t>
      </w:r>
      <w:r w:rsidRPr="00AF2943">
        <w:rPr>
          <w:lang w:eastAsia="zh-CN"/>
        </w:rPr>
        <w:tab/>
        <w:t>An additional matter of concern identified by the Working Group as regards the prevention of enforced disappearances in Lithuania is the practice of pushbacks, which result in migrants being summarily forced back over an international border, without their protection needs being assessed. The practice is currently allowed under Lithuanian law and raises grave concerns, as it effectively removes the persons subjected to it from the protection of the law and exposes them to a heightened risk of disappearance.</w:t>
      </w:r>
    </w:p>
    <w:p w14:paraId="2116CDC1" w14:textId="77777777" w:rsidR="0009550D" w:rsidRPr="00AF2943" w:rsidRDefault="0009550D" w:rsidP="0009550D">
      <w:pPr>
        <w:pStyle w:val="HChG"/>
        <w:rPr>
          <w:lang w:eastAsia="zh-CN"/>
        </w:rPr>
      </w:pPr>
      <w:r w:rsidRPr="00AF2943">
        <w:rPr>
          <w:lang w:eastAsia="zh-CN"/>
        </w:rPr>
        <w:tab/>
        <w:t>III.</w:t>
      </w:r>
      <w:r w:rsidRPr="00AF2943">
        <w:rPr>
          <w:lang w:eastAsia="zh-CN"/>
        </w:rPr>
        <w:tab/>
        <w:t>Legal framework</w:t>
      </w:r>
    </w:p>
    <w:p w14:paraId="02E01B97" w14:textId="77777777" w:rsidR="0009550D" w:rsidRPr="00AF2943" w:rsidRDefault="0009550D" w:rsidP="0009550D">
      <w:pPr>
        <w:pStyle w:val="SingleTxtG"/>
        <w:rPr>
          <w:lang w:eastAsia="zh-CN"/>
        </w:rPr>
      </w:pPr>
      <w:r w:rsidRPr="00AF2943">
        <w:rPr>
          <w:lang w:eastAsia="zh-CN"/>
        </w:rPr>
        <w:t>11.</w:t>
      </w:r>
      <w:r w:rsidRPr="00AF2943">
        <w:rPr>
          <w:lang w:eastAsia="zh-CN"/>
        </w:rPr>
        <w:tab/>
        <w:t>The Working Group commends Lithuania for having ratified almost all the core international human rights treaties and the optional protocols thereto, including the International Convention for the Protection of All Persons from Enforced Disappearance and the Rome Statute of the International Criminal Court. It also commends Lithuania for having recognized the competence of the Committee on Enforced Disappearances to receive and examine individual and inter-State complaints pursuant to articles 31 and 32 of the Convention.</w:t>
      </w:r>
    </w:p>
    <w:p w14:paraId="6A8F255A" w14:textId="3CA12834" w:rsidR="0009550D" w:rsidRPr="00AF2943" w:rsidRDefault="0009550D" w:rsidP="0009550D">
      <w:pPr>
        <w:pStyle w:val="SingleTxtG"/>
        <w:rPr>
          <w:lang w:eastAsia="zh-CN"/>
        </w:rPr>
      </w:pPr>
      <w:r w:rsidRPr="00AF2943">
        <w:rPr>
          <w:lang w:eastAsia="zh-CN"/>
        </w:rPr>
        <w:t>12.</w:t>
      </w:r>
      <w:r w:rsidRPr="00AF2943">
        <w:rPr>
          <w:lang w:eastAsia="zh-CN"/>
        </w:rPr>
        <w:tab/>
        <w:t>The Working Group applauds Lithuania for having issued a standing invitation to all special procedures and for the ease and celerity with which the Working Group</w:t>
      </w:r>
      <w:r w:rsidR="00932724" w:rsidRPr="00AF2943">
        <w:rPr>
          <w:lang w:eastAsia="zh-CN"/>
        </w:rPr>
        <w:t>’</w:t>
      </w:r>
      <w:r w:rsidRPr="00AF2943">
        <w:rPr>
          <w:lang w:eastAsia="zh-CN"/>
        </w:rPr>
        <w:t>s country visit request was accepted.</w:t>
      </w:r>
    </w:p>
    <w:p w14:paraId="1098E211" w14:textId="77777777" w:rsidR="0009550D" w:rsidRPr="00AF2943" w:rsidRDefault="0009550D" w:rsidP="0009550D">
      <w:pPr>
        <w:pStyle w:val="SingleTxtG"/>
        <w:rPr>
          <w:lang w:eastAsia="zh-CN"/>
        </w:rPr>
      </w:pPr>
      <w:r w:rsidRPr="00AF2943">
        <w:rPr>
          <w:lang w:eastAsia="zh-CN"/>
        </w:rPr>
        <w:t>13.</w:t>
      </w:r>
      <w:r w:rsidRPr="00AF2943">
        <w:rPr>
          <w:lang w:eastAsia="zh-CN"/>
        </w:rPr>
        <w:tab/>
        <w:t>The Working Group observes with satisfaction that, by virtue of article 11 ( 1) of the Law on International Treaties of Lithuania, treaties ratified or acceded to by Lithuania that have entered into force are binding. Moreover, article 138 of the Constitution envisages their direct application. The Working Group acknowledges the ruling of the Constitutional Court of 24 January 2014</w:t>
      </w:r>
      <w:r w:rsidRPr="00AF2943">
        <w:rPr>
          <w:rStyle w:val="FootnoteReference"/>
        </w:rPr>
        <w:footnoteReference w:id="9"/>
      </w:r>
      <w:r w:rsidRPr="00AF2943">
        <w:rPr>
          <w:lang w:eastAsia="zh-CN"/>
        </w:rPr>
        <w:t xml:space="preserve"> in which it held that, pursuant to article 135of the Constitution, Lithuania was to be guided by the universally recognized principles and norms of international law.</w:t>
      </w:r>
    </w:p>
    <w:p w14:paraId="54254DA9" w14:textId="77777777" w:rsidR="0009550D" w:rsidRPr="00AF2943" w:rsidRDefault="0009550D" w:rsidP="0009550D">
      <w:pPr>
        <w:pStyle w:val="SingleTxtG"/>
        <w:rPr>
          <w:lang w:eastAsia="zh-CN"/>
        </w:rPr>
      </w:pPr>
      <w:r w:rsidRPr="00AF2943">
        <w:rPr>
          <w:lang w:eastAsia="zh-CN"/>
        </w:rPr>
        <w:t>14.</w:t>
      </w:r>
      <w:r w:rsidRPr="00AF2943">
        <w:rPr>
          <w:lang w:eastAsia="zh-CN"/>
        </w:rPr>
        <w:tab/>
        <w:t xml:space="preserve">The Working Group welcomes that, through Act No. XII-776 of 13 March 2014, the Criminal Code was amended to include the autonomous offence of enforced disappearance in art. 100-1 of the Criminal Code, which is part of chapter XV (crimes against humanity and </w:t>
      </w:r>
      <w:r w:rsidRPr="00AF2943">
        <w:rPr>
          <w:lang w:eastAsia="zh-CN"/>
        </w:rPr>
        <w:lastRenderedPageBreak/>
        <w:t>war crimes). The definition of the offence enshrined therein, after the amendments to the Criminal Code entered into force on 6 July 2023, is aligned with international standards.</w:t>
      </w:r>
    </w:p>
    <w:p w14:paraId="36214208" w14:textId="77777777" w:rsidR="0009550D" w:rsidRPr="00AF2943" w:rsidRDefault="0009550D" w:rsidP="0009550D">
      <w:pPr>
        <w:pStyle w:val="SingleTxtG"/>
        <w:rPr>
          <w:lang w:eastAsia="zh-CN"/>
        </w:rPr>
      </w:pPr>
      <w:r w:rsidRPr="00AF2943">
        <w:rPr>
          <w:lang w:eastAsia="zh-CN"/>
        </w:rPr>
        <w:t>15.</w:t>
      </w:r>
      <w:r w:rsidRPr="00AF2943">
        <w:rPr>
          <w:lang w:eastAsia="zh-CN"/>
        </w:rPr>
        <w:tab/>
        <w:t>The Working Group recalls that enforced disappearance must be punishable by appropriate penalties considering the extreme seriousness of the offence. States may establish aggravating and mitigating circumstances, which in Lithuania are set forth pursuant to articles 59 and 60 of the Criminal Code, which are applicable to all crimes. Furthermore, article 62 of the Criminal Code allows courts to impose a more lenient penalty than prescribed in the law, and it is equally applicable to all crimes.</w:t>
      </w:r>
    </w:p>
    <w:p w14:paraId="34EF0D7D" w14:textId="681CEAF6" w:rsidR="0009550D" w:rsidRPr="00AF2943" w:rsidRDefault="0009550D" w:rsidP="0009550D">
      <w:pPr>
        <w:pStyle w:val="SingleTxtG"/>
        <w:rPr>
          <w:lang w:eastAsia="zh-CN"/>
        </w:rPr>
      </w:pPr>
      <w:r w:rsidRPr="00AF2943">
        <w:rPr>
          <w:lang w:eastAsia="zh-CN"/>
        </w:rPr>
        <w:t>16.</w:t>
      </w:r>
      <w:r w:rsidRPr="00AF2943">
        <w:rPr>
          <w:lang w:eastAsia="zh-CN"/>
        </w:rPr>
        <w:tab/>
        <w:t>While article 60 of the Criminal Code outlines aggravating circumstances applicable to all crimes committed against individuals in a situation of vulnerability, such as children, persons with disabilities and pregnant women, better protection, in line with article 4 of the Declaration on the Protection of All Persons from Enforced Disappearance and article</w:t>
      </w:r>
      <w:r w:rsidR="00381749" w:rsidRPr="00AF2943">
        <w:rPr>
          <w:lang w:eastAsia="zh-CN"/>
        </w:rPr>
        <w:t> </w:t>
      </w:r>
      <w:r w:rsidRPr="00AF2943">
        <w:rPr>
          <w:lang w:eastAsia="zh-CN"/>
        </w:rPr>
        <w:t>7</w:t>
      </w:r>
      <w:r w:rsidR="00381749" w:rsidRPr="00AF2943">
        <w:rPr>
          <w:lang w:eastAsia="zh-CN"/>
        </w:rPr>
        <w:t> </w:t>
      </w:r>
      <w:r w:rsidRPr="00AF2943">
        <w:rPr>
          <w:lang w:eastAsia="zh-CN"/>
        </w:rPr>
        <w:t>(2)</w:t>
      </w:r>
      <w:r w:rsidR="00381749" w:rsidRPr="00AF2943">
        <w:rPr>
          <w:lang w:eastAsia="zh-CN"/>
        </w:rPr>
        <w:t> </w:t>
      </w:r>
      <w:r w:rsidRPr="00AF2943">
        <w:rPr>
          <w:lang w:eastAsia="zh-CN"/>
        </w:rPr>
        <w:t>(b) of the Convention, could be ensured by explicitly mentioning other categories of persons in such situations, including migrants.</w:t>
      </w:r>
    </w:p>
    <w:p w14:paraId="51E5536B" w14:textId="77777777" w:rsidR="0009550D" w:rsidRPr="00AF2943" w:rsidRDefault="0009550D" w:rsidP="0009550D">
      <w:pPr>
        <w:pStyle w:val="SingleTxtG"/>
        <w:rPr>
          <w:lang w:eastAsia="zh-CN"/>
        </w:rPr>
      </w:pPr>
      <w:r w:rsidRPr="00AF2943">
        <w:rPr>
          <w:lang w:eastAsia="zh-CN"/>
        </w:rPr>
        <w:t>17.</w:t>
      </w:r>
      <w:r w:rsidRPr="00AF2943">
        <w:rPr>
          <w:lang w:eastAsia="zh-CN"/>
        </w:rPr>
        <w:tab/>
        <w:t>Furthermore, pursuant to international law, the various types of criminal responsibility should be covered, including in relation to any person who commits, orders, solicits or induces the commission of, attempts to commit, is an accomplice to or participates in an enforced disappearance. Express provision should also be made for the application of individual command or superior responsibility for this offence.</w:t>
      </w:r>
    </w:p>
    <w:p w14:paraId="65BE15FF" w14:textId="6E531C23" w:rsidR="0009550D" w:rsidRPr="00AF2943" w:rsidRDefault="0009550D" w:rsidP="0009550D">
      <w:pPr>
        <w:pStyle w:val="SingleTxtG"/>
        <w:rPr>
          <w:lang w:eastAsia="zh-CN"/>
        </w:rPr>
      </w:pPr>
      <w:r w:rsidRPr="00AF2943">
        <w:rPr>
          <w:lang w:eastAsia="zh-CN"/>
        </w:rPr>
        <w:t>18.</w:t>
      </w:r>
      <w:r w:rsidRPr="00AF2943">
        <w:rPr>
          <w:lang w:eastAsia="zh-CN"/>
        </w:rPr>
        <w:tab/>
        <w:t>Articles 21 to 27 of the Criminal Code regulate the stages and forms of a criminal act and article 113 (1) regulates the negligent performance of a commander</w:t>
      </w:r>
      <w:r w:rsidR="00932724" w:rsidRPr="00AF2943">
        <w:rPr>
          <w:lang w:eastAsia="zh-CN"/>
        </w:rPr>
        <w:t>’</w:t>
      </w:r>
      <w:r w:rsidRPr="00AF2943">
        <w:rPr>
          <w:lang w:eastAsia="zh-CN"/>
        </w:rPr>
        <w:t xml:space="preserve">s duties. After the amendments entered into force in 2023, the article provides for the criminal responsibility of superiors and commanders. However, the provision does not yet expressly cover all the conduct foreseen in article 6 (1) (b) of the Convention, in particular </w:t>
      </w:r>
      <w:proofErr w:type="gramStart"/>
      <w:r w:rsidRPr="00AF2943">
        <w:rPr>
          <w:lang w:eastAsia="zh-CN"/>
        </w:rPr>
        <w:t>with regard to</w:t>
      </w:r>
      <w:proofErr w:type="gramEnd"/>
      <w:r w:rsidRPr="00AF2943">
        <w:rPr>
          <w:lang w:eastAsia="zh-CN"/>
        </w:rPr>
        <w:t xml:space="preserve"> the reference of the active exercise of effective responsibility for, and control over, activities that were concerned with the crime of enforced disappearance.</w:t>
      </w:r>
    </w:p>
    <w:p w14:paraId="485EC794" w14:textId="77777777" w:rsidR="0009550D" w:rsidRPr="00AF2943" w:rsidRDefault="0009550D" w:rsidP="0009550D">
      <w:pPr>
        <w:pStyle w:val="SingleTxtG"/>
        <w:rPr>
          <w:lang w:eastAsia="zh-CN"/>
        </w:rPr>
      </w:pPr>
      <w:r w:rsidRPr="00AF2943">
        <w:rPr>
          <w:lang w:eastAsia="zh-CN"/>
        </w:rPr>
        <w:t>19.</w:t>
      </w:r>
      <w:r w:rsidRPr="00AF2943">
        <w:rPr>
          <w:lang w:eastAsia="zh-CN"/>
        </w:rPr>
        <w:tab/>
        <w:t>The Working Group notes that, under article 78 of the Criminal Code and article 7 of the 2018 Amnesty Act, in line with article 18 of the Declaration, amnesty shall not apply to persons convicted of crimes against humanity and war crimes. To fully align with the Declaration, the law should also explicitly provide that persons who have committed or are suspected of having committed enforced disappearance cannot benefit from amnesties or similar measures exempting them from any criminal proceedings.</w:t>
      </w:r>
    </w:p>
    <w:p w14:paraId="771B60D7" w14:textId="77777777" w:rsidR="0009550D" w:rsidRPr="00AF2943" w:rsidRDefault="0009550D" w:rsidP="0009550D">
      <w:pPr>
        <w:pStyle w:val="SingleTxtG"/>
        <w:rPr>
          <w:lang w:eastAsia="zh-CN"/>
        </w:rPr>
      </w:pPr>
      <w:r w:rsidRPr="00AF2943">
        <w:rPr>
          <w:lang w:eastAsia="zh-CN"/>
        </w:rPr>
        <w:t>20.</w:t>
      </w:r>
      <w:r w:rsidRPr="00AF2943">
        <w:rPr>
          <w:lang w:eastAsia="zh-CN"/>
        </w:rPr>
        <w:tab/>
        <w:t>The applicable legislation also does not explicitly establish that persons alleged to have committed an act of enforced disappearance must be suspended from any official duties during the investigation and should be brought into line with article 16 (1) of the Declaration.</w:t>
      </w:r>
    </w:p>
    <w:p w14:paraId="705EFD68" w14:textId="77777777" w:rsidR="0009550D" w:rsidRPr="00AF2943" w:rsidRDefault="0009550D" w:rsidP="0009550D">
      <w:pPr>
        <w:pStyle w:val="SingleTxtG"/>
        <w:rPr>
          <w:lang w:eastAsia="zh-CN"/>
        </w:rPr>
      </w:pPr>
      <w:r w:rsidRPr="00AF2943">
        <w:rPr>
          <w:lang w:eastAsia="zh-CN"/>
        </w:rPr>
        <w:t>21.</w:t>
      </w:r>
      <w:r w:rsidRPr="00AF2943">
        <w:rPr>
          <w:lang w:eastAsia="zh-CN"/>
        </w:rPr>
        <w:tab/>
        <w:t>The Working Group is pleased to note that, pursuant to article 95 (9) of the Criminal Code, enforced disappearance is not subject to any statute of limitations. However, it is not only the criminal proceedings for enforced disappearances that should not be subject to any statute of limitations, but also the judicial sanction imposed on the perpetrator.</w:t>
      </w:r>
      <w:r w:rsidRPr="00AF2943">
        <w:rPr>
          <w:rStyle w:val="FootnoteReference"/>
        </w:rPr>
        <w:footnoteReference w:id="10"/>
      </w:r>
      <w:r w:rsidRPr="00AF2943">
        <w:rPr>
          <w:lang w:eastAsia="zh-CN"/>
        </w:rPr>
        <w:t xml:space="preserve"> Article 96 of the Criminal Code does not explicitly exempt the execution of judgments of conviction for enforced disappearances from the application of a statute of limitations and should be brought into line with international standards.</w:t>
      </w:r>
    </w:p>
    <w:p w14:paraId="072C6ECE" w14:textId="77777777" w:rsidR="0009550D" w:rsidRPr="00AF2943" w:rsidRDefault="0009550D" w:rsidP="0009550D">
      <w:pPr>
        <w:pStyle w:val="SingleTxtG"/>
        <w:rPr>
          <w:lang w:eastAsia="zh-CN"/>
        </w:rPr>
      </w:pPr>
      <w:r w:rsidRPr="00AF2943">
        <w:rPr>
          <w:lang w:eastAsia="zh-CN"/>
        </w:rPr>
        <w:t>22.</w:t>
      </w:r>
      <w:r w:rsidRPr="00AF2943">
        <w:rPr>
          <w:lang w:eastAsia="zh-CN"/>
        </w:rPr>
        <w:tab/>
        <w:t>In cases concerning crimes against humanity, including enforced disappearance, article 7 of the Criminal Code establishes the liability of persons regardless of their citizenship and place of residence, or the place of commission of a crime. The Working Group welcomes the broad notion of universal jurisdiction enshrined in Lithuanian legislation and that several pretrial investigations regarding serious human rights violations are taking place. It encourages Lithuania to ensure that, where appropriate, investigations are carried out under article 100-1 of the Criminal Code.</w:t>
      </w:r>
    </w:p>
    <w:p w14:paraId="4EA3773A" w14:textId="77777777" w:rsidR="0009550D" w:rsidRPr="00AF2943" w:rsidRDefault="0009550D" w:rsidP="00D10190">
      <w:pPr>
        <w:pStyle w:val="HChG"/>
        <w:rPr>
          <w:lang w:eastAsia="zh-CN"/>
        </w:rPr>
      </w:pPr>
      <w:r w:rsidRPr="00AF2943">
        <w:rPr>
          <w:lang w:eastAsia="zh-CN"/>
        </w:rPr>
        <w:lastRenderedPageBreak/>
        <w:tab/>
        <w:t>IV.</w:t>
      </w:r>
      <w:r w:rsidRPr="00AF2943">
        <w:rPr>
          <w:lang w:eastAsia="zh-CN"/>
        </w:rPr>
        <w:tab/>
        <w:t>Right to truth</w:t>
      </w:r>
    </w:p>
    <w:p w14:paraId="7021D438" w14:textId="77777777" w:rsidR="0009550D" w:rsidRPr="00AF2943" w:rsidRDefault="0009550D" w:rsidP="0009550D">
      <w:pPr>
        <w:pStyle w:val="SingleTxtG"/>
        <w:rPr>
          <w:lang w:eastAsia="zh-CN"/>
        </w:rPr>
      </w:pPr>
      <w:r w:rsidRPr="00AF2943">
        <w:rPr>
          <w:lang w:eastAsia="zh-CN"/>
        </w:rPr>
        <w:t>23.</w:t>
      </w:r>
      <w:r w:rsidRPr="00AF2943">
        <w:rPr>
          <w:lang w:eastAsia="zh-CN"/>
        </w:rPr>
        <w:tab/>
        <w:t>The Working Group notes that the right to know the truth, for individuals and groups, encompasses the determination of the fate and whereabouts of a disappeared person, the circumstances in which an enforced disappearance occurred and the progress and results of the investigation. Thus, the search for a disappeared person seeks to address a fundamental aspect of the right to the truth, which, however, has a more comprehensive dimension.</w:t>
      </w:r>
    </w:p>
    <w:p w14:paraId="5CD7549D" w14:textId="77777777" w:rsidR="0009550D" w:rsidRPr="00AF2943" w:rsidRDefault="0009550D" w:rsidP="0009550D">
      <w:pPr>
        <w:pStyle w:val="SingleTxtG"/>
        <w:rPr>
          <w:lang w:eastAsia="zh-CN"/>
        </w:rPr>
      </w:pPr>
      <w:r w:rsidRPr="00AF2943">
        <w:rPr>
          <w:lang w:eastAsia="zh-CN"/>
        </w:rPr>
        <w:t>24.</w:t>
      </w:r>
      <w:r w:rsidRPr="00AF2943">
        <w:rPr>
          <w:lang w:eastAsia="zh-CN"/>
        </w:rPr>
        <w:tab/>
        <w:t>This requires, among others, that States guarantee the adoption of mechanisms and strategies that ensure that, as soon as the competent authorities become aware, by any means, or have indications that a person has been subjected to a disappearance, they can begin the search immediately and expeditiously. The first hours of a disappearance are crucial for the search and for the collection of evidence relating to the disappearance. The Working Group commends the fact that, according to the information received, Lithuanian authorities would commence the search for a disappeared immediately following the filing of a report.</w:t>
      </w:r>
    </w:p>
    <w:p w14:paraId="4BD5F702" w14:textId="77777777" w:rsidR="0009550D" w:rsidRPr="00AF2943" w:rsidRDefault="0009550D" w:rsidP="0009550D">
      <w:pPr>
        <w:pStyle w:val="SingleTxtG"/>
        <w:rPr>
          <w:lang w:eastAsia="zh-CN"/>
        </w:rPr>
      </w:pPr>
      <w:r w:rsidRPr="00AF2943">
        <w:rPr>
          <w:lang w:eastAsia="zh-CN"/>
        </w:rPr>
        <w:t>25.</w:t>
      </w:r>
      <w:r w:rsidRPr="00AF2943">
        <w:rPr>
          <w:lang w:eastAsia="zh-CN"/>
        </w:rPr>
        <w:tab/>
        <w:t xml:space="preserve">This is of capital importance when those reportedly disappeared belong to especially vulnerable groups, including women, children and migrants. In this regard, the adoption of dedicated protocols, such as the Alba Protocol (for disappeared girls and women) or the Amber Alert (for disappeared children), plays a crucial role. It is recommended that Lithuania undertake relevant measures, especially </w:t>
      </w:r>
      <w:proofErr w:type="gramStart"/>
      <w:r w:rsidRPr="00AF2943">
        <w:rPr>
          <w:lang w:eastAsia="zh-CN"/>
        </w:rPr>
        <w:t>with regard to</w:t>
      </w:r>
      <w:proofErr w:type="gramEnd"/>
      <w:r w:rsidRPr="00AF2943">
        <w:rPr>
          <w:lang w:eastAsia="zh-CN"/>
        </w:rPr>
        <w:t xml:space="preserve"> potential victims of trafficking in persons. However, the Working Group notes with concern that pushbacks impede the detection of victims of trafficking in persons.</w:t>
      </w:r>
      <w:r w:rsidRPr="00AF2943">
        <w:rPr>
          <w:rStyle w:val="FootnoteReference"/>
        </w:rPr>
        <w:footnoteReference w:id="11"/>
      </w:r>
    </w:p>
    <w:p w14:paraId="6A71D7BF" w14:textId="77777777" w:rsidR="0009550D" w:rsidRPr="00AF2943" w:rsidRDefault="0009550D" w:rsidP="0009550D">
      <w:pPr>
        <w:pStyle w:val="SingleTxtG"/>
        <w:rPr>
          <w:lang w:eastAsia="zh-CN"/>
        </w:rPr>
      </w:pPr>
      <w:r w:rsidRPr="00AF2943">
        <w:rPr>
          <w:lang w:eastAsia="zh-CN"/>
        </w:rPr>
        <w:t>26.</w:t>
      </w:r>
      <w:r w:rsidRPr="00AF2943">
        <w:rPr>
          <w:lang w:eastAsia="zh-CN"/>
        </w:rPr>
        <w:tab/>
        <w:t>When the persons reported disappeared are migrants or asylum-seekers, the policies and programmes adopted by the Government to search for them should reflect the specificities of the situation, bearing in mind principle 9 of the Guiding Principles for the Search for Disappeared Persons.</w:t>
      </w:r>
      <w:r w:rsidRPr="00AF2943">
        <w:rPr>
          <w:rStyle w:val="FootnoteReference"/>
        </w:rPr>
        <w:footnoteReference w:id="12"/>
      </w:r>
      <w:r w:rsidRPr="00AF2943">
        <w:rPr>
          <w:lang w:eastAsia="zh-CN"/>
        </w:rPr>
        <w:t xml:space="preserve"> States should take specific coordinated measures to prevent disappearances in a migration context. </w:t>
      </w:r>
    </w:p>
    <w:p w14:paraId="2C6EBA4A" w14:textId="77777777" w:rsidR="0009550D" w:rsidRPr="00AF2943" w:rsidRDefault="0009550D" w:rsidP="0009550D">
      <w:pPr>
        <w:pStyle w:val="SingleTxtG"/>
        <w:rPr>
          <w:lang w:eastAsia="zh-CN"/>
        </w:rPr>
      </w:pPr>
      <w:r w:rsidRPr="00AF2943">
        <w:rPr>
          <w:lang w:eastAsia="zh-CN"/>
        </w:rPr>
        <w:t>27.</w:t>
      </w:r>
      <w:r w:rsidRPr="00AF2943">
        <w:rPr>
          <w:lang w:eastAsia="zh-CN"/>
        </w:rPr>
        <w:tab/>
        <w:t>Moreover, in order to be prepared to promptly and effectively search for disappeared persons in general, States must adopt all the measures necessary to guarantee that the authorities in charge of the search and the corresponding criminal investigations have access to adequate financial, human and technical resources and, in particular, state-of-the-art technologies (including Laser Identification and Ranging, sonar units and satellite imagery) and are regularly and duly trained, including on the application of the Berkeley Protocol on Digital Open Source Investigations. The Working Group commends the Lithuanian authorities for their</w:t>
      </w:r>
      <w:r w:rsidRPr="00AF2943">
        <w:t xml:space="preserve"> </w:t>
      </w:r>
      <w:r w:rsidRPr="00AF2943">
        <w:rPr>
          <w:lang w:eastAsia="zh-CN"/>
        </w:rPr>
        <w:t>use of new technologies, such as satellite imagery and digital technology, in search activities and emphasizes the need for regular training on this subject for law enforcement personnel, in particular personnel of the police and the border guard service.</w:t>
      </w:r>
    </w:p>
    <w:p w14:paraId="2EED850C" w14:textId="77777777" w:rsidR="0009550D" w:rsidRPr="00AF2943" w:rsidRDefault="0009550D" w:rsidP="0009550D">
      <w:pPr>
        <w:pStyle w:val="SingleTxtG"/>
        <w:rPr>
          <w:lang w:eastAsia="zh-CN"/>
        </w:rPr>
      </w:pPr>
      <w:r w:rsidRPr="00AF2943">
        <w:rPr>
          <w:lang w:eastAsia="zh-CN"/>
        </w:rPr>
        <w:t>28.</w:t>
      </w:r>
      <w:r w:rsidRPr="00AF2943">
        <w:rPr>
          <w:lang w:eastAsia="zh-CN"/>
        </w:rPr>
        <w:tab/>
        <w:t>Access to archives is another essential precondition for ensuring the rights of victims to truth, as well as justice. Article 13 (2) of the Declaration states that the competent authorities should have the necessary powers and resources, including powers to compel the attendance of witnesses and the production of relevant documents. Authorities should also have the power to have full access to the archives of the State, which must be preserved and made fully accessible to the public. In contexts involving multiple States, such as that of extraordinary renditions, measures should be taken to ensure cooperation and coordination in access to and analysis of relevant archives.</w:t>
      </w:r>
    </w:p>
    <w:p w14:paraId="6915E0DE" w14:textId="056485F3" w:rsidR="0009550D" w:rsidRPr="00AF2943" w:rsidRDefault="0009550D" w:rsidP="0009550D">
      <w:pPr>
        <w:pStyle w:val="SingleTxtG"/>
        <w:rPr>
          <w:lang w:eastAsia="zh-CN"/>
        </w:rPr>
      </w:pPr>
      <w:r w:rsidRPr="00AF2943">
        <w:rPr>
          <w:lang w:eastAsia="zh-CN"/>
        </w:rPr>
        <w:t>29.</w:t>
      </w:r>
      <w:r w:rsidRPr="00AF2943">
        <w:rPr>
          <w:lang w:eastAsia="zh-CN"/>
        </w:rPr>
        <w:tab/>
        <w:t>Pursuant to article 155 of the Code of Criminal Procedure, the prosecutor, with the authorization of a judge, has the right to access private and public institutions and to access information held in those institutions that could be relevant to a pretrial investigation. However, restrictions may apply to the prosecutor</w:t>
      </w:r>
      <w:r w:rsidR="00932724" w:rsidRPr="00AF2943">
        <w:rPr>
          <w:lang w:eastAsia="zh-CN"/>
        </w:rPr>
        <w:t>’</w:t>
      </w:r>
      <w:r w:rsidRPr="00AF2943">
        <w:rPr>
          <w:lang w:eastAsia="zh-CN"/>
        </w:rPr>
        <w:t xml:space="preserve">s right to access information, including archives, </w:t>
      </w:r>
      <w:proofErr w:type="gramStart"/>
      <w:r w:rsidRPr="00AF2943">
        <w:rPr>
          <w:lang w:eastAsia="zh-CN"/>
        </w:rPr>
        <w:t>in particular when</w:t>
      </w:r>
      <w:proofErr w:type="gramEnd"/>
      <w:r w:rsidRPr="00AF2943">
        <w:rPr>
          <w:lang w:eastAsia="zh-CN"/>
        </w:rPr>
        <w:t xml:space="preserve"> the relevant information constitutes a State or official secret. It </w:t>
      </w:r>
      <w:r w:rsidRPr="00AF2943">
        <w:rPr>
          <w:lang w:eastAsia="zh-CN"/>
        </w:rPr>
        <w:lastRenderedPageBreak/>
        <w:t>is important to reiterate that, in the case of human rights violations, State authorities cannot hide behind mechanisms such as official secrets or the confidentiality of the information or behind reasons of public interest or national security to justify not providing the information required by the judicial authorities in charge of the investigation or pending proceedings.</w:t>
      </w:r>
      <w:r w:rsidRPr="00AF2943">
        <w:rPr>
          <w:rStyle w:val="FootnoteReference"/>
        </w:rPr>
        <w:footnoteReference w:id="13"/>
      </w:r>
    </w:p>
    <w:p w14:paraId="076097BE" w14:textId="77777777" w:rsidR="0009550D" w:rsidRPr="00AF2943" w:rsidRDefault="0009550D" w:rsidP="00D10190">
      <w:pPr>
        <w:pStyle w:val="HChG"/>
        <w:rPr>
          <w:lang w:eastAsia="zh-CN"/>
        </w:rPr>
      </w:pPr>
      <w:r w:rsidRPr="00AF2943">
        <w:rPr>
          <w:lang w:eastAsia="zh-CN"/>
        </w:rPr>
        <w:tab/>
        <w:t>V.</w:t>
      </w:r>
      <w:r w:rsidRPr="00AF2943">
        <w:rPr>
          <w:lang w:eastAsia="zh-CN"/>
        </w:rPr>
        <w:tab/>
        <w:t>Right to justice in the context of the extraordinary rendition programme</w:t>
      </w:r>
    </w:p>
    <w:p w14:paraId="1FAA0780" w14:textId="77777777" w:rsidR="0009550D" w:rsidRPr="00AF2943" w:rsidRDefault="0009550D" w:rsidP="0009550D">
      <w:pPr>
        <w:pStyle w:val="SingleTxtG"/>
        <w:rPr>
          <w:lang w:eastAsia="zh-CN"/>
        </w:rPr>
      </w:pPr>
      <w:r w:rsidRPr="00AF2943">
        <w:rPr>
          <w:lang w:eastAsia="zh-CN"/>
        </w:rPr>
        <w:t>30.</w:t>
      </w:r>
      <w:r w:rsidRPr="00AF2943">
        <w:rPr>
          <w:lang w:eastAsia="zh-CN"/>
        </w:rPr>
        <w:tab/>
        <w:t xml:space="preserve">The Working Group recalls that the Declaration requires States to guarantee to victims of enforced disappearance an effective remedy that includes a thorough and impartial investigation with a view to identifying those responsible for the enforced disappearance, bringing perpetrators to justice and imposing on them appropriate penalties. </w:t>
      </w:r>
    </w:p>
    <w:p w14:paraId="58EE8B2C" w14:textId="7A67EED5" w:rsidR="0009550D" w:rsidRPr="00AF2943" w:rsidRDefault="0009550D" w:rsidP="0009550D">
      <w:pPr>
        <w:pStyle w:val="SingleTxtG"/>
        <w:rPr>
          <w:lang w:eastAsia="zh-CN"/>
        </w:rPr>
      </w:pPr>
      <w:r w:rsidRPr="00AF2943">
        <w:rPr>
          <w:lang w:eastAsia="zh-CN"/>
        </w:rPr>
        <w:t>31.</w:t>
      </w:r>
      <w:r w:rsidRPr="00AF2943">
        <w:rPr>
          <w:lang w:eastAsia="zh-CN"/>
        </w:rPr>
        <w:tab/>
        <w:t>The Working Group is concerned that no progress has been made in relation to criminal investigations and prosecutions related to the renditions and subsequent enforced disappearances committed two decades ago in the context of the extraordinary rendition programme. In the cases of Abu Zubaydah and Mustafa Ahmed Adam al-Hawsawi, the European Court of Human Rights has found Lithuania in breach of multiple human rights enshrined in the European Convention on Human Rights because of its complicity in the torture and enforced disappearance of detainees in this context.</w:t>
      </w:r>
      <w:r w:rsidRPr="00AF2943">
        <w:rPr>
          <w:rStyle w:val="FootnoteReference"/>
        </w:rPr>
        <w:footnoteReference w:id="14"/>
      </w:r>
      <w:r w:rsidRPr="00AF2943">
        <w:rPr>
          <w:lang w:eastAsia="zh-CN"/>
        </w:rPr>
        <w:t xml:space="preserve"> The Court ordered measures of reparation, including the reactivation of investigations to identify, prosecute and sanction those responsible. In addition, Lithuania was requested to take all possible steps to obtain the appropriate diplomatic assurances from the United States that Mr. Zubaydah and Mr.</w:t>
      </w:r>
      <w:r w:rsidR="00D10190" w:rsidRPr="00AF2943">
        <w:rPr>
          <w:lang w:eastAsia="zh-CN"/>
        </w:rPr>
        <w:t> </w:t>
      </w:r>
      <w:r w:rsidRPr="00AF2943">
        <w:rPr>
          <w:lang w:eastAsia="zh-CN"/>
        </w:rPr>
        <w:t>al</w:t>
      </w:r>
      <w:r w:rsidR="00D10190" w:rsidRPr="00AF2943">
        <w:rPr>
          <w:lang w:eastAsia="zh-CN"/>
        </w:rPr>
        <w:noBreakHyphen/>
      </w:r>
      <w:r w:rsidRPr="00AF2943">
        <w:rPr>
          <w:lang w:eastAsia="zh-CN"/>
        </w:rPr>
        <w:t>Hawsawi would not suffer the death penalty</w:t>
      </w:r>
      <w:r w:rsidRPr="00AF2943">
        <w:rPr>
          <w:rStyle w:val="FootnoteReference"/>
        </w:rPr>
        <w:footnoteReference w:id="15"/>
      </w:r>
      <w:r w:rsidRPr="00AF2943">
        <w:rPr>
          <w:lang w:eastAsia="zh-CN"/>
        </w:rPr>
        <w:t xml:space="preserve"> and to </w:t>
      </w:r>
      <w:r w:rsidR="00932724" w:rsidRPr="00AF2943">
        <w:rPr>
          <w:lang w:eastAsia="zh-CN"/>
        </w:rPr>
        <w:t>“</w:t>
      </w:r>
      <w:r w:rsidRPr="00AF2943">
        <w:rPr>
          <w:lang w:eastAsia="zh-CN"/>
        </w:rPr>
        <w:t>attempt to make further representations to the US authorities with a view to removing or, at the very least seeking to limit, as far as possible, the effects of the Convention violations suffered</w:t>
      </w:r>
      <w:r w:rsidR="00932724" w:rsidRPr="00AF2943">
        <w:rPr>
          <w:lang w:eastAsia="zh-CN"/>
        </w:rPr>
        <w:t>”</w:t>
      </w:r>
      <w:r w:rsidRPr="00AF2943">
        <w:rPr>
          <w:rStyle w:val="FootnoteReference"/>
        </w:rPr>
        <w:footnoteReference w:id="16"/>
      </w:r>
      <w:r w:rsidRPr="00AF2943">
        <w:rPr>
          <w:lang w:eastAsia="zh-CN"/>
        </w:rPr>
        <w:t xml:space="preserve"> by the applicants.</w:t>
      </w:r>
    </w:p>
    <w:p w14:paraId="525DF05F" w14:textId="77777777" w:rsidR="0009550D" w:rsidRPr="00AF2943" w:rsidRDefault="0009550D" w:rsidP="0009550D">
      <w:pPr>
        <w:pStyle w:val="SingleTxtG"/>
        <w:rPr>
          <w:lang w:eastAsia="zh-CN"/>
        </w:rPr>
      </w:pPr>
      <w:r w:rsidRPr="00AF2943">
        <w:rPr>
          <w:lang w:eastAsia="zh-CN"/>
        </w:rPr>
        <w:t>32.</w:t>
      </w:r>
      <w:r w:rsidRPr="00AF2943">
        <w:rPr>
          <w:lang w:eastAsia="zh-CN"/>
        </w:rPr>
        <w:tab/>
        <w:t>The Working Group on Arbitrary Detention has also requested the State to take the steps necessary to remedy the situation of Mr. Zubaydah without delay and bring it into conformity with the relevant international norms and to ensure full and independent investigations of the circumstances surrounding his arbitrary deprivation of liberty and to take appropriate measures against those responsible for the violations of his rights.</w:t>
      </w:r>
      <w:r w:rsidRPr="00AF2943">
        <w:rPr>
          <w:rStyle w:val="FootnoteReference"/>
        </w:rPr>
        <w:footnoteReference w:id="17"/>
      </w:r>
      <w:r w:rsidRPr="00AF2943">
        <w:rPr>
          <w:lang w:eastAsia="zh-CN"/>
        </w:rPr>
        <w:t xml:space="preserve"> Furthermore, the Committee on Enforced Disappearances,</w:t>
      </w:r>
      <w:r w:rsidRPr="00AF2943">
        <w:rPr>
          <w:rStyle w:val="FootnoteReference"/>
        </w:rPr>
        <w:footnoteReference w:id="18"/>
      </w:r>
      <w:r w:rsidRPr="00AF2943">
        <w:rPr>
          <w:lang w:eastAsia="zh-CN"/>
        </w:rPr>
        <w:t xml:space="preserve"> the Committee against Torture,</w:t>
      </w:r>
      <w:r w:rsidRPr="00AF2943">
        <w:rPr>
          <w:rStyle w:val="FootnoteReference"/>
        </w:rPr>
        <w:footnoteReference w:id="19"/>
      </w:r>
      <w:r w:rsidRPr="00AF2943">
        <w:rPr>
          <w:lang w:eastAsia="zh-CN"/>
        </w:rPr>
        <w:t xml:space="preserve"> the Human Rights Committee</w:t>
      </w:r>
      <w:r w:rsidRPr="00AF2943">
        <w:rPr>
          <w:rStyle w:val="FootnoteReference"/>
        </w:rPr>
        <w:footnoteReference w:id="20"/>
      </w:r>
      <w:r w:rsidRPr="00AF2943">
        <w:rPr>
          <w:lang w:eastAsia="zh-CN"/>
        </w:rPr>
        <w:t xml:space="preserve"> and the Special Rapporteur on the promotion and protection of human rights and fundamental freedoms while countering terrorism</w:t>
      </w:r>
      <w:r w:rsidRPr="00AF2943">
        <w:rPr>
          <w:rStyle w:val="FootnoteReference"/>
        </w:rPr>
        <w:footnoteReference w:id="21"/>
      </w:r>
      <w:r w:rsidRPr="00AF2943">
        <w:rPr>
          <w:lang w:eastAsia="zh-CN"/>
        </w:rPr>
        <w:t xml:space="preserve"> have called upon Lithuania to conduct investigations within a reasonable time, ensuring that those responsible are held accountable and that victims are duly recognized and provided with appropriate redress.</w:t>
      </w:r>
    </w:p>
    <w:p w14:paraId="78DB6119" w14:textId="77777777" w:rsidR="0009550D" w:rsidRPr="00AF2943" w:rsidRDefault="0009550D" w:rsidP="0009550D">
      <w:pPr>
        <w:pStyle w:val="SingleTxtG"/>
        <w:rPr>
          <w:lang w:eastAsia="zh-CN"/>
        </w:rPr>
      </w:pPr>
      <w:r w:rsidRPr="00AF2943">
        <w:rPr>
          <w:lang w:eastAsia="zh-CN"/>
        </w:rPr>
        <w:t>33.</w:t>
      </w:r>
      <w:r w:rsidRPr="00AF2943">
        <w:rPr>
          <w:lang w:eastAsia="zh-CN"/>
        </w:rPr>
        <w:tab/>
        <w:t xml:space="preserve">On 8 January 2025, the Working Group, together with the Special Rapporteur on the promotion and protection of human rights and fundamental freedoms while countering terrorism, the Special Rapporteur on the independence of judges and lawyers, the Working Group on Arbitrary Detention and the Special Rapporteur on torture and other cruel, inhuman or degrading treatment or punishment called upon the United States to immediately release Mr. Zubaydah and provide adequate compensation and redress for the harm inflicted on him. Moreover, recalling the principle of joint responsibility that applies to States when more than </w:t>
      </w:r>
      <w:r w:rsidRPr="00AF2943">
        <w:rPr>
          <w:lang w:eastAsia="zh-CN"/>
        </w:rPr>
        <w:lastRenderedPageBreak/>
        <w:t>one of them was involved in the perpetration of human rights violations, the special procedures called upon States, including Lithuania, to proactively offer their territory for the prompt relocation of Mr. Zubaydah.</w:t>
      </w:r>
      <w:r w:rsidRPr="00AF2943">
        <w:rPr>
          <w:rStyle w:val="FootnoteReference"/>
        </w:rPr>
        <w:footnoteReference w:id="22"/>
      </w:r>
    </w:p>
    <w:p w14:paraId="1328EE33" w14:textId="6712FD05" w:rsidR="0009550D" w:rsidRPr="00AF2943" w:rsidRDefault="0009550D" w:rsidP="0009550D">
      <w:pPr>
        <w:pStyle w:val="SingleTxtG"/>
        <w:rPr>
          <w:lang w:eastAsia="zh-CN"/>
        </w:rPr>
      </w:pPr>
      <w:r w:rsidRPr="00AF2943">
        <w:rPr>
          <w:lang w:eastAsia="zh-CN"/>
        </w:rPr>
        <w:t>34.</w:t>
      </w:r>
      <w:r w:rsidRPr="00AF2943">
        <w:rPr>
          <w:lang w:eastAsia="zh-CN"/>
        </w:rPr>
        <w:tab/>
        <w:t xml:space="preserve">According to information gathered by the Working Group, on 25 August 2009, the President of Lithuania announced that her Government would investigate allegations that Lithuania had hosted a secret detention facility. On 5 November 2009, the Lithuanian parliament opened an investigation into the allegation of the existence of a secret Central Intelligence Agency detention facility in Lithuania. In its report, the Seimas Committee on National Security and Defence stated that the State Security Department had received requests to </w:t>
      </w:r>
      <w:r w:rsidR="00932724" w:rsidRPr="00AF2943">
        <w:rPr>
          <w:lang w:eastAsia="zh-CN"/>
        </w:rPr>
        <w:t>“</w:t>
      </w:r>
      <w:r w:rsidRPr="00AF2943">
        <w:rPr>
          <w:lang w:eastAsia="zh-CN"/>
        </w:rPr>
        <w:t>equip facilities in Lithuania suitable for holding detainees</w:t>
      </w:r>
      <w:r w:rsidR="00932724" w:rsidRPr="00AF2943">
        <w:rPr>
          <w:lang w:eastAsia="zh-CN"/>
        </w:rPr>
        <w:t>”</w:t>
      </w:r>
      <w:r w:rsidRPr="00AF2943">
        <w:rPr>
          <w:lang w:eastAsia="zh-CN"/>
        </w:rPr>
        <w:t>.</w:t>
      </w:r>
      <w:r w:rsidRPr="00AF2943">
        <w:rPr>
          <w:rStyle w:val="FootnoteReference"/>
        </w:rPr>
        <w:footnoteReference w:id="23"/>
      </w:r>
      <w:r w:rsidRPr="00AF2943">
        <w:rPr>
          <w:lang w:eastAsia="zh-CN"/>
        </w:rPr>
        <w:t xml:space="preserve"> The report contained no evidence that the Department had informed the President, the Prime Minister or other political leaders of the purposes and contents of its cooperation with the Central Intelligence Agency regarding two premises. On 14 January 2010, the President urged Lithuanian prosecutors to launch a deeper investigation into secret Central Intelligence Agency black sites on the country</w:t>
      </w:r>
      <w:r w:rsidR="00932724" w:rsidRPr="00AF2943">
        <w:rPr>
          <w:lang w:eastAsia="zh-CN"/>
        </w:rPr>
        <w:t>’</w:t>
      </w:r>
      <w:r w:rsidRPr="00AF2943">
        <w:rPr>
          <w:lang w:eastAsia="zh-CN"/>
        </w:rPr>
        <w:t>s territory without parliamentary approval.</w:t>
      </w:r>
    </w:p>
    <w:p w14:paraId="2446E695" w14:textId="71AAB022" w:rsidR="0009550D" w:rsidRPr="00AF2943" w:rsidRDefault="0009550D" w:rsidP="0009550D">
      <w:pPr>
        <w:pStyle w:val="SingleTxtG"/>
        <w:rPr>
          <w:lang w:eastAsia="zh-CN"/>
        </w:rPr>
      </w:pPr>
      <w:r w:rsidRPr="00AF2943">
        <w:rPr>
          <w:lang w:eastAsia="zh-CN"/>
        </w:rPr>
        <w:t>35.</w:t>
      </w:r>
      <w:r w:rsidRPr="00AF2943">
        <w:rPr>
          <w:lang w:eastAsia="zh-CN"/>
        </w:rPr>
        <w:tab/>
        <w:t>On 13 February 2014, the Prosecutor-General</w:t>
      </w:r>
      <w:r w:rsidR="00932724" w:rsidRPr="00AF2943">
        <w:rPr>
          <w:lang w:eastAsia="zh-CN"/>
        </w:rPr>
        <w:t>’</w:t>
      </w:r>
      <w:r w:rsidRPr="00AF2943">
        <w:rPr>
          <w:lang w:eastAsia="zh-CN"/>
        </w:rPr>
        <w:t>s Office initiated a pretrial investigation in relation to the unlawful transportation of persons across the State border (Criminal Code,</w:t>
      </w:r>
      <w:r w:rsidRPr="00AF2943" w:rsidDel="003C0C81">
        <w:rPr>
          <w:lang w:eastAsia="zh-CN"/>
        </w:rPr>
        <w:t xml:space="preserve"> </w:t>
      </w:r>
      <w:r w:rsidRPr="00AF2943">
        <w:rPr>
          <w:lang w:eastAsia="zh-CN"/>
        </w:rPr>
        <w:t>art. 292 (3)). Moreover, on 22 January 2015, it reopened another pretrial investigation</w:t>
      </w:r>
      <w:r w:rsidRPr="00AF2943">
        <w:rPr>
          <w:rStyle w:val="FootnoteReference"/>
        </w:rPr>
        <w:footnoteReference w:id="24"/>
      </w:r>
      <w:r w:rsidRPr="00AF2943">
        <w:rPr>
          <w:lang w:eastAsia="zh-CN"/>
        </w:rPr>
        <w:t xml:space="preserve"> in relation to abuse of office (Criminal Code,</w:t>
      </w:r>
      <w:r w:rsidRPr="00AF2943" w:rsidDel="00685380">
        <w:rPr>
          <w:lang w:eastAsia="zh-CN"/>
        </w:rPr>
        <w:t xml:space="preserve"> </w:t>
      </w:r>
      <w:r w:rsidRPr="00AF2943">
        <w:rPr>
          <w:lang w:eastAsia="zh-CN"/>
        </w:rPr>
        <w:t>art. 228 (1)). On 6 February 2015, the two pretrial investigations were joined.</w:t>
      </w:r>
    </w:p>
    <w:p w14:paraId="4F08A39E" w14:textId="77777777" w:rsidR="0009550D" w:rsidRPr="00AF2943" w:rsidRDefault="0009550D" w:rsidP="0009550D">
      <w:pPr>
        <w:pStyle w:val="SingleTxtG"/>
        <w:rPr>
          <w:lang w:eastAsia="zh-CN"/>
        </w:rPr>
      </w:pPr>
      <w:r w:rsidRPr="00AF2943">
        <w:rPr>
          <w:lang w:eastAsia="zh-CN"/>
        </w:rPr>
        <w:t>36.</w:t>
      </w:r>
      <w:r w:rsidRPr="00AF2943">
        <w:rPr>
          <w:lang w:eastAsia="zh-CN"/>
        </w:rPr>
        <w:tab/>
      </w:r>
      <w:proofErr w:type="gramStart"/>
      <w:r w:rsidRPr="00AF2943">
        <w:rPr>
          <w:lang w:eastAsia="zh-CN"/>
        </w:rPr>
        <w:t>In the course of</w:t>
      </w:r>
      <w:proofErr w:type="gramEnd"/>
      <w:r w:rsidRPr="00AF2943">
        <w:rPr>
          <w:lang w:eastAsia="zh-CN"/>
        </w:rPr>
        <w:t xml:space="preserve"> the pretrial investigation, information was requested from the Department of Justice of the United States under the legal assistance framework. However, the United States responded that it did not possess the information requested. Similar requests for information, </w:t>
      </w:r>
      <w:proofErr w:type="gramStart"/>
      <w:r w:rsidRPr="00AF2943">
        <w:rPr>
          <w:lang w:eastAsia="zh-CN"/>
        </w:rPr>
        <w:t>in particular concerning</w:t>
      </w:r>
      <w:proofErr w:type="gramEnd"/>
      <w:r w:rsidRPr="00AF2943">
        <w:rPr>
          <w:lang w:eastAsia="zh-CN"/>
        </w:rPr>
        <w:t xml:space="preserve"> the case of Mr. al-Hawsawi, were directed to the competent authorities of Afghanistan, Morocco, Poland and Romania. Although Morocco, Poland and Romania reportedly responded to the requests, they did not provide any data of relevance for the investigation. Allegedly, the lack of response by Afghanistan led to a further impasse in the pretrial investigation, although did not lead to its suspension or closure.</w:t>
      </w:r>
    </w:p>
    <w:p w14:paraId="1979B4CD" w14:textId="77777777" w:rsidR="0009550D" w:rsidRPr="00AF2943" w:rsidRDefault="0009550D" w:rsidP="0009550D">
      <w:pPr>
        <w:pStyle w:val="SingleTxtG"/>
        <w:rPr>
          <w:lang w:eastAsia="zh-CN"/>
        </w:rPr>
      </w:pPr>
      <w:r w:rsidRPr="00AF2943">
        <w:rPr>
          <w:lang w:eastAsia="zh-CN"/>
        </w:rPr>
        <w:t>37.</w:t>
      </w:r>
      <w:r w:rsidRPr="00AF2943">
        <w:rPr>
          <w:lang w:eastAsia="zh-CN"/>
        </w:rPr>
        <w:tab/>
        <w:t>It is worth recalling that the prohibition of enforced disappearance and the corresponding obligation to investigate it and punish perpetrators has attained the status of jus cogens.</w:t>
      </w:r>
      <w:r w:rsidRPr="00AF2943">
        <w:rPr>
          <w:rStyle w:val="FootnoteReference"/>
        </w:rPr>
        <w:footnoteReference w:id="25"/>
      </w:r>
      <w:r w:rsidRPr="00AF2943">
        <w:rPr>
          <w:lang w:eastAsia="zh-CN"/>
        </w:rPr>
        <w:t xml:space="preserve"> The Working Group has emphasized that bestowing jus cogens nature to the prohibition of enforced disappearance and the duty to investigate and punish gives rise to obligations for all States to adopt all measures necessary to ensure that such violations do not remain unpunished, either by exercising their jurisdiction to apply their domestic law and international law to prosecute and, when applicable, punish those responsible, or by collaborating with other States that do so or attempt to do so.</w:t>
      </w:r>
      <w:r w:rsidRPr="00AF2943">
        <w:rPr>
          <w:rStyle w:val="FootnoteReference"/>
        </w:rPr>
        <w:footnoteReference w:id="26"/>
      </w:r>
    </w:p>
    <w:p w14:paraId="6D19CC20" w14:textId="77777777" w:rsidR="0009550D" w:rsidRPr="00AF2943" w:rsidRDefault="0009550D" w:rsidP="0009550D">
      <w:pPr>
        <w:pStyle w:val="SingleTxtG"/>
        <w:rPr>
          <w:lang w:eastAsia="zh-CN"/>
        </w:rPr>
      </w:pPr>
      <w:r w:rsidRPr="00AF2943">
        <w:rPr>
          <w:lang w:eastAsia="zh-CN"/>
        </w:rPr>
        <w:t>38.</w:t>
      </w:r>
      <w:r w:rsidRPr="00AF2943">
        <w:rPr>
          <w:lang w:eastAsia="zh-CN"/>
        </w:rPr>
        <w:tab/>
        <w:t xml:space="preserve">In this regard, the peremptory prohibition of enforced disappearance gives rise to obligations </w:t>
      </w:r>
      <w:r w:rsidRPr="00AF2943">
        <w:rPr>
          <w:i/>
          <w:iCs/>
          <w:lang w:eastAsia="zh-CN"/>
        </w:rPr>
        <w:t>erga omnes</w:t>
      </w:r>
      <w:r w:rsidRPr="00AF2943">
        <w:rPr>
          <w:lang w:eastAsia="zh-CN"/>
        </w:rPr>
        <w:t xml:space="preserve"> and the Working Group calls upon all States that may hold relevant information on the cases of Mr. Zubaydah and Mr. al-Hawsawi, including Afghanistan, Morocco, Pakistan, Poland, Romania, Thailand, the United Kingdom of Great Britain and Northern Ireland and the United States, to collaborate with the Lithuanian authorities by supplying all evidence at their disposal that is necessary in the context of the ongoing pretrial investigation.</w:t>
      </w:r>
    </w:p>
    <w:p w14:paraId="11B8D58C" w14:textId="77777777" w:rsidR="0009550D" w:rsidRPr="00AF2943" w:rsidRDefault="0009550D" w:rsidP="0009550D">
      <w:pPr>
        <w:pStyle w:val="SingleTxtG"/>
        <w:rPr>
          <w:lang w:eastAsia="zh-CN"/>
        </w:rPr>
      </w:pPr>
      <w:r w:rsidRPr="00AF2943">
        <w:rPr>
          <w:lang w:eastAsia="zh-CN"/>
        </w:rPr>
        <w:t>39.</w:t>
      </w:r>
      <w:r w:rsidRPr="00AF2943">
        <w:rPr>
          <w:lang w:eastAsia="zh-CN"/>
        </w:rPr>
        <w:tab/>
        <w:t xml:space="preserve">Following the European Court of Human Rights judgment in the case </w:t>
      </w:r>
      <w:r w:rsidRPr="00AF2943">
        <w:rPr>
          <w:i/>
          <w:iCs/>
          <w:lang w:eastAsia="zh-CN"/>
        </w:rPr>
        <w:t>Abu Zubaydah v. Lithuania</w:t>
      </w:r>
      <w:r w:rsidRPr="00AF2943">
        <w:rPr>
          <w:lang w:eastAsia="zh-CN"/>
        </w:rPr>
        <w:t>, issued in 2018, the scope of the investigation was reportedly broadened to avoid the risk of prescription of offences.</w:t>
      </w:r>
      <w:r w:rsidRPr="00AF2943">
        <w:rPr>
          <w:rStyle w:val="FootnoteReference"/>
        </w:rPr>
        <w:footnoteReference w:id="27"/>
      </w:r>
      <w:r w:rsidRPr="00AF2943">
        <w:rPr>
          <w:lang w:eastAsia="zh-CN"/>
        </w:rPr>
        <w:t xml:space="preserve"> To overcome the refusal of the United States authorities </w:t>
      </w:r>
      <w:r w:rsidRPr="00AF2943">
        <w:rPr>
          <w:lang w:eastAsia="zh-CN"/>
        </w:rPr>
        <w:lastRenderedPageBreak/>
        <w:t>to support their requests for international legal assistance, the Lithuanian authorities have been pursuing two main avenues: (a) seeking relevant information from or through proceedings under United States jurisdiction; and (b) initiatives to establish international cooperation.</w:t>
      </w:r>
    </w:p>
    <w:p w14:paraId="7AE52151" w14:textId="3158F6DB" w:rsidR="0009550D" w:rsidRPr="00AF2943" w:rsidRDefault="0009550D" w:rsidP="0009550D">
      <w:pPr>
        <w:pStyle w:val="SingleTxtG"/>
        <w:rPr>
          <w:lang w:eastAsia="zh-CN"/>
        </w:rPr>
      </w:pPr>
      <w:r w:rsidRPr="00AF2943">
        <w:rPr>
          <w:lang w:eastAsia="zh-CN"/>
        </w:rPr>
        <w:t>40.</w:t>
      </w:r>
      <w:r w:rsidRPr="00AF2943">
        <w:rPr>
          <w:lang w:eastAsia="zh-CN"/>
        </w:rPr>
        <w:tab/>
        <w:t xml:space="preserve">In May 2021, the District Court for the District of Columbia, United States, granted </w:t>
      </w:r>
      <w:proofErr w:type="gramStart"/>
      <w:r w:rsidRPr="00AF2943">
        <w:rPr>
          <w:lang w:eastAsia="zh-CN"/>
        </w:rPr>
        <w:t>a number of</w:t>
      </w:r>
      <w:proofErr w:type="gramEnd"/>
      <w:r w:rsidRPr="00AF2943">
        <w:rPr>
          <w:lang w:eastAsia="zh-CN"/>
        </w:rPr>
        <w:t xml:space="preserve"> discovery requests made by Mr. Zubaydah</w:t>
      </w:r>
      <w:r w:rsidR="00932724" w:rsidRPr="00AF2943">
        <w:rPr>
          <w:lang w:eastAsia="zh-CN"/>
        </w:rPr>
        <w:t>’</w:t>
      </w:r>
      <w:r w:rsidRPr="00AF2943">
        <w:rPr>
          <w:lang w:eastAsia="zh-CN"/>
        </w:rPr>
        <w:t>s counsel.</w:t>
      </w:r>
    </w:p>
    <w:p w14:paraId="433C08E0" w14:textId="294339F7" w:rsidR="0009550D" w:rsidRPr="00AF2943" w:rsidRDefault="0009550D" w:rsidP="0009550D">
      <w:pPr>
        <w:pStyle w:val="SingleTxtG"/>
        <w:rPr>
          <w:lang w:eastAsia="zh-CN"/>
        </w:rPr>
      </w:pPr>
      <w:r w:rsidRPr="00AF2943">
        <w:rPr>
          <w:lang w:eastAsia="zh-CN"/>
        </w:rPr>
        <w:t>41.</w:t>
      </w:r>
      <w:r w:rsidRPr="00AF2943">
        <w:rPr>
          <w:lang w:eastAsia="zh-CN"/>
        </w:rPr>
        <w:tab/>
        <w:t>Following the rejection by the Supreme Court of the United States of a request by Mr.</w:t>
      </w:r>
      <w:r w:rsidR="00B92724" w:rsidRPr="00AF2943">
        <w:rPr>
          <w:lang w:eastAsia="zh-CN"/>
        </w:rPr>
        <w:t> </w:t>
      </w:r>
      <w:r w:rsidRPr="00AF2943">
        <w:rPr>
          <w:lang w:eastAsia="zh-CN"/>
        </w:rPr>
        <w:t>Zubaydah for the disclosure of information to be used in the investigation in Poland, Lithuanian authorities decided not to pursue that avenue to seek relevant information in the case.</w:t>
      </w:r>
      <w:r w:rsidRPr="00AF2943">
        <w:rPr>
          <w:rStyle w:val="FootnoteReference"/>
        </w:rPr>
        <w:footnoteReference w:id="28"/>
      </w:r>
    </w:p>
    <w:p w14:paraId="712D5B4E" w14:textId="77777777" w:rsidR="0009550D" w:rsidRPr="00AF2943" w:rsidRDefault="0009550D" w:rsidP="0009550D">
      <w:pPr>
        <w:pStyle w:val="SingleTxtG"/>
        <w:rPr>
          <w:lang w:eastAsia="zh-CN"/>
        </w:rPr>
      </w:pPr>
      <w:r w:rsidRPr="00AF2943">
        <w:rPr>
          <w:lang w:eastAsia="zh-CN"/>
        </w:rPr>
        <w:t>42.</w:t>
      </w:r>
      <w:r w:rsidRPr="00AF2943">
        <w:rPr>
          <w:lang w:eastAsia="zh-CN"/>
        </w:rPr>
        <w:tab/>
        <w:t xml:space="preserve">The Working Group notes that, in cases of alleged enforced disappearance, mechanisms such as State secret, confidentiality or national security cannot justify the restriction or denial of access of relevant information and encourages the Lithuanian authorities to closely follow the developments in relevant proceedings, </w:t>
      </w:r>
      <w:proofErr w:type="gramStart"/>
      <w:r w:rsidRPr="00AF2943">
        <w:rPr>
          <w:lang w:eastAsia="zh-CN"/>
        </w:rPr>
        <w:t>in particular in</w:t>
      </w:r>
      <w:proofErr w:type="gramEnd"/>
      <w:r w:rsidRPr="00AF2943">
        <w:rPr>
          <w:lang w:eastAsia="zh-CN"/>
        </w:rPr>
        <w:t xml:space="preserve"> the United States, and to assess whether any evidence disclosed in them can be of use in their domestic investigation.</w:t>
      </w:r>
    </w:p>
    <w:p w14:paraId="7414A8AF" w14:textId="77777777" w:rsidR="0009550D" w:rsidRPr="00AF2943" w:rsidRDefault="0009550D" w:rsidP="0009550D">
      <w:pPr>
        <w:pStyle w:val="SingleTxtG"/>
        <w:rPr>
          <w:lang w:eastAsia="zh-CN"/>
        </w:rPr>
      </w:pPr>
      <w:bookmarkStart w:id="0" w:name="_ftnref11"/>
      <w:bookmarkEnd w:id="0"/>
      <w:r w:rsidRPr="00AF2943">
        <w:rPr>
          <w:lang w:eastAsia="zh-CN"/>
        </w:rPr>
        <w:t>43.</w:t>
      </w:r>
      <w:r w:rsidRPr="00AF2943">
        <w:rPr>
          <w:lang w:eastAsia="zh-CN"/>
        </w:rPr>
        <w:tab/>
        <w:t>The Working Group notes that some questions, such as whether Lithuanian authorities knew or should have known about the enforced disappearance and torture perpetrated on the territory of Lithuania, could be answered without international cooperation.</w:t>
      </w:r>
    </w:p>
    <w:p w14:paraId="57982A66" w14:textId="77777777" w:rsidR="0009550D" w:rsidRPr="00AF2943" w:rsidRDefault="0009550D" w:rsidP="0009550D">
      <w:pPr>
        <w:pStyle w:val="SingleTxtG"/>
        <w:rPr>
          <w:lang w:eastAsia="zh-CN"/>
        </w:rPr>
      </w:pPr>
      <w:r w:rsidRPr="00AF2943">
        <w:rPr>
          <w:lang w:eastAsia="zh-CN"/>
        </w:rPr>
        <w:t>44.</w:t>
      </w:r>
      <w:r w:rsidRPr="00AF2943">
        <w:rPr>
          <w:lang w:eastAsia="zh-CN"/>
        </w:rPr>
        <w:tab/>
        <w:t>The Working Group observes that an important element to ensure the effectiveness of investigations resides in securing access to information contained in the relevant archives, including those of the military, of intelligence agencies and of countries and organizations involved in the extraordinary rendition programme and secret detention.</w:t>
      </w:r>
    </w:p>
    <w:p w14:paraId="039F6965" w14:textId="38220483" w:rsidR="0009550D" w:rsidRPr="00AF2943" w:rsidRDefault="0009550D" w:rsidP="0009550D">
      <w:pPr>
        <w:pStyle w:val="SingleTxtG"/>
        <w:rPr>
          <w:lang w:eastAsia="zh-CN"/>
        </w:rPr>
      </w:pPr>
      <w:r w:rsidRPr="00AF2943">
        <w:rPr>
          <w:lang w:eastAsia="zh-CN"/>
        </w:rPr>
        <w:t>45.</w:t>
      </w:r>
      <w:r w:rsidRPr="00AF2943">
        <w:rPr>
          <w:lang w:eastAsia="zh-CN"/>
        </w:rPr>
        <w:tab/>
        <w:t>Moreover, the Working Group recalls that the participation of victims, including family members of a disappeared person, is an important element of an effective investigation. The State must enable victims</w:t>
      </w:r>
      <w:r w:rsidR="00932724" w:rsidRPr="00AF2943">
        <w:rPr>
          <w:lang w:eastAsia="zh-CN"/>
        </w:rPr>
        <w:t>’</w:t>
      </w:r>
      <w:r w:rsidRPr="00AF2943">
        <w:rPr>
          <w:lang w:eastAsia="zh-CN"/>
        </w:rPr>
        <w:t xml:space="preserve"> effective participation in the investigation and investigating authorities must allow victims to make suggestions and arguments as to the necessary investigative steps, provide evidence and assert their interests and rights throughout the process. They should equally be kept regularly informed about the progress of the investigation. In this sense, it is crucial to grant legal standing to all victims.</w:t>
      </w:r>
    </w:p>
    <w:p w14:paraId="159AEF1B" w14:textId="575F4266" w:rsidR="0009550D" w:rsidRPr="00AF2943" w:rsidRDefault="0009550D" w:rsidP="0009550D">
      <w:pPr>
        <w:pStyle w:val="SingleTxtG"/>
        <w:rPr>
          <w:lang w:eastAsia="zh-CN"/>
        </w:rPr>
      </w:pPr>
      <w:r w:rsidRPr="00AF2943">
        <w:rPr>
          <w:lang w:eastAsia="zh-CN"/>
        </w:rPr>
        <w:t>46.</w:t>
      </w:r>
      <w:r w:rsidRPr="00AF2943">
        <w:rPr>
          <w:lang w:eastAsia="zh-CN"/>
        </w:rPr>
        <w:tab/>
        <w:t>The Working Group is particularly troubled by the fact that, in the cases in which the international responsibility of Lithuania has already been established by the European Court of Human Rights and other international human rights mechanisms, victims</w:t>
      </w:r>
      <w:r w:rsidR="00932724" w:rsidRPr="00AF2943">
        <w:rPr>
          <w:lang w:eastAsia="zh-CN"/>
        </w:rPr>
        <w:t>’</w:t>
      </w:r>
      <w:r w:rsidRPr="00AF2943">
        <w:rPr>
          <w:lang w:eastAsia="zh-CN"/>
        </w:rPr>
        <w:t xml:space="preserve"> participation in the ongoing pretrial investigation has not been effectively granted. In this regard, the Working Group has been informed that the requests by victims</w:t>
      </w:r>
      <w:r w:rsidR="00932724" w:rsidRPr="00AF2943">
        <w:rPr>
          <w:lang w:eastAsia="zh-CN"/>
        </w:rPr>
        <w:t>’</w:t>
      </w:r>
      <w:r w:rsidRPr="00AF2943">
        <w:rPr>
          <w:lang w:eastAsia="zh-CN"/>
        </w:rPr>
        <w:t xml:space="preserve"> representatives to meet with the authorities have remained unanswered. Moreover, the Working Group learned with great concern that Lithuania had not granted anyone the status of victim in the relevant pretrial investigation, due to the alleged absence of evidence conforming to the standards of criminal procedure. This encompasses Mr. Zubaydah and Mr. al-Hawsawi. They and their representatives have de facto been prevented from participating in the investigation by, among others, requesting access to the files of the pretrial investigation, producing evidence and making requests to expand the investigation</w:t>
      </w:r>
      <w:r w:rsidR="00932724" w:rsidRPr="00AF2943">
        <w:rPr>
          <w:lang w:eastAsia="zh-CN"/>
        </w:rPr>
        <w:t>’</w:t>
      </w:r>
      <w:r w:rsidRPr="00AF2943">
        <w:rPr>
          <w:lang w:eastAsia="zh-CN"/>
        </w:rPr>
        <w:t xml:space="preserve">s scope. </w:t>
      </w:r>
    </w:p>
    <w:p w14:paraId="73D3A71D" w14:textId="77777777" w:rsidR="0009550D" w:rsidRPr="00AF2943" w:rsidRDefault="0009550D" w:rsidP="00D10190">
      <w:pPr>
        <w:pStyle w:val="HChG"/>
        <w:rPr>
          <w:lang w:eastAsia="zh-CN"/>
        </w:rPr>
      </w:pPr>
      <w:r w:rsidRPr="00AF2943">
        <w:rPr>
          <w:lang w:eastAsia="zh-CN"/>
        </w:rPr>
        <w:tab/>
        <w:t>VI.</w:t>
      </w:r>
      <w:r w:rsidRPr="00AF2943">
        <w:rPr>
          <w:lang w:eastAsia="zh-CN"/>
        </w:rPr>
        <w:tab/>
        <w:t>Right to reparations</w:t>
      </w:r>
    </w:p>
    <w:p w14:paraId="19BEE83E" w14:textId="77777777" w:rsidR="0009550D" w:rsidRPr="00AF2943" w:rsidRDefault="0009550D" w:rsidP="0009550D">
      <w:pPr>
        <w:pStyle w:val="SingleTxtG"/>
        <w:rPr>
          <w:lang w:eastAsia="zh-CN"/>
        </w:rPr>
      </w:pPr>
      <w:r w:rsidRPr="00AF2943">
        <w:rPr>
          <w:lang w:eastAsia="zh-CN"/>
        </w:rPr>
        <w:t>47.</w:t>
      </w:r>
      <w:r w:rsidRPr="00AF2943">
        <w:rPr>
          <w:lang w:eastAsia="zh-CN"/>
        </w:rPr>
        <w:tab/>
        <w:t xml:space="preserve">All victims of enforced disappearances (the notion encompassing the forcibly disappeared person and any other person having suffered harm due to the enforced disappearance) have the right to full reparation, which includes compensation, satisfaction, </w:t>
      </w:r>
      <w:r w:rsidRPr="00AF2943">
        <w:rPr>
          <w:lang w:eastAsia="zh-CN"/>
        </w:rPr>
        <w:lastRenderedPageBreak/>
        <w:t>restitution, rehabilitation and guarantees of non-repetition, as provided for in article 19 of the Declaration and article 24 (4) and (5) of the Convention.</w:t>
      </w:r>
    </w:p>
    <w:p w14:paraId="4BE04ACB" w14:textId="7D72D58C" w:rsidR="0009550D" w:rsidRPr="00AF2943" w:rsidRDefault="0009550D" w:rsidP="0009550D">
      <w:pPr>
        <w:pStyle w:val="SingleTxtG"/>
        <w:rPr>
          <w:lang w:eastAsia="zh-CN"/>
        </w:rPr>
      </w:pPr>
      <w:r w:rsidRPr="00AF2943">
        <w:rPr>
          <w:lang w:eastAsia="zh-CN"/>
        </w:rPr>
        <w:t>48.</w:t>
      </w:r>
      <w:r w:rsidRPr="00AF2943">
        <w:rPr>
          <w:lang w:eastAsia="zh-CN"/>
        </w:rPr>
        <w:tab/>
        <w:t>The Working Group welcomes that the definition of victim enshrined in article 28 of the Lithuanian Code of Criminal Procedure was amended on 22 June 2023 to include family members of a forcibly disappeared person who have suffered physical, material and non</w:t>
      </w:r>
      <w:r w:rsidR="00D10190" w:rsidRPr="00AF2943">
        <w:rPr>
          <w:lang w:eastAsia="zh-CN"/>
        </w:rPr>
        <w:noBreakHyphen/>
      </w:r>
      <w:r w:rsidRPr="00AF2943">
        <w:rPr>
          <w:lang w:eastAsia="zh-CN"/>
        </w:rPr>
        <w:t xml:space="preserve">material damage as a result of </w:t>
      </w:r>
      <w:proofErr w:type="gramStart"/>
      <w:r w:rsidRPr="00AF2943">
        <w:rPr>
          <w:lang w:eastAsia="zh-CN"/>
        </w:rPr>
        <w:t>a</w:t>
      </w:r>
      <w:proofErr w:type="gramEnd"/>
      <w:r w:rsidRPr="00AF2943">
        <w:rPr>
          <w:lang w:eastAsia="zh-CN"/>
        </w:rPr>
        <w:t xml:space="preserve"> enforced disappearance. Victim status is assigned by a pretrial investigator or prosecutor or by a court ruling. The amended definition of victim aligns with international law.</w:t>
      </w:r>
    </w:p>
    <w:p w14:paraId="76A23764" w14:textId="4E907C80" w:rsidR="0009550D" w:rsidRPr="00AF2943" w:rsidRDefault="0009550D" w:rsidP="0009550D">
      <w:pPr>
        <w:pStyle w:val="SingleTxtG"/>
        <w:rPr>
          <w:lang w:eastAsia="zh-CN"/>
        </w:rPr>
      </w:pPr>
      <w:r w:rsidRPr="00AF2943">
        <w:rPr>
          <w:lang w:eastAsia="zh-CN"/>
        </w:rPr>
        <w:t>49.</w:t>
      </w:r>
      <w:r w:rsidR="00D10190" w:rsidRPr="00AF2943">
        <w:rPr>
          <w:lang w:eastAsia="zh-CN"/>
        </w:rPr>
        <w:tab/>
      </w:r>
      <w:r w:rsidRPr="00AF2943">
        <w:rPr>
          <w:lang w:eastAsia="zh-CN"/>
        </w:rPr>
        <w:t>The Working Group notes that, pursuant to article 109 of the Code of Criminal Procedure, a person who has suffered material or non-material damage as a result of a criminal act shall have the right to file a civil claim in criminal proceedings against a suspect or an accused person or against the person who is materially liable for acts of the suspect or the accused person. Moreover, the Act on Compensation for Damage Caused by Violent Crimes provides for compensation from the Fund for Victims of Crimes for material and/or non-material damage caused by violent crimes and compensation in advance for such damage. Both existing victims</w:t>
      </w:r>
      <w:r w:rsidR="00932724" w:rsidRPr="00AF2943">
        <w:rPr>
          <w:lang w:eastAsia="zh-CN"/>
        </w:rPr>
        <w:t>’</w:t>
      </w:r>
      <w:r w:rsidRPr="00AF2943">
        <w:rPr>
          <w:lang w:eastAsia="zh-CN"/>
        </w:rPr>
        <w:t xml:space="preserve"> funds, namely, the Fund for Victims of Crimes, for violent crimes, and a second fund for damage, whether criminal or civil, caused by the State, are only accessible to those who have been granted victim status.</w:t>
      </w:r>
    </w:p>
    <w:p w14:paraId="4833FBE0" w14:textId="77777777" w:rsidR="0009550D" w:rsidRPr="00AF2943" w:rsidRDefault="0009550D" w:rsidP="0009550D">
      <w:pPr>
        <w:pStyle w:val="SingleTxtG"/>
        <w:rPr>
          <w:lang w:eastAsia="zh-CN"/>
        </w:rPr>
      </w:pPr>
      <w:r w:rsidRPr="00AF2943">
        <w:rPr>
          <w:lang w:eastAsia="zh-CN"/>
        </w:rPr>
        <w:t>50.</w:t>
      </w:r>
      <w:r w:rsidRPr="00AF2943">
        <w:rPr>
          <w:lang w:eastAsia="zh-CN"/>
        </w:rPr>
        <w:tab/>
        <w:t xml:space="preserve">Furthermore, national legislation does not contain a public system of comprehensive reparation that includes, besides compensation and rehabilitation of health, measures of restitution, satisfaction and guarantees of non-repetition. The applicable legislation also does not fully address the legal situation of disappeared persons whose fate has not been clarified and that of their relatives, in fields such as social welfare. It should be amended </w:t>
      </w:r>
      <w:proofErr w:type="gramStart"/>
      <w:r w:rsidRPr="00AF2943">
        <w:rPr>
          <w:lang w:eastAsia="zh-CN"/>
        </w:rPr>
        <w:t>so as to</w:t>
      </w:r>
      <w:proofErr w:type="gramEnd"/>
      <w:r w:rsidRPr="00AF2943">
        <w:rPr>
          <w:lang w:eastAsia="zh-CN"/>
        </w:rPr>
        <w:t xml:space="preserve"> set up a procedure for obtaining a specific declaration of absence as a result of enforced disappearance, besides the generic declaration of absence.</w:t>
      </w:r>
    </w:p>
    <w:p w14:paraId="0D52A6A8" w14:textId="32222E6C" w:rsidR="0009550D" w:rsidRPr="00AF2943" w:rsidRDefault="0009550D" w:rsidP="0009550D">
      <w:pPr>
        <w:pStyle w:val="SingleTxtG"/>
        <w:rPr>
          <w:lang w:eastAsia="zh-CN"/>
        </w:rPr>
      </w:pPr>
      <w:r w:rsidRPr="00AF2943">
        <w:rPr>
          <w:lang w:eastAsia="zh-CN"/>
        </w:rPr>
        <w:t>51.</w:t>
      </w:r>
      <w:r w:rsidRPr="00AF2943">
        <w:rPr>
          <w:lang w:eastAsia="zh-CN"/>
        </w:rPr>
        <w:tab/>
        <w:t>The Working Group welcomes that pecuniary compensation has been paid to Mr.</w:t>
      </w:r>
      <w:r w:rsidR="00D10190" w:rsidRPr="00AF2943">
        <w:rPr>
          <w:lang w:eastAsia="zh-CN"/>
        </w:rPr>
        <w:t> </w:t>
      </w:r>
      <w:r w:rsidRPr="00AF2943">
        <w:rPr>
          <w:lang w:eastAsia="zh-CN"/>
        </w:rPr>
        <w:t>Zubaydah and Mr. al-Hawsawi, as ordered by the European Court of Human Rights and indicated in the disposition of the relevant opinions of</w:t>
      </w:r>
      <w:r w:rsidRPr="00AF2943" w:rsidDel="00824423">
        <w:rPr>
          <w:lang w:eastAsia="zh-CN"/>
        </w:rPr>
        <w:t xml:space="preserve"> </w:t>
      </w:r>
      <w:r w:rsidRPr="00AF2943">
        <w:rPr>
          <w:lang w:eastAsia="zh-CN"/>
        </w:rPr>
        <w:t xml:space="preserve">the Working Group on Arbitrary Detention. The Working Group takes note of the fact that Lithuania sought diplomatic assurances </w:t>
      </w:r>
      <w:proofErr w:type="gramStart"/>
      <w:r w:rsidRPr="00AF2943">
        <w:rPr>
          <w:lang w:eastAsia="zh-CN"/>
        </w:rPr>
        <w:t>with regard to</w:t>
      </w:r>
      <w:proofErr w:type="gramEnd"/>
      <w:r w:rsidRPr="00AF2943">
        <w:rPr>
          <w:lang w:eastAsia="zh-CN"/>
        </w:rPr>
        <w:t xml:space="preserve"> the detention conditions and restrictions of liberty of Mr. Zubaydah. Despite the calls upon Lithuania to proactively offer its territory for the prompt relocation of Mr. Zubaydah (see para. 33 above), the Working Group is not aware of any such specific attempts and urges the State to do so without further delay, especially bearing in mind his rapidly deteriorating health.</w:t>
      </w:r>
    </w:p>
    <w:p w14:paraId="36D02C2F" w14:textId="7594E49B" w:rsidR="0009550D" w:rsidRPr="00AF2943" w:rsidRDefault="0009550D" w:rsidP="0009550D">
      <w:pPr>
        <w:pStyle w:val="SingleTxtG"/>
        <w:rPr>
          <w:lang w:eastAsia="zh-CN"/>
        </w:rPr>
      </w:pPr>
      <w:r w:rsidRPr="00AF2943">
        <w:rPr>
          <w:lang w:eastAsia="zh-CN"/>
        </w:rPr>
        <w:t>52.</w:t>
      </w:r>
      <w:r w:rsidRPr="00AF2943">
        <w:rPr>
          <w:lang w:eastAsia="zh-CN"/>
        </w:rPr>
        <w:tab/>
        <w:t>The Working Group recalls that, besides pecuniary compensation, measures of reparation should encompass restitution, rehabilitation, satisfaction and guarantees of non</w:t>
      </w:r>
      <w:r w:rsidR="0090038D" w:rsidRPr="00AF2943">
        <w:rPr>
          <w:lang w:eastAsia="zh-CN"/>
        </w:rPr>
        <w:noBreakHyphen/>
      </w:r>
      <w:r w:rsidRPr="00AF2943">
        <w:rPr>
          <w:lang w:eastAsia="zh-CN"/>
        </w:rPr>
        <w:t>repetition.</w:t>
      </w:r>
    </w:p>
    <w:p w14:paraId="6B3BE6E8" w14:textId="77777777" w:rsidR="0009550D" w:rsidRPr="00AF2943" w:rsidRDefault="0009550D" w:rsidP="00D10190">
      <w:pPr>
        <w:pStyle w:val="HChG"/>
        <w:rPr>
          <w:lang w:eastAsia="zh-CN"/>
        </w:rPr>
      </w:pPr>
      <w:r w:rsidRPr="00AF2943">
        <w:rPr>
          <w:lang w:eastAsia="zh-CN"/>
        </w:rPr>
        <w:tab/>
        <w:t>VII.</w:t>
      </w:r>
      <w:r w:rsidRPr="00AF2943">
        <w:rPr>
          <w:lang w:eastAsia="zh-CN"/>
        </w:rPr>
        <w:tab/>
        <w:t>Memory and human rights education</w:t>
      </w:r>
    </w:p>
    <w:p w14:paraId="74163855" w14:textId="77777777" w:rsidR="0009550D" w:rsidRPr="00AF2943" w:rsidRDefault="0009550D" w:rsidP="0009550D">
      <w:pPr>
        <w:pStyle w:val="SingleTxtG"/>
        <w:rPr>
          <w:lang w:eastAsia="zh-CN"/>
        </w:rPr>
      </w:pPr>
      <w:r w:rsidRPr="00AF2943">
        <w:rPr>
          <w:lang w:eastAsia="zh-CN"/>
        </w:rPr>
        <w:t>53.</w:t>
      </w:r>
      <w:r w:rsidRPr="00AF2943">
        <w:rPr>
          <w:lang w:eastAsia="zh-CN"/>
        </w:rPr>
        <w:tab/>
        <w:t>The Working Group stresses the importance of establishing a strategy for memorialization that takes into account the importance of officially preserving former secret detention facilities as memorial sites and creating memorials for the recognition and rehabilitation of victims. This strategy should also be aimed at creating awareness among new generations and society at large. The Working Group considers that the establishment of memorial sites and monuments contributes to the collective social recognition of the violations that occurred, as well as to their rejection and repudiation, while also serving as a preventive measure.</w:t>
      </w:r>
    </w:p>
    <w:p w14:paraId="137BFE02" w14:textId="77777777" w:rsidR="0009550D" w:rsidRPr="00AF2943" w:rsidRDefault="0009550D" w:rsidP="0009550D">
      <w:pPr>
        <w:pStyle w:val="SingleTxtG"/>
        <w:rPr>
          <w:lang w:eastAsia="zh-CN"/>
        </w:rPr>
      </w:pPr>
      <w:r w:rsidRPr="00AF2943">
        <w:rPr>
          <w:lang w:eastAsia="zh-CN"/>
        </w:rPr>
        <w:t>54.</w:t>
      </w:r>
      <w:r w:rsidRPr="00AF2943">
        <w:rPr>
          <w:lang w:eastAsia="zh-CN"/>
        </w:rPr>
        <w:tab/>
        <w:t xml:space="preserve">Much of the historical inquiry in Lithuania has concentrated on the broader mechanisms of Sovietization, mass repressions and deportations, </w:t>
      </w:r>
      <w:proofErr w:type="gramStart"/>
      <w:r w:rsidRPr="00AF2943">
        <w:rPr>
          <w:lang w:eastAsia="zh-CN"/>
        </w:rPr>
        <w:t>in particular during</w:t>
      </w:r>
      <w:proofErr w:type="gramEnd"/>
      <w:r w:rsidRPr="00AF2943">
        <w:rPr>
          <w:lang w:eastAsia="zh-CN"/>
        </w:rPr>
        <w:t xml:space="preserve"> the period 1940–1953. The transitional justice efforts of Lithuania, such as the work by the Genocide and Resistance Research Centre, have been focused on related crimes, with their primary focus being deportations and systematic oppression. Some studies have touched </w:t>
      </w:r>
      <w:r w:rsidRPr="00AF2943">
        <w:rPr>
          <w:lang w:eastAsia="zh-CN"/>
        </w:rPr>
        <w:lastRenderedPageBreak/>
        <w:t>upon cases that could be interpreted as enforced disappearances in broader repression contexts.</w:t>
      </w:r>
      <w:r w:rsidRPr="00AF2943">
        <w:rPr>
          <w:rStyle w:val="FootnoteReference"/>
        </w:rPr>
        <w:footnoteReference w:id="29"/>
      </w:r>
    </w:p>
    <w:p w14:paraId="16CC4036" w14:textId="6ADDB72A" w:rsidR="0009550D" w:rsidRPr="00AF2943" w:rsidRDefault="0009550D" w:rsidP="0009550D">
      <w:pPr>
        <w:pStyle w:val="SingleTxtG"/>
        <w:rPr>
          <w:lang w:eastAsia="zh-CN"/>
        </w:rPr>
      </w:pPr>
      <w:r w:rsidRPr="00AF2943">
        <w:rPr>
          <w:lang w:eastAsia="zh-CN"/>
        </w:rPr>
        <w:t>55.</w:t>
      </w:r>
      <w:r w:rsidRPr="00AF2943">
        <w:rPr>
          <w:lang w:eastAsia="zh-CN"/>
        </w:rPr>
        <w:tab/>
        <w:t xml:space="preserve">As concerns more recent events, following its visit to the Antaviliai facility, the delegation noted that the place known as </w:t>
      </w:r>
      <w:r w:rsidR="00932724" w:rsidRPr="00AF2943">
        <w:rPr>
          <w:lang w:eastAsia="zh-CN"/>
        </w:rPr>
        <w:t>“</w:t>
      </w:r>
      <w:r w:rsidRPr="00AF2943">
        <w:rPr>
          <w:lang w:eastAsia="zh-CN"/>
        </w:rPr>
        <w:t>Detention Site Violet</w:t>
      </w:r>
      <w:r w:rsidR="00932724" w:rsidRPr="00AF2943">
        <w:rPr>
          <w:lang w:eastAsia="zh-CN"/>
        </w:rPr>
        <w:t>”</w:t>
      </w:r>
      <w:r w:rsidRPr="00AF2943">
        <w:rPr>
          <w:lang w:eastAsia="zh-CN"/>
        </w:rPr>
        <w:t xml:space="preserve"> – which was used in 2005 and 2006 as a secret Central Intelligence Agency detention facility – bore no sign or official recognition of what had happened there. While recognizing that the Lithuanian Prison Service has only recently taken over the facility and bears no responsibility for its former use, the Working Group underscores the importance of preserving historical memory and promoting non-repetition, since the site will be used as a training facility for prison service officers. In this context, the Working Group recommends the consideration of affixing a commemorative plaque and including in training modules references to relevant judgments, opinions and reports that illustrate those events and spell out the State responsibility and its corresponding international obligations.</w:t>
      </w:r>
    </w:p>
    <w:p w14:paraId="34C814E9" w14:textId="77777777" w:rsidR="0009550D" w:rsidRPr="00AF2943" w:rsidRDefault="0009550D" w:rsidP="0009550D">
      <w:pPr>
        <w:pStyle w:val="SingleTxtG"/>
        <w:rPr>
          <w:lang w:eastAsia="zh-CN"/>
        </w:rPr>
      </w:pPr>
      <w:r w:rsidRPr="00AF2943">
        <w:rPr>
          <w:lang w:eastAsia="zh-CN"/>
        </w:rPr>
        <w:t>56.</w:t>
      </w:r>
      <w:r w:rsidRPr="00AF2943">
        <w:rPr>
          <w:lang w:eastAsia="zh-CN"/>
        </w:rPr>
        <w:tab/>
        <w:t>The Working Group commends the investigations carried out by the Lithuanian authorities under the principle of universal jurisdiction in relation to, among others, the torture of protesters, some of whom were subjected to so-called short-term enforced disappearance in Belarus, as well as enforced disappearances perpetrated in the context of the Russian full-scale invasion of Ukraine. Such investigations not only serve the purpose of ensuring accountability for human rights violations perpetrated in countries where the human rights climate is unfavourable, but also help establish the truth, which is a vital element of guarantees of non-repetition.</w:t>
      </w:r>
    </w:p>
    <w:p w14:paraId="7AD6F872" w14:textId="77777777" w:rsidR="0009550D" w:rsidRPr="00AF2943" w:rsidRDefault="0009550D" w:rsidP="00D10190">
      <w:pPr>
        <w:pStyle w:val="HChG"/>
        <w:rPr>
          <w:highlight w:val="green"/>
          <w:lang w:eastAsia="zh-CN"/>
        </w:rPr>
      </w:pPr>
      <w:r w:rsidRPr="00AF2943">
        <w:rPr>
          <w:lang w:eastAsia="zh-CN"/>
        </w:rPr>
        <w:tab/>
        <w:t>VIII.</w:t>
      </w:r>
      <w:r w:rsidRPr="00AF2943">
        <w:rPr>
          <w:lang w:eastAsia="zh-CN"/>
        </w:rPr>
        <w:tab/>
        <w:t>Migration</w:t>
      </w:r>
    </w:p>
    <w:p w14:paraId="24062A65" w14:textId="77777777" w:rsidR="0009550D" w:rsidRPr="00AF2943" w:rsidRDefault="0009550D" w:rsidP="0009550D">
      <w:pPr>
        <w:pStyle w:val="SingleTxtG"/>
        <w:rPr>
          <w:lang w:eastAsia="zh-CN"/>
        </w:rPr>
      </w:pPr>
      <w:bookmarkStart w:id="1" w:name="_Hlk201762486"/>
      <w:bookmarkStart w:id="2" w:name="_Hlk193893982"/>
      <w:r w:rsidRPr="00AF2943">
        <w:rPr>
          <w:lang w:eastAsia="zh-CN"/>
        </w:rPr>
        <w:t>57.</w:t>
      </w:r>
      <w:r w:rsidRPr="00AF2943">
        <w:rPr>
          <w:lang w:eastAsia="zh-CN"/>
        </w:rPr>
        <w:tab/>
        <w:t xml:space="preserve">In recent years, Lithuania has experienced a significant increase in the arrival of migrants, including irregular border crossings and the instrumentalization of migration flows deliberately orchestrated by Belarus. </w:t>
      </w:r>
      <w:bookmarkEnd w:id="1"/>
      <w:r w:rsidRPr="00AF2943">
        <w:rPr>
          <w:lang w:eastAsia="zh-CN"/>
        </w:rPr>
        <w:t xml:space="preserve">The country hosts many Belarusians who were forced to leave their country due to the worsening human rights situation, </w:t>
      </w:r>
      <w:proofErr w:type="gramStart"/>
      <w:r w:rsidRPr="00AF2943">
        <w:rPr>
          <w:lang w:eastAsia="zh-CN"/>
        </w:rPr>
        <w:t>in particular after</w:t>
      </w:r>
      <w:proofErr w:type="gramEnd"/>
      <w:r w:rsidRPr="00AF2943">
        <w:rPr>
          <w:lang w:eastAsia="zh-CN"/>
        </w:rPr>
        <w:t xml:space="preserve"> the 2020 elections, and Ukrainians who were forced to leave their country since the full-scale invasion by the Russian Federation in February 2022. Since 2021, there has been an influx of persons of various nationalities who have entered – or tried to enter – Lithuania irregularly from Belarus. The Working Group acknowledges the difficult situation that the Lithuanian authorities </w:t>
      </w:r>
      <w:proofErr w:type="gramStart"/>
      <w:r w:rsidRPr="00AF2943">
        <w:rPr>
          <w:lang w:eastAsia="zh-CN"/>
        </w:rPr>
        <w:t>have to</w:t>
      </w:r>
      <w:proofErr w:type="gramEnd"/>
      <w:r w:rsidRPr="00AF2943">
        <w:rPr>
          <w:lang w:eastAsia="zh-CN"/>
        </w:rPr>
        <w:t xml:space="preserve"> deal with, in particular in the current geopolitical context. This poses significant challenges, some of which are of relevance in the context of the Declaration.</w:t>
      </w:r>
    </w:p>
    <w:p w14:paraId="1B953DA2" w14:textId="77777777" w:rsidR="0009550D" w:rsidRPr="00AF2943" w:rsidRDefault="0009550D" w:rsidP="00D10190">
      <w:pPr>
        <w:pStyle w:val="H1G"/>
        <w:rPr>
          <w:lang w:eastAsia="zh-CN"/>
        </w:rPr>
      </w:pPr>
      <w:r w:rsidRPr="00AF2943">
        <w:rPr>
          <w:lang w:eastAsia="zh-CN"/>
        </w:rPr>
        <w:tab/>
        <w:t>A.</w:t>
      </w:r>
      <w:r w:rsidRPr="00AF2943">
        <w:rPr>
          <w:lang w:eastAsia="zh-CN"/>
        </w:rPr>
        <w:tab/>
        <w:t>Pushbacks</w:t>
      </w:r>
    </w:p>
    <w:p w14:paraId="476A3AA1" w14:textId="77777777" w:rsidR="0009550D" w:rsidRPr="00AF2943" w:rsidRDefault="0009550D" w:rsidP="0009550D">
      <w:pPr>
        <w:pStyle w:val="SingleTxtG"/>
        <w:rPr>
          <w:lang w:eastAsia="zh-CN"/>
        </w:rPr>
      </w:pPr>
      <w:r w:rsidRPr="00AF2943">
        <w:rPr>
          <w:lang w:eastAsia="zh-CN"/>
        </w:rPr>
        <w:t>58.</w:t>
      </w:r>
      <w:r w:rsidRPr="00AF2943">
        <w:rPr>
          <w:lang w:eastAsia="zh-CN"/>
        </w:rPr>
        <w:tab/>
        <w:t>The Working Group is concerned about information received on pushbacks at the border with Belarus. Pushbacks have been taking place in Lithuania since 2021, and the Working Group, together with other special procedures, has already previously voiced concern about them.</w:t>
      </w:r>
      <w:r w:rsidRPr="00AF2943">
        <w:rPr>
          <w:rStyle w:val="FootnoteReference"/>
        </w:rPr>
        <w:footnoteReference w:id="30"/>
      </w:r>
      <w:r w:rsidRPr="00AF2943">
        <w:rPr>
          <w:lang w:eastAsia="zh-CN"/>
        </w:rPr>
        <w:t xml:space="preserve"> The Working Group notes that pushbacks effectively remove the persons concerned from the protection of the law and expose them to a heightened risk of disappearance.</w:t>
      </w:r>
      <w:r w:rsidRPr="00AF2943">
        <w:rPr>
          <w:rStyle w:val="FootnoteReference"/>
        </w:rPr>
        <w:footnoteReference w:id="31"/>
      </w:r>
      <w:r w:rsidRPr="00AF2943">
        <w:rPr>
          <w:lang w:eastAsia="zh-CN"/>
        </w:rPr>
        <w:t xml:space="preserve"> The Working Group notes the procedures of the State Border Guard Service, including individualized assessments and attention to humanitarian needs. However, concerns remain regarding the adequacy and transparency of those safeguards.</w:t>
      </w:r>
    </w:p>
    <w:p w14:paraId="515816F7" w14:textId="7C899864" w:rsidR="0009550D" w:rsidRPr="00AF2943" w:rsidRDefault="0009550D" w:rsidP="0009550D">
      <w:pPr>
        <w:pStyle w:val="SingleTxtG"/>
        <w:rPr>
          <w:lang w:eastAsia="zh-CN"/>
        </w:rPr>
      </w:pPr>
      <w:r w:rsidRPr="00AF2943">
        <w:rPr>
          <w:lang w:eastAsia="zh-CN"/>
        </w:rPr>
        <w:t>59.</w:t>
      </w:r>
      <w:r w:rsidRPr="00AF2943">
        <w:rPr>
          <w:lang w:eastAsia="zh-CN"/>
        </w:rPr>
        <w:tab/>
        <w:t xml:space="preserve">The practice of pushbacks was initially based on an order of the Minister of the Interior. Since May 2023, it is based on the amendments to the Law on State Borders and their Protection Thereof (art. 4 (13)). According to the existing regulations, the Government </w:t>
      </w:r>
      <w:r w:rsidRPr="00AF2943">
        <w:rPr>
          <w:lang w:eastAsia="zh-CN"/>
        </w:rPr>
        <w:lastRenderedPageBreak/>
        <w:t>may, during a State-level emergency due to a mass influx of foreigners, adopt a decision preventing the entry into Lithuania of persons who have irregularly crossed into the country and are in the border area. The law stipulates that foreigners fleeing certain armed conflicts (a list of which is to be established by the Government), asylum-seekers or those seeking to enter Lithuania for humanitarian purposes would be excluded from the pushbacks. Immediately after the law came into force, the Government adopted decision No. 315 of 3</w:t>
      </w:r>
      <w:r w:rsidR="00A71460" w:rsidRPr="00AF2943">
        <w:rPr>
          <w:lang w:eastAsia="zh-CN"/>
        </w:rPr>
        <w:t> </w:t>
      </w:r>
      <w:r w:rsidRPr="00AF2943">
        <w:rPr>
          <w:lang w:eastAsia="zh-CN"/>
        </w:rPr>
        <w:t>May 2023 to refuse the entry of foreigners who intend to cross or have crossed the external border of the European Union at places not designated for that purpose or who have violated the State border crossing rules. The Working Group notes with concern that, contrary to the law, no specific armed conflict was referred to in decision No. 315. It recognizes the State</w:t>
      </w:r>
      <w:r w:rsidR="00932724" w:rsidRPr="00AF2943">
        <w:rPr>
          <w:lang w:eastAsia="zh-CN"/>
        </w:rPr>
        <w:t>’</w:t>
      </w:r>
      <w:r w:rsidRPr="00AF2943">
        <w:rPr>
          <w:lang w:eastAsia="zh-CN"/>
        </w:rPr>
        <w:t xml:space="preserve">s position that vulnerability assessments are conducted in accordance with internal orders that contain </w:t>
      </w:r>
      <w:r w:rsidRPr="00AF2943">
        <w:t>information that is not made public to avoid it being misused</w:t>
      </w:r>
      <w:r w:rsidRPr="00AF2943">
        <w:rPr>
          <w:lang w:eastAsia="zh-CN"/>
        </w:rPr>
        <w:t>.</w:t>
      </w:r>
    </w:p>
    <w:p w14:paraId="3B75F1D3" w14:textId="5D8D1E43" w:rsidR="0009550D" w:rsidRPr="00AF2943" w:rsidRDefault="0009550D" w:rsidP="0009550D">
      <w:pPr>
        <w:pStyle w:val="SingleTxtG"/>
        <w:rPr>
          <w:lang w:eastAsia="zh-CN"/>
        </w:rPr>
      </w:pPr>
      <w:r w:rsidRPr="00AF2943">
        <w:rPr>
          <w:lang w:eastAsia="zh-CN"/>
        </w:rPr>
        <w:t>60.</w:t>
      </w:r>
      <w:r w:rsidRPr="00AF2943">
        <w:rPr>
          <w:lang w:eastAsia="zh-CN"/>
        </w:rPr>
        <w:tab/>
        <w:t>According to information received, the pushbacks are not formally recorded; thus, it is not possible to assess the implementation of the procedure, including who has been returned to Belarus and when, and how the vulnerability assessment takes place. This is also a barrier in the search for migrants who go missing at the Lithuanian border, as persons searching for them are unable to establish with certainty whether they have crossed into Lithuania. Not recording the procedure also heightens the risk of human rights violations taking place. The Working Group acknowledges the Government</w:t>
      </w:r>
      <w:r w:rsidR="00932724" w:rsidRPr="00AF2943">
        <w:rPr>
          <w:lang w:eastAsia="zh-CN"/>
        </w:rPr>
        <w:t>’</w:t>
      </w:r>
      <w:r w:rsidRPr="00AF2943">
        <w:rPr>
          <w:lang w:eastAsia="zh-CN"/>
        </w:rPr>
        <w:t xml:space="preserve">s indication that initial assessments are conducted and basic needs addressed. However, it reiterates that systematic recording and oversight of returns are essential to ensuring accountability, transparency and the prevention of disappearances. The best way to avoid disappearances is to stop the practice of pushbacks. </w:t>
      </w:r>
    </w:p>
    <w:p w14:paraId="36CAFB4D" w14:textId="604594D1" w:rsidR="0009550D" w:rsidRPr="00AF2943" w:rsidRDefault="0009550D" w:rsidP="0009550D">
      <w:pPr>
        <w:pStyle w:val="SingleTxtG"/>
        <w:rPr>
          <w:lang w:eastAsia="zh-CN"/>
        </w:rPr>
      </w:pPr>
      <w:r w:rsidRPr="00AF2943">
        <w:rPr>
          <w:lang w:eastAsia="zh-CN"/>
        </w:rPr>
        <w:t>61.</w:t>
      </w:r>
      <w:r w:rsidRPr="00AF2943">
        <w:rPr>
          <w:lang w:eastAsia="zh-CN"/>
        </w:rPr>
        <w:tab/>
        <w:t xml:space="preserve">The Working Group was also informed that, in the process of being pushed back to Belarus, some persons are deprived of their liberty at border points. The Working Group recalls that all deprivation of liberty must be carried out in line with articles 9–12 of the Declaration and articles 17–21 of the Convention. Persons deprived of liberty must be released in a manner permitting reliable verification that they have </w:t>
      </w:r>
      <w:proofErr w:type="gramStart"/>
      <w:r w:rsidRPr="00AF2943">
        <w:rPr>
          <w:lang w:eastAsia="zh-CN"/>
        </w:rPr>
        <w:t>actually been</w:t>
      </w:r>
      <w:proofErr w:type="gramEnd"/>
      <w:r w:rsidRPr="00AF2943">
        <w:rPr>
          <w:lang w:eastAsia="zh-CN"/>
        </w:rPr>
        <w:t xml:space="preserve"> released. The Working Group welcomes the Government</w:t>
      </w:r>
      <w:r w:rsidR="00932724" w:rsidRPr="00AF2943">
        <w:rPr>
          <w:lang w:eastAsia="zh-CN"/>
        </w:rPr>
        <w:t>’</w:t>
      </w:r>
      <w:r w:rsidRPr="00AF2943">
        <w:rPr>
          <w:lang w:eastAsia="zh-CN"/>
        </w:rPr>
        <w:t>s reference to individualized assessments and medical interventions where needed, and emphasizes that reliable, documented procedures are indispensable to preventing arbitrary detention and enforced disappearance.</w:t>
      </w:r>
    </w:p>
    <w:p w14:paraId="24179609" w14:textId="13A65B56" w:rsidR="0009550D" w:rsidRPr="00AF2943" w:rsidRDefault="00D10190" w:rsidP="00D10190">
      <w:pPr>
        <w:pStyle w:val="H1G"/>
        <w:rPr>
          <w:lang w:eastAsia="zh-CN"/>
        </w:rPr>
      </w:pPr>
      <w:r w:rsidRPr="00AF2943">
        <w:rPr>
          <w:lang w:eastAsia="zh-CN"/>
        </w:rPr>
        <w:tab/>
      </w:r>
      <w:r w:rsidR="0009550D" w:rsidRPr="00AF2943">
        <w:rPr>
          <w:lang w:eastAsia="zh-CN"/>
        </w:rPr>
        <w:t>B.</w:t>
      </w:r>
      <w:r w:rsidR="0009550D" w:rsidRPr="00AF2943">
        <w:rPr>
          <w:lang w:eastAsia="zh-CN"/>
        </w:rPr>
        <w:tab/>
        <w:t>Quarantine measures</w:t>
      </w:r>
    </w:p>
    <w:p w14:paraId="37E3A1AD" w14:textId="77777777" w:rsidR="0009550D" w:rsidRPr="00AF2943" w:rsidRDefault="0009550D" w:rsidP="0009550D">
      <w:pPr>
        <w:pStyle w:val="SingleTxtG"/>
        <w:rPr>
          <w:lang w:eastAsia="zh-CN"/>
        </w:rPr>
      </w:pPr>
      <w:r w:rsidRPr="00AF2943">
        <w:rPr>
          <w:lang w:eastAsia="zh-CN"/>
        </w:rPr>
        <w:t>62.</w:t>
      </w:r>
      <w:r w:rsidRPr="00AF2943">
        <w:rPr>
          <w:lang w:eastAsia="zh-CN"/>
        </w:rPr>
        <w:tab/>
        <w:t xml:space="preserve">The delegation also visited the Pabradė Foreigners Registration Centre, which is the first reception point for most foreigners who enter Lithuania irregularly. The Working Group commends the authorities for the running of the Centre, including for implementing many of the recommendations of the European Committee for the Prevention of Torture and Inhuman or Degrading Treatment or Punishment, </w:t>
      </w:r>
      <w:proofErr w:type="gramStart"/>
      <w:r w:rsidRPr="00AF2943">
        <w:rPr>
          <w:lang w:eastAsia="zh-CN"/>
        </w:rPr>
        <w:t>in particular</w:t>
      </w:r>
      <w:proofErr w:type="gramEnd"/>
      <w:r w:rsidRPr="00AF2943">
        <w:rPr>
          <w:lang w:eastAsia="zh-CN"/>
        </w:rPr>
        <w:t xml:space="preserve"> those concerning ensuring contact of the persons kept in the Centre with the outside world.</w:t>
      </w:r>
      <w:r w:rsidRPr="00AF2943">
        <w:rPr>
          <w:rStyle w:val="FootnoteReference"/>
        </w:rPr>
        <w:footnoteReference w:id="32"/>
      </w:r>
    </w:p>
    <w:p w14:paraId="32BE2B7C" w14:textId="53C8BD94" w:rsidR="0009550D" w:rsidRPr="00AF2943" w:rsidRDefault="0009550D" w:rsidP="0009550D">
      <w:pPr>
        <w:pStyle w:val="SingleTxtG"/>
        <w:rPr>
          <w:lang w:eastAsia="zh-CN"/>
        </w:rPr>
      </w:pPr>
      <w:r w:rsidRPr="00AF2943">
        <w:rPr>
          <w:lang w:eastAsia="zh-CN"/>
        </w:rPr>
        <w:t>63.</w:t>
      </w:r>
      <w:r w:rsidRPr="00AF2943">
        <w:rPr>
          <w:lang w:eastAsia="zh-CN"/>
        </w:rPr>
        <w:tab/>
        <w:t>The delegation noticed that all migrants entering the Centre underwent a medical examination and quarantine. The length of the quarantine differs and is decided by medical staff; thus, quarantined persons are subject to restrictions to their freedom of movement, without this being assessed and adjudicated through a separate judicial (or administrative) decision. While in quarantine, the use of telephones is restricted, making contact with the outside world – including with families, counsel or any other person of the migrants</w:t>
      </w:r>
      <w:r w:rsidR="00932724" w:rsidRPr="00AF2943">
        <w:rPr>
          <w:lang w:eastAsia="zh-CN"/>
        </w:rPr>
        <w:t>’</w:t>
      </w:r>
      <w:r w:rsidRPr="00AF2943">
        <w:rPr>
          <w:lang w:eastAsia="zh-CN"/>
        </w:rPr>
        <w:t xml:space="preserve"> choice – difficult. The Lithuanian Red Cross, which facilitates the contact of the migrants in the Centre with the outside world, is not guaranteed unrestricted access to the quarantine facilities.</w:t>
      </w:r>
      <w:r w:rsidRPr="00AF2943">
        <w:rPr>
          <w:rStyle w:val="FootnoteReference"/>
        </w:rPr>
        <w:footnoteReference w:id="33"/>
      </w:r>
      <w:r w:rsidRPr="00AF2943">
        <w:rPr>
          <w:lang w:eastAsia="zh-CN"/>
        </w:rPr>
        <w:t xml:space="preserve"> </w:t>
      </w:r>
    </w:p>
    <w:p w14:paraId="44971262" w14:textId="77777777" w:rsidR="0009550D" w:rsidRPr="00AF2943" w:rsidRDefault="0009550D" w:rsidP="00D10190">
      <w:pPr>
        <w:pStyle w:val="H1G"/>
        <w:rPr>
          <w:lang w:eastAsia="zh-CN"/>
        </w:rPr>
      </w:pPr>
      <w:r w:rsidRPr="00AF2943">
        <w:rPr>
          <w:lang w:eastAsia="zh-CN"/>
        </w:rPr>
        <w:lastRenderedPageBreak/>
        <w:tab/>
        <w:t>C.</w:t>
      </w:r>
      <w:r w:rsidRPr="00AF2943">
        <w:rPr>
          <w:lang w:eastAsia="zh-CN"/>
        </w:rPr>
        <w:tab/>
        <w:t>Deprivation of liberty before returns to Latvia</w:t>
      </w:r>
    </w:p>
    <w:p w14:paraId="72A90760" w14:textId="77777777" w:rsidR="0009550D" w:rsidRPr="00AF2943" w:rsidRDefault="0009550D" w:rsidP="0009550D">
      <w:pPr>
        <w:pStyle w:val="SingleTxtG"/>
        <w:rPr>
          <w:lang w:eastAsia="zh-CN"/>
        </w:rPr>
      </w:pPr>
      <w:r w:rsidRPr="00AF2943">
        <w:rPr>
          <w:lang w:eastAsia="zh-CN"/>
        </w:rPr>
        <w:t>64.</w:t>
      </w:r>
      <w:r w:rsidRPr="00AF2943">
        <w:rPr>
          <w:lang w:eastAsia="zh-CN"/>
        </w:rPr>
        <w:tab/>
        <w:t xml:space="preserve">The Working Group is also concerned about the </w:t>
      </w:r>
      <w:proofErr w:type="gramStart"/>
      <w:r w:rsidRPr="00AF2943">
        <w:rPr>
          <w:lang w:eastAsia="zh-CN"/>
        </w:rPr>
        <w:t>manner in which</w:t>
      </w:r>
      <w:proofErr w:type="gramEnd"/>
      <w:r w:rsidRPr="00AF2943">
        <w:rPr>
          <w:lang w:eastAsia="zh-CN"/>
        </w:rPr>
        <w:t xml:space="preserve"> migrants who are returned to Latvia under a bilateral agreement are deprived of their liberty in Lithuania while awaiting their return. According to the Government, such stays are limited to 48 hours unless extended by court, and migrants are accommodated in reception and integration agency facilities with access to communication. However, the Working Group has been informed that some have been kept in border guard stations for several days, without access to the outside world, including their family, counsel or any other person of their choice.</w:t>
      </w:r>
      <w:r w:rsidRPr="00AF2943" w:rsidDel="00C6751B">
        <w:rPr>
          <w:lang w:eastAsia="zh-CN"/>
        </w:rPr>
        <w:t xml:space="preserve"> </w:t>
      </w:r>
    </w:p>
    <w:p w14:paraId="598CDC8B" w14:textId="61242B20" w:rsidR="0009550D" w:rsidRPr="00AF2943" w:rsidDel="00E7636D" w:rsidRDefault="0009550D" w:rsidP="0009550D">
      <w:pPr>
        <w:pStyle w:val="SingleTxtG"/>
        <w:rPr>
          <w:lang w:eastAsia="zh-CN"/>
        </w:rPr>
      </w:pPr>
      <w:r w:rsidRPr="00AF2943" w:rsidDel="00E7636D">
        <w:rPr>
          <w:lang w:eastAsia="zh-CN"/>
        </w:rPr>
        <w:t>65.</w:t>
      </w:r>
      <w:r w:rsidRPr="00AF2943" w:rsidDel="00E7636D">
        <w:rPr>
          <w:lang w:eastAsia="zh-CN"/>
        </w:rPr>
        <w:tab/>
      </w:r>
      <w:r w:rsidRPr="00AF2943">
        <w:rPr>
          <w:lang w:eastAsia="zh-CN"/>
        </w:rPr>
        <w:t>Under article 10 (2) of the Declaration and article 18 of the Convention, accurate information on places of detention, including transfers, should be made promptly available to family members, counsels or any persons having legitimate interest in the information. Article 10 (3) of the Declaration and article 17 (3) of the Convention further require that such persons have access to official, up-to-date registers of all persons deprived of their liberty in every place of detention. The Working Group notes the Government</w:t>
      </w:r>
      <w:r w:rsidR="00932724" w:rsidRPr="00AF2943">
        <w:rPr>
          <w:lang w:eastAsia="zh-CN"/>
        </w:rPr>
        <w:t>’</w:t>
      </w:r>
      <w:r w:rsidRPr="00AF2943">
        <w:rPr>
          <w:lang w:eastAsia="zh-CN"/>
        </w:rPr>
        <w:t>s indication that migrants</w:t>
      </w:r>
      <w:r w:rsidR="00932724" w:rsidRPr="00AF2943">
        <w:rPr>
          <w:lang w:eastAsia="zh-CN"/>
        </w:rPr>
        <w:t>’</w:t>
      </w:r>
      <w:r w:rsidRPr="00AF2943">
        <w:rPr>
          <w:lang w:eastAsia="zh-CN"/>
        </w:rPr>
        <w:t xml:space="preserve"> right to contact their families is supported through cooperation with the Lithuanian Red Cross, and emphasizes the need for consistent documentation and access to information.</w:t>
      </w:r>
    </w:p>
    <w:p w14:paraId="0BF5A547" w14:textId="77777777" w:rsidR="0009550D" w:rsidRPr="00AF2943" w:rsidRDefault="0009550D" w:rsidP="00D10190">
      <w:pPr>
        <w:pStyle w:val="H1G"/>
        <w:rPr>
          <w:lang w:eastAsia="zh-CN"/>
        </w:rPr>
      </w:pPr>
      <w:r w:rsidRPr="00AF2943">
        <w:rPr>
          <w:lang w:eastAsia="zh-CN"/>
        </w:rPr>
        <w:tab/>
        <w:t>D.</w:t>
      </w:r>
      <w:r w:rsidRPr="00AF2943">
        <w:rPr>
          <w:lang w:eastAsia="zh-CN"/>
        </w:rPr>
        <w:tab/>
        <w:t>Assessment and designation of foreigners as national security threats</w:t>
      </w:r>
    </w:p>
    <w:p w14:paraId="69D25408" w14:textId="2F1E2BFF" w:rsidR="0009550D" w:rsidRPr="00AF2943" w:rsidRDefault="0009550D" w:rsidP="0009550D">
      <w:pPr>
        <w:pStyle w:val="SingleTxtG"/>
        <w:rPr>
          <w:lang w:eastAsia="zh-CN"/>
        </w:rPr>
      </w:pPr>
      <w:r w:rsidRPr="00AF2943">
        <w:rPr>
          <w:lang w:eastAsia="zh-CN"/>
        </w:rPr>
        <w:t>66.</w:t>
      </w:r>
      <w:r w:rsidRPr="00AF2943">
        <w:rPr>
          <w:lang w:eastAsia="zh-CN"/>
        </w:rPr>
        <w:tab/>
        <w:t>Recently, Lithuanian authorities have started to assess and declare foreigners as threats to national security, which results in not granting – or not extending – refugee status or residence permits. According to the information received, this applies particularly to Belarusian and Russian citizens who have been deemed a national security threat, for example, because of their previous military service or their previous employment in a State</w:t>
      </w:r>
      <w:r w:rsidR="0090038D" w:rsidRPr="00AF2943">
        <w:rPr>
          <w:lang w:eastAsia="zh-CN"/>
        </w:rPr>
        <w:noBreakHyphen/>
      </w:r>
      <w:r w:rsidRPr="00AF2943">
        <w:rPr>
          <w:lang w:eastAsia="zh-CN"/>
        </w:rPr>
        <w:t>owned enterprise. The Working Group states that such an assessment should always be conducted in an individualized manner, considering not merely the former affiliation of the assessed person, but also their conduct. In addition, persons who could face prison sentences due to their actions (including conscientious objectors, army defectors, human rights defenders and political activists) should not be sent back to Belarus or the Russian Federation.</w:t>
      </w:r>
      <w:r w:rsidRPr="00AF2943">
        <w:rPr>
          <w:rStyle w:val="FootnoteReference"/>
        </w:rPr>
        <w:footnoteReference w:id="34"/>
      </w:r>
      <w:r w:rsidRPr="00AF2943">
        <w:rPr>
          <w:lang w:eastAsia="zh-CN"/>
        </w:rPr>
        <w:t xml:space="preserve"> The Working Group notes with satisfaction that, according to the Lithuanian authorities, such persons are not only allowed to stay based on humanitarian grounds, but may also be granted refugee status or subsidiary protection status, as appropriate, in accordance with Lithuanian and European Union asylum law. </w:t>
      </w:r>
    </w:p>
    <w:bookmarkEnd w:id="2"/>
    <w:p w14:paraId="44EE9C6F" w14:textId="77777777" w:rsidR="0009550D" w:rsidRPr="00AF2943" w:rsidRDefault="0009550D" w:rsidP="00D10190">
      <w:pPr>
        <w:pStyle w:val="HChG"/>
        <w:rPr>
          <w:lang w:eastAsia="zh-CN"/>
        </w:rPr>
      </w:pPr>
      <w:r w:rsidRPr="00AF2943">
        <w:rPr>
          <w:lang w:eastAsia="zh-CN"/>
        </w:rPr>
        <w:tab/>
        <w:t>IX.</w:t>
      </w:r>
      <w:r w:rsidRPr="00AF2943">
        <w:rPr>
          <w:lang w:eastAsia="zh-CN"/>
        </w:rPr>
        <w:tab/>
        <w:t>International cooperation</w:t>
      </w:r>
    </w:p>
    <w:p w14:paraId="10F42CE3" w14:textId="77777777" w:rsidR="0009550D" w:rsidRPr="00AF2943" w:rsidRDefault="0009550D" w:rsidP="0009550D">
      <w:pPr>
        <w:pStyle w:val="SingleTxtG"/>
        <w:rPr>
          <w:lang w:eastAsia="zh-CN"/>
        </w:rPr>
      </w:pPr>
      <w:r w:rsidRPr="00AF2943">
        <w:rPr>
          <w:lang w:eastAsia="zh-CN"/>
        </w:rPr>
        <w:t>67.</w:t>
      </w:r>
      <w:r w:rsidRPr="00AF2943">
        <w:rPr>
          <w:lang w:eastAsia="zh-CN"/>
        </w:rPr>
        <w:tab/>
        <w:t>To effectively address enforced disappearances in the context of both extraordinary renditions and migration, international cooperation is essential, be it in terms of mutual legal assistance and assistance to victims of enforced disappearances or in searching for, locating and releasing disappeared persons and, in the event of death, in exhuming and identifying them and returning their remains.</w:t>
      </w:r>
    </w:p>
    <w:p w14:paraId="026ABCC9" w14:textId="77777777" w:rsidR="0009550D" w:rsidRPr="00AF2943" w:rsidRDefault="0009550D" w:rsidP="0009550D">
      <w:pPr>
        <w:pStyle w:val="SingleTxtG"/>
        <w:rPr>
          <w:lang w:eastAsia="zh-CN"/>
        </w:rPr>
      </w:pPr>
      <w:r w:rsidRPr="00AF2943">
        <w:rPr>
          <w:lang w:eastAsia="zh-CN"/>
        </w:rPr>
        <w:t>68.</w:t>
      </w:r>
      <w:r w:rsidRPr="00AF2943">
        <w:rPr>
          <w:lang w:eastAsia="zh-CN"/>
        </w:rPr>
        <w:tab/>
        <w:t xml:space="preserve">As referred to above, </w:t>
      </w:r>
      <w:proofErr w:type="gramStart"/>
      <w:r w:rsidRPr="00AF2943">
        <w:rPr>
          <w:lang w:eastAsia="zh-CN"/>
        </w:rPr>
        <w:t>with regard to</w:t>
      </w:r>
      <w:proofErr w:type="gramEnd"/>
      <w:r w:rsidRPr="00AF2943">
        <w:rPr>
          <w:lang w:eastAsia="zh-CN"/>
        </w:rPr>
        <w:t xml:space="preserve"> enforced disappearances in the context of extraordinary renditions, in the absence of an adequate framework for cooperation, conducting investigations and bringing those responsible to justice becomes critically challenging, particularly because many victims, witnesses and perpetrators are living in different States and the scenes of the crimes are located in different countries. Often, an alleged perpetrator </w:t>
      </w:r>
      <w:proofErr w:type="gramStart"/>
      <w:r w:rsidRPr="00AF2943">
        <w:rPr>
          <w:lang w:eastAsia="zh-CN"/>
        </w:rPr>
        <w:t>being located in</w:t>
      </w:r>
      <w:proofErr w:type="gramEnd"/>
      <w:r w:rsidRPr="00AF2943">
        <w:rPr>
          <w:lang w:eastAsia="zh-CN"/>
        </w:rPr>
        <w:t xml:space="preserve"> another country in which there is a lack of willingness or legal grounds to prosecute leads to insurmountable obstacles to achieving accountability. Progress is also hampered by the fact that information and evidence that are available are often not shared across borders.</w:t>
      </w:r>
    </w:p>
    <w:p w14:paraId="53D926F6" w14:textId="77777777" w:rsidR="0009550D" w:rsidRPr="00AF2943" w:rsidRDefault="0009550D" w:rsidP="0009550D">
      <w:pPr>
        <w:pStyle w:val="SingleTxtG"/>
        <w:rPr>
          <w:lang w:eastAsia="zh-CN"/>
        </w:rPr>
      </w:pPr>
      <w:r w:rsidRPr="00AF2943">
        <w:rPr>
          <w:lang w:eastAsia="zh-CN"/>
        </w:rPr>
        <w:t>69.</w:t>
      </w:r>
      <w:r w:rsidRPr="00AF2943">
        <w:rPr>
          <w:lang w:eastAsia="zh-CN"/>
        </w:rPr>
        <w:tab/>
        <w:t xml:space="preserve">In this realm, Lithuania should adopt measures to strengthen mutual legal assistance. It should ratify the Ljubljana-The Hague Convention on International Cooperation in the </w:t>
      </w:r>
      <w:r w:rsidRPr="00AF2943">
        <w:rPr>
          <w:lang w:eastAsia="zh-CN"/>
        </w:rPr>
        <w:lastRenderedPageBreak/>
        <w:t>Investigation and Prosecution of the Crime of Genocide, Crimes against Humanity, War Crimes and Other International Crimes.</w:t>
      </w:r>
    </w:p>
    <w:p w14:paraId="4CB89132" w14:textId="77777777" w:rsidR="0009550D" w:rsidRPr="00AF2943" w:rsidRDefault="0009550D" w:rsidP="0009550D">
      <w:pPr>
        <w:pStyle w:val="SingleTxtG"/>
        <w:rPr>
          <w:lang w:eastAsia="zh-CN"/>
        </w:rPr>
      </w:pPr>
      <w:r w:rsidRPr="00AF2943">
        <w:rPr>
          <w:lang w:eastAsia="zh-CN"/>
        </w:rPr>
        <w:t>70.</w:t>
      </w:r>
      <w:r w:rsidRPr="00AF2943">
        <w:rPr>
          <w:lang w:eastAsia="zh-CN"/>
        </w:rPr>
        <w:tab/>
        <w:t>Moreover, Lithuania must adopt further measures to cooperate with other States to secure assistance to victims of enforced disappearances, including in searching for, locating and releasing disappeared persons and, in the event of death, in exhuming and identifying them and returning their remains.</w:t>
      </w:r>
    </w:p>
    <w:p w14:paraId="5FA7163C" w14:textId="77777777" w:rsidR="0009550D" w:rsidRPr="00AF2943" w:rsidRDefault="0009550D" w:rsidP="00D10190">
      <w:pPr>
        <w:pStyle w:val="HChG"/>
        <w:rPr>
          <w:lang w:eastAsia="zh-CN"/>
        </w:rPr>
      </w:pPr>
      <w:r w:rsidRPr="00AF2943">
        <w:rPr>
          <w:lang w:eastAsia="zh-CN"/>
        </w:rPr>
        <w:tab/>
        <w:t>X.</w:t>
      </w:r>
      <w:r w:rsidRPr="00AF2943">
        <w:rPr>
          <w:lang w:eastAsia="zh-CN"/>
        </w:rPr>
        <w:tab/>
        <w:t>Preventive measures</w:t>
      </w:r>
    </w:p>
    <w:p w14:paraId="280CEB4B" w14:textId="580EC367" w:rsidR="0009550D" w:rsidRPr="00AF2943" w:rsidRDefault="0009550D" w:rsidP="0009550D">
      <w:pPr>
        <w:pStyle w:val="SingleTxtG"/>
        <w:rPr>
          <w:lang w:eastAsia="zh-CN"/>
        </w:rPr>
      </w:pPr>
      <w:r w:rsidRPr="00AF2943">
        <w:rPr>
          <w:lang w:eastAsia="zh-CN"/>
        </w:rPr>
        <w:t>71.</w:t>
      </w:r>
      <w:r w:rsidRPr="00AF2943">
        <w:rPr>
          <w:lang w:eastAsia="zh-CN"/>
        </w:rPr>
        <w:tab/>
        <w:t>As a preventive measure, articles 10 to 12 of the Declaration and articles 17 to 21 of the Convention require that deprivation of liberty of persons must be carried out in strict compliance with national and international human rights standards. The safeguards include immediate registration and judicial oversight of detention, notification of family members as soon as an individual is deprived of liberty, the assistance of a defence lawyer of the detainee</w:t>
      </w:r>
      <w:r w:rsidR="00932724" w:rsidRPr="00AF2943">
        <w:rPr>
          <w:lang w:eastAsia="zh-CN"/>
        </w:rPr>
        <w:t>’</w:t>
      </w:r>
      <w:r w:rsidRPr="00AF2943">
        <w:rPr>
          <w:lang w:eastAsia="zh-CN"/>
        </w:rPr>
        <w:t xml:space="preserve">s choice, wide possibilities of contact by telephone and prompt registration of any transfers. </w:t>
      </w:r>
    </w:p>
    <w:p w14:paraId="12AB5A84" w14:textId="77777777" w:rsidR="0009550D" w:rsidRPr="00AF2943" w:rsidRDefault="0009550D" w:rsidP="0009550D">
      <w:pPr>
        <w:pStyle w:val="SingleTxtG"/>
        <w:rPr>
          <w:lang w:eastAsia="zh-CN"/>
        </w:rPr>
      </w:pPr>
      <w:r w:rsidRPr="00AF2943">
        <w:rPr>
          <w:lang w:eastAsia="zh-CN"/>
        </w:rPr>
        <w:t>72.</w:t>
      </w:r>
      <w:r w:rsidRPr="00AF2943">
        <w:rPr>
          <w:lang w:eastAsia="zh-CN"/>
        </w:rPr>
        <w:tab/>
        <w:t>The Working Group received allegations that the immediate notification of the relatives of all migrants placed in custody and access to a lawyer from the very outset of the deprivation of liberty are not always guaranteed in practice, despite the provisions contained in the applicable legal framework. The Working Group calls upon the Lithuanian authorities to ensure the full implementation of the applicable provisions and to ensure that any acts hindering the observance of these guarantees are adequately sanctioned.</w:t>
      </w:r>
    </w:p>
    <w:p w14:paraId="52BC2B41" w14:textId="3147ED0B" w:rsidR="0009550D" w:rsidRPr="00AF2943" w:rsidRDefault="0009550D" w:rsidP="0009550D">
      <w:pPr>
        <w:pStyle w:val="SingleTxtG"/>
        <w:rPr>
          <w:lang w:eastAsia="zh-CN"/>
        </w:rPr>
      </w:pPr>
      <w:r w:rsidRPr="00AF2943">
        <w:rPr>
          <w:lang w:eastAsia="zh-CN"/>
        </w:rPr>
        <w:t>73.</w:t>
      </w:r>
      <w:r w:rsidRPr="00AF2943">
        <w:rPr>
          <w:lang w:eastAsia="zh-CN"/>
        </w:rPr>
        <w:tab/>
      </w:r>
      <w:proofErr w:type="gramStart"/>
      <w:r w:rsidRPr="00AF2943">
        <w:rPr>
          <w:lang w:eastAsia="zh-CN"/>
        </w:rPr>
        <w:t>With regard to</w:t>
      </w:r>
      <w:proofErr w:type="gramEnd"/>
      <w:r w:rsidRPr="00AF2943">
        <w:rPr>
          <w:lang w:eastAsia="zh-CN"/>
        </w:rPr>
        <w:t xml:space="preserve"> the prevention of human rights violations, including enforced disappearance, the Working Group welcomes the designation of the Seimas Ombudsperson</w:t>
      </w:r>
      <w:r w:rsidR="00932724" w:rsidRPr="00AF2943">
        <w:rPr>
          <w:lang w:eastAsia="zh-CN"/>
        </w:rPr>
        <w:t>’</w:t>
      </w:r>
      <w:r w:rsidRPr="00AF2943">
        <w:rPr>
          <w:lang w:eastAsia="zh-CN"/>
        </w:rPr>
        <w:t>s Office as the national mechanism to prevent torture and other cruel, inhuman and degrading treatment, to which adequate financial, human and technical resources must be guaranteed.</w:t>
      </w:r>
    </w:p>
    <w:p w14:paraId="17D44A63" w14:textId="77777777" w:rsidR="0009550D" w:rsidRPr="00AF2943" w:rsidRDefault="0009550D" w:rsidP="0009550D">
      <w:pPr>
        <w:pStyle w:val="SingleTxtG"/>
        <w:rPr>
          <w:lang w:eastAsia="zh-CN"/>
        </w:rPr>
      </w:pPr>
      <w:r w:rsidRPr="00AF2943">
        <w:rPr>
          <w:lang w:eastAsia="zh-CN"/>
        </w:rPr>
        <w:t>74.</w:t>
      </w:r>
      <w:r w:rsidRPr="00AF2943">
        <w:rPr>
          <w:lang w:eastAsia="zh-CN"/>
        </w:rPr>
        <w:tab/>
        <w:t>Moreover, the Working Group recalls the fundamental preventive role played by adequate training and awareness-raising on human rights standards and welcomes the efforts made by Lithuanian authorities in this regard. The Working Group also recalls that the relevant training should include information on the Declaration, the Convention, the Guiding Principles and the practice of the Working Group and the Committee on Enforced Disappearances. Such training must be given on a regular basis to law enforcement personnel, both civil and military, medical personnel, public officials and other persons involved in the custody or treatment of any person deprived of their liberty, as well as to members of the judiciary. The Working Group emphasizes the importance of translating the text of the Declaration, the Convention and the Guiding Principles, as well as other relevant reports and documentation, into national languages and facilitating their dissemination, including by making them available in accessible formats and through technologies appropriate to different users, with special attention to persons with disabilities.</w:t>
      </w:r>
    </w:p>
    <w:p w14:paraId="46366F69" w14:textId="77777777" w:rsidR="0009550D" w:rsidRPr="00AF2943" w:rsidRDefault="0009550D" w:rsidP="00D10190">
      <w:pPr>
        <w:pStyle w:val="HChG"/>
        <w:rPr>
          <w:lang w:eastAsia="zh-CN"/>
        </w:rPr>
      </w:pPr>
      <w:r w:rsidRPr="00AF2943">
        <w:rPr>
          <w:lang w:eastAsia="zh-CN"/>
        </w:rPr>
        <w:tab/>
        <w:t>XI.</w:t>
      </w:r>
      <w:r w:rsidRPr="00AF2943">
        <w:rPr>
          <w:lang w:eastAsia="zh-CN"/>
        </w:rPr>
        <w:tab/>
        <w:t>Conclusions</w:t>
      </w:r>
    </w:p>
    <w:p w14:paraId="315CF8DF" w14:textId="77777777" w:rsidR="0009550D" w:rsidRPr="00AF2943" w:rsidRDefault="0009550D" w:rsidP="0009550D">
      <w:pPr>
        <w:pStyle w:val="SingleTxtG"/>
        <w:rPr>
          <w:b/>
          <w:bCs/>
          <w:lang w:eastAsia="zh-CN"/>
        </w:rPr>
      </w:pPr>
      <w:r w:rsidRPr="00AF2943">
        <w:rPr>
          <w:lang w:eastAsia="zh-CN"/>
        </w:rPr>
        <w:t>75.</w:t>
      </w:r>
      <w:r w:rsidRPr="00AF2943">
        <w:rPr>
          <w:lang w:eastAsia="zh-CN"/>
        </w:rPr>
        <w:tab/>
      </w:r>
      <w:r w:rsidRPr="00AF2943">
        <w:rPr>
          <w:b/>
          <w:bCs/>
          <w:lang w:eastAsia="zh-CN"/>
        </w:rPr>
        <w:t>Lithuania has a robust legal framework to prevent and terminate acts of enforced disappearance, including through the criminalization of the stand-alone offence in line with international standards and the provision of a broad notion of universal criminal jurisdiction enshrined in domestic legislation, pursuant to which several pretrial investigations regarding serious human rights violations are taking place.</w:t>
      </w:r>
    </w:p>
    <w:p w14:paraId="56C441CD" w14:textId="77777777" w:rsidR="0009550D" w:rsidRPr="00AF2943" w:rsidRDefault="0009550D" w:rsidP="0009550D">
      <w:pPr>
        <w:pStyle w:val="SingleTxtG"/>
        <w:rPr>
          <w:b/>
          <w:bCs/>
          <w:lang w:eastAsia="zh-CN"/>
        </w:rPr>
      </w:pPr>
      <w:r w:rsidRPr="00AF2943">
        <w:rPr>
          <w:lang w:eastAsia="zh-CN"/>
        </w:rPr>
        <w:t>76.</w:t>
      </w:r>
      <w:r w:rsidRPr="00AF2943">
        <w:rPr>
          <w:lang w:eastAsia="zh-CN"/>
        </w:rPr>
        <w:tab/>
      </w:r>
      <w:r w:rsidRPr="00AF2943">
        <w:rPr>
          <w:b/>
          <w:bCs/>
          <w:lang w:eastAsia="zh-CN"/>
        </w:rPr>
        <w:t>Bearing in mind the involvement of Lithuania in extraordinary renditions and the corresponding secret detention programme, which entailed the enforced disappearance of at least five individuals, it is concerning that Lithuanian authorities have not yet officially acknowledged their international responsibility, nor have they issued any public apologies to the persons concerned. Equally troubling is the lack of progress in the corresponding pretrial investigation, in which, moreover, no one has been granted the status of victim.</w:t>
      </w:r>
    </w:p>
    <w:p w14:paraId="421D378E" w14:textId="77777777" w:rsidR="0009550D" w:rsidRPr="00AF2943" w:rsidRDefault="0009550D" w:rsidP="0009550D">
      <w:pPr>
        <w:pStyle w:val="SingleTxtG"/>
        <w:rPr>
          <w:b/>
          <w:bCs/>
          <w:lang w:eastAsia="zh-CN"/>
        </w:rPr>
      </w:pPr>
      <w:r w:rsidRPr="00AF2943">
        <w:rPr>
          <w:lang w:eastAsia="zh-CN"/>
        </w:rPr>
        <w:lastRenderedPageBreak/>
        <w:t>77.</w:t>
      </w:r>
      <w:r w:rsidRPr="00AF2943">
        <w:rPr>
          <w:lang w:eastAsia="zh-CN"/>
        </w:rPr>
        <w:tab/>
      </w:r>
      <w:r w:rsidRPr="00AF2943">
        <w:rPr>
          <w:b/>
          <w:bCs/>
          <w:lang w:eastAsia="zh-CN"/>
        </w:rPr>
        <w:t>More than 20 years after the events took place, and after the recognition by multiple international mechanisms of the involvement of Lithuania, it is time to unveil the truth, deliver justice and grant reparation, including through measures of satisfaction to restore the dignity of victims and through a proactive offer for their prompt relocation to Lithuanian territory. The adoption of these measures serves also as a necessary guarantee of non-repetition.</w:t>
      </w:r>
    </w:p>
    <w:p w14:paraId="75E91381" w14:textId="77777777" w:rsidR="0009550D" w:rsidRPr="00AF2943" w:rsidRDefault="0009550D" w:rsidP="0009550D">
      <w:pPr>
        <w:pStyle w:val="SingleTxtG"/>
        <w:rPr>
          <w:b/>
          <w:bCs/>
          <w:lang w:eastAsia="zh-CN"/>
        </w:rPr>
      </w:pPr>
      <w:r w:rsidRPr="00AF2943">
        <w:rPr>
          <w:lang w:eastAsia="zh-CN"/>
        </w:rPr>
        <w:t>78.</w:t>
      </w:r>
      <w:r w:rsidRPr="00AF2943">
        <w:rPr>
          <w:lang w:eastAsia="zh-CN"/>
        </w:rPr>
        <w:tab/>
      </w:r>
      <w:r w:rsidRPr="00AF2943">
        <w:rPr>
          <w:b/>
          <w:bCs/>
          <w:lang w:eastAsia="zh-CN"/>
        </w:rPr>
        <w:t xml:space="preserve">The Working Group acknowledges the challenges connected with the significant increase in the arrivals of migrants to Lithuania, </w:t>
      </w:r>
      <w:proofErr w:type="gramStart"/>
      <w:r w:rsidRPr="00AF2943">
        <w:rPr>
          <w:b/>
          <w:bCs/>
          <w:lang w:eastAsia="zh-CN"/>
        </w:rPr>
        <w:t>in particular</w:t>
      </w:r>
      <w:proofErr w:type="gramEnd"/>
      <w:r w:rsidRPr="00AF2943">
        <w:rPr>
          <w:b/>
          <w:bCs/>
          <w:lang w:eastAsia="zh-CN"/>
        </w:rPr>
        <w:t xml:space="preserve"> those associated with irregular border crossings and the instrumentalization of migration flows by Belarus. It reiterates, however, its concerns about the practice of pushbacks, which remove persons from the protection of the law and expose them to heightened risk of disappearance. Furthermore, it must be ensured that migrants whose freedom of movement is restricted – be it to detention or quarantine – are able to inform their families about their fate and whereabouts.</w:t>
      </w:r>
    </w:p>
    <w:p w14:paraId="099E42AA" w14:textId="77777777" w:rsidR="0009550D" w:rsidRPr="00AF2943" w:rsidRDefault="0009550D" w:rsidP="00D10190">
      <w:pPr>
        <w:pStyle w:val="HChG"/>
        <w:rPr>
          <w:bCs/>
          <w:lang w:eastAsia="zh-CN"/>
        </w:rPr>
      </w:pPr>
      <w:bookmarkStart w:id="3" w:name="_Hlk106283141"/>
      <w:r w:rsidRPr="00AF2943">
        <w:rPr>
          <w:bCs/>
          <w:lang w:eastAsia="zh-CN"/>
        </w:rPr>
        <w:tab/>
        <w:t>XII.</w:t>
      </w:r>
      <w:r w:rsidRPr="00AF2943">
        <w:rPr>
          <w:bCs/>
          <w:lang w:eastAsia="zh-CN"/>
        </w:rPr>
        <w:tab/>
        <w:t>Recommendations</w:t>
      </w:r>
    </w:p>
    <w:p w14:paraId="17701E8B" w14:textId="700AA2CB" w:rsidR="0009550D" w:rsidRPr="00AF2943" w:rsidRDefault="00D10190" w:rsidP="00D10190">
      <w:pPr>
        <w:pStyle w:val="H1G"/>
        <w:rPr>
          <w:bCs/>
          <w:lang w:eastAsia="zh-CN"/>
        </w:rPr>
      </w:pPr>
      <w:r w:rsidRPr="00AF2943">
        <w:rPr>
          <w:bCs/>
        </w:rPr>
        <w:tab/>
      </w:r>
      <w:r w:rsidR="0009550D" w:rsidRPr="00AF2943">
        <w:rPr>
          <w:bCs/>
        </w:rPr>
        <w:t>A.</w:t>
      </w:r>
      <w:r w:rsidR="0009550D" w:rsidRPr="00AF2943">
        <w:rPr>
          <w:bCs/>
        </w:rPr>
        <w:tab/>
      </w:r>
      <w:r w:rsidR="0009550D" w:rsidRPr="00AF2943">
        <w:rPr>
          <w:bCs/>
          <w:lang w:eastAsia="zh-CN"/>
        </w:rPr>
        <w:t>Legal framework</w:t>
      </w:r>
    </w:p>
    <w:bookmarkEnd w:id="3"/>
    <w:p w14:paraId="03B6ABAC" w14:textId="77777777" w:rsidR="0009550D" w:rsidRPr="00AF2943" w:rsidRDefault="0009550D" w:rsidP="0009550D">
      <w:pPr>
        <w:pStyle w:val="SingleTxtG"/>
        <w:rPr>
          <w:b/>
          <w:bCs/>
          <w:lang w:eastAsia="zh-CN"/>
        </w:rPr>
      </w:pPr>
      <w:r w:rsidRPr="00AF2943">
        <w:rPr>
          <w:lang w:eastAsia="zh-CN"/>
        </w:rPr>
        <w:t>79.</w:t>
      </w:r>
      <w:r w:rsidRPr="00AF2943">
        <w:rPr>
          <w:lang w:eastAsia="zh-CN"/>
        </w:rPr>
        <w:tab/>
      </w:r>
      <w:r w:rsidRPr="00AF2943">
        <w:rPr>
          <w:b/>
          <w:bCs/>
          <w:lang w:eastAsia="zh-CN"/>
        </w:rPr>
        <w:t>The Working Group recommends that the Government of Lithuania:</w:t>
      </w:r>
    </w:p>
    <w:p w14:paraId="074BE3E2" w14:textId="0DE4E029"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that enforced disappearance is punishable by appropriate penalties that take into account the extreme seriousness of the offence and ensure that the aggravating circumstances listed in article 60 of the Criminal Code, applicable to all crimes committed against vulnerable individuals, such as young children, persons with disabilities or pregnant women, are aligned with article 4 of the Declaration and article 7 (2) (b) of the Convention, by explicitly mentioning other categories of persons in vulnerable situations;</w:t>
      </w:r>
    </w:p>
    <w:p w14:paraId="05720669" w14:textId="20783C6B"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 xml:space="preserve">Ensure that article 113 (1) of the Criminal Code is brought fully into line with article 6 (1) (b) of the Convention, expressly covering all the modes of liability foreseen therein, in particular </w:t>
      </w:r>
      <w:proofErr w:type="gramStart"/>
      <w:r w:rsidR="0009550D" w:rsidRPr="00AF2943">
        <w:rPr>
          <w:b/>
          <w:bCs/>
          <w:lang w:eastAsia="zh-CN"/>
        </w:rPr>
        <w:t>with regard to</w:t>
      </w:r>
      <w:proofErr w:type="gramEnd"/>
      <w:r w:rsidR="0009550D" w:rsidRPr="00AF2943">
        <w:rPr>
          <w:b/>
          <w:bCs/>
          <w:lang w:eastAsia="zh-CN"/>
        </w:rPr>
        <w:t xml:space="preserve"> references to the active exercise of, effective responsibility for and control over activities that concern the crime of enforced disappearance;</w:t>
      </w:r>
    </w:p>
    <w:p w14:paraId="026C8B31" w14:textId="3FB29F33"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Amend the existing legal framework to explicitly establish that persons who have or are alleged to have committed an enforced disappearance may not benefit from any amnesty or similar measures that might have the effect of exempting them from any criminal proceedings;</w:t>
      </w:r>
    </w:p>
    <w:p w14:paraId="19248E40" w14:textId="4292488F"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Amend the existing legal framework to explicitly establish that persons alleged to have committed an act of enforced disappearance must be suspended from any official duties during the investigation, in line with article 16 (1) of the Declaration;</w:t>
      </w:r>
    </w:p>
    <w:p w14:paraId="2A71F09D" w14:textId="00F67869"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 xml:space="preserve">Adopt the amendments necessary to ensure that the sanctions judicially imposed on perpetrators of enforced disappearance and the execution of the corresponding judgments are not subjected to any statute of limitations; </w:t>
      </w:r>
    </w:p>
    <w:p w14:paraId="70288CD3" w14:textId="6A412F94"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Explicitly acknowledge in the applicable legislation that, in cases of alleged enforced disappearance, authorities cannot invoke official secrets, confidentiality of information or reasons of public interest or national security to justify the non</w:t>
      </w:r>
      <w:r w:rsidR="0090038D" w:rsidRPr="00AF2943">
        <w:rPr>
          <w:b/>
          <w:bCs/>
          <w:lang w:eastAsia="zh-CN"/>
        </w:rPr>
        <w:noBreakHyphen/>
      </w:r>
      <w:r w:rsidR="0009550D" w:rsidRPr="00AF2943">
        <w:rPr>
          <w:b/>
          <w:bCs/>
          <w:lang w:eastAsia="zh-CN"/>
        </w:rPr>
        <w:t>disclosure of information required by the authorities in charge of the investigation or proceedings;</w:t>
      </w:r>
    </w:p>
    <w:p w14:paraId="5EAF7A07" w14:textId="6B3205E7" w:rsidR="0009550D" w:rsidRPr="00AF2943" w:rsidRDefault="00D10190" w:rsidP="0009550D">
      <w:pPr>
        <w:pStyle w:val="SingleTxtG"/>
        <w:rPr>
          <w:b/>
          <w:bCs/>
          <w:lang w:eastAsia="zh-CN"/>
        </w:rPr>
      </w:pPr>
      <w:r w:rsidRPr="00AF2943">
        <w:rPr>
          <w:lang w:eastAsia="zh-CN"/>
        </w:rPr>
        <w:tab/>
      </w:r>
      <w:r w:rsidR="0009550D" w:rsidRPr="00AF2943">
        <w:rPr>
          <w:lang w:eastAsia="zh-CN"/>
        </w:rPr>
        <w:t>(g)</w:t>
      </w:r>
      <w:r w:rsidR="0009550D" w:rsidRPr="00AF2943">
        <w:rPr>
          <w:lang w:eastAsia="zh-CN"/>
        </w:rPr>
        <w:tab/>
      </w:r>
      <w:r w:rsidR="0009550D" w:rsidRPr="00AF2943">
        <w:rPr>
          <w:b/>
          <w:bCs/>
          <w:lang w:eastAsia="zh-CN"/>
        </w:rPr>
        <w:t>Review the legislation allowing pushbacks and stop the practice of pushbacks, as they effectively remove the persons subjected to them from the protection of the law and expose them to a heightened risk of disappearance.</w:t>
      </w:r>
    </w:p>
    <w:p w14:paraId="0CE956A8" w14:textId="0449E68F" w:rsidR="0009550D" w:rsidRPr="00AF2943" w:rsidRDefault="0009550D" w:rsidP="00D10190">
      <w:pPr>
        <w:pStyle w:val="H1G"/>
        <w:rPr>
          <w:bCs/>
          <w:lang w:eastAsia="zh-CN"/>
        </w:rPr>
      </w:pPr>
      <w:r w:rsidRPr="00AF2943">
        <w:rPr>
          <w:bCs/>
          <w:lang w:eastAsia="zh-CN"/>
        </w:rPr>
        <w:lastRenderedPageBreak/>
        <w:tab/>
        <w:t>B.</w:t>
      </w:r>
      <w:r w:rsidR="00D10190" w:rsidRPr="00AF2943">
        <w:rPr>
          <w:bCs/>
          <w:lang w:eastAsia="zh-CN"/>
        </w:rPr>
        <w:tab/>
      </w:r>
      <w:r w:rsidRPr="00AF2943">
        <w:rPr>
          <w:bCs/>
          <w:lang w:eastAsia="zh-CN"/>
        </w:rPr>
        <w:t>Right to truth</w:t>
      </w:r>
    </w:p>
    <w:p w14:paraId="6EAE2506" w14:textId="77777777" w:rsidR="0009550D" w:rsidRPr="00AF2943" w:rsidRDefault="0009550D" w:rsidP="0009550D">
      <w:pPr>
        <w:pStyle w:val="SingleTxtG"/>
        <w:rPr>
          <w:b/>
          <w:bCs/>
          <w:lang w:eastAsia="zh-CN"/>
        </w:rPr>
      </w:pPr>
      <w:r w:rsidRPr="00AF2943">
        <w:rPr>
          <w:lang w:eastAsia="zh-CN"/>
        </w:rPr>
        <w:t>80.</w:t>
      </w:r>
      <w:r w:rsidRPr="00AF2943">
        <w:rPr>
          <w:lang w:eastAsia="zh-CN"/>
        </w:rPr>
        <w:tab/>
      </w:r>
      <w:r w:rsidRPr="00AF2943">
        <w:rPr>
          <w:b/>
          <w:bCs/>
          <w:lang w:eastAsia="zh-CN"/>
        </w:rPr>
        <w:t>The Working Group recommends that the Government of Lithuania:</w:t>
      </w:r>
    </w:p>
    <w:p w14:paraId="29CF47A6" w14:textId="2612A75A"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ab/>
        <w:t>Adopt without delay search policies and programmes aimed specifically at especially vulnerable persons, such as the Amber Alert and the Alba Protocol, and ensure that searches are initiated ex officio and without delay, in accordance with the Guiding Principles, in particular principles 4 and 6 thereof, on the search for persons in situations of vulnerability;</w:t>
      </w:r>
    </w:p>
    <w:p w14:paraId="0FFC7783" w14:textId="34AAFA91"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Adopt dedicated protocols and other public policies and practices on detecting and searching for potential victims of trafficking in persons reported missing or disappeared;</w:t>
      </w:r>
    </w:p>
    <w:p w14:paraId="638185A6" w14:textId="1E5B6279"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Adopt dedicated protocols, public policies and practices on searching for migrants or asylum-seekers reported missing or disappeared, in line with principle 9 of the Guiding Principles;</w:t>
      </w:r>
    </w:p>
    <w:p w14:paraId="7AF11FD2" w14:textId="4A3DB5F4"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Adopt all measures necessary to guarantee that the authorities in charge of the search for disappeared persons and the corresponding criminal investigations have sufficient financial, human and technical resources and, in particular, state</w:t>
      </w:r>
      <w:r w:rsidR="0090038D" w:rsidRPr="00AF2943">
        <w:rPr>
          <w:b/>
          <w:bCs/>
          <w:lang w:eastAsia="zh-CN"/>
        </w:rPr>
        <w:noBreakHyphen/>
      </w:r>
      <w:r w:rsidR="0009550D" w:rsidRPr="00AF2943">
        <w:rPr>
          <w:b/>
          <w:bCs/>
          <w:lang w:eastAsia="zh-CN"/>
        </w:rPr>
        <w:t>of</w:t>
      </w:r>
      <w:r w:rsidR="0090038D" w:rsidRPr="00AF2943">
        <w:rPr>
          <w:b/>
          <w:bCs/>
          <w:lang w:eastAsia="zh-CN"/>
        </w:rPr>
        <w:noBreakHyphen/>
      </w:r>
      <w:r w:rsidR="0009550D" w:rsidRPr="00AF2943">
        <w:rPr>
          <w:b/>
          <w:bCs/>
          <w:lang w:eastAsia="zh-CN"/>
        </w:rPr>
        <w:t>the</w:t>
      </w:r>
      <w:r w:rsidR="0090038D" w:rsidRPr="00AF2943">
        <w:rPr>
          <w:b/>
          <w:bCs/>
          <w:lang w:eastAsia="zh-CN"/>
        </w:rPr>
        <w:noBreakHyphen/>
      </w:r>
      <w:r w:rsidR="0009550D" w:rsidRPr="00AF2943">
        <w:rPr>
          <w:b/>
          <w:bCs/>
          <w:lang w:eastAsia="zh-CN"/>
        </w:rPr>
        <w:t xml:space="preserve">art technologies (including Laser Identification and Ranging, sonar units and satellite imagery) and are regularly and duly trained, including on the application of the Berkeley Protocol on Digital </w:t>
      </w:r>
      <w:proofErr w:type="gramStart"/>
      <w:r w:rsidR="0009550D" w:rsidRPr="00AF2943">
        <w:rPr>
          <w:b/>
          <w:bCs/>
          <w:lang w:eastAsia="zh-CN"/>
        </w:rPr>
        <w:t>Open Source</w:t>
      </w:r>
      <w:proofErr w:type="gramEnd"/>
      <w:r w:rsidR="0009550D" w:rsidRPr="00AF2943">
        <w:rPr>
          <w:b/>
          <w:bCs/>
          <w:lang w:eastAsia="zh-CN"/>
        </w:rPr>
        <w:t xml:space="preserve"> Investigations;</w:t>
      </w:r>
    </w:p>
    <w:p w14:paraId="0F5EB86C" w14:textId="73E9286A"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Develop and implement comprehensive policies and strategies that should include the use of new technologies for the preservation, analysis and dissemination of information contained in the archives of military, police and intelligence agencies, providing the human and material resources required to assess the information and ensuring that assessments are carried out by specialized professionals;</w:t>
      </w:r>
    </w:p>
    <w:p w14:paraId="3FD5C7E6" w14:textId="52C0713A"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Ensure that authorities in charge of the search for disappeared persons and of the investigation into an alleged enforced disappearance have access to all information and documentation relevant to their investigation and that mechanisms such as State secret, confidentiality or national security cannot justify the restriction or denial of access of relevant information, including that contained in private and public archives;</w:t>
      </w:r>
    </w:p>
    <w:p w14:paraId="07629308" w14:textId="3BC4AEB0" w:rsidR="0009550D" w:rsidRPr="00AF2943" w:rsidRDefault="00D10190" w:rsidP="0009550D">
      <w:pPr>
        <w:pStyle w:val="SingleTxtG"/>
        <w:rPr>
          <w:b/>
          <w:bCs/>
          <w:lang w:eastAsia="zh-CN"/>
        </w:rPr>
      </w:pPr>
      <w:r w:rsidRPr="00AF2943">
        <w:rPr>
          <w:lang w:eastAsia="zh-CN"/>
        </w:rPr>
        <w:tab/>
      </w:r>
      <w:r w:rsidR="0009550D" w:rsidRPr="00AF2943">
        <w:rPr>
          <w:lang w:eastAsia="zh-CN"/>
        </w:rPr>
        <w:t>(g)</w:t>
      </w:r>
      <w:r w:rsidR="0009550D" w:rsidRPr="00AF2943">
        <w:rPr>
          <w:lang w:eastAsia="zh-CN"/>
        </w:rPr>
        <w:tab/>
      </w:r>
      <w:r w:rsidR="0009550D" w:rsidRPr="00AF2943">
        <w:rPr>
          <w:b/>
          <w:bCs/>
          <w:lang w:eastAsia="zh-CN"/>
        </w:rPr>
        <w:t>Record properly all State actions at the border and make such information available to any person having a legitimate interest, including persons searching for their loved ones, their representatives or their counsel;</w:t>
      </w:r>
    </w:p>
    <w:p w14:paraId="6BAF5087" w14:textId="036E7001" w:rsidR="0009550D" w:rsidRPr="00AF2943" w:rsidRDefault="00D10190" w:rsidP="0009550D">
      <w:pPr>
        <w:pStyle w:val="SingleTxtG"/>
        <w:rPr>
          <w:b/>
          <w:bCs/>
          <w:lang w:eastAsia="zh-CN"/>
        </w:rPr>
      </w:pPr>
      <w:r w:rsidRPr="00AF2943">
        <w:rPr>
          <w:lang w:eastAsia="zh-CN"/>
        </w:rPr>
        <w:tab/>
      </w:r>
      <w:r w:rsidR="0009550D" w:rsidRPr="00AF2943">
        <w:rPr>
          <w:lang w:eastAsia="zh-CN"/>
        </w:rPr>
        <w:t>(h)</w:t>
      </w:r>
      <w:r w:rsidR="0009550D" w:rsidRPr="00AF2943">
        <w:rPr>
          <w:lang w:eastAsia="zh-CN"/>
        </w:rPr>
        <w:tab/>
      </w:r>
      <w:r w:rsidR="0009550D" w:rsidRPr="00AF2943">
        <w:rPr>
          <w:b/>
          <w:bCs/>
          <w:lang w:eastAsia="zh-CN"/>
        </w:rPr>
        <w:t xml:space="preserve">Ensure that migrants whose freedom of movement is restricted – be it due to detention or quarantine – </w:t>
      </w:r>
      <w:proofErr w:type="gramStart"/>
      <w:r w:rsidR="0009550D" w:rsidRPr="00AF2943">
        <w:rPr>
          <w:b/>
          <w:bCs/>
          <w:lang w:eastAsia="zh-CN"/>
        </w:rPr>
        <w:t>are able to</w:t>
      </w:r>
      <w:proofErr w:type="gramEnd"/>
      <w:r w:rsidR="0009550D" w:rsidRPr="00AF2943">
        <w:rPr>
          <w:b/>
          <w:bCs/>
          <w:lang w:eastAsia="zh-CN"/>
        </w:rPr>
        <w:t xml:space="preserve"> inform their families about their fate and whereabouts and also ensure that persons deprived of liberty in the context of pushbacks are released in a manner permitting reliable verification that they have actually been released;</w:t>
      </w:r>
    </w:p>
    <w:p w14:paraId="3FB134D8" w14:textId="3ECB9694" w:rsidR="0009550D" w:rsidRPr="00AF2943" w:rsidRDefault="00D10190" w:rsidP="0009550D">
      <w:pPr>
        <w:pStyle w:val="SingleTxtG"/>
        <w:rPr>
          <w:b/>
          <w:bCs/>
          <w:lang w:eastAsia="zh-CN"/>
        </w:rPr>
      </w:pPr>
      <w:r w:rsidRPr="00AF2943">
        <w:rPr>
          <w:lang w:eastAsia="zh-CN"/>
        </w:rPr>
        <w:tab/>
      </w:r>
      <w:r w:rsidR="0009550D" w:rsidRPr="00AF2943">
        <w:rPr>
          <w:lang w:eastAsia="zh-CN"/>
        </w:rPr>
        <w:t>(i)</w:t>
      </w:r>
      <w:r w:rsidR="0009550D" w:rsidRPr="00AF2943">
        <w:rPr>
          <w:lang w:eastAsia="zh-CN"/>
        </w:rPr>
        <w:tab/>
      </w:r>
      <w:r w:rsidR="0009550D" w:rsidRPr="00AF2943">
        <w:rPr>
          <w:b/>
          <w:bCs/>
          <w:lang w:eastAsia="zh-CN"/>
        </w:rPr>
        <w:t>Ensure that deprivation of liberty preceding return to Latvia is carried out in compliance with article 10 (2) and (3) of the Declaration and articles 17 and 18 of the Convention.</w:t>
      </w:r>
    </w:p>
    <w:p w14:paraId="0C45083B" w14:textId="2D92D319" w:rsidR="0009550D" w:rsidRPr="00AF2943" w:rsidRDefault="00D10190" w:rsidP="00D10190">
      <w:pPr>
        <w:pStyle w:val="H1G"/>
        <w:rPr>
          <w:bCs/>
          <w:lang w:eastAsia="zh-CN"/>
        </w:rPr>
      </w:pPr>
      <w:r w:rsidRPr="00AF2943">
        <w:rPr>
          <w:bCs/>
          <w:lang w:eastAsia="zh-CN"/>
        </w:rPr>
        <w:tab/>
      </w:r>
      <w:r w:rsidR="0009550D" w:rsidRPr="00AF2943">
        <w:rPr>
          <w:bCs/>
          <w:lang w:eastAsia="zh-CN"/>
        </w:rPr>
        <w:t>C.</w:t>
      </w:r>
      <w:r w:rsidR="0009550D" w:rsidRPr="00AF2943">
        <w:rPr>
          <w:bCs/>
          <w:lang w:eastAsia="zh-CN"/>
        </w:rPr>
        <w:tab/>
        <w:t>Right to justice</w:t>
      </w:r>
    </w:p>
    <w:p w14:paraId="4F597708" w14:textId="77777777" w:rsidR="0009550D" w:rsidRPr="00AF2943" w:rsidRDefault="0009550D" w:rsidP="0009550D">
      <w:pPr>
        <w:pStyle w:val="SingleTxtG"/>
        <w:rPr>
          <w:b/>
          <w:bCs/>
          <w:lang w:eastAsia="zh-CN"/>
        </w:rPr>
      </w:pPr>
      <w:r w:rsidRPr="00AF2943">
        <w:rPr>
          <w:lang w:eastAsia="zh-CN"/>
        </w:rPr>
        <w:t>81.</w:t>
      </w:r>
      <w:r w:rsidRPr="00AF2943">
        <w:rPr>
          <w:lang w:eastAsia="zh-CN"/>
        </w:rPr>
        <w:tab/>
      </w:r>
      <w:r w:rsidRPr="00AF2943">
        <w:rPr>
          <w:b/>
          <w:bCs/>
          <w:lang w:eastAsia="zh-CN"/>
        </w:rPr>
        <w:t>The Working Group recommends that the Government of Lithuania:</w:t>
      </w:r>
    </w:p>
    <w:p w14:paraId="36383F34" w14:textId="3078CC8F"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without delay the recognition of the legal standing as victims, including family members, of all the individuals who were subjected to enforced disappearance in the context of the extraordinary rendition programme, including Mr. Zubaydah and Mr. al-Hawsawi, and enable their and their counsels</w:t>
      </w:r>
      <w:r w:rsidR="00932724" w:rsidRPr="00AF2943">
        <w:rPr>
          <w:b/>
          <w:bCs/>
          <w:lang w:eastAsia="zh-CN"/>
        </w:rPr>
        <w:t>’</w:t>
      </w:r>
      <w:r w:rsidR="0009550D" w:rsidRPr="00AF2943">
        <w:rPr>
          <w:b/>
          <w:bCs/>
          <w:lang w:eastAsia="zh-CN"/>
        </w:rPr>
        <w:t xml:space="preserve"> effective participation in the ongoing pretrial investigation;</w:t>
      </w:r>
    </w:p>
    <w:p w14:paraId="26DD8ACE" w14:textId="7E245CF3" w:rsidR="0009550D" w:rsidRPr="00AF2943" w:rsidRDefault="00D10190" w:rsidP="0009550D">
      <w:pPr>
        <w:pStyle w:val="SingleTxtG"/>
        <w:rPr>
          <w:b/>
          <w:bCs/>
          <w:lang w:eastAsia="zh-CN"/>
        </w:rPr>
      </w:pPr>
      <w:r w:rsidRPr="00AF2943">
        <w:rPr>
          <w:lang w:eastAsia="zh-CN"/>
        </w:rPr>
        <w:lastRenderedPageBreak/>
        <w:tab/>
      </w:r>
      <w:r w:rsidR="0009550D" w:rsidRPr="00AF2943">
        <w:rPr>
          <w:lang w:eastAsia="zh-CN"/>
        </w:rPr>
        <w:t>(b)</w:t>
      </w:r>
      <w:r w:rsidR="0009550D" w:rsidRPr="00AF2943">
        <w:rPr>
          <w:lang w:eastAsia="zh-CN"/>
        </w:rPr>
        <w:tab/>
      </w:r>
      <w:r w:rsidR="0009550D" w:rsidRPr="00AF2943">
        <w:rPr>
          <w:b/>
          <w:bCs/>
          <w:lang w:eastAsia="zh-CN"/>
        </w:rPr>
        <w:t>Closely follow the developments in relevant proceedings in the United States in the cases involving Mr. Zubaydah and Mr. al-Hawsawi and assess whether any evidence disclosed in them can be of use in their domestic investigation;</w:t>
      </w:r>
    </w:p>
    <w:p w14:paraId="1C22BD4E" w14:textId="540EE337"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Complete the investigation into allegations of its involvement in the rendition and secret detention programmes within a reasonable time, holding those responsible accountable.</w:t>
      </w:r>
    </w:p>
    <w:p w14:paraId="7BC52336" w14:textId="77777777" w:rsidR="0009550D" w:rsidRPr="00AF2943" w:rsidRDefault="0009550D" w:rsidP="00D10190">
      <w:pPr>
        <w:pStyle w:val="H1G"/>
        <w:rPr>
          <w:bCs/>
          <w:lang w:eastAsia="zh-CN"/>
        </w:rPr>
      </w:pPr>
      <w:r w:rsidRPr="00AF2943">
        <w:rPr>
          <w:bCs/>
          <w:lang w:eastAsia="zh-CN"/>
        </w:rPr>
        <w:tab/>
        <w:t>D.</w:t>
      </w:r>
      <w:r w:rsidRPr="00AF2943">
        <w:rPr>
          <w:bCs/>
          <w:lang w:eastAsia="zh-CN"/>
        </w:rPr>
        <w:tab/>
        <w:t>Right to reparation</w:t>
      </w:r>
    </w:p>
    <w:p w14:paraId="54E4D291" w14:textId="77777777" w:rsidR="0009550D" w:rsidRPr="00AF2943" w:rsidRDefault="0009550D" w:rsidP="0009550D">
      <w:pPr>
        <w:pStyle w:val="SingleTxtG"/>
        <w:rPr>
          <w:b/>
          <w:bCs/>
          <w:lang w:eastAsia="zh-CN"/>
        </w:rPr>
      </w:pPr>
      <w:r w:rsidRPr="00AF2943">
        <w:rPr>
          <w:lang w:eastAsia="zh-CN"/>
        </w:rPr>
        <w:t>82.</w:t>
      </w:r>
      <w:r w:rsidRPr="00AF2943">
        <w:rPr>
          <w:lang w:eastAsia="zh-CN"/>
        </w:rPr>
        <w:tab/>
      </w:r>
      <w:r w:rsidRPr="00AF2943">
        <w:rPr>
          <w:b/>
          <w:bCs/>
          <w:lang w:eastAsia="zh-CN"/>
        </w:rPr>
        <w:t>The Working Group recommends that the Government of Lithuania:</w:t>
      </w:r>
    </w:p>
    <w:p w14:paraId="696ED991" w14:textId="5A2FA872"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Take the measures necessary to ensure that national law provides for a comprehensive, gender-responsive system of reparation and compensation, which covers not only material and moral damage but also other forms of reparation, such as restitution, rehabilitation, satisfaction, including restoration of dignity and reputation, and guarantees of non-repetition, for which the State is responsible and which is applicable even if no criminal proceedings have been initiated;</w:t>
      </w:r>
    </w:p>
    <w:p w14:paraId="5C9D8829" w14:textId="715DF3BB"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Introduce in the relevant legislation the possibility of obtaining a certificate of absence due to enforced disappearance, different from the generic certificate of absence, to define the legal status of forcibly disappeared persons and to guarantee the corresponding rights to their family members;</w:t>
      </w:r>
    </w:p>
    <w:p w14:paraId="227D69BC" w14:textId="63AB0FE5"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Follow up on initiatives to seek diplomatic assurances from the United States authorities to limit, as far as possible, the effects of the violations suffered by Mr.</w:t>
      </w:r>
      <w:r w:rsidR="005A28E6" w:rsidRPr="00AF2943">
        <w:rPr>
          <w:b/>
          <w:bCs/>
          <w:lang w:eastAsia="zh-CN"/>
        </w:rPr>
        <w:t> </w:t>
      </w:r>
      <w:r w:rsidR="0009550D" w:rsidRPr="00AF2943">
        <w:rPr>
          <w:b/>
          <w:bCs/>
          <w:lang w:eastAsia="zh-CN"/>
        </w:rPr>
        <w:t>Zubaydah and Mr. al-Hawsawi</w:t>
      </w:r>
      <w:r w:rsidR="0009550D" w:rsidRPr="00AF2943" w:rsidDel="007C7378">
        <w:rPr>
          <w:b/>
          <w:bCs/>
          <w:lang w:eastAsia="zh-CN"/>
        </w:rPr>
        <w:t xml:space="preserve"> </w:t>
      </w:r>
      <w:r w:rsidR="0009550D" w:rsidRPr="00AF2943">
        <w:rPr>
          <w:b/>
          <w:bCs/>
          <w:lang w:eastAsia="zh-CN"/>
        </w:rPr>
        <w:t xml:space="preserve">and intensify their diplomatic efforts to guarantee adequate remedy and reparation for the victims. </w:t>
      </w:r>
      <w:proofErr w:type="gramStart"/>
      <w:r w:rsidR="0009550D" w:rsidRPr="00AF2943">
        <w:rPr>
          <w:b/>
          <w:bCs/>
          <w:lang w:eastAsia="zh-CN"/>
        </w:rPr>
        <w:t>In particular, Lithuania</w:t>
      </w:r>
      <w:proofErr w:type="gramEnd"/>
      <w:r w:rsidR="0009550D" w:rsidRPr="00AF2943">
        <w:rPr>
          <w:b/>
          <w:bCs/>
          <w:lang w:eastAsia="zh-CN"/>
        </w:rPr>
        <w:t xml:space="preserve"> should offer assistance with the relocation of Mr. Zubaydah and Mr. al-Hawsawi, including by expressing its willingness to relocate them to its territory;</w:t>
      </w:r>
    </w:p>
    <w:p w14:paraId="404E06CC" w14:textId="37B83B20"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Publicly acknowledge its international responsibility for the human rights violations suffered by all persons secretly detained in Lithuania under the extraordinary rendition programme, including Mr. Zubaydah and Mr. al-Hawsawi, and offer them a public apology.</w:t>
      </w:r>
    </w:p>
    <w:p w14:paraId="0C678E1D" w14:textId="77777777" w:rsidR="0009550D" w:rsidRPr="00AF2943" w:rsidRDefault="0009550D" w:rsidP="00D10190">
      <w:pPr>
        <w:pStyle w:val="H1G"/>
        <w:rPr>
          <w:bCs/>
          <w:lang w:eastAsia="zh-CN"/>
        </w:rPr>
      </w:pPr>
      <w:r w:rsidRPr="00AF2943">
        <w:rPr>
          <w:bCs/>
          <w:lang w:eastAsia="zh-CN"/>
        </w:rPr>
        <w:tab/>
        <w:t>E.</w:t>
      </w:r>
      <w:r w:rsidRPr="00AF2943">
        <w:rPr>
          <w:bCs/>
          <w:lang w:eastAsia="zh-CN"/>
        </w:rPr>
        <w:tab/>
        <w:t>Memory and human rights education</w:t>
      </w:r>
    </w:p>
    <w:p w14:paraId="7BC3A561" w14:textId="27059FBD" w:rsidR="0009550D" w:rsidRPr="00AF2943" w:rsidRDefault="0009550D" w:rsidP="0009550D">
      <w:pPr>
        <w:pStyle w:val="SingleTxtG"/>
        <w:rPr>
          <w:b/>
          <w:bCs/>
          <w:lang w:eastAsia="zh-CN"/>
        </w:rPr>
      </w:pPr>
      <w:r w:rsidRPr="00AF2943">
        <w:rPr>
          <w:lang w:eastAsia="zh-CN"/>
        </w:rPr>
        <w:t>83.</w:t>
      </w:r>
      <w:r w:rsidR="00D10190" w:rsidRPr="00AF2943">
        <w:rPr>
          <w:lang w:eastAsia="zh-CN"/>
        </w:rPr>
        <w:tab/>
      </w:r>
      <w:r w:rsidRPr="00AF2943">
        <w:rPr>
          <w:b/>
          <w:bCs/>
          <w:lang w:eastAsia="zh-CN"/>
        </w:rPr>
        <w:t xml:space="preserve">The Working Group recommends that the Government of Lithuania, as a guarantee of non-repetition, affix a commemorative plaque at the place in Antaviliai known as </w:t>
      </w:r>
      <w:r w:rsidR="00932724" w:rsidRPr="00AF2943">
        <w:rPr>
          <w:b/>
          <w:bCs/>
          <w:lang w:eastAsia="zh-CN"/>
        </w:rPr>
        <w:t>“</w:t>
      </w:r>
      <w:r w:rsidRPr="00AF2943">
        <w:rPr>
          <w:b/>
          <w:bCs/>
          <w:lang w:eastAsia="zh-CN"/>
        </w:rPr>
        <w:t>Detention Site Violet</w:t>
      </w:r>
      <w:r w:rsidR="00932724" w:rsidRPr="00AF2943">
        <w:rPr>
          <w:b/>
          <w:bCs/>
          <w:lang w:eastAsia="zh-CN"/>
        </w:rPr>
        <w:t>”</w:t>
      </w:r>
      <w:r w:rsidRPr="00AF2943">
        <w:rPr>
          <w:b/>
          <w:bCs/>
          <w:lang w:eastAsia="zh-CN"/>
        </w:rPr>
        <w:t>, which was used in 2005 and 2006 as a secret Central Intelligence Agency detention facility, and ensure that the training provided there to officers of the Lithuanian Prison Service includes judgments, opinions and reports that illustrate what happened in the building and spell out the State responsibility and its corresponding international obligations.</w:t>
      </w:r>
    </w:p>
    <w:p w14:paraId="1BAC78F2" w14:textId="77777777" w:rsidR="0009550D" w:rsidRPr="00AF2943" w:rsidRDefault="0009550D" w:rsidP="00D10190">
      <w:pPr>
        <w:pStyle w:val="H1G"/>
        <w:rPr>
          <w:bCs/>
          <w:lang w:eastAsia="zh-CN"/>
        </w:rPr>
      </w:pPr>
      <w:r w:rsidRPr="00AF2943">
        <w:rPr>
          <w:bCs/>
          <w:lang w:eastAsia="zh-CN"/>
        </w:rPr>
        <w:tab/>
        <w:t>F.</w:t>
      </w:r>
      <w:r w:rsidRPr="00AF2943">
        <w:rPr>
          <w:bCs/>
          <w:lang w:eastAsia="zh-CN"/>
        </w:rPr>
        <w:tab/>
        <w:t>International cooperation</w:t>
      </w:r>
    </w:p>
    <w:p w14:paraId="42A89562" w14:textId="35EF896E" w:rsidR="0009550D" w:rsidRPr="00AF2943" w:rsidRDefault="0009550D" w:rsidP="0009550D">
      <w:pPr>
        <w:pStyle w:val="SingleTxtG"/>
        <w:rPr>
          <w:b/>
          <w:bCs/>
        </w:rPr>
      </w:pPr>
      <w:r w:rsidRPr="00AF2943">
        <w:t>84.</w:t>
      </w:r>
      <w:r w:rsidR="00D10190" w:rsidRPr="00AF2943">
        <w:tab/>
      </w:r>
      <w:r w:rsidRPr="00AF2943">
        <w:rPr>
          <w:b/>
          <w:bCs/>
        </w:rPr>
        <w:t>The Working Group recommends that the Government of Lithuania:</w:t>
      </w:r>
    </w:p>
    <w:p w14:paraId="5877B6A7" w14:textId="1AA19FC8"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Adopt measures to strengthen mutual legal cooperation in connection with criminal proceedings and ratify the Ljubljana-The Hague Convention on International Cooperation in the Investigation and Prosecution of the Crime of Genocide, Crimes against Humanity, War Crimes and Other International Crimes;</w:t>
      </w:r>
    </w:p>
    <w:p w14:paraId="03A70DA6" w14:textId="457B8DB4"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Cooperate with other States, affording one another the greatest measure of mutual assistance in the use of technologies to facilitate the search for disappeared persons and regarding legal assistance, including through the use of new technologies and open-source intelligence, in connection with criminal proceedings brought in respect of an enforced disappearance, including the gathering and supplying of all evidence at their disposal that is necessary for the proceedings.</w:t>
      </w:r>
    </w:p>
    <w:p w14:paraId="3AC338C6" w14:textId="5961ABF5" w:rsidR="0009550D" w:rsidRPr="00AF2943" w:rsidRDefault="00D10190" w:rsidP="00D10190">
      <w:pPr>
        <w:pStyle w:val="H1G"/>
        <w:rPr>
          <w:bCs/>
          <w:lang w:eastAsia="zh-CN"/>
        </w:rPr>
      </w:pPr>
      <w:r w:rsidRPr="00AF2943">
        <w:rPr>
          <w:bCs/>
          <w:lang w:eastAsia="zh-CN"/>
        </w:rPr>
        <w:lastRenderedPageBreak/>
        <w:tab/>
      </w:r>
      <w:r w:rsidR="0009550D" w:rsidRPr="00AF2943">
        <w:rPr>
          <w:bCs/>
          <w:lang w:eastAsia="zh-CN"/>
        </w:rPr>
        <w:t>G.</w:t>
      </w:r>
      <w:r w:rsidR="0009550D" w:rsidRPr="00AF2943">
        <w:rPr>
          <w:bCs/>
          <w:lang w:eastAsia="zh-CN"/>
        </w:rPr>
        <w:tab/>
        <w:t>Preventive measures</w:t>
      </w:r>
    </w:p>
    <w:p w14:paraId="6E65E8DB" w14:textId="374D0049" w:rsidR="0009550D" w:rsidRPr="00AF2943" w:rsidRDefault="0009550D" w:rsidP="0009550D">
      <w:pPr>
        <w:pStyle w:val="SingleTxtG"/>
        <w:rPr>
          <w:b/>
          <w:bCs/>
        </w:rPr>
      </w:pPr>
      <w:r w:rsidRPr="00AF2943">
        <w:t>85.</w:t>
      </w:r>
      <w:r w:rsidR="00D10190" w:rsidRPr="00AF2943">
        <w:tab/>
      </w:r>
      <w:r w:rsidRPr="00AF2943">
        <w:rPr>
          <w:b/>
          <w:bCs/>
        </w:rPr>
        <w:t>The Working Group recommends that the Government of Lithuania:</w:t>
      </w:r>
    </w:p>
    <w:p w14:paraId="483A5584" w14:textId="3967F602"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the full implementation of the legal framework guaranteeing the immediate notification of the relatives of persons placed in custody and access to a lawyer from the very outset of the deprivation of liberty and ensure that any acts hindering the observance of these guarantees are adequately sanctioned;</w:t>
      </w:r>
    </w:p>
    <w:p w14:paraId="00EF9634" w14:textId="6455714F"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Ensure that assessments of whether foreigners are a threat to national security are always conducted in an individualized manner;</w:t>
      </w:r>
    </w:p>
    <w:p w14:paraId="0261F5ED" w14:textId="3CE8C196"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 xml:space="preserve">Continue to allow persons who could face a prison sentence in Belarus or the Russia Federation </w:t>
      </w:r>
      <w:proofErr w:type="gramStart"/>
      <w:r w:rsidR="0009550D" w:rsidRPr="00AF2943">
        <w:rPr>
          <w:b/>
          <w:bCs/>
          <w:lang w:eastAsia="zh-CN"/>
        </w:rPr>
        <w:t>as a result of</w:t>
      </w:r>
      <w:proofErr w:type="gramEnd"/>
      <w:r w:rsidR="0009550D" w:rsidRPr="00AF2943">
        <w:rPr>
          <w:b/>
          <w:bCs/>
          <w:lang w:eastAsia="zh-CN"/>
        </w:rPr>
        <w:t xml:space="preserve"> their actions (including conscientious objectors, army defectors, human rights defenders and political activists) to stay in Lithuania based on humanitarian grounds and to apply for asylum;</w:t>
      </w:r>
    </w:p>
    <w:p w14:paraId="03243EF3" w14:textId="7D835ABA"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Ensure that the Seimas Ombudsperson</w:t>
      </w:r>
      <w:r w:rsidR="00932724" w:rsidRPr="00AF2943">
        <w:rPr>
          <w:b/>
          <w:bCs/>
          <w:lang w:eastAsia="zh-CN"/>
        </w:rPr>
        <w:t>’</w:t>
      </w:r>
      <w:r w:rsidR="0009550D" w:rsidRPr="00AF2943">
        <w:rPr>
          <w:b/>
          <w:bCs/>
          <w:lang w:eastAsia="zh-CN"/>
        </w:rPr>
        <w:t>s Office receives sufficient financial, human and technical resources;</w:t>
      </w:r>
    </w:p>
    <w:p w14:paraId="208F9195" w14:textId="5B509652"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Ensure that law enforcement personnel, both civil and military, medical personnel, public officials and other persons involved in the custody or treatment of any person deprived of their liberty, as well as members of the judiciary, receive regular training, including information on the Declaration, the Convention, the Guiding Principles and the practice of the Working Group and the Committee on Enforced Disappearances;</w:t>
      </w:r>
    </w:p>
    <w:p w14:paraId="3ED0CD27" w14:textId="3DA3AA3F"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Translate the text of the Declaration, the Convention and the Guiding Principles, as well as other relevant reports and documentation, into national languages and facilitate their dissemination, including by making them available in accessible formats and through technologies appropriate to different users, with special attention to persons with disabilities.</w:t>
      </w:r>
    </w:p>
    <w:p w14:paraId="6B5B3199" w14:textId="77777777" w:rsidR="0009550D" w:rsidRPr="00AF2943" w:rsidRDefault="0009550D" w:rsidP="00D10190">
      <w:pPr>
        <w:pStyle w:val="H1G"/>
        <w:rPr>
          <w:bCs/>
          <w:lang w:eastAsia="zh-CN"/>
        </w:rPr>
      </w:pPr>
      <w:r w:rsidRPr="00AF2943">
        <w:rPr>
          <w:bCs/>
          <w:lang w:eastAsia="zh-CN"/>
        </w:rPr>
        <w:tab/>
        <w:t>H.</w:t>
      </w:r>
      <w:r w:rsidRPr="00AF2943">
        <w:rPr>
          <w:bCs/>
          <w:lang w:eastAsia="zh-CN"/>
        </w:rPr>
        <w:tab/>
        <w:t>Cooperation with universal and regional human rights mechanisms</w:t>
      </w:r>
    </w:p>
    <w:p w14:paraId="248AB205" w14:textId="3BE2E31E" w:rsidR="0009550D" w:rsidRPr="00AF2943" w:rsidRDefault="0009550D" w:rsidP="0009550D">
      <w:pPr>
        <w:pStyle w:val="SingleTxtG"/>
        <w:rPr>
          <w:b/>
          <w:bCs/>
          <w:lang w:eastAsia="zh-CN"/>
        </w:rPr>
      </w:pPr>
      <w:r w:rsidRPr="00AF2943">
        <w:rPr>
          <w:lang w:eastAsia="zh-CN"/>
        </w:rPr>
        <w:t>86.</w:t>
      </w:r>
      <w:r w:rsidR="00D10190" w:rsidRPr="00AF2943">
        <w:rPr>
          <w:lang w:eastAsia="zh-CN"/>
        </w:rPr>
        <w:tab/>
      </w:r>
      <w:r w:rsidRPr="00AF2943">
        <w:rPr>
          <w:b/>
          <w:bCs/>
          <w:lang w:eastAsia="zh-CN"/>
        </w:rPr>
        <w:t>The Working Group recommends that the Government of Lithuania continue cooperating with other international mechanisms – at the United Nations and the regional levels – that work to protect human rights within their respective mandates. In particular, the Working Group recommends that Lithuania fully implement the orders set out in the judgments of the European Court of Human Rights relating to cases of enforced disappearance in the context of extraordinary renditions and the corresponding secret detention programme, as well as the measures indicated by the Working Group on Arbitrary Detention in its opinions No. 66/2022 and No. 72/2022, and the recommendations contained in the concluding observations of the Committee on Enforced Disappearances, the Human Rights Committee and the Committee against Torture and in the follow-up report to the joint study on global practices in relation to secret detention in the context of countering terrorism.</w:t>
      </w:r>
    </w:p>
    <w:p w14:paraId="77DC31F8" w14:textId="77777777" w:rsidR="0009550D" w:rsidRPr="00AF2943" w:rsidRDefault="0009550D" w:rsidP="00D10190">
      <w:pPr>
        <w:pStyle w:val="H1G"/>
        <w:rPr>
          <w:bCs/>
          <w:lang w:eastAsia="zh-CN"/>
        </w:rPr>
      </w:pPr>
      <w:r w:rsidRPr="00AF2943">
        <w:rPr>
          <w:bCs/>
          <w:lang w:eastAsia="zh-CN"/>
        </w:rPr>
        <w:tab/>
        <w:t>I.</w:t>
      </w:r>
      <w:r w:rsidRPr="00AF2943">
        <w:rPr>
          <w:bCs/>
          <w:lang w:eastAsia="zh-CN"/>
        </w:rPr>
        <w:tab/>
        <w:t>Dissemination and follow-up</w:t>
      </w:r>
    </w:p>
    <w:p w14:paraId="5575F439" w14:textId="481AB52B" w:rsidR="0009550D" w:rsidRPr="00AF2943" w:rsidRDefault="0009550D" w:rsidP="0009550D">
      <w:pPr>
        <w:pStyle w:val="SingleTxtG"/>
        <w:rPr>
          <w:b/>
          <w:bCs/>
          <w:lang w:eastAsia="zh-CN"/>
        </w:rPr>
      </w:pPr>
      <w:r w:rsidRPr="00AF2943">
        <w:rPr>
          <w:lang w:eastAsia="zh-CN"/>
        </w:rPr>
        <w:t>87.</w:t>
      </w:r>
      <w:r w:rsidR="00D10190" w:rsidRPr="00AF2943">
        <w:rPr>
          <w:lang w:eastAsia="zh-CN"/>
        </w:rPr>
        <w:tab/>
      </w:r>
      <w:r w:rsidRPr="00AF2943">
        <w:rPr>
          <w:b/>
          <w:bCs/>
          <w:lang w:eastAsia="zh-CN"/>
        </w:rPr>
        <w:t xml:space="preserve">The Working Group invites the Government of Lithuania to take all measures necessary to widely disseminate the present report, </w:t>
      </w:r>
      <w:proofErr w:type="gramStart"/>
      <w:r w:rsidRPr="00AF2943">
        <w:rPr>
          <w:b/>
          <w:bCs/>
          <w:lang w:eastAsia="zh-CN"/>
        </w:rPr>
        <w:t>in order to</w:t>
      </w:r>
      <w:proofErr w:type="gramEnd"/>
      <w:r w:rsidRPr="00AF2943">
        <w:rPr>
          <w:b/>
          <w:bCs/>
          <w:lang w:eastAsia="zh-CN"/>
        </w:rPr>
        <w:t xml:space="preserve"> raise awareness among the judicial, legislative and administrative authorities, civil society and non</w:t>
      </w:r>
      <w:r w:rsidR="00381749" w:rsidRPr="00AF2943">
        <w:rPr>
          <w:b/>
          <w:bCs/>
          <w:lang w:eastAsia="zh-CN"/>
        </w:rPr>
        <w:noBreakHyphen/>
      </w:r>
      <w:r w:rsidRPr="00AF2943">
        <w:rPr>
          <w:b/>
          <w:bCs/>
          <w:lang w:eastAsia="zh-CN"/>
        </w:rPr>
        <w:t>governmental organizations and the general public.</w:t>
      </w:r>
    </w:p>
    <w:p w14:paraId="292715BC" w14:textId="0E88BD5D" w:rsidR="0009550D" w:rsidRPr="00AF2943" w:rsidRDefault="0009550D" w:rsidP="0009550D">
      <w:pPr>
        <w:pStyle w:val="SingleTxtG"/>
        <w:rPr>
          <w:b/>
          <w:bCs/>
          <w:lang w:eastAsia="zh-CN"/>
        </w:rPr>
      </w:pPr>
      <w:r w:rsidRPr="00AF2943">
        <w:rPr>
          <w:lang w:eastAsia="zh-CN"/>
        </w:rPr>
        <w:t>88.</w:t>
      </w:r>
      <w:r w:rsidR="00D10190" w:rsidRPr="00AF2943">
        <w:rPr>
          <w:lang w:eastAsia="zh-CN"/>
        </w:rPr>
        <w:tab/>
      </w:r>
      <w:r w:rsidRPr="00AF2943">
        <w:rPr>
          <w:b/>
          <w:bCs/>
          <w:lang w:eastAsia="zh-CN"/>
        </w:rPr>
        <w:t>The Working Group invites the Government of Lithuania to submit, within 90</w:t>
      </w:r>
      <w:r w:rsidR="00381749" w:rsidRPr="00AF2943">
        <w:rPr>
          <w:b/>
          <w:bCs/>
          <w:lang w:eastAsia="zh-CN"/>
        </w:rPr>
        <w:t> </w:t>
      </w:r>
      <w:r w:rsidRPr="00AF2943">
        <w:rPr>
          <w:b/>
          <w:bCs/>
          <w:lang w:eastAsia="zh-CN"/>
        </w:rPr>
        <w:t>days of the date of publication of the present report, a schedule specifying the measures that will be taken to implement the Working Group</w:t>
      </w:r>
      <w:r w:rsidR="00932724" w:rsidRPr="00AF2943">
        <w:rPr>
          <w:b/>
          <w:bCs/>
          <w:lang w:eastAsia="zh-CN"/>
        </w:rPr>
        <w:t>’</w:t>
      </w:r>
      <w:r w:rsidRPr="00AF2943">
        <w:rPr>
          <w:b/>
          <w:bCs/>
          <w:lang w:eastAsia="zh-CN"/>
        </w:rPr>
        <w:t>s recommendations and the dates on which each of these measures will be implemented.</w:t>
      </w:r>
    </w:p>
    <w:p w14:paraId="31DCEC3D" w14:textId="58168D34" w:rsidR="007268F9" w:rsidRPr="00AF2943" w:rsidRDefault="0009550D" w:rsidP="00181444">
      <w:pPr>
        <w:pStyle w:val="SingleTxtG"/>
        <w:keepLines/>
        <w:rPr>
          <w:b/>
          <w:bCs/>
          <w:lang w:eastAsia="zh-CN"/>
        </w:rPr>
      </w:pPr>
      <w:r w:rsidRPr="00AF2943">
        <w:rPr>
          <w:lang w:eastAsia="zh-CN"/>
        </w:rPr>
        <w:lastRenderedPageBreak/>
        <w:t>89.</w:t>
      </w:r>
      <w:r w:rsidR="00D10190" w:rsidRPr="00AF2943">
        <w:rPr>
          <w:lang w:eastAsia="zh-CN"/>
        </w:rPr>
        <w:tab/>
      </w:r>
      <w:r w:rsidRPr="00AF2943">
        <w:rPr>
          <w:b/>
          <w:bCs/>
          <w:lang w:eastAsia="zh-CN"/>
        </w:rPr>
        <w:t xml:space="preserve">The Working Group recalls that the jus cogens nature of the prohibition of enforced disappearance and the corresponding obligation to investigate and punish perpetrators gives rise to obligations </w:t>
      </w:r>
      <w:r w:rsidRPr="00AF2943">
        <w:rPr>
          <w:b/>
          <w:bCs/>
          <w:i/>
          <w:iCs/>
          <w:lang w:eastAsia="zh-CN"/>
        </w:rPr>
        <w:t>erga omnes</w:t>
      </w:r>
      <w:r w:rsidRPr="00AF2943">
        <w:rPr>
          <w:b/>
          <w:bCs/>
          <w:lang w:eastAsia="zh-CN"/>
        </w:rPr>
        <w:t>. In this regard, it resolutely calls upon all States that may hold relevant information on the cases involving Mr. Zubaydah and Mr. al-Hawsawi, including Afghanistan, Morocco, Pakistan, Poland, Romania, Thailand, the United Kingdom and the United States, to collaborate with Lithuanian authorities by supplying all evidence at their disposal that is necessary in the context of the ongoing pretrial investigation.</w:t>
      </w:r>
    </w:p>
    <w:p w14:paraId="3317F2BB" w14:textId="2B17E1F6" w:rsidR="00D10190" w:rsidRPr="00AF2943" w:rsidRDefault="00181444" w:rsidP="00181444">
      <w:pPr>
        <w:spacing w:before="240"/>
        <w:jc w:val="center"/>
        <w:rPr>
          <w:u w:val="single"/>
        </w:rPr>
      </w:pPr>
      <w:r w:rsidRPr="00AF2943">
        <w:rPr>
          <w:u w:val="single"/>
        </w:rPr>
        <w:tab/>
      </w:r>
      <w:r w:rsidRPr="00AF2943">
        <w:rPr>
          <w:u w:val="single"/>
        </w:rPr>
        <w:tab/>
      </w:r>
      <w:r w:rsidRPr="00AF2943">
        <w:rPr>
          <w:u w:val="single"/>
        </w:rPr>
        <w:tab/>
      </w:r>
    </w:p>
    <w:sectPr w:rsidR="00D10190" w:rsidRPr="00AF294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4F2D4" w14:textId="77777777" w:rsidR="00D34F33" w:rsidRPr="00C47B2E" w:rsidRDefault="00D34F33" w:rsidP="00C47B2E">
      <w:pPr>
        <w:pStyle w:val="Footer"/>
      </w:pPr>
    </w:p>
  </w:endnote>
  <w:endnote w:type="continuationSeparator" w:id="0">
    <w:p w14:paraId="43E921FE" w14:textId="77777777" w:rsidR="00D34F33" w:rsidRPr="00C47B2E" w:rsidRDefault="00D34F33" w:rsidP="00C47B2E">
      <w:pPr>
        <w:pStyle w:val="Footer"/>
      </w:pPr>
    </w:p>
  </w:endnote>
  <w:endnote w:type="continuationNotice" w:id="1">
    <w:p w14:paraId="1918DC31" w14:textId="77777777" w:rsidR="00D34F33" w:rsidRPr="00C47B2E" w:rsidRDefault="00D34F3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9BF1" w14:textId="77777777" w:rsidR="0009550D" w:rsidRDefault="0009550D" w:rsidP="0009550D">
    <w:pPr>
      <w:pStyle w:val="Footer"/>
      <w:tabs>
        <w:tab w:val="right" w:pos="9638"/>
      </w:tabs>
    </w:pPr>
    <w:r w:rsidRPr="0009550D">
      <w:rPr>
        <w:b/>
        <w:bCs/>
        <w:sz w:val="18"/>
      </w:rPr>
      <w:fldChar w:fldCharType="begin"/>
    </w:r>
    <w:r w:rsidRPr="0009550D">
      <w:rPr>
        <w:b/>
        <w:bCs/>
        <w:sz w:val="18"/>
      </w:rPr>
      <w:instrText xml:space="preserve"> PAGE  \* MERGEFORMAT </w:instrText>
    </w:r>
    <w:r w:rsidRPr="0009550D">
      <w:rPr>
        <w:b/>
        <w:bCs/>
        <w:sz w:val="18"/>
      </w:rPr>
      <w:fldChar w:fldCharType="separate"/>
    </w:r>
    <w:r w:rsidRPr="0009550D">
      <w:rPr>
        <w:b/>
        <w:bCs/>
        <w:noProof/>
        <w:sz w:val="18"/>
      </w:rPr>
      <w:t>2</w:t>
    </w:r>
    <w:r w:rsidRPr="0009550D">
      <w:rPr>
        <w:b/>
        <w:bCs/>
        <w:sz w:val="18"/>
      </w:rPr>
      <w:fldChar w:fldCharType="end"/>
    </w:r>
    <w:r>
      <w:tab/>
      <w:t>GE.25-10451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03E7" w14:textId="77777777" w:rsidR="0009550D" w:rsidRDefault="0009550D" w:rsidP="0009550D">
    <w:pPr>
      <w:pStyle w:val="Footer"/>
      <w:tabs>
        <w:tab w:val="right" w:pos="9638"/>
      </w:tabs>
    </w:pPr>
    <w:r>
      <w:t>GE.25-10451</w:t>
    </w:r>
    <w:r>
      <w:tab/>
    </w:r>
    <w:r w:rsidRPr="0009550D">
      <w:rPr>
        <w:b/>
        <w:bCs/>
        <w:sz w:val="18"/>
      </w:rPr>
      <w:fldChar w:fldCharType="begin"/>
    </w:r>
    <w:r w:rsidRPr="0009550D">
      <w:rPr>
        <w:b/>
        <w:bCs/>
        <w:sz w:val="18"/>
      </w:rPr>
      <w:instrText xml:space="preserve"> PAGE  \* MERGEFORMAT </w:instrText>
    </w:r>
    <w:r w:rsidRPr="0009550D">
      <w:rPr>
        <w:b/>
        <w:bCs/>
        <w:sz w:val="18"/>
      </w:rPr>
      <w:fldChar w:fldCharType="separate"/>
    </w:r>
    <w:r w:rsidRPr="0009550D">
      <w:rPr>
        <w:b/>
        <w:bCs/>
        <w:noProof/>
        <w:sz w:val="18"/>
      </w:rPr>
      <w:t>3</w:t>
    </w:r>
    <w:r w:rsidRPr="000955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4966E" w14:textId="77777777" w:rsidR="0009550D" w:rsidRDefault="0009550D">
    <w:pPr>
      <w:pStyle w:val="Footer"/>
      <w:rPr>
        <w:sz w:val="20"/>
      </w:rPr>
    </w:pPr>
    <w:r w:rsidRPr="0027112F">
      <w:rPr>
        <w:noProof/>
        <w:lang w:val="en-US"/>
      </w:rPr>
      <w:drawing>
        <wp:anchor distT="0" distB="0" distL="114300" distR="114300" simplePos="0" relativeHeight="251659264" behindDoc="0" locked="1" layoutInCell="1" allowOverlap="1" wp14:anchorId="60AFA48E" wp14:editId="4D48D43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EBCD22" w14:textId="51536A66" w:rsidR="0009550D" w:rsidRPr="0009550D" w:rsidRDefault="0009550D" w:rsidP="0009550D">
    <w:pPr>
      <w:pStyle w:val="Footer"/>
      <w:rPr>
        <w:sz w:val="20"/>
      </w:rPr>
    </w:pPr>
    <w:r>
      <w:rPr>
        <w:sz w:val="20"/>
      </w:rPr>
      <w:t>GE.25-10451  (E)</w:t>
    </w:r>
    <w:r>
      <w:rPr>
        <w:noProof/>
        <w:sz w:val="20"/>
      </w:rPr>
      <w:drawing>
        <wp:anchor distT="0" distB="0" distL="114300" distR="114300" simplePos="0" relativeHeight="251660288" behindDoc="0" locked="0" layoutInCell="1" allowOverlap="1" wp14:anchorId="7E02531D" wp14:editId="3A3B7985">
          <wp:simplePos x="0" y="0"/>
          <wp:positionH relativeFrom="margin">
            <wp:posOffset>5583555</wp:posOffset>
          </wp:positionH>
          <wp:positionV relativeFrom="margin">
            <wp:posOffset>8981440</wp:posOffset>
          </wp:positionV>
          <wp:extent cx="571500" cy="571500"/>
          <wp:effectExtent l="0" t="0" r="0" b="0"/>
          <wp:wrapNone/>
          <wp:docPr id="191387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FB7">
      <w:rPr>
        <w:sz w:val="20"/>
      </w:rPr>
      <w:t xml:space="preserve">    080725    </w:t>
    </w:r>
    <w:r w:rsidR="00403B1C">
      <w:rPr>
        <w:sz w:val="20"/>
      </w:rPr>
      <w:t>15</w:t>
    </w:r>
    <w:r w:rsidR="00026FB7">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C3CD9" w14:textId="77777777" w:rsidR="00D34F33" w:rsidRPr="00C47B2E" w:rsidRDefault="00D34F33" w:rsidP="00C47B2E">
      <w:pPr>
        <w:tabs>
          <w:tab w:val="right" w:pos="2155"/>
        </w:tabs>
        <w:spacing w:after="80" w:line="240" w:lineRule="auto"/>
        <w:ind w:left="680"/>
      </w:pPr>
      <w:r>
        <w:rPr>
          <w:u w:val="single"/>
        </w:rPr>
        <w:tab/>
      </w:r>
    </w:p>
  </w:footnote>
  <w:footnote w:type="continuationSeparator" w:id="0">
    <w:p w14:paraId="25A4E896" w14:textId="77777777" w:rsidR="00D34F33" w:rsidRPr="00C47B2E" w:rsidRDefault="00D34F33" w:rsidP="005E716E">
      <w:pPr>
        <w:tabs>
          <w:tab w:val="right" w:pos="2155"/>
        </w:tabs>
        <w:spacing w:after="80" w:line="240" w:lineRule="auto"/>
        <w:ind w:left="680"/>
      </w:pPr>
      <w:r>
        <w:rPr>
          <w:u w:val="single"/>
        </w:rPr>
        <w:tab/>
      </w:r>
    </w:p>
  </w:footnote>
  <w:footnote w:type="continuationNotice" w:id="1">
    <w:p w14:paraId="1896F82B" w14:textId="77777777" w:rsidR="00D34F33" w:rsidRPr="00C47B2E" w:rsidRDefault="00D34F33" w:rsidP="00C47B2E">
      <w:pPr>
        <w:pStyle w:val="Footer"/>
      </w:pPr>
    </w:p>
  </w:footnote>
  <w:footnote w:id="2">
    <w:p w14:paraId="0278EA07" w14:textId="77777777" w:rsidR="0009550D" w:rsidRPr="00381749" w:rsidRDefault="0009550D" w:rsidP="0009550D">
      <w:pPr>
        <w:pStyle w:val="FootnoteText"/>
      </w:pPr>
      <w:r w:rsidRPr="00381749">
        <w:tab/>
      </w:r>
      <w:r w:rsidRPr="00381749">
        <w:rPr>
          <w:sz w:val="20"/>
        </w:rPr>
        <w:t>*</w:t>
      </w:r>
      <w:r w:rsidRPr="00381749">
        <w:rPr>
          <w:sz w:val="20"/>
        </w:rPr>
        <w:tab/>
      </w:r>
      <w:r w:rsidRPr="00381749">
        <w:t>The summary of the report is being circulated in all official languages. The report itself, which is annexed to the summary, is being circulated in the language of submission only.</w:t>
      </w:r>
    </w:p>
  </w:footnote>
  <w:footnote w:id="3">
    <w:p w14:paraId="73B6ADEF" w14:textId="68E12C7C" w:rsidR="0009550D" w:rsidRPr="00381749" w:rsidRDefault="0009550D" w:rsidP="0009550D">
      <w:pPr>
        <w:pStyle w:val="FootnoteText"/>
      </w:pPr>
      <w:r w:rsidRPr="00381749">
        <w:tab/>
      </w:r>
      <w:r w:rsidRPr="00381749">
        <w:rPr>
          <w:rStyle w:val="FootnoteReference"/>
        </w:rPr>
        <w:footnoteRef/>
      </w:r>
      <w:r w:rsidRPr="00381749">
        <w:tab/>
      </w:r>
      <w:hyperlink r:id="rId1" w:history="1">
        <w:r w:rsidRPr="00625900">
          <w:rPr>
            <w:color w:val="0000FF"/>
          </w:rPr>
          <w:t>A/HRC/13/42</w:t>
        </w:r>
      </w:hyperlink>
      <w:r w:rsidRPr="00381749">
        <w:t>, para. 120.</w:t>
      </w:r>
    </w:p>
  </w:footnote>
  <w:footnote w:id="4">
    <w:p w14:paraId="423BAE26" w14:textId="0D950B4A" w:rsidR="0009550D" w:rsidRPr="00381749" w:rsidRDefault="0009550D" w:rsidP="0009550D">
      <w:pPr>
        <w:pStyle w:val="FootnoteText"/>
      </w:pPr>
      <w:r w:rsidRPr="00381749">
        <w:tab/>
      </w:r>
      <w:r w:rsidRPr="00381749">
        <w:rPr>
          <w:rStyle w:val="FootnoteReference"/>
        </w:rPr>
        <w:footnoteRef/>
      </w:r>
      <w:r w:rsidRPr="00381749">
        <w:tab/>
      </w:r>
      <w:hyperlink r:id="rId2" w:history="1">
        <w:r w:rsidRPr="00625900">
          <w:rPr>
            <w:color w:val="0000FF"/>
          </w:rPr>
          <w:t>A/HRC/22/45</w:t>
        </w:r>
      </w:hyperlink>
      <w:r w:rsidRPr="00381749">
        <w:t xml:space="preserve"> and </w:t>
      </w:r>
      <w:hyperlink r:id="rId3" w:history="1">
        <w:r w:rsidRPr="00625900">
          <w:rPr>
            <w:rStyle w:val="Hyperlink"/>
          </w:rPr>
          <w:t>A/HRC/22/45/Corr.1</w:t>
        </w:r>
      </w:hyperlink>
      <w:r w:rsidRPr="00381749">
        <w:t xml:space="preserve">, paras. 229–232. For the response submitted by Lithuania, see </w:t>
      </w:r>
      <w:hyperlink r:id="rId4" w:history="1">
        <w:r w:rsidRPr="00625900">
          <w:rPr>
            <w:color w:val="0000FF"/>
          </w:rPr>
          <w:t>A/HRC/WGEID/99/1</w:t>
        </w:r>
      </w:hyperlink>
      <w:r w:rsidRPr="00381749">
        <w:t>, para. 83.</w:t>
      </w:r>
    </w:p>
  </w:footnote>
  <w:footnote w:id="5">
    <w:p w14:paraId="0694D02F" w14:textId="0AFC5B60" w:rsidR="0009550D" w:rsidRPr="00381749" w:rsidRDefault="0009550D" w:rsidP="0009550D">
      <w:pPr>
        <w:pStyle w:val="FootnoteText"/>
      </w:pPr>
      <w:r w:rsidRPr="00381749">
        <w:tab/>
      </w:r>
      <w:r w:rsidRPr="00381749">
        <w:rPr>
          <w:rStyle w:val="FootnoteReference"/>
        </w:rPr>
        <w:footnoteRef/>
      </w:r>
      <w:r w:rsidRPr="00381749">
        <w:tab/>
        <w:t xml:space="preserve">See </w:t>
      </w:r>
      <w:hyperlink r:id="rId5" w:history="1">
        <w:r w:rsidRPr="00625900">
          <w:rPr>
            <w:rStyle w:val="Hyperlink"/>
          </w:rPr>
          <w:t>CED/C/11</w:t>
        </w:r>
      </w:hyperlink>
      <w:r w:rsidRPr="00381749">
        <w:t>.</w:t>
      </w:r>
    </w:p>
  </w:footnote>
  <w:footnote w:id="6">
    <w:p w14:paraId="16034F87" w14:textId="02321A04" w:rsidR="0009550D" w:rsidRPr="00381749" w:rsidRDefault="0009550D" w:rsidP="0009550D">
      <w:pPr>
        <w:pStyle w:val="FootnoteText"/>
      </w:pPr>
      <w:r w:rsidRPr="00381749">
        <w:tab/>
      </w:r>
      <w:r w:rsidRPr="00381749">
        <w:rPr>
          <w:rStyle w:val="FootnoteReference"/>
        </w:rPr>
        <w:footnoteRef/>
      </w:r>
      <w:r w:rsidRPr="00381749">
        <w:tab/>
        <w:t xml:space="preserve">See communication </w:t>
      </w:r>
      <w:hyperlink r:id="rId6" w:history="1">
        <w:r w:rsidRPr="00625900">
          <w:rPr>
            <w:color w:val="0000FF"/>
          </w:rPr>
          <w:t>LTU 1/2011</w:t>
        </w:r>
      </w:hyperlink>
      <w:r w:rsidRPr="00381749">
        <w:t xml:space="preserve">. All communications mentioned in the present report are available from </w:t>
      </w:r>
      <w:hyperlink r:id="rId7" w:tgtFrame="_blank" w:tooltip="https://spcommreports.ohchr.org/tmsearch/tmdocuments" w:history="1">
        <w:r w:rsidRPr="00625900">
          <w:rPr>
            <w:color w:val="0000FF"/>
          </w:rPr>
          <w:t>https://spcommreports.ohchr.org/Tmsearch/TMDocuments</w:t>
        </w:r>
      </w:hyperlink>
      <w:r w:rsidRPr="00381749">
        <w:t>.</w:t>
      </w:r>
    </w:p>
  </w:footnote>
  <w:footnote w:id="7">
    <w:p w14:paraId="180EA737" w14:textId="6DCCD0D0" w:rsidR="0009550D" w:rsidRPr="00381749" w:rsidRDefault="0009550D" w:rsidP="0009550D">
      <w:pPr>
        <w:pStyle w:val="FootnoteText"/>
      </w:pPr>
      <w:r w:rsidRPr="00381749">
        <w:tab/>
      </w:r>
      <w:r w:rsidRPr="00381749">
        <w:rPr>
          <w:rStyle w:val="FootnoteReference"/>
        </w:rPr>
        <w:footnoteRef/>
      </w:r>
      <w:r w:rsidRPr="00381749">
        <w:tab/>
      </w:r>
      <w:r w:rsidRPr="00381749">
        <w:rPr>
          <w:i/>
          <w:iCs/>
        </w:rPr>
        <w:t>Al-Hawsawi v. Lithuania</w:t>
      </w:r>
      <w:r w:rsidRPr="00381749">
        <w:t>, Application No. 6383/17, Judgment, 16 January 2024.</w:t>
      </w:r>
    </w:p>
  </w:footnote>
  <w:footnote w:id="8">
    <w:p w14:paraId="0531B32A" w14:textId="29770518" w:rsidR="0009550D" w:rsidRPr="00381749" w:rsidRDefault="0009550D" w:rsidP="0009550D">
      <w:pPr>
        <w:pStyle w:val="FootnoteText"/>
      </w:pPr>
      <w:r w:rsidRPr="00381749">
        <w:tab/>
      </w:r>
      <w:r w:rsidRPr="00381749">
        <w:rPr>
          <w:rStyle w:val="FootnoteReference"/>
        </w:rPr>
        <w:footnoteRef/>
      </w:r>
      <w:r w:rsidRPr="00381749">
        <w:tab/>
        <w:t xml:space="preserve">In a communication concerning the case </w:t>
      </w:r>
      <w:r w:rsidRPr="00381749">
        <w:rPr>
          <w:i/>
          <w:iCs/>
        </w:rPr>
        <w:t>Abu Zubaydah v. Lithuania</w:t>
      </w:r>
      <w:r w:rsidRPr="00381749">
        <w:t xml:space="preserve"> (European Court of Human Rights, Application No. 46454/11, Judgment, 31 May 2018), the authorities announced a message of zero tolerance towards any violation of human rights (see </w:t>
      </w:r>
      <w:hyperlink r:id="rId8" w:history="1">
        <w:r w:rsidRPr="00625900">
          <w:rPr>
            <w:color w:val="0000FF"/>
          </w:rPr>
          <w:t>https://hudoc.exec.coe.int/eng?i=DH-DD(2020)6E</w:t>
        </w:r>
      </w:hyperlink>
      <w:r w:rsidRPr="00381749">
        <w:t>).</w:t>
      </w:r>
    </w:p>
  </w:footnote>
  <w:footnote w:id="9">
    <w:p w14:paraId="5EB2FEFD" w14:textId="48A7FE37" w:rsidR="0009550D" w:rsidRPr="00381749" w:rsidRDefault="00D10190" w:rsidP="0009550D">
      <w:pPr>
        <w:pStyle w:val="FootnoteText"/>
      </w:pPr>
      <w:r w:rsidRPr="00381749">
        <w:tab/>
      </w:r>
      <w:r w:rsidR="0009550D" w:rsidRPr="00381749">
        <w:rPr>
          <w:rStyle w:val="FootnoteReference"/>
        </w:rPr>
        <w:footnoteRef/>
      </w:r>
      <w:r w:rsidRPr="00381749">
        <w:tab/>
      </w:r>
      <w:r w:rsidR="0009550D" w:rsidRPr="00381749">
        <w:t>See https://lrkt.lt/en/court-acts/search/170/ta850/content.</w:t>
      </w:r>
    </w:p>
  </w:footnote>
  <w:footnote w:id="10">
    <w:p w14:paraId="13ED1A9C" w14:textId="50F250E7" w:rsidR="0009550D" w:rsidRPr="00381749" w:rsidRDefault="0009550D" w:rsidP="0009550D">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Inter-</w:t>
      </w:r>
      <w:r w:rsidRPr="00381749">
        <w:rPr>
          <w:bCs/>
        </w:rPr>
        <w:t>American</w:t>
      </w:r>
      <w:r w:rsidRPr="00381749">
        <w:rPr>
          <w:rFonts w:asciiTheme="majorBidi" w:hAnsiTheme="majorBidi" w:cstheme="majorBidi"/>
        </w:rPr>
        <w:t xml:space="preserve"> Court of Human Rights, </w:t>
      </w:r>
      <w:hyperlink r:id="rId9" w:history="1">
        <w:r w:rsidRPr="00625900">
          <w:rPr>
            <w:rFonts w:asciiTheme="majorBidi" w:hAnsiTheme="majorBidi" w:cstheme="majorBidi"/>
            <w:i/>
            <w:iCs/>
            <w:color w:val="0000FF"/>
          </w:rPr>
          <w:t>Heliodoro Portugal v. Panama</w:t>
        </w:r>
      </w:hyperlink>
      <w:r w:rsidRPr="00381749">
        <w:rPr>
          <w:rFonts w:asciiTheme="majorBidi" w:hAnsiTheme="majorBidi" w:cstheme="majorBidi"/>
        </w:rPr>
        <w:t>, Judgment, 12 August 2008, para. 206.</w:t>
      </w:r>
    </w:p>
  </w:footnote>
  <w:footnote w:id="11">
    <w:p w14:paraId="0A229F54" w14:textId="77777777" w:rsidR="0009550D" w:rsidRPr="00381749" w:rsidRDefault="0009550D" w:rsidP="0009550D">
      <w:pPr>
        <w:pStyle w:val="FootnoteText"/>
      </w:pPr>
      <w:r w:rsidRPr="00381749">
        <w:tab/>
      </w:r>
      <w:r w:rsidRPr="00381749">
        <w:rPr>
          <w:rStyle w:val="FootnoteReference"/>
        </w:rPr>
        <w:footnoteRef/>
      </w:r>
      <w:r w:rsidRPr="00381749">
        <w:tab/>
        <w:t>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 Second Evaluation Round</w:t>
      </w:r>
      <w:r w:rsidRPr="00381749">
        <w:rPr>
          <w:bCs/>
        </w:rPr>
        <w:t xml:space="preserve"> (Strasbourg, France, 2022); and </w:t>
      </w:r>
      <w:r w:rsidRPr="00381749">
        <w:t>Council of Europe, Group of Experts on Action against Trafficking in Human Beings</w:t>
      </w:r>
      <w:r w:rsidRPr="00381749">
        <w:rPr>
          <w:bCs/>
        </w:rPr>
        <w:t xml:space="preserve">, </w:t>
      </w:r>
      <w:r w:rsidRPr="00381749">
        <w:rPr>
          <w:bCs/>
          <w:i/>
          <w:iCs/>
        </w:rPr>
        <w:t>Evaluation Report: Lithuania – Third Evaluation Round</w:t>
      </w:r>
      <w:r w:rsidRPr="00381749">
        <w:rPr>
          <w:bCs/>
        </w:rPr>
        <w:t xml:space="preserve"> (Strasbourg, 2024).</w:t>
      </w:r>
    </w:p>
  </w:footnote>
  <w:footnote w:id="12">
    <w:p w14:paraId="6D470605" w14:textId="2FD85B6A" w:rsidR="0009550D" w:rsidRPr="00381749" w:rsidRDefault="0009550D" w:rsidP="0009550D">
      <w:pPr>
        <w:pStyle w:val="FootnoteText"/>
        <w:rPr>
          <w:bCs/>
        </w:rPr>
      </w:pPr>
      <w:r w:rsidRPr="00381749">
        <w:tab/>
      </w:r>
      <w:r w:rsidRPr="00381749">
        <w:rPr>
          <w:rStyle w:val="FootnoteReference"/>
        </w:rPr>
        <w:footnoteRef/>
      </w:r>
      <w:r w:rsidRPr="00381749">
        <w:tab/>
      </w:r>
      <w:hyperlink r:id="rId10" w:history="1">
        <w:r w:rsidRPr="00625900">
          <w:rPr>
            <w:color w:val="0000FF"/>
          </w:rPr>
          <w:t>CED/C/7</w:t>
        </w:r>
      </w:hyperlink>
      <w:r w:rsidRPr="00381749">
        <w:t>.</w:t>
      </w:r>
    </w:p>
  </w:footnote>
  <w:footnote w:id="13">
    <w:p w14:paraId="58BEE9F9" w14:textId="29E2597C" w:rsidR="0009550D" w:rsidRPr="00381749" w:rsidRDefault="0009550D" w:rsidP="0009550D">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 xml:space="preserve">Inter-American Court of Human Rights, </w:t>
      </w:r>
      <w:r w:rsidRPr="003757AC">
        <w:rPr>
          <w:i/>
          <w:iCs/>
        </w:rPr>
        <w:t>Tiu Tojín v. Guatemala</w:t>
      </w:r>
      <w:r w:rsidRPr="00381749">
        <w:rPr>
          <w:rFonts w:asciiTheme="majorBidi" w:hAnsiTheme="majorBidi" w:cstheme="majorBidi"/>
        </w:rPr>
        <w:t>, Judgment, 26 November 2008, para.</w:t>
      </w:r>
      <w:r w:rsidR="00D10190" w:rsidRPr="00381749">
        <w:rPr>
          <w:rFonts w:asciiTheme="majorBidi" w:hAnsiTheme="majorBidi" w:cstheme="majorBidi"/>
        </w:rPr>
        <w:t> </w:t>
      </w:r>
      <w:r w:rsidRPr="00381749">
        <w:rPr>
          <w:rFonts w:asciiTheme="majorBidi" w:hAnsiTheme="majorBidi" w:cstheme="majorBidi"/>
        </w:rPr>
        <w:t>77.</w:t>
      </w:r>
    </w:p>
  </w:footnote>
  <w:footnote w:id="14">
    <w:p w14:paraId="2F22CE8C" w14:textId="1A7819B7" w:rsidR="0009550D" w:rsidRPr="00381749" w:rsidRDefault="0009550D" w:rsidP="0009550D">
      <w:pPr>
        <w:pStyle w:val="FootnoteText"/>
      </w:pPr>
      <w:r w:rsidRPr="00381749">
        <w:tab/>
      </w:r>
      <w:r w:rsidRPr="00381749">
        <w:rPr>
          <w:rStyle w:val="FootnoteReference"/>
        </w:rPr>
        <w:footnoteRef/>
      </w:r>
      <w:r w:rsidRPr="00381749">
        <w:tab/>
      </w:r>
      <w:r w:rsidRPr="00381749">
        <w:rPr>
          <w:i/>
          <w:iCs/>
        </w:rPr>
        <w:t>Abu Zubaydah v. Lithuania</w:t>
      </w:r>
      <w:r w:rsidRPr="00381749">
        <w:t xml:space="preserve">, Application No, 46454/11, Judgment, 31 May 2018; and </w:t>
      </w:r>
      <w:r w:rsidRPr="00381749">
        <w:rPr>
          <w:i/>
          <w:iCs/>
        </w:rPr>
        <w:t>al-Hawsawi v. Lithuania</w:t>
      </w:r>
      <w:r w:rsidRPr="00381749">
        <w:t>. A third application concerning this practice is currently pending before the Court (</w:t>
      </w:r>
      <w:r w:rsidRPr="00381749">
        <w:rPr>
          <w:i/>
          <w:iCs/>
        </w:rPr>
        <w:t>Al</w:t>
      </w:r>
      <w:r w:rsidR="00381749" w:rsidRPr="00381749">
        <w:rPr>
          <w:i/>
          <w:iCs/>
        </w:rPr>
        <w:t> </w:t>
      </w:r>
      <w:r w:rsidRPr="00381749">
        <w:rPr>
          <w:i/>
          <w:iCs/>
        </w:rPr>
        <w:t xml:space="preserve">Nashiri v. </w:t>
      </w:r>
      <w:r w:rsidR="00381749" w:rsidRPr="00381749">
        <w:rPr>
          <w:i/>
          <w:iCs/>
        </w:rPr>
        <w:t>Lithuania</w:t>
      </w:r>
      <w:r w:rsidRPr="00381749">
        <w:t>, Application No. 31908/22)</w:t>
      </w:r>
      <w:r w:rsidRPr="00381749">
        <w:rPr>
          <w:i/>
          <w:iCs/>
        </w:rPr>
        <w:t xml:space="preserve"> </w:t>
      </w:r>
      <w:r w:rsidRPr="00381749">
        <w:t>and was communicated to the Government on 21</w:t>
      </w:r>
      <w:r w:rsidR="00381749" w:rsidRPr="00381749">
        <w:t> </w:t>
      </w:r>
      <w:r w:rsidRPr="00381749">
        <w:t>February 2024.</w:t>
      </w:r>
    </w:p>
  </w:footnote>
  <w:footnote w:id="15">
    <w:p w14:paraId="655AA993" w14:textId="65820A6B" w:rsidR="0009550D" w:rsidRPr="00403B1C" w:rsidRDefault="0009550D" w:rsidP="0009550D">
      <w:pPr>
        <w:pStyle w:val="FootnoteText"/>
        <w:rPr>
          <w:lang w:val="es-ES"/>
        </w:rPr>
      </w:pPr>
      <w:r w:rsidRPr="00381749">
        <w:tab/>
      </w:r>
      <w:r w:rsidRPr="00381749">
        <w:rPr>
          <w:rStyle w:val="FootnoteReference"/>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680;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276.</w:t>
      </w:r>
    </w:p>
  </w:footnote>
  <w:footnote w:id="16">
    <w:p w14:paraId="622848A3" w14:textId="77777777" w:rsidR="0009550D" w:rsidRPr="00403B1C" w:rsidRDefault="0009550D" w:rsidP="0009550D">
      <w:pPr>
        <w:pStyle w:val="FootnoteText"/>
        <w:rPr>
          <w:lang w:val="es-ES"/>
        </w:rPr>
      </w:pPr>
      <w:r w:rsidRPr="00403B1C">
        <w:rPr>
          <w:lang w:val="es-ES"/>
        </w:rPr>
        <w:tab/>
      </w:r>
      <w:r w:rsidRPr="00381749">
        <w:rPr>
          <w:rStyle w:val="FootnoteReference"/>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681;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277.</w:t>
      </w:r>
    </w:p>
  </w:footnote>
  <w:footnote w:id="17">
    <w:p w14:paraId="3E77860F" w14:textId="77777777" w:rsidR="0009550D" w:rsidRPr="00381749" w:rsidRDefault="0009550D" w:rsidP="0009550D">
      <w:pPr>
        <w:pStyle w:val="FootnoteText"/>
      </w:pPr>
      <w:r w:rsidRPr="00403B1C">
        <w:rPr>
          <w:lang w:val="es-ES"/>
        </w:rPr>
        <w:tab/>
      </w:r>
      <w:r w:rsidRPr="00381749">
        <w:rPr>
          <w:rStyle w:val="FootnoteReference"/>
        </w:rPr>
        <w:footnoteRef/>
      </w:r>
      <w:r w:rsidRPr="00403B1C">
        <w:rPr>
          <w:lang w:val="es-ES"/>
        </w:rPr>
        <w:tab/>
      </w:r>
      <w:proofErr w:type="spellStart"/>
      <w:r w:rsidRPr="00403B1C">
        <w:rPr>
          <w:lang w:val="es-ES"/>
        </w:rPr>
        <w:t>Opinion</w:t>
      </w:r>
      <w:proofErr w:type="spellEnd"/>
      <w:r w:rsidRPr="00403B1C">
        <w:rPr>
          <w:lang w:val="es-ES"/>
        </w:rPr>
        <w:t xml:space="preserve"> No. 66/2022, paras. </w:t>
      </w:r>
      <w:r w:rsidRPr="00381749">
        <w:t>93, 119 and 121. See also Opinion No. 72/2022.</w:t>
      </w:r>
    </w:p>
  </w:footnote>
  <w:footnote w:id="18">
    <w:p w14:paraId="0A5EB60F" w14:textId="4E571F95" w:rsidR="0009550D" w:rsidRPr="00403B1C" w:rsidRDefault="0009550D" w:rsidP="0009550D">
      <w:pPr>
        <w:pStyle w:val="FootnoteText"/>
        <w:rPr>
          <w:lang w:val="es-ES"/>
        </w:rPr>
      </w:pPr>
      <w:r w:rsidRPr="00381749">
        <w:tab/>
      </w:r>
      <w:r w:rsidRPr="00381749">
        <w:rPr>
          <w:rStyle w:val="FootnoteReference"/>
        </w:rPr>
        <w:footnoteRef/>
      </w:r>
      <w:r w:rsidRPr="00403B1C">
        <w:rPr>
          <w:lang w:val="es-ES"/>
        </w:rPr>
        <w:tab/>
      </w:r>
      <w:hyperlink r:id="rId11" w:history="1">
        <w:r w:rsidRPr="00403B1C">
          <w:rPr>
            <w:rStyle w:val="Hyperlink"/>
            <w:lang w:val="es-ES"/>
          </w:rPr>
          <w:t>CED/C/LTU/CO/1</w:t>
        </w:r>
      </w:hyperlink>
      <w:r w:rsidRPr="00403B1C">
        <w:rPr>
          <w:lang w:val="es-ES"/>
        </w:rPr>
        <w:t>, para. 22.</w:t>
      </w:r>
    </w:p>
  </w:footnote>
  <w:footnote w:id="19">
    <w:p w14:paraId="6E7B114C" w14:textId="2C7D06A1" w:rsidR="0009550D" w:rsidRPr="00403B1C" w:rsidRDefault="0009550D" w:rsidP="0009550D">
      <w:pPr>
        <w:pStyle w:val="FootnoteText"/>
        <w:rPr>
          <w:lang w:val="es-ES"/>
        </w:rPr>
      </w:pPr>
      <w:r w:rsidRPr="00403B1C">
        <w:rPr>
          <w:lang w:val="es-ES"/>
        </w:rPr>
        <w:tab/>
      </w:r>
      <w:r w:rsidRPr="00381749">
        <w:rPr>
          <w:rStyle w:val="FootnoteReference"/>
        </w:rPr>
        <w:footnoteRef/>
      </w:r>
      <w:r w:rsidRPr="00403B1C">
        <w:rPr>
          <w:lang w:val="es-ES"/>
        </w:rPr>
        <w:tab/>
      </w:r>
      <w:hyperlink r:id="rId12" w:history="1">
        <w:r w:rsidRPr="00403B1C">
          <w:rPr>
            <w:rStyle w:val="Hyperlink"/>
            <w:lang w:val="es-ES"/>
          </w:rPr>
          <w:t>CAT/C/LTU/CO/3</w:t>
        </w:r>
      </w:hyperlink>
      <w:r w:rsidRPr="00403B1C">
        <w:rPr>
          <w:lang w:val="es-ES"/>
        </w:rPr>
        <w:t>, para. 16.</w:t>
      </w:r>
    </w:p>
  </w:footnote>
  <w:footnote w:id="20">
    <w:p w14:paraId="02538521" w14:textId="3CF59312" w:rsidR="0009550D" w:rsidRPr="00403B1C" w:rsidRDefault="0009550D" w:rsidP="0009550D">
      <w:pPr>
        <w:pStyle w:val="FootnoteText"/>
        <w:rPr>
          <w:lang w:val="es-ES"/>
        </w:rPr>
      </w:pPr>
      <w:r w:rsidRPr="00403B1C">
        <w:rPr>
          <w:lang w:val="es-ES"/>
        </w:rPr>
        <w:tab/>
      </w:r>
      <w:r w:rsidRPr="00381749">
        <w:rPr>
          <w:rStyle w:val="FootnoteReference"/>
        </w:rPr>
        <w:footnoteRef/>
      </w:r>
      <w:r w:rsidRPr="00403B1C">
        <w:rPr>
          <w:lang w:val="es-ES"/>
        </w:rPr>
        <w:tab/>
      </w:r>
      <w:hyperlink r:id="rId13" w:history="1">
        <w:r w:rsidRPr="00403B1C">
          <w:rPr>
            <w:rStyle w:val="Hyperlink"/>
            <w:lang w:val="es-ES"/>
          </w:rPr>
          <w:t>CCPR/C/LTU/CO/3</w:t>
        </w:r>
      </w:hyperlink>
      <w:r w:rsidRPr="00403B1C">
        <w:rPr>
          <w:lang w:val="es-ES"/>
        </w:rPr>
        <w:t>, para. 9.</w:t>
      </w:r>
    </w:p>
  </w:footnote>
  <w:footnote w:id="21">
    <w:p w14:paraId="5926E17C" w14:textId="17A0D7A0" w:rsidR="0009550D" w:rsidRPr="00403B1C" w:rsidRDefault="0009550D" w:rsidP="0009550D">
      <w:pPr>
        <w:pStyle w:val="FootnoteText"/>
        <w:rPr>
          <w:lang w:val="es-ES"/>
        </w:rPr>
      </w:pPr>
      <w:r w:rsidRPr="00403B1C">
        <w:rPr>
          <w:lang w:val="es-ES"/>
        </w:rPr>
        <w:tab/>
      </w:r>
      <w:r w:rsidRPr="00381749">
        <w:rPr>
          <w:rStyle w:val="FootnoteReference"/>
        </w:rPr>
        <w:footnoteRef/>
      </w:r>
      <w:r w:rsidRPr="00403B1C">
        <w:rPr>
          <w:lang w:val="es-ES"/>
        </w:rPr>
        <w:tab/>
      </w:r>
      <w:hyperlink r:id="rId14" w:history="1">
        <w:r w:rsidRPr="00403B1C">
          <w:rPr>
            <w:rStyle w:val="Hyperlink"/>
            <w:lang w:val="es-ES"/>
          </w:rPr>
          <w:t>A/HRC/49/45</w:t>
        </w:r>
      </w:hyperlink>
      <w:r w:rsidRPr="00403B1C">
        <w:rPr>
          <w:lang w:val="es-ES"/>
        </w:rPr>
        <w:t>, para. 37 (d).</w:t>
      </w:r>
    </w:p>
  </w:footnote>
  <w:footnote w:id="22">
    <w:p w14:paraId="43A5291E" w14:textId="77777777" w:rsidR="0009550D" w:rsidRPr="00403B1C" w:rsidRDefault="0009550D" w:rsidP="0009550D">
      <w:pPr>
        <w:pStyle w:val="FootnoteText"/>
        <w:rPr>
          <w:lang w:val="es-ES"/>
        </w:rPr>
      </w:pPr>
      <w:r w:rsidRPr="00403B1C">
        <w:rPr>
          <w:lang w:val="es-ES"/>
        </w:rPr>
        <w:tab/>
      </w:r>
      <w:r w:rsidRPr="00381749">
        <w:rPr>
          <w:rStyle w:val="FootnoteReference"/>
        </w:rPr>
        <w:footnoteRef/>
      </w:r>
      <w:r w:rsidRPr="00403B1C">
        <w:rPr>
          <w:lang w:val="es-ES"/>
        </w:rPr>
        <w:tab/>
      </w:r>
      <w:proofErr w:type="spellStart"/>
      <w:r w:rsidRPr="00403B1C">
        <w:rPr>
          <w:lang w:val="es-ES"/>
        </w:rPr>
        <w:t>See</w:t>
      </w:r>
      <w:proofErr w:type="spellEnd"/>
      <w:r w:rsidRPr="00403B1C">
        <w:rPr>
          <w:lang w:val="es-ES"/>
        </w:rPr>
        <w:t xml:space="preserve"> https://www.ohchr.org/en/press-releases/2025/01/experts-call-release-guantanamo-bay-detainee-abu-zubaydah-arbitrarily.</w:t>
      </w:r>
    </w:p>
  </w:footnote>
  <w:footnote w:id="23">
    <w:p w14:paraId="322730ED" w14:textId="1A7C8AE1" w:rsidR="0009550D" w:rsidRPr="00381749" w:rsidRDefault="00D10190" w:rsidP="0009550D">
      <w:pPr>
        <w:pStyle w:val="FootnoteText"/>
      </w:pPr>
      <w:r w:rsidRPr="00403B1C">
        <w:rPr>
          <w:lang w:val="es-ES"/>
        </w:rPr>
        <w:tab/>
      </w:r>
      <w:r w:rsidR="0009550D" w:rsidRPr="00381749">
        <w:rPr>
          <w:rStyle w:val="FootnoteReference"/>
        </w:rPr>
        <w:footnoteRef/>
      </w:r>
      <w:r w:rsidRPr="00381749">
        <w:tab/>
      </w:r>
      <w:r w:rsidR="0009550D" w:rsidRPr="00381749">
        <w:t>See https://e-seimas.lrs.lt/portal/legalAct/lt/TAD/TAIS.364097?jfwid=mmceoojyy.</w:t>
      </w:r>
    </w:p>
  </w:footnote>
  <w:footnote w:id="24">
    <w:p w14:paraId="248CC373" w14:textId="77777777" w:rsidR="0009550D" w:rsidRPr="00381749" w:rsidRDefault="0009550D" w:rsidP="0009550D">
      <w:pPr>
        <w:pStyle w:val="FootnoteText"/>
      </w:pPr>
      <w:r w:rsidRPr="00381749">
        <w:tab/>
      </w:r>
      <w:r w:rsidRPr="00381749">
        <w:rPr>
          <w:rStyle w:val="FootnoteReference"/>
        </w:rPr>
        <w:footnoteRef/>
      </w:r>
      <w:r w:rsidRPr="00381749">
        <w:tab/>
        <w:t>The investigation had been</w:t>
      </w:r>
      <w:r w:rsidRPr="00381749">
        <w:rPr>
          <w:szCs w:val="18"/>
        </w:rPr>
        <w:t xml:space="preserve"> </w:t>
      </w:r>
      <w:r w:rsidRPr="00381749">
        <w:t>launched on 22 January 2010 and discontinued on 14 January 2011 due to the absence of corpus delicti.</w:t>
      </w:r>
    </w:p>
  </w:footnote>
  <w:footnote w:id="25">
    <w:p w14:paraId="4732D3F7" w14:textId="0754BFE8" w:rsidR="0009550D" w:rsidRPr="00403B1C" w:rsidRDefault="0009550D" w:rsidP="0009550D">
      <w:pPr>
        <w:pStyle w:val="FootnoteText"/>
        <w:rPr>
          <w:rFonts w:asciiTheme="majorBidi" w:hAnsiTheme="majorBidi" w:cstheme="majorBidi"/>
          <w:sz w:val="20"/>
          <w:lang w:val="es-ES"/>
        </w:rPr>
      </w:pPr>
      <w:r w:rsidRPr="00381749">
        <w:rPr>
          <w:rFonts w:asciiTheme="majorBidi" w:hAnsiTheme="majorBidi" w:cstheme="majorBidi"/>
        </w:rPr>
        <w:tab/>
      </w:r>
      <w:r w:rsidRPr="00381749">
        <w:rPr>
          <w:rStyle w:val="FootnoteReference"/>
        </w:rPr>
        <w:footnoteRef/>
      </w:r>
      <w:r w:rsidRPr="00403B1C">
        <w:rPr>
          <w:rFonts w:asciiTheme="majorBidi" w:hAnsiTheme="majorBidi" w:cstheme="majorBidi"/>
          <w:lang w:val="es-ES"/>
        </w:rPr>
        <w:tab/>
      </w:r>
      <w:hyperlink r:id="rId15" w:history="1">
        <w:r w:rsidRPr="00403B1C">
          <w:rPr>
            <w:rFonts w:asciiTheme="majorBidi" w:hAnsiTheme="majorBidi" w:cstheme="majorBidi"/>
            <w:color w:val="0000FF"/>
            <w:lang w:val="es-ES"/>
          </w:rPr>
          <w:t>A/HRC/51/31/Add.3</w:t>
        </w:r>
      </w:hyperlink>
      <w:r w:rsidRPr="00403B1C">
        <w:rPr>
          <w:rFonts w:asciiTheme="majorBidi" w:hAnsiTheme="majorBidi" w:cstheme="majorBidi"/>
          <w:lang w:val="es-ES"/>
        </w:rPr>
        <w:t xml:space="preserve">, </w:t>
      </w:r>
      <w:r w:rsidRPr="00403B1C">
        <w:rPr>
          <w:rFonts w:asciiTheme="majorBidi" w:hAnsiTheme="majorBidi" w:cstheme="majorBidi"/>
          <w:color w:val="000000"/>
          <w:szCs w:val="18"/>
          <w:shd w:val="clear" w:color="auto" w:fill="FFFFFF"/>
          <w:lang w:val="es-ES"/>
        </w:rPr>
        <w:t>para</w:t>
      </w:r>
      <w:r w:rsidRPr="00403B1C">
        <w:rPr>
          <w:rFonts w:asciiTheme="majorBidi" w:hAnsiTheme="majorBidi" w:cstheme="majorBidi"/>
          <w:lang w:val="es-ES"/>
        </w:rPr>
        <w:t>. 74</w:t>
      </w:r>
      <w:r w:rsidRPr="00403B1C">
        <w:rPr>
          <w:rFonts w:asciiTheme="majorBidi" w:hAnsiTheme="majorBidi" w:cstheme="majorBidi"/>
          <w:color w:val="000000"/>
          <w:szCs w:val="18"/>
          <w:shd w:val="clear" w:color="auto" w:fill="FFFFFF"/>
          <w:lang w:val="es-ES"/>
        </w:rPr>
        <w:t>.</w:t>
      </w:r>
    </w:p>
  </w:footnote>
  <w:footnote w:id="26">
    <w:p w14:paraId="03FA859F" w14:textId="77777777" w:rsidR="0009550D" w:rsidRPr="00381749" w:rsidRDefault="0009550D" w:rsidP="0009550D">
      <w:pPr>
        <w:pStyle w:val="FootnoteText"/>
        <w:rPr>
          <w:rFonts w:asciiTheme="majorBidi" w:hAnsiTheme="majorBidi" w:cstheme="majorBidi"/>
          <w:sz w:val="20"/>
        </w:rPr>
      </w:pPr>
      <w:r w:rsidRPr="00403B1C">
        <w:rPr>
          <w:rFonts w:asciiTheme="majorBidi" w:hAnsiTheme="majorBidi" w:cstheme="majorBidi"/>
          <w:lang w:val="es-ES"/>
        </w:rPr>
        <w:tab/>
      </w:r>
      <w:r w:rsidRPr="00381749">
        <w:rPr>
          <w:rStyle w:val="FootnoteReference"/>
        </w:rPr>
        <w:footnoteRef/>
      </w:r>
      <w:r w:rsidRPr="00403B1C">
        <w:rPr>
          <w:rFonts w:asciiTheme="majorBidi" w:hAnsiTheme="majorBidi" w:cstheme="majorBidi"/>
          <w:lang w:val="es-ES"/>
        </w:rPr>
        <w:tab/>
      </w:r>
      <w:r w:rsidRPr="00403B1C">
        <w:rPr>
          <w:rFonts w:asciiTheme="majorBidi" w:hAnsiTheme="majorBidi" w:cstheme="majorBidi"/>
          <w:color w:val="000000"/>
          <w:szCs w:val="18"/>
          <w:shd w:val="clear" w:color="auto" w:fill="FFFFFF"/>
          <w:lang w:val="es-ES"/>
        </w:rPr>
        <w:t>Ibid</w:t>
      </w:r>
      <w:r w:rsidRPr="00403B1C">
        <w:rPr>
          <w:rFonts w:asciiTheme="majorBidi" w:hAnsiTheme="majorBidi" w:cstheme="majorBidi"/>
          <w:lang w:val="es-ES"/>
        </w:rPr>
        <w:t xml:space="preserve">., para. </w:t>
      </w:r>
      <w:r w:rsidRPr="00381749">
        <w:rPr>
          <w:rFonts w:asciiTheme="majorBidi" w:hAnsiTheme="majorBidi" w:cstheme="majorBidi"/>
        </w:rPr>
        <w:t>75</w:t>
      </w:r>
      <w:r w:rsidRPr="00381749">
        <w:rPr>
          <w:rFonts w:asciiTheme="majorBidi" w:hAnsiTheme="majorBidi" w:cstheme="majorBidi"/>
          <w:color w:val="000000"/>
          <w:szCs w:val="18"/>
          <w:shd w:val="clear" w:color="auto" w:fill="FFFFFF"/>
        </w:rPr>
        <w:t>.</w:t>
      </w:r>
    </w:p>
  </w:footnote>
  <w:footnote w:id="27">
    <w:p w14:paraId="3CE4E4E7" w14:textId="35E418BE" w:rsidR="0009550D" w:rsidRPr="00381749" w:rsidRDefault="0009550D" w:rsidP="0009550D">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 xml:space="preserve">For the latest reports of the Council of Europe Committee of Ministers on the status of implementation in the case </w:t>
      </w:r>
      <w:hyperlink r:id="rId16" w:history="1">
        <w:r w:rsidRPr="00625900">
          <w:rPr>
            <w:rStyle w:val="Hyperlink"/>
            <w:rFonts w:asciiTheme="majorBidi" w:hAnsiTheme="majorBidi" w:cstheme="majorBidi"/>
            <w:i/>
            <w:iCs/>
          </w:rPr>
          <w:t>Abu Zubaydah v. Lithuania</w:t>
        </w:r>
      </w:hyperlink>
      <w:r w:rsidRPr="00381749">
        <w:rPr>
          <w:rFonts w:asciiTheme="majorBidi" w:hAnsiTheme="majorBidi" w:cstheme="majorBidi"/>
        </w:rPr>
        <w:t>, see</w:t>
      </w:r>
      <w:r w:rsidRPr="00381749">
        <w:rPr>
          <w:rFonts w:asciiTheme="majorBidi" w:hAnsiTheme="majorBidi" w:cstheme="majorBidi"/>
          <w:i/>
          <w:iCs/>
        </w:rPr>
        <w:t xml:space="preserve"> </w:t>
      </w:r>
      <w:hyperlink r:id="rId17" w:history="1">
        <w:r w:rsidRPr="00625900">
          <w:rPr>
            <w:rFonts w:asciiTheme="majorBidi" w:hAnsiTheme="majorBidi" w:cstheme="majorBidi"/>
            <w:color w:val="0000FF"/>
          </w:rPr>
          <w:t>https://hudoc.exec.coe.int/eng?i=004-50865</w:t>
        </w:r>
      </w:hyperlink>
      <w:r w:rsidRPr="00381749">
        <w:rPr>
          <w:rFonts w:asciiTheme="majorBidi" w:hAnsiTheme="majorBidi" w:cstheme="majorBidi"/>
        </w:rPr>
        <w:t xml:space="preserve"> and </w:t>
      </w:r>
      <w:hyperlink r:id="rId18" w:history="1">
        <w:r w:rsidRPr="00625900">
          <w:rPr>
            <w:rFonts w:asciiTheme="majorBidi" w:hAnsiTheme="majorBidi" w:cstheme="majorBidi"/>
            <w:color w:val="0000FF"/>
          </w:rPr>
          <w:t>https://search.coe.int/cm?i=0900001680b2967d</w:t>
        </w:r>
      </w:hyperlink>
      <w:r w:rsidRPr="00381749">
        <w:rPr>
          <w:rFonts w:asciiTheme="majorBidi" w:hAnsiTheme="majorBidi" w:cstheme="majorBidi"/>
        </w:rPr>
        <w:t>. The Committee requested the Lithuanian authorities to submit new information by 30 June 2025.</w:t>
      </w:r>
    </w:p>
  </w:footnote>
  <w:footnote w:id="28">
    <w:p w14:paraId="342E37FA" w14:textId="146330DE" w:rsidR="0009550D" w:rsidRPr="00381749" w:rsidRDefault="0009550D" w:rsidP="0009550D">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r>
      <w:r w:rsidRPr="00381749">
        <w:rPr>
          <w:rFonts w:asciiTheme="majorBidi" w:hAnsiTheme="majorBidi" w:cstheme="majorBidi"/>
          <w:color w:val="000000"/>
          <w:szCs w:val="18"/>
          <w:shd w:val="clear" w:color="auto" w:fill="FFFFFF"/>
        </w:rPr>
        <w:t>In March 2022, t</w:t>
      </w:r>
      <w:r w:rsidRPr="00381749">
        <w:rPr>
          <w:rFonts w:asciiTheme="majorBidi" w:hAnsiTheme="majorBidi" w:cstheme="majorBidi"/>
        </w:rPr>
        <w:t>he Supreme Court of the United States, i</w:t>
      </w:r>
      <w:r w:rsidRPr="00381749">
        <w:rPr>
          <w:rFonts w:asciiTheme="majorBidi" w:hAnsiTheme="majorBidi" w:cstheme="majorBidi"/>
          <w:color w:val="000000"/>
          <w:szCs w:val="18"/>
          <w:shd w:val="clear" w:color="auto" w:fill="FFFFFF"/>
        </w:rPr>
        <w:t>n proceedings brought by the applicant</w:t>
      </w:r>
      <w:r w:rsidR="00932724" w:rsidRPr="00381749">
        <w:rPr>
          <w:rFonts w:asciiTheme="majorBidi" w:hAnsiTheme="majorBidi" w:cstheme="majorBidi"/>
          <w:color w:val="000000"/>
          <w:szCs w:val="18"/>
          <w:shd w:val="clear" w:color="auto" w:fill="FFFFFF"/>
        </w:rPr>
        <w:t>’</w:t>
      </w:r>
      <w:r w:rsidRPr="00381749">
        <w:rPr>
          <w:rFonts w:asciiTheme="majorBidi" w:hAnsiTheme="majorBidi" w:cstheme="majorBidi"/>
          <w:color w:val="000000"/>
          <w:szCs w:val="18"/>
          <w:shd w:val="clear" w:color="auto" w:fill="FFFFFF"/>
        </w:rPr>
        <w:t xml:space="preserve">s counsel, rejected the summoning of two psychologists contracted by the Central Intelligence Agency to </w:t>
      </w:r>
      <w:r w:rsidRPr="00381749">
        <w:t>give</w:t>
      </w:r>
      <w:r w:rsidRPr="00381749">
        <w:rPr>
          <w:rFonts w:asciiTheme="majorBidi" w:hAnsiTheme="majorBidi" w:cstheme="majorBidi"/>
          <w:color w:val="000000"/>
          <w:szCs w:val="18"/>
          <w:shd w:val="clear" w:color="auto" w:fill="FFFFFF"/>
        </w:rPr>
        <w:t xml:space="preserve"> statements to be used in the investigation in Poland, finding the information to be protected under State secret privilege.</w:t>
      </w:r>
    </w:p>
  </w:footnote>
  <w:footnote w:id="29">
    <w:p w14:paraId="6C26454A" w14:textId="2DCACA73" w:rsidR="0009550D" w:rsidRPr="00381749" w:rsidRDefault="0009550D" w:rsidP="0009550D">
      <w:pPr>
        <w:pStyle w:val="FootnoteText"/>
      </w:pPr>
      <w:r w:rsidRPr="00381749">
        <w:tab/>
      </w:r>
      <w:r w:rsidRPr="00381749">
        <w:rPr>
          <w:rStyle w:val="FootnoteReference"/>
        </w:rPr>
        <w:footnoteRef/>
      </w:r>
      <w:r w:rsidRPr="00381749">
        <w:tab/>
        <w:t>According to the Museum of Occupations and Freedom Fights, between 1941 and 1944, about 3,000</w:t>
      </w:r>
      <w:r w:rsidR="006467BA" w:rsidRPr="00381749">
        <w:t> </w:t>
      </w:r>
      <w:r w:rsidRPr="00381749">
        <w:t>Lithuanian prisoners died or were shot, and over 3,000 disappeared without trace.</w:t>
      </w:r>
    </w:p>
  </w:footnote>
  <w:footnote w:id="30">
    <w:p w14:paraId="133D0F10" w14:textId="21967176" w:rsidR="0009550D" w:rsidRPr="00381749" w:rsidRDefault="0009550D" w:rsidP="0009550D">
      <w:pPr>
        <w:pStyle w:val="FootnoteText"/>
      </w:pPr>
      <w:r w:rsidRPr="00381749">
        <w:tab/>
      </w:r>
      <w:r w:rsidRPr="00381749">
        <w:rPr>
          <w:rStyle w:val="FootnoteReference"/>
        </w:rPr>
        <w:footnoteRef/>
      </w:r>
      <w:r w:rsidRPr="00381749">
        <w:tab/>
        <w:t xml:space="preserve">See communication </w:t>
      </w:r>
      <w:hyperlink r:id="rId19" w:history="1">
        <w:r w:rsidRPr="00625900">
          <w:rPr>
            <w:color w:val="0000FF"/>
          </w:rPr>
          <w:t>LTU 1/2021</w:t>
        </w:r>
      </w:hyperlink>
      <w:r w:rsidRPr="00381749">
        <w:t>. See also 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w:t>
      </w:r>
      <w:r w:rsidRPr="00381749">
        <w:rPr>
          <w:bCs/>
        </w:rPr>
        <w:t xml:space="preserve">; and </w:t>
      </w:r>
      <w:r w:rsidRPr="00381749">
        <w:t>Council of Europe, Group of Experts on Action against Trafficking in Human Beings</w:t>
      </w:r>
      <w:r w:rsidRPr="00381749">
        <w:rPr>
          <w:bCs/>
        </w:rPr>
        <w:t xml:space="preserve">, </w:t>
      </w:r>
      <w:r w:rsidRPr="00381749">
        <w:rPr>
          <w:bCs/>
          <w:i/>
          <w:iCs/>
        </w:rPr>
        <w:t>Evaluation Report: Lithuania</w:t>
      </w:r>
      <w:r w:rsidRPr="00381749">
        <w:rPr>
          <w:bCs/>
        </w:rPr>
        <w:t>.</w:t>
      </w:r>
    </w:p>
  </w:footnote>
  <w:footnote w:id="31">
    <w:p w14:paraId="287790F0" w14:textId="132A78E2" w:rsidR="0009550D" w:rsidRPr="00381749" w:rsidRDefault="0009550D" w:rsidP="0009550D">
      <w:pPr>
        <w:pStyle w:val="FootnoteText"/>
        <w:rPr>
          <w:rFonts w:asciiTheme="majorBidi" w:hAnsiTheme="majorBidi" w:cstheme="majorBidi"/>
        </w:rPr>
      </w:pPr>
      <w:r w:rsidRPr="00381749">
        <w:tab/>
      </w:r>
      <w:r w:rsidRPr="00381749">
        <w:rPr>
          <w:rStyle w:val="FootnoteReference"/>
        </w:rPr>
        <w:footnoteRef/>
      </w:r>
      <w:r w:rsidRPr="00381749">
        <w:tab/>
      </w:r>
      <w:hyperlink r:id="rId20" w:history="1">
        <w:r w:rsidRPr="00625900">
          <w:rPr>
            <w:color w:val="0000FF"/>
          </w:rPr>
          <w:t>Committee on Enforced Disappearances, general comment No. 1 (2023) on enforced disappearance in the context of migration</w:t>
        </w:r>
      </w:hyperlink>
      <w:r w:rsidRPr="00381749">
        <w:t xml:space="preserve">, paras. 35 and 36; and see </w:t>
      </w:r>
      <w:hyperlink r:id="rId21" w:history="1">
        <w:r w:rsidRPr="00625900">
          <w:rPr>
            <w:color w:val="0000FF"/>
          </w:rPr>
          <w:t>A/HRC/36/39/Add.2</w:t>
        </w:r>
      </w:hyperlink>
      <w:r w:rsidRPr="00381749">
        <w:t>.</w:t>
      </w:r>
    </w:p>
  </w:footnote>
  <w:footnote w:id="32">
    <w:p w14:paraId="0DFFFC8A" w14:textId="4BA75CA4" w:rsidR="0009550D" w:rsidRPr="00381749" w:rsidRDefault="0009550D" w:rsidP="0009550D">
      <w:pPr>
        <w:pStyle w:val="FootnoteText"/>
      </w:pPr>
      <w:r w:rsidRPr="00381749">
        <w:tab/>
      </w:r>
      <w:r w:rsidRPr="00381749">
        <w:rPr>
          <w:rStyle w:val="FootnoteReference"/>
        </w:rPr>
        <w:footnoteRef/>
      </w:r>
      <w:r w:rsidRPr="00381749">
        <w:tab/>
        <w:t xml:space="preserve">Council of Europe, </w:t>
      </w:r>
      <w:hyperlink r:id="rId22" w:history="1">
        <w:r w:rsidRPr="00625900">
          <w:rPr>
            <w:i/>
            <w:iCs/>
            <w:color w:val="0000FF"/>
          </w:rPr>
          <w:t>Report to the Lithuanian Government on the Periodic Visit to Lithuania carried out by the European Committee for the Prevention of Torture and Inhuman or Degrading Treatment or Punishment (CPT) from 10 to 20 December 2021</w:t>
        </w:r>
      </w:hyperlink>
      <w:r w:rsidRPr="00381749">
        <w:t xml:space="preserve"> (Strasbourg, 2023). </w:t>
      </w:r>
    </w:p>
  </w:footnote>
  <w:footnote w:id="33">
    <w:p w14:paraId="3087FA33" w14:textId="23FCDFB1" w:rsidR="0009550D" w:rsidRPr="00381749" w:rsidRDefault="0009550D" w:rsidP="0009550D">
      <w:pPr>
        <w:pStyle w:val="FootnoteText"/>
      </w:pPr>
      <w:r w:rsidRPr="00381749">
        <w:tab/>
      </w:r>
      <w:r w:rsidRPr="00381749">
        <w:rPr>
          <w:rStyle w:val="FootnoteReference"/>
        </w:rPr>
        <w:footnoteRef/>
      </w:r>
      <w:r w:rsidRPr="00381749">
        <w:tab/>
        <w:t xml:space="preserve">See Lithuanian Red Cross, </w:t>
      </w:r>
      <w:r w:rsidRPr="00381749">
        <w:rPr>
          <w:i/>
          <w:iCs/>
        </w:rPr>
        <w:t>Monitoring Report 2023</w:t>
      </w:r>
      <w:r w:rsidRPr="00381749">
        <w:t xml:space="preserve"> (Vilnius, 2023), pp. 37 and 38.</w:t>
      </w:r>
    </w:p>
  </w:footnote>
  <w:footnote w:id="34">
    <w:p w14:paraId="6B96359D" w14:textId="27B10C6D" w:rsidR="0009550D" w:rsidRPr="00381749" w:rsidRDefault="0009550D" w:rsidP="0009550D">
      <w:pPr>
        <w:pStyle w:val="FootnoteText"/>
      </w:pPr>
      <w:r w:rsidRPr="00381749">
        <w:tab/>
      </w:r>
      <w:r w:rsidRPr="00381749">
        <w:rPr>
          <w:rStyle w:val="FootnoteReference"/>
        </w:rPr>
        <w:footnoteRef/>
      </w:r>
      <w:r w:rsidRPr="00381749">
        <w:tab/>
        <w:t xml:space="preserve">Political prisoners are in particular danger of being subjected to enforced disappearance. See, for instance, communications </w:t>
      </w:r>
      <w:hyperlink r:id="rId23" w:history="1">
        <w:r w:rsidRPr="00625900">
          <w:rPr>
            <w:color w:val="0000FF"/>
          </w:rPr>
          <w:t>BLR 5/2024</w:t>
        </w:r>
      </w:hyperlink>
      <w:r w:rsidRPr="00381749">
        <w:t xml:space="preserve">, </w:t>
      </w:r>
      <w:hyperlink r:id="rId24" w:history="1">
        <w:r w:rsidRPr="00625900">
          <w:rPr>
            <w:color w:val="0000FF"/>
          </w:rPr>
          <w:t>BLR 13/2023</w:t>
        </w:r>
      </w:hyperlink>
      <w:r w:rsidRPr="00381749">
        <w:t xml:space="preserve"> and </w:t>
      </w:r>
      <w:hyperlink r:id="rId25" w:history="1">
        <w:r w:rsidRPr="00625900">
          <w:rPr>
            <w:color w:val="0000FF"/>
          </w:rPr>
          <w:t>BLR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B7C38" w14:textId="77777777" w:rsidR="0009550D" w:rsidRDefault="0009550D" w:rsidP="0009550D">
    <w:pPr>
      <w:pStyle w:val="Header"/>
    </w:pPr>
    <w:r>
      <w:t>A/HRC/60/35/Add.1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419E7" w14:textId="77777777" w:rsidR="0009550D" w:rsidRDefault="0009550D" w:rsidP="0009550D">
    <w:pPr>
      <w:pStyle w:val="Header"/>
      <w:jc w:val="right"/>
    </w:pPr>
    <w:r>
      <w:t>A/HRC/60/35/Add.1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3C266B"/>
    <w:multiLevelType w:val="hybridMultilevel"/>
    <w:tmpl w:val="32C06F9A"/>
    <w:lvl w:ilvl="0" w:tplc="E7DA1BA4">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3" w15:restartNumberingAfterBreak="0">
    <w:nsid w:val="102212CC"/>
    <w:multiLevelType w:val="hybridMultilevel"/>
    <w:tmpl w:val="5F20C30A"/>
    <w:lvl w:ilvl="0" w:tplc="DA9664D8">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4E62A3"/>
    <w:multiLevelType w:val="hybridMultilevel"/>
    <w:tmpl w:val="2B1AF53A"/>
    <w:lvl w:ilvl="0" w:tplc="A8AC5EB2">
      <w:start w:val="1"/>
      <w:numFmt w:val="decimal"/>
      <w:lvlText w:val="%1."/>
      <w:lvlJc w:val="left"/>
      <w:pPr>
        <w:ind w:left="1636" w:hanging="360"/>
      </w:pPr>
      <w:rPr>
        <w:b w:val="0"/>
        <w:bCs w:val="0"/>
        <w:i w:val="0"/>
      </w:rPr>
    </w:lvl>
    <w:lvl w:ilvl="1" w:tplc="4CD4D264">
      <w:start w:val="1"/>
      <w:numFmt w:val="lowerLetter"/>
      <w:lvlText w:val="%2."/>
      <w:lvlJc w:val="left"/>
      <w:pPr>
        <w:ind w:left="2356" w:hanging="360"/>
      </w:pPr>
      <w:rPr>
        <w:i w:val="0"/>
        <w:iCs w:val="0"/>
      </w:r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7" w15:restartNumberingAfterBreak="0">
    <w:nsid w:val="176D6B57"/>
    <w:multiLevelType w:val="hybridMultilevel"/>
    <w:tmpl w:val="13620AB0"/>
    <w:lvl w:ilvl="0" w:tplc="7770913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5D0C50"/>
    <w:multiLevelType w:val="hybridMultilevel"/>
    <w:tmpl w:val="141AAF60"/>
    <w:lvl w:ilvl="0" w:tplc="BC5A773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3E64C7"/>
    <w:multiLevelType w:val="hybridMultilevel"/>
    <w:tmpl w:val="90DA9AA4"/>
    <w:lvl w:ilvl="0" w:tplc="68F6FC24">
      <w:start w:val="3"/>
      <w:numFmt w:val="upperLetter"/>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1" w15:restartNumberingAfterBreak="0">
    <w:nsid w:val="2EC909D7"/>
    <w:multiLevelType w:val="hybridMultilevel"/>
    <w:tmpl w:val="4894D882"/>
    <w:lvl w:ilvl="0" w:tplc="6D1AFD5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FB7EF9"/>
    <w:multiLevelType w:val="hybridMultilevel"/>
    <w:tmpl w:val="5C78BE80"/>
    <w:lvl w:ilvl="0" w:tplc="E7B22B50">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65F1BB1"/>
    <w:multiLevelType w:val="hybridMultilevel"/>
    <w:tmpl w:val="2E9C9FB0"/>
    <w:lvl w:ilvl="0" w:tplc="B0AEB81E">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9" w15:restartNumberingAfterBreak="0">
    <w:nsid w:val="674F11E5"/>
    <w:multiLevelType w:val="hybridMultilevel"/>
    <w:tmpl w:val="C7E8B3B0"/>
    <w:lvl w:ilvl="0" w:tplc="D66ED898">
      <w:start w:val="23"/>
      <w:numFmt w:val="upp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360834"/>
    <w:multiLevelType w:val="hybridMultilevel"/>
    <w:tmpl w:val="4B708E56"/>
    <w:lvl w:ilvl="0" w:tplc="DC869B7C">
      <w:start w:val="1"/>
      <w:numFmt w:val="upperLetter"/>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2" w15:restartNumberingAfterBreak="0">
    <w:nsid w:val="771521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72B0239"/>
    <w:multiLevelType w:val="hybridMultilevel"/>
    <w:tmpl w:val="37D42DBE"/>
    <w:lvl w:ilvl="0" w:tplc="47804A7E">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8C74EE"/>
    <w:multiLevelType w:val="hybridMultilevel"/>
    <w:tmpl w:val="F0F81010"/>
    <w:lvl w:ilvl="0" w:tplc="8FCAAD0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num w:numId="1" w16cid:durableId="520515556">
    <w:abstractNumId w:val="22"/>
  </w:num>
  <w:num w:numId="2" w16cid:durableId="853956587">
    <w:abstractNumId w:val="18"/>
  </w:num>
  <w:num w:numId="3" w16cid:durableId="788083148">
    <w:abstractNumId w:val="10"/>
  </w:num>
  <w:num w:numId="4" w16cid:durableId="685713367">
    <w:abstractNumId w:val="26"/>
  </w:num>
  <w:num w:numId="5" w16cid:durableId="271325808">
    <w:abstractNumId w:val="27"/>
  </w:num>
  <w:num w:numId="6" w16cid:durableId="1650137490">
    <w:abstractNumId w:val="34"/>
  </w:num>
  <w:num w:numId="7" w16cid:durableId="1940873671">
    <w:abstractNumId w:val="15"/>
  </w:num>
  <w:num w:numId="8" w16cid:durableId="744112545">
    <w:abstractNumId w:val="11"/>
  </w:num>
  <w:num w:numId="9" w16cid:durableId="346054847">
    <w:abstractNumId w:val="30"/>
  </w:num>
  <w:num w:numId="10" w16cid:durableId="77874120">
    <w:abstractNumId w:val="11"/>
  </w:num>
  <w:num w:numId="11" w16cid:durableId="142087315">
    <w:abstractNumId w:val="30"/>
  </w:num>
  <w:num w:numId="12" w16cid:durableId="1284579773">
    <w:abstractNumId w:val="14"/>
  </w:num>
  <w:num w:numId="13" w16cid:durableId="865405149">
    <w:abstractNumId w:val="25"/>
  </w:num>
  <w:num w:numId="14" w16cid:durableId="468674048">
    <w:abstractNumId w:val="23"/>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549996414">
    <w:abstractNumId w:val="32"/>
  </w:num>
  <w:num w:numId="26" w16cid:durableId="2144350282">
    <w:abstractNumId w:val="16"/>
  </w:num>
  <w:num w:numId="27" w16cid:durableId="2049842138">
    <w:abstractNumId w:val="19"/>
  </w:num>
  <w:num w:numId="28" w16cid:durableId="1700735482">
    <w:abstractNumId w:val="10"/>
    <w:lvlOverride w:ilvl="0">
      <w:startOverride w:val="1"/>
    </w:lvlOverride>
  </w:num>
  <w:num w:numId="29" w16cid:durableId="1827503648">
    <w:abstractNumId w:val="29"/>
  </w:num>
  <w:num w:numId="30" w16cid:durableId="193924629">
    <w:abstractNumId w:val="33"/>
  </w:num>
  <w:num w:numId="31" w16cid:durableId="1990592069">
    <w:abstractNumId w:val="24"/>
  </w:num>
  <w:num w:numId="32" w16cid:durableId="1230075392">
    <w:abstractNumId w:val="21"/>
  </w:num>
  <w:num w:numId="33" w16cid:durableId="809443713">
    <w:abstractNumId w:val="12"/>
  </w:num>
  <w:num w:numId="34" w16cid:durableId="278685866">
    <w:abstractNumId w:val="17"/>
  </w:num>
  <w:num w:numId="35" w16cid:durableId="1466268632">
    <w:abstractNumId w:val="28"/>
  </w:num>
  <w:num w:numId="36" w16cid:durableId="1407336962">
    <w:abstractNumId w:val="35"/>
  </w:num>
  <w:num w:numId="37" w16cid:durableId="1903103680">
    <w:abstractNumId w:val="13"/>
  </w:num>
  <w:num w:numId="38" w16cid:durableId="1525435412">
    <w:abstractNumId w:val="31"/>
  </w:num>
  <w:num w:numId="39" w16cid:durableId="13038449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34F33"/>
    <w:rsid w:val="00001542"/>
    <w:rsid w:val="00026FB7"/>
    <w:rsid w:val="00046E92"/>
    <w:rsid w:val="00063C90"/>
    <w:rsid w:val="00072607"/>
    <w:rsid w:val="000761C2"/>
    <w:rsid w:val="0009550D"/>
    <w:rsid w:val="00101B98"/>
    <w:rsid w:val="00131549"/>
    <w:rsid w:val="00181444"/>
    <w:rsid w:val="00227F79"/>
    <w:rsid w:val="002432B5"/>
    <w:rsid w:val="00247E2C"/>
    <w:rsid w:val="00251841"/>
    <w:rsid w:val="00253531"/>
    <w:rsid w:val="00262E12"/>
    <w:rsid w:val="00297CCC"/>
    <w:rsid w:val="002A32CB"/>
    <w:rsid w:val="002B319E"/>
    <w:rsid w:val="002C6A56"/>
    <w:rsid w:val="002D6C53"/>
    <w:rsid w:val="002F5595"/>
    <w:rsid w:val="00301F03"/>
    <w:rsid w:val="00316DBA"/>
    <w:rsid w:val="00334F6A"/>
    <w:rsid w:val="00342AC8"/>
    <w:rsid w:val="003757AC"/>
    <w:rsid w:val="00381749"/>
    <w:rsid w:val="003A444F"/>
    <w:rsid w:val="003B0F70"/>
    <w:rsid w:val="003B4550"/>
    <w:rsid w:val="003F3AC8"/>
    <w:rsid w:val="0040017C"/>
    <w:rsid w:val="00403B1C"/>
    <w:rsid w:val="00461253"/>
    <w:rsid w:val="00486E21"/>
    <w:rsid w:val="00491839"/>
    <w:rsid w:val="004A2814"/>
    <w:rsid w:val="004C0622"/>
    <w:rsid w:val="004D10F9"/>
    <w:rsid w:val="005042C2"/>
    <w:rsid w:val="00511AC4"/>
    <w:rsid w:val="005A28E6"/>
    <w:rsid w:val="005C4F37"/>
    <w:rsid w:val="005D0CA2"/>
    <w:rsid w:val="005E716E"/>
    <w:rsid w:val="006219ED"/>
    <w:rsid w:val="00625900"/>
    <w:rsid w:val="006467BA"/>
    <w:rsid w:val="0065572D"/>
    <w:rsid w:val="00661076"/>
    <w:rsid w:val="00671529"/>
    <w:rsid w:val="0070489D"/>
    <w:rsid w:val="0072285C"/>
    <w:rsid w:val="007268F9"/>
    <w:rsid w:val="00794364"/>
    <w:rsid w:val="007C52B0"/>
    <w:rsid w:val="007C76FC"/>
    <w:rsid w:val="00861B4E"/>
    <w:rsid w:val="00882DAA"/>
    <w:rsid w:val="0090038D"/>
    <w:rsid w:val="00932724"/>
    <w:rsid w:val="009411B4"/>
    <w:rsid w:val="00962A56"/>
    <w:rsid w:val="00995AC4"/>
    <w:rsid w:val="009A1342"/>
    <w:rsid w:val="009D0139"/>
    <w:rsid w:val="009D717D"/>
    <w:rsid w:val="009F5CDC"/>
    <w:rsid w:val="00A34C70"/>
    <w:rsid w:val="00A71460"/>
    <w:rsid w:val="00A71A4C"/>
    <w:rsid w:val="00A775CF"/>
    <w:rsid w:val="00AF2943"/>
    <w:rsid w:val="00B004B7"/>
    <w:rsid w:val="00B06045"/>
    <w:rsid w:val="00B43CF0"/>
    <w:rsid w:val="00B52EF4"/>
    <w:rsid w:val="00B92724"/>
    <w:rsid w:val="00C03015"/>
    <w:rsid w:val="00C0358D"/>
    <w:rsid w:val="00C35425"/>
    <w:rsid w:val="00C35A27"/>
    <w:rsid w:val="00C47B2E"/>
    <w:rsid w:val="00CA1B04"/>
    <w:rsid w:val="00D10190"/>
    <w:rsid w:val="00D34F33"/>
    <w:rsid w:val="00E02C2B"/>
    <w:rsid w:val="00E427A5"/>
    <w:rsid w:val="00E52109"/>
    <w:rsid w:val="00E75317"/>
    <w:rsid w:val="00EB550A"/>
    <w:rsid w:val="00EC2011"/>
    <w:rsid w:val="00ED2135"/>
    <w:rsid w:val="00ED6C48"/>
    <w:rsid w:val="00F04E20"/>
    <w:rsid w:val="00F65F5D"/>
    <w:rsid w:val="00F86A3A"/>
    <w:rsid w:val="00F91D03"/>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B6177"/>
  <w15:docId w15:val="{A004F36E-87CB-4423-8B2F-B42EE844E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9550D"/>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26FB7"/>
    <w:rPr>
      <w:color w:val="605E5C"/>
      <w:shd w:val="clear" w:color="auto" w:fill="E1DFDD"/>
    </w:rPr>
  </w:style>
  <w:style w:type="character" w:styleId="CommentReference">
    <w:name w:val="annotation reference"/>
    <w:basedOn w:val="DefaultParagraphFont"/>
    <w:uiPriority w:val="99"/>
    <w:semiHidden/>
    <w:unhideWhenUsed/>
    <w:rsid w:val="00316DBA"/>
    <w:rPr>
      <w:sz w:val="16"/>
      <w:szCs w:val="16"/>
    </w:rPr>
  </w:style>
  <w:style w:type="paragraph" w:styleId="CommentText">
    <w:name w:val="annotation text"/>
    <w:basedOn w:val="Normal"/>
    <w:link w:val="CommentTextChar"/>
    <w:uiPriority w:val="99"/>
    <w:unhideWhenUsed/>
    <w:rsid w:val="00316DBA"/>
    <w:pPr>
      <w:spacing w:line="240" w:lineRule="auto"/>
    </w:pPr>
  </w:style>
  <w:style w:type="character" w:customStyle="1" w:styleId="CommentTextChar">
    <w:name w:val="Comment Text Char"/>
    <w:basedOn w:val="DefaultParagraphFont"/>
    <w:link w:val="CommentText"/>
    <w:uiPriority w:val="99"/>
    <w:rsid w:val="00316DBA"/>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6DBA"/>
    <w:rPr>
      <w:b/>
      <w:bCs/>
    </w:rPr>
  </w:style>
  <w:style w:type="character" w:customStyle="1" w:styleId="CommentSubjectChar">
    <w:name w:val="Comment Subject Char"/>
    <w:basedOn w:val="CommentTextChar"/>
    <w:link w:val="CommentSubject"/>
    <w:uiPriority w:val="99"/>
    <w:semiHidden/>
    <w:rsid w:val="00316DBA"/>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9462</Words>
  <Characters>54119</Characters>
  <Application>Microsoft Office Word</Application>
  <DocSecurity>0</DocSecurity>
  <Lines>814</Lines>
  <Paragraphs>166</Paragraphs>
  <ScaleCrop>false</ScaleCrop>
  <HeadingPairs>
    <vt:vector size="2" baseType="variant">
      <vt:variant>
        <vt:lpstr>Title</vt:lpstr>
      </vt:variant>
      <vt:variant>
        <vt:i4>1</vt:i4>
      </vt:variant>
    </vt:vector>
  </HeadingPairs>
  <TitlesOfParts>
    <vt:vector size="1" baseType="lpstr">
      <vt:lpstr>A/HRC/60/35/Add.1</vt:lpstr>
    </vt:vector>
  </TitlesOfParts>
  <Company>DCM</Company>
  <LinksUpToDate>false</LinksUpToDate>
  <CharactersWithSpaces>63513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2510451</dc:subject>
  <dc:creator>dm</dc:creator>
  <cp:keywords/>
  <dc:description/>
  <cp:lastModifiedBy>Don Canete Martin</cp:lastModifiedBy>
  <cp:revision>2</cp:revision>
  <dcterms:created xsi:type="dcterms:W3CDTF">2025-07-15T11:12:00Z</dcterms:created>
  <dcterms:modified xsi:type="dcterms:W3CDTF">2025-07-15T11:12:00Z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