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79189" w14:textId="77777777" w:rsidR="00220780" w:rsidRPr="001F2F0B" w:rsidRDefault="00220780" w:rsidP="00220780">
      <w:pPr>
        <w:spacing w:line="60" w:lineRule="exact"/>
        <w:rPr>
          <w:sz w:val="2"/>
        </w:rPr>
        <w:sectPr w:rsidR="00220780" w:rsidRPr="001F2F0B" w:rsidSect="00A23DA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sidRPr="001F2F0B">
        <w:rPr>
          <w:rStyle w:val="ad"/>
        </w:rPr>
        <w:commentReference w:id="0"/>
      </w:r>
    </w:p>
    <w:p w14:paraId="231F975F"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360"/>
        <w:ind w:right="1264"/>
        <w:rPr>
          <w:rFonts w:eastAsia="黑体"/>
          <w:sz w:val="24"/>
          <w:szCs w:val="24"/>
        </w:rPr>
      </w:pPr>
      <w:r w:rsidRPr="00425DAE">
        <w:rPr>
          <w:rFonts w:eastAsia="黑体" w:hint="eastAsia"/>
          <w:sz w:val="24"/>
          <w:szCs w:val="24"/>
        </w:rPr>
        <w:t>消除对妇女歧视委员会</w:t>
      </w:r>
    </w:p>
    <w:p w14:paraId="0DFED8C7" w14:textId="77777777" w:rsidR="00425DAE" w:rsidRPr="001F2F0B" w:rsidRDefault="00425DAE" w:rsidP="00425DA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1F2F0B">
        <w:tab/>
      </w:r>
      <w:r w:rsidRPr="001F2F0B">
        <w:tab/>
      </w:r>
      <w:r w:rsidRPr="001F2F0B">
        <w:rPr>
          <w:rFonts w:hint="eastAsia"/>
        </w:rPr>
        <w:t>关于佛得角第九次定期报告的结论意见</w:t>
      </w:r>
      <w:r w:rsidRPr="001F2F0B">
        <w:footnoteReference w:customMarkFollows="1" w:id="1"/>
        <w:t>*</w:t>
      </w:r>
    </w:p>
    <w:p w14:paraId="04CF05CA" w14:textId="6B72B218"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ind w:left="1264" w:right="1264"/>
      </w:pPr>
      <w:r w:rsidRPr="00425DAE">
        <w:t>1.</w:t>
      </w:r>
      <w:r w:rsidRPr="00425DAE">
        <w:tab/>
      </w:r>
      <w:r w:rsidRPr="00425DAE">
        <w:rPr>
          <w:rFonts w:hint="eastAsia"/>
        </w:rPr>
        <w:t>委员会在</w:t>
      </w:r>
      <w:r w:rsidRPr="00425DAE">
        <w:t>2019</w:t>
      </w:r>
      <w:r w:rsidRPr="00425DAE">
        <w:rPr>
          <w:rFonts w:hint="eastAsia"/>
        </w:rPr>
        <w:t>年</w:t>
      </w:r>
      <w:r w:rsidRPr="00425DAE">
        <w:t>7</w:t>
      </w:r>
      <w:r w:rsidRPr="00425DAE">
        <w:rPr>
          <w:rFonts w:hint="eastAsia"/>
        </w:rPr>
        <w:t>月</w:t>
      </w:r>
      <w:r w:rsidRPr="00425DAE">
        <w:t>11</w:t>
      </w:r>
      <w:r w:rsidRPr="00425DAE">
        <w:rPr>
          <w:rFonts w:hint="eastAsia"/>
        </w:rPr>
        <w:t>日第</w:t>
      </w:r>
      <w:r w:rsidRPr="00425DAE">
        <w:t>1704</w:t>
      </w:r>
      <w:r w:rsidRPr="00425DAE">
        <w:rPr>
          <w:rFonts w:hint="eastAsia"/>
        </w:rPr>
        <w:t>次和</w:t>
      </w:r>
      <w:r w:rsidRPr="00425DAE">
        <w:t>1705</w:t>
      </w:r>
      <w:r w:rsidRPr="00425DAE">
        <w:rPr>
          <w:rFonts w:hint="eastAsia"/>
        </w:rPr>
        <w:t>次会议</w:t>
      </w:r>
      <w:r w:rsidR="001F2F0B" w:rsidRPr="001F2F0B">
        <w:t>(</w:t>
      </w:r>
      <w:r w:rsidRPr="00425DAE">
        <w:rPr>
          <w:rFonts w:hint="eastAsia"/>
        </w:rPr>
        <w:t>见</w:t>
      </w:r>
      <w:hyperlink r:id="rId16" w:history="1">
        <w:r w:rsidRPr="005977E8">
          <w:rPr>
            <w:rStyle w:val="af4"/>
          </w:rPr>
          <w:t>CEDAW/C/SR.1704</w:t>
        </w:r>
      </w:hyperlink>
      <w:r w:rsidRPr="00425DAE">
        <w:rPr>
          <w:rFonts w:hint="eastAsia"/>
        </w:rPr>
        <w:t>和</w:t>
      </w:r>
      <w:hyperlink r:id="rId17" w:history="1">
        <w:r w:rsidRPr="005977E8">
          <w:rPr>
            <w:rStyle w:val="af4"/>
          </w:rPr>
          <w:t>CEDAW/C/SR.1705</w:t>
        </w:r>
      </w:hyperlink>
      <w:r w:rsidR="001F2F0B" w:rsidRPr="001F2F0B">
        <w:t>)</w:t>
      </w:r>
      <w:r w:rsidRPr="00425DAE">
        <w:rPr>
          <w:rFonts w:hint="eastAsia"/>
        </w:rPr>
        <w:t>上审议了佛得角第九次定期报告</w:t>
      </w:r>
      <w:r w:rsidR="001F2F0B" w:rsidRPr="001F2F0B">
        <w:t>(</w:t>
      </w:r>
      <w:hyperlink r:id="rId18" w:tgtFrame="_blank" w:tooltip="View BiText" w:history="1">
        <w:r w:rsidRPr="00425DAE">
          <w:rPr>
            <w:color w:val="0000FF"/>
          </w:rPr>
          <w:t>CEDAW/C/CPV/9</w:t>
        </w:r>
      </w:hyperlink>
      <w:r w:rsidR="001F2F0B" w:rsidRPr="001F2F0B">
        <w:t>)</w:t>
      </w:r>
      <w:r w:rsidRPr="00425DAE">
        <w:rPr>
          <w:rFonts w:hint="eastAsia"/>
        </w:rPr>
        <w:t>。委员会的问题清单载于</w:t>
      </w:r>
      <w:hyperlink r:id="rId19" w:tgtFrame="_blank" w:tooltip="View BiText" w:history="1">
        <w:r w:rsidRPr="00425DAE">
          <w:rPr>
            <w:color w:val="0000FF"/>
          </w:rPr>
          <w:t>CEDAW/C/CPV/</w:t>
        </w:r>
      </w:hyperlink>
      <w:hyperlink r:id="rId20" w:tgtFrame="_blank" w:tooltip="View BiText" w:history="1">
        <w:r w:rsidRPr="00425DAE">
          <w:rPr>
            <w:color w:val="0000FF"/>
          </w:rPr>
          <w:t>Q/9</w:t>
        </w:r>
      </w:hyperlink>
      <w:r w:rsidRPr="00425DAE">
        <w:rPr>
          <w:rFonts w:hint="eastAsia"/>
        </w:rPr>
        <w:t>号文件，缔约国的答复载于</w:t>
      </w:r>
      <w:hyperlink r:id="rId21" w:history="1">
        <w:r w:rsidRPr="005977E8">
          <w:rPr>
            <w:rStyle w:val="af4"/>
          </w:rPr>
          <w:t>CEDAW/C/CPV/Q/9/Add.1</w:t>
        </w:r>
      </w:hyperlink>
      <w:r w:rsidRPr="00425DAE">
        <w:rPr>
          <w:rFonts w:hint="eastAsia"/>
        </w:rPr>
        <w:t>号文件。</w:t>
      </w:r>
    </w:p>
    <w:p w14:paraId="151DD267" w14:textId="77777777" w:rsidR="00425DAE" w:rsidRPr="00425DAE" w:rsidRDefault="00425DAE" w:rsidP="00425DA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425DAE">
        <w:rPr>
          <w:rFonts w:eastAsia="黑体"/>
          <w:sz w:val="24"/>
        </w:rPr>
        <w:tab/>
        <w:t>A.</w:t>
      </w:r>
      <w:r w:rsidRPr="00425DAE">
        <w:rPr>
          <w:rFonts w:eastAsia="黑体"/>
          <w:sz w:val="24"/>
        </w:rPr>
        <w:tab/>
      </w:r>
      <w:r w:rsidRPr="00425DAE">
        <w:rPr>
          <w:rFonts w:eastAsia="黑体" w:hint="eastAsia"/>
          <w:sz w:val="24"/>
        </w:rPr>
        <w:t>导言</w:t>
      </w:r>
    </w:p>
    <w:p w14:paraId="341D7FDA" w14:textId="77777777"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ind w:left="1264" w:right="1264"/>
      </w:pPr>
      <w:r w:rsidRPr="00425DAE">
        <w:t>2.</w:t>
      </w:r>
      <w:r w:rsidRPr="00425DAE">
        <w:tab/>
      </w:r>
      <w:r w:rsidRPr="00425DAE">
        <w:rPr>
          <w:rFonts w:hint="eastAsia"/>
        </w:rPr>
        <w:t>委员会感谢缔约国提交第九次定期报告。委员会还感谢缔约国对会前工作组提出的议题和问题清单作出书面答复，并欢迎代表团在对话期间就委员会口头提出的问题作口头介绍并作出进一步澄清。</w:t>
      </w:r>
    </w:p>
    <w:p w14:paraId="6ABE9E24" w14:textId="77777777"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ind w:left="1264" w:right="1264"/>
      </w:pPr>
      <w:r w:rsidRPr="00425DAE">
        <w:t>3.</w:t>
      </w:r>
      <w:r w:rsidRPr="00425DAE">
        <w:tab/>
      </w:r>
      <w:r w:rsidRPr="00425DAE">
        <w:rPr>
          <w:rFonts w:hint="eastAsia"/>
        </w:rPr>
        <w:t>委员会赞扬缔约国派出由教育部长兼家庭和社会包容部长玛莉查·罗莎巴尔·裴妮亚率领的高级别代表团，成员包括性别平等和公平研究所及佛得角常驻联合国日内瓦办事处和日内瓦其他国际组织代表团的代表。</w:t>
      </w:r>
    </w:p>
    <w:p w14:paraId="2DC5C404" w14:textId="77777777" w:rsidR="00425DAE" w:rsidRPr="00425DAE" w:rsidRDefault="00425DAE" w:rsidP="00425DA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425DAE">
        <w:rPr>
          <w:rFonts w:eastAsia="黑体"/>
          <w:sz w:val="24"/>
        </w:rPr>
        <w:tab/>
        <w:t>B.</w:t>
      </w:r>
      <w:r w:rsidRPr="00425DAE">
        <w:rPr>
          <w:rFonts w:eastAsia="黑体"/>
          <w:sz w:val="24"/>
        </w:rPr>
        <w:tab/>
      </w:r>
      <w:r w:rsidRPr="00425DAE">
        <w:rPr>
          <w:rFonts w:eastAsia="黑体" w:hint="eastAsia"/>
          <w:sz w:val="24"/>
        </w:rPr>
        <w:t>积极方面</w:t>
      </w:r>
    </w:p>
    <w:p w14:paraId="16FD8760" w14:textId="2A273416"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ind w:left="1264" w:right="1264"/>
      </w:pPr>
      <w:r w:rsidRPr="00425DAE">
        <w:t>4.</w:t>
      </w:r>
      <w:r w:rsidRPr="00425DAE">
        <w:tab/>
      </w:r>
      <w:r w:rsidRPr="00425DAE">
        <w:rPr>
          <w:rFonts w:hint="eastAsia"/>
        </w:rPr>
        <w:t>自</w:t>
      </w:r>
      <w:r w:rsidRPr="00425DAE">
        <w:t>2013</w:t>
      </w:r>
      <w:r w:rsidRPr="00425DAE">
        <w:rPr>
          <w:rFonts w:hint="eastAsia"/>
        </w:rPr>
        <w:t>年审议缔约国第七至第八次合并定期报告</w:t>
      </w:r>
      <w:r w:rsidR="001F2F0B" w:rsidRPr="001F2F0B">
        <w:rPr>
          <w:rFonts w:hint="eastAsia"/>
        </w:rPr>
        <w:t>(</w:t>
      </w:r>
      <w:hyperlink r:id="rId22" w:history="1">
        <w:r w:rsidRPr="005977E8">
          <w:rPr>
            <w:rStyle w:val="af4"/>
          </w:rPr>
          <w:t>CEDAW/C/CPV/7-8</w:t>
        </w:r>
      </w:hyperlink>
      <w:r w:rsidR="001F2F0B" w:rsidRPr="001F2F0B">
        <w:rPr>
          <w:rFonts w:hint="eastAsia"/>
        </w:rPr>
        <w:t>)</w:t>
      </w:r>
      <w:r w:rsidRPr="00425DAE">
        <w:rPr>
          <w:rFonts w:hint="eastAsia"/>
        </w:rPr>
        <w:t>以来，该国立法改革方面取得进展，特别是</w:t>
      </w:r>
      <w:r w:rsidRPr="00425DAE">
        <w:t>2015</w:t>
      </w:r>
      <w:r w:rsidRPr="00425DAE">
        <w:rPr>
          <w:rFonts w:hint="eastAsia"/>
        </w:rPr>
        <w:t>年制定了《性别暴力法</w:t>
      </w:r>
      <w:r w:rsidRPr="00425DAE">
        <w:rPr>
          <w:rFonts w:ascii="宋体" w:hAnsi="宋体" w:hint="eastAsia"/>
        </w:rPr>
        <w:t>》</w:t>
      </w:r>
      <w:r w:rsidRPr="00425DAE">
        <w:rPr>
          <w:rFonts w:hint="eastAsia"/>
        </w:rPr>
        <w:t>的监管框架；委员会对此表示欢迎。</w:t>
      </w:r>
    </w:p>
    <w:p w14:paraId="173F3103" w14:textId="77777777"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ind w:left="1264" w:right="1264"/>
      </w:pPr>
      <w:r w:rsidRPr="00425DAE">
        <w:t>5.</w:t>
      </w:r>
      <w:r w:rsidRPr="00425DAE">
        <w:tab/>
      </w:r>
      <w:r w:rsidRPr="00425DAE">
        <w:rPr>
          <w:rFonts w:hint="eastAsia"/>
        </w:rPr>
        <w:t>委员会欢迎缔约国努力完善其体制和政策框架，以加快消除歧视妇女行为和促进性别平等，例如，采取了以下行动：</w:t>
      </w:r>
    </w:p>
    <w:p w14:paraId="6E481056" w14:textId="3F2080C3"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80"/>
        <w:ind w:left="1264" w:right="1264"/>
      </w:pPr>
      <w:r w:rsidRPr="00425DAE">
        <w:tab/>
      </w:r>
      <w:r w:rsidR="001F2F0B" w:rsidRPr="001F2F0B">
        <w:t>(</w:t>
      </w:r>
      <w:r w:rsidRPr="00425DAE">
        <w:t>a</w:t>
      </w:r>
      <w:r w:rsidR="001F2F0B" w:rsidRPr="001F2F0B">
        <w:t>)</w:t>
      </w:r>
      <w:r w:rsidRPr="00425DAE">
        <w:tab/>
        <w:t>2018</w:t>
      </w:r>
      <w:r w:rsidRPr="00425DAE">
        <w:rPr>
          <w:rFonts w:hint="eastAsia"/>
        </w:rPr>
        <w:t>年成立性别平等主流化部际委员会；</w:t>
      </w:r>
    </w:p>
    <w:p w14:paraId="5DA7A1AF" w14:textId="46AFD3ED"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80"/>
        <w:ind w:left="1264" w:right="1264"/>
      </w:pPr>
      <w:r w:rsidRPr="00425DAE">
        <w:tab/>
      </w:r>
      <w:r w:rsidR="001F2F0B" w:rsidRPr="001F2F0B">
        <w:t>(</w:t>
      </w:r>
      <w:r w:rsidRPr="00425DAE">
        <w:t>b</w:t>
      </w:r>
      <w:r w:rsidR="001F2F0B" w:rsidRPr="001F2F0B">
        <w:t>)</w:t>
      </w:r>
      <w:r w:rsidRPr="00425DAE">
        <w:tab/>
        <w:t>2016</w:t>
      </w:r>
      <w:r w:rsidRPr="00425DAE">
        <w:rPr>
          <w:rFonts w:hint="eastAsia"/>
        </w:rPr>
        <w:t>年成立家庭和社会包容部；</w:t>
      </w:r>
    </w:p>
    <w:p w14:paraId="02F2ACE4" w14:textId="6669D117"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80"/>
        <w:ind w:left="1264" w:right="1264"/>
      </w:pPr>
      <w:r w:rsidRPr="00425DAE">
        <w:tab/>
      </w:r>
      <w:r w:rsidR="001F2F0B" w:rsidRPr="001F2F0B">
        <w:t>(</w:t>
      </w:r>
      <w:r w:rsidRPr="00425DAE">
        <w:t>c</w:t>
      </w:r>
      <w:r w:rsidR="001F2F0B" w:rsidRPr="001F2F0B">
        <w:t>)</w:t>
      </w:r>
      <w:r w:rsidRPr="00425DAE">
        <w:tab/>
        <w:t>2016</w:t>
      </w:r>
      <w:r w:rsidRPr="00425DAE">
        <w:rPr>
          <w:rFonts w:hint="eastAsia"/>
        </w:rPr>
        <w:t>年通过《</w:t>
      </w:r>
      <w:r w:rsidRPr="00425DAE">
        <w:t>2017-2019</w:t>
      </w:r>
      <w:r w:rsidRPr="00425DAE">
        <w:rPr>
          <w:rFonts w:hint="eastAsia"/>
        </w:rPr>
        <w:t>年打击针对儿童和青少年的性暴力国家计划》；</w:t>
      </w:r>
    </w:p>
    <w:p w14:paraId="16BA05FA" w14:textId="276E7EAB" w:rsidR="00425DAE" w:rsidRPr="00425DAE" w:rsidRDefault="00425DAE" w:rsidP="0001371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t>(</w:t>
      </w:r>
      <w:r w:rsidRPr="00425DAE">
        <w:t>d</w:t>
      </w:r>
      <w:r w:rsidR="001F2F0B" w:rsidRPr="001F2F0B">
        <w:t>)</w:t>
      </w:r>
      <w:r w:rsidRPr="00425DAE">
        <w:tab/>
      </w:r>
      <w:r w:rsidRPr="00425DAE">
        <w:rPr>
          <w:rFonts w:hint="eastAsia"/>
        </w:rPr>
        <w:t>在市一级建立性别问题协调中心。</w:t>
      </w:r>
      <w:r w:rsidR="00013714">
        <w:br w:type="page"/>
      </w:r>
    </w:p>
    <w:p w14:paraId="3C81608E"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lastRenderedPageBreak/>
        <w:t>6.</w:t>
      </w:r>
      <w:r w:rsidRPr="00425DAE">
        <w:tab/>
      </w:r>
      <w:r w:rsidRPr="00425DAE">
        <w:rPr>
          <w:rFonts w:hint="eastAsia"/>
        </w:rPr>
        <w:t>委员会欢迎自审议上一次报告以来，缔约国于</w:t>
      </w:r>
      <w:r w:rsidRPr="00425DAE">
        <w:t>2014</w:t>
      </w:r>
      <w:r w:rsidRPr="00425DAE">
        <w:rPr>
          <w:rFonts w:hint="eastAsia"/>
        </w:rPr>
        <w:t>年批准了《经济、社会及文化权利国际公约任择议定书》。</w:t>
      </w:r>
    </w:p>
    <w:p w14:paraId="4A6201B9" w14:textId="77777777" w:rsidR="00425DAE" w:rsidRPr="00425DAE" w:rsidRDefault="00425DAE" w:rsidP="00425DA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425DAE">
        <w:rPr>
          <w:rFonts w:eastAsia="黑体"/>
          <w:sz w:val="24"/>
        </w:rPr>
        <w:tab/>
        <w:t>C.</w:t>
      </w:r>
      <w:r w:rsidRPr="00425DAE">
        <w:rPr>
          <w:rFonts w:eastAsia="黑体"/>
          <w:sz w:val="24"/>
        </w:rPr>
        <w:tab/>
      </w:r>
      <w:r w:rsidRPr="00425DAE">
        <w:rPr>
          <w:rFonts w:eastAsia="黑体" w:hint="eastAsia"/>
          <w:sz w:val="24"/>
        </w:rPr>
        <w:t>可持续发展目标</w:t>
      </w:r>
    </w:p>
    <w:p w14:paraId="2CE903C1" w14:textId="75348FAD"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7.</w:t>
      </w:r>
      <w:r w:rsidRPr="00425DAE">
        <w:rPr>
          <w:rFonts w:eastAsia="黑体"/>
        </w:rPr>
        <w:tab/>
      </w:r>
      <w:r w:rsidRPr="00425DAE">
        <w:rPr>
          <w:rFonts w:eastAsia="黑体" w:hint="eastAsia"/>
        </w:rPr>
        <w:t>委员会欢迎国际社会对可持续发展目标的支持，呼吁在整个《</w:t>
      </w:r>
      <w:r w:rsidRPr="00425DAE">
        <w:rPr>
          <w:rFonts w:eastAsia="黑体"/>
        </w:rPr>
        <w:t>2030</w:t>
      </w:r>
      <w:r w:rsidRPr="00425DAE">
        <w:rPr>
          <w:rFonts w:eastAsia="黑体" w:hint="eastAsia"/>
        </w:rPr>
        <w:t>年可持续发展议程》执行进程中，根据《公约》规定实现法律上和事实上</w:t>
      </w:r>
      <w:r w:rsidR="001F2F0B" w:rsidRPr="001F2F0B">
        <w:rPr>
          <w:rFonts w:eastAsia="黑体"/>
        </w:rPr>
        <w:t>(</w:t>
      </w:r>
      <w:r w:rsidRPr="00425DAE">
        <w:rPr>
          <w:rFonts w:eastAsia="黑体" w:hint="eastAsia"/>
        </w:rPr>
        <w:t>实质性</w:t>
      </w:r>
      <w:r w:rsidR="001F2F0B" w:rsidRPr="001F2F0B">
        <w:rPr>
          <w:rFonts w:eastAsia="黑体"/>
        </w:rPr>
        <w:t>)</w:t>
      </w:r>
      <w:r w:rsidRPr="00425DAE">
        <w:rPr>
          <w:rFonts w:eastAsia="黑体" w:hint="eastAsia"/>
        </w:rPr>
        <w:t>的性别平等。委员会回顾了可持续发展目标</w:t>
      </w:r>
      <w:r w:rsidRPr="00425DAE">
        <w:rPr>
          <w:rFonts w:eastAsia="黑体"/>
        </w:rPr>
        <w:t>5</w:t>
      </w:r>
      <w:r w:rsidRPr="00425DAE">
        <w:rPr>
          <w:rFonts w:eastAsia="黑体" w:hint="eastAsia"/>
        </w:rPr>
        <w:t>以及将平等和不歧视原则纳入所有</w:t>
      </w:r>
      <w:r w:rsidRPr="00425DAE">
        <w:rPr>
          <w:rFonts w:eastAsia="黑体"/>
        </w:rPr>
        <w:t>17</w:t>
      </w:r>
      <w:r w:rsidRPr="00425DAE">
        <w:rPr>
          <w:rFonts w:eastAsia="黑体" w:hint="eastAsia"/>
        </w:rPr>
        <w:t>项目标主流的重要性。委员会敦促缔约国承认妇女是佛得角可持续发展的推动力，并为此制定相关政策和战略。</w:t>
      </w:r>
    </w:p>
    <w:p w14:paraId="0241CC06" w14:textId="77777777" w:rsidR="00425DAE" w:rsidRPr="00425DAE" w:rsidRDefault="00425DAE" w:rsidP="00425DA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425DAE">
        <w:rPr>
          <w:rFonts w:eastAsia="黑体"/>
          <w:sz w:val="24"/>
        </w:rPr>
        <w:tab/>
        <w:t>D.</w:t>
      </w:r>
      <w:r w:rsidRPr="00425DAE">
        <w:rPr>
          <w:rFonts w:eastAsia="黑体"/>
          <w:sz w:val="24"/>
        </w:rPr>
        <w:tab/>
      </w:r>
      <w:r w:rsidRPr="00425DAE">
        <w:rPr>
          <w:rFonts w:eastAsia="黑体" w:hint="eastAsia"/>
          <w:sz w:val="24"/>
        </w:rPr>
        <w:t>议会</w:t>
      </w:r>
    </w:p>
    <w:p w14:paraId="313CAB8B" w14:textId="3D06031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8.</w:t>
      </w:r>
      <w:r w:rsidRPr="00425DAE">
        <w:rPr>
          <w:rFonts w:eastAsia="黑体"/>
        </w:rPr>
        <w:tab/>
      </w:r>
      <w:r w:rsidRPr="00425DAE">
        <w:rPr>
          <w:rFonts w:eastAsia="黑体" w:hint="eastAsia"/>
        </w:rPr>
        <w:t>委员会强调了立法权在确保全面执行《公约》方面发挥的关键作用</w:t>
      </w:r>
      <w:r w:rsidR="001F2F0B" w:rsidRPr="001F2F0B">
        <w:rPr>
          <w:rFonts w:eastAsia="黑体" w:hint="eastAsia"/>
        </w:rPr>
        <w:t>(</w:t>
      </w:r>
      <w:r w:rsidRPr="00425DAE">
        <w:rPr>
          <w:rFonts w:eastAsia="黑体" w:hint="eastAsia"/>
        </w:rPr>
        <w:t>见</w:t>
      </w:r>
      <w:hyperlink r:id="rId23" w:history="1">
        <w:r w:rsidRPr="005977E8">
          <w:rPr>
            <w:rStyle w:val="af4"/>
            <w:rFonts w:eastAsia="黑体"/>
          </w:rPr>
          <w:t>A/65/38</w:t>
        </w:r>
      </w:hyperlink>
      <w:r w:rsidRPr="00425DAE">
        <w:rPr>
          <w:rFonts w:eastAsia="黑体" w:hint="eastAsia"/>
        </w:rPr>
        <w:t>，第二部分，附件六</w:t>
      </w:r>
      <w:r w:rsidR="001F2F0B" w:rsidRPr="001F2F0B">
        <w:rPr>
          <w:rFonts w:eastAsia="黑体" w:hint="eastAsia"/>
        </w:rPr>
        <w:t>)</w:t>
      </w:r>
      <w:r w:rsidRPr="00425DAE">
        <w:rPr>
          <w:rFonts w:eastAsia="黑体" w:hint="eastAsia"/>
        </w:rPr>
        <w:t>。委员会请议会根据其任务授权，从现在起到按照《公约》规定提交下一份定期报告之前执行本结论性意见采取必要步骤。</w:t>
      </w:r>
    </w:p>
    <w:p w14:paraId="7F8DB129" w14:textId="77777777" w:rsidR="00425DAE" w:rsidRPr="00425DAE" w:rsidRDefault="00425DAE" w:rsidP="00425DA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425DAE">
        <w:rPr>
          <w:rFonts w:eastAsia="黑体"/>
          <w:sz w:val="24"/>
        </w:rPr>
        <w:tab/>
        <w:t>E.</w:t>
      </w:r>
      <w:r w:rsidRPr="00425DAE">
        <w:rPr>
          <w:rFonts w:eastAsia="黑体"/>
          <w:sz w:val="24"/>
        </w:rPr>
        <w:tab/>
      </w:r>
      <w:r w:rsidRPr="00425DAE">
        <w:rPr>
          <w:rFonts w:eastAsia="黑体" w:hint="eastAsia"/>
          <w:sz w:val="24"/>
        </w:rPr>
        <w:t>主要的关切领域和建议</w:t>
      </w:r>
    </w:p>
    <w:p w14:paraId="79D2758A"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《公约》及其《任择议定书》的能见度</w:t>
      </w:r>
    </w:p>
    <w:p w14:paraId="19F434E2"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9.</w:t>
      </w:r>
      <w:r w:rsidRPr="00425DAE">
        <w:tab/>
      </w:r>
      <w:r w:rsidRPr="00425DAE">
        <w:rPr>
          <w:rFonts w:hint="eastAsia"/>
        </w:rPr>
        <w:t>委员会赞扬缔约国努力宣传《公约》。然而，令委员会感到关切的是，缔约国公众，特别是城乡地区的妇女，以及司法人员、执法人员和保健人员，对受《公约》保障的权利认识不足。</w:t>
      </w:r>
    </w:p>
    <w:p w14:paraId="489D7E6B"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10.</w:t>
      </w:r>
      <w:r w:rsidRPr="00425DAE">
        <w:rPr>
          <w:rFonts w:eastAsia="黑体"/>
        </w:rPr>
        <w:tab/>
      </w:r>
      <w:r w:rsidRPr="00425DAE">
        <w:rPr>
          <w:rFonts w:eastAsia="黑体" w:hint="eastAsia"/>
        </w:rPr>
        <w:t>委员会建议缔约国：</w:t>
      </w:r>
    </w:p>
    <w:p w14:paraId="5D07B12D" w14:textId="045DCD0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加紧努力，提高公众对《公约》及其《任择议定书》所保障的权利和程序的认识，特别是提高城乡地区妇女，包括移民妇女，以及司法人员、执法人员和保健人员的认识；</w:t>
      </w:r>
    </w:p>
    <w:p w14:paraId="0B24F12E" w14:textId="72A911D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就如何在法院诉讼程序中援引或适用《公约》或参照《公约》解释国家立法加强法律从业人员以及司法和执法官员能力建设。</w:t>
      </w:r>
    </w:p>
    <w:p w14:paraId="23451F6B" w14:textId="46CB708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将《非洲人权和人民权利宪章关于非洲妇女权利的议定书》的规定纳入其法律框架，并在公众，特别是法律专业人员和民间社会中加以传播。</w:t>
      </w:r>
    </w:p>
    <w:p w14:paraId="2DD31E12"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诉诸司法</w:t>
      </w:r>
    </w:p>
    <w:p w14:paraId="173555FC" w14:textId="053395DF"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11.</w:t>
      </w:r>
      <w:r w:rsidRPr="00425DAE">
        <w:tab/>
      </w:r>
      <w:r w:rsidRPr="00425DAE">
        <w:rPr>
          <w:rFonts w:hint="eastAsia"/>
        </w:rPr>
        <w:t>委员会关切地注意到，对《公约》规定的妇女权利没有进行充分的法律培训，公众不容易了解性别歧视案件的判决结果，也不存在一个报告司法部门内性别偏见情形的投诉机制。还令委员会感到关切的是，高级治安法官委员会收集的法院案件数据没有按受害者或犯罪者特征</w:t>
      </w:r>
      <w:r w:rsidR="001F2F0B" w:rsidRPr="001F2F0B">
        <w:rPr>
          <w:rFonts w:hint="eastAsia"/>
        </w:rPr>
        <w:t>(</w:t>
      </w:r>
      <w:r w:rsidRPr="00425DAE">
        <w:rPr>
          <w:rFonts w:hint="eastAsia"/>
        </w:rPr>
        <w:t>如性别或其他变量</w:t>
      </w:r>
      <w:r w:rsidR="001F2F0B" w:rsidRPr="001F2F0B">
        <w:rPr>
          <w:rFonts w:hint="eastAsia"/>
        </w:rPr>
        <w:t>)</w:t>
      </w:r>
      <w:r w:rsidRPr="00425DAE">
        <w:rPr>
          <w:rFonts w:hint="eastAsia"/>
        </w:rPr>
        <w:t>分类，因此无法对基于性别的歧视或暴力案件作出分析。</w:t>
      </w:r>
    </w:p>
    <w:p w14:paraId="743055EC" w14:textId="2AB14DB1"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4"/>
        </w:rPr>
      </w:pPr>
      <w:r w:rsidRPr="00425DAE">
        <w:rPr>
          <w:rFonts w:eastAsia="黑体"/>
          <w:spacing w:val="-4"/>
        </w:rPr>
        <w:t>12.</w:t>
      </w:r>
      <w:r w:rsidRPr="00425DAE">
        <w:rPr>
          <w:rFonts w:eastAsia="黑体"/>
          <w:spacing w:val="-4"/>
        </w:rPr>
        <w:tab/>
      </w:r>
      <w:r w:rsidRPr="00425DAE">
        <w:rPr>
          <w:rFonts w:eastAsia="黑体" w:hint="eastAsia"/>
          <w:spacing w:val="-4"/>
        </w:rPr>
        <w:t>委员会根据其关于妇女获得司法救助的第</w:t>
      </w:r>
      <w:hyperlink r:id="rId24" w:history="1">
        <w:r w:rsidRPr="005977E8">
          <w:rPr>
            <w:rStyle w:val="af4"/>
            <w:rFonts w:eastAsia="黑体"/>
            <w:spacing w:val="-4"/>
          </w:rPr>
          <w:t>33</w:t>
        </w:r>
        <w:r w:rsidR="001F2F0B" w:rsidRPr="005977E8">
          <w:rPr>
            <w:rStyle w:val="af4"/>
            <w:rFonts w:eastAsia="黑体"/>
            <w:spacing w:val="-4"/>
          </w:rPr>
          <w:t>(</w:t>
        </w:r>
        <w:r w:rsidRPr="005977E8">
          <w:rPr>
            <w:rStyle w:val="af4"/>
            <w:rFonts w:eastAsia="黑体"/>
            <w:spacing w:val="-4"/>
          </w:rPr>
          <w:t>2015</w:t>
        </w:r>
        <w:r w:rsidR="001F2F0B" w:rsidRPr="005977E8">
          <w:rPr>
            <w:rStyle w:val="af4"/>
            <w:rFonts w:eastAsia="黑体"/>
            <w:spacing w:val="-4"/>
          </w:rPr>
          <w:t>)</w:t>
        </w:r>
      </w:hyperlink>
      <w:r w:rsidRPr="00425DAE">
        <w:rPr>
          <w:rFonts w:eastAsia="黑体" w:hint="eastAsia"/>
          <w:spacing w:val="-4"/>
        </w:rPr>
        <w:t>号一般性建议，建议缔约国：</w:t>
      </w:r>
    </w:p>
    <w:p w14:paraId="7D5D3378" w14:textId="6EBD409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以持续和结构化的方式向司法人员、法律专业人员和执法人员提供关于《公约》、实质性性别平等、打击性别暴力和消除性别陈规定型观念的法律培训；</w:t>
      </w:r>
    </w:p>
    <w:p w14:paraId="7B8C82CB" w14:textId="1809111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lastRenderedPageBreak/>
        <w:tab/>
      </w:r>
      <w:r w:rsidR="001F2F0B" w:rsidRPr="001F2F0B">
        <w:t>(</w:t>
      </w:r>
      <w:r w:rsidRPr="00425DAE">
        <w:t>b</w:t>
      </w:r>
      <w:r w:rsidR="001F2F0B" w:rsidRPr="001F2F0B">
        <w:t>)</w:t>
      </w:r>
      <w:r w:rsidRPr="00425DAE">
        <w:tab/>
      </w:r>
      <w:r w:rsidRPr="00425DAE">
        <w:rPr>
          <w:rFonts w:eastAsia="黑体" w:hint="eastAsia"/>
        </w:rPr>
        <w:t>确保法院对性别歧视案件的裁决易于查阅，例如在最高法院和司法部的网站上公布，以提高司法系统的透明度；</w:t>
      </w:r>
    </w:p>
    <w:p w14:paraId="58829DDB" w14:textId="182A64E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把针对司法机构中性别偏见案件的报告机制部署到位，并确保此类投诉得到迅速调查和处理；</w:t>
      </w:r>
    </w:p>
    <w:p w14:paraId="25EEBAFE" w14:textId="718BF74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确保高级治安法官委员会收集按性别分列的数据，以便能够分析基于性别的歧视和暴力案件；</w:t>
      </w:r>
    </w:p>
    <w:p w14:paraId="52887358" w14:textId="48050F9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提高广大公众，包括妇女和女童，对禁止歧视妇女的法律以及此类歧视的受害者可诉诸的补救措施的认识。</w:t>
      </w:r>
    </w:p>
    <w:p w14:paraId="57BDE556"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提高妇女地位国家机构</w:t>
      </w:r>
    </w:p>
    <w:p w14:paraId="2B140370"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13.</w:t>
      </w:r>
      <w:r w:rsidRPr="00425DAE">
        <w:tab/>
      </w:r>
      <w:r w:rsidRPr="00425DAE">
        <w:rPr>
          <w:rFonts w:hint="eastAsia"/>
        </w:rPr>
        <w:t>委员会注意到，自</w:t>
      </w:r>
      <w:r w:rsidRPr="00425DAE">
        <w:t>2016</w:t>
      </w:r>
      <w:r w:rsidRPr="00425DAE">
        <w:rPr>
          <w:rFonts w:hint="eastAsia"/>
        </w:rPr>
        <w:t>年以来，家庭和社会包容部全面负责确保缔约国的性别平等，</w:t>
      </w:r>
      <w:r w:rsidRPr="00425DAE">
        <w:t>22</w:t>
      </w:r>
      <w:r w:rsidRPr="00425DAE">
        <w:rPr>
          <w:rFonts w:hint="eastAsia"/>
        </w:rPr>
        <w:t>个市中有</w:t>
      </w:r>
      <w:r w:rsidRPr="00425DAE">
        <w:t>18</w:t>
      </w:r>
      <w:r w:rsidRPr="00425DAE">
        <w:rPr>
          <w:rFonts w:hint="eastAsia"/>
        </w:rPr>
        <w:t>个指定了性别平等协调中心，有一个市的性别平等工作是由市长办公室负责的。委员会欢迎由家庭和社会包容部性别平等和公平研究所负责制定的</w:t>
      </w:r>
      <w:r w:rsidRPr="00425DAE">
        <w:t>2015-2018</w:t>
      </w:r>
      <w:r w:rsidRPr="00425DAE">
        <w:rPr>
          <w:rFonts w:hint="eastAsia"/>
        </w:rPr>
        <w:t>年国家性别平等计划、打击性别暴力国家计划和</w:t>
      </w:r>
      <w:r w:rsidRPr="00425DAE">
        <w:t>2019-2021</w:t>
      </w:r>
      <w:r w:rsidRPr="00425DAE">
        <w:rPr>
          <w:rFonts w:hint="eastAsia"/>
        </w:rPr>
        <w:t>年国家性别平等计划。委员会还欢迎最近成立了性别平等主流化部际委员会，以监测公共政策中的性别平等主流化。委员会注意到，家庭和社会包容部长还兼任教育部长，并关切地指出，消除对妇女歧视的努力可能得不到必要的关注和资源，因为该部长工作范围很广，还涉及教育、儿童、老年人、残疾人和消除贫困等问题。委员会对活动缺乏协调和监测以及国家机构各实体资源有限也感到关切。</w:t>
      </w:r>
    </w:p>
    <w:p w14:paraId="39D4A872"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14.</w:t>
      </w:r>
      <w:r w:rsidRPr="00425DAE">
        <w:rPr>
          <w:rFonts w:eastAsia="黑体"/>
        </w:rPr>
        <w:tab/>
      </w:r>
      <w:r w:rsidRPr="00425DAE">
        <w:rPr>
          <w:rFonts w:eastAsia="黑体" w:hint="eastAsia"/>
        </w:rPr>
        <w:t>委员会建议缔约国：</w:t>
      </w:r>
    </w:p>
    <w:p w14:paraId="2E4EDF34" w14:textId="18EC717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确保在政府工作中优先重视促进性别平等，并在这方面考虑设立一个获得充分授权和充足资源的独立实体，以协调和监测《公约》的执行情况；</w:t>
      </w:r>
    </w:p>
    <w:p w14:paraId="22D593CD" w14:textId="7884F38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hint="eastAsia"/>
        </w:rPr>
        <w:t>b</w:t>
      </w:r>
      <w:r w:rsidR="001F2F0B" w:rsidRPr="001F2F0B">
        <w:rPr>
          <w:rFonts w:eastAsia="黑体"/>
        </w:rPr>
        <w:t>)</w:t>
      </w:r>
      <w:r w:rsidRPr="00425DAE">
        <w:rPr>
          <w:rFonts w:eastAsia="黑体"/>
        </w:rPr>
        <w:tab/>
      </w:r>
      <w:r w:rsidRPr="00425DAE">
        <w:rPr>
          <w:rFonts w:eastAsia="黑体" w:hint="eastAsia"/>
        </w:rPr>
        <w:t>确保提高妇女地位国家机制的所有实体，包括性别平等和公平研究所、性别平等主流化部际委员会和市一级的性别平等协调中心，以协调和有效的方式开展工作；</w:t>
      </w:r>
    </w:p>
    <w:p w14:paraId="7693E501" w14:textId="1FB0E73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确保在其余城市指定性别问题协调人。</w:t>
      </w:r>
    </w:p>
    <w:p w14:paraId="22C546C9"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促进和保护人权的国家机构</w:t>
      </w:r>
    </w:p>
    <w:p w14:paraId="05394465" w14:textId="515DB09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15.</w:t>
      </w:r>
      <w:r w:rsidRPr="00425DAE">
        <w:tab/>
      </w:r>
      <w:r w:rsidRPr="00425DAE">
        <w:rPr>
          <w:rFonts w:hint="eastAsia"/>
        </w:rPr>
        <w:t>委员会赞赏国家人权和公民身份委员会</w:t>
      </w:r>
      <w:r w:rsidRPr="00425DAE">
        <w:t>30</w:t>
      </w:r>
      <w:r w:rsidRPr="00425DAE">
        <w:rPr>
          <w:rFonts w:hint="eastAsia"/>
        </w:rPr>
        <w:t>名委员中有</w:t>
      </w:r>
      <w:r w:rsidRPr="00425DAE">
        <w:t>16</w:t>
      </w:r>
      <w:r w:rsidRPr="00425DAE">
        <w:rPr>
          <w:rFonts w:hint="eastAsia"/>
        </w:rPr>
        <w:t>名是妇女，该委员会有促进妇女权利和两性平等的明确任务。然而，委员会仍感关切的是，该委员会隶属于司法部，缺乏独立性，这不符合有关增进和保护人权国家机构的地位的原则</w:t>
      </w:r>
      <w:r w:rsidR="001F2F0B" w:rsidRPr="001F2F0B">
        <w:t>(</w:t>
      </w:r>
      <w:r w:rsidRPr="00425DAE">
        <w:rPr>
          <w:rFonts w:hint="eastAsia"/>
        </w:rPr>
        <w:t>《巴黎原则》</w:t>
      </w:r>
      <w:r w:rsidR="001F2F0B" w:rsidRPr="001F2F0B">
        <w:t>)</w:t>
      </w:r>
      <w:r w:rsidRPr="00425DAE">
        <w:rPr>
          <w:rFonts w:hint="eastAsia"/>
        </w:rPr>
        <w:t>。</w:t>
      </w:r>
    </w:p>
    <w:p w14:paraId="01019316"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16.</w:t>
      </w:r>
      <w:r w:rsidRPr="00425DAE">
        <w:rPr>
          <w:rFonts w:eastAsia="黑体"/>
        </w:rPr>
        <w:tab/>
      </w:r>
      <w:r w:rsidRPr="00425DAE">
        <w:rPr>
          <w:rFonts w:eastAsia="黑体" w:hint="eastAsia"/>
        </w:rPr>
        <w:t>委员会建议缔约国迅速完成和通过关于国家人权和公民身份委员会的法律草案，确保它完全符合《巴黎原则》，并确保该委员会获得必要的人力、技术和财政资源，以有效保护和促进妇女权利和两性平等。</w:t>
      </w:r>
    </w:p>
    <w:p w14:paraId="27F1F7CB" w14:textId="77777777" w:rsidR="007D5D47" w:rsidRDefault="007D5D47">
      <w:pPr>
        <w:spacing w:line="240" w:lineRule="auto"/>
        <w:jc w:val="left"/>
        <w:rPr>
          <w:rFonts w:eastAsia="黑体"/>
        </w:rPr>
      </w:pPr>
      <w:r>
        <w:rPr>
          <w:rFonts w:eastAsia="黑体"/>
        </w:rPr>
        <w:br w:type="page"/>
      </w:r>
    </w:p>
    <w:p w14:paraId="347475E7" w14:textId="447A6E9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rPr>
          <w:rFonts w:eastAsia="黑体" w:hint="eastAsia"/>
        </w:rPr>
        <w:t>暂行特别措施</w:t>
      </w:r>
    </w:p>
    <w:p w14:paraId="72DC009F"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17.</w:t>
      </w:r>
      <w:r w:rsidRPr="00425DAE">
        <w:tab/>
      </w:r>
      <w:r w:rsidRPr="00425DAE">
        <w:rPr>
          <w:rFonts w:hint="eastAsia"/>
        </w:rPr>
        <w:t>委员会注意到，缔约国正在考虑实施暂行特别措施，促进妇女，包括农村妇女和残疾妇女，参与政治和经济生活。然而，令委员会感到关切的是，这些措施在实践中迟迟得不到执行，而且在妇女处于不利地位或妇女参与人数不足的所有领域，都缺乏加速实现男女实质性平等的暂行特别措施。</w:t>
      </w:r>
    </w:p>
    <w:p w14:paraId="7D10DA11" w14:textId="6EFE4BF3"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18.</w:t>
      </w:r>
      <w:r w:rsidRPr="00425DAE">
        <w:rPr>
          <w:rFonts w:eastAsia="黑体"/>
        </w:rPr>
        <w:tab/>
      </w:r>
      <w:r w:rsidRPr="00425DAE">
        <w:rPr>
          <w:rFonts w:eastAsia="黑体" w:hint="eastAsia"/>
        </w:rPr>
        <w:t>委员会回顾了关于暂行特别措施的第</w:t>
      </w:r>
      <w:hyperlink r:id="rId25" w:history="1">
        <w:r w:rsidRPr="005977E8">
          <w:rPr>
            <w:rStyle w:val="af4"/>
            <w:rFonts w:eastAsia="黑体"/>
          </w:rPr>
          <w:t>25</w:t>
        </w:r>
        <w:r w:rsidR="001F2F0B" w:rsidRPr="005977E8">
          <w:rPr>
            <w:rStyle w:val="af4"/>
            <w:rFonts w:eastAsia="黑体"/>
          </w:rPr>
          <w:t>(</w:t>
        </w:r>
        <w:r w:rsidRPr="005977E8">
          <w:rPr>
            <w:rStyle w:val="af4"/>
            <w:rFonts w:eastAsia="黑体"/>
          </w:rPr>
          <w:t>2004</w:t>
        </w:r>
        <w:r w:rsidR="001F2F0B" w:rsidRPr="005977E8">
          <w:rPr>
            <w:rStyle w:val="af4"/>
            <w:rFonts w:eastAsia="黑体"/>
          </w:rPr>
          <w:t>)</w:t>
        </w:r>
      </w:hyperlink>
      <w:r w:rsidRPr="00425DAE">
        <w:rPr>
          <w:rFonts w:eastAsia="黑体" w:hint="eastAsia"/>
        </w:rPr>
        <w:t>号一般性建议，向缔约国提出如下建议：</w:t>
      </w:r>
    </w:p>
    <w:p w14:paraId="0A8AC1FA" w14:textId="6166F4E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提高政府官员和决策者的认识，加深他们对《公约》第四条第</w:t>
      </w:r>
      <w:r w:rsidRPr="00425DAE">
        <w:rPr>
          <w:rFonts w:eastAsia="黑体"/>
        </w:rPr>
        <w:t>1</w:t>
      </w:r>
      <w:r w:rsidRPr="00425DAE">
        <w:rPr>
          <w:rFonts w:eastAsia="黑体" w:hint="eastAsia"/>
        </w:rPr>
        <w:t>款意义上的暂行特别措施的性质及其对在妇女处于不利地位或妇女参与人数不足的所有领域实现男女实质性平等的重要性的理解；</w:t>
      </w:r>
    </w:p>
    <w:p w14:paraId="08405AC8" w14:textId="44E11C8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实施暂行特别措施，如外联或支助方案、资源分配和</w:t>
      </w:r>
      <w:r w:rsidR="001F2F0B" w:rsidRPr="001F2F0B">
        <w:rPr>
          <w:rFonts w:eastAsia="黑体"/>
        </w:rPr>
        <w:t>(</w:t>
      </w:r>
      <w:r w:rsidRPr="00425DAE">
        <w:rPr>
          <w:rFonts w:eastAsia="黑体"/>
        </w:rPr>
        <w:t>或</w:t>
      </w:r>
      <w:r w:rsidR="001F2F0B" w:rsidRPr="001F2F0B">
        <w:rPr>
          <w:rFonts w:eastAsia="黑体"/>
        </w:rPr>
        <w:t>)</w:t>
      </w:r>
      <w:r w:rsidRPr="00425DAE">
        <w:rPr>
          <w:rFonts w:eastAsia="黑体" w:hint="eastAsia"/>
        </w:rPr>
        <w:t>再分配、优惠待遇、定向招聘、雇用、培训和晋升以及法定配额，以弥补参与政治和公共生活方面的差距；</w:t>
      </w:r>
    </w:p>
    <w:p w14:paraId="27E75EA9" w14:textId="069C320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对农村和弱势妇女群体，包括寡妇、女户主、贫困和易受灾害地区的妇女以及残疾妇女，采取暂行特别措施；</w:t>
      </w:r>
    </w:p>
    <w:p w14:paraId="72272F1E" w14:textId="68760A4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确保国家计划和方案，如性别平等宣传行动计划、减贫措施、创业精神和专业举措，都有具体的可衡量目标。</w:t>
      </w:r>
    </w:p>
    <w:p w14:paraId="644774CD"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陈规定型观念和有害习俗</w:t>
      </w:r>
    </w:p>
    <w:p w14:paraId="2458D3B0" w14:textId="2ED5C45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2"/>
        </w:rPr>
      </w:pPr>
      <w:r w:rsidRPr="00425DAE">
        <w:rPr>
          <w:spacing w:val="-2"/>
        </w:rPr>
        <w:t>19.</w:t>
      </w:r>
      <w:r w:rsidRPr="00425DAE">
        <w:rPr>
          <w:spacing w:val="-2"/>
        </w:rPr>
        <w:tab/>
      </w:r>
      <w:r w:rsidRPr="00425DAE">
        <w:rPr>
          <w:rFonts w:hint="eastAsia"/>
          <w:spacing w:val="-2"/>
        </w:rPr>
        <w:t>委员会注意到缔约国为消除歧视性陈规定型观念，在法律、政策和体制方面采取了措施。然而，委员会关切地注意到，根深蒂固的传统重男轻女态度和歧视性陈规定型观念持续存在，这仍然是缔约国剥夺妇女充分平等的根源。委员会还关切地注意到，媒体，特别是电视媒体，对性别暴力的报道有限。委员会非常关切地指出，事实上的少年结合这种有害做法——它相当于童婚——影响到年仅</w:t>
      </w:r>
      <w:r w:rsidRPr="00425DAE">
        <w:rPr>
          <w:spacing w:val="-2"/>
        </w:rPr>
        <w:t>12</w:t>
      </w:r>
      <w:r w:rsidRPr="00425DAE">
        <w:rPr>
          <w:rFonts w:hint="eastAsia"/>
          <w:spacing w:val="-2"/>
        </w:rPr>
        <w:t>岁的女童。</w:t>
      </w:r>
    </w:p>
    <w:p w14:paraId="7EBDBA09"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20.</w:t>
      </w:r>
      <w:r w:rsidRPr="00425DAE">
        <w:rPr>
          <w:rFonts w:eastAsia="黑体"/>
        </w:rPr>
        <w:tab/>
      </w:r>
      <w:r w:rsidRPr="00425DAE">
        <w:rPr>
          <w:rFonts w:eastAsia="黑体" w:hint="eastAsia"/>
        </w:rPr>
        <w:t>委员会建议缔约国：</w:t>
      </w:r>
    </w:p>
    <w:p w14:paraId="4F96E6D3" w14:textId="14CEBC0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扩大公共教育方案，帮助人们深刻认识歧视性陈规定型观念和有害做法对妇女享受《公约》权利的负面影响，并加快向男子和男童宣传性别平等观念；</w:t>
      </w:r>
    </w:p>
    <w:p w14:paraId="6B221AB8" w14:textId="36113D53"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迅速完成中小学课程的修订，以添加关于性别平等的义务教育内容，并继续审查教科书，以消除关于男女在家庭和社会中的角色和责任的歧视性成见；</w:t>
      </w:r>
    </w:p>
    <w:p w14:paraId="1667FE88" w14:textId="6243890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加强与媒体的合作，以对性别问题有敏感认识的方式促进对性别歧视和暴力等问题的报道；</w:t>
      </w:r>
    </w:p>
    <w:p w14:paraId="2E9C5A49" w14:textId="515F6CF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实施提高认识措施，防止女童事实上的结合的有害做法，那相当于童婚；</w:t>
      </w:r>
    </w:p>
    <w:p w14:paraId="3F4062CF" w14:textId="271E243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进行《</w:t>
      </w:r>
      <w:r w:rsidRPr="00425DAE">
        <w:rPr>
          <w:rFonts w:eastAsia="黑体"/>
        </w:rPr>
        <w:t>2018-2020</w:t>
      </w:r>
      <w:r w:rsidRPr="00425DAE">
        <w:rPr>
          <w:rFonts w:eastAsia="黑体" w:hint="eastAsia"/>
        </w:rPr>
        <w:t>年移民和移民融入社会第二个行动计划》中所设想的移民社区文化习俗和性别关系研究。</w:t>
      </w:r>
    </w:p>
    <w:p w14:paraId="7D97001C" w14:textId="77777777" w:rsidR="007D5D47" w:rsidRDefault="007D5D47">
      <w:pPr>
        <w:spacing w:line="240" w:lineRule="auto"/>
        <w:jc w:val="left"/>
        <w:rPr>
          <w:rFonts w:eastAsia="黑体"/>
          <w:szCs w:val="21"/>
        </w:rPr>
      </w:pPr>
      <w:r>
        <w:rPr>
          <w:rFonts w:eastAsia="黑体"/>
          <w:szCs w:val="21"/>
        </w:rPr>
        <w:br w:type="page"/>
      </w:r>
    </w:p>
    <w:p w14:paraId="241B7332" w14:textId="59D93A1B"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性别暴力侵害妇女和女童行为</w:t>
      </w:r>
    </w:p>
    <w:p w14:paraId="4C1F1064"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21.</w:t>
      </w:r>
      <w:r w:rsidRPr="00425DAE">
        <w:tab/>
      </w:r>
      <w:r w:rsidRPr="00425DAE">
        <w:rPr>
          <w:rFonts w:hint="eastAsia"/>
        </w:rPr>
        <w:t>委员会欢迎</w:t>
      </w:r>
      <w:r w:rsidRPr="00425DAE">
        <w:t>2015</w:t>
      </w:r>
      <w:r w:rsidRPr="00425DAE">
        <w:rPr>
          <w:rFonts w:hint="eastAsia"/>
        </w:rPr>
        <w:t>年通过《性别暴力法》监管框架、</w:t>
      </w:r>
      <w:r w:rsidRPr="00425DAE">
        <w:t>2016-2018</w:t>
      </w:r>
      <w:r w:rsidRPr="00425DAE">
        <w:rPr>
          <w:rFonts w:hint="eastAsia"/>
        </w:rPr>
        <w:t>年第二个打击性别暴力国家计划以及性别暴力被纳入了</w:t>
      </w:r>
      <w:r w:rsidRPr="00425DAE">
        <w:t>2019-2021</w:t>
      </w:r>
      <w:r w:rsidRPr="00425DAE">
        <w:rPr>
          <w:rFonts w:hint="eastAsia"/>
        </w:rPr>
        <w:t>年性别平等国家计划。委员会赞赏对警察、司法人员以及法律和卫生专业人员进行关于性别暴力的培训，以及</w:t>
      </w:r>
      <w:r w:rsidRPr="00425DAE">
        <w:t>2014</w:t>
      </w:r>
      <w:r w:rsidRPr="00425DAE">
        <w:rPr>
          <w:rFonts w:hint="eastAsia"/>
        </w:rPr>
        <w:t>年出版的打击性别暴力的新闻业良好做法手册。但委员会关切地注意到以下方面：</w:t>
      </w:r>
    </w:p>
    <w:p w14:paraId="5EC4B441" w14:textId="5661028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向全国各地检察官办公室提出的关于性别暴力的投诉数量很高，平均每年约有</w:t>
      </w:r>
      <w:r w:rsidRPr="00425DAE">
        <w:t>2</w:t>
      </w:r>
      <w:r w:rsidRPr="00425DAE">
        <w:rPr>
          <w:rFonts w:hint="eastAsia"/>
        </w:rPr>
        <w:t xml:space="preserve"> </w:t>
      </w:r>
      <w:r w:rsidRPr="00425DAE">
        <w:t>500</w:t>
      </w:r>
      <w:r w:rsidRPr="00425DAE">
        <w:rPr>
          <w:rFonts w:hint="eastAsia"/>
        </w:rPr>
        <w:t>起投诉，</w:t>
      </w:r>
      <w:r w:rsidRPr="00425DAE">
        <w:t>2018</w:t>
      </w:r>
      <w:r w:rsidRPr="00425DAE">
        <w:rPr>
          <w:rFonts w:hint="eastAsia"/>
        </w:rPr>
        <w:t>年发生了</w:t>
      </w:r>
      <w:r w:rsidRPr="00425DAE">
        <w:t>8</w:t>
      </w:r>
      <w:r w:rsidRPr="00425DAE">
        <w:rPr>
          <w:rFonts w:hint="eastAsia"/>
        </w:rPr>
        <w:t>起妇女被杀案件，所有这些案件都涉及妇女离开伴侣的情况；</w:t>
      </w:r>
    </w:p>
    <w:p w14:paraId="3B43F8FB" w14:textId="659A93B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缔约国十分普遍地存在着性虐待儿童现象，受害者</w:t>
      </w:r>
      <w:r w:rsidRPr="00425DAE">
        <w:t>95%</w:t>
      </w:r>
      <w:r w:rsidRPr="00425DAE">
        <w:rPr>
          <w:rFonts w:hint="eastAsia"/>
        </w:rPr>
        <w:t>为女童；</w:t>
      </w:r>
    </w:p>
    <w:p w14:paraId="39B38715" w14:textId="1E15B3A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布拉瓦岛、福戈岛、马尤岛和博阿维斯塔岛没有性别暴力警察，普拉亚和圣维森特岛司法反应迟缓，尽管指派了具体的性别暴力检察官；</w:t>
      </w:r>
    </w:p>
    <w:p w14:paraId="3751F890" w14:textId="6B7E22D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缺乏保护性别暴力受害者和幸存者的庇护所和其他紧急措施，最近仅在福戈岛和普拉亚建立了一个庇护所；</w:t>
      </w:r>
    </w:p>
    <w:p w14:paraId="5EB96E2C" w14:textId="2769BB9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rPr>
      </w:pPr>
      <w:r w:rsidRPr="00425DAE">
        <w:rPr>
          <w:spacing w:val="-4"/>
        </w:rPr>
        <w:tab/>
      </w:r>
      <w:r w:rsidR="001F2F0B" w:rsidRPr="001F2F0B">
        <w:rPr>
          <w:rFonts w:eastAsia="黑体"/>
          <w:spacing w:val="-4"/>
        </w:rPr>
        <w:t>(</w:t>
      </w:r>
      <w:r w:rsidRPr="00425DAE">
        <w:rPr>
          <w:rFonts w:eastAsia="黑体"/>
          <w:spacing w:val="-4"/>
        </w:rPr>
        <w:t>e</w:t>
      </w:r>
      <w:r w:rsidR="001F2F0B" w:rsidRPr="001F2F0B">
        <w:rPr>
          <w:rFonts w:eastAsia="黑体"/>
          <w:spacing w:val="-4"/>
        </w:rPr>
        <w:t>)</w:t>
      </w:r>
      <w:r w:rsidRPr="00425DAE">
        <w:rPr>
          <w:rFonts w:eastAsia="黑体"/>
          <w:spacing w:val="-4"/>
        </w:rPr>
        <w:tab/>
      </w:r>
      <w:r w:rsidRPr="00425DAE">
        <w:rPr>
          <w:rFonts w:hint="eastAsia"/>
          <w:spacing w:val="-4"/>
        </w:rPr>
        <w:t>停止了面向性别暴力受害者的免费紧急帮助热线</w:t>
      </w:r>
      <w:r w:rsidR="001F2F0B" w:rsidRPr="001F2F0B">
        <w:rPr>
          <w:spacing w:val="-4"/>
        </w:rPr>
        <w:t>(</w:t>
      </w:r>
      <w:r w:rsidRPr="00425DAE">
        <w:rPr>
          <w:spacing w:val="-4"/>
        </w:rPr>
        <w:t>8001818</w:t>
      </w:r>
      <w:r w:rsidR="001F2F0B" w:rsidRPr="001F2F0B">
        <w:rPr>
          <w:spacing w:val="-4"/>
        </w:rPr>
        <w:t>)</w:t>
      </w:r>
      <w:r w:rsidRPr="00425DAE">
        <w:rPr>
          <w:rFonts w:hint="eastAsia"/>
          <w:spacing w:val="-4"/>
        </w:rPr>
        <w:t>，由警察免费紧急帮助热线</w:t>
      </w:r>
      <w:r w:rsidR="001F2F0B" w:rsidRPr="001F2F0B">
        <w:rPr>
          <w:spacing w:val="-4"/>
        </w:rPr>
        <w:t>(</w:t>
      </w:r>
      <w:r w:rsidRPr="00425DAE">
        <w:rPr>
          <w:spacing w:val="-4"/>
        </w:rPr>
        <w:t>132</w:t>
      </w:r>
      <w:r w:rsidR="001F2F0B" w:rsidRPr="001F2F0B">
        <w:rPr>
          <w:spacing w:val="-4"/>
        </w:rPr>
        <w:t>)</w:t>
      </w:r>
      <w:r w:rsidRPr="00425DAE">
        <w:rPr>
          <w:rFonts w:hint="eastAsia"/>
          <w:spacing w:val="-4"/>
        </w:rPr>
        <w:t>代行其职能，而后者通话时间仅限两分钟。</w:t>
      </w:r>
    </w:p>
    <w:p w14:paraId="0AC4813A" w14:textId="2CB4A283" w:rsidR="00425DAE" w:rsidRPr="00425DAE" w:rsidRDefault="00425DAE" w:rsidP="007D5D4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22.</w:t>
      </w:r>
      <w:r w:rsidRPr="00425DAE">
        <w:rPr>
          <w:rFonts w:eastAsia="黑体"/>
        </w:rPr>
        <w:tab/>
      </w:r>
      <w:r w:rsidRPr="00425DAE">
        <w:rPr>
          <w:rFonts w:eastAsia="黑体" w:hint="eastAsia"/>
        </w:rPr>
        <w:t>委员会回顾其关于基于性别暴力侵害妇女行为的第</w:t>
      </w:r>
      <w:hyperlink r:id="rId26" w:history="1">
        <w:r w:rsidRPr="005977E8">
          <w:rPr>
            <w:rStyle w:val="af4"/>
          </w:rPr>
          <w:t>35</w:t>
        </w:r>
        <w:r w:rsidR="001F2F0B" w:rsidRPr="005977E8">
          <w:rPr>
            <w:rStyle w:val="af4"/>
          </w:rPr>
          <w:t>(</w:t>
        </w:r>
        <w:r w:rsidRPr="005977E8">
          <w:rPr>
            <w:rStyle w:val="af4"/>
          </w:rPr>
          <w:t>2017</w:t>
        </w:r>
        <w:r w:rsidR="001F2F0B" w:rsidRPr="005977E8">
          <w:rPr>
            <w:rStyle w:val="af4"/>
          </w:rPr>
          <w:t>)</w:t>
        </w:r>
      </w:hyperlink>
      <w:r w:rsidRPr="00425DAE">
        <w:rPr>
          <w:rFonts w:eastAsia="黑体" w:hint="eastAsia"/>
        </w:rPr>
        <w:t>号一般性建议</w:t>
      </w:r>
      <w:r w:rsidRPr="00425DAE">
        <w:rPr>
          <w:rFonts w:eastAsia="黑体"/>
        </w:rPr>
        <w:t>——</w:t>
      </w:r>
      <w:r w:rsidRPr="00425DAE">
        <w:rPr>
          <w:rFonts w:eastAsia="黑体" w:hint="eastAsia"/>
        </w:rPr>
        <w:t>更新了第</w:t>
      </w:r>
      <w:r w:rsidRPr="00425DAE">
        <w:rPr>
          <w:rFonts w:eastAsia="黑体"/>
        </w:rPr>
        <w:t>19</w:t>
      </w:r>
      <w:r w:rsidRPr="00425DAE">
        <w:rPr>
          <w:rFonts w:eastAsia="黑体" w:hint="eastAsia"/>
        </w:rPr>
        <w:t>号一般性建议，敦请缔约国：</w:t>
      </w:r>
    </w:p>
    <w:p w14:paraId="2F9E4F7C" w14:textId="4BEE929F"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为执行</w:t>
      </w:r>
      <w:r w:rsidRPr="00425DAE">
        <w:rPr>
          <w:rFonts w:eastAsia="黑体"/>
        </w:rPr>
        <w:t>2011</w:t>
      </w:r>
      <w:r w:rsidRPr="00425DAE">
        <w:rPr>
          <w:rFonts w:eastAsia="黑体" w:hint="eastAsia"/>
        </w:rPr>
        <w:t>年《性别暴力法》及其</w:t>
      </w:r>
      <w:r w:rsidRPr="00425DAE">
        <w:rPr>
          <w:rFonts w:eastAsia="黑体"/>
        </w:rPr>
        <w:t>2015</w:t>
      </w:r>
      <w:r w:rsidRPr="00425DAE">
        <w:rPr>
          <w:rFonts w:eastAsia="黑体" w:hint="eastAsia"/>
        </w:rPr>
        <w:t>年监管框架分配必要的资源，并为司法、警察、卫生、教育和受害者支助基金划拨专项预算；</w:t>
      </w:r>
    </w:p>
    <w:p w14:paraId="675C1179" w14:textId="18BDAF6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加强努力，提高妇女和男子、女童和男童对性别暴力侵害妇女和女童行为的犯罪性质的认识，包括通过教育和媒体运动这样做，以挑战此种行为的社会接受程度；</w:t>
      </w:r>
    </w:p>
    <w:p w14:paraId="52174F75" w14:textId="449BCC93"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确保</w:t>
      </w:r>
      <w:r w:rsidRPr="00425DAE">
        <w:rPr>
          <w:rFonts w:eastAsia="黑体"/>
        </w:rPr>
        <w:t>2017-2019</w:t>
      </w:r>
      <w:r w:rsidRPr="00425DAE">
        <w:rPr>
          <w:rFonts w:eastAsia="黑体" w:hint="eastAsia"/>
        </w:rPr>
        <w:t>年期间打击针对儿童和青少年的性暴力的国家计划得到充分实施，并延长至</w:t>
      </w:r>
      <w:r w:rsidRPr="00425DAE">
        <w:rPr>
          <w:rFonts w:eastAsia="黑体"/>
        </w:rPr>
        <w:t>2019</w:t>
      </w:r>
      <w:r w:rsidRPr="00425DAE">
        <w:rPr>
          <w:rFonts w:eastAsia="黑体" w:hint="eastAsia"/>
        </w:rPr>
        <w:t>年以后；</w:t>
      </w:r>
    </w:p>
    <w:p w14:paraId="6350290C" w14:textId="3E86C92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为医务人员提供适当培训，确保给予性暴力受害妇女和女童特别关注和关爱，包括在紧急避孕和堕胎方面提供关键服务；</w:t>
      </w:r>
    </w:p>
    <w:p w14:paraId="1543A0A1" w14:textId="29E399D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在布拉瓦岛、福戈岛、马尤岛和博阿维斯塔岛设立性别暴力警官职位，确保对包括家庭暴力在内的性别暴力侵害妇女行为的所有报告进行适当调查，受害者能够获得保护服务，并加强性别暴力检察官的任务，以确保犯罪者受到起诉和适当惩罚，受害者能够获得适当的补救，包括赔偿；</w:t>
      </w:r>
    </w:p>
    <w:p w14:paraId="5E761036" w14:textId="13D9A61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4"/>
        </w:rPr>
      </w:pPr>
      <w:r w:rsidRPr="00425DAE">
        <w:rPr>
          <w:rFonts w:eastAsia="黑体"/>
          <w:spacing w:val="-4"/>
        </w:rPr>
        <w:tab/>
      </w:r>
      <w:r w:rsidR="001F2F0B" w:rsidRPr="007D5D47">
        <w:rPr>
          <w:rFonts w:eastAsia="黑体"/>
          <w:spacing w:val="-4"/>
        </w:rPr>
        <w:t>(</w:t>
      </w:r>
      <w:r w:rsidRPr="00425DAE">
        <w:rPr>
          <w:rFonts w:eastAsia="黑体"/>
          <w:spacing w:val="-4"/>
        </w:rPr>
        <w:t>f</w:t>
      </w:r>
      <w:r w:rsidR="001F2F0B" w:rsidRPr="007D5D47">
        <w:rPr>
          <w:rFonts w:eastAsia="黑体"/>
          <w:spacing w:val="-4"/>
        </w:rPr>
        <w:t>)</w:t>
      </w:r>
      <w:r w:rsidRPr="00425DAE">
        <w:rPr>
          <w:rFonts w:eastAsia="黑体"/>
          <w:spacing w:val="-4"/>
        </w:rPr>
        <w:tab/>
      </w:r>
      <w:r w:rsidRPr="00425DAE">
        <w:rPr>
          <w:rFonts w:eastAsia="黑体" w:hint="eastAsia"/>
          <w:spacing w:val="-4"/>
        </w:rPr>
        <w:t>向司法机关人员、检察官、警察和其他执法人员提供关于妇女权利的适当培训，以及关于性别暴力侵害妇女案件中适用的性别敏感调查和审讯方法的培训；</w:t>
      </w:r>
    </w:p>
    <w:p w14:paraId="7258CBA5" w14:textId="0AB3A9CF"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g</w:t>
      </w:r>
      <w:r w:rsidR="001F2F0B" w:rsidRPr="001F2F0B">
        <w:rPr>
          <w:rFonts w:eastAsia="黑体"/>
        </w:rPr>
        <w:t>)</w:t>
      </w:r>
      <w:r w:rsidRPr="00425DAE">
        <w:rPr>
          <w:rFonts w:eastAsia="黑体"/>
        </w:rPr>
        <w:tab/>
      </w:r>
      <w:r w:rsidRPr="00425DAE">
        <w:rPr>
          <w:rFonts w:eastAsia="黑体" w:hint="eastAsia"/>
        </w:rPr>
        <w:t>分配足够的资源，确保在缔约国各地面向性别暴力受害妇女的庇护所全面运作，确保性别暴力的受害妇女能够有效获得医疗治疗、心理咨询、法律援助和保护令；</w:t>
      </w:r>
    </w:p>
    <w:p w14:paraId="53896596" w14:textId="19E81F1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h</w:t>
      </w:r>
      <w:r w:rsidR="001F2F0B" w:rsidRPr="001F2F0B">
        <w:rPr>
          <w:rFonts w:eastAsia="黑体"/>
        </w:rPr>
        <w:t>)</w:t>
      </w:r>
      <w:r w:rsidRPr="00425DAE">
        <w:rPr>
          <w:rFonts w:eastAsia="黑体"/>
        </w:rPr>
        <w:tab/>
      </w:r>
      <w:r w:rsidRPr="00425DAE">
        <w:rPr>
          <w:rFonts w:eastAsia="黑体" w:hint="eastAsia"/>
        </w:rPr>
        <w:t>确保所有</w:t>
      </w:r>
      <w:r w:rsidRPr="00425DAE">
        <w:rPr>
          <w:rFonts w:eastAsia="黑体"/>
        </w:rPr>
        <w:t>22</w:t>
      </w:r>
      <w:r w:rsidRPr="00425DAE">
        <w:rPr>
          <w:rFonts w:eastAsia="黑体" w:hint="eastAsia"/>
        </w:rPr>
        <w:t>个市都有性别暴力受害者机构间支助网络和受害者支助中心，并在一个地方提供心理、法律和社会支助；</w:t>
      </w:r>
    </w:p>
    <w:p w14:paraId="590B1404" w14:textId="54F2552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
          <w:bCs/>
        </w:rPr>
      </w:pPr>
      <w:r w:rsidRPr="00425DAE">
        <w:rPr>
          <w:rFonts w:eastAsia="黑体"/>
        </w:rPr>
        <w:tab/>
      </w:r>
      <w:r w:rsidR="001F2F0B" w:rsidRPr="001F2F0B">
        <w:rPr>
          <w:rFonts w:eastAsia="黑体"/>
        </w:rPr>
        <w:t>(</w:t>
      </w:r>
      <w:r w:rsidRPr="00425DAE">
        <w:rPr>
          <w:rFonts w:eastAsia="黑体"/>
        </w:rPr>
        <w:t>i</w:t>
      </w:r>
      <w:r w:rsidR="001F2F0B" w:rsidRPr="001F2F0B">
        <w:rPr>
          <w:rFonts w:eastAsia="黑体"/>
        </w:rPr>
        <w:t>)</w:t>
      </w:r>
      <w:r w:rsidRPr="00425DAE">
        <w:rPr>
          <w:rFonts w:eastAsia="黑体"/>
        </w:rPr>
        <w:tab/>
      </w:r>
      <w:r w:rsidRPr="00425DAE">
        <w:rPr>
          <w:rFonts w:eastAsia="黑体" w:hint="eastAsia"/>
        </w:rPr>
        <w:t>确保提供专门的免费电话热线，由训练有素的专业人员向性别暴力受害者提供必要咨询和支持。</w:t>
      </w:r>
    </w:p>
    <w:p w14:paraId="190BC635"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贩运人口及利用妇女卖淫意图营利</w:t>
      </w:r>
    </w:p>
    <w:p w14:paraId="73BF902E" w14:textId="42E037CD"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23.</w:t>
      </w:r>
      <w:r w:rsidRPr="00425DAE">
        <w:tab/>
      </w:r>
      <w:r w:rsidRPr="00425DAE">
        <w:rPr>
          <w:rFonts w:hint="eastAsia"/>
        </w:rPr>
        <w:t>委员会欢迎向人口贩运受害者提供生存和紧急医疗服务，通过了</w:t>
      </w:r>
      <w:r w:rsidRPr="00425DAE">
        <w:t>2018-2021</w:t>
      </w:r>
      <w:r w:rsidRPr="00425DAE">
        <w:rPr>
          <w:rFonts w:hint="eastAsia"/>
        </w:rPr>
        <w:t>年打击人口贩运国家计划，</w:t>
      </w:r>
      <w:r w:rsidRPr="00425DAE">
        <w:t>2016</w:t>
      </w:r>
      <w:r w:rsidRPr="00425DAE">
        <w:rPr>
          <w:rFonts w:hint="eastAsia"/>
        </w:rPr>
        <w:t>年设立了向卖淫妇女或有可能卖淫的妇女提供支持帮助的中心，以及根据《刑法典》将贩运人口</w:t>
      </w:r>
      <w:r w:rsidR="001F2F0B" w:rsidRPr="001F2F0B">
        <w:t>(</w:t>
      </w:r>
      <w:r w:rsidRPr="00425DAE">
        <w:rPr>
          <w:rFonts w:hint="eastAsia"/>
        </w:rPr>
        <w:t>第</w:t>
      </w:r>
      <w:r w:rsidRPr="00425DAE">
        <w:t>271A</w:t>
      </w:r>
      <w:r w:rsidRPr="00425DAE">
        <w:rPr>
          <w:rFonts w:hint="eastAsia"/>
        </w:rPr>
        <w:t>条</w:t>
      </w:r>
      <w:r w:rsidR="001F2F0B" w:rsidRPr="001F2F0B">
        <w:t>)</w:t>
      </w:r>
      <w:r w:rsidRPr="00425DAE">
        <w:rPr>
          <w:rFonts w:hint="eastAsia"/>
        </w:rPr>
        <w:t>和强迫卖淫</w:t>
      </w:r>
      <w:r w:rsidR="001F2F0B" w:rsidRPr="001F2F0B">
        <w:t>(</w:t>
      </w:r>
      <w:r w:rsidRPr="00425DAE">
        <w:rPr>
          <w:rFonts w:hint="eastAsia"/>
        </w:rPr>
        <w:t>第</w:t>
      </w:r>
      <w:r w:rsidRPr="00425DAE">
        <w:t>268A</w:t>
      </w:r>
      <w:r w:rsidRPr="00425DAE">
        <w:rPr>
          <w:rFonts w:hint="eastAsia"/>
        </w:rPr>
        <w:t>和</w:t>
      </w:r>
      <w:r w:rsidRPr="00425DAE">
        <w:t>268B</w:t>
      </w:r>
      <w:r w:rsidRPr="00425DAE">
        <w:rPr>
          <w:rFonts w:hint="eastAsia"/>
        </w:rPr>
        <w:t>条</w:t>
      </w:r>
      <w:r w:rsidR="001F2F0B" w:rsidRPr="001F2F0B">
        <w:t>)</w:t>
      </w:r>
      <w:r w:rsidRPr="00425DAE">
        <w:rPr>
          <w:rFonts w:hint="eastAsia"/>
        </w:rPr>
        <w:t>定为刑事犯罪。然而，委员会关切地注意到以下情况：</w:t>
      </w:r>
    </w:p>
    <w:p w14:paraId="170B2601" w14:textId="069DB7F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执法人员和社会工作者缺乏识别贩运受害者的标准协议，尽管边境警察已编写了识别此类受害者的程序，但没有对边境警察进行程序应用方面的培训；</w:t>
      </w:r>
    </w:p>
    <w:p w14:paraId="21BDC06B" w14:textId="01D1B6E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有父母鼓励其女儿向美利坚合众国居民卖淫，以便获得美国移民签证或在经济上支持家庭，还有年仅</w:t>
      </w:r>
      <w:r w:rsidRPr="00425DAE">
        <w:t>12</w:t>
      </w:r>
      <w:r w:rsidRPr="00425DAE">
        <w:rPr>
          <w:rFonts w:hint="eastAsia"/>
        </w:rPr>
        <w:t>岁的女童为换取毒品而受到性剥削；</w:t>
      </w:r>
    </w:p>
    <w:p w14:paraId="078B8A5D" w14:textId="0EDC2A6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萨尔岛和博阿维斯塔岛的强迫卖淫案例，包括来自尼日利亚和塞内加尔等西非国家的移民妇女的强迫卖淫案例；</w:t>
      </w:r>
    </w:p>
    <w:p w14:paraId="0F47BBD3" w14:textId="2A97F64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贩运和利用卖淫营利案件的调查、起诉和定罪率低，向受害者提供的支持和补救有限。</w:t>
      </w:r>
    </w:p>
    <w:p w14:paraId="4DFD3D4E" w14:textId="2CEFFACD" w:rsidR="00425DAE" w:rsidRPr="00BF07DD"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4"/>
        </w:rPr>
      </w:pPr>
      <w:r w:rsidRPr="00BF07DD">
        <w:rPr>
          <w:rFonts w:eastAsia="黑体"/>
          <w:spacing w:val="-4"/>
        </w:rPr>
        <w:t>24.</w:t>
      </w:r>
      <w:r w:rsidRPr="00BF07DD">
        <w:rPr>
          <w:rFonts w:eastAsia="黑体"/>
          <w:spacing w:val="-4"/>
        </w:rPr>
        <w:tab/>
      </w:r>
      <w:r w:rsidRPr="00BF07DD">
        <w:rPr>
          <w:rFonts w:eastAsia="黑体" w:hint="eastAsia"/>
          <w:spacing w:val="-4"/>
        </w:rPr>
        <w:t>委员会根据可持续发展目标的具体目标</w:t>
      </w:r>
      <w:r w:rsidRPr="00BF07DD">
        <w:rPr>
          <w:rFonts w:eastAsia="黑体"/>
          <w:spacing w:val="-4"/>
        </w:rPr>
        <w:t>5.2</w:t>
      </w:r>
      <w:r w:rsidR="001F2F0B" w:rsidRPr="00BF07DD">
        <w:rPr>
          <w:rFonts w:eastAsia="黑体"/>
          <w:spacing w:val="-4"/>
        </w:rPr>
        <w:t>(</w:t>
      </w:r>
      <w:r w:rsidRPr="00BF07DD">
        <w:rPr>
          <w:rFonts w:eastAsia="黑体" w:hint="eastAsia"/>
          <w:spacing w:val="-4"/>
        </w:rPr>
        <w:t>消除公共和私人领域对所有妇女和女童的一切形式的暴力行为，包括贩运、性剥削和其他类型的剥削</w:t>
      </w:r>
      <w:r w:rsidR="001F2F0B" w:rsidRPr="00BF07DD">
        <w:rPr>
          <w:rFonts w:eastAsia="黑体"/>
          <w:spacing w:val="-4"/>
        </w:rPr>
        <w:t>)</w:t>
      </w:r>
      <w:r w:rsidRPr="00BF07DD">
        <w:rPr>
          <w:rFonts w:eastAsia="黑体" w:hint="eastAsia"/>
          <w:spacing w:val="-4"/>
        </w:rPr>
        <w:t>，建议缔约国：</w:t>
      </w:r>
    </w:p>
    <w:p w14:paraId="0725C742" w14:textId="6B3D06B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制定标准议定书，以及早识别受害者、转介给有关方面并向贩运受害者提供支助，以及确保所有相关专业职类接受关于此类议定书的充分培训；</w:t>
      </w:r>
    </w:p>
    <w:p w14:paraId="4F59F45C" w14:textId="5788FB0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加强努力，保护卖淫女童免遭剥削和虐待，并制定服务和退出方案，帮助她们脱离卖淫；</w:t>
      </w:r>
    </w:p>
    <w:p w14:paraId="49004EE7" w14:textId="1F3F4CC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调查、起诉和适当惩罚贩运者，确保被贩运的妇女和女童，包括移民妇女，免担任何刑事责任，并获得适当的医疗保健、庇护所、咨询服务和补救，包括赔偿和补偿；</w:t>
      </w:r>
    </w:p>
    <w:p w14:paraId="2BDFD9D2" w14:textId="1CE1D61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加强原籍国和目的地国之间的区域合作，以便通过信息交流和统一程序防止贩运妇女和女童，以及便利对贩运者提起起诉。</w:t>
      </w:r>
    </w:p>
    <w:p w14:paraId="68E95909" w14:textId="77777777" w:rsidR="00BF07DD" w:rsidRDefault="00BF07DD">
      <w:pPr>
        <w:spacing w:line="240" w:lineRule="auto"/>
        <w:jc w:val="left"/>
        <w:rPr>
          <w:rFonts w:eastAsia="黑体"/>
        </w:rPr>
      </w:pPr>
      <w:r>
        <w:rPr>
          <w:rFonts w:eastAsia="黑体"/>
        </w:rPr>
        <w:br w:type="page"/>
      </w:r>
    </w:p>
    <w:p w14:paraId="45B42854" w14:textId="4A84EF9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参与政治和公共生活</w:t>
      </w:r>
    </w:p>
    <w:p w14:paraId="2B7BEC98"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25.</w:t>
      </w:r>
      <w:r w:rsidRPr="00425DAE">
        <w:tab/>
      </w:r>
      <w:r w:rsidRPr="00425DAE">
        <w:rPr>
          <w:rFonts w:hint="eastAsia"/>
        </w:rPr>
        <w:t>委员会注意到，议会和市议会中女性人数有所增加，担任立法代表和执行部门代表、主任和执行经理职务的妇女比例为</w:t>
      </w:r>
      <w:r w:rsidRPr="00425DAE">
        <w:t>43.3%</w:t>
      </w:r>
      <w:r w:rsidRPr="00425DAE">
        <w:rPr>
          <w:rFonts w:hint="eastAsia"/>
        </w:rPr>
        <w:t>。然而，委员会关切地注意到以下情况：</w:t>
      </w:r>
    </w:p>
    <w:p w14:paraId="4C304109" w14:textId="434C430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妇女在议会中的代表比例仍然很低</w:t>
      </w:r>
      <w:r w:rsidR="001F2F0B" w:rsidRPr="001F2F0B">
        <w:t>(</w:t>
      </w:r>
      <w:r w:rsidRPr="00425DAE">
        <w:t>2016</w:t>
      </w:r>
      <w:r w:rsidRPr="00425DAE">
        <w:rPr>
          <w:rFonts w:hint="eastAsia"/>
        </w:rPr>
        <w:t>年为</w:t>
      </w:r>
      <w:r w:rsidRPr="00425DAE">
        <w:t>23%</w:t>
      </w:r>
      <w:r w:rsidR="001F2F0B" w:rsidRPr="001F2F0B">
        <w:t>)</w:t>
      </w:r>
      <w:r w:rsidRPr="00425DAE">
        <w:rPr>
          <w:rFonts w:hint="eastAsia"/>
        </w:rPr>
        <w:t>，在部长一级有所下降</w:t>
      </w:r>
      <w:r w:rsidR="001F2F0B" w:rsidRPr="001F2F0B">
        <w:t>(</w:t>
      </w:r>
      <w:r w:rsidRPr="00425DAE">
        <w:rPr>
          <w:rFonts w:hint="eastAsia"/>
        </w:rPr>
        <w:t>从</w:t>
      </w:r>
      <w:r w:rsidRPr="00425DAE">
        <w:t>2010</w:t>
      </w:r>
      <w:r w:rsidRPr="00425DAE">
        <w:rPr>
          <w:rFonts w:hint="eastAsia"/>
        </w:rPr>
        <w:t>年的</w:t>
      </w:r>
      <w:r w:rsidRPr="00425DAE">
        <w:t>53%</w:t>
      </w:r>
      <w:r w:rsidRPr="00425DAE">
        <w:rPr>
          <w:rFonts w:hint="eastAsia"/>
        </w:rPr>
        <w:t>降至</w:t>
      </w:r>
      <w:r w:rsidRPr="00425DAE">
        <w:t>2019</w:t>
      </w:r>
      <w:r w:rsidRPr="00425DAE">
        <w:rPr>
          <w:rFonts w:hint="eastAsia"/>
        </w:rPr>
        <w:t>年的</w:t>
      </w:r>
      <w:r w:rsidRPr="00425DAE">
        <w:t>21%</w:t>
      </w:r>
      <w:r w:rsidR="001F2F0B" w:rsidRPr="001F2F0B">
        <w:t>)</w:t>
      </w:r>
      <w:r w:rsidRPr="00425DAE">
        <w:rPr>
          <w:rFonts w:hint="eastAsia"/>
        </w:rPr>
        <w:t>；</w:t>
      </w:r>
    </w:p>
    <w:p w14:paraId="723BCA7C" w14:textId="148615D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妇女在外交岗位、国际组织和司法机构中任职人数有限；</w:t>
      </w:r>
    </w:p>
    <w:p w14:paraId="7AD3FD8A" w14:textId="4DC6F3B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规定民选机构和公共行政领导职位中男女平等的平等法草案迟迟未能定稿；</w:t>
      </w:r>
    </w:p>
    <w:p w14:paraId="31B29922" w14:textId="47E7A08D"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投票程序未能保障残疾妇女享有平等投票权和适用无记名投票原则；</w:t>
      </w:r>
    </w:p>
    <w:p w14:paraId="2BA98CE3" w14:textId="59E4EC9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hint="eastAsia"/>
        </w:rPr>
        <w:t>妇女对体育活动的参与有限。</w:t>
      </w:r>
    </w:p>
    <w:p w14:paraId="228EAAA5"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26.</w:t>
      </w:r>
      <w:r w:rsidRPr="00425DAE">
        <w:rPr>
          <w:rFonts w:eastAsia="黑体"/>
        </w:rPr>
        <w:tab/>
      </w:r>
      <w:r w:rsidRPr="00425DAE">
        <w:rPr>
          <w:rFonts w:eastAsia="黑体" w:hint="eastAsia"/>
        </w:rPr>
        <w:t>委员会欢迎缔约国通过</w:t>
      </w:r>
      <w:r w:rsidRPr="00425DAE">
        <w:rPr>
          <w:rFonts w:eastAsia="黑体"/>
        </w:rPr>
        <w:t>2014</w:t>
      </w:r>
      <w:r w:rsidRPr="00425DAE">
        <w:rPr>
          <w:rFonts w:eastAsia="黑体" w:hint="eastAsia"/>
        </w:rPr>
        <w:t>至</w:t>
      </w:r>
      <w:r w:rsidRPr="00425DAE">
        <w:rPr>
          <w:rFonts w:eastAsia="黑体"/>
        </w:rPr>
        <w:t>2020</w:t>
      </w:r>
      <w:r w:rsidRPr="00425DAE">
        <w:rPr>
          <w:rFonts w:eastAsia="黑体" w:hint="eastAsia"/>
        </w:rPr>
        <w:t>年期间的农村发展计划，妇女可以借此申请与男性平等的支持。</w:t>
      </w:r>
    </w:p>
    <w:p w14:paraId="56354F09" w14:textId="1143EB7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为政治人士、社区和宗教领袖、媒体和公众开展提高认识活动，宣传妇女参与政治生活和决策职位的重要性；</w:t>
      </w:r>
    </w:p>
    <w:p w14:paraId="5625F6F7" w14:textId="0C94081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持续增加妇女在政府、外交岗位、国际组织和司法机构中的任职人数，特别是在决策层任职；</w:t>
      </w:r>
    </w:p>
    <w:p w14:paraId="098054C0" w14:textId="14242E1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从速通过平等法草案，确立男女在民选机构和公共行政中的代表权平等，并确保在修订政党法和选举法之前，该法优先于这两部法律；</w:t>
      </w:r>
    </w:p>
    <w:p w14:paraId="1B3FF643" w14:textId="25A86AF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修订选举法，确保残疾妇女享有平等投票权和适用无记名投票原则；</w:t>
      </w:r>
    </w:p>
    <w:p w14:paraId="7FD717C4" w14:textId="40920FF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加强措施，确保体育机构</w:t>
      </w:r>
      <w:r w:rsidR="001F2F0B" w:rsidRPr="001F2F0B">
        <w:rPr>
          <w:rFonts w:eastAsia="黑体" w:hint="eastAsia"/>
        </w:rPr>
        <w:t>(</w:t>
      </w:r>
      <w:r w:rsidRPr="00425DAE">
        <w:rPr>
          <w:rFonts w:eastAsia="黑体" w:hint="eastAsia"/>
        </w:rPr>
        <w:t>包括决策层</w:t>
      </w:r>
      <w:r w:rsidR="001F2F0B" w:rsidRPr="001F2F0B">
        <w:rPr>
          <w:rFonts w:eastAsia="黑体" w:hint="eastAsia"/>
        </w:rPr>
        <w:t>)</w:t>
      </w:r>
      <w:r w:rsidRPr="00425DAE">
        <w:rPr>
          <w:rFonts w:eastAsia="黑体" w:hint="eastAsia"/>
        </w:rPr>
        <w:t>的性别平等，并推动妇女参加体育活动，增进身心健康。</w:t>
      </w:r>
    </w:p>
    <w:p w14:paraId="79B7B994"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国籍</w:t>
      </w:r>
    </w:p>
    <w:p w14:paraId="18575AE1"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27.</w:t>
      </w:r>
      <w:r w:rsidRPr="00425DAE">
        <w:rPr>
          <w:rFonts w:eastAsia="黑体"/>
        </w:rPr>
        <w:tab/>
      </w:r>
      <w:r w:rsidRPr="00425DAE">
        <w:rPr>
          <w:rFonts w:eastAsia="黑体" w:hint="eastAsia"/>
        </w:rPr>
        <w:t>委员会欢迎为解决</w:t>
      </w:r>
      <w:r w:rsidRPr="00425DAE">
        <w:rPr>
          <w:rFonts w:eastAsia="黑体"/>
        </w:rPr>
        <w:t>2010</w:t>
      </w:r>
      <w:r w:rsidRPr="00425DAE">
        <w:rPr>
          <w:rFonts w:eastAsia="黑体" w:hint="eastAsia"/>
        </w:rPr>
        <w:t>年人口普查中确定的</w:t>
      </w:r>
      <w:r w:rsidRPr="00425DAE">
        <w:rPr>
          <w:rFonts w:eastAsia="黑体"/>
        </w:rPr>
        <w:t>220</w:t>
      </w:r>
      <w:r w:rsidRPr="00425DAE">
        <w:rPr>
          <w:rFonts w:eastAsia="黑体" w:hint="eastAsia"/>
        </w:rPr>
        <w:t>起无国籍案件而采取的措施，并建议缔约国批准</w:t>
      </w:r>
      <w:r w:rsidRPr="00425DAE">
        <w:rPr>
          <w:rFonts w:eastAsia="黑体"/>
        </w:rPr>
        <w:t>1954</w:t>
      </w:r>
      <w:r w:rsidRPr="00425DAE">
        <w:rPr>
          <w:rFonts w:eastAsia="黑体" w:hint="eastAsia"/>
        </w:rPr>
        <w:t>年《关于无国籍人地位的公约》和</w:t>
      </w:r>
      <w:r w:rsidRPr="00425DAE">
        <w:rPr>
          <w:rFonts w:eastAsia="黑体"/>
        </w:rPr>
        <w:t>1961</w:t>
      </w:r>
      <w:r w:rsidRPr="00425DAE">
        <w:rPr>
          <w:rFonts w:eastAsia="黑体" w:hint="eastAsia"/>
        </w:rPr>
        <w:t>年《减少无国籍状态公约》。</w:t>
      </w:r>
    </w:p>
    <w:p w14:paraId="6A4623CE"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教育</w:t>
      </w:r>
    </w:p>
    <w:p w14:paraId="1FD88D46" w14:textId="7C558D3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28.</w:t>
      </w:r>
      <w:r w:rsidRPr="00425DAE">
        <w:tab/>
      </w:r>
      <w:r w:rsidRPr="00425DAE">
        <w:rPr>
          <w:rFonts w:hint="eastAsia"/>
        </w:rPr>
        <w:t>委员会欢迎妇女、特别是</w:t>
      </w:r>
      <w:r w:rsidRPr="00425DAE">
        <w:t>15</w:t>
      </w:r>
      <w:r w:rsidRPr="00425DAE">
        <w:rPr>
          <w:rFonts w:hint="eastAsia"/>
        </w:rPr>
        <w:t>至</w:t>
      </w:r>
      <w:r w:rsidRPr="00425DAE">
        <w:t>24</w:t>
      </w:r>
      <w:r w:rsidRPr="00425DAE">
        <w:rPr>
          <w:rFonts w:hint="eastAsia"/>
        </w:rPr>
        <w:t>岁的妇女和女童识字率提高，以及为促进女童和妇女</w:t>
      </w:r>
      <w:r w:rsidR="001F2F0B" w:rsidRPr="001F2F0B">
        <w:rPr>
          <w:rFonts w:hint="eastAsia"/>
        </w:rPr>
        <w:t>(</w:t>
      </w:r>
      <w:r w:rsidRPr="00425DAE">
        <w:rPr>
          <w:rFonts w:hint="eastAsia"/>
        </w:rPr>
        <w:t>包括怀孕少女和少女母亲</w:t>
      </w:r>
      <w:r w:rsidR="001F2F0B" w:rsidRPr="001F2F0B">
        <w:rPr>
          <w:rFonts w:hint="eastAsia"/>
        </w:rPr>
        <w:t>)</w:t>
      </w:r>
      <w:r w:rsidRPr="00425DAE">
        <w:rPr>
          <w:rFonts w:hint="eastAsia"/>
        </w:rPr>
        <w:t>的教育和结束学校暴力而采取的措施。然而，委员会关切地注意到以下情况：</w:t>
      </w:r>
    </w:p>
    <w:p w14:paraId="51B07E6F" w14:textId="094BB64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男女识字率持续存在差距；</w:t>
      </w:r>
    </w:p>
    <w:p w14:paraId="7AEF5784" w14:textId="66D676DD"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缺乏关于女童</w:t>
      </w:r>
      <w:r w:rsidR="001F2F0B" w:rsidRPr="001F2F0B">
        <w:rPr>
          <w:rFonts w:hint="eastAsia"/>
        </w:rPr>
        <w:t>(</w:t>
      </w:r>
      <w:r w:rsidRPr="00425DAE">
        <w:rPr>
          <w:rFonts w:hint="eastAsia"/>
        </w:rPr>
        <w:t>特别是怀孕少女和少女母亲</w:t>
      </w:r>
      <w:r w:rsidR="001F2F0B" w:rsidRPr="001F2F0B">
        <w:rPr>
          <w:rFonts w:hint="eastAsia"/>
        </w:rPr>
        <w:t>)</w:t>
      </w:r>
      <w:r w:rsidRPr="00425DAE">
        <w:rPr>
          <w:rFonts w:hint="eastAsia"/>
        </w:rPr>
        <w:t>辍学率的信息；</w:t>
      </w:r>
    </w:p>
    <w:p w14:paraId="4AFD5212" w14:textId="6CE1469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在传统上由男性主导的学习领域，特别是在学习选择比较刻板的高校，女童人数不够多；</w:t>
      </w:r>
    </w:p>
    <w:p w14:paraId="734264C3" w14:textId="588E8AB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很大一部分学生认为学校不安全，并表示他们是学校暴力的受害者，受害者中，</w:t>
      </w:r>
      <w:r w:rsidRPr="00425DAE">
        <w:t>50%</w:t>
      </w:r>
      <w:r w:rsidRPr="00425DAE">
        <w:rPr>
          <w:rFonts w:hint="eastAsia"/>
        </w:rPr>
        <w:t>以上是女童。</w:t>
      </w:r>
    </w:p>
    <w:p w14:paraId="55208014" w14:textId="28CB518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29.</w:t>
      </w:r>
      <w:r w:rsidRPr="00425DAE">
        <w:rPr>
          <w:rFonts w:eastAsia="黑体"/>
        </w:rPr>
        <w:tab/>
      </w:r>
      <w:r w:rsidRPr="00425DAE">
        <w:rPr>
          <w:rFonts w:eastAsia="黑体" w:hint="eastAsia"/>
        </w:rPr>
        <w:t>委员会回顾关于女童和妇女受教育权的第</w:t>
      </w:r>
      <w:hyperlink r:id="rId27" w:history="1">
        <w:r w:rsidRPr="005977E8">
          <w:rPr>
            <w:rStyle w:val="af4"/>
            <w:rFonts w:eastAsia="黑体"/>
          </w:rPr>
          <w:t>36</w:t>
        </w:r>
        <w:r w:rsidR="001F2F0B" w:rsidRPr="005977E8">
          <w:rPr>
            <w:rStyle w:val="af4"/>
            <w:rFonts w:eastAsia="黑体"/>
          </w:rPr>
          <w:t>(</w:t>
        </w:r>
        <w:r w:rsidRPr="005977E8">
          <w:rPr>
            <w:rStyle w:val="af4"/>
            <w:rFonts w:eastAsia="黑体"/>
          </w:rPr>
          <w:t>2017</w:t>
        </w:r>
        <w:r w:rsidR="001F2F0B" w:rsidRPr="005977E8">
          <w:rPr>
            <w:rStyle w:val="af4"/>
            <w:rFonts w:eastAsia="黑体"/>
          </w:rPr>
          <w:t>)</w:t>
        </w:r>
      </w:hyperlink>
      <w:r w:rsidRPr="00425DAE">
        <w:rPr>
          <w:rFonts w:eastAsia="黑体" w:hint="eastAsia"/>
        </w:rPr>
        <w:t>号一般性建议，并注意到可持续发展目标具体目标</w:t>
      </w:r>
      <w:r w:rsidRPr="00425DAE">
        <w:rPr>
          <w:rFonts w:eastAsia="黑体"/>
        </w:rPr>
        <w:t>4.5</w:t>
      </w:r>
      <w:r w:rsidR="001F2F0B" w:rsidRPr="001F2F0B">
        <w:rPr>
          <w:rFonts w:eastAsia="黑体" w:hint="eastAsia"/>
        </w:rPr>
        <w:t>(</w:t>
      </w:r>
      <w:r w:rsidRPr="00425DAE">
        <w:rPr>
          <w:rFonts w:eastAsia="黑体" w:hint="eastAsia"/>
        </w:rPr>
        <w:t>消除教育中的性别差距</w:t>
      </w:r>
      <w:r w:rsidR="001F2F0B" w:rsidRPr="001F2F0B">
        <w:rPr>
          <w:rFonts w:eastAsia="黑体" w:hint="eastAsia"/>
        </w:rPr>
        <w:t>)</w:t>
      </w:r>
      <w:r w:rsidRPr="00425DAE">
        <w:rPr>
          <w:rFonts w:eastAsia="黑体" w:hint="eastAsia"/>
        </w:rPr>
        <w:t>，委员会建议缔约国：</w:t>
      </w:r>
    </w:p>
    <w:p w14:paraId="5ADE6731" w14:textId="57FCBEB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加强针对</w:t>
      </w:r>
      <w:r w:rsidRPr="00425DAE">
        <w:rPr>
          <w:rFonts w:eastAsia="黑体"/>
        </w:rPr>
        <w:t>24</w:t>
      </w:r>
      <w:r w:rsidRPr="00425DAE">
        <w:rPr>
          <w:rFonts w:eastAsia="黑体" w:hint="eastAsia"/>
        </w:rPr>
        <w:t>岁及以上妇女和农村或偏远地区妇女的扫盲运动；</w:t>
      </w:r>
    </w:p>
    <w:p w14:paraId="21299A2B" w14:textId="6FDC3871"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收集按地点、年龄和怀孕状况分列的各级教育中妇女和女童的入学率、缺勤率和辍学率数据；</w:t>
      </w:r>
    </w:p>
    <w:p w14:paraId="540C3584" w14:textId="188230D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监测关于向在校母亲提供社会支持的法令的执行情况，鼓励怀孕少女继续接受教育，并推动少女母亲重返学校，包括为此提供财政支持，通过提高认识运动消除文化污名，并提供负担得起的托儿设施；</w:t>
      </w:r>
    </w:p>
    <w:p w14:paraId="736DF73F" w14:textId="5D58268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在各级学校课程中从速纳入针对男女生的强制性、适合其年龄、循证和科学准确的关于性和生殖健康与权利的教育，其中涵盖负责任的性行为，而且不含歧视性的性别成见；</w:t>
      </w:r>
    </w:p>
    <w:p w14:paraId="5CB3141C" w14:textId="2D6B0C8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采取暂行特别措施，包括奖学金等奖励措施，促进妇女和女童进入科学、技术、工程和数学领域学习，并消除那些可能阻碍少女和女青年进入传统上男性占主导地位的学习领域学习的陈规定型观念和结构性障碍；</w:t>
      </w:r>
    </w:p>
    <w:p w14:paraId="5D17697C" w14:textId="2A57A70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f</w:t>
      </w:r>
      <w:r w:rsidR="001F2F0B" w:rsidRPr="001F2F0B">
        <w:rPr>
          <w:rFonts w:eastAsia="黑体"/>
        </w:rPr>
        <w:t>)</w:t>
      </w:r>
      <w:r w:rsidRPr="00425DAE">
        <w:rPr>
          <w:rFonts w:eastAsia="黑体"/>
        </w:rPr>
        <w:tab/>
      </w:r>
      <w:r w:rsidRPr="00425DAE">
        <w:rPr>
          <w:rFonts w:eastAsia="黑体" w:hint="eastAsia"/>
        </w:rPr>
        <w:t>确保</w:t>
      </w:r>
      <w:r w:rsidRPr="00425DAE">
        <w:rPr>
          <w:rFonts w:eastAsia="黑体"/>
        </w:rPr>
        <w:t>2017-2019</w:t>
      </w:r>
      <w:r w:rsidRPr="00425DAE">
        <w:rPr>
          <w:rFonts w:eastAsia="黑体" w:hint="eastAsia"/>
        </w:rPr>
        <w:t>年期间打击针对儿童和青少年的性暴力的国家计划切实得以执行，并制定措施打击学校中一切形式的性别暴力以及体罚。</w:t>
      </w:r>
    </w:p>
    <w:p w14:paraId="6636A8CA"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就业</w:t>
      </w:r>
    </w:p>
    <w:p w14:paraId="59F6390E"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30.</w:t>
      </w:r>
      <w:r w:rsidRPr="00425DAE">
        <w:tab/>
      </w:r>
      <w:r w:rsidRPr="00425DAE">
        <w:rPr>
          <w:rFonts w:hint="eastAsia"/>
        </w:rPr>
        <w:t>委员会赞扬缔约国为促进妇女工作权采取的措施，包括</w:t>
      </w:r>
      <w:r w:rsidRPr="00425DAE">
        <w:t>2016-2018</w:t>
      </w:r>
      <w:r w:rsidRPr="00425DAE">
        <w:rPr>
          <w:rFonts w:hint="eastAsia"/>
        </w:rPr>
        <w:t>年旅游业性别平等主流化行动计划、</w:t>
      </w:r>
      <w:r w:rsidRPr="00425DAE">
        <w:t>2017-2020</w:t>
      </w:r>
      <w:r w:rsidRPr="00425DAE">
        <w:rPr>
          <w:rFonts w:hint="eastAsia"/>
        </w:rPr>
        <w:t>年非正规经济向正规经济过渡国家战略、</w:t>
      </w:r>
      <w:r w:rsidRPr="00425DAE">
        <w:t>2018-2023</w:t>
      </w:r>
      <w:r w:rsidRPr="00425DAE">
        <w:rPr>
          <w:rFonts w:hint="eastAsia"/>
        </w:rPr>
        <w:t>年国家就业计划以及商业发展和创新署开展的创业培训。但委员会关切地注意到以下方面：</w:t>
      </w:r>
    </w:p>
    <w:p w14:paraId="55F7A899" w14:textId="129372C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劳动力市场持续存在性别隔离，妇女集中在家务劳动、卫生部门、商业、教育以及酒店和餐馆部门就业；</w:t>
      </w:r>
    </w:p>
    <w:p w14:paraId="190BDF9C" w14:textId="571B7F8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性别陈规定型观念持续存在，这是将无偿家务劳动、育儿和家庭成员照料负担过多地分配给妇女的根源，也是妇女产假不足的根源，从而限制了她们进入劳动力市场的机会；</w:t>
      </w:r>
    </w:p>
    <w:p w14:paraId="778E17F8" w14:textId="529E5E1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大多数妇女根据不稳定的合同在旅游部门工作，事实上妇女占非正规部门工人的大多数；</w:t>
      </w:r>
    </w:p>
    <w:p w14:paraId="213A7D0E" w14:textId="552B96E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受过高等教育的妇女失业率高，尽管接受高等教育的女性比例几乎比男性高</w:t>
      </w:r>
      <w:r w:rsidRPr="00425DAE">
        <w:t>10%</w:t>
      </w:r>
      <w:r w:rsidRPr="00425DAE">
        <w:rPr>
          <w:rFonts w:hint="eastAsia"/>
        </w:rPr>
        <w:t>；</w:t>
      </w:r>
    </w:p>
    <w:p w14:paraId="5BDC5495" w14:textId="64F3460F"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hint="eastAsia"/>
        </w:rPr>
        <w:t>同工同酬原则没有纳入《劳动法》的最新修订稿；</w:t>
      </w:r>
    </w:p>
    <w:p w14:paraId="2EA5B172" w14:textId="4A8BB36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f</w:t>
      </w:r>
      <w:r w:rsidR="001F2F0B" w:rsidRPr="001F2F0B">
        <w:rPr>
          <w:rFonts w:eastAsia="黑体"/>
        </w:rPr>
        <w:t>)</w:t>
      </w:r>
      <w:r w:rsidRPr="00425DAE">
        <w:rPr>
          <w:rFonts w:eastAsia="黑体"/>
        </w:rPr>
        <w:tab/>
      </w:r>
      <w:r w:rsidRPr="00425DAE">
        <w:rPr>
          <w:rFonts w:hint="eastAsia"/>
        </w:rPr>
        <w:t>缺乏关于工作场所性骚扰和妇女可用投诉机制的信息。</w:t>
      </w:r>
    </w:p>
    <w:p w14:paraId="259529AC"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31.</w:t>
      </w:r>
      <w:r w:rsidRPr="00425DAE">
        <w:rPr>
          <w:rFonts w:eastAsia="黑体"/>
        </w:rPr>
        <w:tab/>
      </w:r>
      <w:r w:rsidRPr="00425DAE">
        <w:rPr>
          <w:rFonts w:eastAsia="黑体" w:hint="eastAsia"/>
        </w:rPr>
        <w:t>委员会建议缔约国：</w:t>
      </w:r>
    </w:p>
    <w:p w14:paraId="666C7B5B" w14:textId="68DA149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采取措施，包括根据《公约》第四条第</w:t>
      </w:r>
      <w:r w:rsidRPr="00425DAE">
        <w:rPr>
          <w:rFonts w:eastAsia="黑体"/>
        </w:rPr>
        <w:t>1</w:t>
      </w:r>
      <w:r w:rsidRPr="00425DAE">
        <w:rPr>
          <w:rFonts w:eastAsia="黑体" w:hint="eastAsia"/>
        </w:rPr>
        <w:t>款采取暂行特别措施，如提高认识活动、配额和激励措施，促进妇女选择非传统职业道路，减少劳动力市场中的性别隔离；</w:t>
      </w:r>
    </w:p>
    <w:p w14:paraId="6AC54406" w14:textId="23F82E1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将产假从两个月延长到四个月，确定在孩子出生后头两周内休陪产假，并促进父母平等分担家庭和家务责任；</w:t>
      </w:r>
    </w:p>
    <w:p w14:paraId="2CCF7E96" w14:textId="3E69265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在旅游业实施劳工条例，以结束不稳定合同的做法，加快妇女从非正规经济部门工作向正规经济部门工作过渡；</w:t>
      </w:r>
    </w:p>
    <w:p w14:paraId="2F380341" w14:textId="4045969E"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促进受过高等教育的妇女进入劳动力市场；</w:t>
      </w:r>
    </w:p>
    <w:p w14:paraId="12E1A863" w14:textId="20D1C8D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迅速修订《劳动法》，确保同工同酬原则；</w:t>
      </w:r>
    </w:p>
    <w:p w14:paraId="76059449" w14:textId="0F95987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f</w:t>
      </w:r>
      <w:r w:rsidR="001F2F0B" w:rsidRPr="001F2F0B">
        <w:rPr>
          <w:rFonts w:eastAsia="黑体"/>
        </w:rPr>
        <w:t>)</w:t>
      </w:r>
      <w:r w:rsidRPr="00425DAE">
        <w:rPr>
          <w:rFonts w:eastAsia="黑体"/>
        </w:rPr>
        <w:tab/>
      </w:r>
      <w:r w:rsidRPr="00425DAE">
        <w:rPr>
          <w:rFonts w:eastAsia="黑体" w:hint="eastAsia"/>
        </w:rPr>
        <w:t>采取措施防止工作场所的性骚扰，鼓励妇女对性骚扰案件提出投诉，并确保对此类案件进行及时调查，适当惩处肇事者；</w:t>
      </w:r>
    </w:p>
    <w:p w14:paraId="4F16A8CF" w14:textId="27BB1CF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g</w:t>
      </w:r>
      <w:r w:rsidR="001F2F0B" w:rsidRPr="001F2F0B">
        <w:rPr>
          <w:rFonts w:eastAsia="黑体"/>
        </w:rPr>
        <w:t>)</w:t>
      </w:r>
      <w:r w:rsidRPr="00425DAE">
        <w:rPr>
          <w:rFonts w:eastAsia="黑体"/>
        </w:rPr>
        <w:tab/>
      </w:r>
      <w:r w:rsidRPr="00425DAE">
        <w:rPr>
          <w:rFonts w:eastAsia="黑体" w:hint="eastAsia"/>
        </w:rPr>
        <w:t>批准国际劳工组织</w:t>
      </w:r>
      <w:r w:rsidR="001F2F0B" w:rsidRPr="001F2F0B">
        <w:rPr>
          <w:rFonts w:eastAsia="黑体"/>
        </w:rPr>
        <w:t>(</w:t>
      </w:r>
      <w:r w:rsidRPr="00425DAE">
        <w:rPr>
          <w:rFonts w:eastAsia="黑体" w:hint="eastAsia"/>
        </w:rPr>
        <w:t>劳工组织</w:t>
      </w:r>
      <w:r w:rsidR="001F2F0B" w:rsidRPr="001F2F0B">
        <w:rPr>
          <w:rFonts w:eastAsia="黑体"/>
        </w:rPr>
        <w:t>)</w:t>
      </w:r>
      <w:r w:rsidRPr="00425DAE">
        <w:rPr>
          <w:rFonts w:eastAsia="黑体" w:hint="eastAsia"/>
        </w:rPr>
        <w:t>《</w:t>
      </w:r>
      <w:r w:rsidRPr="00425DAE">
        <w:rPr>
          <w:rFonts w:eastAsia="黑体"/>
        </w:rPr>
        <w:t>1981</w:t>
      </w:r>
      <w:r w:rsidRPr="00425DAE">
        <w:rPr>
          <w:rFonts w:eastAsia="黑体" w:hint="eastAsia"/>
        </w:rPr>
        <w:t>年有家庭责任工人公约》</w:t>
      </w:r>
      <w:r w:rsidR="001F2F0B" w:rsidRPr="001F2F0B">
        <w:rPr>
          <w:rFonts w:eastAsia="黑体"/>
        </w:rPr>
        <w:t>(</w:t>
      </w:r>
      <w:r w:rsidRPr="00425DAE">
        <w:rPr>
          <w:rFonts w:eastAsia="黑体" w:hint="eastAsia"/>
        </w:rPr>
        <w:t>第</w:t>
      </w:r>
      <w:r w:rsidRPr="00425DAE">
        <w:rPr>
          <w:rFonts w:eastAsia="黑体"/>
        </w:rPr>
        <w:t>156</w:t>
      </w:r>
      <w:r w:rsidRPr="00425DAE">
        <w:rPr>
          <w:rFonts w:eastAsia="黑体" w:hint="eastAsia"/>
        </w:rPr>
        <w:t>号</w:t>
      </w:r>
      <w:r w:rsidR="001F2F0B" w:rsidRPr="001F2F0B">
        <w:rPr>
          <w:rFonts w:eastAsia="黑体"/>
        </w:rPr>
        <w:t>)</w:t>
      </w:r>
      <w:r w:rsidRPr="00425DAE">
        <w:rPr>
          <w:rFonts w:eastAsia="黑体" w:hint="eastAsia"/>
        </w:rPr>
        <w:t>和</w:t>
      </w:r>
      <w:r w:rsidRPr="00425DAE">
        <w:rPr>
          <w:rFonts w:eastAsia="黑体"/>
        </w:rPr>
        <w:t>《</w:t>
      </w:r>
      <w:r w:rsidRPr="00425DAE">
        <w:rPr>
          <w:rFonts w:eastAsia="黑体"/>
        </w:rPr>
        <w:t>2000</w:t>
      </w:r>
      <w:r w:rsidRPr="00425DAE">
        <w:rPr>
          <w:rFonts w:eastAsia="黑体"/>
        </w:rPr>
        <w:t>年保护生育公约》</w:t>
      </w:r>
      <w:r w:rsidR="001F2F0B" w:rsidRPr="001F2F0B">
        <w:rPr>
          <w:rFonts w:eastAsia="黑体"/>
        </w:rPr>
        <w:t>(</w:t>
      </w:r>
      <w:r w:rsidRPr="00425DAE">
        <w:rPr>
          <w:rFonts w:eastAsia="黑体" w:hint="eastAsia"/>
        </w:rPr>
        <w:t>第</w:t>
      </w:r>
      <w:r w:rsidRPr="00425DAE">
        <w:rPr>
          <w:rFonts w:eastAsia="黑体"/>
        </w:rPr>
        <w:t>183</w:t>
      </w:r>
      <w:r w:rsidRPr="00425DAE">
        <w:rPr>
          <w:rFonts w:eastAsia="黑体" w:hint="eastAsia"/>
        </w:rPr>
        <w:t>号</w:t>
      </w:r>
      <w:r w:rsidR="001F2F0B" w:rsidRPr="001F2F0B">
        <w:rPr>
          <w:rFonts w:eastAsia="黑体"/>
        </w:rPr>
        <w:t>)</w:t>
      </w:r>
      <w:r w:rsidRPr="00425DAE">
        <w:rPr>
          <w:rFonts w:eastAsia="黑体" w:hint="eastAsia"/>
        </w:rPr>
        <w:t>。</w:t>
      </w:r>
    </w:p>
    <w:p w14:paraId="3356E371"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女性家政工人</w:t>
      </w:r>
    </w:p>
    <w:p w14:paraId="27604284"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32.</w:t>
      </w:r>
      <w:r w:rsidRPr="00425DAE">
        <w:tab/>
      </w:r>
      <w:r w:rsidRPr="00425DAE">
        <w:rPr>
          <w:rFonts w:hint="eastAsia"/>
        </w:rPr>
        <w:t>委员会欢迎</w:t>
      </w:r>
      <w:r w:rsidRPr="00425DAE">
        <w:t>2018</w:t>
      </w:r>
      <w:r w:rsidRPr="00425DAE">
        <w:rPr>
          <w:rFonts w:hint="eastAsia"/>
        </w:rPr>
        <w:t>年成立家政工人协会。委员会注意到妇女占家政工人的大多数，并对家政工作的监管框架尚未获得批准表示关切。委员会关切地注意到，尽管根据</w:t>
      </w:r>
      <w:r w:rsidRPr="00425DAE">
        <w:t>2009</w:t>
      </w:r>
      <w:r w:rsidRPr="00425DAE">
        <w:rPr>
          <w:rFonts w:hint="eastAsia"/>
        </w:rPr>
        <w:t>年</w:t>
      </w:r>
      <w:r w:rsidRPr="00425DAE">
        <w:t>11</w:t>
      </w:r>
      <w:r w:rsidRPr="00425DAE">
        <w:rPr>
          <w:rFonts w:hint="eastAsia"/>
        </w:rPr>
        <w:t>月</w:t>
      </w:r>
      <w:r w:rsidRPr="00425DAE">
        <w:t>23</w:t>
      </w:r>
      <w:r w:rsidRPr="00425DAE">
        <w:rPr>
          <w:rFonts w:hint="eastAsia"/>
        </w:rPr>
        <w:t>日第</w:t>
      </w:r>
      <w:r w:rsidRPr="00425DAE">
        <w:t>49/2009</w:t>
      </w:r>
      <w:r w:rsidRPr="00425DAE">
        <w:rPr>
          <w:rFonts w:hint="eastAsia"/>
        </w:rPr>
        <w:t>号法令将社会保护扩大到家政工人，但</w:t>
      </w:r>
      <w:r w:rsidRPr="00425DAE">
        <w:t>2018</w:t>
      </w:r>
      <w:r w:rsidRPr="00425DAE">
        <w:rPr>
          <w:rFonts w:hint="eastAsia"/>
        </w:rPr>
        <w:t>年只有</w:t>
      </w:r>
      <w:r w:rsidRPr="00425DAE">
        <w:t>17.5%</w:t>
      </w:r>
      <w:r w:rsidRPr="00425DAE">
        <w:rPr>
          <w:rFonts w:hint="eastAsia"/>
        </w:rPr>
        <w:t>的家政工人加入了国家强制性社会保护制度。</w:t>
      </w:r>
    </w:p>
    <w:p w14:paraId="32E47AFA"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33.</w:t>
      </w:r>
      <w:r w:rsidRPr="00425DAE">
        <w:rPr>
          <w:rFonts w:eastAsia="黑体"/>
        </w:rPr>
        <w:tab/>
      </w:r>
      <w:r w:rsidRPr="00425DAE">
        <w:rPr>
          <w:rFonts w:eastAsia="黑体" w:hint="eastAsia"/>
        </w:rPr>
        <w:t>委员会建议缔约国：</w:t>
      </w:r>
    </w:p>
    <w:p w14:paraId="024E8511" w14:textId="4C48AAB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迅速通过家政工作监管框架；</w:t>
      </w:r>
    </w:p>
    <w:p w14:paraId="19539227" w14:textId="71FB0D8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确保劳动监察范围扩大到雇用家政工人的家庭，以监测相关标准和条例</w:t>
      </w:r>
      <w:r w:rsidR="001F2F0B" w:rsidRPr="001F2F0B">
        <w:rPr>
          <w:rFonts w:eastAsia="黑体" w:hint="eastAsia"/>
        </w:rPr>
        <w:t>(</w:t>
      </w:r>
      <w:r w:rsidRPr="00425DAE">
        <w:rPr>
          <w:rFonts w:eastAsia="黑体" w:hint="eastAsia"/>
        </w:rPr>
        <w:t>包括最低工资、工作时间、假期和产假</w:t>
      </w:r>
      <w:r w:rsidR="001F2F0B" w:rsidRPr="001F2F0B">
        <w:rPr>
          <w:rFonts w:eastAsia="黑体" w:hint="eastAsia"/>
        </w:rPr>
        <w:t>)</w:t>
      </w:r>
      <w:r w:rsidRPr="00425DAE">
        <w:rPr>
          <w:rFonts w:eastAsia="黑体" w:hint="eastAsia"/>
        </w:rPr>
        <w:t>的遵守情况，并确保可在不遵守的情况下实施适当的制裁；</w:t>
      </w:r>
    </w:p>
    <w:p w14:paraId="361AA5C2" w14:textId="722D3DC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确保家政工人加入国家强制性社会保护系统，并促进向失业家政工人发放失业补贴；</w:t>
      </w:r>
    </w:p>
    <w:p w14:paraId="3755C7D0" w14:textId="44F098E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批准劳工组织《</w:t>
      </w:r>
      <w:r w:rsidRPr="00425DAE">
        <w:rPr>
          <w:rFonts w:eastAsia="黑体"/>
        </w:rPr>
        <w:t>2011</w:t>
      </w:r>
      <w:r w:rsidRPr="00425DAE">
        <w:rPr>
          <w:rFonts w:eastAsia="黑体" w:hint="eastAsia"/>
        </w:rPr>
        <w:t>年家庭工人公约》</w:t>
      </w:r>
      <w:r w:rsidR="001F2F0B" w:rsidRPr="001F2F0B">
        <w:rPr>
          <w:rFonts w:eastAsia="黑体"/>
        </w:rPr>
        <w:t>(</w:t>
      </w:r>
      <w:r w:rsidRPr="00425DAE">
        <w:rPr>
          <w:rFonts w:eastAsia="黑体" w:hint="eastAsia"/>
        </w:rPr>
        <w:t>第</w:t>
      </w:r>
      <w:r w:rsidRPr="00425DAE">
        <w:rPr>
          <w:rFonts w:eastAsia="黑体"/>
        </w:rPr>
        <w:t>189</w:t>
      </w:r>
      <w:r w:rsidRPr="00425DAE">
        <w:rPr>
          <w:rFonts w:eastAsia="黑体" w:hint="eastAsia"/>
        </w:rPr>
        <w:t>号</w:t>
      </w:r>
      <w:r w:rsidR="001F2F0B" w:rsidRPr="001F2F0B">
        <w:rPr>
          <w:rFonts w:eastAsia="黑体"/>
        </w:rPr>
        <w:t>)</w:t>
      </w:r>
      <w:r w:rsidRPr="00425DAE">
        <w:rPr>
          <w:rFonts w:eastAsia="黑体" w:hint="eastAsia"/>
        </w:rPr>
        <w:t>。</w:t>
      </w:r>
    </w:p>
    <w:p w14:paraId="70DF4336"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健康</w:t>
      </w:r>
    </w:p>
    <w:p w14:paraId="402267DA" w14:textId="377C747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34.</w:t>
      </w:r>
      <w:r w:rsidRPr="00425DAE">
        <w:tab/>
      </w:r>
      <w:r w:rsidRPr="00425DAE">
        <w:rPr>
          <w:rFonts w:hint="eastAsia"/>
        </w:rPr>
        <w:t>免费的基本保健服务包包括为妇女提供的生殖保健服务，以及少女可在一些保健中心使用特殊的生殖保健设施</w:t>
      </w:r>
      <w:r w:rsidR="005977E8">
        <w:rPr>
          <w:rFonts w:hint="eastAsia"/>
        </w:rPr>
        <w:t>——</w:t>
      </w:r>
      <w:r w:rsidRPr="00425DAE">
        <w:rPr>
          <w:rFonts w:hint="eastAsia"/>
        </w:rPr>
        <w:t>委员会对此表示赞赏。然而，委员会关切地注意到以下情况：</w:t>
      </w:r>
    </w:p>
    <w:p w14:paraId="02F6EC24" w14:textId="42006A0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hint="eastAsia"/>
        </w:rPr>
        <w:t>早孕率居高不下，截至</w:t>
      </w:r>
      <w:r w:rsidRPr="00425DAE">
        <w:t>2018</w:t>
      </w:r>
      <w:r w:rsidRPr="00425DAE">
        <w:rPr>
          <w:rFonts w:hint="eastAsia"/>
        </w:rPr>
        <w:t>年，</w:t>
      </w:r>
      <w:r w:rsidRPr="00425DAE">
        <w:t>15</w:t>
      </w:r>
      <w:r w:rsidRPr="00425DAE">
        <w:rPr>
          <w:rFonts w:hint="eastAsia"/>
        </w:rPr>
        <w:t>至</w:t>
      </w:r>
      <w:r w:rsidRPr="00425DAE">
        <w:t>19</w:t>
      </w:r>
      <w:r w:rsidRPr="00425DAE">
        <w:rPr>
          <w:rFonts w:hint="eastAsia"/>
        </w:rPr>
        <w:t>岁少女和女青年有</w:t>
      </w:r>
      <w:r w:rsidRPr="00425DAE">
        <w:t>12%</w:t>
      </w:r>
      <w:r w:rsidRPr="00425DAE">
        <w:rPr>
          <w:rFonts w:hint="eastAsia"/>
        </w:rPr>
        <w:t>已至少生育一个孩子，尽管</w:t>
      </w:r>
      <w:r w:rsidRPr="00425DAE">
        <w:t>2015</w:t>
      </w:r>
      <w:r w:rsidRPr="00425DAE">
        <w:rPr>
          <w:rFonts w:hint="eastAsia"/>
        </w:rPr>
        <w:t>年这一比率为</w:t>
      </w:r>
      <w:r w:rsidRPr="00425DAE">
        <w:t>15%</w:t>
      </w:r>
      <w:r w:rsidRPr="00425DAE">
        <w:rPr>
          <w:rFonts w:hint="eastAsia"/>
        </w:rPr>
        <w:t>；少女和</w:t>
      </w:r>
      <w:r w:rsidRPr="00425DAE">
        <w:t>19</w:t>
      </w:r>
      <w:r w:rsidRPr="00425DAE">
        <w:rPr>
          <w:rFonts w:hint="eastAsia"/>
        </w:rPr>
        <w:t>岁以下女青年占所有孕妇的近五分之一，缔约国大多数保健中心没有专门的少女生殖保健设施；</w:t>
      </w:r>
    </w:p>
    <w:p w14:paraId="55CDE1AA" w14:textId="44ED1BF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堕胎和堕胎后护理服务不是免费提供的；</w:t>
      </w:r>
    </w:p>
    <w:p w14:paraId="565726A1" w14:textId="44A5A53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缔约国农村妇女得不到性健康和生殖健康服务，避孕药具的使用减少，艾滋病毒和艾滋病新病例增加；</w:t>
      </w:r>
    </w:p>
    <w:p w14:paraId="6871C03C" w14:textId="6876C65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妇女在预防和管理</w:t>
      </w:r>
      <w:r w:rsidRPr="00425DAE">
        <w:t>病媒传播的疾病</w:t>
      </w:r>
      <w:r w:rsidRPr="00425DAE">
        <w:rPr>
          <w:rFonts w:hint="eastAsia"/>
        </w:rPr>
        <w:t>的现有机制决策层任职人数不足。</w:t>
      </w:r>
    </w:p>
    <w:p w14:paraId="6EE89E27" w14:textId="5AEC206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35.</w:t>
      </w:r>
      <w:r w:rsidRPr="00425DAE">
        <w:rPr>
          <w:rFonts w:eastAsia="黑体"/>
        </w:rPr>
        <w:tab/>
      </w:r>
      <w:r w:rsidRPr="00425DAE">
        <w:rPr>
          <w:rFonts w:eastAsia="黑体" w:hint="eastAsia"/>
        </w:rPr>
        <w:t>委员会回顾其关于妇女与保健的第</w:t>
      </w:r>
      <w:r w:rsidRPr="00425DAE">
        <w:rPr>
          <w:rFonts w:eastAsia="黑体"/>
        </w:rPr>
        <w:t>24</w:t>
      </w:r>
      <w:r w:rsidRPr="00425DAE">
        <w:rPr>
          <w:rFonts w:eastAsia="黑体" w:hint="eastAsia"/>
        </w:rPr>
        <w:t>号一般性建议</w:t>
      </w:r>
      <w:r w:rsidR="001F2F0B" w:rsidRPr="001F2F0B">
        <w:rPr>
          <w:rFonts w:eastAsia="黑体"/>
        </w:rPr>
        <w:t>(</w:t>
      </w:r>
      <w:r w:rsidRPr="00425DAE">
        <w:rPr>
          <w:rFonts w:eastAsia="黑体"/>
        </w:rPr>
        <w:t>1999</w:t>
      </w:r>
      <w:r w:rsidRPr="00425DAE">
        <w:rPr>
          <w:rFonts w:eastAsia="黑体" w:hint="eastAsia"/>
        </w:rPr>
        <w:t>年</w:t>
      </w:r>
      <w:r w:rsidR="001F2F0B" w:rsidRPr="001F2F0B">
        <w:rPr>
          <w:rFonts w:eastAsia="黑体"/>
        </w:rPr>
        <w:t>)</w:t>
      </w:r>
      <w:r w:rsidRPr="00425DAE">
        <w:rPr>
          <w:rFonts w:eastAsia="黑体" w:hint="eastAsia"/>
        </w:rPr>
        <w:t>，建议缔约国：</w:t>
      </w:r>
    </w:p>
    <w:p w14:paraId="6D082EA2" w14:textId="3FB3C99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确保少女能够获得关于其性健康和生殖健康及权利的准确信息，包括关于负责任的性行为以及预防早孕和性传播疾病的信息，加紧努力预防少女怀孕，并确保在所有保健中心为少女和女青年提供特殊的生殖保健设施；</w:t>
      </w:r>
    </w:p>
    <w:p w14:paraId="6DF1EF6A" w14:textId="5F5BB4A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免费提供堕胎和堕胎后保健服务，并确保任何少女或妇女在获得安全合法堕胎服务方面都不受障碍；</w:t>
      </w:r>
    </w:p>
    <w:p w14:paraId="757AAB5E" w14:textId="78FDDEC1"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投资于提供性健康和生殖健康服务，特别是在农村地区这样做，并确保所有妇女和女童，包括残疾妇女和女童，都能在缔约国全境获得负担得起的现代避孕药具；</w:t>
      </w:r>
    </w:p>
    <w:p w14:paraId="7E0D2AB5" w14:textId="3E72D7BF"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加强努力，预防艾滋病毒和艾滋病病例；</w:t>
      </w:r>
    </w:p>
    <w:p w14:paraId="5A2C61CE" w14:textId="5898428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eastAsia="黑体" w:hint="eastAsia"/>
        </w:rPr>
        <w:t>确保妇女参与预防和管理卫生紧急情况和流行病的决策层并进行有意义的参与。</w:t>
      </w:r>
    </w:p>
    <w:p w14:paraId="73B10602"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气候变化</w:t>
      </w:r>
    </w:p>
    <w:p w14:paraId="69406353"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36.</w:t>
      </w:r>
      <w:r w:rsidRPr="00425DAE">
        <w:tab/>
      </w:r>
      <w:r w:rsidRPr="00425DAE">
        <w:rPr>
          <w:rFonts w:hint="eastAsia"/>
        </w:rPr>
        <w:t>委员会注意到，作为一个小岛屿发展中国家，缔约国特别容易受到气候变化的影响，并赞赏缔约国努力投资于可再生能源，制定了系统使用按性别分列数据的准则，并在环境部门实施了性别平等主流化战略。委员会还指出，在</w:t>
      </w:r>
      <w:r w:rsidRPr="00425DAE">
        <w:t>2017-2030</w:t>
      </w:r>
      <w:r w:rsidRPr="00425DAE">
        <w:rPr>
          <w:rFonts w:hint="eastAsia"/>
        </w:rPr>
        <w:t>年国家减少灾害风险战略中，性别平等和环境可持续性被定义为贯穿各领域的问题。然而，令委员会感到关切的是，妇女没有切实参与这些举措的制定和实施。</w:t>
      </w:r>
    </w:p>
    <w:p w14:paraId="662F56DE" w14:textId="32AB152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t>37.</w:t>
      </w:r>
      <w:r w:rsidRPr="00425DAE">
        <w:tab/>
      </w:r>
      <w:r w:rsidRPr="00425DAE">
        <w:rPr>
          <w:rFonts w:eastAsia="黑体" w:hint="eastAsia"/>
        </w:rPr>
        <w:t>委员会考虑到其关于气候变化背景下减少灾害风险所涉性别方面的第</w:t>
      </w:r>
      <w:r w:rsidRPr="00425DAE">
        <w:rPr>
          <w:rFonts w:eastAsia="黑体"/>
        </w:rPr>
        <w:t>37</w:t>
      </w:r>
      <w:r w:rsidRPr="00425DAE">
        <w:rPr>
          <w:rFonts w:eastAsia="黑体" w:hint="eastAsia"/>
        </w:rPr>
        <w:t>号一般性建议</w:t>
      </w:r>
      <w:r w:rsidR="001F2F0B" w:rsidRPr="001F2F0B">
        <w:rPr>
          <w:rFonts w:eastAsia="黑体"/>
        </w:rPr>
        <w:t>(</w:t>
      </w:r>
      <w:r w:rsidRPr="00425DAE">
        <w:rPr>
          <w:rFonts w:eastAsia="黑体"/>
        </w:rPr>
        <w:t>2018</w:t>
      </w:r>
      <w:r w:rsidRPr="00425DAE">
        <w:rPr>
          <w:rFonts w:eastAsia="黑体" w:hint="eastAsia"/>
        </w:rPr>
        <w:t>年</w:t>
      </w:r>
      <w:r w:rsidR="001F2F0B" w:rsidRPr="001F2F0B">
        <w:rPr>
          <w:rFonts w:eastAsia="黑体"/>
        </w:rPr>
        <w:t>)</w:t>
      </w:r>
      <w:r w:rsidRPr="00425DAE">
        <w:rPr>
          <w:rFonts w:eastAsia="黑体" w:hint="eastAsia"/>
        </w:rPr>
        <w:t>，建议缔约国确保妇女有意义地参与制定关于气候变化、救灾和减少灾害风险的立法、国家政策和方案。委员会还建议缔约国采取措施解决饥饿问题，并鉴于气候变化的影响，确保农村妇女的粮食安全。</w:t>
      </w:r>
    </w:p>
    <w:p w14:paraId="41247C2F"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妇女与经济赋权</w:t>
      </w:r>
    </w:p>
    <w:p w14:paraId="2FBCE261"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rPr>
      </w:pPr>
      <w:r w:rsidRPr="00425DAE">
        <w:rPr>
          <w:spacing w:val="-4"/>
        </w:rPr>
        <w:t>38.</w:t>
      </w:r>
      <w:r w:rsidRPr="00425DAE">
        <w:rPr>
          <w:spacing w:val="-4"/>
        </w:rPr>
        <w:tab/>
      </w:r>
      <w:r w:rsidRPr="00425DAE">
        <w:rPr>
          <w:rFonts w:hint="eastAsia"/>
          <w:spacing w:val="-4"/>
        </w:rPr>
        <w:t>委员会关切地注意到，缔约国妇女的贫困率仍然过高。委员会还感到关切的是，缔约国</w:t>
      </w:r>
      <w:r w:rsidRPr="00425DAE">
        <w:rPr>
          <w:spacing w:val="-4"/>
        </w:rPr>
        <w:t>60%</w:t>
      </w:r>
      <w:r w:rsidRPr="00425DAE">
        <w:rPr>
          <w:rFonts w:hint="eastAsia"/>
          <w:spacing w:val="-4"/>
        </w:rPr>
        <w:t>以上的贫困和极贫困家庭由妇女当家，在贫困的城市地区尤然。</w:t>
      </w:r>
    </w:p>
    <w:p w14:paraId="7C456BC4"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39.</w:t>
      </w:r>
      <w:r w:rsidRPr="00425DAE">
        <w:rPr>
          <w:rFonts w:eastAsia="黑体"/>
        </w:rPr>
        <w:tab/>
      </w:r>
      <w:r w:rsidRPr="00425DAE">
        <w:rPr>
          <w:rFonts w:eastAsia="黑体" w:hint="eastAsia"/>
        </w:rPr>
        <w:t>委员会建议缔约国加强扶贫措施，包括实施社会包容收入政策，特别关注贫困城市地区的妇女和女户主。委员会还建议缔约国采取措施，确保妇女的粮食安全，例如支持农业活动、建立粮食储备和建立水储备，以避免饥荒。委员会注意到旅游业的重要性，但要求同等重视妇女就业率高的其他部门，如农业营销、渔业和农业企业。</w:t>
      </w:r>
    </w:p>
    <w:p w14:paraId="0E4437D1"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农村妇女</w:t>
      </w:r>
    </w:p>
    <w:p w14:paraId="6A1DF8E8"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40.</w:t>
      </w:r>
      <w:r w:rsidRPr="00425DAE">
        <w:tab/>
      </w:r>
      <w:r w:rsidRPr="00425DAE">
        <w:rPr>
          <w:rFonts w:hint="eastAsia"/>
        </w:rPr>
        <w:t>委员会欢迎缔约国努力减少农村人口的贫困，并将农村妇女纳入国家减贫战略。委员会还欢迎让农村家庭有更多机会获得安全饮用水和环境卫生设施。然而，委员会关切地注意到以下情况：</w:t>
      </w:r>
    </w:p>
    <w:p w14:paraId="1AE2CE06" w14:textId="643895D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t>25%</w:t>
      </w:r>
      <w:r w:rsidRPr="00425DAE">
        <w:rPr>
          <w:rFonts w:hint="eastAsia"/>
        </w:rPr>
        <w:t>的农村人口仍然使用未经处理的水源，</w:t>
      </w:r>
      <w:r w:rsidRPr="00425DAE">
        <w:t>35%</w:t>
      </w:r>
      <w:r w:rsidRPr="00425DAE">
        <w:rPr>
          <w:rFonts w:hint="eastAsia"/>
        </w:rPr>
        <w:t>的农村人口家中没有厕所和废水清除系统；</w:t>
      </w:r>
    </w:p>
    <w:p w14:paraId="0A068BAF" w14:textId="283701B3"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hint="eastAsia"/>
        </w:rPr>
        <w:t>农村妇女文盲率高；</w:t>
      </w:r>
    </w:p>
    <w:p w14:paraId="38296156" w14:textId="45ED6AC8"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hint="eastAsia"/>
        </w:rPr>
        <w:t>与农村男子相比，农村妇女继续承担不成比例的无酬照护工作负担；</w:t>
      </w:r>
    </w:p>
    <w:p w14:paraId="2687F2E4" w14:textId="1BE2E28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hint="eastAsia"/>
        </w:rPr>
        <w:t>只有</w:t>
      </w:r>
      <w:r w:rsidRPr="00425DAE">
        <w:t>8.5%</w:t>
      </w:r>
      <w:r w:rsidRPr="00425DAE">
        <w:rPr>
          <w:rFonts w:hint="eastAsia"/>
        </w:rPr>
        <w:t>的农业妇女能够获得土地所有权和用于农业目的，在夫妻共同财产仅以配偶或伴侣的名义登记的情况下，财产所有权中通常登记的是男子的姓名，尽管</w:t>
      </w:r>
      <w:r w:rsidRPr="00425DAE">
        <w:t>2015</w:t>
      </w:r>
      <w:r w:rsidRPr="00425DAE">
        <w:rPr>
          <w:rFonts w:hint="eastAsia"/>
        </w:rPr>
        <w:t>年，</w:t>
      </w:r>
      <w:r w:rsidRPr="00425DAE">
        <w:t>49.7%</w:t>
      </w:r>
      <w:r w:rsidRPr="00425DAE">
        <w:rPr>
          <w:rFonts w:hint="eastAsia"/>
        </w:rPr>
        <w:t>的农业劳动者是妇女；</w:t>
      </w:r>
    </w:p>
    <w:p w14:paraId="487DD5B7" w14:textId="598334DD"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rPr>
          <w:rFonts w:eastAsia="黑体"/>
        </w:rPr>
        <w:t>(</w:t>
      </w:r>
      <w:r w:rsidRPr="00425DAE">
        <w:rPr>
          <w:rFonts w:eastAsia="黑体"/>
        </w:rPr>
        <w:t>e</w:t>
      </w:r>
      <w:r w:rsidR="001F2F0B" w:rsidRPr="001F2F0B">
        <w:rPr>
          <w:rFonts w:eastAsia="黑体"/>
        </w:rPr>
        <w:t>)</w:t>
      </w:r>
      <w:r w:rsidRPr="00425DAE">
        <w:rPr>
          <w:rFonts w:eastAsia="黑体"/>
        </w:rPr>
        <w:tab/>
      </w:r>
      <w:r w:rsidRPr="00425DAE">
        <w:rPr>
          <w:rFonts w:hint="eastAsia"/>
        </w:rPr>
        <w:t>农村妇女获得与农业、商业发展和新技术有关的信息、能力建设活动和决策论坛的机会有限；</w:t>
      </w:r>
    </w:p>
    <w:p w14:paraId="1E7CB2DC" w14:textId="408097D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ab/>
      </w:r>
      <w:r w:rsidR="001F2F0B" w:rsidRPr="001F2F0B">
        <w:t>(</w:t>
      </w:r>
      <w:r w:rsidRPr="00425DAE">
        <w:rPr>
          <w:rFonts w:eastAsia="黑体"/>
        </w:rPr>
        <w:t>f</w:t>
      </w:r>
      <w:r w:rsidR="001F2F0B" w:rsidRPr="001F2F0B">
        <w:rPr>
          <w:rFonts w:eastAsia="黑体"/>
        </w:rPr>
        <w:t>)</w:t>
      </w:r>
      <w:r w:rsidRPr="00425DAE">
        <w:rPr>
          <w:rFonts w:eastAsia="黑体"/>
        </w:rPr>
        <w:tab/>
      </w:r>
      <w:r w:rsidRPr="00425DAE">
        <w:rPr>
          <w:rFonts w:hint="eastAsia"/>
        </w:rPr>
        <w:t>农村妇女有限地参与设计和实施促进可再生能源和海洋可持续利用的措施，即所谓的</w:t>
      </w:r>
      <w:r w:rsidRPr="00425DAE">
        <w:rPr>
          <w:rFonts w:ascii="宋体" w:hAnsi="宋体" w:hint="eastAsia"/>
        </w:rPr>
        <w:t>“</w:t>
      </w:r>
      <w:r w:rsidRPr="00425DAE">
        <w:rPr>
          <w:rFonts w:hint="eastAsia"/>
        </w:rPr>
        <w:t>蓝色经济</w:t>
      </w:r>
      <w:r w:rsidRPr="00425DAE">
        <w:rPr>
          <w:rFonts w:ascii="宋体" w:hAnsi="宋体" w:hint="eastAsia"/>
        </w:rPr>
        <w:t>”</w:t>
      </w:r>
      <w:r w:rsidRPr="00425DAE">
        <w:rPr>
          <w:rFonts w:hint="eastAsia"/>
        </w:rPr>
        <w:t>。</w:t>
      </w:r>
    </w:p>
    <w:p w14:paraId="30E6728C" w14:textId="77777777"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41.</w:t>
      </w:r>
      <w:r w:rsidRPr="00BD5E37">
        <w:rPr>
          <w:rFonts w:eastAsia="黑体"/>
        </w:rPr>
        <w:tab/>
      </w:r>
      <w:r w:rsidRPr="00BD5E37">
        <w:rPr>
          <w:rFonts w:eastAsia="黑体" w:hint="eastAsia"/>
        </w:rPr>
        <w:t>委员会建议缔约国：</w:t>
      </w:r>
    </w:p>
    <w:p w14:paraId="13C5296C" w14:textId="18DF8700"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a</w:t>
      </w:r>
      <w:r w:rsidR="001F2F0B" w:rsidRPr="00BD5E37">
        <w:rPr>
          <w:rFonts w:eastAsia="黑体"/>
        </w:rPr>
        <w:t>)</w:t>
      </w:r>
      <w:r w:rsidRPr="00BD5E37">
        <w:rPr>
          <w:rFonts w:eastAsia="黑体"/>
        </w:rPr>
        <w:tab/>
      </w:r>
      <w:r w:rsidRPr="00BD5E37">
        <w:rPr>
          <w:rFonts w:eastAsia="黑体" w:hint="eastAsia"/>
        </w:rPr>
        <w:t>加大对农村地区供水</w:t>
      </w:r>
      <w:r w:rsidR="001F2F0B" w:rsidRPr="00BD5E37">
        <w:rPr>
          <w:rFonts w:eastAsia="黑体" w:hint="eastAsia"/>
        </w:rPr>
        <w:t>(</w:t>
      </w:r>
      <w:r w:rsidRPr="00BD5E37">
        <w:rPr>
          <w:rFonts w:eastAsia="黑体" w:hint="eastAsia"/>
        </w:rPr>
        <w:t>包括淡化水和环境卫生设施</w:t>
      </w:r>
      <w:r w:rsidR="001F2F0B" w:rsidRPr="00BD5E37">
        <w:rPr>
          <w:rFonts w:eastAsia="黑体" w:hint="eastAsia"/>
        </w:rPr>
        <w:t>)</w:t>
      </w:r>
      <w:r w:rsidRPr="00BD5E37">
        <w:rPr>
          <w:rFonts w:eastAsia="黑体" w:hint="eastAsia"/>
        </w:rPr>
        <w:t>的投资，确保妇女有效参与各市的环境、水和环境卫生委员会及环卫部门；</w:t>
      </w:r>
    </w:p>
    <w:p w14:paraId="0DD2CF6E" w14:textId="1CF22C86"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b</w:t>
      </w:r>
      <w:r w:rsidR="001F2F0B" w:rsidRPr="00BD5E37">
        <w:rPr>
          <w:rFonts w:eastAsia="黑体"/>
        </w:rPr>
        <w:t>)</w:t>
      </w:r>
      <w:r w:rsidRPr="00BD5E37">
        <w:rPr>
          <w:rFonts w:eastAsia="黑体"/>
        </w:rPr>
        <w:tab/>
      </w:r>
      <w:r w:rsidRPr="00BD5E37">
        <w:rPr>
          <w:rFonts w:eastAsia="黑体" w:hint="eastAsia"/>
        </w:rPr>
        <w:t>加强成人扫盲方案，便利农村地区妇女获得职业教育和培训；</w:t>
      </w:r>
    </w:p>
    <w:p w14:paraId="6B6C7577" w14:textId="2DA4F4AF"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c</w:t>
      </w:r>
      <w:r w:rsidR="001F2F0B" w:rsidRPr="00BD5E37">
        <w:rPr>
          <w:rFonts w:eastAsia="黑体"/>
        </w:rPr>
        <w:t>)</w:t>
      </w:r>
      <w:r w:rsidRPr="00BD5E37">
        <w:rPr>
          <w:rFonts w:eastAsia="黑体"/>
        </w:rPr>
        <w:tab/>
      </w:r>
      <w:r w:rsidRPr="00BD5E37">
        <w:rPr>
          <w:rFonts w:eastAsia="黑体" w:hint="eastAsia"/>
        </w:rPr>
        <w:t>采取步骤，通过投资于基础设施和社会服务，如儿童保育、老年人护理、负担得起的住房和交通，承认、减少和重新分配农村妇女的无酬护理和家务劳动；</w:t>
      </w:r>
    </w:p>
    <w:p w14:paraId="3AE35383" w14:textId="24384AE3"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d</w:t>
      </w:r>
      <w:r w:rsidR="001F2F0B" w:rsidRPr="00BD5E37">
        <w:rPr>
          <w:rFonts w:eastAsia="黑体"/>
        </w:rPr>
        <w:t>)</w:t>
      </w:r>
      <w:r w:rsidRPr="00BD5E37">
        <w:rPr>
          <w:rFonts w:eastAsia="黑体"/>
        </w:rPr>
        <w:tab/>
      </w:r>
      <w:r w:rsidRPr="00BD5E37">
        <w:rPr>
          <w:rFonts w:eastAsia="黑体" w:hint="eastAsia"/>
        </w:rPr>
        <w:t>促进妇女获得土地所有权和农业使用权，并建立机制，确保共有的土地财产以双方的名义登记，包括在事实上的结合情形下；确保农村妇女在要求其产权时获得法律援助；在法律之家</w:t>
      </w:r>
      <w:r w:rsidR="001F2F0B" w:rsidRPr="00BD5E37">
        <w:rPr>
          <w:rFonts w:eastAsia="黑体" w:hint="eastAsia"/>
        </w:rPr>
        <w:t>(</w:t>
      </w:r>
      <w:r w:rsidRPr="00BD5E37">
        <w:rPr>
          <w:rFonts w:eastAsia="黑体"/>
        </w:rPr>
        <w:t>受害人</w:t>
      </w:r>
      <w:r w:rsidRPr="00BD5E37">
        <w:rPr>
          <w:rFonts w:eastAsia="黑体" w:hint="eastAsia"/>
        </w:rPr>
        <w:t>支助</w:t>
      </w:r>
      <w:r w:rsidRPr="00BD5E37">
        <w:rPr>
          <w:rFonts w:eastAsia="黑体"/>
        </w:rPr>
        <w:t>和法律信息中心</w:t>
      </w:r>
      <w:r w:rsidR="001F2F0B" w:rsidRPr="00BD5E37">
        <w:rPr>
          <w:rFonts w:eastAsia="黑体" w:hint="eastAsia"/>
        </w:rPr>
        <w:t>)</w:t>
      </w:r>
      <w:r w:rsidRPr="00BD5E37">
        <w:rPr>
          <w:rFonts w:eastAsia="黑体" w:hint="eastAsia"/>
        </w:rPr>
        <w:t>关闭后，现由市政部门提供此类援助；</w:t>
      </w:r>
    </w:p>
    <w:p w14:paraId="3E07970A" w14:textId="2074F539"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e</w:t>
      </w:r>
      <w:r w:rsidR="001F2F0B" w:rsidRPr="00BD5E37">
        <w:rPr>
          <w:rFonts w:eastAsia="黑体"/>
        </w:rPr>
        <w:t>)</w:t>
      </w:r>
      <w:r w:rsidRPr="00BD5E37">
        <w:rPr>
          <w:rFonts w:eastAsia="黑体"/>
        </w:rPr>
        <w:tab/>
      </w:r>
      <w:r w:rsidRPr="00BD5E37">
        <w:rPr>
          <w:rFonts w:eastAsia="黑体" w:hint="eastAsia"/>
        </w:rPr>
        <w:t>建立机制，以便将性别分析纳入，并确保妇女参与，农业部门和“蓝色经济”，特别是根据可持续发展战略计划这样做，并确保农村妇女有机会获得农业创新、新技术和农业企业发展以及小型和微型项目方面的技术支持和培训，并便利农村妇女获得银行服务，包括移动银行服务；</w:t>
      </w:r>
    </w:p>
    <w:p w14:paraId="443A3B4A" w14:textId="3BBCDCD4" w:rsidR="00425DAE" w:rsidRPr="00BD5E37"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BD5E37">
        <w:rPr>
          <w:rFonts w:eastAsia="黑体"/>
        </w:rPr>
        <w:tab/>
      </w:r>
      <w:r w:rsidR="001F2F0B" w:rsidRPr="00BD5E37">
        <w:rPr>
          <w:rFonts w:eastAsia="黑体"/>
        </w:rPr>
        <w:t>(</w:t>
      </w:r>
      <w:r w:rsidRPr="00BD5E37">
        <w:rPr>
          <w:rFonts w:eastAsia="黑体"/>
        </w:rPr>
        <w:t>f</w:t>
      </w:r>
      <w:r w:rsidR="001F2F0B" w:rsidRPr="00BD5E37">
        <w:rPr>
          <w:rFonts w:eastAsia="黑体"/>
        </w:rPr>
        <w:t>)</w:t>
      </w:r>
      <w:r w:rsidRPr="00BD5E37">
        <w:rPr>
          <w:rFonts w:eastAsia="黑体"/>
        </w:rPr>
        <w:tab/>
      </w:r>
      <w:r w:rsidRPr="00BD5E37">
        <w:rPr>
          <w:rFonts w:eastAsia="黑体" w:hint="eastAsia"/>
        </w:rPr>
        <w:t>按照国家可再生能源计划和国家能效计划的设想，确保农村妇女用上可再生能源发的电，用于烹饪和其他需求，并有效参与设计和实施发展海洋可持续利用的措施，即“蓝色经济”。</w:t>
      </w:r>
    </w:p>
    <w:p w14:paraId="09016BDD"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hint="eastAsia"/>
        </w:rPr>
        <w:t>残疾妇女</w:t>
      </w:r>
    </w:p>
    <w:p w14:paraId="1693B8EE"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42.</w:t>
      </w:r>
      <w:r w:rsidRPr="00425DAE">
        <w:tab/>
      </w:r>
      <w:r w:rsidRPr="00425DAE">
        <w:rPr>
          <w:rFonts w:hint="eastAsia"/>
        </w:rPr>
        <w:t>令委员会感到关切的是，残疾女童和妇女的文盲率很高，残疾妇女面临严重的性别暴力，包括身心暴力和性暴力，而大多数残疾妇女不愿报告此类事件。委员会还感到关切的是，在性健康和生殖健康及权利方面，对妇女存在偏见，她们在终止妊娠方面面临家庭和社会压力，她们避孕药具用得有限。</w:t>
      </w:r>
    </w:p>
    <w:p w14:paraId="3C2A4C6A"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43.</w:t>
      </w:r>
      <w:r w:rsidRPr="00425DAE">
        <w:rPr>
          <w:rFonts w:eastAsia="黑体"/>
        </w:rPr>
        <w:tab/>
      </w:r>
      <w:r w:rsidRPr="00425DAE">
        <w:rPr>
          <w:rFonts w:eastAsia="黑体" w:hint="eastAsia"/>
        </w:rPr>
        <w:t>委员会建议缔约国：</w:t>
      </w:r>
    </w:p>
    <w:p w14:paraId="3DC26310" w14:textId="1374C64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确保残疾女童和妇女有机会接受全纳教育，有机会获得补救措施，以便在权利受到侵犯时提出申诉；</w:t>
      </w:r>
    </w:p>
    <w:p w14:paraId="655F2D82" w14:textId="13F98842"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hint="eastAsia"/>
        </w:rPr>
        <w:t>b</w:t>
      </w:r>
      <w:r w:rsidR="001F2F0B" w:rsidRPr="001F2F0B">
        <w:rPr>
          <w:rFonts w:eastAsia="黑体"/>
        </w:rPr>
        <w:t>)</w:t>
      </w:r>
      <w:r w:rsidRPr="00425DAE">
        <w:rPr>
          <w:rFonts w:eastAsia="黑体"/>
        </w:rPr>
        <w:tab/>
      </w:r>
      <w:r w:rsidRPr="00425DAE">
        <w:rPr>
          <w:rFonts w:eastAsia="黑体" w:hint="eastAsia"/>
        </w:rPr>
        <w:t>采取进一步措施，使卫生保健系统更具包容性、更方便残疾妇女使用；</w:t>
      </w:r>
    </w:p>
    <w:p w14:paraId="0F61C61F" w14:textId="2F2D5581"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依照国际标准，确保对残疾妇女和女童实施的所有性暴力和强制绝育案件得到应有调查，确保犯罪者受到起诉和适当惩罚，并确保只有经有关人员的自由知情同意，才能执行医疗程序。</w:t>
      </w:r>
    </w:p>
    <w:p w14:paraId="34FA4A56"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移民妇女</w:t>
      </w:r>
    </w:p>
    <w:p w14:paraId="01028C21" w14:textId="2778BB6C"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44.</w:t>
      </w:r>
      <w:r w:rsidRPr="00425DAE">
        <w:tab/>
      </w:r>
      <w:r w:rsidRPr="00425DAE">
        <w:rPr>
          <w:rFonts w:hint="eastAsia"/>
        </w:rPr>
        <w:t>委员会欢迎移民总局针对妇女采取的措施。然而，委员会关切地注意到，由于费用、语言障碍、工作时间过长及其伴侣的重男轻女态度，女性移民在身份正常化和获得教育和保健服务</w:t>
      </w:r>
      <w:r w:rsidR="001F2F0B" w:rsidRPr="001F2F0B">
        <w:rPr>
          <w:rFonts w:hint="eastAsia"/>
        </w:rPr>
        <w:t>(</w:t>
      </w:r>
      <w:r w:rsidRPr="00425DAE">
        <w:rPr>
          <w:rFonts w:hint="eastAsia"/>
        </w:rPr>
        <w:t>包括性健康和生殖健康服务</w:t>
      </w:r>
      <w:r w:rsidR="001F2F0B" w:rsidRPr="001F2F0B">
        <w:rPr>
          <w:rFonts w:hint="eastAsia"/>
        </w:rPr>
        <w:t>)</w:t>
      </w:r>
      <w:r w:rsidRPr="00425DAE">
        <w:rPr>
          <w:rFonts w:hint="eastAsia"/>
        </w:rPr>
        <w:t>方面面临困难。委员会注意到，没有报告切割女性生殖器官的案例，但仍然对移民社区内可能有人这样做感到关切。</w:t>
      </w:r>
    </w:p>
    <w:p w14:paraId="59C67B05"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45.</w:t>
      </w:r>
      <w:r w:rsidRPr="00425DAE">
        <w:rPr>
          <w:rFonts w:eastAsia="黑体"/>
        </w:rPr>
        <w:tab/>
      </w:r>
      <w:r w:rsidRPr="00425DAE">
        <w:rPr>
          <w:rFonts w:eastAsia="黑体" w:hint="eastAsia"/>
        </w:rPr>
        <w:t>委员会建议缔约国继续支持移民妇女，考虑将其移民身份正规化，并确保移民妇女获得教育和保健服务。委员会还建议缔约国打击阻碍移民妇女享受其权利的重男轻女态度，并对可能发生切割女性生殖器官的情形继续保持监测。</w:t>
      </w:r>
    </w:p>
    <w:p w14:paraId="2E6A4F07"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婚姻和家庭关系</w:t>
      </w:r>
    </w:p>
    <w:p w14:paraId="3F66872D"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425DAE">
        <w:t>46.</w:t>
      </w:r>
      <w:r w:rsidRPr="00425DAE">
        <w:tab/>
      </w:r>
      <w:r w:rsidRPr="00425DAE">
        <w:rPr>
          <w:rFonts w:hint="eastAsia"/>
        </w:rPr>
        <w:t>委员会注意到，有消息称，缔约国事实上的一夫多妻情形有所减少。然而，令委员会感到关切的是，改变社会态度和做法的努力仍然不够，</w:t>
      </w:r>
      <w:r w:rsidRPr="00425DAE">
        <w:t>18</w:t>
      </w:r>
      <w:r w:rsidRPr="00425DAE">
        <w:rPr>
          <w:rFonts w:hint="eastAsia"/>
        </w:rPr>
        <w:t>岁以下的女童有时就结成事实上的结合关系，此种关系类似于童婚。委员会关切地注意到，</w:t>
      </w:r>
      <w:r w:rsidRPr="00425DAE">
        <w:t>19</w:t>
      </w:r>
      <w:r w:rsidRPr="00425DAE">
        <w:rPr>
          <w:rFonts w:hint="eastAsia"/>
        </w:rPr>
        <w:t>岁以上者如已同居至少三年，其事实上的结合就得到《民法》承认；这实际上使年仅</w:t>
      </w:r>
      <w:r w:rsidRPr="00425DAE">
        <w:t>16</w:t>
      </w:r>
      <w:r w:rsidRPr="00425DAE">
        <w:rPr>
          <w:rFonts w:hint="eastAsia"/>
        </w:rPr>
        <w:t>岁的儿童事实上的结合合法化。委员会对妇女在分居和离婚时面临的困难感到关切，分居和离婚往往导致社会经济状况不稳定。委员会关切地注意到</w:t>
      </w:r>
      <w:r w:rsidRPr="00425DAE">
        <w:t>2018</w:t>
      </w:r>
      <w:r w:rsidRPr="00425DAE">
        <w:rPr>
          <w:rFonts w:hint="eastAsia"/>
        </w:rPr>
        <w:t>年发生的八起杀害妇女案件，所有这些案件都涉及妇女离开伴侣的情况。</w:t>
      </w:r>
    </w:p>
    <w:p w14:paraId="530A6B4D" w14:textId="77777777" w:rsidR="00BD5E37" w:rsidRDefault="00BD5E37">
      <w:pPr>
        <w:spacing w:line="240" w:lineRule="auto"/>
        <w:jc w:val="left"/>
        <w:rPr>
          <w:rFonts w:eastAsia="黑体"/>
        </w:rPr>
      </w:pPr>
      <w:r>
        <w:rPr>
          <w:rFonts w:eastAsia="黑体"/>
        </w:rPr>
        <w:br w:type="page"/>
      </w:r>
    </w:p>
    <w:p w14:paraId="5B5C95B3" w14:textId="7A92210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47.</w:t>
      </w:r>
      <w:r w:rsidRPr="00425DAE">
        <w:rPr>
          <w:rFonts w:eastAsia="黑体"/>
        </w:rPr>
        <w:tab/>
      </w:r>
      <w:r w:rsidRPr="00425DAE">
        <w:rPr>
          <w:rFonts w:eastAsia="黑体" w:hint="eastAsia"/>
        </w:rPr>
        <w:t>委员会建议缔约国：</w:t>
      </w:r>
    </w:p>
    <w:p w14:paraId="09E7D164" w14:textId="6533EBF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a</w:t>
      </w:r>
      <w:r w:rsidR="001F2F0B" w:rsidRPr="001F2F0B">
        <w:rPr>
          <w:rFonts w:eastAsia="黑体"/>
        </w:rPr>
        <w:t>)</w:t>
      </w:r>
      <w:r w:rsidRPr="00425DAE">
        <w:rPr>
          <w:rFonts w:eastAsia="黑体"/>
        </w:rPr>
        <w:tab/>
      </w:r>
      <w:r w:rsidRPr="00425DAE">
        <w:rPr>
          <w:rFonts w:eastAsia="黑体" w:hint="eastAsia"/>
        </w:rPr>
        <w:t>加强努力防止和结束事实上的一夫多妻制；</w:t>
      </w:r>
    </w:p>
    <w:p w14:paraId="1D58A93F" w14:textId="78E7AB15"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b</w:t>
      </w:r>
      <w:r w:rsidR="001F2F0B" w:rsidRPr="001F2F0B">
        <w:rPr>
          <w:rFonts w:eastAsia="黑体"/>
        </w:rPr>
        <w:t>)</w:t>
      </w:r>
      <w:r w:rsidRPr="00425DAE">
        <w:rPr>
          <w:rFonts w:eastAsia="黑体"/>
        </w:rPr>
        <w:tab/>
      </w:r>
      <w:r w:rsidRPr="00425DAE">
        <w:rPr>
          <w:rFonts w:eastAsia="黑体" w:hint="eastAsia"/>
        </w:rPr>
        <w:t>修订《民法》，禁止</w:t>
      </w:r>
      <w:r w:rsidRPr="00425DAE">
        <w:rPr>
          <w:rFonts w:eastAsia="黑体"/>
        </w:rPr>
        <w:t>18</w:t>
      </w:r>
      <w:r w:rsidRPr="00425DAE">
        <w:rPr>
          <w:rFonts w:eastAsia="黑体" w:hint="eastAsia"/>
        </w:rPr>
        <w:t>岁以下女童事实上的结合——那类似于童婚；只承认双方至少</w:t>
      </w:r>
      <w:r w:rsidRPr="00425DAE">
        <w:rPr>
          <w:rFonts w:eastAsia="黑体"/>
        </w:rPr>
        <w:t>18</w:t>
      </w:r>
      <w:r w:rsidRPr="00425DAE">
        <w:rPr>
          <w:rFonts w:eastAsia="黑体" w:hint="eastAsia"/>
        </w:rPr>
        <w:t>岁时开始的、事实上的结合；</w:t>
      </w:r>
    </w:p>
    <w:p w14:paraId="6D61870A" w14:textId="61B7F09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c</w:t>
      </w:r>
      <w:r w:rsidR="001F2F0B" w:rsidRPr="001F2F0B">
        <w:rPr>
          <w:rFonts w:eastAsia="黑体"/>
        </w:rPr>
        <w:t>)</w:t>
      </w:r>
      <w:r w:rsidRPr="00425DAE">
        <w:rPr>
          <w:rFonts w:eastAsia="黑体"/>
        </w:rPr>
        <w:tab/>
      </w:r>
      <w:r w:rsidRPr="00425DAE">
        <w:rPr>
          <w:rFonts w:eastAsia="黑体" w:hint="eastAsia"/>
        </w:rPr>
        <w:t>确保事实上的结合中男女共有的财产从一开始就以双方的名义登记；</w:t>
      </w:r>
    </w:p>
    <w:p w14:paraId="51866A77" w14:textId="6C02A676"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425DAE">
        <w:rPr>
          <w:rFonts w:eastAsia="黑体"/>
        </w:rPr>
        <w:tab/>
      </w:r>
      <w:r w:rsidR="001F2F0B" w:rsidRPr="001F2F0B">
        <w:rPr>
          <w:rFonts w:eastAsia="黑体"/>
        </w:rPr>
        <w:t>(</w:t>
      </w:r>
      <w:r w:rsidRPr="00425DAE">
        <w:rPr>
          <w:rFonts w:eastAsia="黑体"/>
        </w:rPr>
        <w:t>d</w:t>
      </w:r>
      <w:r w:rsidR="001F2F0B" w:rsidRPr="001F2F0B">
        <w:rPr>
          <w:rFonts w:eastAsia="黑体"/>
        </w:rPr>
        <w:t>)</w:t>
      </w:r>
      <w:r w:rsidRPr="00425DAE">
        <w:rPr>
          <w:rFonts w:eastAsia="黑体"/>
        </w:rPr>
        <w:tab/>
      </w:r>
      <w:r w:rsidRPr="00425DAE">
        <w:rPr>
          <w:rFonts w:eastAsia="黑体" w:hint="eastAsia"/>
        </w:rPr>
        <w:t>确保分居和离婚的妇女在必要时能够获得财政支持、针对使用暴力的伴侣的保护令和法律援助。</w:t>
      </w:r>
    </w:p>
    <w:p w14:paraId="2CAF3D5C" w14:textId="3E3E6414"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数据收集和分析</w:t>
      </w:r>
      <w:r w:rsidRPr="00425DAE">
        <w:rPr>
          <w:rFonts w:eastAsia="黑体" w:hint="eastAsia"/>
        </w:rPr>
        <w:t>。</w:t>
      </w:r>
    </w:p>
    <w:p w14:paraId="59D1BC00"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48.</w:t>
      </w:r>
      <w:r w:rsidRPr="00425DAE">
        <w:rPr>
          <w:rFonts w:eastAsia="黑体"/>
        </w:rPr>
        <w:tab/>
      </w:r>
      <w:r w:rsidRPr="00425DAE">
        <w:rPr>
          <w:rFonts w:eastAsia="黑体" w:hint="eastAsia"/>
        </w:rPr>
        <w:t>收集按性别、种族、残疾情况和年龄分列的数据，以便为关于妇女和女童的政策和方案提供依据，并协助追踪在实现可持续发展目标方面取得的进展。</w:t>
      </w:r>
    </w:p>
    <w:p w14:paraId="5E263413"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《公约》第二十条第</w:t>
      </w:r>
      <w:r w:rsidRPr="00425DAE">
        <w:rPr>
          <w:rFonts w:eastAsia="黑体"/>
          <w:szCs w:val="21"/>
        </w:rPr>
        <w:t>1</w:t>
      </w:r>
      <w:r w:rsidRPr="00425DAE">
        <w:rPr>
          <w:rFonts w:eastAsia="黑体" w:hint="eastAsia"/>
          <w:szCs w:val="21"/>
        </w:rPr>
        <w:t>款修正案</w:t>
      </w:r>
    </w:p>
    <w:p w14:paraId="7AA8A234"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spacing w:val="-4"/>
        </w:rPr>
      </w:pPr>
      <w:r w:rsidRPr="00425DAE">
        <w:rPr>
          <w:rFonts w:eastAsia="黑体"/>
          <w:spacing w:val="-4"/>
        </w:rPr>
        <w:t>49.</w:t>
      </w:r>
      <w:r w:rsidRPr="00425DAE">
        <w:rPr>
          <w:rFonts w:eastAsia="黑体"/>
          <w:spacing w:val="-4"/>
        </w:rPr>
        <w:tab/>
      </w:r>
      <w:r w:rsidRPr="00425DAE">
        <w:rPr>
          <w:rFonts w:eastAsia="黑体" w:hint="eastAsia"/>
          <w:spacing w:val="-4"/>
        </w:rPr>
        <w:t>委员会鼓励缔约国接受关于委员会会议时间的《公约》第二十条第</w:t>
      </w:r>
      <w:r w:rsidRPr="00425DAE">
        <w:rPr>
          <w:rFonts w:eastAsia="黑体"/>
          <w:spacing w:val="-4"/>
        </w:rPr>
        <w:t>1</w:t>
      </w:r>
      <w:r w:rsidRPr="00425DAE">
        <w:rPr>
          <w:rFonts w:eastAsia="黑体" w:hint="eastAsia"/>
          <w:spacing w:val="-4"/>
        </w:rPr>
        <w:t>款修正案。</w:t>
      </w:r>
    </w:p>
    <w:p w14:paraId="326394E9"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《北京宣言和行动纲要》</w:t>
      </w:r>
    </w:p>
    <w:p w14:paraId="31547767"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50.</w:t>
      </w:r>
      <w:r w:rsidRPr="00425DAE">
        <w:rPr>
          <w:rFonts w:eastAsia="黑体"/>
        </w:rPr>
        <w:tab/>
      </w:r>
      <w:r w:rsidRPr="00425DAE">
        <w:rPr>
          <w:rFonts w:eastAsia="黑体" w:hint="eastAsia"/>
        </w:rPr>
        <w:t>委员会呼吁缔约国利用《北京宣言和行动纲要》，并在对《宣言和行动纲要》执行情况进行</w:t>
      </w:r>
      <w:r w:rsidRPr="00425DAE">
        <w:rPr>
          <w:rFonts w:eastAsia="黑体"/>
        </w:rPr>
        <w:t>25</w:t>
      </w:r>
      <w:r w:rsidRPr="00425DAE">
        <w:rPr>
          <w:rFonts w:eastAsia="黑体" w:hint="eastAsia"/>
        </w:rPr>
        <w:t>年审查的背景下，进一步评估《公约》所载权利的实现情况，以实现男女之间的实质性平等。</w:t>
      </w:r>
    </w:p>
    <w:p w14:paraId="10756C35"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szCs w:val="21"/>
        </w:rPr>
        <w:tab/>
      </w:r>
      <w:r w:rsidRPr="00425DAE">
        <w:rPr>
          <w:rFonts w:eastAsia="黑体" w:hint="eastAsia"/>
          <w:szCs w:val="21"/>
        </w:rPr>
        <w:t>传播</w:t>
      </w:r>
    </w:p>
    <w:p w14:paraId="03C4F32A" w14:textId="31BE01BA"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51.</w:t>
      </w:r>
      <w:r w:rsidRPr="00425DAE">
        <w:rPr>
          <w:rFonts w:eastAsia="黑体"/>
        </w:rPr>
        <w:tab/>
      </w:r>
      <w:r w:rsidRPr="00425DAE">
        <w:rPr>
          <w:rFonts w:eastAsia="黑体" w:hint="eastAsia"/>
        </w:rPr>
        <w:t>委员会请缔约国确保以官方语言向</w:t>
      </w:r>
      <w:r w:rsidR="001F2F0B" w:rsidRPr="001F2F0B">
        <w:rPr>
          <w:rFonts w:eastAsia="黑体" w:hint="eastAsia"/>
        </w:rPr>
        <w:t>(</w:t>
      </w:r>
      <w:r w:rsidRPr="00425DAE">
        <w:rPr>
          <w:rFonts w:eastAsia="黑体" w:hint="eastAsia"/>
        </w:rPr>
        <w:t>国家、地区和地方</w:t>
      </w:r>
      <w:r w:rsidR="001F2F0B" w:rsidRPr="001F2F0B">
        <w:rPr>
          <w:rFonts w:eastAsia="黑体" w:hint="eastAsia"/>
        </w:rPr>
        <w:t>)</w:t>
      </w:r>
      <w:r w:rsidRPr="00425DAE">
        <w:rPr>
          <w:rFonts w:eastAsia="黑体" w:hint="eastAsia"/>
        </w:rPr>
        <w:t>各级相关国家机构，尤其是向政府、议会和司法部门及时传播本结论性意见，使之得到充分落实。</w:t>
      </w:r>
    </w:p>
    <w:p w14:paraId="35B157CB"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技术援助</w:t>
      </w:r>
    </w:p>
    <w:p w14:paraId="6F81CFCC"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52.</w:t>
      </w:r>
      <w:r w:rsidRPr="00425DAE">
        <w:rPr>
          <w:rFonts w:eastAsia="黑体"/>
        </w:rPr>
        <w:tab/>
      </w:r>
      <w:r w:rsidRPr="00425DAE">
        <w:rPr>
          <w:rFonts w:eastAsia="黑体" w:hint="eastAsia"/>
        </w:rPr>
        <w:t>委员会建议缔约国将《公约》的执行工作与本国的发展努力联系起来，并寻求这方面的区域或国际技术援助。</w:t>
      </w:r>
    </w:p>
    <w:p w14:paraId="620DC922"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批准其他条约</w:t>
      </w:r>
    </w:p>
    <w:p w14:paraId="45E9F94A"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53.</w:t>
      </w:r>
      <w:r w:rsidRPr="00425DAE">
        <w:rPr>
          <w:rFonts w:eastAsia="黑体"/>
        </w:rPr>
        <w:tab/>
      </w:r>
      <w:r w:rsidRPr="00425DAE">
        <w:rPr>
          <w:rFonts w:eastAsia="黑体" w:hint="eastAsia"/>
        </w:rPr>
        <w:t>委员会指出，缔约国如能加入九项国际人权文书，便可以促进妇女在生活各方面享有人权和基本自由。</w:t>
      </w:r>
      <w:r w:rsidRPr="00425DAE">
        <w:rPr>
          <w:rFonts w:eastAsia="黑体"/>
          <w:vertAlign w:val="superscript"/>
        </w:rPr>
        <w:footnoteReference w:id="2"/>
      </w:r>
      <w:r w:rsidRPr="00425DAE">
        <w:rPr>
          <w:rFonts w:eastAsia="黑体"/>
          <w:vertAlign w:val="superscript"/>
        </w:rPr>
        <w:t xml:space="preserve"> </w:t>
      </w:r>
      <w:r w:rsidRPr="00425DAE">
        <w:rPr>
          <w:rFonts w:eastAsia="黑体" w:hint="eastAsia"/>
        </w:rPr>
        <w:t>因此，委员会鼓励该缔约国批准其尚未加入的《保护所有人免遭强迫失踪国际公约》。</w:t>
      </w:r>
    </w:p>
    <w:p w14:paraId="4C8AA45A" w14:textId="77777777" w:rsidR="00BD5E37" w:rsidRDefault="00BD5E37">
      <w:pPr>
        <w:spacing w:line="240" w:lineRule="auto"/>
        <w:jc w:val="left"/>
        <w:rPr>
          <w:rFonts w:eastAsia="黑体"/>
        </w:rPr>
      </w:pPr>
      <w:r>
        <w:rPr>
          <w:rFonts w:eastAsia="黑体"/>
        </w:rPr>
        <w:br w:type="page"/>
      </w:r>
    </w:p>
    <w:p w14:paraId="3C0D60DA" w14:textId="51C34DC0"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hint="eastAsia"/>
        </w:rPr>
        <w:t>结论性意见的后续行动</w:t>
      </w:r>
    </w:p>
    <w:p w14:paraId="68496448" w14:textId="49A8B12B"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54.</w:t>
      </w:r>
      <w:r w:rsidRPr="00425DAE">
        <w:rPr>
          <w:rFonts w:eastAsia="黑体"/>
        </w:rPr>
        <w:tab/>
      </w:r>
      <w:r w:rsidRPr="00425DAE">
        <w:rPr>
          <w:rFonts w:eastAsia="黑体" w:hint="eastAsia"/>
        </w:rPr>
        <w:t>令委员会感到遗憾的是，缔约国没有提交资料说明它采取了什么措施来执行委员会在上一份结论性意见中提出的应立即采取行动的那些具体建议。委员会请缔约国在两年内提供书面资料，说明为执行上文第</w:t>
      </w:r>
      <w:r w:rsidRPr="00425DAE">
        <w:rPr>
          <w:rFonts w:eastAsia="黑体"/>
        </w:rPr>
        <w:t>22</w:t>
      </w:r>
      <w:r w:rsidR="001F2F0B" w:rsidRPr="001F2F0B">
        <w:rPr>
          <w:rFonts w:eastAsia="黑体"/>
        </w:rPr>
        <w:t>(</w:t>
      </w:r>
      <w:r w:rsidRPr="00425DAE">
        <w:rPr>
          <w:rFonts w:eastAsia="黑体"/>
        </w:rPr>
        <w:t>a</w:t>
      </w:r>
      <w:r w:rsidR="001F2F0B" w:rsidRPr="001F2F0B">
        <w:rPr>
          <w:rFonts w:eastAsia="黑体"/>
        </w:rPr>
        <w:t>)</w:t>
      </w:r>
      <w:r w:rsidRPr="00425DAE">
        <w:rPr>
          <w:rFonts w:eastAsia="黑体" w:hint="eastAsia"/>
        </w:rPr>
        <w:t>、</w:t>
      </w:r>
      <w:r w:rsidRPr="00425DAE">
        <w:rPr>
          <w:rFonts w:eastAsia="黑体"/>
        </w:rPr>
        <w:t>26</w:t>
      </w:r>
      <w:r w:rsidR="001F2F0B" w:rsidRPr="001F2F0B">
        <w:rPr>
          <w:rFonts w:eastAsia="黑体" w:hint="eastAsia"/>
        </w:rPr>
        <w:t>(</w:t>
      </w:r>
      <w:r w:rsidRPr="00425DAE">
        <w:rPr>
          <w:rFonts w:eastAsia="黑体"/>
        </w:rPr>
        <w:t>a</w:t>
      </w:r>
      <w:r w:rsidR="001F2F0B" w:rsidRPr="001F2F0B">
        <w:rPr>
          <w:rFonts w:eastAsia="黑体" w:hint="eastAsia"/>
        </w:rPr>
        <w:t>)</w:t>
      </w:r>
      <w:r w:rsidRPr="00425DAE">
        <w:rPr>
          <w:rFonts w:eastAsia="黑体" w:hint="eastAsia"/>
        </w:rPr>
        <w:t>、</w:t>
      </w:r>
      <w:r w:rsidRPr="00425DAE">
        <w:rPr>
          <w:rFonts w:eastAsia="黑体"/>
        </w:rPr>
        <w:t>29</w:t>
      </w:r>
      <w:r w:rsidR="001F2F0B" w:rsidRPr="001F2F0B">
        <w:rPr>
          <w:rFonts w:eastAsia="黑体" w:hint="eastAsia"/>
        </w:rPr>
        <w:t>(</w:t>
      </w:r>
      <w:r w:rsidRPr="00425DAE">
        <w:rPr>
          <w:rFonts w:eastAsia="黑体"/>
        </w:rPr>
        <w:t>c</w:t>
      </w:r>
      <w:r w:rsidR="001F2F0B" w:rsidRPr="001F2F0B">
        <w:rPr>
          <w:rFonts w:eastAsia="黑体" w:hint="eastAsia"/>
        </w:rPr>
        <w:t>)</w:t>
      </w:r>
      <w:r w:rsidRPr="00425DAE">
        <w:rPr>
          <w:rFonts w:eastAsia="黑体" w:hint="eastAsia"/>
        </w:rPr>
        <w:t>和</w:t>
      </w:r>
      <w:r w:rsidRPr="00425DAE">
        <w:rPr>
          <w:rFonts w:eastAsia="黑体"/>
        </w:rPr>
        <w:t>33</w:t>
      </w:r>
      <w:r w:rsidR="001F2F0B" w:rsidRPr="001F2F0B">
        <w:rPr>
          <w:rFonts w:eastAsia="黑体"/>
        </w:rPr>
        <w:t>(</w:t>
      </w:r>
      <w:r w:rsidRPr="00425DAE">
        <w:rPr>
          <w:rFonts w:eastAsia="黑体"/>
        </w:rPr>
        <w:t>a</w:t>
      </w:r>
      <w:r w:rsidR="001F2F0B" w:rsidRPr="001F2F0B">
        <w:rPr>
          <w:rFonts w:eastAsia="黑体"/>
        </w:rPr>
        <w:t>)</w:t>
      </w:r>
      <w:r w:rsidRPr="00425DAE">
        <w:rPr>
          <w:rFonts w:eastAsia="黑体" w:hint="eastAsia"/>
        </w:rPr>
        <w:t>段所载建议而采取的步骤。</w:t>
      </w:r>
    </w:p>
    <w:p w14:paraId="62991D3C" w14:textId="77777777" w:rsidR="00425DAE" w:rsidRPr="00425DAE" w:rsidRDefault="00425DAE" w:rsidP="00425DAE">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25DAE">
        <w:rPr>
          <w:rFonts w:eastAsia="黑体"/>
          <w:szCs w:val="21"/>
        </w:rPr>
        <w:tab/>
      </w:r>
      <w:r w:rsidRPr="00425DAE">
        <w:rPr>
          <w:rFonts w:eastAsia="黑体"/>
          <w:szCs w:val="21"/>
        </w:rPr>
        <w:tab/>
      </w:r>
      <w:r w:rsidRPr="00425DAE">
        <w:rPr>
          <w:rFonts w:eastAsia="黑体" w:hint="eastAsia"/>
          <w:szCs w:val="21"/>
        </w:rPr>
        <w:t>编写下次报告</w:t>
      </w:r>
    </w:p>
    <w:p w14:paraId="27036309" w14:textId="7777777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264" w:right="1264"/>
        <w:rPr>
          <w:rFonts w:eastAsia="黑体"/>
        </w:rPr>
      </w:pPr>
      <w:r w:rsidRPr="00425DAE">
        <w:rPr>
          <w:rFonts w:eastAsia="黑体"/>
        </w:rPr>
        <w:t>55.</w:t>
      </w:r>
      <w:r w:rsidRPr="00425DAE">
        <w:rPr>
          <w:rFonts w:eastAsia="黑体"/>
        </w:rPr>
        <w:tab/>
      </w:r>
      <w:r w:rsidRPr="00425DAE">
        <w:rPr>
          <w:rFonts w:eastAsia="黑体" w:hint="eastAsia"/>
        </w:rPr>
        <w:t>委员会请缔约国于</w:t>
      </w:r>
      <w:r w:rsidRPr="00425DAE">
        <w:rPr>
          <w:rFonts w:eastAsia="黑体"/>
        </w:rPr>
        <w:t>2023</w:t>
      </w:r>
      <w:r w:rsidRPr="00425DAE">
        <w:rPr>
          <w:rFonts w:eastAsia="黑体" w:hint="eastAsia"/>
        </w:rPr>
        <w:t>年</w:t>
      </w:r>
      <w:r w:rsidRPr="00425DAE">
        <w:rPr>
          <w:rFonts w:eastAsia="黑体"/>
        </w:rPr>
        <w:t>7</w:t>
      </w:r>
      <w:r w:rsidRPr="00425DAE">
        <w:rPr>
          <w:rFonts w:eastAsia="黑体" w:hint="eastAsia"/>
        </w:rPr>
        <w:t>月提交其第十次定期报告。若报告迟交，报告涵盖的期限应截至提交前为止。</w:t>
      </w:r>
    </w:p>
    <w:p w14:paraId="47FB1AC0" w14:textId="25919A17"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rFonts w:eastAsia="黑体"/>
        </w:rPr>
      </w:pPr>
      <w:r w:rsidRPr="00425DAE">
        <w:rPr>
          <w:rFonts w:eastAsia="黑体"/>
        </w:rPr>
        <w:t>56.</w:t>
      </w:r>
      <w:r w:rsidRPr="00425DAE">
        <w:rPr>
          <w:rFonts w:eastAsia="黑体"/>
        </w:rPr>
        <w:tab/>
      </w:r>
      <w:r w:rsidRPr="00425DAE">
        <w:rPr>
          <w:rFonts w:eastAsia="黑体" w:hint="eastAsia"/>
        </w:rPr>
        <w:t>委员会请缔约国遵守《包括共同核心文件和条约专要文件准则在内的根据国际人权条约提交报告的协调准则》</w:t>
      </w:r>
      <w:r w:rsidR="001F2F0B" w:rsidRPr="001F2F0B">
        <w:rPr>
          <w:rFonts w:eastAsia="黑体" w:hint="eastAsia"/>
        </w:rPr>
        <w:t>(</w:t>
      </w:r>
      <w:r w:rsidRPr="00425DAE">
        <w:rPr>
          <w:rFonts w:eastAsia="黑体" w:hint="eastAsia"/>
        </w:rPr>
        <w:t>见</w:t>
      </w:r>
      <w:hyperlink r:id="rId28" w:history="1">
        <w:r w:rsidRPr="005977E8">
          <w:rPr>
            <w:rStyle w:val="af4"/>
            <w:rFonts w:eastAsia="黑体"/>
          </w:rPr>
          <w:t>HRI/GEN/2/Rev.6</w:t>
        </w:r>
      </w:hyperlink>
      <w:r w:rsidRPr="00425DAE">
        <w:rPr>
          <w:rFonts w:eastAsia="黑体" w:hint="eastAsia"/>
        </w:rPr>
        <w:t>，第一章</w:t>
      </w:r>
      <w:r w:rsidR="001F2F0B" w:rsidRPr="001F2F0B">
        <w:rPr>
          <w:rFonts w:eastAsia="黑体" w:hint="eastAsia"/>
        </w:rPr>
        <w:t>)</w:t>
      </w:r>
      <w:r w:rsidRPr="00425DAE">
        <w:rPr>
          <w:rFonts w:eastAsia="黑体" w:hint="eastAsia"/>
        </w:rPr>
        <w:t>。</w:t>
      </w:r>
    </w:p>
    <w:p w14:paraId="073E005C" w14:textId="2A80B2D9" w:rsidR="00425DAE" w:rsidRPr="00425DAE" w:rsidRDefault="00425DAE" w:rsidP="00425DA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rFonts w:eastAsia="黑体"/>
          <w:sz w:val="20"/>
        </w:rPr>
      </w:pPr>
    </w:p>
    <w:p w14:paraId="398C692D" w14:textId="533EC00E" w:rsidR="00B31E9D" w:rsidRPr="006A60CE" w:rsidRDefault="006A60CE" w:rsidP="00425DAE">
      <w:pPr>
        <w:pStyle w:val="SingleTxt"/>
        <w:spacing w:after="0" w:line="240" w:lineRule="auto"/>
        <w:rPr>
          <w:rFonts w:eastAsia="黑体"/>
          <w:sz w:val="20"/>
        </w:rPr>
      </w:pPr>
      <w:r w:rsidRPr="001F2F0B">
        <w:rPr>
          <w:rFonts w:eastAsia="黑体" w:hint="eastAsia"/>
          <w:noProof/>
          <w:sz w:val="20"/>
        </w:rPr>
        <mc:AlternateContent>
          <mc:Choice Requires="wps">
            <w:drawing>
              <wp:anchor distT="0" distB="0" distL="114300" distR="114300" simplePos="0" relativeHeight="251659264" behindDoc="0" locked="0" layoutInCell="1" allowOverlap="1" wp14:anchorId="2F86B27D" wp14:editId="6BB67F4E">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B81884" id="直接连接符 7"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8LChO6QEAAAkEAAAOAAAAAAAAAAAAAAAAAC4CAABkcnMvZTJvRG9jLnhtbFBL&#10;AQItABQABgAIAAAAIQDVtq9a2wAAAAYBAAAPAAAAAAAAAAAAAAAAAEMEAABkcnMvZG93bnJldi54&#10;bWxQSwUGAAAAAAQABADzAAAASwUAAAAA&#10;" strokecolor="#010000" strokeweight=".25pt"/>
            </w:pict>
          </mc:Fallback>
        </mc:AlternateContent>
      </w:r>
      <w:bookmarkStart w:id="2" w:name="_GoBack"/>
      <w:bookmarkEnd w:id="2"/>
    </w:p>
    <w:sectPr w:rsidR="00B31E9D" w:rsidRPr="006A60CE" w:rsidSect="00A23DA7">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9T15:05:00Z" w:initials="Start">
    <w:p w14:paraId="38935C72" w14:textId="77777777" w:rsidR="007D5D47" w:rsidRDefault="007D5D4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NO&gt;&gt;N1923685C&lt;&lt;ODS JOB NO&gt;&gt;</w:t>
      </w:r>
    </w:p>
    <w:p w14:paraId="084E4F31" w14:textId="77777777" w:rsidR="007D5D47" w:rsidRDefault="007D5D47">
      <w:pPr>
        <w:pStyle w:val="a9"/>
      </w:pPr>
      <w:r>
        <w:t>&lt;&lt;ODS DOC SYMBOL1&gt;&gt;CEDAW/C/CPV/CO/9&lt;&lt;ODS DOC SYMBOL1&gt;&gt;</w:t>
      </w:r>
    </w:p>
    <w:p w14:paraId="3F40D31B" w14:textId="77777777" w:rsidR="007D5D47" w:rsidRDefault="007D5D4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40D3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AF81F" w14:textId="77777777" w:rsidR="007D5D47" w:rsidRDefault="007D5D47">
      <w:r>
        <w:separator/>
      </w:r>
    </w:p>
  </w:endnote>
  <w:endnote w:type="continuationSeparator" w:id="0">
    <w:p w14:paraId="0AE1C2BF" w14:textId="77777777" w:rsidR="007D5D47" w:rsidRDefault="007D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5D47" w14:paraId="4512BDC3" w14:textId="77777777" w:rsidTr="00220780">
      <w:tc>
        <w:tcPr>
          <w:tcW w:w="4920" w:type="dxa"/>
          <w:shd w:val="clear" w:color="auto" w:fill="auto"/>
        </w:tcPr>
        <w:p w14:paraId="5683FF7C" w14:textId="0E4E8D90" w:rsidR="007D5D47" w:rsidRPr="00220780" w:rsidRDefault="007D5D47" w:rsidP="0022078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2D94">
            <w:rPr>
              <w:b w:val="0"/>
              <w:w w:val="103"/>
              <w:sz w:val="14"/>
            </w:rPr>
            <w:t>19-12975</w:t>
          </w:r>
          <w:r>
            <w:rPr>
              <w:b w:val="0"/>
              <w:w w:val="103"/>
              <w:sz w:val="14"/>
            </w:rPr>
            <w:fldChar w:fldCharType="end"/>
          </w:r>
        </w:p>
      </w:tc>
      <w:tc>
        <w:tcPr>
          <w:tcW w:w="4920" w:type="dxa"/>
          <w:shd w:val="clear" w:color="auto" w:fill="auto"/>
        </w:tcPr>
        <w:p w14:paraId="20ED278B" w14:textId="77777777" w:rsidR="007D5D47" w:rsidRPr="00220780" w:rsidRDefault="007D5D47" w:rsidP="0022078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06B981" w14:textId="77777777" w:rsidR="007D5D47" w:rsidRPr="00220780" w:rsidRDefault="007D5D47" w:rsidP="0022078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5D47" w14:paraId="11248DF2" w14:textId="77777777" w:rsidTr="00220780">
      <w:tc>
        <w:tcPr>
          <w:tcW w:w="4920" w:type="dxa"/>
          <w:shd w:val="clear" w:color="auto" w:fill="auto"/>
        </w:tcPr>
        <w:p w14:paraId="55855FBC" w14:textId="77777777" w:rsidR="007D5D47" w:rsidRPr="00220780" w:rsidRDefault="007D5D47" w:rsidP="00220780">
          <w:pPr>
            <w:pStyle w:val="af2"/>
            <w:jc w:val="right"/>
          </w:pPr>
          <w:r>
            <w:fldChar w:fldCharType="begin"/>
          </w:r>
          <w:r>
            <w:instrText xml:space="preserve"> PAGE  \* Arabic  \* MERGEFORMAT </w:instrText>
          </w:r>
          <w:r>
            <w:fldChar w:fldCharType="separate"/>
          </w:r>
          <w:r>
            <w:t>2</w:t>
          </w:r>
          <w:r>
            <w:fldChar w:fldCharType="end"/>
          </w:r>
          <w:r>
            <w:t>/</w:t>
          </w:r>
          <w:r w:rsidR="00732D94">
            <w:fldChar w:fldCharType="begin"/>
          </w:r>
          <w:r w:rsidR="00732D94">
            <w:instrText xml:space="preserve"> NUMPAGES  \* Arabic  \* MERGEFORMAT </w:instrText>
          </w:r>
          <w:r w:rsidR="00732D94">
            <w:fldChar w:fldCharType="separate"/>
          </w:r>
          <w:r>
            <w:t>4</w:t>
          </w:r>
          <w:r w:rsidR="00732D94">
            <w:fldChar w:fldCharType="end"/>
          </w:r>
        </w:p>
      </w:tc>
      <w:tc>
        <w:tcPr>
          <w:tcW w:w="4920" w:type="dxa"/>
          <w:shd w:val="clear" w:color="auto" w:fill="auto"/>
        </w:tcPr>
        <w:p w14:paraId="78B69FFC" w14:textId="79929B31" w:rsidR="007D5D47" w:rsidRPr="00220780" w:rsidRDefault="007D5D47" w:rsidP="0022078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2D94">
            <w:rPr>
              <w:b w:val="0"/>
              <w:w w:val="103"/>
              <w:sz w:val="14"/>
            </w:rPr>
            <w:t>19-12975</w:t>
          </w:r>
          <w:r>
            <w:rPr>
              <w:b w:val="0"/>
              <w:w w:val="103"/>
              <w:sz w:val="14"/>
            </w:rPr>
            <w:fldChar w:fldCharType="end"/>
          </w:r>
        </w:p>
      </w:tc>
    </w:tr>
  </w:tbl>
  <w:p w14:paraId="42663915" w14:textId="77777777" w:rsidR="007D5D47" w:rsidRPr="00220780" w:rsidRDefault="007D5D47" w:rsidP="0022078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7D5D47" w14:paraId="17C8B8BD" w14:textId="77777777" w:rsidTr="00220780">
      <w:tc>
        <w:tcPr>
          <w:tcW w:w="3744" w:type="dxa"/>
          <w:shd w:val="clear" w:color="auto" w:fill="auto"/>
        </w:tcPr>
        <w:p w14:paraId="0E951CEF" w14:textId="48C448DF" w:rsidR="007D5D47" w:rsidRDefault="007D5D47" w:rsidP="00220780">
          <w:pPr>
            <w:pStyle w:val="Release"/>
          </w:pPr>
          <w:r>
            <w:rPr>
              <w:noProof/>
            </w:rPr>
            <w:drawing>
              <wp:anchor distT="0" distB="0" distL="114300" distR="114300" simplePos="0" relativeHeight="251658240" behindDoc="0" locked="0" layoutInCell="1" allowOverlap="1" wp14:anchorId="4E644F44" wp14:editId="7941B299">
                <wp:simplePos x="0" y="0"/>
                <wp:positionH relativeFrom="column">
                  <wp:posOffset>5522595</wp:posOffset>
                </wp:positionH>
                <wp:positionV relativeFrom="paragraph">
                  <wp:posOffset>-356235</wp:posOffset>
                </wp:positionV>
                <wp:extent cx="694690" cy="694690"/>
                <wp:effectExtent l="0" t="0" r="0" b="0"/>
                <wp:wrapNone/>
                <wp:docPr id="5" name="图片 5" descr="https://undocs.org/m2/QRCode2.ashx?DS=CEDAW/C/CPV/CO/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CO/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32D94">
            <w:fldChar w:fldCharType="begin"/>
          </w:r>
          <w:r w:rsidR="00732D94">
            <w:instrText xml:space="preserve"> DOCVARIABLE "jobn" \* MERGEFORMAT </w:instrText>
          </w:r>
          <w:r w:rsidR="00732D94">
            <w:fldChar w:fldCharType="separate"/>
          </w:r>
          <w:r w:rsidR="00732D94">
            <w:t>19-12975 (C)</w:t>
          </w:r>
          <w:r w:rsidR="00732D94">
            <w:fldChar w:fldCharType="end"/>
          </w:r>
          <w:r>
            <w:t xml:space="preserve">    090919    200919</w:t>
          </w:r>
        </w:p>
        <w:p w14:paraId="0983AEA8" w14:textId="77777777" w:rsidR="007D5D47" w:rsidRPr="00220780" w:rsidRDefault="007D5D47" w:rsidP="00220780">
          <w:pPr>
            <w:spacing w:before="80" w:line="210" w:lineRule="exact"/>
            <w:rPr>
              <w:rFonts w:ascii="Barcode 3 of 9 by request" w:hAnsi="Barcode 3 of 9 by request"/>
              <w:sz w:val="24"/>
            </w:rPr>
          </w:pPr>
          <w:r>
            <w:rPr>
              <w:rFonts w:ascii="Barcode 3 of 9 by request" w:hAnsi="Barcode 3 of 9 by request"/>
              <w:b/>
              <w:sz w:val="24"/>
            </w:rPr>
            <w:t>*1912975*</w:t>
          </w:r>
        </w:p>
      </w:tc>
      <w:tc>
        <w:tcPr>
          <w:tcW w:w="4920" w:type="dxa"/>
          <w:shd w:val="clear" w:color="auto" w:fill="auto"/>
        </w:tcPr>
        <w:p w14:paraId="1BD00E7E" w14:textId="77777777" w:rsidR="007D5D47" w:rsidRDefault="007D5D47" w:rsidP="00220780">
          <w:pPr>
            <w:pStyle w:val="af2"/>
            <w:jc w:val="right"/>
            <w:rPr>
              <w:b w:val="0"/>
              <w:sz w:val="21"/>
            </w:rPr>
          </w:pPr>
          <w:r>
            <w:rPr>
              <w:b w:val="0"/>
              <w:sz w:val="21"/>
            </w:rPr>
            <w:drawing>
              <wp:inline distT="0" distB="0" distL="0" distR="0" wp14:anchorId="686DA20C" wp14:editId="50EE99F9">
                <wp:extent cx="618745" cy="231648"/>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A63F0A6" w14:textId="77777777" w:rsidR="007D5D47" w:rsidRPr="00220780" w:rsidRDefault="007D5D47" w:rsidP="0022078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945B39" w14:textId="61AEE9D8" w:rsidR="007D5D47" w:rsidRPr="00DE350B" w:rsidRDefault="007D5D47" w:rsidP="00DE350B">
      <w:pPr>
        <w:pStyle w:val="af2"/>
        <w:spacing w:after="80"/>
        <w:ind w:left="792"/>
        <w:rPr>
          <w:sz w:val="16"/>
        </w:rPr>
      </w:pPr>
      <w:r w:rsidRPr="00DE350B">
        <w:rPr>
          <w:sz w:val="16"/>
        </w:rPr>
        <w:t>__________________</w:t>
      </w:r>
    </w:p>
  </w:footnote>
  <w:footnote w:type="continuationSeparator" w:id="0">
    <w:p w14:paraId="17C8183F" w14:textId="5E075C29" w:rsidR="007D5D47" w:rsidRPr="00DE350B" w:rsidRDefault="007D5D47" w:rsidP="00DE350B">
      <w:pPr>
        <w:pStyle w:val="af2"/>
        <w:spacing w:after="80"/>
        <w:ind w:left="792"/>
        <w:rPr>
          <w:sz w:val="16"/>
        </w:rPr>
      </w:pPr>
      <w:r w:rsidRPr="00DE350B">
        <w:rPr>
          <w:sz w:val="16"/>
        </w:rPr>
        <w:t>__________________</w:t>
      </w:r>
    </w:p>
  </w:footnote>
  <w:footnote w:id="1">
    <w:p w14:paraId="15067CFE" w14:textId="77777777" w:rsidR="007D5D47" w:rsidRDefault="007D5D47" w:rsidP="00425DAE">
      <w:pPr>
        <w:pStyle w:val="a5"/>
        <w:tabs>
          <w:tab w:val="clear" w:pos="418"/>
          <w:tab w:val="right" w:pos="1195"/>
          <w:tab w:val="left" w:pos="1264"/>
          <w:tab w:val="left" w:pos="1695"/>
          <w:tab w:val="left" w:pos="2126"/>
          <w:tab w:val="left" w:pos="2557"/>
        </w:tabs>
        <w:ind w:left="1264" w:right="1264" w:hanging="432"/>
        <w:rPr>
          <w:rFonts w:eastAsia="Calibri"/>
        </w:rPr>
      </w:pPr>
      <w:r>
        <w:rPr>
          <w:lang w:val="zh-CN"/>
        </w:rPr>
        <w:tab/>
        <w:t>*</w:t>
      </w:r>
      <w:r>
        <w:rPr>
          <w:lang w:val="zh-CN"/>
        </w:rPr>
        <w:tab/>
      </w:r>
      <w:r>
        <w:rPr>
          <w:lang w:val="zh-CN"/>
        </w:rPr>
        <w:t>委员会第</w:t>
      </w:r>
      <w:r>
        <w:rPr>
          <w:rFonts w:eastAsiaTheme="minorEastAsia" w:hint="eastAsia"/>
          <w:lang w:val="zh-CN"/>
        </w:rPr>
        <w:t>七</w:t>
      </w:r>
      <w:r>
        <w:rPr>
          <w:lang w:val="zh-CN"/>
        </w:rPr>
        <w:t>十三届会议</w:t>
      </w:r>
      <w:r>
        <w:rPr>
          <w:lang w:val="zh-CN"/>
        </w:rPr>
        <w:t>(201</w:t>
      </w:r>
      <w:r>
        <w:rPr>
          <w:rFonts w:eastAsiaTheme="minorEastAsia"/>
          <w:lang w:val="zh-CN"/>
        </w:rPr>
        <w:t>9</w:t>
      </w:r>
      <w:r>
        <w:rPr>
          <w:lang w:val="zh-CN"/>
        </w:rPr>
        <w:t>年</w:t>
      </w:r>
      <w:r>
        <w:rPr>
          <w:rFonts w:eastAsiaTheme="minorEastAsia"/>
          <w:lang w:val="zh-CN"/>
        </w:rPr>
        <w:t>7</w:t>
      </w:r>
      <w:r>
        <w:rPr>
          <w:lang w:val="zh-CN"/>
        </w:rPr>
        <w:t>月</w:t>
      </w:r>
      <w:r>
        <w:rPr>
          <w:lang w:val="zh-CN"/>
        </w:rPr>
        <w:t>1</w:t>
      </w:r>
      <w:r>
        <w:rPr>
          <w:lang w:val="zh-CN"/>
        </w:rPr>
        <w:t>日至</w:t>
      </w:r>
      <w:r>
        <w:rPr>
          <w:rFonts w:eastAsiaTheme="minorEastAsia"/>
          <w:lang w:val="zh-CN"/>
        </w:rPr>
        <w:t>19</w:t>
      </w:r>
      <w:r>
        <w:rPr>
          <w:lang w:val="zh-CN"/>
        </w:rPr>
        <w:t>日</w:t>
      </w:r>
      <w:r>
        <w:rPr>
          <w:lang w:val="zh-CN"/>
        </w:rPr>
        <w:t>)</w:t>
      </w:r>
      <w:r>
        <w:rPr>
          <w:lang w:val="zh-CN"/>
        </w:rPr>
        <w:t>通过</w:t>
      </w:r>
      <w:r>
        <w:rPr>
          <w:rFonts w:ascii="微软雅黑" w:eastAsia="微软雅黑" w:hAnsi="微软雅黑" w:cs="微软雅黑" w:hint="eastAsia"/>
          <w:lang w:val="zh-CN"/>
        </w:rPr>
        <w:t>。</w:t>
      </w:r>
    </w:p>
  </w:footnote>
  <w:footnote w:id="2">
    <w:p w14:paraId="34F5CCFA" w14:textId="77777777" w:rsidR="007D5D47" w:rsidRDefault="007D5D47" w:rsidP="00425DAE">
      <w:pPr>
        <w:pStyle w:val="a5"/>
        <w:tabs>
          <w:tab w:val="clear" w:pos="418"/>
          <w:tab w:val="right" w:pos="1195"/>
          <w:tab w:val="left" w:pos="1264"/>
          <w:tab w:val="left" w:pos="1695"/>
          <w:tab w:val="left" w:pos="2126"/>
          <w:tab w:val="left" w:pos="2557"/>
        </w:tabs>
        <w:ind w:left="1264" w:right="1264" w:hanging="432"/>
      </w:pPr>
      <w:r>
        <w:rPr>
          <w:lang w:val="zh-CN"/>
        </w:rPr>
        <w:tab/>
      </w:r>
      <w:r>
        <w:rPr>
          <w:rStyle w:val="a3"/>
          <w:rFonts w:cs="Arial"/>
          <w:lang w:val="zh-CN"/>
        </w:rPr>
        <w:footnoteRef/>
      </w:r>
      <w:bookmarkStart w:id="1" w:name="_Hlk531009908"/>
      <w:r>
        <w:rPr>
          <w:lang w:val="zh-CN"/>
        </w:rPr>
        <w:tab/>
      </w:r>
      <w:r>
        <w:rPr>
          <w:lang w:val="zh-CN"/>
        </w:rPr>
        <w:t>《经济、社会及文化权利国际公约》</w:t>
      </w:r>
      <w:r>
        <w:rPr>
          <w:rFonts w:hint="eastAsia"/>
          <w:lang w:val="zh-CN"/>
        </w:rPr>
        <w:t>、</w:t>
      </w:r>
      <w:r>
        <w:rPr>
          <w:lang w:val="zh-CN"/>
        </w:rPr>
        <w:t>《公民权利和政治权利国际公约》</w:t>
      </w:r>
      <w:r>
        <w:rPr>
          <w:rFonts w:hint="eastAsia"/>
          <w:lang w:val="zh-CN"/>
        </w:rPr>
        <w:t>、</w:t>
      </w:r>
      <w:r>
        <w:rPr>
          <w:lang w:val="zh-CN"/>
        </w:rPr>
        <w:t>《消除一切形式种族歧视国际公约》</w:t>
      </w:r>
      <w:r w:rsidRPr="009028E8">
        <w:rPr>
          <w:rFonts w:hint="eastAsia"/>
          <w:lang w:val="zh-CN"/>
        </w:rPr>
        <w:t>、</w:t>
      </w:r>
      <w:r>
        <w:rPr>
          <w:lang w:val="zh-CN"/>
        </w:rPr>
        <w:t>《消除对妇女一切形式歧视公约》</w:t>
      </w:r>
      <w:r>
        <w:rPr>
          <w:rFonts w:hint="eastAsia"/>
          <w:lang w:val="zh-CN"/>
        </w:rPr>
        <w:t>、</w:t>
      </w:r>
      <w:r>
        <w:rPr>
          <w:lang w:val="zh-CN"/>
        </w:rPr>
        <w:t>《禁止酷刑和其他残忍、不人道或有辱人格的待遇或处罚公约》</w:t>
      </w:r>
      <w:r>
        <w:rPr>
          <w:rFonts w:hint="eastAsia"/>
          <w:lang w:val="zh-CN"/>
        </w:rPr>
        <w:t>、</w:t>
      </w:r>
      <w:r>
        <w:rPr>
          <w:lang w:val="zh-CN"/>
        </w:rPr>
        <w:t>《儿童权利公约》</w:t>
      </w:r>
      <w:r>
        <w:rPr>
          <w:rFonts w:hint="eastAsia"/>
          <w:lang w:val="zh-CN"/>
        </w:rPr>
        <w:t>、</w:t>
      </w:r>
      <w:r>
        <w:rPr>
          <w:lang w:val="zh-CN"/>
        </w:rPr>
        <w:t>《保护所有移徙工人及其家庭成员权利国际公约》</w:t>
      </w:r>
      <w:r>
        <w:rPr>
          <w:rFonts w:hint="eastAsia"/>
          <w:lang w:val="zh-CN"/>
        </w:rPr>
        <w:t>、</w:t>
      </w:r>
      <w:r>
        <w:rPr>
          <w:lang w:val="zh-CN"/>
        </w:rPr>
        <w:t>《保护所有人免遭强迫失踪国际公约》</w:t>
      </w:r>
      <w:r>
        <w:rPr>
          <w:rFonts w:hint="eastAsia"/>
          <w:lang w:val="zh-CN"/>
        </w:rPr>
        <w:t>，以及</w:t>
      </w:r>
      <w:r>
        <w:rPr>
          <w:lang w:val="zh-CN"/>
        </w:rPr>
        <w:t>《残疾人权利公约》</w:t>
      </w:r>
      <w:r>
        <w:rPr>
          <w:rFonts w:ascii="微软雅黑" w:eastAsia="微软雅黑" w:hAnsi="微软雅黑" w:cs="微软雅黑" w:hint="eastAsia"/>
          <w:lang w:val="zh-CN"/>
        </w:rPr>
        <w:t>。</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D5D47" w14:paraId="7D7F809D" w14:textId="77777777" w:rsidTr="00220780">
      <w:trPr>
        <w:trHeight w:hRule="exact" w:val="864"/>
      </w:trPr>
      <w:tc>
        <w:tcPr>
          <w:tcW w:w="4925" w:type="dxa"/>
          <w:shd w:val="clear" w:color="auto" w:fill="auto"/>
          <w:vAlign w:val="bottom"/>
        </w:tcPr>
        <w:p w14:paraId="6504EFC2" w14:textId="532A1E8E" w:rsidR="007D5D47" w:rsidRPr="00220780" w:rsidRDefault="007D5D47" w:rsidP="0022078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32D94">
            <w:rPr>
              <w:b/>
              <w:sz w:val="17"/>
            </w:rPr>
            <w:t>CEDAW/C/CPV/CO/9</w:t>
          </w:r>
          <w:r>
            <w:rPr>
              <w:b/>
              <w:sz w:val="17"/>
            </w:rPr>
            <w:fldChar w:fldCharType="end"/>
          </w:r>
        </w:p>
      </w:tc>
      <w:tc>
        <w:tcPr>
          <w:tcW w:w="4920" w:type="dxa"/>
          <w:shd w:val="clear" w:color="auto" w:fill="auto"/>
          <w:vAlign w:val="bottom"/>
        </w:tcPr>
        <w:p w14:paraId="096EDF77" w14:textId="77777777" w:rsidR="007D5D47" w:rsidRDefault="007D5D47" w:rsidP="00220780">
          <w:pPr>
            <w:pStyle w:val="af0"/>
          </w:pPr>
        </w:p>
      </w:tc>
    </w:tr>
  </w:tbl>
  <w:p w14:paraId="1F760391" w14:textId="77777777" w:rsidR="007D5D47" w:rsidRPr="00220780" w:rsidRDefault="007D5D47" w:rsidP="0022078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D5D47" w14:paraId="4C8929D3" w14:textId="77777777" w:rsidTr="00220780">
      <w:trPr>
        <w:trHeight w:hRule="exact" w:val="864"/>
      </w:trPr>
      <w:tc>
        <w:tcPr>
          <w:tcW w:w="4925" w:type="dxa"/>
          <w:shd w:val="clear" w:color="auto" w:fill="auto"/>
          <w:vAlign w:val="bottom"/>
        </w:tcPr>
        <w:p w14:paraId="28E6BFDE" w14:textId="77777777" w:rsidR="007D5D47" w:rsidRDefault="007D5D47" w:rsidP="00220780">
          <w:pPr>
            <w:pStyle w:val="af0"/>
          </w:pPr>
        </w:p>
      </w:tc>
      <w:tc>
        <w:tcPr>
          <w:tcW w:w="4920" w:type="dxa"/>
          <w:shd w:val="clear" w:color="auto" w:fill="auto"/>
          <w:vAlign w:val="bottom"/>
        </w:tcPr>
        <w:p w14:paraId="375B81A3" w14:textId="4C1F8399" w:rsidR="007D5D47" w:rsidRPr="00220780" w:rsidRDefault="007D5D47" w:rsidP="0022078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32D94">
            <w:rPr>
              <w:b/>
              <w:sz w:val="17"/>
            </w:rPr>
            <w:t>CEDAW/C/CPV/CO/9</w:t>
          </w:r>
          <w:r>
            <w:rPr>
              <w:b/>
              <w:sz w:val="17"/>
            </w:rPr>
            <w:fldChar w:fldCharType="end"/>
          </w:r>
        </w:p>
      </w:tc>
    </w:tr>
  </w:tbl>
  <w:p w14:paraId="451654CD" w14:textId="77777777" w:rsidR="007D5D47" w:rsidRPr="00220780" w:rsidRDefault="007D5D47" w:rsidP="0022078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D5D47" w14:paraId="487A13EE" w14:textId="77777777" w:rsidTr="00220780">
      <w:trPr>
        <w:trHeight w:hRule="exact" w:val="864"/>
      </w:trPr>
      <w:tc>
        <w:tcPr>
          <w:tcW w:w="1267" w:type="dxa"/>
          <w:tcBorders>
            <w:bottom w:val="single" w:sz="4" w:space="0" w:color="auto"/>
          </w:tcBorders>
          <w:shd w:val="clear" w:color="auto" w:fill="auto"/>
          <w:vAlign w:val="bottom"/>
        </w:tcPr>
        <w:p w14:paraId="704E5AB4" w14:textId="77777777" w:rsidR="007D5D47" w:rsidRDefault="007D5D47" w:rsidP="00220780">
          <w:pPr>
            <w:pStyle w:val="af0"/>
            <w:spacing w:after="120"/>
          </w:pPr>
        </w:p>
      </w:tc>
      <w:tc>
        <w:tcPr>
          <w:tcW w:w="1872" w:type="dxa"/>
          <w:tcBorders>
            <w:bottom w:val="single" w:sz="4" w:space="0" w:color="auto"/>
          </w:tcBorders>
          <w:shd w:val="clear" w:color="auto" w:fill="auto"/>
          <w:vAlign w:val="bottom"/>
        </w:tcPr>
        <w:p w14:paraId="08FAA514" w14:textId="77777777" w:rsidR="007D5D47" w:rsidRPr="00220780" w:rsidRDefault="007D5D47" w:rsidP="0022078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29BA325" w14:textId="77777777" w:rsidR="007D5D47" w:rsidRDefault="007D5D47" w:rsidP="00220780">
          <w:pPr>
            <w:pStyle w:val="af0"/>
            <w:spacing w:after="120"/>
          </w:pPr>
        </w:p>
      </w:tc>
      <w:tc>
        <w:tcPr>
          <w:tcW w:w="6437" w:type="dxa"/>
          <w:gridSpan w:val="3"/>
          <w:tcBorders>
            <w:bottom w:val="single" w:sz="4" w:space="0" w:color="auto"/>
          </w:tcBorders>
          <w:shd w:val="clear" w:color="auto" w:fill="auto"/>
          <w:vAlign w:val="bottom"/>
        </w:tcPr>
        <w:p w14:paraId="77CE82BA" w14:textId="77777777" w:rsidR="007D5D47" w:rsidRPr="00220780" w:rsidRDefault="007D5D47" w:rsidP="00220780">
          <w:pPr>
            <w:spacing w:after="80" w:line="240" w:lineRule="auto"/>
            <w:jc w:val="right"/>
            <w:rPr>
              <w:position w:val="-4"/>
            </w:rPr>
          </w:pPr>
          <w:r>
            <w:rPr>
              <w:position w:val="-4"/>
              <w:sz w:val="40"/>
            </w:rPr>
            <w:t>CEDAW</w:t>
          </w:r>
          <w:r>
            <w:rPr>
              <w:position w:val="-4"/>
            </w:rPr>
            <w:t>/C/CPV/CO/9</w:t>
          </w:r>
        </w:p>
      </w:tc>
    </w:tr>
    <w:tr w:rsidR="007D5D47" w:rsidRPr="00220780" w14:paraId="42711312" w14:textId="77777777" w:rsidTr="00220780">
      <w:trPr>
        <w:trHeight w:hRule="exact" w:val="2880"/>
      </w:trPr>
      <w:tc>
        <w:tcPr>
          <w:tcW w:w="1267" w:type="dxa"/>
          <w:tcBorders>
            <w:top w:val="single" w:sz="4" w:space="0" w:color="auto"/>
            <w:bottom w:val="single" w:sz="12" w:space="0" w:color="auto"/>
          </w:tcBorders>
          <w:shd w:val="clear" w:color="auto" w:fill="auto"/>
        </w:tcPr>
        <w:p w14:paraId="0E5B5CC4" w14:textId="77777777" w:rsidR="007D5D47" w:rsidRPr="00220780" w:rsidRDefault="007D5D47" w:rsidP="00220780">
          <w:pPr>
            <w:pStyle w:val="af0"/>
            <w:spacing w:before="109"/>
            <w:ind w:left="-72"/>
          </w:pPr>
          <w:r>
            <w:t xml:space="preserve"> </w:t>
          </w:r>
          <w:r>
            <w:drawing>
              <wp:inline distT="0" distB="0" distL="0" distR="0" wp14:anchorId="406B7CF6" wp14:editId="76A5B6D7">
                <wp:extent cx="711200" cy="597103"/>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0293BB" w14:textId="77777777" w:rsidR="007D5D47" w:rsidRPr="00220780" w:rsidRDefault="007D5D47" w:rsidP="0022078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7EA668C" w14:textId="77777777" w:rsidR="007D5D47" w:rsidRPr="00220780" w:rsidRDefault="007D5D47" w:rsidP="00220780">
          <w:pPr>
            <w:pStyle w:val="af0"/>
            <w:spacing w:before="109"/>
          </w:pPr>
        </w:p>
      </w:tc>
      <w:tc>
        <w:tcPr>
          <w:tcW w:w="3080" w:type="dxa"/>
          <w:tcBorders>
            <w:top w:val="single" w:sz="4" w:space="0" w:color="auto"/>
            <w:bottom w:val="single" w:sz="12" w:space="0" w:color="auto"/>
          </w:tcBorders>
          <w:shd w:val="clear" w:color="auto" w:fill="auto"/>
        </w:tcPr>
        <w:p w14:paraId="166CB4C5" w14:textId="77777777" w:rsidR="007D5D47" w:rsidRDefault="007D5D47" w:rsidP="00220780">
          <w:pPr>
            <w:pStyle w:val="Distr"/>
          </w:pPr>
          <w:r>
            <w:t>Distr.: General</w:t>
          </w:r>
        </w:p>
        <w:p w14:paraId="635FADF9" w14:textId="77777777" w:rsidR="007D5D47" w:rsidRDefault="007D5D47" w:rsidP="00220780">
          <w:pPr>
            <w:pStyle w:val="Publication"/>
          </w:pPr>
          <w:r>
            <w:t>30 July 2019</w:t>
          </w:r>
        </w:p>
        <w:p w14:paraId="68A22370" w14:textId="77777777" w:rsidR="007D5D47" w:rsidRDefault="007D5D47" w:rsidP="00220780">
          <w:pPr>
            <w:spacing w:line="240" w:lineRule="exact"/>
          </w:pPr>
          <w:r>
            <w:t>Chinese</w:t>
          </w:r>
        </w:p>
        <w:p w14:paraId="2F3674CD" w14:textId="77777777" w:rsidR="007D5D47" w:rsidRDefault="007D5D47" w:rsidP="00220780">
          <w:pPr>
            <w:pStyle w:val="Original"/>
          </w:pPr>
          <w:r>
            <w:t>Original: English</w:t>
          </w:r>
        </w:p>
        <w:p w14:paraId="572BB2A4" w14:textId="77777777" w:rsidR="007D5D47" w:rsidRPr="00220780" w:rsidRDefault="007D5D47" w:rsidP="00220780"/>
      </w:tc>
    </w:tr>
  </w:tbl>
  <w:p w14:paraId="06F57D0C" w14:textId="77777777" w:rsidR="007D5D47" w:rsidRPr="00220780" w:rsidRDefault="007D5D47" w:rsidP="0022078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5*"/>
    <w:docVar w:name="CreationDt" w:val="09/09/2019 15:05:33"/>
    <w:docVar w:name="DocCategory" w:val="Doc"/>
    <w:docVar w:name="DocType" w:val="Final"/>
    <w:docVar w:name="DutyStation" w:val="New York"/>
    <w:docVar w:name="FooterJN" w:val="19-12975"/>
    <w:docVar w:name="jobn" w:val="19-12975 (C)"/>
    <w:docVar w:name="jobnDT" w:val="19-12975 (C)   090919"/>
    <w:docVar w:name="jobnDTDT" w:val="19-12975 (C)   090919   090919"/>
    <w:docVar w:name="JobNo" w:val="1912975C"/>
    <w:docVar w:name="LocalDrive" w:val="0"/>
    <w:docVar w:name="OandT" w:val="liutx"/>
    <w:docVar w:name="sss1" w:val="CEDAW/C/CPV/CO/9"/>
    <w:docVar w:name="sss2" w:val="-"/>
    <w:docVar w:name="Symbol1" w:val="CEDAW/C/CPV/CO/9"/>
    <w:docVar w:name="Symbol2" w:val="-"/>
  </w:docVars>
  <w:rsids>
    <w:rsidRoot w:val="00857FC8"/>
    <w:rsid w:val="00000689"/>
    <w:rsid w:val="0000347C"/>
    <w:rsid w:val="0000715A"/>
    <w:rsid w:val="000074E0"/>
    <w:rsid w:val="000101C8"/>
    <w:rsid w:val="0001169E"/>
    <w:rsid w:val="000125BC"/>
    <w:rsid w:val="00012C27"/>
    <w:rsid w:val="00013714"/>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43"/>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23"/>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0B"/>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078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3CCF"/>
    <w:rsid w:val="00285DE9"/>
    <w:rsid w:val="00286AD1"/>
    <w:rsid w:val="002871EB"/>
    <w:rsid w:val="00290382"/>
    <w:rsid w:val="0029111A"/>
    <w:rsid w:val="00293025"/>
    <w:rsid w:val="002A3A49"/>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87836"/>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25DAE"/>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977E8"/>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6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2F73"/>
    <w:rsid w:val="006A5CFB"/>
    <w:rsid w:val="006A60CE"/>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0E3F"/>
    <w:rsid w:val="007016DF"/>
    <w:rsid w:val="007038D4"/>
    <w:rsid w:val="00704287"/>
    <w:rsid w:val="007052CC"/>
    <w:rsid w:val="00715C4B"/>
    <w:rsid w:val="00721BC6"/>
    <w:rsid w:val="00722965"/>
    <w:rsid w:val="00723AAA"/>
    <w:rsid w:val="00724400"/>
    <w:rsid w:val="007319E0"/>
    <w:rsid w:val="00731FBF"/>
    <w:rsid w:val="007328A2"/>
    <w:rsid w:val="00732A10"/>
    <w:rsid w:val="00732D94"/>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01EB"/>
    <w:rsid w:val="007C10AC"/>
    <w:rsid w:val="007C5623"/>
    <w:rsid w:val="007C6FC5"/>
    <w:rsid w:val="007C74B9"/>
    <w:rsid w:val="007D441A"/>
    <w:rsid w:val="007D518C"/>
    <w:rsid w:val="007D5D47"/>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57FC8"/>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21B1"/>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407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36325"/>
    <w:rsid w:val="00937DD1"/>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3DA7"/>
    <w:rsid w:val="00A24399"/>
    <w:rsid w:val="00A24CA5"/>
    <w:rsid w:val="00A252DF"/>
    <w:rsid w:val="00A27DEC"/>
    <w:rsid w:val="00A27E35"/>
    <w:rsid w:val="00A31815"/>
    <w:rsid w:val="00A33D4D"/>
    <w:rsid w:val="00A33D6D"/>
    <w:rsid w:val="00A343D8"/>
    <w:rsid w:val="00A35211"/>
    <w:rsid w:val="00A36AEC"/>
    <w:rsid w:val="00A37345"/>
    <w:rsid w:val="00A40AAE"/>
    <w:rsid w:val="00A40EA9"/>
    <w:rsid w:val="00A418EE"/>
    <w:rsid w:val="00A44A96"/>
    <w:rsid w:val="00A4532A"/>
    <w:rsid w:val="00A46BEE"/>
    <w:rsid w:val="00A46E28"/>
    <w:rsid w:val="00A5206D"/>
    <w:rsid w:val="00A55E9E"/>
    <w:rsid w:val="00A622D4"/>
    <w:rsid w:val="00A6324E"/>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1F06"/>
    <w:rsid w:val="00AA3C28"/>
    <w:rsid w:val="00AA65E5"/>
    <w:rsid w:val="00AA759D"/>
    <w:rsid w:val="00AB1592"/>
    <w:rsid w:val="00AB2786"/>
    <w:rsid w:val="00AB374F"/>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5E37"/>
    <w:rsid w:val="00BE1CC3"/>
    <w:rsid w:val="00BE1CDE"/>
    <w:rsid w:val="00BE365A"/>
    <w:rsid w:val="00BE47C4"/>
    <w:rsid w:val="00BE4CDC"/>
    <w:rsid w:val="00BE50EF"/>
    <w:rsid w:val="00BF07DD"/>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85595"/>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547C"/>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350B"/>
    <w:rsid w:val="00DE435D"/>
    <w:rsid w:val="00DE4F57"/>
    <w:rsid w:val="00DE6911"/>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0D3C"/>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1C42"/>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3289"/>
    <w:rsid w:val="00F3596A"/>
    <w:rsid w:val="00F36446"/>
    <w:rsid w:val="00F40463"/>
    <w:rsid w:val="00F4372C"/>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C71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C95C9B5"/>
  <w15:chartTrackingRefBased/>
  <w15:docId w15:val="{CEB82D44-1BF1-4C91-B7AA-673588D5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basedOn w:val="a"/>
    <w:next w:val="HCh"/>
    <w:link w:val="10"/>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Cs w:val="21"/>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basedOn w:val="a0"/>
    <w:semiHidden/>
    <w:rsid w:val="002562F6"/>
    <w:rPr>
      <w:color w:val="auto"/>
      <w:spacing w:val="0"/>
      <w:w w:val="100"/>
      <w:position w:val="0"/>
      <w:vertAlign w:val="superscript"/>
    </w:rPr>
  </w:style>
  <w:style w:type="character" w:styleId="a4">
    <w:name w:val="endnote reference"/>
    <w:basedOn w:val="a3"/>
    <w:rsid w:val="002562F6"/>
    <w:rPr>
      <w:color w:val="auto"/>
      <w:spacing w:val="0"/>
      <w:w w:val="150"/>
      <w:position w:val="0"/>
      <w:vertAlign w:val="superscript"/>
    </w:rPr>
  </w:style>
  <w:style w:type="paragraph" w:styleId="a5">
    <w:name w:val="footnote text"/>
    <w:basedOn w:val="a"/>
    <w:link w:val="a6"/>
    <w:semiHidden/>
    <w:rsid w:val="002562F6"/>
    <w:pPr>
      <w:tabs>
        <w:tab w:val="right" w:pos="418"/>
      </w:tabs>
      <w:spacing w:after="120" w:line="240" w:lineRule="exact"/>
      <w:ind w:left="170" w:hanging="170"/>
    </w:pPr>
    <w:rPr>
      <w:noProof/>
      <w:sz w:val="18"/>
    </w:rPr>
  </w:style>
  <w:style w:type="paragraph" w:styleId="a7">
    <w:name w:val="endnote text"/>
    <w:basedOn w:val="a5"/>
    <w:link w:val="a8"/>
    <w:semiHidden/>
    <w:rsid w:val="002562F6"/>
  </w:style>
  <w:style w:type="paragraph" w:styleId="a9">
    <w:name w:val="annotation text"/>
    <w:basedOn w:val="a"/>
    <w:link w:val="aa"/>
    <w:semiHidden/>
    <w:rsid w:val="002562F6"/>
  </w:style>
  <w:style w:type="paragraph" w:styleId="ab">
    <w:name w:val="annotation subject"/>
    <w:basedOn w:val="a9"/>
    <w:next w:val="a9"/>
    <w:link w:val="ac"/>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link w:val="af1"/>
    <w:rsid w:val="002562F6"/>
    <w:pPr>
      <w:tabs>
        <w:tab w:val="center" w:pos="4320"/>
        <w:tab w:val="right" w:pos="8640"/>
      </w:tabs>
      <w:jc w:val="both"/>
    </w:pPr>
    <w:rPr>
      <w:noProof/>
      <w:sz w:val="18"/>
      <w:lang w:val="en-US"/>
    </w:rPr>
  </w:style>
  <w:style w:type="paragraph" w:styleId="af2">
    <w:name w:val="footer"/>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basedOn w:val="a0"/>
    <w:link w:val="1"/>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2562F6"/>
    <w:rPr>
      <w:rFonts w:ascii="黑体" w:eastAsiaTheme="majorEastAsia" w:hAnsi="黑体" w:cstheme="majorBidi"/>
      <w:b/>
      <w:bCs/>
      <w:kern w:val="14"/>
      <w:sz w:val="28"/>
      <w:szCs w:val="26"/>
      <w:lang w:val="en-US"/>
    </w:rPr>
  </w:style>
  <w:style w:type="character" w:customStyle="1" w:styleId="30">
    <w:name w:val="标题 3 字符"/>
    <w:basedOn w:val="a0"/>
    <w:link w:val="3"/>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4"/>
      </w:numPr>
      <w:spacing w:after="120" w:line="240" w:lineRule="exact"/>
      <w:ind w:right="1267"/>
    </w:pPr>
    <w:rPr>
      <w:spacing w:val="4"/>
      <w:w w:val="103"/>
      <w:sz w:val="20"/>
    </w:rPr>
  </w:style>
  <w:style w:type="paragraph" w:customStyle="1" w:styleId="Bullet2">
    <w:name w:val="Bullet 2"/>
    <w:basedOn w:val="a"/>
    <w:qFormat/>
    <w:rsid w:val="002562F6"/>
    <w:pPr>
      <w:numPr>
        <w:numId w:val="15"/>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16"/>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SingleTxt"/>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basedOn w:val="a0"/>
    <w:link w:val="a5"/>
    <w:semiHidden/>
    <w:rsid w:val="002562F6"/>
    <w:rPr>
      <w:noProof/>
      <w:kern w:val="14"/>
      <w:sz w:val="18"/>
      <w:lang w:val="en-US"/>
    </w:rPr>
  </w:style>
  <w:style w:type="character" w:customStyle="1" w:styleId="a8">
    <w:name w:val="尾注文本 字符"/>
    <w:basedOn w:val="a0"/>
    <w:link w:val="a7"/>
    <w:semiHidden/>
    <w:rsid w:val="002562F6"/>
    <w:rPr>
      <w:noProof/>
      <w:kern w:val="14"/>
      <w:sz w:val="18"/>
      <w:lang w:val="en-US"/>
    </w:rPr>
  </w:style>
  <w:style w:type="character" w:customStyle="1" w:styleId="aa">
    <w:name w:val="批注文字 字符"/>
    <w:basedOn w:val="a0"/>
    <w:link w:val="a9"/>
    <w:semiHidden/>
    <w:rsid w:val="002562F6"/>
    <w:rPr>
      <w:kern w:val="14"/>
      <w:sz w:val="21"/>
      <w:lang w:val="en-US"/>
    </w:rPr>
  </w:style>
  <w:style w:type="character" w:customStyle="1" w:styleId="ac">
    <w:name w:val="批注主题 字符"/>
    <w:basedOn w:val="aa"/>
    <w:link w:val="ab"/>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basedOn w:val="a0"/>
    <w:link w:val="af0"/>
    <w:rsid w:val="002562F6"/>
    <w:rPr>
      <w:noProof/>
      <w:sz w:val="18"/>
      <w:lang w:val="en-US"/>
    </w:rPr>
  </w:style>
  <w:style w:type="character" w:customStyle="1" w:styleId="af3">
    <w:name w:val="页脚 字符"/>
    <w:basedOn w:val="a0"/>
    <w:link w:val="af2"/>
    <w:rsid w:val="002562F6"/>
    <w:rPr>
      <w:b/>
      <w:noProof/>
      <w:sz w:val="18"/>
      <w:szCs w:val="18"/>
      <w:lang w:val="en-US"/>
    </w:rPr>
  </w:style>
  <w:style w:type="character" w:styleId="af7">
    <w:name w:val="Unresolved Mention"/>
    <w:basedOn w:val="a0"/>
    <w:uiPriority w:val="99"/>
    <w:semiHidden/>
    <w:unhideWhenUsed/>
    <w:rsid w:val="00DE350B"/>
    <w:rPr>
      <w:color w:val="605E5C"/>
      <w:shd w:val="clear" w:color="auto" w:fill="E1DFDD"/>
    </w:rPr>
  </w:style>
  <w:style w:type="paragraph" w:styleId="af8">
    <w:name w:val="Revision"/>
    <w:hidden/>
    <w:uiPriority w:val="99"/>
    <w:semiHidden/>
    <w:rsid w:val="00E30D3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91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conferences.unite.un.org/documentrepositoryindexer/MultiLanguageAlignment.bitext?Symbol=CEDAW/C/CPV/9&amp;language1=English&amp;language2=Chinese&amp;location=New%20York" TargetMode="External"/><Relationship Id="rId26" Type="http://schemas.openxmlformats.org/officeDocument/2006/relationships/hyperlink" Target="https://undocs.org/ch/S/RES/35(2017)" TargetMode="External"/><Relationship Id="rId3" Type="http://schemas.openxmlformats.org/officeDocument/2006/relationships/styles" Target="styles.xml"/><Relationship Id="rId21" Type="http://schemas.openxmlformats.org/officeDocument/2006/relationships/hyperlink" Target="https://undocs.org/ch/CEDAW/C/CPV/Q/9/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05" TargetMode="External"/><Relationship Id="rId25" Type="http://schemas.openxmlformats.org/officeDocument/2006/relationships/hyperlink" Target="https://undocs.org/ch/S/RES/25(2004)" TargetMode="External"/><Relationship Id="rId2" Type="http://schemas.openxmlformats.org/officeDocument/2006/relationships/numbering" Target="numbering.xml"/><Relationship Id="rId16" Type="http://schemas.openxmlformats.org/officeDocument/2006/relationships/hyperlink" Target="https://undocs.org/ch/CEDAW/C/SR.1704" TargetMode="External"/><Relationship Id="rId20" Type="http://schemas.openxmlformats.org/officeDocument/2006/relationships/hyperlink" Target="https://conferences.unite.un.org/documentrepositoryindexer/MultiLanguageAlignment.bitext?Symbol=CEDAW/C/CPV/Q/9&amp;language1=English&amp;language2=Chinese&amp;location=New%20Yor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33(201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conferences.unite.un.org/documentrepositoryindexer/MultiLanguageAlignment.bitext?Symbol=CEDAW/C/CPV/Q/9&amp;language1=English&amp;language2=Chinese&amp;location=New%20York"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CPV/7-8" TargetMode="External"/><Relationship Id="rId27" Type="http://schemas.openxmlformats.org/officeDocument/2006/relationships/hyperlink" Target="https://undocs.org/ch/S/RES/36(201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F8BF9-92B4-4F89-901C-B2192CB3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5656</Words>
  <Characters>7468</Characters>
  <Application>Microsoft Office Word</Application>
  <DocSecurity>0</DocSecurity>
  <Lines>933</Lines>
  <Paragraphs>624</Paragraphs>
  <ScaleCrop>false</ScaleCrop>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Chinese Text Processing</cp:lastModifiedBy>
  <cp:revision>3</cp:revision>
  <cp:lastPrinted>2019-09-20T15:04:00Z</cp:lastPrinted>
  <dcterms:created xsi:type="dcterms:W3CDTF">2019-09-20T15:04:00Z</dcterms:created>
  <dcterms:modified xsi:type="dcterms:W3CDTF">2019-09-20T15:04:00Z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1912975</vt:lpwstr>
  </property>
  <property fmtid="{D5CDD505-2E9C-101B-9397-08002B2CF9AE}" pid="3" name="ODSRefJobNo">
    <vt:lpwstr>1923685C</vt:lpwstr>
  </property>
  <property fmtid="{D5CDD505-2E9C-101B-9397-08002B2CF9AE}" pid="4" name="Symbol1">
    <vt:lpwstr>CEDAW/C/CPV/CO/9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30 July 2019</vt:lpwstr>
  </property>
  <property fmtid="{D5CDD505-2E9C-101B-9397-08002B2CF9AE}" pid="11" name="Original">
    <vt:lpwstr>English</vt:lpwstr>
  </property>
  <property fmtid="{D5CDD505-2E9C-101B-9397-08002B2CF9AE}" pid="12" name="Release Date">
    <vt:lpwstr>110919</vt:lpwstr>
  </property>
  <property fmtid="{D5CDD505-2E9C-101B-9397-08002B2CF9AE}" pid="13" name="Title1">
    <vt:lpwstr>		关于佛得角第九次定期报告的结论意见*_x000d_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liutx</vt:lpwstr>
  </property>
</Properties>
</file>