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226F" w:rsidRDefault="0061226F" w:rsidP="0061226F">
      <w:pPr>
        <w:spacing w:line="60" w:lineRule="exact"/>
        <w:rPr>
          <w:sz w:val="6"/>
        </w:rPr>
        <w:sectPr w:rsidR="0061226F" w:rsidSect="0061226F">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cols w:space="425"/>
          <w:titlePg/>
          <w:docGrid w:linePitch="312"/>
        </w:sectPr>
      </w:pPr>
      <w:r>
        <w:rPr>
          <w:rStyle w:val="CommentReference"/>
        </w:rPr>
        <w:commentReference w:id="0"/>
      </w:r>
    </w:p>
    <w:p w:rsidR="0061226F" w:rsidRDefault="0061226F" w:rsidP="0061226F">
      <w:pPr>
        <w:spacing w:line="60" w:lineRule="exact"/>
        <w:rPr>
          <w:sz w:val="6"/>
        </w:rPr>
      </w:pPr>
    </w:p>
    <w:p w:rsidR="00695630" w:rsidRDefault="00695630" w:rsidP="0048427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60"/>
        <w:ind w:left="1267" w:right="1260" w:hanging="1267"/>
        <w:rPr>
          <w:rFonts w:hint="eastAsia"/>
        </w:rPr>
      </w:pPr>
      <w:r>
        <w:rPr>
          <w:rFonts w:hint="eastAsia"/>
        </w:rPr>
        <w:t>消除对妇女歧视委员会</w:t>
      </w:r>
    </w:p>
    <w:p w:rsidR="00695630" w:rsidRPr="00484279" w:rsidRDefault="00695630" w:rsidP="00484279">
      <w:pPr>
        <w:pStyle w:val="SingleTxt"/>
        <w:spacing w:after="60"/>
        <w:ind w:left="0"/>
        <w:rPr>
          <w:rFonts w:ascii="SimHei" w:eastAsia="SimHei" w:hint="eastAsia"/>
          <w:color w:val="FF0000"/>
        </w:rPr>
      </w:pPr>
      <w:r w:rsidRPr="00484279">
        <w:rPr>
          <w:rFonts w:ascii="SimHei" w:eastAsia="SimHei" w:hint="eastAsia"/>
          <w:color w:val="FF0000"/>
        </w:rPr>
        <w:t>会前工作组</w:t>
      </w:r>
    </w:p>
    <w:p w:rsidR="00695630" w:rsidRDefault="00695630" w:rsidP="00484279">
      <w:pPr>
        <w:pStyle w:val="SingleTxt"/>
        <w:spacing w:after="60"/>
        <w:ind w:left="0"/>
        <w:rPr>
          <w:rFonts w:hint="eastAsia"/>
        </w:rPr>
      </w:pPr>
      <w:r w:rsidRPr="00484279">
        <w:rPr>
          <w:rFonts w:ascii="SimHei" w:eastAsia="SimHei" w:hint="eastAsia"/>
          <w:color w:val="FF0000"/>
        </w:rPr>
        <w:t>第四十和第四十一届会议</w:t>
      </w:r>
    </w:p>
    <w:p w:rsidR="00695630" w:rsidRDefault="00695630" w:rsidP="00484279">
      <w:pPr>
        <w:pStyle w:val="SingleTxt"/>
        <w:spacing w:after="60"/>
        <w:ind w:left="0"/>
        <w:rPr>
          <w:rFonts w:hint="eastAsia"/>
        </w:rPr>
      </w:pPr>
      <w:r>
        <w:rPr>
          <w:rFonts w:hint="eastAsia"/>
        </w:rPr>
        <w:t>2007年7月16至20日</w:t>
      </w:r>
    </w:p>
    <w:p w:rsidR="00484279" w:rsidRPr="00484279" w:rsidRDefault="00484279" w:rsidP="00484279">
      <w:pPr>
        <w:pStyle w:val="SingleTxt"/>
        <w:spacing w:after="0" w:line="120" w:lineRule="exact"/>
        <w:rPr>
          <w:sz w:val="10"/>
        </w:rPr>
      </w:pPr>
    </w:p>
    <w:p w:rsidR="00484279" w:rsidRPr="00484279" w:rsidRDefault="00484279" w:rsidP="00484279">
      <w:pPr>
        <w:pStyle w:val="SingleTxt"/>
        <w:spacing w:after="0" w:line="120" w:lineRule="exact"/>
        <w:rPr>
          <w:sz w:val="10"/>
        </w:rPr>
      </w:pPr>
    </w:p>
    <w:p w:rsidR="00484279" w:rsidRPr="00484279" w:rsidRDefault="00484279" w:rsidP="00484279">
      <w:pPr>
        <w:pStyle w:val="SingleTxt"/>
        <w:spacing w:after="0" w:line="120" w:lineRule="exact"/>
        <w:rPr>
          <w:sz w:val="10"/>
        </w:rPr>
      </w:pPr>
    </w:p>
    <w:p w:rsidR="00695630" w:rsidRDefault="00EB6288" w:rsidP="00484279">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ascii="Times New Roman"/>
        </w:rPr>
        <w:tab/>
      </w:r>
      <w:r>
        <w:rPr>
          <w:rFonts w:ascii="Times New Roman"/>
        </w:rPr>
        <w:tab/>
      </w:r>
      <w:r w:rsidR="00695630">
        <w:rPr>
          <w:rFonts w:hint="eastAsia"/>
        </w:rPr>
        <w:t>与审议定期报告有关的议题和问题清单</w:t>
      </w:r>
    </w:p>
    <w:p w:rsidR="00484279" w:rsidRPr="00484279" w:rsidRDefault="00484279" w:rsidP="00484279">
      <w:pPr>
        <w:pStyle w:val="SingleTxt"/>
        <w:spacing w:after="0" w:line="120" w:lineRule="exact"/>
        <w:rPr>
          <w:rFonts w:hint="eastAsia"/>
          <w:sz w:val="10"/>
        </w:rPr>
      </w:pPr>
    </w:p>
    <w:p w:rsidR="00484279" w:rsidRPr="00484279" w:rsidRDefault="00484279" w:rsidP="00484279">
      <w:pPr>
        <w:pStyle w:val="SingleTxt"/>
        <w:spacing w:after="0" w:line="120" w:lineRule="exact"/>
        <w:rPr>
          <w:rFonts w:hint="eastAsia"/>
          <w:sz w:val="10"/>
        </w:rPr>
      </w:pPr>
    </w:p>
    <w:p w:rsidR="00484279" w:rsidRDefault="00EB6288" w:rsidP="0048427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rFonts w:ascii="Times New Roman"/>
        </w:rPr>
        <w:tab/>
      </w:r>
      <w:r>
        <w:rPr>
          <w:rFonts w:ascii="Times New Roman"/>
        </w:rPr>
        <w:tab/>
      </w:r>
      <w:r w:rsidR="00695630">
        <w:rPr>
          <w:rFonts w:hint="eastAsia"/>
        </w:rPr>
        <w:t>瑞典</w:t>
      </w:r>
    </w:p>
    <w:p w:rsidR="00484279" w:rsidRPr="00484279" w:rsidRDefault="00484279" w:rsidP="00484279">
      <w:pPr>
        <w:pStyle w:val="SingleTxt"/>
        <w:spacing w:after="0" w:line="120" w:lineRule="exact"/>
        <w:rPr>
          <w:rFonts w:hint="eastAsia"/>
          <w:sz w:val="10"/>
        </w:rPr>
      </w:pPr>
    </w:p>
    <w:p w:rsidR="00484279" w:rsidRPr="00484279" w:rsidRDefault="00484279" w:rsidP="00484279">
      <w:pPr>
        <w:pStyle w:val="SingleTxt"/>
        <w:spacing w:after="0" w:line="120" w:lineRule="exact"/>
        <w:rPr>
          <w:rFonts w:hint="eastAsia"/>
          <w:sz w:val="10"/>
        </w:rPr>
      </w:pPr>
    </w:p>
    <w:p w:rsidR="00695630" w:rsidRDefault="005A4216" w:rsidP="00695630">
      <w:pPr>
        <w:pStyle w:val="SingleTxt"/>
        <w:rPr>
          <w:rFonts w:hint="eastAsia"/>
        </w:rPr>
      </w:pPr>
      <w:r>
        <w:rPr>
          <w:rFonts w:hint="eastAsia"/>
        </w:rPr>
        <w:tab/>
      </w:r>
      <w:r w:rsidR="00695630">
        <w:rPr>
          <w:rFonts w:hint="eastAsia"/>
        </w:rPr>
        <w:t>会前工作组审查了瑞典的第六和第七次合并定期报告（CEDAW/C/SWE/7）。</w:t>
      </w:r>
    </w:p>
    <w:p w:rsidR="00695630" w:rsidRDefault="00EB6288" w:rsidP="00484279">
      <w:pPr>
        <w:pStyle w:val="H23"/>
        <w:tabs>
          <w:tab w:val="right" w:pos="1022"/>
          <w:tab w:val="left" w:pos="1267"/>
          <w:tab w:val="left" w:pos="1742"/>
          <w:tab w:val="left" w:pos="2218"/>
          <w:tab w:val="left" w:pos="2693"/>
          <w:tab w:val="left" w:pos="3182"/>
        </w:tabs>
        <w:ind w:right="1260"/>
        <w:rPr>
          <w:rFonts w:hint="eastAsia"/>
        </w:rPr>
      </w:pPr>
      <w:r>
        <w:rPr>
          <w:rFonts w:ascii="Times New Roman"/>
        </w:rPr>
        <w:tab/>
      </w:r>
      <w:r>
        <w:rPr>
          <w:rFonts w:ascii="Times New Roman"/>
        </w:rPr>
        <w:tab/>
      </w:r>
      <w:r w:rsidR="00695630">
        <w:rPr>
          <w:rFonts w:hint="eastAsia"/>
        </w:rPr>
        <w:t>宪法、立法和体制框架</w:t>
      </w:r>
    </w:p>
    <w:p w:rsidR="00484279" w:rsidRPr="00484279" w:rsidRDefault="00484279" w:rsidP="00484279">
      <w:pPr>
        <w:pStyle w:val="SingleTxt"/>
        <w:spacing w:after="0" w:line="120" w:lineRule="exact"/>
        <w:rPr>
          <w:rFonts w:hint="eastAsia"/>
          <w:sz w:val="10"/>
        </w:rPr>
      </w:pPr>
    </w:p>
    <w:p w:rsidR="00695630" w:rsidRDefault="00695630" w:rsidP="00695630">
      <w:pPr>
        <w:pStyle w:val="SingleTxt"/>
        <w:rPr>
          <w:rFonts w:hint="eastAsia"/>
        </w:rPr>
      </w:pPr>
      <w:r>
        <w:rPr>
          <w:rFonts w:hint="eastAsia"/>
        </w:rPr>
        <w:t>1</w:t>
      </w:r>
      <w:r w:rsidR="00484279">
        <w:t>.</w:t>
      </w:r>
      <w:r w:rsidR="00484279">
        <w:tab/>
      </w:r>
      <w:r>
        <w:rPr>
          <w:rFonts w:hint="eastAsia"/>
        </w:rPr>
        <w:t>请提供资料说明在实现两性平等政策各项目标方面的进展情况。这应当包括关于两性平等政策监测机制的信息，以及该政策对妇女享受其人权所起的作用。</w:t>
      </w:r>
      <w:r w:rsidR="005A4216">
        <w:rPr>
          <w:rFonts w:hint="eastAsia"/>
        </w:rPr>
        <w:t>如报告（第7段）所述，</w:t>
      </w:r>
      <w:r>
        <w:rPr>
          <w:rFonts w:hint="eastAsia"/>
        </w:rPr>
        <w:t>请参考2006年5月16日通过的新法律规定的各项目标，还请详细介绍政府设立公共机构的意图，及其对调查社会不同群体之间两性平等问题的承诺。</w:t>
      </w:r>
    </w:p>
    <w:p w:rsidR="00695630" w:rsidRDefault="00695630" w:rsidP="00695630">
      <w:pPr>
        <w:pStyle w:val="SingleTxt"/>
        <w:rPr>
          <w:rFonts w:hint="eastAsia"/>
        </w:rPr>
      </w:pPr>
      <w:r>
        <w:rPr>
          <w:rFonts w:hint="eastAsia"/>
        </w:rPr>
        <w:t>2.</w:t>
      </w:r>
      <w:r>
        <w:rPr>
          <w:rFonts w:hint="eastAsia"/>
        </w:rPr>
        <w:tab/>
        <w:t>请参照报告第13和14段所提到的临时报告，详细介绍通过把性别问题纳入政府各部门主流的特别计划实现两性平等各项目标的进展情况。</w:t>
      </w:r>
    </w:p>
    <w:p w:rsidR="00695630" w:rsidRDefault="00695630" w:rsidP="00695630">
      <w:pPr>
        <w:pStyle w:val="SingleTxt"/>
        <w:rPr>
          <w:rFonts w:hint="eastAsia"/>
        </w:rPr>
      </w:pPr>
      <w:r>
        <w:rPr>
          <w:rFonts w:hint="eastAsia"/>
        </w:rPr>
        <w:t>3.</w:t>
      </w:r>
      <w:r>
        <w:rPr>
          <w:rFonts w:hint="eastAsia"/>
        </w:rPr>
        <w:tab/>
        <w:t>报告（第17至第19段）谈到为传播关于《消除对妇女一切形式歧视公约》的信息而开展的各项活动。请详细介绍报告第18段所提到的、即将在2006</w:t>
      </w:r>
      <w:r w:rsidR="005A4216">
        <w:t>-</w:t>
      </w:r>
      <w:r>
        <w:rPr>
          <w:rFonts w:hint="eastAsia"/>
        </w:rPr>
        <w:t>2007年期间开展的公共宣传活动。请简要说明在《公约任择议定书》方面是否开展了类似活动。</w:t>
      </w:r>
    </w:p>
    <w:p w:rsidR="00695630" w:rsidRDefault="00695630" w:rsidP="00695630">
      <w:pPr>
        <w:pStyle w:val="SingleTxt"/>
        <w:rPr>
          <w:rFonts w:hint="eastAsia"/>
        </w:rPr>
      </w:pPr>
      <w:r>
        <w:rPr>
          <w:rFonts w:hint="eastAsia"/>
        </w:rPr>
        <w:t>4.</w:t>
      </w:r>
      <w:r>
        <w:rPr>
          <w:rFonts w:hint="eastAsia"/>
        </w:rPr>
        <w:tab/>
        <w:t>报告谈到为消除对妇女歧视而采取的许多立法措施。请提供进一步资料，介绍遭歧视妇女已向法庭提起诉讼方面的情况、案件裁决情况以及这些裁决的履行情况。还请提供资料，介绍已向平等机会监察员办公室报案的、涉及歧视妇女案件的处理情况，平等机会委员会关于歧视妇女问题的各项裁决，以及《大学生平等待遇法》之下各项案件的裁决情况。</w:t>
      </w:r>
    </w:p>
    <w:p w:rsidR="00695630" w:rsidRDefault="00695630" w:rsidP="00695630">
      <w:pPr>
        <w:pStyle w:val="SingleTxt"/>
        <w:rPr>
          <w:rFonts w:hint="eastAsia"/>
        </w:rPr>
      </w:pPr>
      <w:r>
        <w:rPr>
          <w:rFonts w:hint="eastAsia"/>
        </w:rPr>
        <w:t>5.</w:t>
      </w:r>
      <w:r>
        <w:rPr>
          <w:rFonts w:hint="eastAsia"/>
        </w:rPr>
        <w:tab/>
        <w:t>请举例说明报告第31段所提到的禁止歧视的例外条款，以及在实践中是如何得到执行。</w:t>
      </w:r>
    </w:p>
    <w:p w:rsidR="00695630" w:rsidRDefault="00695630" w:rsidP="00695630">
      <w:pPr>
        <w:pStyle w:val="SingleTxt"/>
        <w:rPr>
          <w:rFonts w:hint="eastAsia"/>
        </w:rPr>
      </w:pPr>
      <w:r>
        <w:rPr>
          <w:rFonts w:hint="eastAsia"/>
        </w:rPr>
        <w:t>6.</w:t>
      </w:r>
      <w:r>
        <w:rPr>
          <w:rFonts w:hint="eastAsia"/>
        </w:rPr>
        <w:tab/>
        <w:t>请提供资料，介绍根据《2006-2009年国家人权行动计划》为解决歧视妇女问题所采取各项措施的执行情况，以及这些措施对促进两性平等的影响。请介绍瑞典人权代表团为解决歧视妇女问题所开展各项活动的情况。</w:t>
      </w:r>
    </w:p>
    <w:p w:rsidR="00695630" w:rsidRDefault="00EB6288" w:rsidP="00EB62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ascii="Times New Roman"/>
        </w:rPr>
        <w:tab/>
      </w:r>
      <w:r>
        <w:rPr>
          <w:rFonts w:ascii="Times New Roman"/>
        </w:rPr>
        <w:tab/>
      </w:r>
      <w:r w:rsidR="00695630">
        <w:rPr>
          <w:rFonts w:hint="eastAsia"/>
        </w:rPr>
        <w:t>政治参与和决策</w:t>
      </w:r>
    </w:p>
    <w:p w:rsidR="00EB6288" w:rsidRPr="00EB6288" w:rsidRDefault="00EB6288" w:rsidP="00EB6288">
      <w:pPr>
        <w:pStyle w:val="SingleTxt"/>
        <w:spacing w:after="0" w:line="120" w:lineRule="exact"/>
        <w:rPr>
          <w:rFonts w:hint="eastAsia"/>
          <w:sz w:val="10"/>
        </w:rPr>
      </w:pPr>
    </w:p>
    <w:p w:rsidR="00695630" w:rsidRDefault="00695630" w:rsidP="00695630">
      <w:pPr>
        <w:pStyle w:val="SingleTxt"/>
        <w:rPr>
          <w:rFonts w:hint="eastAsia"/>
        </w:rPr>
      </w:pPr>
      <w:r>
        <w:rPr>
          <w:rFonts w:hint="eastAsia"/>
        </w:rPr>
        <w:t>7.</w:t>
      </w:r>
      <w:r>
        <w:rPr>
          <w:rFonts w:hint="eastAsia"/>
        </w:rPr>
        <w:tab/>
        <w:t>请提供资料，介绍为报告瑞典重要职位性别分布情况而指定的调查（第166段）所得出的结论；以及乌普萨拉大学提交的关于从歧视角度看瑞典政治的结构缺陷和解决方式的2005年报告（第172段）。</w:t>
      </w:r>
    </w:p>
    <w:p w:rsidR="00695630" w:rsidRDefault="00695630" w:rsidP="00695630">
      <w:pPr>
        <w:pStyle w:val="SingleTxt"/>
        <w:rPr>
          <w:rFonts w:hint="eastAsia"/>
        </w:rPr>
      </w:pPr>
      <w:r>
        <w:rPr>
          <w:rFonts w:hint="eastAsia"/>
        </w:rPr>
        <w:t>8.</w:t>
      </w:r>
      <w:r>
        <w:rPr>
          <w:rFonts w:hint="eastAsia"/>
        </w:rPr>
        <w:tab/>
        <w:t>请提供详细资料，介绍政府如何根据《公约》第4条第1段，已采取或打算采取的各项措施，包括一切临时特别措施，来增加妇女在国营公司以及民选地方机构等妇女任职人数仍然偏低的其它部门中决策岗位上的任职人数。</w:t>
      </w:r>
    </w:p>
    <w:p w:rsidR="00695630" w:rsidRDefault="00695630" w:rsidP="00695630">
      <w:pPr>
        <w:pStyle w:val="SingleTxt"/>
        <w:rPr>
          <w:rFonts w:hint="eastAsia"/>
        </w:rPr>
      </w:pPr>
      <w:r>
        <w:rPr>
          <w:rFonts w:hint="eastAsia"/>
        </w:rPr>
        <w:t>9.</w:t>
      </w:r>
      <w:r>
        <w:rPr>
          <w:rFonts w:hint="eastAsia"/>
        </w:rPr>
        <w:tab/>
        <w:t>报告宣称，政府已经指定进行一项调查，以研究“是否可以和如何将私营企业关于董事会性别指标的条款”纳入瑞典法律（第191段）。请提供资料，介绍调查结论及这种指标是否被纳入瑞典法律及其影响。</w:t>
      </w:r>
    </w:p>
    <w:p w:rsidR="00695630" w:rsidRDefault="00EB6288" w:rsidP="00EB62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ascii="Times New Roman"/>
        </w:rPr>
        <w:tab/>
      </w:r>
      <w:r>
        <w:rPr>
          <w:rFonts w:ascii="Times New Roman"/>
        </w:rPr>
        <w:tab/>
      </w:r>
      <w:r w:rsidR="00695630">
        <w:rPr>
          <w:rFonts w:hint="eastAsia"/>
        </w:rPr>
        <w:t>暴力侵害妇女行为</w:t>
      </w:r>
    </w:p>
    <w:p w:rsidR="00EB6288" w:rsidRPr="00EB6288" w:rsidRDefault="00EB6288" w:rsidP="00EB6288">
      <w:pPr>
        <w:pStyle w:val="SingleTxt"/>
        <w:spacing w:after="0" w:line="120" w:lineRule="exact"/>
        <w:rPr>
          <w:rFonts w:hint="eastAsia"/>
          <w:sz w:val="10"/>
        </w:rPr>
      </w:pPr>
    </w:p>
    <w:p w:rsidR="00695630" w:rsidRDefault="00695630" w:rsidP="00695630">
      <w:pPr>
        <w:pStyle w:val="SingleTxt"/>
        <w:rPr>
          <w:rFonts w:hint="eastAsia"/>
        </w:rPr>
      </w:pPr>
      <w:r>
        <w:rPr>
          <w:rFonts w:hint="eastAsia"/>
        </w:rPr>
        <w:t>10.</w:t>
      </w:r>
      <w:r>
        <w:rPr>
          <w:rFonts w:hint="eastAsia"/>
        </w:rPr>
        <w:tab/>
        <w:t>报告介绍了为解决暴力侵害妇女行为问题所采取的各项措施，涉及到警察、瑞典检察机关、法院等其他部门，并且涉及不同形式的暴力行为，如家庭暴力、切割女性生殖器和名誉犯罪等。请提供进一步资料，介绍这些措施的影响，包括关于残疾妇女和移民以及少数民族妇女的措施。请提供一份评估，介绍是否有更多暴力侵害妇女行为正在被调查和起诉，以及犯罪者是否受到惩罚，特别是关于报告第83段所提到的各检察机关在2003年所进行分析的结论。</w:t>
      </w:r>
    </w:p>
    <w:p w:rsidR="00695630" w:rsidRDefault="00695630" w:rsidP="00695630">
      <w:pPr>
        <w:pStyle w:val="SingleTxt"/>
        <w:rPr>
          <w:rFonts w:hint="eastAsia"/>
        </w:rPr>
      </w:pPr>
      <w:r>
        <w:rPr>
          <w:rFonts w:hint="eastAsia"/>
        </w:rPr>
        <w:t>11.</w:t>
      </w:r>
      <w:r>
        <w:rPr>
          <w:rFonts w:hint="eastAsia"/>
        </w:rPr>
        <w:tab/>
        <w:t>请按照委员会在其2001年结论意见中的要求，提供更多数据，介绍在瑞典发生的暴力侵害妇女行为的性质和范围。</w:t>
      </w:r>
      <w:r w:rsidR="00374E19" w:rsidRPr="0093072F">
        <w:rPr>
          <w:rStyle w:val="FootnoteReference"/>
        </w:rPr>
        <w:footnoteReference w:id="1"/>
      </w:r>
      <w:r w:rsidR="00374E19">
        <w:t xml:space="preserve"> </w:t>
      </w:r>
      <w:r>
        <w:rPr>
          <w:rFonts w:hint="eastAsia"/>
        </w:rPr>
        <w:t>请提供资料，介绍通过国家统计部门或定期人口调查等方式，系统收集暴力侵害妇女行为数据方面的情况。</w:t>
      </w:r>
    </w:p>
    <w:p w:rsidR="00695630" w:rsidRDefault="00695630" w:rsidP="00695630">
      <w:pPr>
        <w:pStyle w:val="SingleTxt"/>
        <w:rPr>
          <w:rFonts w:hint="eastAsia"/>
        </w:rPr>
      </w:pPr>
      <w:r>
        <w:rPr>
          <w:rFonts w:hint="eastAsia"/>
        </w:rPr>
        <w:t>12.</w:t>
      </w:r>
      <w:r>
        <w:rPr>
          <w:rFonts w:hint="eastAsia"/>
        </w:rPr>
        <w:tab/>
        <w:t>请提供资料，详细介绍政府为审查向遭受暴力行为的妇女提供社会服务支助情况而指定的调查所得出的调查结论（拟于2006年6月30日之前提交），以及根据这次调查结论采取的行动（第72段）。关于报告第67和第68段所提到的政府支助，请说明提供支助的金额（以本地货币为单位和美元同等价格），并说明其在各组织业务预算中所占的相对份额。另外，请简要说明遭受家庭暴力的移民妇女是否有资格申请独立居住许可。</w:t>
      </w:r>
    </w:p>
    <w:p w:rsidR="00695630" w:rsidRDefault="00695630" w:rsidP="00695630">
      <w:pPr>
        <w:pStyle w:val="SingleTxt"/>
        <w:rPr>
          <w:rFonts w:hint="eastAsia"/>
        </w:rPr>
      </w:pPr>
      <w:r>
        <w:rPr>
          <w:rFonts w:hint="eastAsia"/>
        </w:rPr>
        <w:t>13.</w:t>
      </w:r>
      <w:r>
        <w:rPr>
          <w:rFonts w:hint="eastAsia"/>
        </w:rPr>
        <w:tab/>
        <w:t>报告声称，政府已责成进行一项调查，以评估《关于暴力侵害妇女行为的政府法案》给各公共机构的指示和任务的执行情况，调查结论称“各机构已经完成了部分任务，但其他任务还未完成或未充分完成”（第76段）。针对这些调查结论采取了哪些措施？</w:t>
      </w:r>
    </w:p>
    <w:p w:rsidR="00695630" w:rsidRDefault="00695630" w:rsidP="00695630">
      <w:pPr>
        <w:pStyle w:val="SingleTxt"/>
        <w:rPr>
          <w:rFonts w:hint="eastAsia"/>
        </w:rPr>
      </w:pPr>
      <w:r>
        <w:rPr>
          <w:rFonts w:hint="eastAsia"/>
        </w:rPr>
        <w:t>14.</w:t>
      </w:r>
      <w:r>
        <w:rPr>
          <w:rFonts w:hint="eastAsia"/>
        </w:rPr>
        <w:tab/>
        <w:t>报告声称，“政府的目标是在某些情况下把禁止令与电子监测结合起来”，并声称“因此，已责成国家警察局调查用于此目的的各种技术解决方案”（第80段）。请提供资料，详细介绍这次拟于2006年12月31日之前提交的调查结论。</w:t>
      </w:r>
    </w:p>
    <w:p w:rsidR="00695630" w:rsidRDefault="00695630" w:rsidP="00695630">
      <w:pPr>
        <w:pStyle w:val="SingleTxt"/>
        <w:rPr>
          <w:rFonts w:hint="eastAsia"/>
        </w:rPr>
      </w:pPr>
      <w:r>
        <w:rPr>
          <w:rFonts w:hint="eastAsia"/>
        </w:rPr>
        <w:t>15.</w:t>
      </w:r>
      <w:r>
        <w:rPr>
          <w:rFonts w:hint="eastAsia"/>
        </w:rPr>
        <w:tab/>
        <w:t>请提供报告第74段所述扩大后新的强奸定义的文本（英文）。</w:t>
      </w:r>
    </w:p>
    <w:p w:rsidR="00695630" w:rsidRDefault="00695630" w:rsidP="00695630">
      <w:pPr>
        <w:pStyle w:val="SingleTxt"/>
        <w:rPr>
          <w:rFonts w:hint="eastAsia"/>
        </w:rPr>
      </w:pPr>
      <w:r>
        <w:rPr>
          <w:rFonts w:hint="eastAsia"/>
        </w:rPr>
        <w:t>16.</w:t>
      </w:r>
      <w:r>
        <w:rPr>
          <w:rFonts w:hint="eastAsia"/>
        </w:rPr>
        <w:tab/>
        <w:t>请提供更多资料，包括统计信息在内，介绍瑞典境内切割女性生殖器的范围</w:t>
      </w:r>
      <w:r w:rsidR="00CD2B1D">
        <w:rPr>
          <w:rFonts w:hint="eastAsia"/>
        </w:rPr>
        <w:t>，</w:t>
      </w:r>
      <w:r>
        <w:rPr>
          <w:rFonts w:hint="eastAsia"/>
        </w:rPr>
        <w:t>以及为防止这种做法所采取的各项措施的结果，包括报告第105段所提到的、拟于2006年6月30日提交的国家卫生和福利局的调查结论。</w:t>
      </w:r>
    </w:p>
    <w:p w:rsidR="00695630" w:rsidRDefault="00EB6288" w:rsidP="00EB62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ascii="Times New Roman"/>
        </w:rPr>
        <w:tab/>
      </w:r>
      <w:r>
        <w:rPr>
          <w:rFonts w:ascii="Times New Roman"/>
        </w:rPr>
        <w:tab/>
      </w:r>
      <w:r w:rsidR="00695630">
        <w:rPr>
          <w:rFonts w:hint="eastAsia"/>
        </w:rPr>
        <w:t>卖淫和贩运</w:t>
      </w:r>
    </w:p>
    <w:p w:rsidR="00EB6288" w:rsidRPr="00EB6288" w:rsidRDefault="00EB6288" w:rsidP="00EB6288">
      <w:pPr>
        <w:pStyle w:val="SingleTxt"/>
        <w:spacing w:after="0" w:line="120" w:lineRule="exact"/>
        <w:rPr>
          <w:rFonts w:hint="eastAsia"/>
          <w:sz w:val="10"/>
        </w:rPr>
      </w:pPr>
    </w:p>
    <w:p w:rsidR="00695630" w:rsidRDefault="00695630" w:rsidP="00695630">
      <w:pPr>
        <w:pStyle w:val="SingleTxt"/>
        <w:rPr>
          <w:rFonts w:hint="eastAsia"/>
        </w:rPr>
      </w:pPr>
      <w:r>
        <w:rPr>
          <w:rFonts w:hint="eastAsia"/>
        </w:rPr>
        <w:t>17.</w:t>
      </w:r>
      <w:r>
        <w:rPr>
          <w:rFonts w:hint="eastAsia"/>
        </w:rPr>
        <w:tab/>
        <w:t>报告声称，政府正在制定《国家打击贩卖人口行动纲领》（第163段）。请提供资料，介绍该纲领的情况，包括其是否获得通过以及该纲领</w:t>
      </w:r>
      <w:r w:rsidR="00CD2B1D">
        <w:rPr>
          <w:rFonts w:hint="eastAsia"/>
        </w:rPr>
        <w:t>之</w:t>
      </w:r>
      <w:r>
        <w:rPr>
          <w:rFonts w:hint="eastAsia"/>
        </w:rPr>
        <w:t>下各种活动的情况及其影响。</w:t>
      </w:r>
    </w:p>
    <w:p w:rsidR="00695630" w:rsidRDefault="00695630" w:rsidP="00695630">
      <w:pPr>
        <w:pStyle w:val="SingleTxt"/>
        <w:rPr>
          <w:rFonts w:hint="eastAsia"/>
        </w:rPr>
      </w:pPr>
      <w:r>
        <w:rPr>
          <w:rFonts w:hint="eastAsia"/>
        </w:rPr>
        <w:t>18.</w:t>
      </w:r>
      <w:r>
        <w:rPr>
          <w:rFonts w:hint="eastAsia"/>
        </w:rPr>
        <w:tab/>
        <w:t>报告谈到“在开展初步调查或刑事案件主审期间必要时”可能为贩卖人口受害人或证人发放限时居留许可（第158段）。贩卖人口的女受害人</w:t>
      </w:r>
      <w:r w:rsidR="00CD2B1D">
        <w:rPr>
          <w:rFonts w:hint="eastAsia"/>
        </w:rPr>
        <w:t>，</w:t>
      </w:r>
      <w:r>
        <w:rPr>
          <w:rFonts w:hint="eastAsia"/>
        </w:rPr>
        <w:t>特别是那些非法居住在瑞典</w:t>
      </w:r>
      <w:r w:rsidR="00CD2B1D">
        <w:rPr>
          <w:rFonts w:hint="eastAsia"/>
        </w:rPr>
        <w:t>，</w:t>
      </w:r>
      <w:r>
        <w:rPr>
          <w:rFonts w:hint="eastAsia"/>
        </w:rPr>
        <w:t>以及决定不报案的女受害人</w:t>
      </w:r>
      <w:r w:rsidR="00CD2B1D">
        <w:rPr>
          <w:rFonts w:hint="eastAsia"/>
        </w:rPr>
        <w:t>，</w:t>
      </w:r>
      <w:r>
        <w:rPr>
          <w:rFonts w:hint="eastAsia"/>
        </w:rPr>
        <w:t xml:space="preserve">可以得到什么样的支助、援助方案和保护？ </w:t>
      </w:r>
    </w:p>
    <w:p w:rsidR="00695630" w:rsidRDefault="00695630" w:rsidP="00695630">
      <w:pPr>
        <w:pStyle w:val="SingleTxt"/>
        <w:rPr>
          <w:rFonts w:hint="eastAsia"/>
        </w:rPr>
      </w:pPr>
      <w:r>
        <w:rPr>
          <w:rFonts w:hint="eastAsia"/>
        </w:rPr>
        <w:t>19.</w:t>
      </w:r>
      <w:r>
        <w:rPr>
          <w:rFonts w:hint="eastAsia"/>
        </w:rPr>
        <w:tab/>
        <w:t>虽然委员会在其2001年结论意见中对规定购买性服务行为属于犯罪的政策表示欢迎，但它对这项政策可能会致使非法卖淫发生率增加表示关切，并鼓励政府对这项政策的影响进行评估，特别是考虑到缺少关于非法卖淫的数据，因为它肯定会对贩卖妇女和女童产生附带影响。</w:t>
      </w:r>
      <w:r w:rsidR="00CD2B1D" w:rsidRPr="0093072F">
        <w:rPr>
          <w:rStyle w:val="FootnoteReference"/>
        </w:rPr>
        <w:footnoteReference w:id="2"/>
      </w:r>
      <w:r w:rsidR="00CD2B1D">
        <w:t xml:space="preserve"> </w:t>
      </w:r>
      <w:r>
        <w:rPr>
          <w:rFonts w:hint="eastAsia"/>
        </w:rPr>
        <w:t>同样，暴力侵害妇女、其原因及后果问题特别报告员在其2007年2月6日的报告中特别建议，“委托独立调查员对瑞典在卖淫问题上的政策及其对贩卖人口的影响</w:t>
      </w:r>
      <w:r w:rsidR="00AA7F4E">
        <w:rPr>
          <w:rFonts w:hint="eastAsia"/>
        </w:rPr>
        <w:t>，</w:t>
      </w:r>
      <w:r>
        <w:rPr>
          <w:rFonts w:hint="eastAsia"/>
        </w:rPr>
        <w:t>以及卖淫场所经常发生的其他类型暴力行为进行一次全面调查”。</w:t>
      </w:r>
      <w:r w:rsidR="00CD2B1D" w:rsidRPr="0093072F">
        <w:rPr>
          <w:rStyle w:val="FootnoteReference"/>
        </w:rPr>
        <w:footnoteReference w:id="3"/>
      </w:r>
      <w:r w:rsidR="00CD2B1D">
        <w:t xml:space="preserve"> </w:t>
      </w:r>
      <w:r>
        <w:rPr>
          <w:rFonts w:hint="eastAsia"/>
        </w:rPr>
        <w:t>报告声称，“根据国家贩卖人口问题特别报告员的年度形势报告，禁止购买性服务阻止了人贩子在瑞典立足，并对贩卖人口起到了阻碍作用”（第153段）。请进一步提供可用资料，详细介绍这项政策尤其对非法卖淫发生率的影响。请简要说明是否对这项政策及其对瑞典境内和境外卖淫和贩卖人口的影响进行了全面调查。</w:t>
      </w:r>
    </w:p>
    <w:p w:rsidR="00695630" w:rsidRDefault="00EB6288" w:rsidP="00EB62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ascii="Times New Roman"/>
        </w:rPr>
        <w:tab/>
      </w:r>
      <w:r>
        <w:rPr>
          <w:rFonts w:ascii="Times New Roman"/>
        </w:rPr>
        <w:tab/>
      </w:r>
      <w:r w:rsidR="00695630">
        <w:rPr>
          <w:rFonts w:hint="eastAsia"/>
        </w:rPr>
        <w:t>定型观念和教育</w:t>
      </w:r>
    </w:p>
    <w:p w:rsidR="00EB6288" w:rsidRPr="00EB6288" w:rsidRDefault="00EB6288" w:rsidP="00EB6288">
      <w:pPr>
        <w:pStyle w:val="SingleTxt"/>
        <w:spacing w:after="0" w:line="120" w:lineRule="exact"/>
        <w:rPr>
          <w:rFonts w:hint="eastAsia"/>
          <w:sz w:val="10"/>
        </w:rPr>
      </w:pPr>
    </w:p>
    <w:p w:rsidR="00695630" w:rsidRDefault="00695630" w:rsidP="00695630">
      <w:pPr>
        <w:pStyle w:val="SingleTxt"/>
        <w:rPr>
          <w:rFonts w:hint="eastAsia"/>
        </w:rPr>
      </w:pPr>
      <w:r>
        <w:rPr>
          <w:rFonts w:hint="eastAsia"/>
        </w:rPr>
        <w:t>20.</w:t>
      </w:r>
      <w:r>
        <w:rPr>
          <w:rFonts w:hint="eastAsia"/>
        </w:rPr>
        <w:tab/>
        <w:t>报告谈到涉及“公共领域性别化和媒体的作用”（第126至第132段）的许多项目。请简要说明是否对这些项目的影响进行过评估。请提供资料，介绍于2005年6月结束的FLICKA项目的结果</w:t>
      </w:r>
      <w:r w:rsidR="00AA7F4E">
        <w:rPr>
          <w:rFonts w:hint="eastAsia"/>
        </w:rPr>
        <w:t>，</w:t>
      </w:r>
      <w:r>
        <w:rPr>
          <w:rFonts w:hint="eastAsia"/>
        </w:rPr>
        <w:t>以及拟议对广告中性别歧视问题进行调查的结果（第127段）；以及通过第2005/06:112号关于公共服务广播和电视播放问题政府法案的结果（第132段）。</w:t>
      </w:r>
    </w:p>
    <w:p w:rsidR="00695630" w:rsidRDefault="00695630" w:rsidP="00695630">
      <w:pPr>
        <w:pStyle w:val="SingleTxt"/>
        <w:rPr>
          <w:rFonts w:hint="eastAsia"/>
        </w:rPr>
      </w:pPr>
      <w:r>
        <w:rPr>
          <w:rFonts w:hint="eastAsia"/>
        </w:rPr>
        <w:t>21.</w:t>
      </w:r>
      <w:r>
        <w:rPr>
          <w:rFonts w:hint="eastAsia"/>
        </w:rPr>
        <w:tab/>
        <w:t>在其2001年结论意见中，委员会建议政府加大工作力度，消除教育课程中性别定型观念，并始终将提高对两性平等问题的认识和理解纳入师资培训工作之中。</w:t>
      </w:r>
      <w:r w:rsidR="00AA7F4E" w:rsidRPr="0093072F">
        <w:rPr>
          <w:rStyle w:val="FootnoteReference"/>
        </w:rPr>
        <w:footnoteReference w:id="4"/>
      </w:r>
      <w:r w:rsidR="00AA7F4E">
        <w:t xml:space="preserve"> </w:t>
      </w:r>
      <w:r>
        <w:rPr>
          <w:rFonts w:hint="eastAsia"/>
        </w:rPr>
        <w:t>报告谈到为促进教育系统中两性平等开展的多项活动，包括向学校和市政当局提供两性平等方面的参考资料</w:t>
      </w:r>
      <w:r w:rsidR="00AA7F4E">
        <w:rPr>
          <w:rFonts w:hint="eastAsia"/>
        </w:rPr>
        <w:t>，</w:t>
      </w:r>
      <w:r>
        <w:rPr>
          <w:rFonts w:hint="eastAsia"/>
        </w:rPr>
        <w:t>以及为教师提供两性平等方面的培训课程。请简要说明是否正在开展这些活动，另请提供资料，说明是否对这些活动的影响进行过评估。</w:t>
      </w:r>
    </w:p>
    <w:p w:rsidR="00695630" w:rsidRDefault="00695630" w:rsidP="00695630">
      <w:pPr>
        <w:pStyle w:val="SingleTxt"/>
        <w:rPr>
          <w:rFonts w:hint="eastAsia"/>
        </w:rPr>
      </w:pPr>
      <w:r>
        <w:rPr>
          <w:rFonts w:hint="eastAsia"/>
        </w:rPr>
        <w:t>22.</w:t>
      </w:r>
      <w:r>
        <w:rPr>
          <w:rFonts w:hint="eastAsia"/>
        </w:rPr>
        <w:tab/>
        <w:t>报告声称，高等教育中学生们的专业选择“仍然与性别有很大关系”，政府的目标是在教育方案中实现性别分布均衡（第228段）。请提供进一步资料，介绍为实现这一目标所采取的措施。还请提供最新数据，说明高级教育机构中男女教授和高级讲师的数量。</w:t>
      </w:r>
    </w:p>
    <w:p w:rsidR="00695630" w:rsidRDefault="00EB6288" w:rsidP="00EB62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ascii="Times New Roman"/>
        </w:rPr>
        <w:tab/>
      </w:r>
      <w:r>
        <w:rPr>
          <w:rFonts w:ascii="Times New Roman"/>
        </w:rPr>
        <w:tab/>
      </w:r>
      <w:r w:rsidR="00695630">
        <w:rPr>
          <w:rFonts w:hint="eastAsia"/>
        </w:rPr>
        <w:t>就业及工作与家庭生活的调节</w:t>
      </w:r>
    </w:p>
    <w:p w:rsidR="00EB6288" w:rsidRPr="00EB6288" w:rsidRDefault="00EB6288" w:rsidP="00EB6288">
      <w:pPr>
        <w:pStyle w:val="SingleTxt"/>
        <w:spacing w:after="0" w:line="120" w:lineRule="exact"/>
        <w:rPr>
          <w:rFonts w:hint="eastAsia"/>
          <w:sz w:val="10"/>
        </w:rPr>
      </w:pPr>
    </w:p>
    <w:p w:rsidR="00695630" w:rsidRDefault="00695630" w:rsidP="00695630">
      <w:pPr>
        <w:pStyle w:val="SingleTxt"/>
        <w:rPr>
          <w:rFonts w:hint="eastAsia"/>
        </w:rPr>
      </w:pPr>
      <w:r>
        <w:rPr>
          <w:rFonts w:hint="eastAsia"/>
        </w:rPr>
        <w:t>23.</w:t>
      </w:r>
      <w:r>
        <w:rPr>
          <w:rFonts w:hint="eastAsia"/>
        </w:rPr>
        <w:tab/>
        <w:t>请提供进一步资料，说明国家公共卫生研究所2005年1月报告中所介绍的、关于新型父母支助方式的建议，并按照政府在2006年对国家公共卫生研究所的指示采取了哪些执行措施（第140和第141段）。</w:t>
      </w:r>
    </w:p>
    <w:p w:rsidR="00695630" w:rsidRDefault="00695630" w:rsidP="00695630">
      <w:pPr>
        <w:pStyle w:val="SingleTxt"/>
        <w:rPr>
          <w:rFonts w:hint="eastAsia"/>
        </w:rPr>
      </w:pPr>
      <w:r>
        <w:rPr>
          <w:rFonts w:hint="eastAsia"/>
        </w:rPr>
        <w:t>24.</w:t>
      </w:r>
      <w:r>
        <w:rPr>
          <w:rFonts w:hint="eastAsia"/>
        </w:rPr>
        <w:tab/>
        <w:t>报告谈到为解决男女之间工资差距问题而采取的许多措施，特别是《平等机会法》中有关条款。报告声称，政府于2006年6月提交了一份平等薪酬行动计划（第286段）。请提供资料，介绍该行动计划的情况，包括它是否获得通过以及如何与其它措施一起为消除对妇女的薪酬歧视提供一种全面的办法。</w:t>
      </w:r>
    </w:p>
    <w:p w:rsidR="00695630" w:rsidRDefault="00695630" w:rsidP="00695630">
      <w:pPr>
        <w:pStyle w:val="SingleTxt"/>
        <w:rPr>
          <w:rFonts w:hint="eastAsia"/>
        </w:rPr>
      </w:pPr>
      <w:r>
        <w:rPr>
          <w:rFonts w:hint="eastAsia"/>
        </w:rPr>
        <w:t>25.</w:t>
      </w:r>
      <w:r>
        <w:rPr>
          <w:rFonts w:hint="eastAsia"/>
        </w:rPr>
        <w:tab/>
        <w:t>报告声称，政府已指派劳动力市场委员会消除劳动力市场中性别隔离现象（第261段）。请提供资料，介绍劳动力市场委员会的各项活动以及对其影响的评估。</w:t>
      </w:r>
    </w:p>
    <w:p w:rsidR="00695630" w:rsidRDefault="00695630" w:rsidP="00695630">
      <w:pPr>
        <w:pStyle w:val="SingleTxt"/>
        <w:rPr>
          <w:rFonts w:hint="eastAsia"/>
        </w:rPr>
      </w:pPr>
      <w:r>
        <w:rPr>
          <w:rFonts w:hint="eastAsia"/>
        </w:rPr>
        <w:t>26.</w:t>
      </w:r>
      <w:r>
        <w:rPr>
          <w:rFonts w:hint="eastAsia"/>
        </w:rPr>
        <w:tab/>
        <w:t>报告提到2002年的用时调查，并认识到男女在家务劳动和照顾家庭工作上的分配不平等</w:t>
      </w:r>
      <w:r w:rsidR="00AA7F4E">
        <w:rPr>
          <w:rFonts w:hint="eastAsia"/>
        </w:rPr>
        <w:t>，</w:t>
      </w:r>
      <w:r>
        <w:rPr>
          <w:rFonts w:hint="eastAsia"/>
        </w:rPr>
        <w:t>妨碍了劳动力市场中的两性平等（第121和第122段）。请详细介绍为实现男女无报酬工作平均分配而制定和采取的措施，这是政府2006年两性平等政策法案中强调的目标之一。</w:t>
      </w:r>
    </w:p>
    <w:p w:rsidR="00695630" w:rsidRPr="00EB6288" w:rsidRDefault="00EB6288" w:rsidP="00EB62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ascii="Times New Roman"/>
        </w:rPr>
        <w:tab/>
      </w:r>
      <w:r>
        <w:rPr>
          <w:rFonts w:ascii="Times New Roman"/>
        </w:rPr>
        <w:tab/>
      </w:r>
      <w:r w:rsidR="00695630">
        <w:rPr>
          <w:rFonts w:hint="eastAsia"/>
        </w:rPr>
        <w:t>卫生</w:t>
      </w:r>
    </w:p>
    <w:p w:rsidR="00EB6288" w:rsidRPr="00EB6288" w:rsidRDefault="00EB6288" w:rsidP="00EB6288">
      <w:pPr>
        <w:pStyle w:val="SingleTxt"/>
        <w:spacing w:after="0" w:line="120" w:lineRule="exact"/>
        <w:rPr>
          <w:rFonts w:hint="eastAsia"/>
          <w:sz w:val="10"/>
        </w:rPr>
      </w:pPr>
    </w:p>
    <w:p w:rsidR="00695630" w:rsidRDefault="00695630" w:rsidP="00695630">
      <w:pPr>
        <w:pStyle w:val="SingleTxt"/>
        <w:rPr>
          <w:rFonts w:hint="eastAsia"/>
        </w:rPr>
      </w:pPr>
      <w:r>
        <w:rPr>
          <w:rFonts w:hint="eastAsia"/>
        </w:rPr>
        <w:t>27.</w:t>
      </w:r>
      <w:r>
        <w:rPr>
          <w:rFonts w:hint="eastAsia"/>
        </w:rPr>
        <w:tab/>
        <w:t>报告谈到国家卫生和福利局的报告，其中简要提到“卫生服务在两性平等方面存在不足”（第310段）。报告声称，“政府打算继续大力传播关于将性别观点纳入卫生服务工作的重要性方面的信息”（第312段）。请进一步提供资料，介绍为完成这一目标所采取的行动</w:t>
      </w:r>
      <w:r w:rsidR="00AA7F4E">
        <w:rPr>
          <w:rFonts w:hint="eastAsia"/>
        </w:rPr>
        <w:t>，以</w:t>
      </w:r>
      <w:r>
        <w:rPr>
          <w:rFonts w:hint="eastAsia"/>
        </w:rPr>
        <w:t>及已查明的不足是否得到解决。</w:t>
      </w:r>
    </w:p>
    <w:p w:rsidR="00695630" w:rsidRDefault="00695630" w:rsidP="00695630">
      <w:pPr>
        <w:pStyle w:val="SingleTxt"/>
        <w:rPr>
          <w:rFonts w:hint="eastAsia"/>
        </w:rPr>
      </w:pPr>
      <w:r>
        <w:rPr>
          <w:rFonts w:hint="eastAsia"/>
        </w:rPr>
        <w:t>28.</w:t>
      </w:r>
      <w:r>
        <w:rPr>
          <w:rFonts w:hint="eastAsia"/>
        </w:rPr>
        <w:tab/>
        <w:t>儿童权利委员会在其2005年结论意见中关切地注意到青少年堕胎情况在2002年急剧增长。请提供数据，并解释为解决这一问题采取了何种措施。</w:t>
      </w:r>
    </w:p>
    <w:p w:rsidR="00695630" w:rsidRDefault="00EB6288" w:rsidP="00EB62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ascii="Times New Roman"/>
        </w:rPr>
        <w:tab/>
      </w:r>
      <w:r>
        <w:rPr>
          <w:rFonts w:ascii="Times New Roman"/>
        </w:rPr>
        <w:tab/>
      </w:r>
      <w:r w:rsidR="00695630">
        <w:rPr>
          <w:rFonts w:hint="eastAsia"/>
        </w:rPr>
        <w:t>少数民族、移民和难民妇女</w:t>
      </w:r>
    </w:p>
    <w:p w:rsidR="00EB6288" w:rsidRPr="00EB6288" w:rsidRDefault="00EB6288" w:rsidP="00EB6288">
      <w:pPr>
        <w:pStyle w:val="SingleTxt"/>
        <w:spacing w:after="0" w:line="120" w:lineRule="exact"/>
        <w:rPr>
          <w:rFonts w:hint="eastAsia"/>
          <w:sz w:val="10"/>
        </w:rPr>
      </w:pPr>
    </w:p>
    <w:p w:rsidR="00695630" w:rsidRDefault="00695630" w:rsidP="00695630">
      <w:pPr>
        <w:pStyle w:val="SingleTxt"/>
        <w:rPr>
          <w:rFonts w:hint="eastAsia"/>
        </w:rPr>
      </w:pPr>
      <w:r>
        <w:rPr>
          <w:rFonts w:hint="eastAsia"/>
        </w:rPr>
        <w:t>29.</w:t>
      </w:r>
      <w:r>
        <w:rPr>
          <w:rFonts w:hint="eastAsia"/>
        </w:rPr>
        <w:tab/>
      </w:r>
      <w:r w:rsidR="00AA7F4E">
        <w:rPr>
          <w:rFonts w:hint="eastAsia"/>
        </w:rPr>
        <w:t>委员会</w:t>
      </w:r>
      <w:r>
        <w:rPr>
          <w:rFonts w:hint="eastAsia"/>
        </w:rPr>
        <w:t>在前一次结论意见中，促请政府采取有效措施以消除对移民、难民和少数民族妇女的歧视，并鼓励政府更主动地采取措施，防止在社区及全社会歧视移民、难民和少数民族妇女，打击针对这些妇女的暴力行为，提高她们对可以利用社会服务和法律补救措施的认识。</w:t>
      </w:r>
      <w:r w:rsidR="00AA7F4E" w:rsidRPr="0093072F">
        <w:rPr>
          <w:rStyle w:val="FootnoteReference"/>
        </w:rPr>
        <w:footnoteReference w:id="5"/>
      </w:r>
      <w:r w:rsidR="00AA7F4E">
        <w:t xml:space="preserve"> </w:t>
      </w:r>
      <w:r>
        <w:rPr>
          <w:rFonts w:hint="eastAsia"/>
        </w:rPr>
        <w:t>同样，人权事务委员会也在其2002年结论意见中关切地注意到有关涉及外裔女童和妇女的切割女性生殖器和“名誉犯罪”的案件。请进一步提供资料，详细介绍为打击这些现象以及执行委员会的各项建议所采取的措施。</w:t>
      </w:r>
    </w:p>
    <w:p w:rsidR="00695630" w:rsidRDefault="00EB6288" w:rsidP="00EB62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ascii="Times New Roman"/>
        </w:rPr>
        <w:tab/>
      </w:r>
      <w:r>
        <w:rPr>
          <w:rFonts w:ascii="Times New Roman"/>
        </w:rPr>
        <w:tab/>
      </w:r>
      <w:r w:rsidR="00695630">
        <w:rPr>
          <w:rFonts w:hint="eastAsia"/>
        </w:rPr>
        <w:t>逼婚和早婚</w:t>
      </w:r>
    </w:p>
    <w:p w:rsidR="00EB6288" w:rsidRPr="00EB6288" w:rsidRDefault="00EB6288" w:rsidP="00EB6288">
      <w:pPr>
        <w:pStyle w:val="SingleTxt"/>
        <w:spacing w:after="0" w:line="120" w:lineRule="exact"/>
        <w:rPr>
          <w:rFonts w:hint="eastAsia"/>
          <w:sz w:val="10"/>
        </w:rPr>
      </w:pPr>
    </w:p>
    <w:p w:rsidR="00695630" w:rsidRDefault="00695630" w:rsidP="00695630">
      <w:pPr>
        <w:pStyle w:val="SingleTxt"/>
      </w:pPr>
      <w:r>
        <w:rPr>
          <w:rFonts w:hint="eastAsia"/>
        </w:rPr>
        <w:t>30.</w:t>
      </w:r>
      <w:r>
        <w:rPr>
          <w:rFonts w:hint="eastAsia"/>
        </w:rPr>
        <w:tab/>
        <w:t>在其2002年4月1日通过的结论意见中，人权事务委员会对承认有居住在瑞典的非瑞典国籍的女童涉及早婚问题表示关注。</w:t>
      </w:r>
      <w:r w:rsidR="00AA7F4E" w:rsidRPr="0093072F">
        <w:rPr>
          <w:rStyle w:val="FootnoteReference"/>
        </w:rPr>
        <w:footnoteReference w:id="6"/>
      </w:r>
      <w:r w:rsidR="00AA7F4E">
        <w:t xml:space="preserve"> </w:t>
      </w:r>
      <w:r>
        <w:rPr>
          <w:rFonts w:hint="eastAsia"/>
        </w:rPr>
        <w:t>报告声称，为了防止逼婚和早婚，已在立法方面做了修改。请提供可用数据，介绍在瑞典发生的逼婚和早婚情况，以及对此采取的行动。</w:t>
      </w:r>
    </w:p>
    <w:p w:rsidR="00EB6288" w:rsidRPr="00EB6288" w:rsidRDefault="00EB6288" w:rsidP="00EB6288">
      <w:pPr>
        <w:pStyle w:val="SingleTxt"/>
        <w:spacing w:after="0" w:line="240" w:lineRule="auto"/>
        <w:rPr>
          <w:sz w:val="20"/>
        </w:rPr>
      </w:pPr>
      <w:r>
        <w:rPr>
          <w:noProof/>
          <w:sz w:val="20"/>
        </w:rPr>
        <w:pict>
          <v:line id="_x0000_s1026" style="position:absolute;left:0;text-align:left;z-index:1;mso-position-horizontal:center" from="0,30pt" to="1in,30pt" strokeweight=".25pt"/>
        </w:pict>
      </w:r>
    </w:p>
    <w:sectPr w:rsidR="00EB6288" w:rsidRPr="00EB6288" w:rsidSect="0061226F">
      <w:type w:val="continuous"/>
      <w:pgSz w:w="12240" w:h="15840" w:code="1"/>
      <w:pgMar w:top="1742" w:right="1195" w:bottom="1898" w:left="1195"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9-25T10:37:00Z" w:initials="Start">
    <w:p w:rsidR="005A4216" w:rsidRDefault="005A4216">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NO&gt;&gt;N0749609C&lt;&lt;ODS JOB NO&gt;&gt;</w:t>
      </w:r>
    </w:p>
    <w:p w:rsidR="005A4216" w:rsidRDefault="005A4216">
      <w:pPr>
        <w:pStyle w:val="CommentText"/>
      </w:pPr>
      <w:r>
        <w:t>&lt;&lt;ODS DOC SYMBOL1&gt;&gt;CEDAW/C/SWE/Q/7&lt;&lt;ODS DOC SYMBOL1&gt;&gt;</w:t>
      </w:r>
    </w:p>
    <w:p w:rsidR="005A4216" w:rsidRDefault="005A4216">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40D4" w:rsidRDefault="001B40D4" w:rsidP="0061226F">
      <w:pPr>
        <w:pStyle w:val="Footer"/>
      </w:pPr>
      <w:r>
        <w:separator/>
      </w:r>
    </w:p>
  </w:endnote>
  <w:endnote w:type="continuationSeparator" w:id="0">
    <w:p w:rsidR="001B40D4" w:rsidRDefault="001B40D4" w:rsidP="0061226F">
      <w:pPr>
        <w:pStyle w:val="Foot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A4216" w:rsidTr="0061226F">
      <w:tblPrEx>
        <w:tblCellMar>
          <w:top w:w="0" w:type="dxa"/>
          <w:bottom w:w="0" w:type="dxa"/>
        </w:tblCellMar>
      </w:tblPrEx>
      <w:tc>
        <w:tcPr>
          <w:tcW w:w="5033" w:type="dxa"/>
          <w:shd w:val="clear" w:color="auto" w:fill="auto"/>
        </w:tcPr>
        <w:p w:rsidR="005A4216" w:rsidRPr="0061226F" w:rsidRDefault="005A4216" w:rsidP="0061226F">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15E91">
            <w:rPr>
              <w:b w:val="0"/>
              <w:w w:val="103"/>
              <w:sz w:val="14"/>
            </w:rPr>
            <w:t>07-49609</w:t>
          </w:r>
          <w:r>
            <w:rPr>
              <w:b w:val="0"/>
              <w:w w:val="103"/>
              <w:sz w:val="14"/>
            </w:rPr>
            <w:fldChar w:fldCharType="end"/>
          </w:r>
        </w:p>
      </w:tc>
      <w:tc>
        <w:tcPr>
          <w:tcW w:w="5033" w:type="dxa"/>
          <w:shd w:val="clear" w:color="auto" w:fill="auto"/>
        </w:tcPr>
        <w:p w:rsidR="005A4216" w:rsidRPr="0061226F" w:rsidRDefault="005A4216" w:rsidP="0061226F">
          <w:pPr>
            <w:pStyle w:val="Footer"/>
            <w:jc w:val="left"/>
            <w:rPr>
              <w:w w:val="103"/>
              <w:sz w:val="17"/>
            </w:rPr>
          </w:pPr>
          <w:r>
            <w:rPr>
              <w:w w:val="103"/>
              <w:sz w:val="17"/>
            </w:rPr>
            <w:fldChar w:fldCharType="begin"/>
          </w:r>
          <w:r>
            <w:rPr>
              <w:w w:val="103"/>
              <w:sz w:val="17"/>
            </w:rPr>
            <w:instrText xml:space="preserve"> PAGE  \* MERGEFORMAT </w:instrText>
          </w:r>
          <w:r>
            <w:rPr>
              <w:w w:val="103"/>
              <w:sz w:val="17"/>
            </w:rPr>
            <w:fldChar w:fldCharType="separate"/>
          </w:r>
          <w:r w:rsidR="00915E91">
            <w:rPr>
              <w:w w:val="103"/>
              <w:sz w:val="17"/>
            </w:rPr>
            <w:t>2</w:t>
          </w:r>
          <w:r>
            <w:rPr>
              <w:w w:val="103"/>
              <w:sz w:val="17"/>
            </w:rPr>
            <w:fldChar w:fldCharType="end"/>
          </w:r>
        </w:p>
      </w:tc>
    </w:tr>
  </w:tbl>
  <w:p w:rsidR="005A4216" w:rsidRPr="0061226F" w:rsidRDefault="005A4216" w:rsidP="0061226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A4216" w:rsidTr="0061226F">
      <w:tblPrEx>
        <w:tblCellMar>
          <w:top w:w="0" w:type="dxa"/>
          <w:bottom w:w="0" w:type="dxa"/>
        </w:tblCellMar>
      </w:tblPrEx>
      <w:tc>
        <w:tcPr>
          <w:tcW w:w="5033" w:type="dxa"/>
          <w:shd w:val="clear" w:color="auto" w:fill="auto"/>
        </w:tcPr>
        <w:p w:rsidR="005A4216" w:rsidRPr="0061226F" w:rsidRDefault="005A4216" w:rsidP="0061226F">
          <w:pPr>
            <w:pStyle w:val="Footer"/>
            <w:jc w:val="right"/>
          </w:pPr>
          <w:r>
            <w:fldChar w:fldCharType="begin"/>
          </w:r>
          <w:r>
            <w:instrText xml:space="preserve"> PAGE  \* MERGEFORMAT </w:instrText>
          </w:r>
          <w:r>
            <w:fldChar w:fldCharType="separate"/>
          </w:r>
          <w:r w:rsidR="00915E91">
            <w:t>5</w:t>
          </w:r>
          <w:r>
            <w:fldChar w:fldCharType="end"/>
          </w:r>
        </w:p>
      </w:tc>
      <w:tc>
        <w:tcPr>
          <w:tcW w:w="5033" w:type="dxa"/>
          <w:shd w:val="clear" w:color="auto" w:fill="auto"/>
        </w:tcPr>
        <w:p w:rsidR="005A4216" w:rsidRPr="0061226F" w:rsidRDefault="005A4216" w:rsidP="0061226F">
          <w:pPr>
            <w:pStyle w:val="Footer"/>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15E91">
            <w:rPr>
              <w:b w:val="0"/>
              <w:w w:val="103"/>
              <w:sz w:val="14"/>
            </w:rPr>
            <w:t>07-49609</w:t>
          </w:r>
          <w:r>
            <w:rPr>
              <w:b w:val="0"/>
              <w:w w:val="103"/>
              <w:sz w:val="14"/>
            </w:rPr>
            <w:fldChar w:fldCharType="end"/>
          </w:r>
        </w:p>
      </w:tc>
    </w:tr>
  </w:tbl>
  <w:p w:rsidR="005A4216" w:rsidRPr="0061226F" w:rsidRDefault="005A4216" w:rsidP="0061226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4216" w:rsidRDefault="005A4216" w:rsidP="0061226F">
    <w:pPr>
      <w:pStyle w:val="Footer"/>
      <w:rPr>
        <w:b w:val="0"/>
        <w:sz w:val="21"/>
      </w:rPr>
    </w:pPr>
    <w:r>
      <w:rPr>
        <w:b w:val="0"/>
        <w:sz w:val="21"/>
      </w:rPr>
      <w:fldChar w:fldCharType="begin"/>
    </w:r>
    <w:r>
      <w:rPr>
        <w:b w:val="0"/>
        <w:sz w:val="21"/>
      </w:rPr>
      <w:instrText xml:space="preserve"> DOCVARIABLE "jobn" \* MERGEFORMAT </w:instrText>
    </w:r>
    <w:r>
      <w:rPr>
        <w:b w:val="0"/>
        <w:sz w:val="21"/>
      </w:rPr>
      <w:fldChar w:fldCharType="separate"/>
    </w:r>
    <w:r w:rsidR="00915E91">
      <w:rPr>
        <w:b w:val="0"/>
        <w:sz w:val="21"/>
      </w:rPr>
      <w:t>07-49609 (C)</w:t>
    </w:r>
    <w:r>
      <w:rPr>
        <w:b w:val="0"/>
        <w:sz w:val="21"/>
      </w:rPr>
      <w:fldChar w:fldCharType="end"/>
    </w:r>
    <w:r>
      <w:rPr>
        <w:b w:val="0"/>
        <w:sz w:val="21"/>
      </w:rPr>
      <w:t xml:space="preserve">    250907    280907</w:t>
    </w:r>
  </w:p>
  <w:p w:rsidR="005A4216" w:rsidRPr="0061226F" w:rsidRDefault="005A4216" w:rsidP="0061226F">
    <w:pPr>
      <w:spacing w:before="80" w:line="210" w:lineRule="exact"/>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915E91">
      <w:rPr>
        <w:rFonts w:ascii="Barcode 3 of 9 by request" w:hAnsi="Barcode 3 of 9 by request"/>
        <w:sz w:val="24"/>
      </w:rPr>
      <w:t>*0749609*</w:t>
    </w:r>
    <w:r>
      <w:rPr>
        <w:rFonts w:ascii="Barcode 3 of 9 by request" w:hAnsi="Barcode 3 of 9 by request"/>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40D4" w:rsidRPr="0093072F" w:rsidRDefault="001B40D4" w:rsidP="0093072F">
      <w:pPr>
        <w:pStyle w:val="Footer"/>
        <w:spacing w:after="80"/>
        <w:ind w:left="792"/>
        <w:rPr>
          <w:sz w:val="16"/>
        </w:rPr>
      </w:pPr>
      <w:r w:rsidRPr="0093072F">
        <w:rPr>
          <w:sz w:val="16"/>
        </w:rPr>
        <w:t>__________________</w:t>
      </w:r>
    </w:p>
  </w:footnote>
  <w:footnote w:type="continuationSeparator" w:id="0">
    <w:p w:rsidR="001B40D4" w:rsidRPr="0093072F" w:rsidRDefault="001B40D4" w:rsidP="0093072F">
      <w:pPr>
        <w:pStyle w:val="Footer"/>
        <w:spacing w:after="80"/>
        <w:ind w:left="792"/>
        <w:rPr>
          <w:sz w:val="16"/>
        </w:rPr>
      </w:pPr>
      <w:r w:rsidRPr="0093072F">
        <w:rPr>
          <w:sz w:val="16"/>
        </w:rPr>
        <w:t>__________________</w:t>
      </w:r>
    </w:p>
  </w:footnote>
  <w:footnote w:id="1">
    <w:p w:rsidR="005A4216" w:rsidRPr="00374E19" w:rsidRDefault="005A4216" w:rsidP="0093072F">
      <w:pPr>
        <w:pStyle w:val="FootnoteText"/>
        <w:tabs>
          <w:tab w:val="clear" w:pos="418"/>
          <w:tab w:val="right" w:pos="1195"/>
          <w:tab w:val="left" w:pos="1264"/>
          <w:tab w:val="left" w:pos="1695"/>
          <w:tab w:val="left" w:pos="2126"/>
          <w:tab w:val="left" w:pos="2557"/>
        </w:tabs>
        <w:ind w:left="1264" w:right="1264" w:hanging="432"/>
      </w:pPr>
      <w:r>
        <w:tab/>
      </w:r>
      <w:r>
        <w:rPr>
          <w:rStyle w:val="FootnoteReference"/>
        </w:rPr>
        <w:footnoteRef/>
      </w:r>
      <w:r>
        <w:tab/>
      </w:r>
      <w:r w:rsidRPr="00374E19">
        <w:rPr>
          <w:rFonts w:hint="eastAsia"/>
        </w:rPr>
        <w:t>《大会正式记录，第五十六届会议，补编第38号》（A</w:t>
      </w:r>
      <w:r>
        <w:t>/</w:t>
      </w:r>
      <w:r w:rsidRPr="00374E19">
        <w:rPr>
          <w:rFonts w:hint="eastAsia"/>
        </w:rPr>
        <w:t>56</w:t>
      </w:r>
      <w:r>
        <w:t>/</w:t>
      </w:r>
      <w:r w:rsidRPr="00374E19">
        <w:rPr>
          <w:rFonts w:hint="eastAsia"/>
        </w:rPr>
        <w:t>38），第353页。</w:t>
      </w:r>
    </w:p>
  </w:footnote>
  <w:footnote w:id="2">
    <w:p w:rsidR="005A4216" w:rsidRPr="00CD2B1D" w:rsidRDefault="005A4216" w:rsidP="0093072F">
      <w:pPr>
        <w:pStyle w:val="FootnoteText"/>
        <w:tabs>
          <w:tab w:val="clear" w:pos="418"/>
          <w:tab w:val="right" w:pos="1195"/>
          <w:tab w:val="left" w:pos="1264"/>
          <w:tab w:val="left" w:pos="1695"/>
          <w:tab w:val="left" w:pos="2126"/>
          <w:tab w:val="left" w:pos="2557"/>
        </w:tabs>
        <w:ind w:left="1264" w:right="1264" w:hanging="432"/>
      </w:pPr>
      <w:r>
        <w:tab/>
      </w:r>
      <w:r>
        <w:rPr>
          <w:rStyle w:val="FootnoteReference"/>
        </w:rPr>
        <w:footnoteRef/>
      </w:r>
      <w:r>
        <w:tab/>
      </w:r>
      <w:r w:rsidRPr="00CD2B1D">
        <w:rPr>
          <w:rFonts w:hint="eastAsia"/>
        </w:rPr>
        <w:t>同上，第354和第355段。</w:t>
      </w:r>
    </w:p>
  </w:footnote>
  <w:footnote w:id="3">
    <w:p w:rsidR="005A4216" w:rsidRPr="00CD2B1D" w:rsidRDefault="005A4216" w:rsidP="0093072F">
      <w:pPr>
        <w:pStyle w:val="FootnoteText"/>
        <w:tabs>
          <w:tab w:val="clear" w:pos="418"/>
          <w:tab w:val="right" w:pos="1195"/>
          <w:tab w:val="left" w:pos="1264"/>
          <w:tab w:val="left" w:pos="1695"/>
          <w:tab w:val="left" w:pos="2126"/>
          <w:tab w:val="left" w:pos="2557"/>
        </w:tabs>
        <w:ind w:left="1264" w:right="1264" w:hanging="432"/>
      </w:pPr>
      <w:r>
        <w:tab/>
      </w:r>
      <w:r>
        <w:rPr>
          <w:rStyle w:val="FootnoteReference"/>
        </w:rPr>
        <w:footnoteRef/>
      </w:r>
      <w:r>
        <w:tab/>
      </w:r>
      <w:r w:rsidRPr="00CD2B1D">
        <w:rPr>
          <w:rFonts w:hint="eastAsia"/>
        </w:rPr>
        <w:t>A/HRC/4/34/Add.3，第71(V</w:t>
      </w:r>
      <w:r>
        <w:rPr>
          <w:rFonts w:hint="eastAsia"/>
        </w:rPr>
        <w:t>)</w:t>
      </w:r>
      <w:r w:rsidRPr="00CD2B1D">
        <w:rPr>
          <w:rFonts w:hint="eastAsia"/>
        </w:rPr>
        <w:t>段。</w:t>
      </w:r>
    </w:p>
  </w:footnote>
  <w:footnote w:id="4">
    <w:p w:rsidR="005A4216" w:rsidRPr="00AA7F4E" w:rsidRDefault="005A4216" w:rsidP="0093072F">
      <w:pPr>
        <w:pStyle w:val="FootnoteText"/>
        <w:tabs>
          <w:tab w:val="clear" w:pos="418"/>
          <w:tab w:val="right" w:pos="1195"/>
          <w:tab w:val="left" w:pos="1264"/>
          <w:tab w:val="left" w:pos="1695"/>
          <w:tab w:val="left" w:pos="2126"/>
          <w:tab w:val="left" w:pos="2557"/>
        </w:tabs>
        <w:ind w:left="1264" w:right="1264" w:hanging="432"/>
      </w:pPr>
      <w:r>
        <w:tab/>
      </w:r>
      <w:r>
        <w:rPr>
          <w:rStyle w:val="FootnoteReference"/>
        </w:rPr>
        <w:footnoteRef/>
      </w:r>
      <w:r>
        <w:tab/>
      </w:r>
      <w:r w:rsidRPr="00AA7F4E">
        <w:rPr>
          <w:rFonts w:hint="eastAsia"/>
        </w:rPr>
        <w:t>同上，第343段。</w:t>
      </w:r>
    </w:p>
  </w:footnote>
  <w:footnote w:id="5">
    <w:p w:rsidR="005A4216" w:rsidRPr="00AA7F4E" w:rsidRDefault="005A4216" w:rsidP="0093072F">
      <w:pPr>
        <w:pStyle w:val="FootnoteText"/>
        <w:tabs>
          <w:tab w:val="clear" w:pos="418"/>
          <w:tab w:val="right" w:pos="1195"/>
          <w:tab w:val="left" w:pos="1264"/>
          <w:tab w:val="left" w:pos="1695"/>
          <w:tab w:val="left" w:pos="2126"/>
          <w:tab w:val="left" w:pos="2557"/>
        </w:tabs>
        <w:ind w:left="1264" w:right="1264" w:hanging="432"/>
      </w:pPr>
      <w:r>
        <w:tab/>
      </w:r>
      <w:r>
        <w:rPr>
          <w:rStyle w:val="FootnoteReference"/>
        </w:rPr>
        <w:footnoteRef/>
      </w:r>
      <w:r>
        <w:tab/>
      </w:r>
      <w:r w:rsidRPr="00AA7F4E">
        <w:rPr>
          <w:rFonts w:hint="eastAsia"/>
        </w:rPr>
        <w:t>同上，第357段。</w:t>
      </w:r>
    </w:p>
  </w:footnote>
  <w:footnote w:id="6">
    <w:p w:rsidR="005A4216" w:rsidRPr="00AA7F4E" w:rsidRDefault="005A4216" w:rsidP="0093072F">
      <w:pPr>
        <w:pStyle w:val="FootnoteText"/>
        <w:tabs>
          <w:tab w:val="clear" w:pos="418"/>
          <w:tab w:val="right" w:pos="1195"/>
          <w:tab w:val="left" w:pos="1264"/>
          <w:tab w:val="left" w:pos="1695"/>
          <w:tab w:val="left" w:pos="2126"/>
          <w:tab w:val="left" w:pos="2557"/>
        </w:tabs>
        <w:ind w:left="1264" w:right="1264" w:hanging="432"/>
      </w:pPr>
      <w:r>
        <w:tab/>
      </w:r>
      <w:r>
        <w:rPr>
          <w:rStyle w:val="FootnoteReference"/>
        </w:rPr>
        <w:footnoteRef/>
      </w:r>
      <w:r>
        <w:tab/>
      </w:r>
      <w:r w:rsidRPr="00AA7F4E">
        <w:rPr>
          <w:rFonts w:hint="eastAsia"/>
        </w:rPr>
        <w:t>CCPR/CO/74/SWE，第9段。</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5A4216" w:rsidTr="0061226F">
      <w:tblPrEx>
        <w:tblCellMar>
          <w:top w:w="0" w:type="dxa"/>
          <w:bottom w:w="0" w:type="dxa"/>
        </w:tblCellMar>
      </w:tblPrEx>
      <w:trPr>
        <w:trHeight w:hRule="exact" w:val="864"/>
      </w:trPr>
      <w:tc>
        <w:tcPr>
          <w:tcW w:w="4838" w:type="dxa"/>
          <w:shd w:val="clear" w:color="auto" w:fill="auto"/>
          <w:vAlign w:val="bottom"/>
        </w:tcPr>
        <w:p w:rsidR="005A4216" w:rsidRPr="0061226F" w:rsidRDefault="005A4216" w:rsidP="0061226F">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915E91">
            <w:rPr>
              <w:b/>
              <w:sz w:val="17"/>
            </w:rPr>
            <w:t>CEDAW/C/SWE/Q/7</w:t>
          </w:r>
          <w:r>
            <w:rPr>
              <w:b/>
              <w:sz w:val="17"/>
            </w:rPr>
            <w:fldChar w:fldCharType="end"/>
          </w:r>
        </w:p>
      </w:tc>
      <w:tc>
        <w:tcPr>
          <w:tcW w:w="5033" w:type="dxa"/>
          <w:shd w:val="clear" w:color="auto" w:fill="auto"/>
          <w:vAlign w:val="bottom"/>
        </w:tcPr>
        <w:p w:rsidR="005A4216" w:rsidRDefault="005A4216" w:rsidP="0061226F">
          <w:pPr>
            <w:pStyle w:val="Header"/>
          </w:pPr>
        </w:p>
      </w:tc>
    </w:tr>
  </w:tbl>
  <w:p w:rsidR="005A4216" w:rsidRPr="0061226F" w:rsidRDefault="005A4216" w:rsidP="0061226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5A4216" w:rsidTr="0061226F">
      <w:tblPrEx>
        <w:tblCellMar>
          <w:top w:w="0" w:type="dxa"/>
          <w:bottom w:w="0" w:type="dxa"/>
        </w:tblCellMar>
      </w:tblPrEx>
      <w:trPr>
        <w:trHeight w:hRule="exact" w:val="864"/>
      </w:trPr>
      <w:tc>
        <w:tcPr>
          <w:tcW w:w="4838" w:type="dxa"/>
          <w:shd w:val="clear" w:color="auto" w:fill="auto"/>
          <w:vAlign w:val="bottom"/>
        </w:tcPr>
        <w:p w:rsidR="005A4216" w:rsidRDefault="005A4216" w:rsidP="0061226F">
          <w:pPr>
            <w:pStyle w:val="Header"/>
          </w:pPr>
        </w:p>
      </w:tc>
      <w:tc>
        <w:tcPr>
          <w:tcW w:w="5033" w:type="dxa"/>
          <w:shd w:val="clear" w:color="auto" w:fill="auto"/>
          <w:vAlign w:val="bottom"/>
        </w:tcPr>
        <w:p w:rsidR="005A4216" w:rsidRPr="0061226F" w:rsidRDefault="005A4216" w:rsidP="0061226F">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915E91">
            <w:rPr>
              <w:b/>
              <w:sz w:val="17"/>
            </w:rPr>
            <w:t>CEDAW/C/SWE/Q/7</w:t>
          </w:r>
          <w:r>
            <w:rPr>
              <w:b/>
              <w:sz w:val="17"/>
            </w:rPr>
            <w:fldChar w:fldCharType="end"/>
          </w:r>
        </w:p>
      </w:tc>
    </w:tr>
  </w:tbl>
  <w:p w:rsidR="005A4216" w:rsidRPr="0061226F" w:rsidRDefault="005A4216" w:rsidP="0061226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5A4216" w:rsidTr="0061226F">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5A4216" w:rsidRDefault="005A4216" w:rsidP="0061226F">
          <w:pPr>
            <w:pStyle w:val="Header"/>
            <w:spacing w:after="120"/>
          </w:pPr>
        </w:p>
      </w:tc>
      <w:tc>
        <w:tcPr>
          <w:tcW w:w="1872" w:type="dxa"/>
          <w:tcBorders>
            <w:bottom w:val="single" w:sz="4" w:space="0" w:color="auto"/>
          </w:tcBorders>
          <w:shd w:val="clear" w:color="auto" w:fill="auto"/>
          <w:vAlign w:val="bottom"/>
        </w:tcPr>
        <w:p w:rsidR="005A4216" w:rsidRPr="0061226F" w:rsidRDefault="005A4216" w:rsidP="0061226F">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5A4216" w:rsidRDefault="005A4216" w:rsidP="0061226F">
          <w:pPr>
            <w:pStyle w:val="Header"/>
            <w:spacing w:after="120"/>
          </w:pPr>
        </w:p>
      </w:tc>
      <w:tc>
        <w:tcPr>
          <w:tcW w:w="6523" w:type="dxa"/>
          <w:gridSpan w:val="3"/>
          <w:tcBorders>
            <w:bottom w:val="single" w:sz="4" w:space="0" w:color="auto"/>
          </w:tcBorders>
          <w:shd w:val="clear" w:color="auto" w:fill="auto"/>
          <w:vAlign w:val="bottom"/>
        </w:tcPr>
        <w:p w:rsidR="005A4216" w:rsidRPr="0061226F" w:rsidRDefault="005A4216" w:rsidP="0061226F">
          <w:pPr>
            <w:spacing w:after="80" w:line="240" w:lineRule="auto"/>
            <w:jc w:val="right"/>
            <w:rPr>
              <w:rFonts w:ascii="Times New Roman"/>
              <w:position w:val="-4"/>
            </w:rPr>
          </w:pPr>
          <w:r>
            <w:rPr>
              <w:rFonts w:ascii="Times New Roman"/>
              <w:position w:val="-4"/>
              <w:sz w:val="40"/>
            </w:rPr>
            <w:t>CEDAW</w:t>
          </w:r>
          <w:r>
            <w:rPr>
              <w:rFonts w:ascii="Times New Roman"/>
              <w:position w:val="-4"/>
            </w:rPr>
            <w:t>/C/SWE/Q/7</w:t>
          </w:r>
        </w:p>
      </w:tc>
    </w:tr>
    <w:tr w:rsidR="005A4216" w:rsidRPr="0061226F" w:rsidTr="0061226F">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5A4216" w:rsidRDefault="005A4216" w:rsidP="0061226F">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5A4216" w:rsidRPr="0061226F" w:rsidRDefault="005A4216" w:rsidP="0061226F">
          <w:pPr>
            <w:pStyle w:val="Header"/>
            <w:spacing w:before="109"/>
            <w:ind w:left="-72"/>
          </w:pPr>
        </w:p>
      </w:tc>
      <w:tc>
        <w:tcPr>
          <w:tcW w:w="5227" w:type="dxa"/>
          <w:gridSpan w:val="3"/>
          <w:tcBorders>
            <w:top w:val="single" w:sz="4" w:space="0" w:color="auto"/>
            <w:bottom w:val="single" w:sz="12" w:space="0" w:color="auto"/>
          </w:tcBorders>
          <w:shd w:val="clear" w:color="auto" w:fill="auto"/>
        </w:tcPr>
        <w:p w:rsidR="005A4216" w:rsidRPr="0061226F" w:rsidRDefault="005A4216" w:rsidP="0061226F">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5A4216" w:rsidRPr="0061226F" w:rsidRDefault="005A4216" w:rsidP="0061226F">
          <w:pPr>
            <w:pStyle w:val="Header"/>
            <w:spacing w:before="109"/>
          </w:pPr>
        </w:p>
      </w:tc>
      <w:tc>
        <w:tcPr>
          <w:tcW w:w="3180" w:type="dxa"/>
          <w:gridSpan w:val="2"/>
          <w:tcBorders>
            <w:top w:val="single" w:sz="4" w:space="0" w:color="auto"/>
            <w:bottom w:val="single" w:sz="12" w:space="0" w:color="auto"/>
          </w:tcBorders>
          <w:shd w:val="clear" w:color="auto" w:fill="auto"/>
        </w:tcPr>
        <w:p w:rsidR="005A4216" w:rsidRDefault="005A4216" w:rsidP="0061226F">
          <w:pPr>
            <w:spacing w:before="240" w:line="240" w:lineRule="exact"/>
            <w:rPr>
              <w:rFonts w:ascii="Times New Roman"/>
            </w:rPr>
          </w:pPr>
          <w:r>
            <w:rPr>
              <w:rFonts w:ascii="Times New Roman"/>
            </w:rPr>
            <w:t>Distr.: General</w:t>
          </w:r>
        </w:p>
        <w:p w:rsidR="005A4216" w:rsidRDefault="005A4216" w:rsidP="0061226F">
          <w:pPr>
            <w:spacing w:line="240" w:lineRule="exact"/>
            <w:rPr>
              <w:rFonts w:ascii="Times New Roman"/>
            </w:rPr>
          </w:pPr>
          <w:r>
            <w:rPr>
              <w:rFonts w:ascii="Times New Roman"/>
            </w:rPr>
            <w:t>4 September 2007</w:t>
          </w:r>
        </w:p>
        <w:p w:rsidR="005A4216" w:rsidRDefault="005A4216" w:rsidP="0061226F">
          <w:pPr>
            <w:spacing w:line="240" w:lineRule="exact"/>
            <w:rPr>
              <w:rFonts w:ascii="Times New Roman"/>
            </w:rPr>
          </w:pPr>
          <w:r>
            <w:rPr>
              <w:rFonts w:ascii="Times New Roman"/>
            </w:rPr>
            <w:t>Chinese</w:t>
          </w:r>
        </w:p>
        <w:p w:rsidR="005A4216" w:rsidRPr="0061226F" w:rsidRDefault="005A4216" w:rsidP="0061226F">
          <w:pPr>
            <w:spacing w:line="240" w:lineRule="exact"/>
            <w:rPr>
              <w:rFonts w:ascii="Times New Roman"/>
            </w:rPr>
          </w:pPr>
          <w:r>
            <w:rPr>
              <w:rFonts w:ascii="Times New Roman"/>
            </w:rPr>
            <w:t>Original: English</w:t>
          </w:r>
        </w:p>
      </w:tc>
    </w:tr>
  </w:tbl>
  <w:p w:rsidR="005A4216" w:rsidRPr="0061226F" w:rsidRDefault="005A4216" w:rsidP="0061226F">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9609*"/>
    <w:docVar w:name="CreationDt" w:val="25/09/2007 09:58:23"/>
    <w:docVar w:name="DocCategory" w:val="Doc"/>
    <w:docVar w:name="DocType" w:val="Final"/>
    <w:docVar w:name="FooterJN" w:val="07-49609"/>
    <w:docVar w:name="jobn" w:val="07-49609 (C)"/>
    <w:docVar w:name="jobnDT" w:val="07-49609 (C)   250907"/>
    <w:docVar w:name="jobnDTDT" w:val="07-49609 (C)   250907   250907"/>
    <w:docVar w:name="JobNo" w:val="0749609C"/>
    <w:docVar w:name="OandT" w:val="Hao sl"/>
    <w:docVar w:name="sss1" w:val="CEDAW/C/SWE/Q/7"/>
    <w:docVar w:name="sss2" w:val="-"/>
    <w:docVar w:name="Symbol1" w:val="CEDAW/C/SWE/Q/7"/>
    <w:docVar w:name="Symbol2" w:val="-"/>
  </w:docVars>
  <w:rsids>
    <w:rsidRoot w:val="00F15739"/>
    <w:rsid w:val="000118BC"/>
    <w:rsid w:val="000125BC"/>
    <w:rsid w:val="00021A2B"/>
    <w:rsid w:val="00037B39"/>
    <w:rsid w:val="00044CA4"/>
    <w:rsid w:val="00045EFE"/>
    <w:rsid w:val="0007337D"/>
    <w:rsid w:val="000758DF"/>
    <w:rsid w:val="00076EB8"/>
    <w:rsid w:val="00095C67"/>
    <w:rsid w:val="000A31F9"/>
    <w:rsid w:val="000C1786"/>
    <w:rsid w:val="000E240F"/>
    <w:rsid w:val="000E49A4"/>
    <w:rsid w:val="000F1058"/>
    <w:rsid w:val="001113F8"/>
    <w:rsid w:val="001212F9"/>
    <w:rsid w:val="00121328"/>
    <w:rsid w:val="0012708E"/>
    <w:rsid w:val="00141322"/>
    <w:rsid w:val="0015066B"/>
    <w:rsid w:val="00150D3A"/>
    <w:rsid w:val="00153D29"/>
    <w:rsid w:val="00161E69"/>
    <w:rsid w:val="00161F54"/>
    <w:rsid w:val="00170FBE"/>
    <w:rsid w:val="0017506F"/>
    <w:rsid w:val="001B2814"/>
    <w:rsid w:val="001B40D4"/>
    <w:rsid w:val="001B4F95"/>
    <w:rsid w:val="001C3F7F"/>
    <w:rsid w:val="001C5166"/>
    <w:rsid w:val="001E20EC"/>
    <w:rsid w:val="001E4442"/>
    <w:rsid w:val="001E5A51"/>
    <w:rsid w:val="001F03A7"/>
    <w:rsid w:val="00207135"/>
    <w:rsid w:val="00231575"/>
    <w:rsid w:val="00247382"/>
    <w:rsid w:val="00252E35"/>
    <w:rsid w:val="00254858"/>
    <w:rsid w:val="00257053"/>
    <w:rsid w:val="00266257"/>
    <w:rsid w:val="00271BE6"/>
    <w:rsid w:val="0027454D"/>
    <w:rsid w:val="00280671"/>
    <w:rsid w:val="002814F9"/>
    <w:rsid w:val="00282D17"/>
    <w:rsid w:val="002A4AEF"/>
    <w:rsid w:val="002B305F"/>
    <w:rsid w:val="002B564F"/>
    <w:rsid w:val="002C2254"/>
    <w:rsid w:val="002C3BC9"/>
    <w:rsid w:val="002C54DB"/>
    <w:rsid w:val="002D0694"/>
    <w:rsid w:val="002D5503"/>
    <w:rsid w:val="002E66D5"/>
    <w:rsid w:val="002F41E2"/>
    <w:rsid w:val="00320C99"/>
    <w:rsid w:val="003274A9"/>
    <w:rsid w:val="00331221"/>
    <w:rsid w:val="003649EE"/>
    <w:rsid w:val="00371BC6"/>
    <w:rsid w:val="00373A15"/>
    <w:rsid w:val="00374E19"/>
    <w:rsid w:val="00394A02"/>
    <w:rsid w:val="003C7B20"/>
    <w:rsid w:val="003E4565"/>
    <w:rsid w:val="003E748F"/>
    <w:rsid w:val="003E7612"/>
    <w:rsid w:val="00414423"/>
    <w:rsid w:val="004411AD"/>
    <w:rsid w:val="004424EF"/>
    <w:rsid w:val="00453BB0"/>
    <w:rsid w:val="00460162"/>
    <w:rsid w:val="004620A8"/>
    <w:rsid w:val="00484279"/>
    <w:rsid w:val="00487444"/>
    <w:rsid w:val="004A06D1"/>
    <w:rsid w:val="004A11FC"/>
    <w:rsid w:val="004C0224"/>
    <w:rsid w:val="004C3255"/>
    <w:rsid w:val="004D07E1"/>
    <w:rsid w:val="004D1C19"/>
    <w:rsid w:val="004F29B8"/>
    <w:rsid w:val="0050413E"/>
    <w:rsid w:val="0051276E"/>
    <w:rsid w:val="00515657"/>
    <w:rsid w:val="00521275"/>
    <w:rsid w:val="0052216F"/>
    <w:rsid w:val="005232CA"/>
    <w:rsid w:val="00523636"/>
    <w:rsid w:val="00532D49"/>
    <w:rsid w:val="005335B9"/>
    <w:rsid w:val="00536CCE"/>
    <w:rsid w:val="005541E4"/>
    <w:rsid w:val="0058302A"/>
    <w:rsid w:val="005A4216"/>
    <w:rsid w:val="005B7338"/>
    <w:rsid w:val="005C02AB"/>
    <w:rsid w:val="005D0F04"/>
    <w:rsid w:val="005F12F0"/>
    <w:rsid w:val="005F3273"/>
    <w:rsid w:val="005F34A3"/>
    <w:rsid w:val="00610CF2"/>
    <w:rsid w:val="0061226F"/>
    <w:rsid w:val="006479F1"/>
    <w:rsid w:val="00650BEE"/>
    <w:rsid w:val="006520FA"/>
    <w:rsid w:val="0065377D"/>
    <w:rsid w:val="00666F57"/>
    <w:rsid w:val="006740A7"/>
    <w:rsid w:val="00691524"/>
    <w:rsid w:val="00695630"/>
    <w:rsid w:val="006A654B"/>
    <w:rsid w:val="006D661E"/>
    <w:rsid w:val="006E2924"/>
    <w:rsid w:val="006E7A26"/>
    <w:rsid w:val="006F2B3D"/>
    <w:rsid w:val="007319E0"/>
    <w:rsid w:val="00737B00"/>
    <w:rsid w:val="0075155C"/>
    <w:rsid w:val="00753A05"/>
    <w:rsid w:val="00757193"/>
    <w:rsid w:val="00761190"/>
    <w:rsid w:val="00776537"/>
    <w:rsid w:val="00783A25"/>
    <w:rsid w:val="007877F4"/>
    <w:rsid w:val="007E1B5E"/>
    <w:rsid w:val="007F2278"/>
    <w:rsid w:val="00805783"/>
    <w:rsid w:val="00806F57"/>
    <w:rsid w:val="00806F90"/>
    <w:rsid w:val="00824C19"/>
    <w:rsid w:val="008378D1"/>
    <w:rsid w:val="00846462"/>
    <w:rsid w:val="0086691F"/>
    <w:rsid w:val="00883DB0"/>
    <w:rsid w:val="00884C8F"/>
    <w:rsid w:val="00896D38"/>
    <w:rsid w:val="008C3296"/>
    <w:rsid w:val="008E2D03"/>
    <w:rsid w:val="008F2BB5"/>
    <w:rsid w:val="008F425D"/>
    <w:rsid w:val="008F5472"/>
    <w:rsid w:val="008F5D0F"/>
    <w:rsid w:val="009122E0"/>
    <w:rsid w:val="00913351"/>
    <w:rsid w:val="00915E91"/>
    <w:rsid w:val="0093072F"/>
    <w:rsid w:val="0096193C"/>
    <w:rsid w:val="009769E1"/>
    <w:rsid w:val="00977E0D"/>
    <w:rsid w:val="00986C04"/>
    <w:rsid w:val="009A2F76"/>
    <w:rsid w:val="009D2AC2"/>
    <w:rsid w:val="009E1774"/>
    <w:rsid w:val="009E2668"/>
    <w:rsid w:val="009E40A3"/>
    <w:rsid w:val="009E5C8C"/>
    <w:rsid w:val="009F10B1"/>
    <w:rsid w:val="009F47E3"/>
    <w:rsid w:val="009F6938"/>
    <w:rsid w:val="00A0537D"/>
    <w:rsid w:val="00A069AD"/>
    <w:rsid w:val="00A17A85"/>
    <w:rsid w:val="00A20856"/>
    <w:rsid w:val="00A24399"/>
    <w:rsid w:val="00A24CA5"/>
    <w:rsid w:val="00A33D6D"/>
    <w:rsid w:val="00A37345"/>
    <w:rsid w:val="00A5206D"/>
    <w:rsid w:val="00A72E47"/>
    <w:rsid w:val="00A95404"/>
    <w:rsid w:val="00A968C5"/>
    <w:rsid w:val="00AA3C28"/>
    <w:rsid w:val="00AA7F4E"/>
    <w:rsid w:val="00AB2786"/>
    <w:rsid w:val="00AD4308"/>
    <w:rsid w:val="00AF2A33"/>
    <w:rsid w:val="00B309DD"/>
    <w:rsid w:val="00B36621"/>
    <w:rsid w:val="00B36D64"/>
    <w:rsid w:val="00B41B48"/>
    <w:rsid w:val="00B56194"/>
    <w:rsid w:val="00B61A34"/>
    <w:rsid w:val="00B64E8E"/>
    <w:rsid w:val="00B65E8B"/>
    <w:rsid w:val="00B8025A"/>
    <w:rsid w:val="00B827B1"/>
    <w:rsid w:val="00BB23A4"/>
    <w:rsid w:val="00BC2276"/>
    <w:rsid w:val="00BD2150"/>
    <w:rsid w:val="00BE1CC3"/>
    <w:rsid w:val="00BE365A"/>
    <w:rsid w:val="00BE47C4"/>
    <w:rsid w:val="00C052A2"/>
    <w:rsid w:val="00C06A4A"/>
    <w:rsid w:val="00C1391A"/>
    <w:rsid w:val="00C14CE6"/>
    <w:rsid w:val="00C15218"/>
    <w:rsid w:val="00C2725D"/>
    <w:rsid w:val="00C42033"/>
    <w:rsid w:val="00C464DD"/>
    <w:rsid w:val="00C76854"/>
    <w:rsid w:val="00CB2B1E"/>
    <w:rsid w:val="00CC3E8B"/>
    <w:rsid w:val="00CC4E84"/>
    <w:rsid w:val="00CD2B1D"/>
    <w:rsid w:val="00CD5641"/>
    <w:rsid w:val="00CE64AC"/>
    <w:rsid w:val="00CF7718"/>
    <w:rsid w:val="00D177F1"/>
    <w:rsid w:val="00D323B5"/>
    <w:rsid w:val="00D42ACC"/>
    <w:rsid w:val="00D51DC5"/>
    <w:rsid w:val="00D676D7"/>
    <w:rsid w:val="00D71517"/>
    <w:rsid w:val="00D7168D"/>
    <w:rsid w:val="00D874E1"/>
    <w:rsid w:val="00D9586D"/>
    <w:rsid w:val="00DB0932"/>
    <w:rsid w:val="00DC2506"/>
    <w:rsid w:val="00DC49FA"/>
    <w:rsid w:val="00DD3D6B"/>
    <w:rsid w:val="00DD4467"/>
    <w:rsid w:val="00DD61C8"/>
    <w:rsid w:val="00DD772B"/>
    <w:rsid w:val="00E050BA"/>
    <w:rsid w:val="00E25442"/>
    <w:rsid w:val="00E25A1F"/>
    <w:rsid w:val="00E37EEB"/>
    <w:rsid w:val="00E710FB"/>
    <w:rsid w:val="00E806D9"/>
    <w:rsid w:val="00E82CA2"/>
    <w:rsid w:val="00E95594"/>
    <w:rsid w:val="00EA31C3"/>
    <w:rsid w:val="00EB33AC"/>
    <w:rsid w:val="00EB596B"/>
    <w:rsid w:val="00EB6288"/>
    <w:rsid w:val="00EC6F21"/>
    <w:rsid w:val="00EE0913"/>
    <w:rsid w:val="00F01440"/>
    <w:rsid w:val="00F13305"/>
    <w:rsid w:val="00F15739"/>
    <w:rsid w:val="00F40463"/>
    <w:rsid w:val="00F50336"/>
    <w:rsid w:val="00F62E3F"/>
    <w:rsid w:val="00F67F90"/>
    <w:rsid w:val="00F77B3E"/>
    <w:rsid w:val="00F833CB"/>
    <w:rsid w:val="00F87754"/>
    <w:rsid w:val="00F90A4B"/>
    <w:rsid w:val="00F90C56"/>
    <w:rsid w:val="00FC1CE4"/>
    <w:rsid w:val="00FD594E"/>
    <w:rsid w:val="00FD75B9"/>
    <w:rsid w:val="00FE5FE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SingleTxt"/>
    <w:rsid w:val="001E5A51"/>
    <w:pPr>
      <w:keepNext/>
      <w:keepLines/>
      <w:suppressAutoHyphens/>
      <w:outlineLvl w:val="0"/>
    </w:pPr>
    <w:rPr>
      <w:rFonts w:ascii="SimHei" w:eastAsia="SimHei"/>
      <w:color w:val="FF0000"/>
      <w:sz w:val="24"/>
    </w:rPr>
  </w:style>
  <w:style w:type="paragraph" w:customStyle="1" w:styleId="HCh">
    <w:name w:val="_ H _Ch"/>
    <w:basedOn w:val="H1"/>
    <w:next w:val="SingleTxt"/>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SingleTxt"/>
    <w:rsid w:val="001E5A51"/>
    <w:pPr>
      <w:outlineLvl w:val="1"/>
    </w:pPr>
    <w:rPr>
      <w:rFonts w:ascii="SimHei" w:eastAsia="SimHei"/>
      <w:color w:val="FF0000"/>
      <w:spacing w:val="2"/>
    </w:rPr>
  </w:style>
  <w:style w:type="paragraph" w:customStyle="1" w:styleId="H4">
    <w:name w:val="_ H_4"/>
    <w:basedOn w:val="Normal"/>
    <w:next w:val="Normal"/>
    <w:rsid w:val="001E5A51"/>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1E5A51"/>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1E5A51"/>
    <w:rPr>
      <w:color w:val="FF00FF"/>
      <w:spacing w:val="0"/>
      <w:w w:val="150"/>
      <w:position w:val="0"/>
      <w:vertAlign w:val="superscript"/>
    </w:rPr>
  </w:style>
  <w:style w:type="character" w:styleId="EndnoteReference">
    <w:name w:val="endnote reference"/>
    <w:basedOn w:val="FootnoteReference"/>
    <w:semiHidden/>
    <w:rsid w:val="001E5A51"/>
    <w:rPr>
      <w:color w:val="FF00FF"/>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46</TotalTime>
  <Pages>1</Pages>
  <Words>611</Words>
  <Characters>3483</Characters>
  <Application>Microsoft Office Word</Application>
  <DocSecurity>4</DocSecurity>
  <Lines>29</Lines>
  <Paragraphs>8</Paragraphs>
  <ScaleCrop>false</ScaleCrop>
  <Company>United Nations</Company>
  <LinksUpToDate>false</LinksUpToDate>
  <CharactersWithSpaces>4086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Shengli.Hao</dc:creator>
  <cp:keywords/>
  <dc:description/>
  <cp:lastModifiedBy>Shengli.Hao</cp:lastModifiedBy>
  <cp:revision>23</cp:revision>
  <cp:lastPrinted>2007-09-26T08:56:00Z</cp:lastPrinted>
  <dcterms:created xsi:type="dcterms:W3CDTF">2007-09-25T08:55:00Z</dcterms:created>
  <dcterms:modified xsi:type="dcterms:W3CDTF">2007-09-26T08:57:00Z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0749609</vt:lpwstr>
  </property>
  <property fmtid="{D5CDD505-2E9C-101B-9397-08002B2CF9AE}" pid="3" name="Symbol1">
    <vt:lpwstr>CEDAW/C/SWE/Q/7</vt:lpwstr>
  </property>
  <property fmtid="{D5CDD505-2E9C-101B-9397-08002B2CF9AE}" pid="4" name="Symbol2">
    <vt:lpwstr/>
  </property>
  <property fmtid="{D5CDD505-2E9C-101B-9397-08002B2CF9AE}" pid="5" name="Translator">
    <vt:lpwstr/>
  </property>
  <property fmtid="{D5CDD505-2E9C-101B-9397-08002B2CF9AE}" pid="6" name="Operator">
    <vt:lpwstr>Hao sl</vt:lpwstr>
  </property>
  <property fmtid="{D5CDD505-2E9C-101B-9397-08002B2CF9AE}" pid="7" name="DraftPages">
    <vt:lpwstr> </vt:lpwstr>
  </property>
  <property fmtid="{D5CDD505-2E9C-101B-9397-08002B2CF9AE}" pid="8" name="Comment">
    <vt:lpwstr/>
  </property>
</Properties>
</file>