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FDF" w:rsidRDefault="00752FDF" w:rsidP="00752FDF">
      <w:pPr>
        <w:spacing w:line="60" w:lineRule="exact"/>
        <w:rPr>
          <w:sz w:val="6"/>
        </w:rPr>
        <w:sectPr w:rsidR="00752FDF" w:rsidSect="00752FD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752FDF" w:rsidRDefault="00752FDF" w:rsidP="00752FDF">
      <w:pPr>
        <w:spacing w:line="60" w:lineRule="exact"/>
        <w:rPr>
          <w:sz w:val="6"/>
        </w:rPr>
      </w:pPr>
    </w:p>
    <w:p w:rsidR="000562F3" w:rsidRDefault="000562F3" w:rsidP="00E21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0562F3" w:rsidRDefault="000562F3" w:rsidP="00E21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第三十八届会议</w:t>
      </w:r>
    </w:p>
    <w:p w:rsidR="000562F3" w:rsidRDefault="000562F3" w:rsidP="00BC0931">
      <w:pPr>
        <w:pStyle w:val="SingleTxt"/>
        <w:spacing w:after="0"/>
        <w:ind w:left="0"/>
        <w:rPr>
          <w:rFonts w:hint="eastAsia"/>
        </w:rPr>
      </w:pPr>
      <w:r>
        <w:rPr>
          <w:rFonts w:hint="eastAsia"/>
        </w:rPr>
        <w:t>2007年5月14日至6月1日</w:t>
      </w:r>
    </w:p>
    <w:p w:rsidR="00B55495" w:rsidRPr="00B55495" w:rsidRDefault="00B55495" w:rsidP="00B5549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BC0931" w:rsidRPr="00BC0931" w:rsidRDefault="00BC0931" w:rsidP="00BC093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BC0931" w:rsidRPr="00BC0931" w:rsidRDefault="00BC0931" w:rsidP="00BC093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0562F3" w:rsidRDefault="000562F3" w:rsidP="00ED24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Times New Roman"/>
        </w:rPr>
        <w:tab/>
      </w:r>
      <w:r>
        <w:rPr>
          <w:rFonts w:ascii="Times New Roman"/>
        </w:rPr>
        <w:tab/>
      </w:r>
      <w:r>
        <w:rPr>
          <w:rFonts w:hint="eastAsia"/>
        </w:rPr>
        <w:t>消除对妇女歧视委员会的结论意见</w:t>
      </w:r>
      <w:r w:rsidR="00B55495">
        <w:rPr>
          <w:rFonts w:hint="eastAsia"/>
        </w:rPr>
        <w:t>：</w:t>
      </w:r>
      <w:r>
        <w:rPr>
          <w:rFonts w:hint="eastAsia"/>
        </w:rPr>
        <w:t>巴基斯坦</w:t>
      </w:r>
    </w:p>
    <w:p w:rsidR="00BC0931" w:rsidRPr="00BC0931" w:rsidRDefault="00BC0931" w:rsidP="00BC0931">
      <w:pPr>
        <w:pStyle w:val="SingleTxt"/>
        <w:spacing w:after="0" w:line="120" w:lineRule="exact"/>
        <w:rPr>
          <w:rFonts w:hint="eastAsia"/>
          <w:sz w:val="10"/>
        </w:rPr>
      </w:pPr>
    </w:p>
    <w:p w:rsidR="00BC0931" w:rsidRPr="00BC0931" w:rsidRDefault="00BC0931" w:rsidP="00BC0931">
      <w:pPr>
        <w:pStyle w:val="SingleTxt"/>
        <w:spacing w:after="0" w:line="120" w:lineRule="exact"/>
        <w:rPr>
          <w:rFonts w:hint="eastAsia"/>
          <w:sz w:val="10"/>
        </w:rPr>
      </w:pPr>
    </w:p>
    <w:p w:rsidR="000562F3" w:rsidRDefault="000562F3" w:rsidP="000562F3">
      <w:pPr>
        <w:pStyle w:val="SingleTxt"/>
        <w:rPr>
          <w:rFonts w:hint="eastAsia"/>
        </w:rPr>
      </w:pPr>
      <w:r>
        <w:rPr>
          <w:rFonts w:hint="eastAsia"/>
        </w:rPr>
        <w:t>1.</w:t>
      </w:r>
      <w:r>
        <w:rPr>
          <w:rFonts w:hint="eastAsia"/>
        </w:rPr>
        <w:tab/>
        <w:t>委员会在2007年5月22日举行的第783次和第784次会议(见CEDAW/C/</w:t>
      </w:r>
      <w:r>
        <w:t xml:space="preserve"> </w:t>
      </w:r>
      <w:r>
        <w:rPr>
          <w:rFonts w:hint="eastAsia"/>
        </w:rPr>
        <w:t>SR.783和784</w:t>
      </w:r>
      <w:r>
        <w:t>)</w:t>
      </w:r>
      <w:r>
        <w:rPr>
          <w:rFonts w:hint="eastAsia"/>
        </w:rPr>
        <w:t>上，审议了巴基斯坦的初次、第二次和第三次合并定期报告（CEDAW/</w:t>
      </w:r>
      <w:r>
        <w:t xml:space="preserve"> </w:t>
      </w:r>
      <w:r>
        <w:rPr>
          <w:rFonts w:hint="eastAsia"/>
        </w:rPr>
        <w:t>C/PAK/1-3）。委员会的议题和问题清单载于CEDAW/C/PAK/Q/3号文件，巴基斯坦的答复载于CEDAW/C/PAK/Q/3/Add.1号文件。</w:t>
      </w:r>
    </w:p>
    <w:p w:rsidR="000562F3" w:rsidRDefault="000562F3" w:rsidP="00056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0562F3" w:rsidRPr="00F072BE" w:rsidRDefault="000562F3" w:rsidP="000562F3">
      <w:pPr>
        <w:pStyle w:val="SingleTxt"/>
        <w:spacing w:after="0" w:line="120" w:lineRule="exact"/>
        <w:rPr>
          <w:rFonts w:hint="eastAsia"/>
          <w:sz w:val="10"/>
        </w:rPr>
      </w:pPr>
    </w:p>
    <w:p w:rsidR="000562F3" w:rsidRDefault="000562F3" w:rsidP="000562F3">
      <w:pPr>
        <w:pStyle w:val="SingleTxt"/>
        <w:rPr>
          <w:rFonts w:hint="eastAsia"/>
        </w:rPr>
      </w:pPr>
      <w:r>
        <w:rPr>
          <w:rFonts w:hint="eastAsia"/>
        </w:rPr>
        <w:t>2.</w:t>
      </w:r>
      <w:r>
        <w:rPr>
          <w:rFonts w:hint="eastAsia"/>
        </w:rPr>
        <w:tab/>
        <w:t>委员会赞扬该缔约国加入《消除对妇女一切形式歧视公约》。委员会感谢缔约国提交了初次、第二次和第三次合并定期报告，该报告遵循了委员会的报告编制准则，提到了委员会的一般性建议，但对报告逾期提交感到遗憾。</w:t>
      </w:r>
    </w:p>
    <w:p w:rsidR="000562F3" w:rsidRDefault="000562F3" w:rsidP="000562F3">
      <w:pPr>
        <w:pStyle w:val="SingleTxt"/>
        <w:rPr>
          <w:rFonts w:hint="eastAsia"/>
        </w:rPr>
      </w:pPr>
      <w:r>
        <w:rPr>
          <w:rFonts w:hint="eastAsia"/>
        </w:rPr>
        <w:t>3.</w:t>
      </w:r>
      <w:r>
        <w:rPr>
          <w:rFonts w:hint="eastAsia"/>
        </w:rPr>
        <w:tab/>
        <w:t>委员会感谢缔约国提交了对委员会会前工作组所提议题和问题清单的书面答复，感谢缔约国对委员会口头提出的问题做出口头说明和进一步阐释。</w:t>
      </w:r>
    </w:p>
    <w:p w:rsidR="000562F3" w:rsidRDefault="000562F3" w:rsidP="000562F3">
      <w:pPr>
        <w:pStyle w:val="SingleTxt"/>
        <w:rPr>
          <w:rFonts w:hint="eastAsia"/>
        </w:rPr>
      </w:pPr>
      <w:r>
        <w:rPr>
          <w:rFonts w:hint="eastAsia"/>
        </w:rPr>
        <w:t>4.</w:t>
      </w:r>
      <w:r>
        <w:rPr>
          <w:rFonts w:hint="eastAsia"/>
        </w:rPr>
        <w:tab/>
        <w:t>委员会赞扬缔约国派出以妇女发展部秘书为首的代表团，代表团成员包括负责执行《公约》的其他各部代表。委员会感谢代表团与委员会成员进行了建设性的对话，使委员会能够进一步深入了解巴基斯坦妇女的真实情况。</w:t>
      </w:r>
    </w:p>
    <w:p w:rsidR="000562F3" w:rsidRPr="00F072BE" w:rsidRDefault="000562F3" w:rsidP="000562F3">
      <w:pPr>
        <w:pStyle w:val="SingleTxt"/>
        <w:rPr>
          <w:rFonts w:ascii="SimHei" w:eastAsia="SimHei" w:hint="eastAsia"/>
          <w:color w:val="FF0000"/>
        </w:rPr>
      </w:pPr>
      <w:r w:rsidRPr="00F072BE">
        <w:rPr>
          <w:rFonts w:ascii="SimHei" w:eastAsia="SimHei" w:hint="eastAsia"/>
          <w:color w:val="FF0000"/>
        </w:rPr>
        <w:t>积极方面</w:t>
      </w:r>
    </w:p>
    <w:p w:rsidR="000562F3" w:rsidRDefault="000562F3" w:rsidP="000562F3">
      <w:pPr>
        <w:pStyle w:val="SingleTxt"/>
        <w:rPr>
          <w:rFonts w:hint="eastAsia"/>
        </w:rPr>
      </w:pPr>
      <w:r>
        <w:rPr>
          <w:rFonts w:hint="eastAsia"/>
        </w:rPr>
        <w:t>5.</w:t>
      </w:r>
      <w:r>
        <w:rPr>
          <w:rFonts w:hint="eastAsia"/>
        </w:rPr>
        <w:tab/>
        <w:t>委员会赞扬缔约国近来为消除对妇女歧视和促进两性平等进行法律改革。委员会特别欢迎缔约国的下列举措：为了加强妇女对国民议会和参议院的政治参与，2002年根据《法律框架令》对《宪法》第51和59条进行了修订；2000年对1951年《巴基斯坦公民法》进行了修订，以便使外国配偶的子女能够获得国籍；2002年通过了《防止和控制贩运人口法令》；2004年通过了便于起诉“名誉杀人”的《刑法修正法案》；2006年通过了《保护妇女法》（刑法修正案），对《Hudood法令》的某些条款做了修订。</w:t>
      </w:r>
    </w:p>
    <w:p w:rsidR="000562F3" w:rsidRDefault="000562F3" w:rsidP="000562F3">
      <w:pPr>
        <w:pStyle w:val="SingleTxt"/>
        <w:rPr>
          <w:rFonts w:hint="eastAsia"/>
        </w:rPr>
      </w:pPr>
      <w:r>
        <w:rPr>
          <w:rFonts w:hint="eastAsia"/>
        </w:rPr>
        <w:t>6.</w:t>
      </w:r>
      <w:r>
        <w:rPr>
          <w:rFonts w:hint="eastAsia"/>
        </w:rPr>
        <w:tab/>
        <w:t>委员会祝贺缔约国于1998年通过《国家行动计划》，2002年通过《提高妇女地位和增强妇女力量国家政策》，2005年启动《两性平等改革行动计划》。</w:t>
      </w:r>
    </w:p>
    <w:p w:rsidR="000562F3" w:rsidRDefault="000562F3" w:rsidP="000562F3">
      <w:pPr>
        <w:pStyle w:val="SingleTxt"/>
        <w:rPr>
          <w:rFonts w:hint="eastAsia"/>
        </w:rPr>
      </w:pPr>
      <w:r>
        <w:rPr>
          <w:rFonts w:hint="eastAsia"/>
        </w:rPr>
        <w:t>7.</w:t>
      </w:r>
      <w:r>
        <w:rPr>
          <w:rFonts w:hint="eastAsia"/>
        </w:rPr>
        <w:tab/>
        <w:t>委员会欣见缔约国为支持实施《公约》作出了一系列机构安排，包括2004年重组妇女发展部、2000年成立妇女地位全国委员会以及在联邦、省和地区各级设立协调机制。</w:t>
      </w:r>
    </w:p>
    <w:p w:rsidR="000562F3" w:rsidRDefault="000562F3" w:rsidP="000562F3">
      <w:pPr>
        <w:pStyle w:val="SingleTxt"/>
        <w:rPr>
          <w:rFonts w:hint="eastAsia"/>
        </w:rPr>
      </w:pPr>
      <w:r>
        <w:rPr>
          <w:rFonts w:hint="eastAsia"/>
        </w:rPr>
        <w:t>8.</w:t>
      </w:r>
      <w:r>
        <w:rPr>
          <w:rFonts w:hint="eastAsia"/>
        </w:rPr>
        <w:tab/>
        <w:t>委员会欣见已采取举措为妇女暴力受害者提供支助，包括由内政部在国家警察署内成立性别犯罪小组、由法律、司法与人权部下设一个人权小组，受权处理全国范围的侵犯人权案例，其中特别提到妇女。</w:t>
      </w:r>
    </w:p>
    <w:p w:rsidR="000562F3" w:rsidRDefault="000562F3" w:rsidP="000562F3">
      <w:pPr>
        <w:pStyle w:val="SingleTxt"/>
      </w:pPr>
      <w:r>
        <w:rPr>
          <w:rFonts w:hint="eastAsia"/>
        </w:rPr>
        <w:t>9.</w:t>
      </w:r>
      <w:r>
        <w:rPr>
          <w:rFonts w:hint="eastAsia"/>
        </w:rPr>
        <w:tab/>
        <w:t>委员会赞扬缔约国于1989年成立第一妇女银行，通过小额信贷计划赋予妇女经济权力。</w:t>
      </w:r>
    </w:p>
    <w:p w:rsidR="00E21383" w:rsidRDefault="00E21383" w:rsidP="000562F3">
      <w:pPr>
        <w:pStyle w:val="SingleTxt"/>
        <w:rPr>
          <w:rFonts w:hint="eastAsia"/>
        </w:rPr>
      </w:pPr>
      <w:r>
        <w:t>10</w:t>
      </w:r>
      <w:r>
        <w:rPr>
          <w:rFonts w:hint="eastAsia"/>
        </w:rPr>
        <w:t>.</w:t>
      </w:r>
      <w:r>
        <w:rPr>
          <w:rFonts w:hint="eastAsia"/>
        </w:rPr>
        <w:tab/>
      </w:r>
      <w:r w:rsidR="00B55495">
        <w:rPr>
          <w:rFonts w:hint="eastAsia"/>
        </w:rPr>
        <w:t>委员会赞扬缔约国以透明协商进程</w:t>
      </w:r>
      <w:r>
        <w:rPr>
          <w:rFonts w:hint="eastAsia"/>
        </w:rPr>
        <w:t>编写报告，其中有政府和民间社会成员并得到国民议会妇女工作常设委员会的赞同。</w:t>
      </w:r>
    </w:p>
    <w:p w:rsidR="000562F3" w:rsidRPr="00F072BE" w:rsidRDefault="000562F3" w:rsidP="000562F3">
      <w:pPr>
        <w:pStyle w:val="SingleTxt"/>
        <w:rPr>
          <w:rFonts w:ascii="SimHei" w:eastAsia="SimHei" w:hint="eastAsia"/>
          <w:color w:val="FF0000"/>
        </w:rPr>
      </w:pPr>
      <w:r w:rsidRPr="00F072BE">
        <w:rPr>
          <w:rFonts w:ascii="SimHei" w:eastAsia="SimHei" w:hint="eastAsia"/>
          <w:color w:val="FF0000"/>
        </w:rPr>
        <w:t>主要关切领域和建议</w:t>
      </w:r>
    </w:p>
    <w:p w:rsidR="000562F3" w:rsidRDefault="000562F3" w:rsidP="000562F3">
      <w:pPr>
        <w:pStyle w:val="SingleTxt"/>
        <w:rPr>
          <w:rFonts w:hint="eastAsia"/>
        </w:rPr>
      </w:pPr>
      <w:r>
        <w:rPr>
          <w:rFonts w:hint="eastAsia"/>
        </w:rPr>
        <w:t>1</w:t>
      </w:r>
      <w:r w:rsidR="00E21383">
        <w:rPr>
          <w:rFonts w:hint="eastAsia"/>
        </w:rPr>
        <w:t>1</w:t>
      </w:r>
      <w:r>
        <w:t>.</w:t>
      </w:r>
      <w:r>
        <w:tab/>
      </w:r>
      <w:r w:rsidRPr="00F072BE">
        <w:rPr>
          <w:rFonts w:ascii="SimHei" w:eastAsia="SimHei" w:hint="eastAsia"/>
          <w:color w:val="FF0000"/>
        </w:rPr>
        <w:t>委员会提请注意，缔约国有义务系统地、持续地实施《公约》的所有规定。委员会认为，从现在到下一次定期报告提交之日，缔约国需要优先重视本结论意见提出的关切和建议。因此，委员会吁请缔约国在执行《公约》的活动中重点注意这些领域，在下次定期报告中汇报已采取的行动和取得的成果。委员会还吁请缔约国将本结论意见发交各相关部委和议会，确保这些意见能得到充分实施</w:t>
      </w:r>
      <w:r>
        <w:rPr>
          <w:rFonts w:hint="eastAsia"/>
        </w:rPr>
        <w:t>。</w:t>
      </w:r>
    </w:p>
    <w:p w:rsidR="000562F3" w:rsidRDefault="00E21383" w:rsidP="000562F3">
      <w:pPr>
        <w:pStyle w:val="SingleTxt"/>
        <w:rPr>
          <w:rFonts w:hint="eastAsia"/>
        </w:rPr>
      </w:pPr>
      <w:r>
        <w:rPr>
          <w:rFonts w:hint="eastAsia"/>
        </w:rPr>
        <w:t>12</w:t>
      </w:r>
      <w:r w:rsidR="000562F3">
        <w:t>.</w:t>
      </w:r>
      <w:r w:rsidR="000562F3">
        <w:tab/>
      </w:r>
      <w:r w:rsidR="000562F3">
        <w:rPr>
          <w:rFonts w:hint="eastAsia"/>
        </w:rPr>
        <w:t>委员会对缔约国加入《公约》时宣布对《公约》的加入须以巴基斯坦伊斯兰共和国《宪法》条款为准表示关切。</w:t>
      </w:r>
    </w:p>
    <w:p w:rsidR="000562F3" w:rsidRDefault="00E21383" w:rsidP="000562F3">
      <w:pPr>
        <w:pStyle w:val="SingleTxt"/>
        <w:rPr>
          <w:rFonts w:hint="eastAsia"/>
        </w:rPr>
      </w:pPr>
      <w:r>
        <w:rPr>
          <w:rFonts w:hint="eastAsia"/>
        </w:rPr>
        <w:t>13</w:t>
      </w:r>
      <w:r w:rsidR="000562F3">
        <w:rPr>
          <w:rFonts w:hint="eastAsia"/>
        </w:rPr>
        <w:t>.</w:t>
      </w:r>
      <w:r w:rsidR="000562F3">
        <w:tab/>
      </w:r>
      <w:r w:rsidR="000562F3" w:rsidRPr="00F072BE">
        <w:rPr>
          <w:rFonts w:ascii="SimHei" w:eastAsia="SimHei" w:hint="eastAsia"/>
          <w:color w:val="FF0000"/>
        </w:rPr>
        <w:t>委员会欢迎缔约国证实在加入《公约》时发表的声明不会对其履行充分遵守《公约》一切条款的义务构成任何限制，为此敦请缔约国毫不拖延地撤消有关《公约》的声明</w:t>
      </w:r>
      <w:r w:rsidR="000562F3">
        <w:rPr>
          <w:rFonts w:hint="eastAsia"/>
        </w:rPr>
        <w:t>。</w:t>
      </w:r>
    </w:p>
    <w:p w:rsidR="000562F3" w:rsidRDefault="00E21383" w:rsidP="000562F3">
      <w:pPr>
        <w:pStyle w:val="SingleTxt"/>
        <w:rPr>
          <w:rFonts w:hint="eastAsia"/>
        </w:rPr>
      </w:pPr>
      <w:r>
        <w:rPr>
          <w:rFonts w:hint="eastAsia"/>
        </w:rPr>
        <w:t>14</w:t>
      </w:r>
      <w:r w:rsidR="000562F3">
        <w:rPr>
          <w:rFonts w:hint="eastAsia"/>
        </w:rPr>
        <w:t>.</w:t>
      </w:r>
      <w:r w:rsidR="000562F3">
        <w:tab/>
      </w:r>
      <w:r w:rsidR="000562F3">
        <w:rPr>
          <w:rFonts w:hint="eastAsia"/>
        </w:rPr>
        <w:t>委员会注意到《宪法》第25</w:t>
      </w:r>
      <w:r w:rsidR="000562F3">
        <w:t>(</w:t>
      </w:r>
      <w:r w:rsidR="000562F3">
        <w:rPr>
          <w:rFonts w:hint="eastAsia"/>
        </w:rPr>
        <w:t>2</w:t>
      </w:r>
      <w:r w:rsidR="000562F3">
        <w:t>)</w:t>
      </w:r>
      <w:r w:rsidR="000562F3">
        <w:rPr>
          <w:rFonts w:hint="eastAsia"/>
        </w:rPr>
        <w:t>和27条规定法律面前人人平等，包括基于性别的平等，但委员会关切的是，缔约国的《宪法》或其他适当立法没有根据《公约》第1条对歧视作出定义，也没有根据《公约》第2</w:t>
      </w:r>
      <w:r w:rsidR="000562F3">
        <w:t>(</w:t>
      </w:r>
      <w:r w:rsidR="000562F3">
        <w:rPr>
          <w:rFonts w:hint="eastAsia"/>
        </w:rPr>
        <w:t>a</w:t>
      </w:r>
      <w:r w:rsidR="000562F3">
        <w:t>)</w:t>
      </w:r>
      <w:r w:rsidR="000562F3">
        <w:rPr>
          <w:rFonts w:hint="eastAsia"/>
        </w:rPr>
        <w:t>条纳入男女平等规定。</w:t>
      </w:r>
    </w:p>
    <w:p w:rsidR="000562F3" w:rsidRDefault="00E21383" w:rsidP="000562F3">
      <w:pPr>
        <w:pStyle w:val="SingleTxt"/>
        <w:rPr>
          <w:rFonts w:hint="eastAsia"/>
        </w:rPr>
      </w:pPr>
      <w:r>
        <w:rPr>
          <w:rFonts w:hint="eastAsia"/>
        </w:rPr>
        <w:t>15</w:t>
      </w:r>
      <w:r w:rsidR="000562F3">
        <w:rPr>
          <w:rFonts w:hint="eastAsia"/>
        </w:rPr>
        <w:t>.</w:t>
      </w:r>
      <w:r w:rsidR="000562F3">
        <w:tab/>
      </w:r>
      <w:r w:rsidR="000562F3" w:rsidRPr="00F072BE">
        <w:rPr>
          <w:rFonts w:ascii="SimHei" w:eastAsia="SimHei" w:hint="eastAsia"/>
          <w:color w:val="FF0000"/>
          <w:spacing w:val="-4"/>
        </w:rPr>
        <w:t>委员会建议在《宪法》或其他适当立法中纳入根据《公约》第1条对歧视</w:t>
      </w:r>
      <w:r>
        <w:rPr>
          <w:rFonts w:ascii="SimHei" w:eastAsia="SimHei" w:hint="eastAsia"/>
          <w:color w:val="FF0000"/>
          <w:spacing w:val="-4"/>
        </w:rPr>
        <w:t>妇女</w:t>
      </w:r>
      <w:r w:rsidR="000562F3" w:rsidRPr="00F072BE">
        <w:rPr>
          <w:rFonts w:ascii="SimHei" w:eastAsia="SimHei" w:hint="eastAsia"/>
          <w:color w:val="FF0000"/>
          <w:spacing w:val="-4"/>
        </w:rPr>
        <w:t>所作的定义，包括直接和间接歧视，以及根据《公约》第2</w:t>
      </w:r>
      <w:r w:rsidR="000562F3" w:rsidRPr="00F072BE">
        <w:rPr>
          <w:rFonts w:ascii="SimHei" w:eastAsia="SimHei"/>
          <w:color w:val="FF0000"/>
          <w:spacing w:val="-4"/>
        </w:rPr>
        <w:t>(</w:t>
      </w:r>
      <w:r w:rsidR="000562F3" w:rsidRPr="00F072BE">
        <w:rPr>
          <w:rFonts w:ascii="SimHei" w:eastAsia="SimHei" w:hint="eastAsia"/>
          <w:color w:val="FF0000"/>
          <w:spacing w:val="-4"/>
        </w:rPr>
        <w:t>a</w:t>
      </w:r>
      <w:r w:rsidR="000562F3" w:rsidRPr="00F072BE">
        <w:rPr>
          <w:rFonts w:ascii="SimHei" w:eastAsia="SimHei"/>
          <w:color w:val="FF0000"/>
          <w:spacing w:val="-4"/>
        </w:rPr>
        <w:t>)</w:t>
      </w:r>
      <w:r w:rsidR="000562F3" w:rsidRPr="00F072BE">
        <w:rPr>
          <w:rFonts w:ascii="SimHei" w:eastAsia="SimHei" w:hint="eastAsia"/>
          <w:color w:val="FF0000"/>
          <w:spacing w:val="-4"/>
        </w:rPr>
        <w:t>条提出的男女平等规定</w:t>
      </w:r>
      <w:r w:rsidR="000562F3" w:rsidRPr="00F072BE">
        <w:rPr>
          <w:rFonts w:hint="eastAsia"/>
          <w:spacing w:val="-4"/>
        </w:rPr>
        <w:t>。</w:t>
      </w:r>
    </w:p>
    <w:p w:rsidR="000562F3" w:rsidRDefault="000562F3" w:rsidP="000562F3">
      <w:pPr>
        <w:pStyle w:val="SingleTxt"/>
        <w:rPr>
          <w:rFonts w:hint="eastAsia"/>
        </w:rPr>
      </w:pPr>
      <w:r>
        <w:rPr>
          <w:rFonts w:hint="eastAsia"/>
        </w:rPr>
        <w:t>1</w:t>
      </w:r>
      <w:r w:rsidR="00E21383">
        <w:rPr>
          <w:rFonts w:hint="eastAsia"/>
        </w:rPr>
        <w:t>6</w:t>
      </w:r>
      <w:r>
        <w:t>.</w:t>
      </w:r>
      <w:r>
        <w:tab/>
      </w:r>
      <w:r>
        <w:rPr>
          <w:rFonts w:hint="eastAsia"/>
        </w:rPr>
        <w:t>委员会</w:t>
      </w:r>
      <w:r w:rsidR="00E21383">
        <w:rPr>
          <w:rFonts w:hint="eastAsia"/>
        </w:rPr>
        <w:t>对公约</w:t>
      </w:r>
      <w:r w:rsidR="00B55495">
        <w:rPr>
          <w:rFonts w:hint="eastAsia"/>
        </w:rPr>
        <w:t>尚未</w:t>
      </w:r>
      <w:r w:rsidR="00E21383">
        <w:rPr>
          <w:rFonts w:hint="eastAsia"/>
        </w:rPr>
        <w:t>充分纳入缔约国国内法律，</w:t>
      </w:r>
      <w:r>
        <w:rPr>
          <w:rFonts w:hint="eastAsia"/>
        </w:rPr>
        <w:t>对一些法律中继续存在法律上对妇女的歧视表示关切，这些法律包括不准巴基斯坦籍妇女将国籍传给外籍配偶的1951年《公民法》；1984年关于妇女证词价值的《证据法》；1979年《Hudood法令》，特别是与“Zina犯罪”有关的《Hudood法令》条款。</w:t>
      </w:r>
    </w:p>
    <w:p w:rsidR="000562F3" w:rsidRDefault="00E21383" w:rsidP="000562F3">
      <w:pPr>
        <w:pStyle w:val="SingleTxt"/>
        <w:rPr>
          <w:rFonts w:hint="eastAsia"/>
        </w:rPr>
      </w:pPr>
      <w:r>
        <w:rPr>
          <w:rFonts w:hint="eastAsia"/>
        </w:rPr>
        <w:t>17</w:t>
      </w:r>
      <w:r w:rsidR="000562F3">
        <w:t>.</w:t>
      </w:r>
      <w:r w:rsidR="000562F3">
        <w:tab/>
      </w:r>
      <w:r w:rsidR="000562F3" w:rsidRPr="00F072BE">
        <w:rPr>
          <w:rFonts w:ascii="SimHei" w:eastAsia="SimHei" w:hint="eastAsia"/>
          <w:color w:val="FF0000"/>
        </w:rPr>
        <w:t>委员会吁请缔约国全面和系统审查及修订一切歧视性立法，包括1951年《公民法》、1984年《证据法》和1979年《Hudood法令》，并制定有时限的目标，以便与民间社会，包括妇女组织协商，毫不拖延地全面实施《公约》一切条款和委员会一般性建议</w:t>
      </w:r>
      <w:r w:rsidR="000562F3">
        <w:rPr>
          <w:rFonts w:hint="eastAsia"/>
        </w:rPr>
        <w:t>。</w:t>
      </w:r>
    </w:p>
    <w:p w:rsidR="000562F3" w:rsidRDefault="00E21383" w:rsidP="000562F3">
      <w:pPr>
        <w:pStyle w:val="SingleTxt"/>
        <w:rPr>
          <w:rFonts w:hint="eastAsia"/>
        </w:rPr>
      </w:pPr>
      <w:r>
        <w:rPr>
          <w:rFonts w:hint="eastAsia"/>
        </w:rPr>
        <w:t>18</w:t>
      </w:r>
      <w:r w:rsidR="000562F3">
        <w:t>.</w:t>
      </w:r>
      <w:r w:rsidR="000562F3">
        <w:tab/>
      </w:r>
      <w:r w:rsidR="000562F3">
        <w:rPr>
          <w:rFonts w:hint="eastAsia"/>
        </w:rPr>
        <w:t>委员会欣见缔约国为消除对妇女的歧视和促进两性平等进行了一些法律改革，但是对采取的措施不足以确保快速有效实施这些</w:t>
      </w:r>
      <w:r>
        <w:rPr>
          <w:rFonts w:hint="eastAsia"/>
        </w:rPr>
        <w:t>新</w:t>
      </w:r>
      <w:r w:rsidR="000562F3">
        <w:rPr>
          <w:rFonts w:hint="eastAsia"/>
        </w:rPr>
        <w:t>法律以及是否建立和利用了补救机制表示关切。委员会对缔约国没有采取充分的具体行动确保法官、治安法官和执法人员完全熟悉这些立法改革表示关切。</w:t>
      </w:r>
    </w:p>
    <w:p w:rsidR="000562F3" w:rsidRDefault="00E21383" w:rsidP="000562F3">
      <w:pPr>
        <w:pStyle w:val="SingleTxt"/>
      </w:pPr>
      <w:r>
        <w:rPr>
          <w:rFonts w:hint="eastAsia"/>
        </w:rPr>
        <w:t>19</w:t>
      </w:r>
      <w:r w:rsidR="000562F3">
        <w:rPr>
          <w:rFonts w:hint="eastAsia"/>
        </w:rPr>
        <w:t>.</w:t>
      </w:r>
      <w:r w:rsidR="000562F3">
        <w:rPr>
          <w:rFonts w:hint="eastAsia"/>
        </w:rPr>
        <w:tab/>
      </w:r>
      <w:r w:rsidR="000562F3" w:rsidRPr="00F072BE">
        <w:rPr>
          <w:rFonts w:ascii="SimHei" w:eastAsia="SimHei" w:hint="eastAsia"/>
          <w:color w:val="FF0000"/>
        </w:rPr>
        <w:t>委员会请缔约国在下一次报告中提供资料说明为确保实施订正的法律而采取的行动并评估这些订正的法律对按照《公约》第2</w:t>
      </w:r>
      <w:r w:rsidR="000562F3" w:rsidRPr="00F072BE">
        <w:rPr>
          <w:rFonts w:ascii="SimHei" w:eastAsia="SimHei"/>
          <w:color w:val="FF0000"/>
        </w:rPr>
        <w:t>(</w:t>
      </w:r>
      <w:r w:rsidR="000562F3" w:rsidRPr="00F072BE">
        <w:rPr>
          <w:rFonts w:ascii="SimHei" w:eastAsia="SimHei" w:hint="eastAsia"/>
          <w:color w:val="FF0000"/>
        </w:rPr>
        <w:t>a</w:t>
      </w:r>
      <w:r w:rsidR="000562F3" w:rsidRPr="00F072BE">
        <w:rPr>
          <w:rFonts w:ascii="SimHei" w:eastAsia="SimHei"/>
          <w:color w:val="FF0000"/>
        </w:rPr>
        <w:t>)</w:t>
      </w:r>
      <w:r w:rsidR="000562F3" w:rsidRPr="00F072BE">
        <w:rPr>
          <w:rFonts w:ascii="SimHei" w:eastAsia="SimHei" w:hint="eastAsia"/>
          <w:color w:val="FF0000"/>
        </w:rPr>
        <w:t>条切实实现男女平等原则所产生的影响。委员会还建议缔约国特别针对法官、律师和执法人员开展教育和培训方案，使他们了解有关消除对妇女歧视和促进两性平等的立法改革。委员会建议以妇女为目标，开展有关《公约》和相关法律的提高认识运动，使她们能够了解自己的权利和利用补救机制</w:t>
      </w:r>
      <w:r w:rsidR="000562F3">
        <w:rPr>
          <w:rFonts w:hint="eastAsia"/>
        </w:rPr>
        <w:t>。</w:t>
      </w:r>
    </w:p>
    <w:p w:rsidR="000562F3" w:rsidRDefault="00E21383" w:rsidP="000562F3">
      <w:pPr>
        <w:pStyle w:val="SingleTxt"/>
        <w:rPr>
          <w:rFonts w:hint="eastAsia"/>
        </w:rPr>
      </w:pPr>
      <w:r>
        <w:rPr>
          <w:rFonts w:hint="eastAsia"/>
        </w:rPr>
        <w:t>20</w:t>
      </w:r>
      <w:r w:rsidR="000562F3">
        <w:rPr>
          <w:rFonts w:hint="eastAsia"/>
        </w:rPr>
        <w:t>.</w:t>
      </w:r>
      <w:r w:rsidR="000562F3">
        <w:rPr>
          <w:rFonts w:hint="eastAsia"/>
        </w:rPr>
        <w:tab/>
        <w:t>委员会欢迎妇女发展部和全国妇女地位委员会作出努力，但是感到关切的是，提高妇女地位国家机制得不到充分授权、没有足够的人力和财政资源来全面履行其职责及促进提高妇女地位和两性平等。委员会还感到关切的是，妇女发展部能力有限，难与联邦和省级所有两性平等机制开展有效协调与合作，也很难与妇女组织开展合作。委员会的另一关切是缺乏一个根据《公约》标准</w:t>
      </w:r>
      <w:r>
        <w:rPr>
          <w:rFonts w:hint="eastAsia"/>
        </w:rPr>
        <w:t>和规定</w:t>
      </w:r>
      <w:r w:rsidR="000562F3">
        <w:rPr>
          <w:rFonts w:hint="eastAsia"/>
        </w:rPr>
        <w:t>监督《国家行动计划》和《两性平等改革行动计划》执行情况的有效机制。</w:t>
      </w:r>
    </w:p>
    <w:p w:rsidR="000562F3" w:rsidRDefault="00E21383" w:rsidP="000562F3">
      <w:pPr>
        <w:pStyle w:val="SingleTxt"/>
        <w:rPr>
          <w:rFonts w:hint="eastAsia"/>
        </w:rPr>
      </w:pPr>
      <w:r>
        <w:rPr>
          <w:rFonts w:hint="eastAsia"/>
        </w:rPr>
        <w:t>21</w:t>
      </w:r>
      <w:r w:rsidR="000562F3">
        <w:rPr>
          <w:rFonts w:hint="eastAsia"/>
        </w:rPr>
        <w:t>.</w:t>
      </w:r>
      <w:r w:rsidR="000562F3">
        <w:rPr>
          <w:rFonts w:hint="eastAsia"/>
        </w:rPr>
        <w:tab/>
      </w:r>
      <w:r w:rsidR="000562F3" w:rsidRPr="00F072BE">
        <w:rPr>
          <w:rFonts w:ascii="SimHei" w:eastAsia="SimHei" w:hint="eastAsia"/>
          <w:color w:val="FF0000"/>
        </w:rPr>
        <w:t>委员会建议缔约国提供充足的人力和财政资源，加强国家机制，使其能够更加有效地履行其职责。这尤其包括应有足够的能力和授权来协调各个两性平等机制，积极执行《公约》，推动在所有部门和各级政府使用两性平等主流化战略及进行协调，并加强与民间社会的合作。委员会还建议在国家、地区和地方各级对公职人员进行两性平等问题培训和能力建设。委员会还建议，通过现有的协调机制建立问责制，确保在联邦、省和区一级执行《国家行动计划》和《两性平等改革行动计划》时，《公约》标准</w:t>
      </w:r>
      <w:r>
        <w:rPr>
          <w:rFonts w:ascii="SimHei" w:eastAsia="SimHei" w:hint="eastAsia"/>
          <w:color w:val="FF0000"/>
        </w:rPr>
        <w:t>和规定</w:t>
      </w:r>
      <w:r w:rsidR="000562F3" w:rsidRPr="00F072BE">
        <w:rPr>
          <w:rFonts w:ascii="SimHei" w:eastAsia="SimHei" w:hint="eastAsia"/>
          <w:color w:val="FF0000"/>
        </w:rPr>
        <w:t>能得到统一适用</w:t>
      </w:r>
      <w:r w:rsidR="000562F3">
        <w:rPr>
          <w:rFonts w:hint="eastAsia"/>
        </w:rPr>
        <w:t>。</w:t>
      </w:r>
    </w:p>
    <w:p w:rsidR="000562F3" w:rsidRDefault="00E21383" w:rsidP="000562F3">
      <w:pPr>
        <w:pStyle w:val="SingleTxt"/>
        <w:rPr>
          <w:rFonts w:hint="eastAsia"/>
        </w:rPr>
      </w:pPr>
      <w:r>
        <w:rPr>
          <w:rFonts w:hint="eastAsia"/>
        </w:rPr>
        <w:t>22</w:t>
      </w:r>
      <w:r w:rsidR="000562F3">
        <w:rPr>
          <w:rFonts w:hint="eastAsia"/>
        </w:rPr>
        <w:t>.</w:t>
      </w:r>
      <w:r w:rsidR="000562F3">
        <w:rPr>
          <w:rFonts w:hint="eastAsia"/>
        </w:rPr>
        <w:tab/>
        <w:t>委员会关切地注意到对妇女和女孩的暴力行为依然存在，包括家庭暴力、强奸和为维护名誉所犯罪行。委员会对Qisas和Diyat法律尤其感到关切，该法律允许暴力受害者或其嗣子确定是否实施惩罚（Qisas）或支付补偿金（</w:t>
      </w:r>
      <w:r>
        <w:rPr>
          <w:rFonts w:hint="eastAsia"/>
        </w:rPr>
        <w:t>D</w:t>
      </w:r>
      <w:r w:rsidR="000562F3">
        <w:rPr>
          <w:rFonts w:hint="eastAsia"/>
        </w:rPr>
        <w:t>iyat）或原谅被告，因此使得对妇女实施暴力者</w:t>
      </w:r>
      <w:r>
        <w:rPr>
          <w:rFonts w:hint="eastAsia"/>
        </w:rPr>
        <w:t>尤其是为了名誉而对妇女犯罪者</w:t>
      </w:r>
      <w:r w:rsidR="000562F3">
        <w:rPr>
          <w:rFonts w:hint="eastAsia"/>
        </w:rPr>
        <w:t>可以逍遥法外。委员会关切地注意到报告中缺乏有关对妇女的一切形式暴力行为的数据。</w:t>
      </w:r>
    </w:p>
    <w:p w:rsidR="000562F3" w:rsidRDefault="00193B00" w:rsidP="000562F3">
      <w:pPr>
        <w:pStyle w:val="SingleTxt"/>
        <w:rPr>
          <w:rFonts w:hint="eastAsia"/>
        </w:rPr>
      </w:pPr>
      <w:r>
        <w:rPr>
          <w:rFonts w:hint="eastAsia"/>
        </w:rPr>
        <w:t>23</w:t>
      </w:r>
      <w:r w:rsidR="000562F3">
        <w:rPr>
          <w:rFonts w:hint="eastAsia"/>
        </w:rPr>
        <w:t>.</w:t>
      </w:r>
      <w:r w:rsidR="000562F3">
        <w:rPr>
          <w:rFonts w:hint="eastAsia"/>
        </w:rPr>
        <w:tab/>
      </w:r>
      <w:r w:rsidR="000562F3" w:rsidRPr="00F072BE">
        <w:rPr>
          <w:rFonts w:ascii="SimHei" w:eastAsia="SimHei" w:hint="eastAsia"/>
          <w:color w:val="FF0000"/>
        </w:rPr>
        <w:t>委员会敦促缔约国优先重视通过一个全面方法，处理对妇女和女孩的一切形式的暴力行为，同时考虑到委员会关于暴力侵害妇女行为的一般性建议19。委员会呼吁缔约国在一个明确的时间框架内</w:t>
      </w:r>
      <w:r>
        <w:rPr>
          <w:rFonts w:ascii="SimHei" w:eastAsia="SimHei" w:hint="eastAsia"/>
          <w:color w:val="FF0000"/>
        </w:rPr>
        <w:t>确保</w:t>
      </w:r>
      <w:r w:rsidR="000562F3" w:rsidRPr="00F072BE">
        <w:rPr>
          <w:rFonts w:ascii="SimHei" w:eastAsia="SimHei" w:hint="eastAsia"/>
          <w:color w:val="FF0000"/>
        </w:rPr>
        <w:t>Qisas和Diyat法律，</w:t>
      </w:r>
      <w:r>
        <w:rPr>
          <w:rFonts w:ascii="SimHei" w:eastAsia="SimHei" w:hint="eastAsia"/>
          <w:color w:val="FF0000"/>
        </w:rPr>
        <w:t>不适用于对妇女施暴和为了名誉对妇女施暴案件，</w:t>
      </w:r>
      <w:r w:rsidR="000562F3" w:rsidRPr="00F072BE">
        <w:rPr>
          <w:rFonts w:ascii="SimHei" w:eastAsia="SimHei" w:hint="eastAsia"/>
          <w:color w:val="FF0000"/>
        </w:rPr>
        <w:t>并通过《家庭暴力法》，以确保作为暴力受害者的妇女和女孩能够获得保护和有效补偿，对施暴者进行有效起诉和处罚。委员会还建议就暴力侵害妇女行为对公职人员，特别是执法人员、司法人员和保健工作者进行对性别问题有敏感认识的培训，使他们敏感地注意到一切形式暴力侵害妇女的行为，并能对这种行为作出适当反应。委员会还呼吁缔约国在下一次报告中纳入按农村和城市地区分列的有关对妇女一切形式暴力行为的数据</w:t>
      </w:r>
      <w:r w:rsidR="000562F3">
        <w:rPr>
          <w:rFonts w:hint="eastAsia"/>
        </w:rPr>
        <w:t>。</w:t>
      </w:r>
    </w:p>
    <w:p w:rsidR="00193B00" w:rsidRDefault="00193B00" w:rsidP="000562F3">
      <w:pPr>
        <w:pStyle w:val="SingleTxt"/>
        <w:rPr>
          <w:rFonts w:hint="eastAsia"/>
        </w:rPr>
      </w:pPr>
      <w:r>
        <w:rPr>
          <w:rFonts w:hint="eastAsia"/>
        </w:rPr>
        <w:t>24.</w:t>
      </w:r>
      <w:r>
        <w:rPr>
          <w:rFonts w:hint="eastAsia"/>
        </w:rPr>
        <w:tab/>
        <w:t>委员会关注，非正式的调解论坛（</w:t>
      </w:r>
      <w:r>
        <w:t>jirgas</w:t>
      </w:r>
      <w:r w:rsidR="00B55495">
        <w:rPr>
          <w:rFonts w:hint="eastAsia"/>
        </w:rPr>
        <w:t>）仍起作用，做出的决定是要对妇女施暴，</w:t>
      </w:r>
      <w:r>
        <w:rPr>
          <w:rFonts w:hint="eastAsia"/>
        </w:rPr>
        <w:t>尽管高等法院判定取消这种形式。</w:t>
      </w:r>
    </w:p>
    <w:p w:rsidR="00193B00" w:rsidRPr="00193B00" w:rsidRDefault="00193B00" w:rsidP="000562F3">
      <w:pPr>
        <w:pStyle w:val="SingleTxt"/>
        <w:rPr>
          <w:rFonts w:hint="eastAsia"/>
        </w:rPr>
      </w:pPr>
      <w:r>
        <w:rPr>
          <w:rFonts w:hint="eastAsia"/>
        </w:rPr>
        <w:t>25.</w:t>
      </w:r>
      <w:r>
        <w:rPr>
          <w:rFonts w:hint="eastAsia"/>
        </w:rPr>
        <w:tab/>
      </w:r>
      <w:r w:rsidRPr="00294263">
        <w:rPr>
          <w:rFonts w:ascii="SimHei" w:eastAsia="SimHei" w:hint="eastAsia"/>
          <w:color w:val="FF0000"/>
        </w:rPr>
        <w:t>委员会敦促缔约国毫不拖延地执行高等法院的判决，取消非正式的调解论坛，确保参与决定、构成对妇女施暴的论坛成员对此负责</w:t>
      </w:r>
      <w:r>
        <w:rPr>
          <w:rFonts w:hint="eastAsia"/>
        </w:rPr>
        <w:t>。</w:t>
      </w:r>
    </w:p>
    <w:p w:rsidR="000562F3" w:rsidRDefault="00193B00" w:rsidP="000562F3">
      <w:pPr>
        <w:pStyle w:val="SingleTxt"/>
        <w:rPr>
          <w:rFonts w:hint="eastAsia"/>
        </w:rPr>
      </w:pPr>
      <w:r>
        <w:rPr>
          <w:rFonts w:hint="eastAsia"/>
        </w:rPr>
        <w:t>26</w:t>
      </w:r>
      <w:r w:rsidR="000562F3">
        <w:rPr>
          <w:rFonts w:hint="eastAsia"/>
        </w:rPr>
        <w:t>.</w:t>
      </w:r>
      <w:r w:rsidR="000562F3">
        <w:rPr>
          <w:rFonts w:hint="eastAsia"/>
        </w:rPr>
        <w:tab/>
        <w:t>委员会对刑事司法领域内缺乏处理暴力侵害妇女行为的问责制表示关切。</w:t>
      </w:r>
    </w:p>
    <w:p w:rsidR="000562F3" w:rsidRDefault="00193B00" w:rsidP="000562F3">
      <w:pPr>
        <w:pStyle w:val="SingleTxt"/>
        <w:rPr>
          <w:rFonts w:hint="eastAsia"/>
        </w:rPr>
      </w:pPr>
      <w:r>
        <w:rPr>
          <w:rFonts w:hint="eastAsia"/>
        </w:rPr>
        <w:t>27</w:t>
      </w:r>
      <w:r w:rsidR="000562F3">
        <w:rPr>
          <w:rFonts w:hint="eastAsia"/>
        </w:rPr>
        <w:t>.</w:t>
      </w:r>
      <w:r w:rsidR="000562F3">
        <w:rPr>
          <w:rFonts w:hint="eastAsia"/>
        </w:rPr>
        <w:tab/>
      </w:r>
      <w:r w:rsidR="000562F3" w:rsidRPr="00F072BE">
        <w:rPr>
          <w:rFonts w:ascii="SimHei" w:eastAsia="SimHei" w:hint="eastAsia"/>
          <w:color w:val="FF0000"/>
        </w:rPr>
        <w:t>委员会建议缔约国采取各项措施，确保犯罪者得到起诉和惩罚，从而结束对妇女的暴力行为有罪不罚的现象。此外，委员会呼吁缔约国对在暴力侵害妇女的案件中未能履行职责的机构实施制裁</w:t>
      </w:r>
      <w:r w:rsidR="000562F3">
        <w:rPr>
          <w:rFonts w:hint="eastAsia"/>
        </w:rPr>
        <w:t>。</w:t>
      </w:r>
    </w:p>
    <w:p w:rsidR="000562F3" w:rsidRDefault="00193B00" w:rsidP="000562F3">
      <w:pPr>
        <w:pStyle w:val="SingleTxt"/>
        <w:rPr>
          <w:rFonts w:hint="eastAsia"/>
        </w:rPr>
      </w:pPr>
      <w:r>
        <w:rPr>
          <w:rFonts w:hint="eastAsia"/>
        </w:rPr>
        <w:t>28</w:t>
      </w:r>
      <w:r w:rsidR="000562F3">
        <w:rPr>
          <w:rFonts w:hint="eastAsia"/>
        </w:rPr>
        <w:t>.</w:t>
      </w:r>
      <w:r w:rsidR="000562F3">
        <w:rPr>
          <w:rFonts w:hint="eastAsia"/>
        </w:rPr>
        <w:tab/>
        <w:t>委员会感到严重关切的是，对于妇女和男子在家庭、工作场所以及社会中的角色和职责，始终存在重男轻女的态度和传统和文化上根深蒂固的定型观念，这严重妨碍了妇女享有人权，阻碍了《公约》的充分执行。委员会还感到关切的是，由非国家行为者（包括通过非法媒体）煽动原教旨主义、恐吓和暴力行为的普遍趋势正在以宗教名义严重阻碍妇女享有人权。</w:t>
      </w:r>
    </w:p>
    <w:p w:rsidR="000562F3" w:rsidRDefault="00193B00" w:rsidP="000562F3">
      <w:pPr>
        <w:pStyle w:val="SingleTxt"/>
        <w:rPr>
          <w:rFonts w:hint="eastAsia"/>
        </w:rPr>
      </w:pPr>
      <w:r>
        <w:rPr>
          <w:rFonts w:hint="eastAsia"/>
        </w:rPr>
        <w:t>29</w:t>
      </w:r>
      <w:r w:rsidR="000562F3">
        <w:rPr>
          <w:rFonts w:hint="eastAsia"/>
        </w:rPr>
        <w:t>.</w:t>
      </w:r>
      <w:r w:rsidR="000562F3">
        <w:rPr>
          <w:rFonts w:hint="eastAsia"/>
        </w:rPr>
        <w:tab/>
      </w:r>
      <w:r w:rsidR="000562F3" w:rsidRPr="00BB63B8">
        <w:rPr>
          <w:rFonts w:ascii="SimHei" w:eastAsia="SimHei" w:hint="eastAsia"/>
          <w:color w:val="FF0000"/>
        </w:rPr>
        <w:t>委员会敦促缔约国加强努力，制定和实施全面提高意识方案，促进社会各阶层加深对男女平等的理解和支持。这些努力应按照《公约》第2</w:t>
      </w:r>
      <w:r w:rsidR="000562F3" w:rsidRPr="00BB63B8">
        <w:rPr>
          <w:rFonts w:ascii="SimHei" w:eastAsia="SimHei"/>
          <w:color w:val="FF0000"/>
        </w:rPr>
        <w:t>(</w:t>
      </w:r>
      <w:r w:rsidR="000562F3" w:rsidRPr="00BB63B8">
        <w:rPr>
          <w:rFonts w:ascii="SimHei" w:eastAsia="SimHei" w:hint="eastAsia"/>
          <w:color w:val="FF0000"/>
        </w:rPr>
        <w:t>f</w:t>
      </w:r>
      <w:r w:rsidR="000562F3" w:rsidRPr="00BB63B8">
        <w:rPr>
          <w:rFonts w:ascii="SimHei" w:eastAsia="SimHei"/>
          <w:color w:val="FF0000"/>
        </w:rPr>
        <w:t>)</w:t>
      </w:r>
      <w:r w:rsidR="000562F3" w:rsidRPr="00BB63B8">
        <w:rPr>
          <w:rFonts w:ascii="SimHei" w:eastAsia="SimHei" w:hint="eastAsia"/>
          <w:color w:val="FF0000"/>
        </w:rPr>
        <w:t>条和第5</w:t>
      </w:r>
      <w:r w:rsidR="000562F3" w:rsidRPr="00BB63B8">
        <w:rPr>
          <w:rFonts w:ascii="SimHei" w:eastAsia="SimHei"/>
          <w:color w:val="FF0000"/>
        </w:rPr>
        <w:t>(</w:t>
      </w:r>
      <w:r w:rsidR="000562F3" w:rsidRPr="00BB63B8">
        <w:rPr>
          <w:rFonts w:ascii="SimHei" w:eastAsia="SimHei" w:hint="eastAsia"/>
          <w:color w:val="FF0000"/>
        </w:rPr>
        <w:t>a</w:t>
      </w:r>
      <w:r w:rsidR="000562F3" w:rsidRPr="00BB63B8">
        <w:rPr>
          <w:rFonts w:ascii="SimHei" w:eastAsia="SimHei"/>
          <w:color w:val="FF0000"/>
        </w:rPr>
        <w:t>)</w:t>
      </w:r>
      <w:r w:rsidR="000562F3" w:rsidRPr="00BB63B8">
        <w:rPr>
          <w:rFonts w:ascii="SimHei" w:eastAsia="SimHei" w:hint="eastAsia"/>
          <w:color w:val="FF0000"/>
        </w:rPr>
        <w:t>条的要求，改变有关妇女和男子在家庭、工作场所以及社会中的角色和职责的定型观念和传统规范，并加强社会对男女平等的支持。委员会还呼吁缔约国快速采取行动，消除非国家行为者通过对伊斯兰教的曲解及使用恐吓和暴力手段所产生的影响，因为这些影响正在阻碍妇女和女孩享有人权</w:t>
      </w:r>
      <w:r w:rsidR="000562F3">
        <w:rPr>
          <w:rFonts w:hint="eastAsia"/>
        </w:rPr>
        <w:t>。</w:t>
      </w:r>
    </w:p>
    <w:p w:rsidR="000562F3" w:rsidRDefault="00193B00" w:rsidP="000562F3">
      <w:pPr>
        <w:pStyle w:val="SingleTxt"/>
        <w:rPr>
          <w:rFonts w:hint="eastAsia"/>
        </w:rPr>
      </w:pPr>
      <w:r>
        <w:rPr>
          <w:rFonts w:hint="eastAsia"/>
        </w:rPr>
        <w:t>30</w:t>
      </w:r>
      <w:r w:rsidR="000562F3">
        <w:rPr>
          <w:rFonts w:hint="eastAsia"/>
        </w:rPr>
        <w:t>.</w:t>
      </w:r>
      <w:r w:rsidR="000562F3">
        <w:rPr>
          <w:rFonts w:hint="eastAsia"/>
        </w:rPr>
        <w:tab/>
        <w:t>委员会对于巴基斯坦是贩运妇女和女孩的来源国、过境国以及目的地国依然表示关切。委员会还感到关切的是，2002年《防止和控制贩运人口法令》并未充分解决被贩运妇女和女孩的需求，也没有使她们免于受到非法移徙的起诉。</w:t>
      </w:r>
    </w:p>
    <w:p w:rsidR="000562F3" w:rsidRDefault="00193B00" w:rsidP="000562F3">
      <w:pPr>
        <w:pStyle w:val="SingleTxt"/>
        <w:rPr>
          <w:rFonts w:hint="eastAsia"/>
        </w:rPr>
      </w:pPr>
      <w:r>
        <w:rPr>
          <w:rFonts w:hint="eastAsia"/>
        </w:rPr>
        <w:t>31</w:t>
      </w:r>
      <w:r w:rsidR="000562F3">
        <w:rPr>
          <w:rFonts w:hint="eastAsia"/>
        </w:rPr>
        <w:t>.</w:t>
      </w:r>
      <w:r w:rsidR="000562F3">
        <w:rPr>
          <w:rFonts w:hint="eastAsia"/>
        </w:rPr>
        <w:tab/>
      </w:r>
      <w:r w:rsidR="000562F3" w:rsidRPr="00BB63B8">
        <w:rPr>
          <w:rFonts w:ascii="SimHei" w:eastAsia="SimHei" w:hint="eastAsia"/>
          <w:color w:val="FF0000"/>
        </w:rPr>
        <w:t>委员会呼吁缔约国修订2002年《防止和控制贩运人口法令》，确保被贩运妇女和女孩的人权能够得到保护。委员会鼓励缔约国批准《联合国打击跨国有组织犯罪公约》及其关于《防止、禁止和惩治贩运人口特别是妇女和儿童行为的补充议定书》。委员会敦促缔约国收集和分析有关人口贩运的数据，并加强起诉和处罚贩运者的工作。委员会还建议缔约国采取各项措施，帮助贩运受害者妇女和女孩实现康复并重新融入社会</w:t>
      </w:r>
      <w:r w:rsidR="000562F3">
        <w:rPr>
          <w:rFonts w:hint="eastAsia"/>
        </w:rPr>
        <w:t>。</w:t>
      </w:r>
    </w:p>
    <w:p w:rsidR="000562F3" w:rsidRDefault="00193B00" w:rsidP="000562F3">
      <w:pPr>
        <w:pStyle w:val="SingleTxt"/>
        <w:rPr>
          <w:rFonts w:hint="eastAsia"/>
        </w:rPr>
      </w:pPr>
      <w:r>
        <w:rPr>
          <w:rFonts w:hint="eastAsia"/>
        </w:rPr>
        <w:t>32</w:t>
      </w:r>
      <w:r w:rsidR="000562F3">
        <w:rPr>
          <w:rFonts w:hint="eastAsia"/>
        </w:rPr>
        <w:t>.</w:t>
      </w:r>
      <w:r w:rsidR="000562F3">
        <w:rPr>
          <w:rFonts w:hint="eastAsia"/>
        </w:rPr>
        <w:tab/>
        <w:t>委员会赞赏国民议会中为妇女保留了60个席位，参议院中保留了17个席位以及地方机构中保留了33％的席位，但是对于妇女在政府部门任职的人数依然很低表示关切。委员会特别关切地注意到高等法院中的女法官人数很少，而最高法院中根本没有女法官。</w:t>
      </w:r>
    </w:p>
    <w:p w:rsidR="000562F3" w:rsidRPr="00BB63B8" w:rsidRDefault="00193B00" w:rsidP="000562F3">
      <w:pPr>
        <w:pStyle w:val="SingleTxt"/>
      </w:pPr>
      <w:r>
        <w:rPr>
          <w:rFonts w:hint="eastAsia"/>
        </w:rPr>
        <w:t>33</w:t>
      </w:r>
      <w:r w:rsidR="000562F3" w:rsidRPr="00BB63B8">
        <w:rPr>
          <w:rFonts w:hint="eastAsia"/>
        </w:rPr>
        <w:t>.</w:t>
      </w:r>
      <w:r w:rsidR="000562F3" w:rsidRPr="00BB63B8">
        <w:rPr>
          <w:rFonts w:hint="eastAsia"/>
        </w:rPr>
        <w:tab/>
      </w:r>
      <w:r w:rsidR="000562F3" w:rsidRPr="00BB63B8">
        <w:rPr>
          <w:rFonts w:ascii="SimHei" w:eastAsia="SimHei" w:hint="eastAsia"/>
          <w:color w:val="FF0000"/>
        </w:rPr>
        <w:t>委员会鼓励缔约国采取持久措施，包括根据《公约》第4条第1款和委员会一般性建议25采取暂行特别措施，加速增加妇女在公共和政治生活所有领域的选举和任命机构中的人数。委员会请缔约国在下一次定期报告中提供联邦和省级政府部门和司法部门中妇女相对于男子在人数和级别上的比较数据以及一段时间的趋势。委员会还请缔约国提供资料，说明妇女是否能够不受法律上和事实上的任何限制，行使参与国家公共生活所有领域的权利。委员会请缔约国提供资料，说明为加强妇女参与公共和政治生活，尤其是参与决策而采取的各项措施所产生的影响</w:t>
      </w:r>
      <w:r w:rsidR="000562F3" w:rsidRPr="00BB63B8">
        <w:rPr>
          <w:rFonts w:hint="eastAsia"/>
        </w:rPr>
        <w:t>。</w:t>
      </w:r>
    </w:p>
    <w:p w:rsidR="000562F3" w:rsidRPr="00BB63B8" w:rsidRDefault="00193B00" w:rsidP="000562F3">
      <w:pPr>
        <w:pStyle w:val="SingleTxt"/>
        <w:rPr>
          <w:rFonts w:hint="eastAsia"/>
          <w:sz w:val="10"/>
        </w:rPr>
      </w:pPr>
      <w:r>
        <w:rPr>
          <w:rFonts w:hint="eastAsia"/>
        </w:rPr>
        <w:t>34</w:t>
      </w:r>
      <w:r w:rsidR="000562F3">
        <w:rPr>
          <w:rFonts w:hint="eastAsia"/>
        </w:rPr>
        <w:t>.</w:t>
      </w:r>
      <w:r w:rsidR="000562F3">
        <w:rPr>
          <w:rFonts w:hint="eastAsia"/>
        </w:rPr>
        <w:tab/>
        <w:t>委员会对于出生登记和婚姻登记不完善表示关切。委员会注意到缔约国已在努力解决近50％的妇女没有国民身份证的问题，但是依然关切地看到，较高比例的妇女可能无法行使选举权，也无法受益于政府的援助计划。</w:t>
      </w:r>
    </w:p>
    <w:p w:rsidR="000562F3" w:rsidRDefault="00193B00" w:rsidP="000562F3">
      <w:pPr>
        <w:pStyle w:val="SingleTxt"/>
        <w:rPr>
          <w:rFonts w:hint="eastAsia"/>
        </w:rPr>
      </w:pPr>
      <w:r>
        <w:rPr>
          <w:rFonts w:hint="eastAsia"/>
        </w:rPr>
        <w:t>35</w:t>
      </w:r>
      <w:r w:rsidR="000562F3">
        <w:rPr>
          <w:rFonts w:hint="eastAsia"/>
        </w:rPr>
        <w:t>.</w:t>
      </w:r>
      <w:r w:rsidR="000562F3">
        <w:rPr>
          <w:rFonts w:hint="eastAsia"/>
        </w:rPr>
        <w:tab/>
      </w:r>
      <w:r w:rsidR="000562F3" w:rsidRPr="00BB63B8">
        <w:rPr>
          <w:rFonts w:ascii="SimHei" w:eastAsia="SimHei" w:hint="eastAsia"/>
          <w:color w:val="FF0000"/>
        </w:rPr>
        <w:t>委员会敦促缔约国加紧努力，确保实现出生和婚姻的普遍登记，并确保所有妇女都拥有国民身份证。委员会呼吁缔约国在下一次定期报告中提供有关妇女相对于男子拥有国民身份证比例的资料</w:t>
      </w:r>
      <w:r w:rsidR="000562F3">
        <w:rPr>
          <w:rFonts w:hint="eastAsia"/>
        </w:rPr>
        <w:t>。</w:t>
      </w:r>
    </w:p>
    <w:p w:rsidR="000562F3" w:rsidRDefault="00193B00" w:rsidP="000562F3">
      <w:pPr>
        <w:pStyle w:val="SingleTxt"/>
        <w:rPr>
          <w:rFonts w:hint="eastAsia"/>
        </w:rPr>
      </w:pPr>
      <w:r>
        <w:rPr>
          <w:rFonts w:hint="eastAsia"/>
        </w:rPr>
        <w:t>36</w:t>
      </w:r>
      <w:r w:rsidR="000562F3">
        <w:rPr>
          <w:rFonts w:hint="eastAsia"/>
        </w:rPr>
        <w:t>.</w:t>
      </w:r>
      <w:r w:rsidR="000562F3">
        <w:rPr>
          <w:rFonts w:hint="eastAsia"/>
        </w:rPr>
        <w:tab/>
        <w:t>委员会对尤其是农村地区妇女的高文盲率、女孩的低入学率及高辍学率感到关切。委员会还感到关切的是，教育领域两性隔离现象持续存在，对妇女的职业机会造成影响。委员会还对学校教学大纲和课本中持续存在的陈规定型观念表示关切。</w:t>
      </w:r>
    </w:p>
    <w:p w:rsidR="000562F3" w:rsidRDefault="00193B00" w:rsidP="000562F3">
      <w:pPr>
        <w:pStyle w:val="SingleTxt"/>
      </w:pPr>
      <w:r>
        <w:rPr>
          <w:rFonts w:hint="eastAsia"/>
        </w:rPr>
        <w:t>37</w:t>
      </w:r>
      <w:r w:rsidR="000562F3">
        <w:rPr>
          <w:rFonts w:hint="eastAsia"/>
        </w:rPr>
        <w:t>.</w:t>
      </w:r>
      <w:r w:rsidR="000562F3">
        <w:rPr>
          <w:rFonts w:hint="eastAsia"/>
        </w:rPr>
        <w:tab/>
      </w:r>
      <w:r w:rsidR="000562F3" w:rsidRPr="00BB63B8">
        <w:rPr>
          <w:rFonts w:ascii="SimHei" w:eastAsia="SimHei" w:hint="eastAsia"/>
          <w:color w:val="FF0000"/>
        </w:rPr>
        <w:t>委员会呼吁缔约国高度重视降低妇女的文盲率，特别是降低农村地区妇女的文盲率。委员会敦促缔约国加强遵守《公约》第10条，并提高对把教育作为人</w:t>
      </w:r>
      <w:r w:rsidR="000562F3" w:rsidRPr="00BB63B8">
        <w:rPr>
          <w:rFonts w:ascii="SimHei" w:eastAsia="SimHei" w:hint="eastAsia"/>
          <w:color w:val="FF0000"/>
          <w:spacing w:val="2"/>
        </w:rPr>
        <w:t>权和实现妇女赋权基础的重要性的认识。委员会鼓励缔约国采取步骤，克服构成女孩和妇女受教育障碍的传统观念。委员会建议缔约国执行各项措施，确保女孩和妇女可以平等获得各级教育，并使女孩能够继续学业。委员会还建议，应积极鼓励妇女扩大教育和职业选择。委员会请缔约国对学校教学大纲和课本进行一次全面审查，以消除性别定型观念，并为教师提供对性别问题有敏感认识的培训</w:t>
      </w:r>
      <w:r w:rsidR="000562F3" w:rsidRPr="00BB63B8">
        <w:rPr>
          <w:rFonts w:hint="eastAsia"/>
          <w:spacing w:val="2"/>
        </w:rPr>
        <w:t>。</w:t>
      </w:r>
    </w:p>
    <w:p w:rsidR="000562F3" w:rsidRDefault="00193B00" w:rsidP="000562F3">
      <w:pPr>
        <w:pStyle w:val="SingleTxt"/>
        <w:rPr>
          <w:rFonts w:hint="eastAsia"/>
        </w:rPr>
      </w:pPr>
      <w:r>
        <w:rPr>
          <w:rFonts w:hint="eastAsia"/>
        </w:rPr>
        <w:t>38</w:t>
      </w:r>
      <w:r w:rsidR="000562F3">
        <w:rPr>
          <w:rFonts w:hint="eastAsia"/>
        </w:rPr>
        <w:t>.</w:t>
      </w:r>
      <w:r w:rsidR="000562F3">
        <w:tab/>
      </w:r>
      <w:r w:rsidR="000562F3">
        <w:rPr>
          <w:rFonts w:hint="eastAsia"/>
        </w:rPr>
        <w:t>委员会对妇女在正式就业中面临的歧视表示关切，妇女所受歧视表现在妇女的失业率较高、存在性别工资差异和职业上的隔离。委员会还关切非正规经济部门的妇女状况，特别是关切得不到劳动法保护、在家里工作的工人的状况。</w:t>
      </w:r>
    </w:p>
    <w:p w:rsidR="000562F3" w:rsidRDefault="00193B00" w:rsidP="000562F3">
      <w:pPr>
        <w:pStyle w:val="SingleTxt"/>
        <w:rPr>
          <w:rFonts w:hint="eastAsia"/>
        </w:rPr>
      </w:pPr>
      <w:r>
        <w:rPr>
          <w:rFonts w:hint="eastAsia"/>
        </w:rPr>
        <w:t>39</w:t>
      </w:r>
      <w:r w:rsidR="000562F3">
        <w:rPr>
          <w:rFonts w:hint="eastAsia"/>
        </w:rPr>
        <w:t>.</w:t>
      </w:r>
      <w:r w:rsidR="000562F3">
        <w:tab/>
      </w:r>
      <w:r w:rsidR="000562F3" w:rsidRPr="00BB63B8">
        <w:rPr>
          <w:rFonts w:ascii="SimHei" w:eastAsia="SimHei" w:hint="eastAsia"/>
          <w:color w:val="FF0000"/>
        </w:rPr>
        <w:t>委员会敦促缔约国依照《公约》第11条确保在劳工市场上男女机会均等。委员会请缔约国在下一次报告中提供详细资料，说明妇女在正规和非正规经济部门的就业情况和所采取的措施，包括立法、方案、监测机制和补救办法及其对实现妇女机会均等所产生的影响。委员会还请缔约国批准国际劳工组织（劳工组织）第177号《家庭工作公约》</w:t>
      </w:r>
      <w:r w:rsidR="000562F3">
        <w:rPr>
          <w:rFonts w:hint="eastAsia"/>
        </w:rPr>
        <w:t>。</w:t>
      </w:r>
    </w:p>
    <w:p w:rsidR="000562F3" w:rsidRDefault="00193B00" w:rsidP="000562F3">
      <w:pPr>
        <w:pStyle w:val="SingleTxt"/>
        <w:rPr>
          <w:rFonts w:hint="eastAsia"/>
        </w:rPr>
      </w:pPr>
      <w:r>
        <w:rPr>
          <w:rFonts w:hint="eastAsia"/>
        </w:rPr>
        <w:t>40</w:t>
      </w:r>
      <w:r w:rsidR="000562F3">
        <w:rPr>
          <w:rFonts w:hint="eastAsia"/>
        </w:rPr>
        <w:t>.</w:t>
      </w:r>
      <w:r w:rsidR="000562F3">
        <w:tab/>
      </w:r>
      <w:r w:rsidR="000562F3">
        <w:rPr>
          <w:rFonts w:hint="eastAsia"/>
        </w:rPr>
        <w:t>委员会尤其关切农村地区的妇女得不到保健服务，特别是性健康和生殖健康服务，还关切堕胎率和避孕药具使用率低之间的联系。由于非法堕胎是造成孕产妇死亡的一个主要原因，委员会对巴基斯坦法律把堕胎视作应加惩罚的罪行深表关切，这会促使妇女寻求不安全的非法堕胎，从而危及其生命和健康。</w:t>
      </w:r>
    </w:p>
    <w:p w:rsidR="000562F3" w:rsidRPr="00B55495" w:rsidRDefault="00193B00" w:rsidP="000562F3">
      <w:pPr>
        <w:pStyle w:val="SingleTxt"/>
        <w:rPr>
          <w:rFonts w:ascii="SimHei" w:eastAsia="SimHei" w:hint="eastAsia"/>
          <w:color w:val="FF0000"/>
        </w:rPr>
      </w:pPr>
      <w:r>
        <w:rPr>
          <w:rFonts w:hint="eastAsia"/>
        </w:rPr>
        <w:t>41</w:t>
      </w:r>
      <w:r w:rsidR="000562F3">
        <w:rPr>
          <w:rFonts w:hint="eastAsia"/>
        </w:rPr>
        <w:t>.</w:t>
      </w:r>
      <w:r w:rsidR="000562F3">
        <w:tab/>
      </w:r>
      <w:r w:rsidR="000562F3" w:rsidRPr="00BB63B8">
        <w:rPr>
          <w:rFonts w:ascii="SimHei" w:eastAsia="SimHei" w:hint="eastAsia"/>
          <w:color w:val="FF0000"/>
        </w:rPr>
        <w:t>委员会请缔约国根据《公约》第12条和委员会关于妇女和健康的一般性建议24采取具体措施，促进妇女享有保健，特别是性健康和生殖健康服务。委员会请缔约国为防止意外怀孕采取措施，包括以负担得起的价格更广泛和不加限制地提供各种避孕药具和计划生育办法，且加强男女对计划生育的了解和认识。委员会还吁请缔约国通过查明和消除产妇死亡原因及提供产前协助来减少孕产妇死亡率。委员会还吁请缔约国采取措施确保妇女不会因为缺乏控制生育的适当服务而寻求非法堕胎等不安全的医疗措施。委员会建议缔约国根据委员会关于妇女和健康的一般性建议24以及《北京宣言和行动纲要》，考虑审查与堕胎有关的法律，以废除对堕胎妇女的惩罚性规定，使其享有优质服务，避免因不安全堕胎引起的并发症，且减少孕产妇死亡率。委员会注意到，在执行女保健人员方案的地方，妇女健康指标有所改善，因此建议采取步骤把这一方案扩大到最需要的农村和其它地区</w:t>
      </w:r>
      <w:r w:rsidR="000562F3" w:rsidRPr="00B55495">
        <w:rPr>
          <w:rFonts w:ascii="SimHei" w:eastAsia="SimHei" w:hint="eastAsia"/>
          <w:color w:val="FF0000"/>
        </w:rPr>
        <w:t>。</w:t>
      </w:r>
      <w:r w:rsidRPr="00B55495">
        <w:rPr>
          <w:rFonts w:ascii="SimHei" w:eastAsia="SimHei" w:hint="eastAsia"/>
          <w:color w:val="FF0000"/>
        </w:rPr>
        <w:t>委员会鼓励缔约国争取联合国系统专门机构的国际援助，如联合国开发计划署、联合国人口基金和世界卫生组织，以执行措施让妇女获得医疗服务。</w:t>
      </w:r>
    </w:p>
    <w:p w:rsidR="000562F3" w:rsidRDefault="00193B00" w:rsidP="000562F3">
      <w:pPr>
        <w:pStyle w:val="SingleTxt"/>
        <w:rPr>
          <w:rFonts w:hint="eastAsia"/>
        </w:rPr>
      </w:pPr>
      <w:r>
        <w:rPr>
          <w:rFonts w:hint="eastAsia"/>
        </w:rPr>
        <w:t>42</w:t>
      </w:r>
      <w:r w:rsidR="000562F3">
        <w:rPr>
          <w:rFonts w:hint="eastAsia"/>
        </w:rPr>
        <w:t>.</w:t>
      </w:r>
      <w:r w:rsidR="000562F3">
        <w:tab/>
      </w:r>
      <w:r w:rsidR="000562F3">
        <w:rPr>
          <w:rFonts w:hint="eastAsia"/>
        </w:rPr>
        <w:t>委员会特别关切农村地区妇女的状况，农村地区妇女往往缺乏保健、教育、清洁饮水和卫生服务，且缺乏实际生存的手段和机会，包括对土地的获取。委员会感到遗憾的是，缺乏残疾妇女及针对其情况所采取措施的资料。</w:t>
      </w:r>
    </w:p>
    <w:p w:rsidR="000562F3" w:rsidRDefault="000562F3" w:rsidP="000562F3">
      <w:pPr>
        <w:pStyle w:val="SingleTxt"/>
        <w:rPr>
          <w:rFonts w:hint="eastAsia"/>
        </w:rPr>
      </w:pPr>
      <w:r>
        <w:rPr>
          <w:rFonts w:hint="eastAsia"/>
        </w:rPr>
        <w:t>4</w:t>
      </w:r>
      <w:r w:rsidR="00193B00">
        <w:rPr>
          <w:rFonts w:hint="eastAsia"/>
        </w:rPr>
        <w:t>3</w:t>
      </w:r>
      <w:r>
        <w:rPr>
          <w:rFonts w:hint="eastAsia"/>
        </w:rPr>
        <w:t>.</w:t>
      </w:r>
      <w:r>
        <w:tab/>
      </w:r>
      <w:r w:rsidRPr="00BB63B8">
        <w:rPr>
          <w:rFonts w:ascii="SimHei" w:eastAsia="SimHei" w:hint="eastAsia"/>
          <w:color w:val="FF0000"/>
        </w:rPr>
        <w:t>委员会请缔约国特别注意农村妇女的需要，确保赋予其权力，使其参与决策进程，且确保其享有保健、教育、清洁饮水和卫生服务，还享有实际生存的手段和机会，包括获取土地。委员会还请缔约国在下一次报告中提供详细资料，说明残疾妇女的状况及针对其状况采取的措施</w:t>
      </w:r>
      <w:r>
        <w:rPr>
          <w:rFonts w:hint="eastAsia"/>
        </w:rPr>
        <w:t>。</w:t>
      </w:r>
    </w:p>
    <w:p w:rsidR="000562F3" w:rsidRDefault="00193B00" w:rsidP="000562F3">
      <w:pPr>
        <w:pStyle w:val="SingleTxt"/>
        <w:rPr>
          <w:rFonts w:hint="eastAsia"/>
        </w:rPr>
      </w:pPr>
      <w:r>
        <w:rPr>
          <w:rFonts w:hint="eastAsia"/>
        </w:rPr>
        <w:t>44</w:t>
      </w:r>
      <w:r w:rsidR="000562F3">
        <w:rPr>
          <w:rFonts w:hint="eastAsia"/>
        </w:rPr>
        <w:t>.</w:t>
      </w:r>
      <w:r w:rsidR="000562F3">
        <w:tab/>
      </w:r>
      <w:r w:rsidR="000562F3">
        <w:rPr>
          <w:rFonts w:hint="eastAsia"/>
        </w:rPr>
        <w:t>委员会关切的是，根据1939年《穆斯林解除婚姻法》，在解除婚姻期间，妇女不享有与男子同等的权利。委员会还关切地注意到，根据1929年《限制童婚法》，男孩的最低结婚年龄是18岁，女孩是16岁。委员会还关切持续存在的强迫婚姻和早婚现象。</w:t>
      </w:r>
    </w:p>
    <w:p w:rsidR="000562F3" w:rsidRDefault="00193B00" w:rsidP="000562F3">
      <w:pPr>
        <w:pStyle w:val="SingleTxt"/>
        <w:rPr>
          <w:rFonts w:hint="eastAsia"/>
        </w:rPr>
      </w:pPr>
      <w:r>
        <w:rPr>
          <w:rFonts w:hint="eastAsia"/>
        </w:rPr>
        <w:t>45</w:t>
      </w:r>
      <w:r w:rsidR="000562F3">
        <w:rPr>
          <w:rFonts w:hint="eastAsia"/>
        </w:rPr>
        <w:t>.</w:t>
      </w:r>
      <w:r w:rsidR="000562F3">
        <w:tab/>
      </w:r>
      <w:r w:rsidR="000562F3" w:rsidRPr="00BB63B8">
        <w:rPr>
          <w:rFonts w:ascii="SimHei" w:eastAsia="SimHei" w:hint="eastAsia"/>
          <w:color w:val="FF0000"/>
        </w:rPr>
        <w:t>委员会请缔约国修改</w:t>
      </w:r>
      <w:r>
        <w:rPr>
          <w:rFonts w:ascii="SimHei" w:eastAsia="SimHei" w:hint="eastAsia"/>
          <w:color w:val="FF0000"/>
        </w:rPr>
        <w:t>《1939年解除穆斯林婚姻法》</w:t>
      </w:r>
      <w:r w:rsidR="000562F3" w:rsidRPr="00BB63B8">
        <w:rPr>
          <w:rFonts w:ascii="SimHei" w:eastAsia="SimHei" w:hint="eastAsia"/>
          <w:color w:val="FF0000"/>
        </w:rPr>
        <w:t>，废除所有歧视性规定，把女孩最低法定结婚年龄提高到18岁，以便符合《儿童权利公约》第1条、《消除对妇女一切形式歧视公约》第16条第2款以及委员会关于婚姻和家庭关系平等的一般性建议21。委员会还要求采取措施废除强迫婚姻</w:t>
      </w:r>
      <w:r w:rsidR="000562F3">
        <w:rPr>
          <w:rFonts w:hint="eastAsia"/>
        </w:rPr>
        <w:t>。</w:t>
      </w:r>
    </w:p>
    <w:p w:rsidR="000562F3" w:rsidRDefault="00193B00" w:rsidP="000562F3">
      <w:pPr>
        <w:pStyle w:val="SingleTxt"/>
        <w:rPr>
          <w:rFonts w:hint="eastAsia"/>
        </w:rPr>
      </w:pPr>
      <w:r>
        <w:rPr>
          <w:rFonts w:hint="eastAsia"/>
        </w:rPr>
        <w:t>46</w:t>
      </w:r>
      <w:r w:rsidR="000562F3">
        <w:rPr>
          <w:rFonts w:hint="eastAsia"/>
        </w:rPr>
        <w:t>.</w:t>
      </w:r>
      <w:r w:rsidR="000562F3">
        <w:tab/>
      </w:r>
      <w:r w:rsidR="000562F3">
        <w:rPr>
          <w:rFonts w:hint="eastAsia"/>
        </w:rPr>
        <w:t>委员会注意到为促进妇女权利所开展的各种方案，但是，委员会感到遗憾的是，报告中没有提供资料说明这些方案所产生的影响。</w:t>
      </w:r>
    </w:p>
    <w:p w:rsidR="000562F3" w:rsidRDefault="00193B00" w:rsidP="000562F3">
      <w:pPr>
        <w:pStyle w:val="SingleTxt"/>
        <w:rPr>
          <w:rFonts w:hint="eastAsia"/>
        </w:rPr>
      </w:pPr>
      <w:r>
        <w:rPr>
          <w:rFonts w:hint="eastAsia"/>
        </w:rPr>
        <w:t>47</w:t>
      </w:r>
      <w:r w:rsidR="000562F3">
        <w:rPr>
          <w:rFonts w:hint="eastAsia"/>
        </w:rPr>
        <w:t>.</w:t>
      </w:r>
      <w:r w:rsidR="000562F3">
        <w:tab/>
      </w:r>
      <w:r w:rsidR="000562F3" w:rsidRPr="00BB63B8">
        <w:rPr>
          <w:rFonts w:ascii="SimHei" w:eastAsia="SimHei" w:hint="eastAsia"/>
          <w:color w:val="FF0000"/>
        </w:rPr>
        <w:t>委员会吁请缔约国在下一次报告中纳入详细资料，说明为促进妇女权利而执行的各项方案的规模和范围、特别是它们所产生的影响</w:t>
      </w:r>
      <w:r w:rsidR="000562F3">
        <w:rPr>
          <w:rFonts w:hint="eastAsia"/>
        </w:rPr>
        <w:t>。</w:t>
      </w:r>
    </w:p>
    <w:p w:rsidR="000562F3" w:rsidRDefault="00193B00" w:rsidP="000562F3">
      <w:pPr>
        <w:pStyle w:val="SingleTxt"/>
        <w:rPr>
          <w:rFonts w:hint="eastAsia"/>
        </w:rPr>
      </w:pPr>
      <w:r>
        <w:rPr>
          <w:rFonts w:hint="eastAsia"/>
        </w:rPr>
        <w:t>48</w:t>
      </w:r>
      <w:r w:rsidR="000562F3">
        <w:rPr>
          <w:rFonts w:hint="eastAsia"/>
        </w:rPr>
        <w:t>.</w:t>
      </w:r>
      <w:r w:rsidR="000562F3">
        <w:tab/>
      </w:r>
      <w:r w:rsidR="000562F3" w:rsidRPr="00B55495">
        <w:rPr>
          <w:rFonts w:ascii="SimHei" w:eastAsia="SimHei" w:hint="eastAsia"/>
          <w:color w:val="FF0000"/>
        </w:rPr>
        <w:t>委员会鼓励缔约国批准《消除对妇女一切形式歧视公约任择议定书》，并尽快接受关于委员会开会时间的《公约》第20条第1款的修正案</w:t>
      </w:r>
      <w:r w:rsidR="000562F3">
        <w:rPr>
          <w:rFonts w:hint="eastAsia"/>
        </w:rPr>
        <w:t>。</w:t>
      </w:r>
    </w:p>
    <w:p w:rsidR="000562F3" w:rsidRDefault="00193B00" w:rsidP="000562F3">
      <w:pPr>
        <w:pStyle w:val="SingleTxt"/>
        <w:rPr>
          <w:rFonts w:hint="eastAsia"/>
        </w:rPr>
      </w:pPr>
      <w:r>
        <w:rPr>
          <w:rFonts w:hint="eastAsia"/>
        </w:rPr>
        <w:t>49</w:t>
      </w:r>
      <w:r w:rsidR="000562F3">
        <w:rPr>
          <w:rFonts w:hint="eastAsia"/>
        </w:rPr>
        <w:t>.</w:t>
      </w:r>
      <w:r w:rsidR="000562F3">
        <w:tab/>
      </w:r>
      <w:r w:rsidR="000562F3" w:rsidRPr="00BB63B8">
        <w:rPr>
          <w:rFonts w:ascii="SimHei" w:eastAsia="SimHei" w:hint="eastAsia"/>
          <w:color w:val="FF0000"/>
        </w:rPr>
        <w:t>委员会敦请缔约国在履行《公约》义务时，充分利用加强《公约》各项规定的《北京宣言和行动纲要》，还请缔约国在下一次定期报告中纳入这方面的资料</w:t>
      </w:r>
      <w:r w:rsidR="000562F3">
        <w:rPr>
          <w:rFonts w:hint="eastAsia"/>
        </w:rPr>
        <w:t>。</w:t>
      </w:r>
    </w:p>
    <w:p w:rsidR="000562F3" w:rsidRDefault="00193B00" w:rsidP="000562F3">
      <w:pPr>
        <w:pStyle w:val="SingleTxt"/>
        <w:rPr>
          <w:rFonts w:hint="eastAsia"/>
        </w:rPr>
      </w:pPr>
      <w:r>
        <w:rPr>
          <w:rFonts w:hint="eastAsia"/>
        </w:rPr>
        <w:t>50</w:t>
      </w:r>
      <w:r w:rsidR="000562F3">
        <w:rPr>
          <w:rFonts w:hint="eastAsia"/>
        </w:rPr>
        <w:t>.</w:t>
      </w:r>
      <w:r w:rsidR="000562F3">
        <w:tab/>
      </w:r>
      <w:r w:rsidR="000562F3" w:rsidRPr="00BB63B8">
        <w:rPr>
          <w:rFonts w:ascii="SimHei" w:eastAsia="SimHei" w:hint="eastAsia"/>
          <w:color w:val="FF0000"/>
        </w:rPr>
        <w:t>委员会还强调，充分、有效执行《公约》对实现千年发展目标必不可少。委员会要求在实现千年发展目标的所有工作中都纳入性别观点，明确反映《公约》的各项规定，并请缔约国在下一次定期报告中纳入这方面的资料</w:t>
      </w:r>
      <w:r w:rsidR="000562F3">
        <w:rPr>
          <w:rFonts w:hint="eastAsia"/>
        </w:rPr>
        <w:t>。</w:t>
      </w:r>
    </w:p>
    <w:p w:rsidR="000562F3" w:rsidRDefault="00193B00" w:rsidP="000562F3">
      <w:pPr>
        <w:pStyle w:val="SingleTxt"/>
        <w:rPr>
          <w:rFonts w:hint="eastAsia"/>
        </w:rPr>
      </w:pPr>
      <w:r>
        <w:rPr>
          <w:rFonts w:hint="eastAsia"/>
        </w:rPr>
        <w:t>51</w:t>
      </w:r>
      <w:r w:rsidR="000562F3">
        <w:rPr>
          <w:rFonts w:hint="eastAsia"/>
        </w:rPr>
        <w:t>.</w:t>
      </w:r>
      <w:r w:rsidR="000562F3">
        <w:tab/>
      </w:r>
      <w:r w:rsidR="000562F3" w:rsidRPr="00BB63B8">
        <w:rPr>
          <w:rFonts w:ascii="SimHei" w:eastAsia="SimHei" w:hint="eastAsia"/>
          <w:color w:val="FF0000"/>
        </w:rPr>
        <w:t>委员会注意到，各缔约国遵守七项主要国际人权文书</w:t>
      </w:r>
      <w:r w:rsidR="000562F3" w:rsidRPr="00DB1EA5">
        <w:rPr>
          <w:rStyle w:val="FootnoteReference"/>
          <w:rFonts w:ascii="SimHei" w:eastAsia="SimHei"/>
          <w:color w:val="FF0000"/>
        </w:rPr>
        <w:footnoteReference w:id="1"/>
      </w:r>
      <w:r w:rsidR="000562F3" w:rsidRPr="00BB63B8">
        <w:rPr>
          <w:rFonts w:ascii="SimHei" w:eastAsia="SimHei"/>
          <w:color w:val="FF0000"/>
        </w:rPr>
        <w:t xml:space="preserve"> </w:t>
      </w:r>
      <w:r w:rsidR="000562F3" w:rsidRPr="00BB63B8">
        <w:rPr>
          <w:rFonts w:ascii="SimHei" w:eastAsia="SimHei" w:hint="eastAsia"/>
          <w:color w:val="FF0000"/>
        </w:rPr>
        <w:t>可增进妇女在生活的各个方面享有人权和基本自由。因此，委员会鼓励巴基斯坦政府考虑批准尚未加入的条约，即，《公民及政治权利国际公约》、《经济、社会、文化权利国际公约》、《禁止酷刑和其他残忍、不人道或有辱人格的待遇或处罚公约》和《保护所有移徙工人及其家庭成员权利国际公约》</w:t>
      </w:r>
      <w:r w:rsidR="000562F3">
        <w:rPr>
          <w:rFonts w:hint="eastAsia"/>
        </w:rPr>
        <w:t>。</w:t>
      </w:r>
    </w:p>
    <w:p w:rsidR="000562F3" w:rsidRDefault="00193B00" w:rsidP="000562F3">
      <w:pPr>
        <w:pStyle w:val="SingleTxt"/>
        <w:rPr>
          <w:rFonts w:hint="eastAsia"/>
        </w:rPr>
      </w:pPr>
      <w:r>
        <w:rPr>
          <w:rFonts w:hint="eastAsia"/>
        </w:rPr>
        <w:t>52</w:t>
      </w:r>
      <w:r w:rsidR="000562F3">
        <w:rPr>
          <w:rFonts w:hint="eastAsia"/>
        </w:rPr>
        <w:t>.</w:t>
      </w:r>
      <w:r w:rsidR="000562F3">
        <w:tab/>
      </w:r>
      <w:r w:rsidR="000562F3" w:rsidRPr="00BB63B8">
        <w:rPr>
          <w:rFonts w:ascii="SimHei" w:eastAsia="SimHei" w:hint="eastAsia"/>
          <w:color w:val="FF0000"/>
        </w:rPr>
        <w:t>委员会要求在巴基斯坦广泛散播本结论意见，使巴基斯坦人民，包括政府官员、政界人士、议员及妇女组织和人权组织了解为确保妇女法律上和事实上的平等已经采取的步骤，以及就此需采取的进一步步骤。委员会请缔约国继续广泛传播，特别是向妇女组织和人权组织传播《公约》及其《任择议定书》、委员会一般性建议、《北京宣言和行动纲要》以及题为“2000年妇女：二十一世纪两性平等、发展与和平”的大会第二十三届特别会议的成果</w:t>
      </w:r>
      <w:r w:rsidR="000562F3">
        <w:rPr>
          <w:rFonts w:hint="eastAsia"/>
        </w:rPr>
        <w:t>。</w:t>
      </w:r>
    </w:p>
    <w:p w:rsidR="00EA31C3" w:rsidRDefault="000562F3" w:rsidP="000562F3">
      <w:pPr>
        <w:pStyle w:val="SingleTxt"/>
      </w:pPr>
      <w:r>
        <w:rPr>
          <w:rFonts w:hint="eastAsia"/>
        </w:rPr>
        <w:t>5</w:t>
      </w:r>
      <w:r w:rsidR="00193B00">
        <w:rPr>
          <w:rFonts w:hint="eastAsia"/>
        </w:rPr>
        <w:t>3</w:t>
      </w:r>
      <w:r>
        <w:rPr>
          <w:rFonts w:hint="eastAsia"/>
        </w:rPr>
        <w:t>.</w:t>
      </w:r>
      <w:r>
        <w:tab/>
      </w:r>
      <w:r w:rsidRPr="00BB63B8">
        <w:rPr>
          <w:rFonts w:ascii="SimHei" w:eastAsia="SimHei" w:hint="eastAsia"/>
          <w:color w:val="FF0000"/>
        </w:rPr>
        <w:t>委员会请缔约国根据《公约》第18条在其2009年4月到期的下一次定期报告中对本结论意见所述关切问题作出答复</w:t>
      </w:r>
      <w:r>
        <w:rPr>
          <w:rFonts w:hint="eastAsia"/>
        </w:rPr>
        <w:t>。</w:t>
      </w:r>
    </w:p>
    <w:p w:rsidR="000562F3" w:rsidRPr="000562F3" w:rsidRDefault="000562F3" w:rsidP="000562F3">
      <w:pPr>
        <w:pStyle w:val="SingleTxt"/>
        <w:spacing w:after="0" w:line="240" w:lineRule="auto"/>
        <w:rPr>
          <w:sz w:val="20"/>
        </w:rPr>
      </w:pPr>
      <w:r>
        <w:rPr>
          <w:noProof/>
          <w:sz w:val="20"/>
          <w:lang w:eastAsia="zh-TW"/>
        </w:rPr>
        <w:pict>
          <v:line id="_x0000_s1026" style="position:absolute;left:0;text-align:left;z-index:1;mso-position-horizontal:center" from="0,30pt" to="1in,30pt" strokeweight=".25pt"/>
        </w:pict>
      </w:r>
    </w:p>
    <w:sectPr w:rsidR="000562F3" w:rsidRPr="000562F3" w:rsidSect="00752FDF">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1:07:00Z" w:initials="Start">
    <w:p w:rsidR="0096648D" w:rsidRDefault="0096648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NO&gt;&gt;N0737607C&lt;&lt;ODS JOB NO&gt;&gt;</w:t>
      </w:r>
    </w:p>
    <w:p w:rsidR="0096648D" w:rsidRDefault="0096648D">
      <w:pPr>
        <w:pStyle w:val="CommentText"/>
      </w:pPr>
      <w:r>
        <w:t>&lt;&lt;ODS DOC SYMBOL1&gt;&gt;CEDAW/C/PAK/CO/3&lt;&lt;ODS DOC SYMBOL1&gt;&gt;</w:t>
      </w:r>
    </w:p>
    <w:p w:rsidR="0096648D" w:rsidRDefault="009664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844" w:rsidRDefault="000E5844">
      <w:r>
        <w:separator/>
      </w:r>
    </w:p>
  </w:endnote>
  <w:endnote w:type="continuationSeparator" w:id="0">
    <w:p w:rsidR="000E5844" w:rsidRDefault="000E5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28" w:type="dxa"/>
        <w:right w:w="28" w:type="dxa"/>
      </w:tblCellMar>
      <w:tblLook w:val="0000" w:firstRow="0" w:lastRow="0" w:firstColumn="0" w:lastColumn="0" w:noHBand="0" w:noVBand="0"/>
    </w:tblPr>
    <w:tblGrid>
      <w:gridCol w:w="4953"/>
      <w:gridCol w:w="4953"/>
    </w:tblGrid>
    <w:tr w:rsidR="0096648D" w:rsidTr="00752FDF">
      <w:tblPrEx>
        <w:tblCellMar>
          <w:top w:w="0" w:type="dxa"/>
          <w:bottom w:w="0" w:type="dxa"/>
        </w:tblCellMar>
      </w:tblPrEx>
      <w:tc>
        <w:tcPr>
          <w:tcW w:w="4953" w:type="dxa"/>
          <w:shd w:val="clear" w:color="auto" w:fill="auto"/>
          <w:vAlign w:val="bottom"/>
        </w:tcPr>
        <w:p w:rsidR="0096648D" w:rsidRPr="00752FDF" w:rsidRDefault="0096648D" w:rsidP="00752FDF">
          <w:pPr>
            <w:pStyle w:val="Footer"/>
            <w:jc w:val="left"/>
          </w:pPr>
          <w:r>
            <w:fldChar w:fldCharType="begin"/>
          </w:r>
          <w:r>
            <w:instrText xml:space="preserve"> PAGE  \* MERGEFORMAT </w:instrText>
          </w:r>
          <w:r>
            <w:fldChar w:fldCharType="separate"/>
          </w:r>
          <w:r w:rsidR="00816034">
            <w:t>8</w:t>
          </w:r>
          <w:r>
            <w:fldChar w:fldCharType="end"/>
          </w:r>
        </w:p>
      </w:tc>
      <w:tc>
        <w:tcPr>
          <w:tcW w:w="4953" w:type="dxa"/>
          <w:shd w:val="clear" w:color="auto" w:fill="auto"/>
          <w:vAlign w:val="bottom"/>
        </w:tcPr>
        <w:p w:rsidR="0096648D" w:rsidRPr="00752FDF" w:rsidRDefault="0096648D" w:rsidP="00752FD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07-37607</w:t>
          </w:r>
          <w:r>
            <w:rPr>
              <w:b w:val="0"/>
              <w:sz w:val="14"/>
            </w:rPr>
            <w:fldChar w:fldCharType="end"/>
          </w:r>
        </w:p>
      </w:tc>
    </w:tr>
  </w:tbl>
  <w:p w:rsidR="0096648D" w:rsidRPr="00752FDF" w:rsidRDefault="0096648D" w:rsidP="00752F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28" w:type="dxa"/>
        <w:right w:w="28" w:type="dxa"/>
      </w:tblCellMar>
      <w:tblLook w:val="0000" w:firstRow="0" w:lastRow="0" w:firstColumn="0" w:lastColumn="0" w:noHBand="0" w:noVBand="0"/>
    </w:tblPr>
    <w:tblGrid>
      <w:gridCol w:w="4953"/>
      <w:gridCol w:w="4953"/>
    </w:tblGrid>
    <w:tr w:rsidR="0096648D" w:rsidTr="00752FDF">
      <w:tblPrEx>
        <w:tblCellMar>
          <w:top w:w="0" w:type="dxa"/>
          <w:bottom w:w="0" w:type="dxa"/>
        </w:tblCellMar>
      </w:tblPrEx>
      <w:tc>
        <w:tcPr>
          <w:tcW w:w="4953" w:type="dxa"/>
          <w:shd w:val="clear" w:color="auto" w:fill="auto"/>
          <w:vAlign w:val="bottom"/>
        </w:tcPr>
        <w:p w:rsidR="0096648D" w:rsidRPr="00752FDF" w:rsidRDefault="0096648D" w:rsidP="00752FDF">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07-37607</w:t>
          </w:r>
          <w:r>
            <w:rPr>
              <w:b w:val="0"/>
              <w:sz w:val="14"/>
            </w:rPr>
            <w:fldChar w:fldCharType="end"/>
          </w:r>
        </w:p>
      </w:tc>
      <w:tc>
        <w:tcPr>
          <w:tcW w:w="4953" w:type="dxa"/>
          <w:shd w:val="clear" w:color="auto" w:fill="auto"/>
          <w:vAlign w:val="bottom"/>
        </w:tcPr>
        <w:p w:rsidR="0096648D" w:rsidRPr="00752FDF" w:rsidRDefault="0096648D" w:rsidP="00752FDF">
          <w:pPr>
            <w:pStyle w:val="Footer"/>
            <w:jc w:val="right"/>
          </w:pPr>
          <w:r>
            <w:fldChar w:fldCharType="begin"/>
          </w:r>
          <w:r>
            <w:instrText xml:space="preserve"> PAGE  \* MERGEFORMAT </w:instrText>
          </w:r>
          <w:r>
            <w:fldChar w:fldCharType="separate"/>
          </w:r>
          <w:r w:rsidR="00816034">
            <w:t>7</w:t>
          </w:r>
          <w:r>
            <w:fldChar w:fldCharType="end"/>
          </w:r>
        </w:p>
      </w:tc>
    </w:tr>
  </w:tbl>
  <w:p w:rsidR="0096648D" w:rsidRPr="00752FDF" w:rsidRDefault="0096648D" w:rsidP="00752F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48D" w:rsidRDefault="0096648D" w:rsidP="00752FD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07-37607 (C)</w:t>
    </w:r>
    <w:r>
      <w:rPr>
        <w:b w:val="0"/>
        <w:sz w:val="21"/>
      </w:rPr>
      <w:fldChar w:fldCharType="end"/>
    </w:r>
    <w:r>
      <w:rPr>
        <w:b w:val="0"/>
        <w:sz w:val="21"/>
      </w:rPr>
      <w:t xml:space="preserve">    1</w:t>
    </w:r>
    <w:r>
      <w:rPr>
        <w:rFonts w:hint="eastAsia"/>
        <w:b w:val="0"/>
        <w:sz w:val="21"/>
      </w:rPr>
      <w:t>8</w:t>
    </w:r>
    <w:r>
      <w:rPr>
        <w:b w:val="0"/>
        <w:sz w:val="21"/>
      </w:rPr>
      <w:t>0607    190607</w:t>
    </w:r>
  </w:p>
  <w:p w:rsidR="0096648D" w:rsidRPr="00752FDF" w:rsidRDefault="0096648D" w:rsidP="00752FD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*0737607*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844" w:rsidRPr="00DB1EA5" w:rsidRDefault="000E5844" w:rsidP="00DB1EA5">
      <w:pPr>
        <w:pStyle w:val="Footer"/>
        <w:spacing w:after="80"/>
        <w:ind w:left="792"/>
        <w:rPr>
          <w:sz w:val="16"/>
        </w:rPr>
      </w:pPr>
      <w:r w:rsidRPr="00DB1EA5">
        <w:rPr>
          <w:sz w:val="16"/>
        </w:rPr>
        <w:t>__________________</w:t>
      </w:r>
    </w:p>
  </w:footnote>
  <w:footnote w:type="continuationSeparator" w:id="0">
    <w:p w:rsidR="000E5844" w:rsidRPr="00DB1EA5" w:rsidRDefault="000E5844" w:rsidP="00DB1EA5">
      <w:pPr>
        <w:pStyle w:val="Footer"/>
        <w:spacing w:after="80"/>
        <w:ind w:left="792"/>
        <w:rPr>
          <w:sz w:val="16"/>
        </w:rPr>
      </w:pPr>
      <w:r w:rsidRPr="00DB1EA5">
        <w:rPr>
          <w:sz w:val="16"/>
        </w:rPr>
        <w:t>__________________</w:t>
      </w:r>
    </w:p>
  </w:footnote>
  <w:footnote w:id="1">
    <w:p w:rsidR="0096648D" w:rsidRPr="00F072BE" w:rsidRDefault="0096648D" w:rsidP="00DB1EA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072BE">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53"/>
    </w:tblGrid>
    <w:tr w:rsidR="0096648D" w:rsidTr="00752FDF">
      <w:tblPrEx>
        <w:tblCellMar>
          <w:top w:w="0" w:type="dxa"/>
          <w:bottom w:w="0" w:type="dxa"/>
        </w:tblCellMar>
      </w:tblPrEx>
      <w:trPr>
        <w:trHeight w:hRule="exact" w:val="864"/>
      </w:trPr>
      <w:tc>
        <w:tcPr>
          <w:tcW w:w="4838" w:type="dxa"/>
          <w:shd w:val="clear" w:color="auto" w:fill="auto"/>
          <w:vAlign w:val="bottom"/>
        </w:tcPr>
        <w:p w:rsidR="0096648D" w:rsidRPr="00752FDF" w:rsidRDefault="0096648D" w:rsidP="00752FD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CEDAW/C/PAK/CO/3</w:t>
          </w:r>
          <w:r>
            <w:rPr>
              <w:b/>
              <w:sz w:val="17"/>
            </w:rPr>
            <w:fldChar w:fldCharType="end"/>
          </w:r>
        </w:p>
      </w:tc>
      <w:tc>
        <w:tcPr>
          <w:tcW w:w="4953" w:type="dxa"/>
          <w:shd w:val="clear" w:color="auto" w:fill="auto"/>
          <w:vAlign w:val="bottom"/>
        </w:tcPr>
        <w:p w:rsidR="0096648D" w:rsidRDefault="0096648D" w:rsidP="00752FDF">
          <w:pPr>
            <w:pStyle w:val="Header"/>
          </w:pPr>
        </w:p>
      </w:tc>
    </w:tr>
  </w:tbl>
  <w:p w:rsidR="0096648D" w:rsidRPr="00752FDF" w:rsidRDefault="0096648D" w:rsidP="00752F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53"/>
    </w:tblGrid>
    <w:tr w:rsidR="0096648D" w:rsidTr="00752FDF">
      <w:tblPrEx>
        <w:tblCellMar>
          <w:top w:w="0" w:type="dxa"/>
          <w:bottom w:w="0" w:type="dxa"/>
        </w:tblCellMar>
      </w:tblPrEx>
      <w:trPr>
        <w:trHeight w:hRule="exact" w:val="864"/>
      </w:trPr>
      <w:tc>
        <w:tcPr>
          <w:tcW w:w="4838" w:type="dxa"/>
          <w:shd w:val="clear" w:color="auto" w:fill="auto"/>
          <w:vAlign w:val="bottom"/>
        </w:tcPr>
        <w:p w:rsidR="0096648D" w:rsidRDefault="0096648D" w:rsidP="00752FDF">
          <w:pPr>
            <w:pStyle w:val="Header"/>
          </w:pPr>
        </w:p>
      </w:tc>
      <w:tc>
        <w:tcPr>
          <w:tcW w:w="4953" w:type="dxa"/>
          <w:shd w:val="clear" w:color="auto" w:fill="auto"/>
          <w:vAlign w:val="bottom"/>
        </w:tcPr>
        <w:p w:rsidR="0096648D" w:rsidRPr="00752FDF" w:rsidRDefault="0096648D" w:rsidP="00752FD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CEDAW/C/PAK/CO/3</w:t>
          </w:r>
          <w:r>
            <w:rPr>
              <w:b/>
              <w:sz w:val="17"/>
            </w:rPr>
            <w:fldChar w:fldCharType="end"/>
          </w:r>
        </w:p>
      </w:tc>
    </w:tr>
  </w:tbl>
  <w:p w:rsidR="0096648D" w:rsidRPr="00752FDF" w:rsidRDefault="0096648D" w:rsidP="00752F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6648D" w:rsidTr="00752FD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6648D" w:rsidRDefault="0096648D" w:rsidP="00752FDF">
          <w:pPr>
            <w:pStyle w:val="Header"/>
            <w:spacing w:after="120"/>
          </w:pPr>
        </w:p>
      </w:tc>
      <w:tc>
        <w:tcPr>
          <w:tcW w:w="1872" w:type="dxa"/>
          <w:tcBorders>
            <w:bottom w:val="single" w:sz="4" w:space="0" w:color="auto"/>
          </w:tcBorders>
          <w:shd w:val="clear" w:color="auto" w:fill="auto"/>
          <w:vAlign w:val="bottom"/>
        </w:tcPr>
        <w:p w:rsidR="0096648D" w:rsidRPr="00752FDF" w:rsidRDefault="0096648D" w:rsidP="00752FD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6648D" w:rsidRDefault="0096648D" w:rsidP="00752FDF">
          <w:pPr>
            <w:pStyle w:val="Header"/>
            <w:spacing w:after="120"/>
          </w:pPr>
        </w:p>
      </w:tc>
      <w:tc>
        <w:tcPr>
          <w:tcW w:w="6523" w:type="dxa"/>
          <w:gridSpan w:val="3"/>
          <w:tcBorders>
            <w:bottom w:val="single" w:sz="4" w:space="0" w:color="auto"/>
          </w:tcBorders>
          <w:shd w:val="clear" w:color="auto" w:fill="auto"/>
          <w:vAlign w:val="bottom"/>
        </w:tcPr>
        <w:p w:rsidR="0096648D" w:rsidRPr="00752FDF" w:rsidRDefault="0096648D" w:rsidP="00752FD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/C/PAK/CO/3</w:t>
          </w:r>
        </w:p>
      </w:tc>
    </w:tr>
    <w:tr w:rsidR="0096648D" w:rsidRPr="00752FDF" w:rsidTr="00752F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6648D" w:rsidRDefault="0096648D" w:rsidP="00752FD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6648D" w:rsidRPr="00752FDF" w:rsidRDefault="0096648D" w:rsidP="00752FDF">
          <w:pPr>
            <w:pStyle w:val="Header"/>
            <w:spacing w:before="109"/>
            <w:ind w:left="-72"/>
          </w:pPr>
        </w:p>
      </w:tc>
      <w:tc>
        <w:tcPr>
          <w:tcW w:w="5227" w:type="dxa"/>
          <w:gridSpan w:val="3"/>
          <w:tcBorders>
            <w:top w:val="single" w:sz="4" w:space="0" w:color="auto"/>
            <w:bottom w:val="single" w:sz="12" w:space="0" w:color="auto"/>
          </w:tcBorders>
          <w:shd w:val="clear" w:color="auto" w:fill="auto"/>
        </w:tcPr>
        <w:p w:rsidR="0096648D" w:rsidRPr="00752FDF" w:rsidRDefault="0096648D" w:rsidP="00752FD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6648D" w:rsidRPr="00752FDF" w:rsidRDefault="0096648D" w:rsidP="00752FDF">
          <w:pPr>
            <w:pStyle w:val="Header"/>
            <w:spacing w:before="109"/>
          </w:pPr>
        </w:p>
      </w:tc>
      <w:tc>
        <w:tcPr>
          <w:tcW w:w="3180" w:type="dxa"/>
          <w:gridSpan w:val="2"/>
          <w:tcBorders>
            <w:top w:val="single" w:sz="4" w:space="0" w:color="auto"/>
            <w:bottom w:val="single" w:sz="12" w:space="0" w:color="auto"/>
          </w:tcBorders>
          <w:shd w:val="clear" w:color="auto" w:fill="auto"/>
        </w:tcPr>
        <w:p w:rsidR="0096648D" w:rsidRDefault="0096648D" w:rsidP="00752FDF">
          <w:pPr>
            <w:spacing w:before="240" w:line="240" w:lineRule="exact"/>
            <w:rPr>
              <w:rFonts w:ascii="Times New Roman"/>
            </w:rPr>
          </w:pPr>
        </w:p>
        <w:p w:rsidR="0096648D" w:rsidRDefault="0096648D" w:rsidP="00752FDF">
          <w:pPr>
            <w:spacing w:line="240" w:lineRule="exact"/>
            <w:rPr>
              <w:rFonts w:ascii="Times New Roman"/>
            </w:rPr>
          </w:pPr>
          <w:r>
            <w:rPr>
              <w:rFonts w:ascii="Times New Roman"/>
            </w:rPr>
            <w:t>11 June 2007</w:t>
          </w:r>
        </w:p>
        <w:p w:rsidR="0096648D" w:rsidRDefault="0096648D" w:rsidP="00752FDF">
          <w:pPr>
            <w:spacing w:line="240" w:lineRule="exact"/>
            <w:rPr>
              <w:rFonts w:ascii="Times New Roman"/>
            </w:rPr>
          </w:pPr>
          <w:r>
            <w:rPr>
              <w:rFonts w:ascii="Times New Roman"/>
            </w:rPr>
            <w:t>Chinese</w:t>
          </w:r>
        </w:p>
        <w:p w:rsidR="0096648D" w:rsidRPr="00752FDF" w:rsidRDefault="0096648D" w:rsidP="00752FDF">
          <w:pPr>
            <w:spacing w:line="240" w:lineRule="exact"/>
            <w:rPr>
              <w:rFonts w:ascii="Times New Roman"/>
            </w:rPr>
          </w:pPr>
          <w:r>
            <w:rPr>
              <w:rFonts w:ascii="Times New Roman"/>
            </w:rPr>
            <w:t>Original: English</w:t>
          </w:r>
        </w:p>
      </w:tc>
    </w:tr>
  </w:tbl>
  <w:p w:rsidR="0096648D" w:rsidRPr="00752FDF" w:rsidRDefault="0096648D" w:rsidP="00752F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7*"/>
    <w:docVar w:name="CreationDt" w:val="19/06/2007 10:36:46"/>
    <w:docVar w:name="DocCategory" w:val="Doc"/>
    <w:docVar w:name="DocType" w:val="Final"/>
    <w:docVar w:name="FooterJN" w:val="07-37607"/>
    <w:docVar w:name="jobn" w:val="07-37607 (C)"/>
    <w:docVar w:name="jobnDT" w:val="07-37607 (C)   190607"/>
    <w:docVar w:name="jobnDTDT" w:val="07-37607 (C)   190607   190607"/>
    <w:docVar w:name="JobNo" w:val="0737607C"/>
    <w:docVar w:name="OandT" w:val="YANGHUA"/>
    <w:docVar w:name="sss1" w:val="CEDAW/C/PAK/CO/3"/>
    <w:docVar w:name="sss2" w:val="-"/>
    <w:docVar w:name="Symbol1" w:val="CEDAW/C/PAK/CO/3"/>
    <w:docVar w:name="Symbol2" w:val="-"/>
  </w:docVars>
  <w:rsids>
    <w:rsidRoot w:val="00113A28"/>
    <w:rsid w:val="000125BC"/>
    <w:rsid w:val="00021A2B"/>
    <w:rsid w:val="000339BD"/>
    <w:rsid w:val="00037B39"/>
    <w:rsid w:val="00044CA4"/>
    <w:rsid w:val="00045EFE"/>
    <w:rsid w:val="000562F3"/>
    <w:rsid w:val="0007337D"/>
    <w:rsid w:val="000758DF"/>
    <w:rsid w:val="00076EB8"/>
    <w:rsid w:val="00085AAE"/>
    <w:rsid w:val="00095C67"/>
    <w:rsid w:val="000A31F9"/>
    <w:rsid w:val="000A6028"/>
    <w:rsid w:val="000C1786"/>
    <w:rsid w:val="000E240F"/>
    <w:rsid w:val="000E5844"/>
    <w:rsid w:val="000F1058"/>
    <w:rsid w:val="001113F8"/>
    <w:rsid w:val="00113A28"/>
    <w:rsid w:val="001212F9"/>
    <w:rsid w:val="00121328"/>
    <w:rsid w:val="0012708E"/>
    <w:rsid w:val="00141322"/>
    <w:rsid w:val="0015066B"/>
    <w:rsid w:val="00150D3A"/>
    <w:rsid w:val="00153D29"/>
    <w:rsid w:val="00161E69"/>
    <w:rsid w:val="00161F54"/>
    <w:rsid w:val="00170FBE"/>
    <w:rsid w:val="0017506F"/>
    <w:rsid w:val="00193B00"/>
    <w:rsid w:val="001B2814"/>
    <w:rsid w:val="001B4F95"/>
    <w:rsid w:val="001C3F7F"/>
    <w:rsid w:val="001E20EC"/>
    <w:rsid w:val="001E5A51"/>
    <w:rsid w:val="00241F26"/>
    <w:rsid w:val="00247382"/>
    <w:rsid w:val="00252E35"/>
    <w:rsid w:val="00257053"/>
    <w:rsid w:val="00266257"/>
    <w:rsid w:val="00271BE6"/>
    <w:rsid w:val="0027454D"/>
    <w:rsid w:val="00280671"/>
    <w:rsid w:val="002814F9"/>
    <w:rsid w:val="00282D17"/>
    <w:rsid w:val="00294263"/>
    <w:rsid w:val="002A4AEF"/>
    <w:rsid w:val="002B305F"/>
    <w:rsid w:val="002B564F"/>
    <w:rsid w:val="002C2254"/>
    <w:rsid w:val="002C3BC9"/>
    <w:rsid w:val="002C54DB"/>
    <w:rsid w:val="002D0694"/>
    <w:rsid w:val="002D5503"/>
    <w:rsid w:val="002E66D5"/>
    <w:rsid w:val="002F41E2"/>
    <w:rsid w:val="003046CA"/>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2FDF"/>
    <w:rsid w:val="00753A05"/>
    <w:rsid w:val="00760DEF"/>
    <w:rsid w:val="00761190"/>
    <w:rsid w:val="00776537"/>
    <w:rsid w:val="00783A25"/>
    <w:rsid w:val="007E1B5E"/>
    <w:rsid w:val="007F2278"/>
    <w:rsid w:val="00805783"/>
    <w:rsid w:val="00806F57"/>
    <w:rsid w:val="00806F90"/>
    <w:rsid w:val="00816034"/>
    <w:rsid w:val="00824C19"/>
    <w:rsid w:val="008378D1"/>
    <w:rsid w:val="00846462"/>
    <w:rsid w:val="0086691F"/>
    <w:rsid w:val="00884C8F"/>
    <w:rsid w:val="008C3296"/>
    <w:rsid w:val="008F2BB5"/>
    <w:rsid w:val="008F425D"/>
    <w:rsid w:val="008F5472"/>
    <w:rsid w:val="008F5D0F"/>
    <w:rsid w:val="009122E0"/>
    <w:rsid w:val="00913351"/>
    <w:rsid w:val="009200DD"/>
    <w:rsid w:val="0096193C"/>
    <w:rsid w:val="0096648D"/>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5495"/>
    <w:rsid w:val="00B56194"/>
    <w:rsid w:val="00B61A34"/>
    <w:rsid w:val="00B64E8E"/>
    <w:rsid w:val="00B65E8B"/>
    <w:rsid w:val="00B8025A"/>
    <w:rsid w:val="00B827B1"/>
    <w:rsid w:val="00BB23A4"/>
    <w:rsid w:val="00BC0931"/>
    <w:rsid w:val="00BC2276"/>
    <w:rsid w:val="00BD2150"/>
    <w:rsid w:val="00BE365A"/>
    <w:rsid w:val="00BE47C4"/>
    <w:rsid w:val="00C052A2"/>
    <w:rsid w:val="00C06A4A"/>
    <w:rsid w:val="00C1391A"/>
    <w:rsid w:val="00C14CE6"/>
    <w:rsid w:val="00C15218"/>
    <w:rsid w:val="00C2725D"/>
    <w:rsid w:val="00C42033"/>
    <w:rsid w:val="00C76854"/>
    <w:rsid w:val="00CB2B1E"/>
    <w:rsid w:val="00CC3E8B"/>
    <w:rsid w:val="00CC4E84"/>
    <w:rsid w:val="00CD5641"/>
    <w:rsid w:val="00CE64AC"/>
    <w:rsid w:val="00CF7718"/>
    <w:rsid w:val="00D177F1"/>
    <w:rsid w:val="00D323B5"/>
    <w:rsid w:val="00D42ACC"/>
    <w:rsid w:val="00D51DC5"/>
    <w:rsid w:val="00D676D7"/>
    <w:rsid w:val="00D71517"/>
    <w:rsid w:val="00D874E1"/>
    <w:rsid w:val="00D9586D"/>
    <w:rsid w:val="00DB1EA5"/>
    <w:rsid w:val="00DC2506"/>
    <w:rsid w:val="00DC49FA"/>
    <w:rsid w:val="00DD3D6B"/>
    <w:rsid w:val="00DD4467"/>
    <w:rsid w:val="00DD61C8"/>
    <w:rsid w:val="00DD772B"/>
    <w:rsid w:val="00E21383"/>
    <w:rsid w:val="00E25442"/>
    <w:rsid w:val="00E37EEB"/>
    <w:rsid w:val="00E710FB"/>
    <w:rsid w:val="00E806D9"/>
    <w:rsid w:val="00E82CA2"/>
    <w:rsid w:val="00E95594"/>
    <w:rsid w:val="00EA31C3"/>
    <w:rsid w:val="00EC6F21"/>
    <w:rsid w:val="00ED249C"/>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1068</Words>
  <Characters>6093</Characters>
  <Application>Microsoft Office Word</Application>
  <DocSecurity>4</DocSecurity>
  <Lines>50</Lines>
  <Paragraphs>14</Paragraphs>
  <ScaleCrop>false</ScaleCrop>
  <Company>United Nations</Company>
  <LinksUpToDate>false</LinksUpToDate>
  <CharactersWithSpaces>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Xiuqin.Wang</cp:lastModifiedBy>
  <cp:revision>23</cp:revision>
  <cp:lastPrinted>2007-06-19T12:06:00Z</cp:lastPrinted>
  <dcterms:created xsi:type="dcterms:W3CDTF">2007-06-19T09:34:00Z</dcterms:created>
  <dcterms:modified xsi:type="dcterms:W3CDTF">2007-06-19T12:06:00Z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0737607</vt:lpwstr>
  </property>
  <property fmtid="{D5CDD505-2E9C-101B-9397-08002B2CF9AE}" pid="3" name="Symbol1">
    <vt:lpwstr>CEDAW/C/PAK/CO/3</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