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279" w:rsidRPr="002304AC" w:rsidRDefault="005D0279" w:rsidP="005D0279">
      <w:pPr>
        <w:spacing w:line="240" w:lineRule="auto"/>
        <w:rPr>
          <w:sz w:val="6"/>
        </w:rPr>
        <w:sectPr w:rsidR="005D0279" w:rsidRPr="002304AC" w:rsidSect="0072075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2304AC">
        <w:rPr>
          <w:rStyle w:val="CommentReference"/>
          <w:szCs w:val="20"/>
        </w:rPr>
        <w:commentReference w:id="0"/>
      </w:r>
      <w:bookmarkStart w:id="1" w:name="_GoBack"/>
      <w:bookmarkEnd w:id="1"/>
    </w:p>
    <w:p w:rsidR="002304AC" w:rsidRPr="000314D4" w:rsidRDefault="002304AC" w:rsidP="002304AC">
      <w:pPr>
        <w:pStyle w:val="H1"/>
        <w:ind w:right="4170"/>
        <w:rPr>
          <w:szCs w:val="24"/>
        </w:rPr>
      </w:pPr>
      <w:r w:rsidRPr="000314D4">
        <w:rPr>
          <w:szCs w:val="24"/>
        </w:rPr>
        <w:lastRenderedPageBreak/>
        <w:t>Comité para la Eliminación de la Discriminación contra la Mujer</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HCh"/>
        <w:ind w:left="1267" w:right="2100" w:hanging="1267"/>
        <w:rPr>
          <w:szCs w:val="24"/>
        </w:rPr>
      </w:pPr>
      <w:r w:rsidRPr="000314D4">
        <w:rPr>
          <w:szCs w:val="24"/>
        </w:rPr>
        <w:tab/>
        <w:t>Examen de los informes presentados por los Estados partes en virtud del artículo 18 de la Convención</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0314D4">
        <w:tab/>
      </w:r>
      <w:r w:rsidRPr="000314D4">
        <w:tab/>
        <w:t>Informes periódicos octavo y noveno combinados que los Estados</w:t>
      </w:r>
      <w:r>
        <w:t xml:space="preserve"> </w:t>
      </w:r>
      <w:r w:rsidRPr="000314D4">
        <w:t>partes debían presentar en 2014</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framePr w:w="9792" w:h="432" w:hSpace="180" w:wrap="around" w:hAnchor="page" w:x="1210" w:yAlign="bottom"/>
        <w:spacing w:line="240" w:lineRule="auto"/>
        <w:rPr>
          <w:sz w:val="10"/>
          <w:szCs w:val="24"/>
        </w:rPr>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2304AC" w:rsidRPr="000314D4" w:rsidRDefault="002304AC" w:rsidP="002304AC">
      <w:pPr>
        <w:framePr w:w="9792" w:h="432" w:hSpace="180" w:wrap="around" w:hAnchor="page" w:x="1210" w:yAlign="bottom"/>
        <w:tabs>
          <w:tab w:val="left" w:pos="630"/>
          <w:tab w:val="right" w:pos="1195"/>
          <w:tab w:val="left" w:pos="1267"/>
          <w:tab w:val="left" w:pos="1647"/>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05"/>
        <w:rPr>
          <w:sz w:val="17"/>
        </w:rPr>
      </w:pPr>
      <w:r w:rsidRPr="000314D4">
        <w:rPr>
          <w:sz w:val="17"/>
        </w:rPr>
        <w:tab/>
      </w:r>
      <w:r w:rsidRPr="000314D4">
        <w:rPr>
          <w:i/>
          <w:sz w:val="17"/>
        </w:rPr>
        <w:t>Nota</w:t>
      </w:r>
      <w:r w:rsidRPr="000314D4">
        <w:rPr>
          <w:sz w:val="17"/>
        </w:rPr>
        <w:t xml:space="preserve">: </w:t>
      </w:r>
      <w:r w:rsidRPr="000314D4">
        <w:rPr>
          <w:sz w:val="17"/>
        </w:rPr>
        <w:tab/>
        <w:t>El presente documento se ha distribuido únicamente en español, francés e inglés.</w:t>
      </w:r>
    </w:p>
    <w:p w:rsidR="002304AC" w:rsidRPr="000314D4" w:rsidRDefault="002304AC" w:rsidP="002304A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24"/>
        </w:rPr>
      </w:pPr>
      <w:r w:rsidRPr="000314D4">
        <w:rPr>
          <w:sz w:val="17"/>
          <w:szCs w:val="24"/>
        </w:rPr>
        <w:tab/>
        <w:t>*</w:t>
      </w:r>
      <w:r w:rsidRPr="000314D4">
        <w:rPr>
          <w:sz w:val="17"/>
          <w:szCs w:val="24"/>
        </w:rPr>
        <w:tab/>
        <w:t>El presente documento se publica sin haber sido objeto de revisión editorial oficial.</w:t>
      </w:r>
    </w:p>
    <w:p w:rsidR="002304AC" w:rsidRPr="000314D4" w:rsidRDefault="002304AC" w:rsidP="002304AC">
      <w:pPr>
        <w:pStyle w:val="HCh"/>
        <w:ind w:left="1267" w:right="3081" w:hanging="1267"/>
        <w:rPr>
          <w:sz w:val="20"/>
          <w:szCs w:val="24"/>
        </w:rPr>
      </w:pPr>
      <w:r w:rsidRPr="000314D4">
        <w:rPr>
          <w:szCs w:val="24"/>
        </w:rPr>
        <w:tab/>
        <w:t>Canadá</w:t>
      </w:r>
      <w:r w:rsidRPr="000314D4">
        <w:rPr>
          <w:b w:val="0"/>
          <w:sz w:val="20"/>
          <w:szCs w:val="24"/>
        </w:rPr>
        <w:t>*</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jc w:val="right"/>
        <w:rPr>
          <w:szCs w:val="24"/>
        </w:rPr>
      </w:pPr>
      <w:r w:rsidRPr="000314D4">
        <w:rPr>
          <w:szCs w:val="24"/>
        </w:rPr>
        <w:t xml:space="preserve">[Fecha de recepción: </w:t>
      </w:r>
      <w:r>
        <w:rPr>
          <w:szCs w:val="24"/>
        </w:rPr>
        <w:t>2</w:t>
      </w:r>
      <w:r w:rsidRPr="000314D4">
        <w:rPr>
          <w:szCs w:val="24"/>
        </w:rPr>
        <w:t xml:space="preserve"> de abril de 2015]</w:t>
      </w:r>
    </w:p>
    <w:p w:rsidR="002304AC" w:rsidRPr="000314D4" w:rsidRDefault="002304AC" w:rsidP="002304AC">
      <w:pPr>
        <w:pStyle w:val="SingleTxt"/>
      </w:pPr>
    </w:p>
    <w:p w:rsidR="002304AC" w:rsidRPr="00F524EE" w:rsidRDefault="002304AC" w:rsidP="002304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n-GB"/>
        </w:rPr>
      </w:pPr>
      <w:r w:rsidRPr="000314D4">
        <w:br w:type="page"/>
      </w:r>
      <w:r w:rsidRPr="002304AC">
        <w:rPr>
          <w:rFonts w:eastAsia="Calibri"/>
          <w:lang w:val="es-ES_tradnl"/>
        </w:rPr>
        <w:lastRenderedPageBreak/>
        <w:tab/>
      </w:r>
      <w:r w:rsidRPr="00F524EE">
        <w:rPr>
          <w:rFonts w:eastAsia="Calibri"/>
          <w:lang w:val="en-GB"/>
        </w:rPr>
        <w:t>I.</w:t>
      </w:r>
      <w:r w:rsidRPr="00F524EE">
        <w:rPr>
          <w:rFonts w:eastAsia="Calibri"/>
          <w:lang w:val="en-GB"/>
        </w:rPr>
        <w:tab/>
        <w:t>Introducción</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Canadá tiene el agrado de presentar al Comité para la Eliminación de la Discriminación contra la Mujer sus informes periódicos octavo y noveno combinados relativos a la Convención sobre la Eliminación de Todas las Formas de Discriminación contra la Mujer (en adelante, la “Convención”), ratificada por el Canadá el 10 de diciembre de 1981. </w:t>
      </w:r>
    </w:p>
    <w:p w:rsidR="002304AC" w:rsidRPr="000314D4" w:rsidRDefault="002304AC" w:rsidP="002304AC">
      <w:pPr>
        <w:pStyle w:val="SingleTxt"/>
        <w:numPr>
          <w:ilvl w:val="0"/>
          <w:numId w:val="6"/>
        </w:numPr>
        <w:ind w:left="1267" w:firstLine="0"/>
      </w:pPr>
      <w:r w:rsidRPr="000314D4">
        <w:t xml:space="preserve">Los presentes informes ofrecen información sobre medidas clave adoptadas por el Gobierno federal y los gobiernos provinciales y territoriales para seguir mejorando la aplicación de la Convención desde la presentación del último informe periódico, en respuesta a la mayoría de las observaciones finales del Comité publicadas el 7 de noviembre de 2008, tras el examen de los informes periódicos sexto y séptimo combinados del Canadá el 22 de octubre de 2008. </w:t>
      </w:r>
    </w:p>
    <w:p w:rsidR="002304AC" w:rsidRPr="000314D4" w:rsidRDefault="002304AC" w:rsidP="002304AC">
      <w:pPr>
        <w:pStyle w:val="SingleTxt"/>
        <w:numPr>
          <w:ilvl w:val="0"/>
          <w:numId w:val="6"/>
        </w:numPr>
        <w:ind w:left="1267" w:firstLine="0"/>
      </w:pPr>
      <w:r w:rsidRPr="000314D4">
        <w:t>En general, la información localizable en otros informes presentados por el Canadá no se repite en este documento, pero se añaden las referencias convenientes. Entre estas se incluyen el documento básico común del Canadá; los informes provisionales presentados a petición del Comité con relación a los párrafos 14 y 32 de las observaciones finales; y la respuesta de enero de 2014 a las preguntas complementarias del Comité que figuran en el anexo 1A de las observaciones del Gobierno canadiense sobre el informe de la investigación relativa al Canadá (la respuesta de enero de 2014).</w:t>
      </w:r>
    </w:p>
    <w:p w:rsidR="002304AC" w:rsidRPr="000314D4" w:rsidRDefault="002304AC" w:rsidP="002304AC">
      <w:pPr>
        <w:pStyle w:val="SingleTxt"/>
        <w:numPr>
          <w:ilvl w:val="0"/>
          <w:numId w:val="6"/>
        </w:numPr>
        <w:ind w:left="1267" w:firstLine="0"/>
      </w:pPr>
      <w:r w:rsidRPr="000314D4">
        <w:t>En 2013, 17,7 millones de mujeres representaban el 50,4% de la población del Canadá, manteniendo una ajustada mayoría femenina que ha perdurado más de 3</w:t>
      </w:r>
      <w:r w:rsidR="002C7C35">
        <w:t xml:space="preserve"> </w:t>
      </w:r>
      <w:r w:rsidRPr="000314D4">
        <w:t>decenios</w:t>
      </w:r>
      <w:r w:rsidRPr="000314D4">
        <w:rPr>
          <w:color w:val="FF0000"/>
          <w:vertAlign w:val="superscript"/>
        </w:rPr>
        <w:footnoteReference w:id="1"/>
      </w:r>
      <w:r w:rsidRPr="000314D4">
        <w:t xml:space="preserve">. Se pueden consultar información y datos relacionados con cuestiones como la situación familiar de la mujer, su educación, su empleo, su bienestar económico, su trabajo no remunerado y su salud en la sexta edición de </w:t>
      </w:r>
      <w:r w:rsidRPr="000314D4">
        <w:rPr>
          <w:i/>
          <w:iCs/>
        </w:rPr>
        <w:t>Women in Canada: A gender-based statistical report</w:t>
      </w:r>
      <w:r w:rsidRPr="000314D4">
        <w:t xml:space="preserve"> (Las mujeres en el Canadá: informe estadístico basado en el género)</w:t>
      </w:r>
      <w:r w:rsidRPr="000314D4">
        <w:rPr>
          <w:color w:val="FF0000"/>
          <w:vertAlign w:val="superscript"/>
        </w:rPr>
        <w:footnoteReference w:id="2"/>
      </w:r>
      <w:r w:rsidRPr="000314D4">
        <w:t xml:space="preserve">.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2304AC" w:rsidRDefault="002304AC" w:rsidP="002304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s-ES_tradnl"/>
        </w:rPr>
      </w:pPr>
      <w:r w:rsidRPr="002304AC">
        <w:rPr>
          <w:rFonts w:eastAsia="Calibri"/>
          <w:lang w:val="es-ES_tradnl"/>
        </w:rPr>
        <w:tab/>
        <w:t>II.</w:t>
      </w:r>
      <w:r w:rsidRPr="002304AC">
        <w:rPr>
          <w:rFonts w:eastAsia="Calibri"/>
          <w:lang w:val="es-ES_tradnl"/>
        </w:rPr>
        <w:tab/>
        <w:t>Consideraciones generales relativas a la aplicación</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Esta sección del informe contiene información relacionada con los artículos 1, 2 y 3 de la Convención, y aborda el marco jurídico para la protección de los derechos de las mujeres y el mecanismo de gobernanza relativo al adelanto de la mujer. Se centra en las observaciones 9 a 12, 17 a 18, 25 a 28 y 49 a 52 del Comité.</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Federalismo canadiense y marco jurídico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federalismo canadiense está basado en leyes, políticas y programas de índole colaborativa y complementaria de los gobiernos de ámbito federal, provincial y territorial que protegen los derechos y las libertades del pueblo del Canadá. Al tiempo que procuran encontrar soluciones innovadoras y prácticas a los problemas y adoptar políticas y programas adaptados a las necesidades y circunstancias locales, los gobiernos también comparten objetivos comunes y un sólido compromiso respecto de la consolidación de nuestra sociedad. Puede haber diferencias en las </w:t>
      </w:r>
      <w:r w:rsidRPr="000314D4">
        <w:lastRenderedPageBreak/>
        <w:t xml:space="preserve">medidas adoptadas por los gobiernos de ámbito federal, provincial y territorial, pero el federalismo canadiense fomenta el enfoque conjunto de distintos asociados para hacer efectivos los derechos, lo que pone de manifiesto la diversidad y los valores del Canadá. </w:t>
      </w:r>
    </w:p>
    <w:p w:rsidR="002304AC" w:rsidRPr="000314D4" w:rsidRDefault="002304AC" w:rsidP="002304AC">
      <w:pPr>
        <w:pStyle w:val="SingleTxt"/>
        <w:numPr>
          <w:ilvl w:val="0"/>
          <w:numId w:val="6"/>
        </w:numPr>
        <w:ind w:left="1267" w:firstLine="0"/>
      </w:pPr>
      <w:r w:rsidRPr="000314D4">
        <w:t>La Convención se aplica mediante garantías constitucionales y estatutarias y medidas legislativas, administrativas y de otro tipo como las siguientes: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Anexo B de la Ley del Canadá de 1982 (la “Carta de Derechos y Libertades del Canadá”), que se aplica a todas las actividades del Gobierno y garantiza a todas las personas los derechos y libertades fundamentales, incluida una garantía explícita de la igualdad de derechos para las mujeres;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Declaración de Derechos del Canadá, que se aplica a las leyes federales y protege las libertades fundamentales, los derechos jurídicos y la igualdad ante la ley;</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Legislación sobre derechos humanos del Gobierno federal y los gobiernos provinciales y territoriales, que es de aplicación en los sectores público y privado y prohíbe la discriminación por motivos como el sexo, con respecto al empleo, al suministro de bienes, servicios e instalaciones que normalmente se ponen a disposición de la población, y al alojamiento;</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Leyes, políticas y programas específicos del Gobierno federal y los gobiernos provinciales y territoriales que regulen esferas que afecten a las mujeres. </w:t>
      </w:r>
    </w:p>
    <w:p w:rsidR="002304AC" w:rsidRPr="000314D4" w:rsidRDefault="002304AC" w:rsidP="002304AC">
      <w:pPr>
        <w:pStyle w:val="SingleTxt"/>
        <w:numPr>
          <w:ilvl w:val="0"/>
          <w:numId w:val="6"/>
        </w:numPr>
        <w:ind w:left="1267" w:firstLine="0"/>
      </w:pPr>
      <w:r w:rsidRPr="000314D4">
        <w:t xml:space="preserve">Se puede consultar información sobre el sistema jurídico canadiense en los párrafos 120 a 130 del documento básico común del Canadá.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Mecanismos encargados del adelanto de la mujer</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los párrafos 25 y 26 de sus observaciones finales, el Comité expresó su preocupación por los cambios introducidos en la Comisión del Canadá sobre la Condición de la Mujer. Esta sigue siendo una organización del Gobierno federal encargada de promover la igualdad de la mujer y su participación plena en la vida económica, social y democrática del país. </w:t>
      </w:r>
    </w:p>
    <w:p w:rsidR="002304AC" w:rsidRPr="000314D4" w:rsidRDefault="002304AC" w:rsidP="002304AC">
      <w:pPr>
        <w:pStyle w:val="SingleTxt"/>
        <w:numPr>
          <w:ilvl w:val="0"/>
          <w:numId w:val="6"/>
        </w:numPr>
        <w:ind w:left="1267" w:firstLine="0"/>
      </w:pPr>
      <w:r w:rsidRPr="000314D4">
        <w:t xml:space="preserve">La ejecución del Programa de la Mujer de la Comisión del Canadá sobre la Condición de la Mujer continúa mejorando por medio de iniciativas como procesos de solicitud racionalizados, convocatorias innovadoras de propuestas y diversas estrategias para fomentar la eficiencia. El apoyo a proyectos comunitarios a través del Programa casi se ha duplicado (de 10,8 millones de dólares a casi 19 millones de dólares) desde el período de 2006 a 2007. Se proporciona financiación a organizaciones para respaldar proyectos de ámbito local, regional y nacional que abordan las tres esferas prioritarias del organismo: la eliminación de la violencia contra las mujeres y las niñas; la mejora de la seguridad económica y la prosperidad de las mujeres y las niñas; y los estímulos para que las mujeres y las niñas desempeñen funciones de liderazgo y de adopción de decisiones. </w:t>
      </w:r>
    </w:p>
    <w:p w:rsidR="002304AC" w:rsidRPr="000314D4" w:rsidRDefault="002304AC" w:rsidP="002304AC">
      <w:pPr>
        <w:pStyle w:val="SingleTxt"/>
        <w:numPr>
          <w:ilvl w:val="0"/>
          <w:numId w:val="6"/>
        </w:numPr>
        <w:ind w:left="1267" w:firstLine="0"/>
      </w:pPr>
      <w:r w:rsidRPr="000314D4">
        <w:t xml:space="preserve">Los gobiernos provinciales y territoriales también cuentan con organizaciones dedicadas a cuestiones de la mujer que ofrecen financiación a organizaciones no gubernamentales (ONG) y organizaciones aborígenes, también para fines relacionados con la investigación, el cabildeo y la promoción de intereses. </w:t>
      </w:r>
    </w:p>
    <w:p w:rsidR="002304AC" w:rsidRPr="000314D4" w:rsidRDefault="002304AC" w:rsidP="002304AC">
      <w:pPr>
        <w:pStyle w:val="SingleTxt"/>
        <w:spacing w:after="0" w:line="120" w:lineRule="exact"/>
        <w:rPr>
          <w:sz w:val="10"/>
          <w:szCs w:val="24"/>
        </w:rPr>
      </w:pPr>
    </w:p>
    <w:p w:rsidR="002304AC" w:rsidRDefault="002304AC">
      <w:pPr>
        <w:suppressAutoHyphens w:val="0"/>
        <w:spacing w:line="240" w:lineRule="auto"/>
        <w:rPr>
          <w:b/>
          <w:spacing w:val="2"/>
          <w:kern w:val="14"/>
        </w:rPr>
      </w:pPr>
      <w:r>
        <w:br w:type="page"/>
      </w: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Observaciones finales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Las observaciones finales del Comité se distribuyeron entre el Gobierno federal y los gobiernos provinciales y territoriales, y se designó a ministros y comités de ámbito federal, provincial y territorial para que, según conviniera, desarrollaran nuevas iniciativas de promoción de los derechos humanos de la mujer. Por ejemplo, el Foro de ministros encargados de la condición de la mujer a nivel federal, provincial y territorial armonizó su labor con las cuestiones planteadas en las observaciones finales y, en 2013, apoyó el trabajo relacionado con el informe </w:t>
      </w:r>
      <w:r w:rsidRPr="000314D4">
        <w:rPr>
          <w:i/>
          <w:iCs/>
        </w:rPr>
        <w:t>Measuring violence against women: Statistical Trends</w:t>
      </w:r>
      <w:r w:rsidRPr="000314D4">
        <w:t xml:space="preserve"> (Tendencias estadísticas de la medición de la violencia contra la mujer) y colaboró con la Conference Board of Canada para elaborar </w:t>
      </w:r>
      <w:r w:rsidRPr="000314D4">
        <w:rPr>
          <w:i/>
          <w:iCs/>
        </w:rPr>
        <w:t>The Business Case for Women on Boards</w:t>
      </w:r>
      <w:r w:rsidRPr="000314D4">
        <w:t xml:space="preserve"> (un estudio de viabilidad sobre el acceso de las mujeres a los consejos). El Gobierno del Canadá también ha hecho suyo el objetivo nacional de alcanzar un 30% de representación femenina en los consejos de aquí a 2019. </w:t>
      </w:r>
    </w:p>
    <w:p w:rsidR="002304AC" w:rsidRPr="000314D4" w:rsidRDefault="002304AC" w:rsidP="002304AC">
      <w:pPr>
        <w:pStyle w:val="SingleTxt"/>
        <w:numPr>
          <w:ilvl w:val="0"/>
          <w:numId w:val="6"/>
        </w:numPr>
        <w:ind w:left="1267" w:firstLine="0"/>
      </w:pPr>
      <w:r w:rsidRPr="000314D4">
        <w:t>El comité parlamentario permanente federal sobre la condición de la mujer también examinó las observaciones finales para su estudio del período de 2010 a 2011 sobre la violencia contra las mujeres aborígenes</w:t>
      </w:r>
      <w:r w:rsidRPr="000314D4">
        <w:rPr>
          <w:color w:val="FF0000"/>
          <w:vertAlign w:val="superscript"/>
        </w:rPr>
        <w:footnoteReference w:id="3"/>
      </w:r>
      <w:r w:rsidRPr="000314D4">
        <w:t xml:space="preserve">. </w:t>
      </w:r>
    </w:p>
    <w:p w:rsidR="002304AC" w:rsidRPr="000314D4" w:rsidRDefault="002304AC" w:rsidP="002304AC">
      <w:pPr>
        <w:pStyle w:val="SingleTxt"/>
        <w:numPr>
          <w:ilvl w:val="0"/>
          <w:numId w:val="6"/>
        </w:numPr>
        <w:ind w:left="1267" w:firstLine="0"/>
      </w:pPr>
      <w:r w:rsidRPr="000314D4">
        <w:t>Las observaciones finales también se pusieron a disposición del público, incluida la sociedad civil, a través del sitio web del Gobierno del Canadá</w:t>
      </w:r>
      <w:r w:rsidRPr="000314D4">
        <w:rPr>
          <w:color w:val="FF0000"/>
          <w:vertAlign w:val="superscript"/>
        </w:rPr>
        <w:footnoteReference w:id="4"/>
      </w:r>
      <w:r w:rsidRPr="000314D4">
        <w:t xml:space="preserve">.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Consultas con ONG y organizaciones aborígenes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Para determinar las cuestiones que se abarcarían en estos informes se solicitaron las opiniones de más de 350 ONG y organizaciones aborígenes, y respondieron a esa solicitud 14 organizaciones. </w:t>
      </w:r>
    </w:p>
    <w:p w:rsidR="002304AC" w:rsidRPr="000314D4" w:rsidRDefault="002304AC" w:rsidP="002304AC">
      <w:pPr>
        <w:pStyle w:val="SingleTxt"/>
        <w:numPr>
          <w:ilvl w:val="0"/>
          <w:numId w:val="6"/>
        </w:numPr>
        <w:ind w:left="1267" w:firstLine="0"/>
      </w:pPr>
      <w:r w:rsidRPr="000314D4">
        <w:t xml:space="preserve">Todos los gobiernos consultan a las ONG y organizaciones aborígenes sobre sus políticas, planes y servicios destinados a las mujeres por medio de reuniones, foros, comisiones parlamentarias y consultas en línea. Aunque estas deliberaciones no se centran específicamente en la Convención, se han planteado cuestiones relacionadas con materias que esta aborda. </w:t>
      </w:r>
    </w:p>
    <w:p w:rsidR="002304AC" w:rsidRPr="000314D4" w:rsidRDefault="002304AC" w:rsidP="002304AC">
      <w:pPr>
        <w:pStyle w:val="SingleTxt"/>
        <w:numPr>
          <w:ilvl w:val="0"/>
          <w:numId w:val="6"/>
        </w:numPr>
        <w:ind w:left="1267" w:firstLine="0"/>
      </w:pPr>
      <w:r w:rsidRPr="000314D4">
        <w:t>De 2010 a 2014, el gobierno de Quebec consultó a más de 500 organismos y personas con respecto al desarrollo de 3 planes de acción y 1 estrategia provincial y servicios educativos y de guardería para las comunidades aborígenes. Como parte del segundo plan de acción del Gobierno para la igualdad entre los géneros (2011 a 2015), el Gobierno celebró consultas especiales y audiencias públicas por medio de una comisión parlamentaria, así como una consulta en línea.</w:t>
      </w:r>
    </w:p>
    <w:p w:rsidR="002304AC" w:rsidRPr="000314D4" w:rsidRDefault="002304AC" w:rsidP="002304AC">
      <w:pPr>
        <w:pStyle w:val="SingleTxt"/>
        <w:numPr>
          <w:ilvl w:val="0"/>
          <w:numId w:val="6"/>
        </w:numPr>
        <w:ind w:left="1267" w:firstLine="0"/>
      </w:pPr>
      <w:r w:rsidRPr="000314D4">
        <w:t xml:space="preserve">El Gobierno del Canadá también siguió colaborando estrechamente con la sociedad civil para promover la igualdad entre los géneros, incluso apoyando proyectos por medio del Programa de la Mujer de la Comisión del Canadá sobre la Condición de la Mujer, cooperando en talleres y actos sobre políticas de actualidad, y mediante la participación anual de ONG canadienses en la Comisión de la Condición Jurídica y Social de la Mujer de las Naciones Unidas. </w:t>
      </w:r>
    </w:p>
    <w:p w:rsidR="002304AC" w:rsidRPr="000314D4" w:rsidRDefault="002304AC" w:rsidP="002304AC">
      <w:pPr>
        <w:pStyle w:val="SingleTxt"/>
        <w:numPr>
          <w:ilvl w:val="0"/>
          <w:numId w:val="6"/>
        </w:numPr>
        <w:ind w:left="1267" w:firstLine="0"/>
      </w:pPr>
      <w:r w:rsidRPr="000314D4">
        <w:t xml:space="preserve">Asimismo, se han creado órganos colaborativos, compuestos por funcionarios públicos y representantes comunitarios, que orientan las respuestas gubernamentales y la prestación de servicios, como los siguientes: el Comité Nacional de Servicios para las Mujeres Aborígenes del Gobierno del Canadá, que se ocupa de cuestiones relacionadas con las mujeres aborígenes delincuentes; el Comité de Cooperación Provincial sobre las Personas Desaparecidas de Saskatchewan, que trabaja en dar respuestas a los casos de personas desaparecidas; y el Grupo de Trabajo Conjunto de Ontario, que desarrolla planteamientos eficaces de la eliminación de la violencia contra las mujeres aborígenes y sus familias. </w:t>
      </w:r>
    </w:p>
    <w:p w:rsidR="002304AC" w:rsidRPr="000314D4" w:rsidRDefault="002304AC" w:rsidP="002304AC">
      <w:pPr>
        <w:pStyle w:val="SingleTxt"/>
        <w:numPr>
          <w:ilvl w:val="0"/>
          <w:numId w:val="6"/>
        </w:numPr>
        <w:ind w:left="1267" w:firstLine="0"/>
      </w:pPr>
      <w:r w:rsidRPr="000314D4">
        <w:t xml:space="preserve">Se puede encontrar más información sobre iniciativas de consulta a lo largo de los presentes informes y en los párrafos 35 a 53 de la respuesta de enero de 2014.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Esfuerzos internacionales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En 2014, el Canadá concluyó un examen nacional de la aplicación de la Declaración y la Plataforma de Acción de Beijing y participó en el examen regional de la Comisión Económica de las Naciones Unidas para Europa. El Canadá tiene previsto participar en el examen internacional al cabo de 20 años de la aplicación de la Declaración y la Plataforma de Acción de Beijing (Beijing+20), que tendrá lugar en el 59º período de sesiones de la Comisión de la Condición Jurídica y Social de la Mujer en marzo de 2015</w:t>
      </w:r>
      <w:r w:rsidRPr="000314D4">
        <w:rPr>
          <w:color w:val="FF0000"/>
          <w:szCs w:val="24"/>
          <w:vertAlign w:val="superscript"/>
        </w:rPr>
        <w:footnoteReference w:id="5"/>
      </w:r>
      <w:r w:rsidRPr="000314D4">
        <w:t xml:space="preserve">. </w:t>
      </w:r>
    </w:p>
    <w:p w:rsidR="002304AC" w:rsidRPr="000314D4" w:rsidRDefault="002304AC" w:rsidP="002304AC">
      <w:pPr>
        <w:pStyle w:val="SingleTxt"/>
        <w:numPr>
          <w:ilvl w:val="0"/>
          <w:numId w:val="6"/>
        </w:numPr>
        <w:ind w:left="1267" w:firstLine="0"/>
      </w:pPr>
      <w:r w:rsidRPr="000314D4">
        <w:t xml:space="preserve">El Canadá ha contribuido de manera visible y duradera al logro de las metas fijadas en los Objetivos de Desarrollo del Milenio, sobre todo en la esfera de la salud materna, neonatal e infantil. Por ejemplo, en mayo de 2014, el Gobierno del Canadá anunció que aportaría 3.500 millones de dólares adicionales entre 2015 y 2020 para la salud materna, neonatal e infantil con el fin de mejorar la vida de las mujeres y sus hijos. El Canadá también desempeñó una función de liderazgo en la creación de ONU-Mujeres y sigue participando activamente en todo el sistema de las Naciones Unidas en cuestiones relacionadas con la igualdad entre los géneros y el empoderamiento de las mujeres y las niñas. </w:t>
      </w:r>
    </w:p>
    <w:p w:rsidR="002304AC" w:rsidRPr="002304AC" w:rsidRDefault="002304AC" w:rsidP="002304AC">
      <w:pPr>
        <w:pStyle w:val="SingleTxt"/>
        <w:numPr>
          <w:ilvl w:val="0"/>
          <w:numId w:val="6"/>
        </w:numPr>
        <w:ind w:left="1267" w:firstLine="0"/>
        <w:rPr>
          <w:spacing w:val="2"/>
        </w:rPr>
      </w:pPr>
      <w:r w:rsidRPr="002304AC">
        <w:rPr>
          <w:spacing w:val="2"/>
        </w:rPr>
        <w:t xml:space="preserve">Aguardando con interés la agenda para el desarrollo después de 2015, el Canadá defiende la inclusión de un objetivo específico sobre la igualdad entre los géneros y el empoderamiento de las mujeres y las niñas, así como la integración de metas e indicadores de igualdad entre los géneros en todos los demás objetivos del marco. </w:t>
      </w:r>
    </w:p>
    <w:p w:rsidR="002304AC" w:rsidRPr="000314D4" w:rsidRDefault="002304AC" w:rsidP="002304AC">
      <w:pPr>
        <w:pStyle w:val="SingleTxt"/>
        <w:numPr>
          <w:ilvl w:val="0"/>
          <w:numId w:val="6"/>
        </w:numPr>
        <w:ind w:left="1267" w:firstLine="0"/>
      </w:pPr>
      <w:r w:rsidRPr="000314D4">
        <w:t xml:space="preserve">El Canadá ratificó la Convención sobre los Derechos de las Personas con Discapacidad en marzo de 2010 y presentó su informe inicial en febrero de 2014. </w:t>
      </w:r>
    </w:p>
    <w:p w:rsidR="002304AC" w:rsidRPr="000314D4" w:rsidRDefault="002304AC" w:rsidP="002304AC">
      <w:pPr>
        <w:pStyle w:val="SingleTxt"/>
        <w:numPr>
          <w:ilvl w:val="0"/>
          <w:numId w:val="6"/>
        </w:numPr>
        <w:ind w:left="1267" w:firstLine="0"/>
      </w:pPr>
      <w:r w:rsidRPr="000314D4">
        <w:t>El Canadá, con el apoyo del Perú y Turquía, lideró una resolución para establecer el Día Internacional de la Niña en las Naciones Unidas a fin de crear conciencia sobre los retos particulares a los que se enfrentan las niñas. El primer Día Internacional de la Niña se celebró el 11 de octubre de 2012, y el Canadá sigue conmemorando activamente este día en el plano nacional e internacional.</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2304AC" w:rsidRDefault="002304AC" w:rsidP="002304AC">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s-ES_tradnl"/>
        </w:rPr>
      </w:pPr>
      <w:r w:rsidRPr="002304AC">
        <w:rPr>
          <w:rFonts w:eastAsia="Calibri"/>
          <w:lang w:val="es-ES_tradnl"/>
        </w:rPr>
        <w:tab/>
        <w:t>III.</w:t>
      </w:r>
      <w:r w:rsidRPr="002304AC">
        <w:rPr>
          <w:rFonts w:eastAsia="Calibri"/>
          <w:lang w:val="es-ES_tradnl"/>
        </w:rPr>
        <w:tab/>
        <w:t>Mujeres aborígenes y pertenecientes a grupos minoritarios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Esta sección se centra en los párrafos 17 a 20 y 43 a 46 de las observaciones finales del Comité referentes a las mujeres aborígenes y las mujeres pertenecientes a grupos étnicos y minoritarios. La sección presenta algunas de las iniciativas emprendidas para mejorar las condiciones socioeconómicas de estas mujeres. </w:t>
      </w:r>
    </w:p>
    <w:p w:rsidR="002304AC" w:rsidRPr="000314D4" w:rsidRDefault="002304AC" w:rsidP="002304AC">
      <w:pPr>
        <w:pStyle w:val="SingleTxt"/>
        <w:numPr>
          <w:ilvl w:val="0"/>
          <w:numId w:val="6"/>
        </w:numPr>
        <w:ind w:left="1267" w:firstLine="0"/>
      </w:pPr>
      <w:r w:rsidRPr="000314D4">
        <w:t>En 2011, había 718.500 mujeres aborígenes en el Canadá. Ese año, las mujeres y niñas aborígenes representaban el 4% de la población femenina canadiense total: el 61% de la población femenina aborigen declaró pertenecer a las Primeras Naciones (se incluyen tanto indígenas de estatuto legal como indígenas sin estatuto legal), mientras que el 32% eran mestizas y el 4% eran inuits</w:t>
      </w:r>
      <w:r w:rsidRPr="000314D4">
        <w:rPr>
          <w:color w:val="FF0000"/>
          <w:vertAlign w:val="superscript"/>
        </w:rPr>
        <w:footnoteReference w:id="6"/>
      </w:r>
      <w:r w:rsidRPr="000314D4">
        <w:t xml:space="preserve">. </w:t>
      </w:r>
    </w:p>
    <w:p w:rsidR="002304AC" w:rsidRPr="000314D4" w:rsidRDefault="002304AC" w:rsidP="002304AC">
      <w:pPr>
        <w:pStyle w:val="SingleTxt"/>
        <w:numPr>
          <w:ilvl w:val="0"/>
          <w:numId w:val="6"/>
        </w:numPr>
        <w:ind w:left="1267" w:firstLine="0"/>
      </w:pPr>
      <w:r w:rsidRPr="000314D4">
        <w:t>La Encuesta Nacional de Hogares de 2011 contabilizó a 3,2 millones de mujeres residentes en el Canadá que pertenecían a un grupo minoritario visible</w:t>
      </w:r>
      <w:r w:rsidRPr="000314D4">
        <w:rPr>
          <w:color w:val="FF0000"/>
          <w:vertAlign w:val="superscript"/>
        </w:rPr>
        <w:footnoteReference w:id="7"/>
      </w:r>
      <w:r w:rsidRPr="000314D4">
        <w:t>. Esta cifra representaba el 19% de todas las mujeres y niñas residentes en el Canadá</w:t>
      </w:r>
      <w:r w:rsidRPr="000314D4">
        <w:rPr>
          <w:color w:val="FF0000"/>
          <w:vertAlign w:val="superscript"/>
        </w:rPr>
        <w:footnoteReference w:id="8"/>
      </w:r>
      <w:r w:rsidRPr="000314D4">
        <w:t>. Además, el 67% de las mujeres pertenecientes a grupos minoritarios visibles del país eran inmigrantes</w:t>
      </w:r>
      <w:r w:rsidRPr="000314D4">
        <w:rPr>
          <w:color w:val="FF0000"/>
          <w:vertAlign w:val="superscript"/>
        </w:rPr>
        <w:footnoteReference w:id="9"/>
      </w:r>
      <w:r w:rsidRPr="000314D4">
        <w:t>.</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Cambios legislativos que afectan a las mujeres aborígenes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31 de enero de 2011 entró en vigor la Ley de Igualdad de Género en el registro indio, por la que, si cumplen determinadas condiciones, los nietos de mujeres que hubieran perdido su condición en virtud de la Ley india por haberse casado con varones sin esa condición pasan a tener derecho a ser inscritos en el registro. Actualmente, las personas recién registradas tienen acceso a los mismos servicios y prestaciones que las otras personas que figuran en el registro indio, incluidas prestaciones de salud para personas no aseguradas, y pueden disfrutar de prestaciones en el ámbito de la enseñanza postsecundaria y desgravaciones fiscales federales y provinciales. </w:t>
      </w:r>
    </w:p>
    <w:p w:rsidR="002304AC" w:rsidRPr="000314D4" w:rsidRDefault="002304AC" w:rsidP="002304AC">
      <w:pPr>
        <w:pStyle w:val="SingleTxt"/>
        <w:numPr>
          <w:ilvl w:val="0"/>
          <w:numId w:val="6"/>
        </w:numPr>
        <w:ind w:left="1267" w:firstLine="0"/>
      </w:pPr>
      <w:r w:rsidRPr="000314D4">
        <w:t xml:space="preserve">La Ley de Viviendas Familiares en las Reservas y de Intereses o Derechos Matrimoniales entró en vigor el 13 de diciembre de 2013 y colmó una laguna legislativa con respecto a la protección y los derechos en materia de bienes matrimoniales en las reservas de las Primeras Naciones. Las personas residentes en las reservas gozan de protección y derechos básicos durante la relación, en el caso de ruptura de la relación o de fallecimiento de un cónyuge o pareja de hecho en cuanto al hogar familiar y otros intereses o derechos conyugales semejantes a los de otros canadienses. La Ley también prevé órdenes de protección de emergencia en situaciones de violencia familiar, incluida la solicitud de un mandamiento judicial que otorgue la ocupación exclusiva del hogar familiar durante un período determinado. </w:t>
      </w:r>
    </w:p>
    <w:p w:rsidR="002304AC" w:rsidRPr="000314D4" w:rsidRDefault="002304AC" w:rsidP="002304AC">
      <w:pPr>
        <w:pStyle w:val="SingleTxt"/>
        <w:numPr>
          <w:ilvl w:val="0"/>
          <w:numId w:val="6"/>
        </w:numPr>
        <w:ind w:left="1267" w:firstLine="0"/>
      </w:pPr>
      <w:r w:rsidRPr="000314D4">
        <w:t xml:space="preserve">En 2008, se anuló el artículo 67 de la Ley de Derechos Humanos del Canadá, que protegía las disposiciones de la Ley sobre la Población India y cualquier decisión o medida adoptada por el Gobierno federal y los consejos de bandas nativas en virtud de la Ley sobre la Población India frente a la aplicación de la Ley de Derechos Humanos del Canadá. La anulación estableció un período de gracia de tres años antes de entrar en vigor para los consejos de bandas el 18 de junio de 2011. Las personas pertenecientes a las Primeras Naciones ahora tienen pleno acceso a la protección de los derechos humanos y pueden presentar denuncias ante la Comisión Canadiense de Derechos Humanos alegando ser víctimas de discriminación por un motivo prohibido derivada de medidas o decisiones adoptadas en virtud de la Ley sobre la Población India. </w:t>
      </w:r>
    </w:p>
    <w:p w:rsidR="002304AC" w:rsidRPr="000314D4" w:rsidRDefault="002304AC" w:rsidP="002304AC">
      <w:pPr>
        <w:pStyle w:val="SingleTxt"/>
        <w:numPr>
          <w:ilvl w:val="0"/>
          <w:numId w:val="6"/>
        </w:numPr>
        <w:ind w:left="1267" w:firstLine="0"/>
      </w:pPr>
      <w:r w:rsidRPr="000314D4">
        <w:t xml:space="preserve">Desde 2008, el Canadá ha firmado o puesto en práctica cinco acuerdos con grupos aborígenes que contienen disposiciones de autonomía. En ellos se recogen principios que las partes aborígenes deben respetar al crear sus constituciones, entre los que se incluyen unos procesos claros y transparentes para la rendición de cuentas de los dirigentes ante sus miembros, el derecho de apelación y el derecho a obtener reparación, y el respeto a la Carta de Derechos y Libertades del Canadá. Estos acuerdos garantizan que las mujeres miembros gocen de los derechos y libertades que les permitan participar en los procesos legislativos y la gobernanza de sus comunidades.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Niños aborígenes y sus familias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los párrafos 231 a 328 de la respuesta de enero de 2014, se puede consultar información sustancial sobre las medidas adoptadas por el Gobierno federal y los gobiernos provinciales y territoriales para responder a las preocupaciones del Comité con respecto al número de niños aborígenes que están bajo la tutela del Estado. A continuación se presenta información adicional sobre las iniciativas gubernamentales emprendidas para apoyar a los niños aborígenes y sus familias. </w:t>
      </w:r>
    </w:p>
    <w:p w:rsidR="002304AC" w:rsidRPr="000314D4" w:rsidRDefault="002304AC" w:rsidP="002304AC">
      <w:pPr>
        <w:pStyle w:val="SingleTxt"/>
        <w:numPr>
          <w:ilvl w:val="0"/>
          <w:numId w:val="6"/>
        </w:numPr>
        <w:ind w:left="1267" w:firstLine="0"/>
      </w:pPr>
      <w:r w:rsidRPr="000314D4">
        <w:t>En 2014, el gobierno de Saskatchewan incrementó la disponibilidad de los apoyos familiares intensivos y los servicios fuera del horario normal para ayudar a las familias a permanecer juntas y evitar que los niños queden bajo la tutela del Estado. La provincia también está ampliando el Programa de Paternidad Positiva para brindar a los padres la oportunidad de desarrollar las aptitudes y la confianza que necesitan para ser mejores padres y abordar problemas sociales, emocionales y conductuales comunes entre los niños y adolescentes.</w:t>
      </w:r>
    </w:p>
    <w:p w:rsidR="002304AC" w:rsidRPr="000314D4" w:rsidRDefault="002304AC" w:rsidP="002304AC">
      <w:pPr>
        <w:pStyle w:val="SingleTxt"/>
        <w:numPr>
          <w:ilvl w:val="0"/>
          <w:numId w:val="6"/>
        </w:numPr>
        <w:ind w:left="1267" w:firstLine="0"/>
      </w:pPr>
      <w:r w:rsidRPr="000314D4">
        <w:t>En diciembre de 2013, el gobierno de la Isla del Príncipe Eduardo y los Servicios para la Familia y el Niño de la Confederación de los Mi’kmaq de la Isla del Príncipe Eduardo firmaron un protocolo que establece un enfoque de colaboración en los servicios de protección de la infancia para los niños de las Primeras Naciones y sus familias. El protocolo se concibió para garantizar que los servicios se presten de una manera que preserve y promueva la identidad cultural aborigen de los niños y sus familias. También reconoce que se debe consultar a las Primeras Naciones sobre las decisiones que afecten a sus niños beneficiarios de servicios de protección de la infancia.</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14D4">
        <w:tab/>
      </w:r>
      <w:r w:rsidRPr="000314D4">
        <w:tab/>
        <w:t>Condiciones socioeconómicas de las mujeres aborígenes y las mujeres pertenecientes a grupos minoritarios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Gobierno federal y los gobiernos provinciales y territoriales emprenden numerosas iniciativas para mejorar las condiciones socioeconómicas de las mujeres aborígenes y pertenecientes a grupos minoritarios. A continuación se exponen algunos ejemplos de iniciativas recientes.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rsidRPr="000314D4">
        <w:tab/>
      </w:r>
      <w:r w:rsidRPr="000314D4">
        <w:tab/>
        <w:t>Salud</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2010, el Gobierno del Canadá renovó la financiación para cinco años destinada a una serie de programas de promoción de la salud y prevención de enfermedades para las Primeras Naciones y los inuits, incluido el programa de salud maternoinfantil. El programa apoya visitas a domicilio por parte de enfermeros y visitantes de familias para aquellas mujeres y familias que tienen niños pequeños en unas 185 comunidades de las Primeras Naciones en el Canadá. Se ha elaborado una programación en materia de salud maternoinfantil dirigida a abordar las brechas existentes en la situación general de la salud de las Primeras Naciones y los inuits en comparación con otros canadienses mejorando el acceso a los servicios para las mujeres inuits y de las Primeras Naciones. El diseño de programas para las mujeres y niños inuits y de las Primeras Naciones incorpora enfoques holísticos que involucran a toda la familia, reconociendo las funciones y necesidades importantes de las mujeres, los hombres, los niños y las niñas. En una evaluación reciente, el 90% de los participantes afirmaron que la programación satisfacía sus necesidades, proporcionaba servicios culturalmente adecuados y fortalecía los vínculos comunitarios para garantizar el acceso a los servicios. </w:t>
      </w:r>
    </w:p>
    <w:p w:rsidR="002304AC" w:rsidRPr="000314D4" w:rsidRDefault="002304AC" w:rsidP="002304AC">
      <w:pPr>
        <w:pStyle w:val="SingleTxt"/>
        <w:numPr>
          <w:ilvl w:val="0"/>
          <w:numId w:val="6"/>
        </w:numPr>
        <w:ind w:left="1267" w:firstLine="0"/>
      </w:pPr>
      <w:r w:rsidRPr="000314D4">
        <w:t>En la Columbia Británica, la Junta de Salud de las Primeras Naciones colabora con el Gobierno federal para velar por que los pueblos aborígenes que viven en las reservas dispongan de la atención y los servicios que precisen. El Acuerdo de Cambio Transformador de las Primeras Naciones presentó medidas concretas relacionadas con la salud materna y, como resultado, se ejecutará un proyecto para mejorar los servicios de salud materna para las mujeres aborígenes y acercar el parto a los hogares y volverlo a poner en manos de las mujeres.</w:t>
      </w:r>
    </w:p>
    <w:p w:rsidR="002304AC" w:rsidRPr="000314D4" w:rsidRDefault="002304AC" w:rsidP="002304AC">
      <w:pPr>
        <w:pStyle w:val="SingleTxt"/>
        <w:numPr>
          <w:ilvl w:val="0"/>
          <w:numId w:val="6"/>
        </w:numPr>
        <w:ind w:left="1267" w:firstLine="0"/>
      </w:pPr>
      <w:r w:rsidRPr="000314D4">
        <w:t xml:space="preserve">La Columbia Británica ha establecido una Vía de Atención Médica Pública Prenatal Provincial para ayudar a mejorar la atención continua dispensada a las madres y familias aborígenes y de las Primeras Naciones. Con esta iniciativa se pretende desarrollar una atención continua sistemática con fundamento empírico en colaboración con las autoridades sanitarias que ayude a los enfermeros de la salud pública a proporcionar evaluaciones prenatales sistemáticas y de calidad, educación y seguimiento a las embarazadas y sus familias. </w:t>
      </w:r>
    </w:p>
    <w:p w:rsidR="002304AC" w:rsidRPr="000314D4" w:rsidRDefault="002304AC" w:rsidP="002304AC">
      <w:pPr>
        <w:pStyle w:val="SingleTxt"/>
        <w:numPr>
          <w:ilvl w:val="0"/>
          <w:numId w:val="6"/>
        </w:numPr>
        <w:ind w:left="1267" w:firstLine="0"/>
      </w:pPr>
      <w:r w:rsidRPr="000314D4">
        <w:t>La provincia también se ha asociado con el Centro de Salud del Hospital de Mujeres de la Columbia Británica y el Centro de Excelencia de la Columbia Británica para la salud de la mujer con el fin de dirigir el Proyecto de Salud de la Mujer Inmigrante Recién Llegada. Este se centra en comprender las necesidades sanitarias de las inmigrantes recién llegadas y sus experiencias con el sistema sanitario, en el contexto del asentamiento. El propósito es determinar oportunidades y mecanismos para promover la salud y fortalecer la respuesta dada por el sistema sanitario. Se elaboró una serie de vídeos informativos para los inmigrantes que llegan a la Columbia Británica, que ofrecen a estos un panorama general de los servicios de salud disponibles en la provincia e incluyen información sobre cómo solicitar el seguro médico y acceder a los servicios médicos.</w:t>
      </w:r>
    </w:p>
    <w:p w:rsidR="002304AC" w:rsidRPr="000314D4" w:rsidRDefault="002304AC" w:rsidP="002304AC">
      <w:pPr>
        <w:pStyle w:val="SingleTxt"/>
        <w:spacing w:after="0" w:line="120" w:lineRule="exact"/>
        <w:rPr>
          <w:sz w:val="10"/>
          <w:szCs w:val="24"/>
        </w:rPr>
      </w:pPr>
    </w:p>
    <w:p w:rsidR="002304AC" w:rsidRDefault="002304AC">
      <w:pPr>
        <w:suppressAutoHyphens w:val="0"/>
        <w:spacing w:line="240" w:lineRule="auto"/>
        <w:rPr>
          <w:i/>
          <w:spacing w:val="3"/>
          <w:kern w:val="14"/>
        </w:rPr>
      </w:pPr>
      <w:r>
        <w:br w:type="page"/>
      </w:r>
    </w:p>
    <w:p w:rsidR="002304AC" w:rsidRPr="000314D4" w:rsidRDefault="002304AC" w:rsidP="002304AC">
      <w:pPr>
        <w:pStyle w:val="H4"/>
        <w:keepNext w:val="0"/>
        <w:keepLines w:val="0"/>
        <w:tabs>
          <w:tab w:val="clear" w:pos="360"/>
          <w:tab w:val="right" w:pos="990"/>
          <w:tab w:val="left" w:pos="1260"/>
        </w:tabs>
        <w:ind w:left="1260" w:hanging="1260"/>
      </w:pPr>
      <w:r w:rsidRPr="000314D4">
        <w:tab/>
      </w:r>
      <w:r w:rsidRPr="000314D4">
        <w:tab/>
        <w:t xml:space="preserve">Vivienda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Cada año, el Gobierno del Canadá presta apoyo a cerca de 600.000 hogares de bajos ingresos que residen en las viviendas sociales existentes, tanto en las reservas como fuera de ellas. </w:t>
      </w:r>
    </w:p>
    <w:p w:rsidR="002304AC" w:rsidRPr="000314D4" w:rsidRDefault="002304AC" w:rsidP="002304AC">
      <w:pPr>
        <w:pStyle w:val="SingleTxt"/>
        <w:numPr>
          <w:ilvl w:val="0"/>
          <w:numId w:val="6"/>
        </w:numPr>
        <w:ind w:left="1267" w:firstLine="0"/>
      </w:pPr>
      <w:r w:rsidRPr="000314D4">
        <w:t>El Gobierno federal, a través de la Canada Mortgage and Housing Corporation y el Ministerio de Asuntos Aborígenes y de Desarrollo del Norte del Canadá, invierte, según se estima, 298 millones de dólares al año para responder a las necesidades de vivienda en las reservas. Una parte de los fondos se destina a la construcción de un total estimado de 400 viviendas nuevas, la renovación de unas 1.000 viviendas existentes y subvenciones en curso para un total estimado de 28.800</w:t>
      </w:r>
      <w:r w:rsidR="002C7C35">
        <w:t xml:space="preserve"> </w:t>
      </w:r>
      <w:r w:rsidRPr="000314D4">
        <w:t>hogares. Desde abril de 2008 hasta marzo de 2014, se gastaron más de 1.000</w:t>
      </w:r>
      <w:r w:rsidR="002C7C35">
        <w:t xml:space="preserve"> </w:t>
      </w:r>
      <w:r w:rsidRPr="000314D4">
        <w:t>millones de dólares a través de la Canada Mortgage and Housing Corporation en vivienda en las reservas</w:t>
      </w:r>
      <w:r w:rsidRPr="000314D4">
        <w:rPr>
          <w:color w:val="FF0000"/>
          <w:vertAlign w:val="superscript"/>
        </w:rPr>
        <w:footnoteReference w:id="10"/>
      </w:r>
      <w:r w:rsidRPr="000314D4">
        <w:t>.</w:t>
      </w:r>
    </w:p>
    <w:p w:rsidR="002304AC" w:rsidRPr="000314D4" w:rsidRDefault="002304AC" w:rsidP="002304AC">
      <w:pPr>
        <w:pStyle w:val="SingleTxt"/>
        <w:numPr>
          <w:ilvl w:val="0"/>
          <w:numId w:val="6"/>
        </w:numPr>
        <w:ind w:left="1267" w:firstLine="0"/>
      </w:pPr>
      <w:r w:rsidRPr="000314D4">
        <w:t xml:space="preserve">En su presupuesto de 2009, el Gobierno del Canadá previó una inversión federal única de más de 2.000 millones de dólares para la creación de nuevas viviendas asequibles y la renovación y modernización de las viviendas sociales existentes, lo que tuvo por resultado más de 16.500 viviendas sociales y proyectos de vivienda para las Primeras Naciones en todo el Canadá. </w:t>
      </w:r>
    </w:p>
    <w:p w:rsidR="002304AC" w:rsidRPr="000314D4" w:rsidRDefault="002304AC" w:rsidP="002304AC">
      <w:pPr>
        <w:pStyle w:val="SingleTxt"/>
        <w:numPr>
          <w:ilvl w:val="0"/>
          <w:numId w:val="6"/>
        </w:numPr>
        <w:ind w:left="1267" w:firstLine="0"/>
      </w:pPr>
      <w:r w:rsidRPr="000314D4">
        <w:t xml:space="preserve">Además, de conformidad con su Plan de Acción Económico de 2013, el Gobierno federal está invirtiendo 100 millones de dólares, a lo largo de 2 años, para apoyar la vivienda nueva asequible en Nunavut. </w:t>
      </w:r>
    </w:p>
    <w:p w:rsidR="002304AC" w:rsidRPr="000314D4" w:rsidRDefault="002304AC" w:rsidP="002304AC">
      <w:pPr>
        <w:pStyle w:val="SingleTxt"/>
        <w:numPr>
          <w:ilvl w:val="0"/>
          <w:numId w:val="6"/>
        </w:numPr>
        <w:ind w:left="1267" w:firstLine="0"/>
      </w:pPr>
      <w:r w:rsidRPr="000314D4">
        <w:t>De 2013 a 2014, el gobierno de Quebec proporcionó financiación en 244.101</w:t>
      </w:r>
      <w:r w:rsidR="002C7C35">
        <w:t xml:space="preserve"> </w:t>
      </w:r>
      <w:r w:rsidRPr="000314D4">
        <w:t>casos relacionados con el apoyo a los hogares de bajos ingresos. Por ejemplo, el 31 de marzo de 2014, el gobierno estaba cubriendo el déficit operacional de 1.875</w:t>
      </w:r>
      <w:r w:rsidR="002C7C35">
        <w:t xml:space="preserve"> </w:t>
      </w:r>
      <w:r w:rsidRPr="000314D4">
        <w:t>viviendas para personas aborígenes que vivían fuera de las reservas en todo Quebec y el déficit operacional de 2.734 viviendas sociales en Nunavik.</w:t>
      </w:r>
    </w:p>
    <w:p w:rsidR="002304AC" w:rsidRPr="000314D4" w:rsidRDefault="002304AC" w:rsidP="002304AC">
      <w:pPr>
        <w:pStyle w:val="SingleTxt"/>
        <w:numPr>
          <w:ilvl w:val="0"/>
          <w:numId w:val="6"/>
        </w:numPr>
        <w:ind w:left="1267" w:firstLine="0"/>
      </w:pPr>
      <w:r w:rsidRPr="000314D4">
        <w:t xml:space="preserve">En Ontario, a fecha de mayo de 2014, hay 126 hogares aborígenes que han recibido préstamos para comprar viviendas, 86 hogares se han acogido al programa de reparación y 10 proyectos de alquiler para 113 unidades recibirán financiación.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 xml:space="preserve">Enseñanza primaria y secundaria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En 2011, la proporción de mujeres pertenecientes a grupos minoritarios visibles de entre 25 y 64 años de edad con al menos un diploma de enseñanza secundaria era del 88%. La misma proporción de mujeres pertenecientes a grupos minoritarios no visibles y mujeres inmigrantes tenía al menos un diploma de enseñanza secundaria</w:t>
      </w:r>
      <w:r w:rsidRPr="000314D4">
        <w:rPr>
          <w:color w:val="FF0000"/>
          <w:vertAlign w:val="superscript"/>
        </w:rPr>
        <w:footnoteReference w:id="11"/>
      </w:r>
      <w:r w:rsidRPr="000314D4">
        <w:t>.</w:t>
      </w:r>
    </w:p>
    <w:p w:rsidR="002304AC" w:rsidRPr="000314D4" w:rsidRDefault="002304AC" w:rsidP="002304AC">
      <w:pPr>
        <w:pStyle w:val="SingleTxt"/>
        <w:numPr>
          <w:ilvl w:val="0"/>
          <w:numId w:val="6"/>
        </w:numPr>
        <w:ind w:left="1267" w:firstLine="0"/>
      </w:pPr>
      <w:r w:rsidRPr="000314D4">
        <w:t xml:space="preserve">Entre 2006 y 2011, la proporción de mujeres aborígenes de entre 25 y 64 años de edad con un diploma de enseñanza secundaria o superior aumentó del 68% al 74%. Durante el mismo período, la proporción de mujeres de las Primeras Naciones que vivían en las reservas y tenían entre 18 y 24 años de edad y un diploma de enseñanza secundaria creció del 37% al 40%. Las mujeres de las Primeras Naciones tenían más probabilidades de poseer un diploma de enseñanza secundaria o superior que los hombres (el 40% frente al 36%). Sin embargo, las mujeres de las Primeras Naciones tienen un nivel educativo muy inferior al de las mujeres no aborígenes. </w:t>
      </w:r>
    </w:p>
    <w:p w:rsidR="002304AC" w:rsidRPr="000314D4" w:rsidRDefault="002304AC" w:rsidP="002304AC">
      <w:pPr>
        <w:pStyle w:val="SingleTxt"/>
        <w:numPr>
          <w:ilvl w:val="0"/>
          <w:numId w:val="6"/>
        </w:numPr>
        <w:ind w:left="1267" w:firstLine="0"/>
      </w:pPr>
      <w:r w:rsidRPr="000314D4">
        <w:t>El Gobierno del Canadá ha convertido en una prioridad la mejora de la educación de las Primeras Naciones. Entre 2006 y 2013, el Gobierno federal invirtió más de 10.000 millones de dólares con objeto de apoyar la enseñanza primaria y secundaria para los alumnos de las Primeras Naciones que viven en las reservas, mientras que los gobiernos provinciales se responsabilizan de los alumnos de las Primeras Naciones que viven fuera de las reservas. Además, durante el mismo período se invirtieron 1.700 millones de dólares en infraestructura escolar. Entre las iniciativas concretas adoptadas desde 2006 se incluyen las siguientes: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268 millones de dólares a lo largo de 5 años y 75 millones de dólares en financiación regular a través de la Iniciativa de Reforma de la Educación de las Primeras Naciones;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30 millones de dólares a lo largo de 2 años para apoyar un acuerdo de educación K-12 tripartita listo para su aplicación en la Columbia Británica;</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100 millones de dólares a lo largo de 3 años para la iniciativa “Strong Schools, Successful Students” (“Escuelas fuertes, alumnos que tienen éxito”) a fin de apoyar la programación en materia de alfabetización temprana, los servicios correspondientes y la asociación con los sistemas escolares provinciales.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Estudios postsecundarios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2011, la proporción de mujeres pertenecientes a grupos minoritarios visibles de entre 25 y 64 años de edad con estudios postsecundarios era del 68%, incluido un 37% que había obtenido un certificado, diploma o título universitario a nivel de licenciatura o superior. El 67% de las inmigrantes tenían estudios postsecundarios y el 34% de ellas habían finalizado estudios universitarios de licenciatura o superiores. Una proporción ligeramente inferior (64%) de las mujeres pertenecientes a grupos minoritarios no visibles tenía estudios postsecundarios, incluido un 25% con estudios universitarios de licenciatura o superiores. </w:t>
      </w:r>
    </w:p>
    <w:p w:rsidR="002304AC" w:rsidRPr="000314D4" w:rsidRDefault="002304AC" w:rsidP="002304AC">
      <w:pPr>
        <w:pStyle w:val="SingleTxt"/>
        <w:numPr>
          <w:ilvl w:val="0"/>
          <w:numId w:val="6"/>
        </w:numPr>
        <w:ind w:left="1267" w:firstLine="0"/>
      </w:pPr>
      <w:r w:rsidRPr="000314D4">
        <w:t>Entre 2006 y 2011, la proporción de mujeres de las Primeras Naciones (de 25 a 64 años) con estudios postsecundarios creció del 43% al 46%. Durante este período, las proporciones de mujeres de las Primeras Naciones con títulos universitarios y con diplomas de colegio universitario u otros certificados no universitarios crecieron cada una en un 2% (hasta el 11% y el 22%, respectivamente) y la proporción de mujeres aborígenes de entre 25 y 64 años de edad con un título universitario aumentó del 9% al 12%.</w:t>
      </w:r>
    </w:p>
    <w:p w:rsidR="002304AC" w:rsidRPr="000314D4" w:rsidRDefault="002304AC" w:rsidP="002304AC">
      <w:pPr>
        <w:pStyle w:val="SingleTxt"/>
        <w:numPr>
          <w:ilvl w:val="0"/>
          <w:numId w:val="6"/>
        </w:numPr>
        <w:ind w:left="1267" w:firstLine="0"/>
      </w:pPr>
      <w:r w:rsidRPr="000314D4">
        <w:t xml:space="preserve">El Gobierno del Canadá mantiene su firme determinación de proporcionar toda una serie de apoyos para ayudar a los estudiantes aborígenes a que accedan a programas de estudios postsecundarios y adquieran las aptitudes que necesitan para incorporarse al mercado de trabajo. De 2011 a 2012, el Gobierno federal destinó un total de 322 millones de dólares a los estudios postsecundarios para personas aborígenes, incluidos casi 301 millones de dólares para el Programa de Apoyo a los Estudiantes del Nivel Postsecundario y el Programa de Preparación para el Acceso a la Universidad o el Colegio Universitario a fin de compensar los gastos académicos, de viaje y de mantenimiento a más de 22.000 estudiantes inuits y de las Primeras Naciones. Según los datos más recientes (2011 a 2012), el 69,5% de los estudiantes que recibieron financiación mediante estos programas eran mujeres. El Gobierno federal invierte aproximadamente 800.000 dólares al año para apoyar a Indspire, incluido su programa de becas y préstamos para estudios. El Plan de Acción Económico de 2013 propuso destinar 10 millones de dólares a lo largo de 2 años a Indspire a becas y préstamos para estudios postsecundarios a inuits y personas de las Primeras Naciones. </w:t>
      </w:r>
    </w:p>
    <w:p w:rsidR="002304AC" w:rsidRPr="000314D4" w:rsidRDefault="002304AC" w:rsidP="002304AC">
      <w:pPr>
        <w:pStyle w:val="SingleTxt"/>
        <w:numPr>
          <w:ilvl w:val="0"/>
          <w:numId w:val="6"/>
        </w:numPr>
        <w:ind w:left="1267" w:firstLine="0"/>
      </w:pPr>
      <w:r w:rsidRPr="000314D4">
        <w:t>En Quebec hay 1 centro de enseñanza postsecundaria para un alumnado aborigen, llamado Kiuna, que lleva abierto desde 2011, así como 2 centros de educación de adultos aborígenes, que abrieron entre 2012 y 2014, y promueven el acceso o el regreso a los estudios, también por parte de las niñas y mujeres aborígenes. Hay disponibles servicios de guardería.</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Empleo y reducción de la pobreza</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Las tasas de empleo y participación de las mujeres aborígenes en el mercado de trabajo van a la zaga de las tasas correspondientes tanto a las mujeres no aborígenes como a los hombres aborígenes. Por ejemplo, a fecha de 2011, la tasa de empleo de las mujeres aborígenes de entre 25 y 64 años de edad era un 11% inferior a la de las mujeres no aborígenes (el 60% frente al 71%) y un 5% inferior a la de los hombres aborígenes (65%). </w:t>
      </w:r>
    </w:p>
    <w:p w:rsidR="002304AC" w:rsidRPr="000314D4" w:rsidRDefault="002304AC" w:rsidP="002304AC">
      <w:pPr>
        <w:pStyle w:val="SingleTxt"/>
        <w:numPr>
          <w:ilvl w:val="0"/>
          <w:numId w:val="6"/>
        </w:numPr>
        <w:ind w:left="1267" w:firstLine="0"/>
      </w:pPr>
      <w:r w:rsidRPr="000314D4">
        <w:t xml:space="preserve">El Gobierno del Canadá mantiene su firme determinación de trabajar con las Primeras Naciones para mejorar el Programa de Apoyo a los Ingresos en las reservas y así garantizar que los jóvenes de las Primeras Naciones puedan adquirir las aptitudes y la capacitación que necesitan para conseguir empleo. Capitalizando el éxito de los proyectos piloto y las alianzas en curso en todo el país, el Gobierno introdujo mejoras en la prestación de servicios para las Primeras Naciones y sus proveedores de servicios. El Gobierno está destinando 132 millones de dólares a lo largo de 4 años a apoyar a las Primeras Naciones para que determinen la preparación para el empleo de las personas y superen las barreras actuales a la empleabilidad. </w:t>
      </w:r>
    </w:p>
    <w:p w:rsidR="002304AC" w:rsidRPr="000314D4" w:rsidRDefault="002304AC" w:rsidP="002304AC">
      <w:pPr>
        <w:pStyle w:val="SingleTxt"/>
        <w:numPr>
          <w:ilvl w:val="0"/>
          <w:numId w:val="6"/>
        </w:numPr>
        <w:ind w:left="1267" w:firstLine="0"/>
      </w:pPr>
      <w:r w:rsidRPr="000314D4">
        <w:t xml:space="preserve">El Gobierno del Canadá colabora con todos los niveles de gobierno, las comunidades y organizaciones aborígenes, y los sectores privado y sin fines de lucro para incrementar la participación de las personas aborígenes de las zonas urbanas en la economía. Estos esfuerzos incluyen apoyos a las mujeres aborígenes de las zonas urbanas y sus familias, así como ayudas en materia de vivienda, empleo, preparación para la vida y cuidado del niño para las mujeres aborígenes vulnerables. La nueva y mejorada estrategia para los aborígenes residentes en zonas urbanas incluye una contribución anual de 53,1 millones de dólares en los ejercicios 2014/15 y 2015/16. De esa cantidad, más de 30 millones de dólares anuales se destinan de manera específica al nuevo Programa de Asociación Urbana con el fin de eliminar las barreras que impiden a las personas aborígenes de las zonas urbanas participar plenamente en la economía, mientras que más de 23 millones de dólares anuales se destinan a financiar el apoyo al fortalecimiento de la capacidad de las comunidades y así respaldar a las organizaciones aborígenes urbanas con el objetivo de incrementar la participación de las personas aborígenes de dichas zonas en la economía. </w:t>
      </w:r>
    </w:p>
    <w:p w:rsidR="002304AC" w:rsidRPr="000314D4" w:rsidRDefault="002304AC" w:rsidP="002304AC">
      <w:pPr>
        <w:pStyle w:val="SingleTxt"/>
        <w:numPr>
          <w:ilvl w:val="0"/>
          <w:numId w:val="6"/>
        </w:numPr>
        <w:ind w:left="1267" w:firstLine="0"/>
      </w:pPr>
      <w:r w:rsidRPr="000314D4">
        <w:t>Entre 2010 y 2015, el Gobierno del Canadá habrá invertido casi 1.900</w:t>
      </w:r>
      <w:r w:rsidR="002C7C35">
        <w:t xml:space="preserve"> </w:t>
      </w:r>
      <w:r w:rsidRPr="000314D4">
        <w:t>millones de dólares en la Estrategia de formación orientada a la adquisición de aptitudes y al empleo de los aborígenes y en el Fondo de Asociaciones y Competencias con el fin de garantizar que las personas de las Primeras Naciones, inuits y mestizas tengan las aptitudes que necesitan para conseguir empleos sostenibles y satisfactorios. Desde 2010, en el marco de la Estrategia, 48.700</w:t>
      </w:r>
      <w:r w:rsidR="002C7C35">
        <w:t xml:space="preserve"> </w:t>
      </w:r>
      <w:r w:rsidRPr="000314D4">
        <w:t xml:space="preserve">canadienses han conseguido empleo y otros 22.600 han vuelto a la escuela. Casi la mitad de los beneficiarios de la Estrategia son mujeres (aproximadamente el 41% en 2011/12, el 42% en 2012/13, y el 45% en 2013/14). </w:t>
      </w:r>
    </w:p>
    <w:p w:rsidR="002304AC" w:rsidRPr="000314D4" w:rsidRDefault="002304AC" w:rsidP="002304AC">
      <w:pPr>
        <w:pStyle w:val="SingleTxt"/>
        <w:numPr>
          <w:ilvl w:val="0"/>
          <w:numId w:val="6"/>
        </w:numPr>
        <w:ind w:left="1267" w:firstLine="0"/>
      </w:pPr>
      <w:r w:rsidRPr="000314D4">
        <w:t>Además, el Gobierno del Canadá presentó una inversión en 4 años (2013 a 2017) de 109 millones de dólares que se destinará al Fondo de Empleo de las Primeras Naciones como parte de las mejoras que el Gobierno pretende introducir en el Programa de Apoyo a los Ingresos en las reservas. Este programa garantizará que los jóvenes aborígenes (de 18 a 24 años de edad) de las comunidades participantes de las Primeras Naciones, que pueden recibir capacitación en el plazo de 1 año, tengan las aptitudes necesarias para participar en el mercado de trabajo.</w:t>
      </w:r>
    </w:p>
    <w:p w:rsidR="002304AC" w:rsidRPr="000314D4" w:rsidRDefault="002304AC" w:rsidP="002304AC">
      <w:pPr>
        <w:pStyle w:val="SingleTxt"/>
        <w:numPr>
          <w:ilvl w:val="0"/>
          <w:numId w:val="6"/>
        </w:numPr>
        <w:ind w:left="1267" w:firstLine="0"/>
      </w:pPr>
      <w:r w:rsidRPr="000314D4">
        <w:t>Además, las personas aborígenes que viven fuera de las reservas también pueden optar a programas dirigidos a satisfacer sus necesidades específicas (por ejemplo, formación profesional, desarrollo de aptitudes, empleo para los jóvenes, emprendimiento), así como una amplia variedad de programas que están a disposición de todos los canadienses (por ejemplo, atención médica, seguro de desempleo, desarrollo del mercado de trabajo).</w:t>
      </w:r>
    </w:p>
    <w:p w:rsidR="002304AC" w:rsidRPr="000314D4" w:rsidRDefault="002304AC" w:rsidP="002304AC">
      <w:pPr>
        <w:pStyle w:val="SingleTxt"/>
        <w:numPr>
          <w:ilvl w:val="0"/>
          <w:numId w:val="6"/>
        </w:numPr>
        <w:ind w:left="1267" w:firstLine="0"/>
      </w:pPr>
      <w:r w:rsidRPr="000314D4">
        <w:t>En Quebec, el Fondo para Iniciativas Aborígenes II apoya el desarrollo económico, social y comunitario de las personas aborígenes. En 2012, el fondo de 135 millones de dólares se prorrogó otros 5 años. El componente de desarrollo económico facilita específicamente la financiación de proyectos de creación de empresas de mujeres aborígenes. Además, en el marco del componente de acción comunitaria, 1 millón de dólares se ha destinado específicamente a organizaciones de mujeres aborígenes.</w:t>
      </w:r>
    </w:p>
    <w:p w:rsidR="002304AC" w:rsidRPr="000314D4" w:rsidRDefault="002304AC" w:rsidP="002304AC">
      <w:pPr>
        <w:pStyle w:val="SingleTxt"/>
        <w:numPr>
          <w:ilvl w:val="0"/>
          <w:numId w:val="6"/>
        </w:numPr>
        <w:ind w:left="1267" w:firstLine="0"/>
      </w:pPr>
      <w:r w:rsidRPr="000314D4">
        <w:t>Con arreglo al Plan de Acción Gubernamental para la Solidaridad y la Inclusión Social de 2010 a 2015 de Quebec, cada consejo regional de funcionarios elegidos ha de establecer un plan de acción contra la pobreza que responda a las necesidades concretas de los residentes locales. En este contexto, la Autoridad Regional Cree y el gobierno regional de Kativik, que abarcan dos territorios aborígenes específicos, han elaborado un plan de esas características, y la Comisión de la Salud y de los Servicios Sociales de las Primeras Naciones de Quebec y del Labrador ha confeccionado un plan para los demás territorios aborígenes.</w:t>
      </w:r>
    </w:p>
    <w:p w:rsidR="002304AC" w:rsidRPr="000314D4" w:rsidRDefault="002304AC" w:rsidP="002304AC">
      <w:pPr>
        <w:pStyle w:val="SingleTxt"/>
        <w:numPr>
          <w:ilvl w:val="0"/>
          <w:numId w:val="6"/>
        </w:numPr>
        <w:ind w:left="1267" w:firstLine="0"/>
      </w:pPr>
      <w:r w:rsidRPr="000314D4">
        <w:t>En diciembre de 2013, el gobierno de Alberta estableció los Consejos para la Seguridad Económica de las Mujeres Mestizas y de las Primeras Naciones, actualmente en funcionamiento</w:t>
      </w:r>
      <w:r w:rsidRPr="000314D4">
        <w:rPr>
          <w:color w:val="FF0000"/>
          <w:vertAlign w:val="superscript"/>
        </w:rPr>
        <w:footnoteReference w:id="12"/>
      </w:r>
      <w:r w:rsidRPr="000314D4">
        <w:t>.</w:t>
      </w:r>
    </w:p>
    <w:p w:rsidR="002304AC" w:rsidRPr="000314D4" w:rsidRDefault="002304AC" w:rsidP="002304AC">
      <w:pPr>
        <w:pStyle w:val="SingleTxt"/>
        <w:numPr>
          <w:ilvl w:val="0"/>
          <w:numId w:val="6"/>
        </w:numPr>
        <w:ind w:left="1267" w:firstLine="0"/>
      </w:pPr>
      <w:r w:rsidRPr="000314D4">
        <w:t xml:space="preserve">Con respecto a las mujeres pertenecientes a grupos minoritarios visibles, la tasa de empleo de las mujeres de 15 o más años era del 55% en 2011, un 2% inferior a la de las mujeres pertenecientes a grupos minoritarios no visibles (el 55% frente al 57%) y un 10% inferior a la de los hombres pertenecientes a grupos minoritarios visibles (65%). </w:t>
      </w:r>
    </w:p>
    <w:p w:rsidR="002304AC" w:rsidRPr="000314D4" w:rsidRDefault="002304AC" w:rsidP="002304AC">
      <w:pPr>
        <w:pStyle w:val="SingleTxt"/>
        <w:numPr>
          <w:ilvl w:val="0"/>
          <w:numId w:val="6"/>
        </w:numPr>
        <w:ind w:left="1267" w:firstLine="0"/>
      </w:pPr>
      <w:r w:rsidRPr="000314D4">
        <w:t xml:space="preserve">El Gobierno del Canadá colabora con las provincias y los territorios para garantizar que todos los canadienses tengan acceso al apoyo al empleo. Las mujeres pertenecientes a grupos minoritarios disfrutan de las protecciones que brinda el seguro de empleo, así como de transferencias federales que apoyan la formación profesional y el desarrollo del mercado de trabajo, y otras ayudas al empleo dirigidas a los grupos con escasa representación. Además de estos programas, el Gobierno del Canadá financia el reconocimiento de aptitudes y credenciales y los servicios de empleo, y genera información sobre el mercado de trabajo para ayudar a los canadienses a superar los obstáculos al empleo. </w:t>
      </w:r>
    </w:p>
    <w:p w:rsidR="002304AC" w:rsidRPr="000314D4" w:rsidRDefault="002304AC" w:rsidP="002304AC">
      <w:pPr>
        <w:pStyle w:val="SingleTxt"/>
        <w:numPr>
          <w:ilvl w:val="0"/>
          <w:numId w:val="6"/>
        </w:numPr>
        <w:ind w:left="1267" w:firstLine="0"/>
      </w:pPr>
      <w:r w:rsidRPr="000314D4">
        <w:t xml:space="preserve">El Gobierno del Canadá, mediante su Programa de Asentamiento, financia a organizaciones de todo el país, muchas de las cuales ofrecen recursos e intervenciones de programación específicos a los recién llegados con el fin de mejorar los resultados socioeconómicos. Por ejemplo, hay en marcha programas de empleo, formación profesional y tutoría dirigidos a ayudar a las mujeres recién llegadas con diferentes aptitudes y niveles de idioma a que consigan su independencia económica, pasen a formar parte de la fuerza de trabajo y encuentren un empleo acorde con sus aptitudes. Las mujeres constituyen más de la mitad (57,7%) de las personas que acceden a los servicios de asentamiento financiados por el Gobierno federal, y cerca del 67,7% de las personas que reciben capacitación lingüística.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2304AC" w:rsidRDefault="002304AC" w:rsidP="002304AC">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s-ES_tradnl"/>
        </w:rPr>
      </w:pPr>
      <w:r w:rsidRPr="002304AC">
        <w:rPr>
          <w:rFonts w:eastAsia="Calibri"/>
          <w:lang w:val="es-ES_tradnl"/>
        </w:rPr>
        <w:tab/>
        <w:t>IV.</w:t>
      </w:r>
      <w:r w:rsidRPr="002304AC">
        <w:rPr>
          <w:rFonts w:eastAsia="Calibri"/>
          <w:lang w:val="es-ES_tradnl"/>
        </w:rPr>
        <w:tab/>
        <w:t>Violencia contra la mujer y la niña</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Esta sección contiene información relacionada con los artículos 5 y 6 de la Convención y se centra en las observaciones 29 a 32 del Comité. Da cuenta de la legislación y las políticas que abordan la violencia familiar y la custodia de los hijos, y ofrece ejemplos de medidas destinadas a hacer frente a la violencia contra la mujer y la niña. </w:t>
      </w:r>
    </w:p>
    <w:p w:rsidR="002304AC" w:rsidRPr="000314D4" w:rsidRDefault="002304AC" w:rsidP="002304AC">
      <w:pPr>
        <w:pStyle w:val="SingleTxt"/>
        <w:numPr>
          <w:ilvl w:val="0"/>
          <w:numId w:val="6"/>
        </w:numPr>
        <w:ind w:left="1267" w:firstLine="0"/>
      </w:pPr>
      <w:r w:rsidRPr="000314D4">
        <w:t xml:space="preserve">El Gobierno federal y los gobiernos provinciales y territoriales del Canadá mantienen su compromiso de abordar y reducir la incidencia de la violencia contra la mujer y la niña, incluida la mujer y la niña aborígenes, en todas las comunidades de todo el país. Se ha aplicado una amplia variedad de medidas para apoyar a las víctimas de esta violencia y procurar que los autores de transgresiones rindan cuenta de sus actos. Entre ellas, cabe citar una respuesta multijurisdiccional por conducto del sistema de justicia penal, así como respuestas de derecho civil y de prevención de la violencia en general, y asistencia a las víctimas. </w:t>
      </w:r>
    </w:p>
    <w:p w:rsidR="002304AC" w:rsidRPr="000314D4" w:rsidRDefault="002304AC" w:rsidP="002304AC">
      <w:pPr>
        <w:pStyle w:val="SingleTxt"/>
        <w:numPr>
          <w:ilvl w:val="0"/>
          <w:numId w:val="6"/>
        </w:numPr>
        <w:ind w:left="1267" w:firstLine="0"/>
      </w:pPr>
      <w:r w:rsidRPr="000314D4">
        <w:t xml:space="preserve">Reconociendo los importantes daños derivados de la prostitución, el Gobierno del Canadá anunció nuevas medidas legislativas y programáticas en junio de 2014. La Ley de Protección de las Comunidades y las Personas Explotadas, aprobada en 2014, refleja un cambio fundamental de paradigma hacia el tratamiento de la prostitución como una forma de explotación sexual que tiene consecuencias desproporcionadas y negativas para las mujeres y los niños, incluidas las mujeres y niñas aborígenes. A fin de complementar las nuevas leyes, el Gobierno también ha anunciado una nueva financiación por un total de 20 millones de dólares, a lo largo de los 5 próximos años, para aplicar toda una gama de medidas de programación social encaminadas a apoyar a las organizaciones comunitarias que se ocupan de las prostitutas más vulnerables. Se hará hincapié en financiar programas que tengan un historial probado de ayuda a que las prostitutas abandonen la industria del sexo. </w:t>
      </w:r>
    </w:p>
    <w:p w:rsidR="002304AC" w:rsidRPr="000314D4" w:rsidRDefault="002304AC" w:rsidP="002304AC">
      <w:pPr>
        <w:pStyle w:val="SingleTxt"/>
        <w:numPr>
          <w:ilvl w:val="0"/>
          <w:numId w:val="6"/>
        </w:numPr>
        <w:ind w:left="1267" w:firstLine="0"/>
      </w:pPr>
      <w:r w:rsidRPr="000314D4">
        <w:t>Además, el Canadá ha seguido esforzándose por proteger los derechos de las víctimas de manera más general. Después de mantener consultas con el público y los interesados, en abril de 2014, el Gobierno del Canadá presentó el proyecto de ley C-32, la Ley relativa a la Carta de Derechos de las Víctimas. Con esta Ley se pretende establecer, por primera vez en la historia del Canadá, unos derechos jurídicos claros en el plano federal para todos los canadienses que son víctimas de un delito. Entre ellos se incluyen los derechos a la información, a la protección, a la participación y a la restitución, y con ellos se garantiza que exista un proceso de denuncia para la vulneración de tales derechos.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Legislación y políticas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Violencia familiar</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Además del derecho penal canadiense para hacer frente a la violencia, incluida la violencia familiar, la mayoría de las provincias y territorios disponen de derecho civil (no penal), el cual suele ofrecer a las víctimas de la violencia familiar toda una variedad de opciones que complementan a los juicios penales. </w:t>
      </w:r>
    </w:p>
    <w:p w:rsidR="002304AC" w:rsidRPr="000314D4" w:rsidRDefault="002304AC" w:rsidP="002304AC">
      <w:pPr>
        <w:pStyle w:val="SingleTxt"/>
        <w:numPr>
          <w:ilvl w:val="0"/>
          <w:numId w:val="6"/>
        </w:numPr>
        <w:ind w:left="1267" w:firstLine="0"/>
      </w:pPr>
      <w:r w:rsidRPr="000314D4">
        <w:t xml:space="preserve">Por ejemplo, en 2005 entró en vigor la Ley de Protección contra la Violencia en el Hogar de los Territorios del Noroeste, que fue objeto de enmiendas en 2010 y 2013. La Ley ofrece protección de emergencia y a largo plazo a las víctimas de la violencia familiar y permite el acceso de emergencia para asistir a una persona que pueda ser víctima de violencia familiar. </w:t>
      </w:r>
    </w:p>
    <w:p w:rsidR="002304AC" w:rsidRPr="000314D4" w:rsidRDefault="002304AC" w:rsidP="002304AC">
      <w:pPr>
        <w:pStyle w:val="SingleTxt"/>
        <w:numPr>
          <w:ilvl w:val="0"/>
          <w:numId w:val="6"/>
        </w:numPr>
        <w:ind w:left="1267" w:firstLine="0"/>
      </w:pPr>
      <w:r w:rsidRPr="000314D4">
        <w:t xml:space="preserve">La Ley de Protección contra la Violencia en el Hogar de Alberta establece disposiciones para la seguridad de las víctimas, mediante órdenes de protección, a fin de proteger a quienes han sufrido violencia familiar y evitar que haya más violencia. Las recientes enmiendas añaden a la Ley disposiciones sobre delitos y sanciones, procurando que quienes incumplan órdenes de protección rindan cuenta de sus actos. Entre las sanciones se incluyen multas o penas de prisión posibles para un primer delito y penas de prisión obligatorias para delitos subsiguientes. </w:t>
      </w:r>
    </w:p>
    <w:p w:rsidR="002304AC" w:rsidRPr="000314D4" w:rsidRDefault="002304AC" w:rsidP="002304AC">
      <w:pPr>
        <w:pStyle w:val="SingleTxt"/>
        <w:numPr>
          <w:ilvl w:val="0"/>
          <w:numId w:val="6"/>
        </w:numPr>
        <w:ind w:left="1267" w:firstLine="0"/>
      </w:pPr>
      <w:r w:rsidRPr="000314D4">
        <w:t xml:space="preserve">La Ley también obliga al comité de examen de las muertes causadas por violencia en la familia de la provincia a examinar los incidentes de violencia familiar con resultado de muerte y formular consejos y recomendaciones con respecto a la prevención y reducción de la violencia familiar. </w:t>
      </w:r>
    </w:p>
    <w:p w:rsidR="002304AC" w:rsidRPr="000314D4" w:rsidRDefault="002304AC" w:rsidP="002304AC">
      <w:pPr>
        <w:pStyle w:val="SingleTxt"/>
        <w:numPr>
          <w:ilvl w:val="0"/>
          <w:numId w:val="6"/>
        </w:numPr>
        <w:ind w:left="1267" w:firstLine="0"/>
      </w:pPr>
      <w:r w:rsidRPr="000314D4">
        <w:t>En 2011, el gobierno del Yukón promulgó la Ley sobre las Víctimas de Actos Delictivos. Esta incluye una Carta de Derechos de las Víctimas, que otorga a las víctimas de delitos ciertos derechos, incluidos el derecho a la intimidad; el derecho a la información sobre el sistema de justicia; el derecho a esperar que el sistema de justicia haga lo que esté en su mano por reducir las molestias de las víctimas y proteger a estas frente a la intimidación y la represalia; y el derecho a que se tengan en cuenta sus necesidades cuando se elaboren programas y servicios para víctimas.</w:t>
      </w:r>
    </w:p>
    <w:p w:rsidR="002304AC" w:rsidRPr="000314D4" w:rsidRDefault="002304AC" w:rsidP="002304AC">
      <w:pPr>
        <w:pStyle w:val="SingleTxt"/>
        <w:numPr>
          <w:ilvl w:val="0"/>
          <w:numId w:val="6"/>
        </w:numPr>
        <w:ind w:left="1267" w:firstLine="0"/>
      </w:pPr>
      <w:r w:rsidRPr="000314D4">
        <w:t xml:space="preserve">La Ley sobre el Derecho de Familia de la Columbia Británica entró en vigor en marzo de 2013. En virtud de esta Ley, se pueden dictar órdenes de protección civil para ayudar a proteger a las personas que sufren o corren el riesgo de sufrir violencia familiar. El incumplimiento de las órdenes de protección está tipificado como delito penal en el Código Penal del Canadá, lo que pone de relieve la gravedad de la violencia familiar y disuade de tal incumplimiento. La política de la Columbia Británica sobre la violencia contra la mujer en las relaciones de pareja establece los protocolos, funciones y responsabilidades de los proveedores de servicios en la totalidad de los sistemas de justicia y de bienestar infantil para garantizar una respuesta integrada y eficaz a la violencia doméstica. La política exhorta a los sistemas de justicia y de bienestar infantil a que hagan hincapié en el carácter delictivo de la violencia en las relaciones de pareja y adopten las medidas necesarias para proteger a las personas que puedan estar en riesgo. </w:t>
      </w:r>
    </w:p>
    <w:p w:rsidR="002304AC" w:rsidRPr="000314D4" w:rsidRDefault="002304AC" w:rsidP="002304AC">
      <w:pPr>
        <w:pStyle w:val="SingleTxt"/>
        <w:numPr>
          <w:ilvl w:val="0"/>
          <w:numId w:val="6"/>
        </w:numPr>
        <w:ind w:left="1267" w:firstLine="0"/>
      </w:pPr>
      <w:r w:rsidRPr="000314D4">
        <w:t xml:space="preserve">La provincia de la Isla del Príncipe Eduardo dispone de un procedimiento de intervención policial en casos de violencia doméstica: el Protocolo sobre Violencia en la Familia que figura en su Ley sobre la Policía.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Legislación relativa a la custodia de los hijos y el plan de visitas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Los asuntos relativos al derecho de familia, incluidos la custodia y el plan de visitas, están bajo la jurisdicción compartida del Gobierno federal y los gobiernos provinciales y territoriales, que colaboran entre sí para proteger a los niños frente a los efectos adversos de la violencia familiar y velar por que en los litigios por la custodia prevalezca el interés superior del niño. </w:t>
      </w:r>
    </w:p>
    <w:p w:rsidR="002304AC" w:rsidRPr="000314D4" w:rsidRDefault="002304AC" w:rsidP="002304AC">
      <w:pPr>
        <w:pStyle w:val="SingleTxt"/>
        <w:numPr>
          <w:ilvl w:val="0"/>
          <w:numId w:val="6"/>
        </w:numPr>
        <w:ind w:left="1267" w:firstLine="0"/>
      </w:pPr>
      <w:r w:rsidRPr="000314D4">
        <w:t xml:space="preserve">Más concretamente, a la hora de dirimir los casos que tengan que ver con asuntos de custodia y plan de visitas, la Ley de Divorcio obliga a los tribunales a considerar todos los factores pertinentes, entre los que se incluiría la violencia doméstica, al determinar el interés superior del niño. A ese respecto, los tribunales canadienses han tomado cada vez más conciencia de la repercusión negativa de la violencia familiar en los niños y son cada vez más sensibles a este factor. Los fallos condenatorios relacionados con la violencia familiar serían un factor que los tribunales tendrían en cuenta a la hora de determinar el interés superior del niño. </w:t>
      </w:r>
    </w:p>
    <w:p w:rsidR="002304AC" w:rsidRPr="000314D4" w:rsidRDefault="002304AC" w:rsidP="002304AC">
      <w:pPr>
        <w:pStyle w:val="SingleTxt"/>
        <w:numPr>
          <w:ilvl w:val="0"/>
          <w:numId w:val="6"/>
        </w:numPr>
        <w:ind w:left="1267" w:firstLine="0"/>
      </w:pPr>
      <w:r w:rsidRPr="000314D4">
        <w:t xml:space="preserve">Las provincias y territorios cuentan con distintas leyes, políticas y protocolos referentes a la custodia de los hijos y el plan de visitas. Cuando se trata de determinar la necesidad de protección por parte de un niño o resolver las solicitudes relativas a la custodia de los hijos y el plan de visitas, estas disposiciones obligan a los tribunales a considerar si un niño ha estado expuesto a violencia doméstica en casa, tanto si se ha ido dirigida contra ese niño como si se ha cometido contra un miembro del hogar, y cualquier efecto que dicha conducta pueda tener en el niño, y permiten a los jueces dictar órdenes de protección de emergencia en el supuesto de que se haya producido violencia familiar y haya riesgo de daños. </w:t>
      </w:r>
    </w:p>
    <w:p w:rsidR="002304AC" w:rsidRPr="000314D4" w:rsidRDefault="002304AC" w:rsidP="002304AC">
      <w:pPr>
        <w:pStyle w:val="SingleTxt"/>
        <w:numPr>
          <w:ilvl w:val="0"/>
          <w:numId w:val="6"/>
        </w:numPr>
        <w:ind w:left="1267" w:firstLine="0"/>
      </w:pPr>
      <w:r w:rsidRPr="000314D4">
        <w:t xml:space="preserve">En 2010, en Manitoba, de conformidad con la Ley relativa a la Protección contra la Violencia Doméstica y al Interés Superior del Niño, se añadieron criterios sobre el interés superior del niño a la Ley relativa al Mantenimiento de la Familia, entre ellos el requisito de que los tribunales, al adoptar decisiones sobre la custodia o el plan de visitas, consideren las consecuencias que tiene para el niño cualquier tipo de violencia doméstica. Esta manera de proceder no se limita únicamente a la violencia doméstica para la que se ha dictado un fallo condenatorio penal. </w:t>
      </w:r>
    </w:p>
    <w:p w:rsidR="002304AC" w:rsidRPr="000314D4" w:rsidRDefault="002304AC" w:rsidP="002304AC">
      <w:pPr>
        <w:pStyle w:val="SingleTxt"/>
        <w:numPr>
          <w:ilvl w:val="0"/>
          <w:numId w:val="6"/>
        </w:numPr>
        <w:ind w:left="1267" w:firstLine="0"/>
      </w:pPr>
      <w:r w:rsidRPr="000314D4">
        <w:t xml:space="preserve">La Isla del Príncipe Eduardo cuenta con una Ley sobre las Víctimas de la Violencia Familiar y ha establecido el </w:t>
      </w:r>
      <w:r w:rsidRPr="003B23E1">
        <w:rPr>
          <w:i/>
          <w:iCs/>
        </w:rPr>
        <w:t>Child Sexual Abuse Protocol: Guidelines and Procedures for a Coordinated Response to Child Sexual Abuse</w:t>
      </w:r>
      <w:r w:rsidRPr="000314D4">
        <w:t xml:space="preserve"> (Protocolo sobre el abuso sexual de niños: directrices y procedimientos para una respuesta coordinada al abuso sexual de niños). Este protocolo apoya una respuesta integrada y concertada proporcionando información en lo que se refiere a identificar y notificar los casos sospechosos de abuso sexual de niños; ofreciendo un panorama general de la legislación y las políticas, procedimientos y protocolos gubernamentales pertinentes; aclarando las funciones y las responsabilidades compartidas de los proveedores de servicios; y garantizando que las respuestas dadas a los casos sospechosos de abuso sexual de niños en la provincia sean eficaces, sistemáticas y tengan en cuenta las necesidades de los niños.</w:t>
      </w:r>
    </w:p>
    <w:p w:rsidR="002304AC" w:rsidRPr="000314D4" w:rsidRDefault="002304AC" w:rsidP="002304AC">
      <w:pPr>
        <w:pStyle w:val="SingleTxt"/>
        <w:numPr>
          <w:ilvl w:val="0"/>
          <w:numId w:val="6"/>
        </w:numPr>
        <w:ind w:left="1267" w:firstLine="0"/>
      </w:pPr>
      <w:r w:rsidRPr="000314D4">
        <w:t xml:space="preserve">La Ley sobre el Derecho de Familia de la Columbia Británica vela en primer lugar por la seguridad y el interés superior del niño cuando las familias están en proceso de separación y divorcio. Entre otras cosas, la Ley aclara la tutela y los cometidos respectivos de los padres, anima a las familias a resolver sus controversias fuera de los tribunales cuando sea oportuno, y exige que se tengan en cuenta los posibles efectos de la violencia familiar al adoptar decisiones sobre la tutela, las disposiciones de crianza de los hijos o los contactos con un niño. </w:t>
      </w:r>
    </w:p>
    <w:p w:rsidR="002304AC" w:rsidRPr="000314D4" w:rsidRDefault="002304AC" w:rsidP="002304AC">
      <w:pPr>
        <w:pStyle w:val="SingleTxt"/>
        <w:numPr>
          <w:ilvl w:val="0"/>
          <w:numId w:val="6"/>
        </w:numPr>
        <w:ind w:left="1267" w:firstLine="0"/>
      </w:pPr>
      <w:r w:rsidRPr="000314D4">
        <w:t xml:space="preserve">En Ontario, la Ley de Reforma del Derecho de la Infancia permite al tribunal dictar una orden de alejamiento provisional o definitiva contra cualquier persona si el solicitante tiene motivos razonables para temer por su propia seguridad o por la seguridad de cualquier niño que tenga bajo su tutela legal. La Ley establece que una solicitud de tutela o acceso al niño debe ir acompañada de un </w:t>
      </w:r>
      <w:r w:rsidRPr="003B23E1">
        <w:rPr>
          <w:i/>
          <w:iCs/>
        </w:rPr>
        <w:t>affidavit</w:t>
      </w:r>
      <w:r w:rsidRPr="000314D4">
        <w:t xml:space="preserve"> que incluya información sobre cualquier medida de protección del niño en curso o pasada y sobre cualquier proceso penal incoado. También estipula que la existencia de un historial de violencia familiar por parte de una persona es una consideración pertinente en una solicitud de tutela o acceso. Además, la Ley exige al tribunal competente que, a la hora de resolver una solicitud de posesión exclusiva del hogar conyugal, tenga en cuenta si uno de los cónyuges ha cometido cualquier acto de violencia contra el otro o contra los niños.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Financiación y otras medidas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Desde 2009, el Gobierno del Canadá, a través de la Comisión del Canadá sobre la Condición de la Mujer, ha financiado más de 200 proyectos dirigidos a abordar la violencia contra la mujer y la niña, por un importe total de más de 46</w:t>
      </w:r>
      <w:r w:rsidR="002C7C35">
        <w:t xml:space="preserve"> </w:t>
      </w:r>
      <w:r w:rsidRPr="000314D4">
        <w:t xml:space="preserve">millones de dólares. Este importe incluye más de 1,3 millones de dólares para proyectos que hacen frente a la trata de personas y más de 2,8 millones de dólares para proyectos que combaten prácticas culturales nocivas como la violencia en nombre del denominado “honor”. </w:t>
      </w:r>
    </w:p>
    <w:p w:rsidR="002304AC" w:rsidRPr="000314D4" w:rsidRDefault="002304AC" w:rsidP="002304AC">
      <w:pPr>
        <w:pStyle w:val="SingleTxt"/>
        <w:numPr>
          <w:ilvl w:val="0"/>
          <w:numId w:val="6"/>
        </w:numPr>
        <w:ind w:left="1267" w:firstLine="0"/>
      </w:pPr>
      <w:r w:rsidRPr="000314D4">
        <w:t>En 2011, el gobierno de Ontario puso en marcha “Cambiar las actitudes, cambiar las vidas”, plan de acción de Ontario contra la violencia sexual. Este plan de acción cuatrienal, de 15 millones de dólares, se centra en crear conciencia para prevenir la violencia sexual, mejorando los servicios para las víctimas y reforzando la respuesta del sistema de justicia penal. Se elaboró en consulta con más de 350</w:t>
      </w:r>
      <w:r w:rsidR="002C7C35">
        <w:t xml:space="preserve"> </w:t>
      </w:r>
      <w:r w:rsidRPr="000314D4">
        <w:t xml:space="preserve">supervivientes, proveedores de servicios y expertos en los sectores de la comunidad, la salud, la educación y la justicia. </w:t>
      </w:r>
    </w:p>
    <w:p w:rsidR="002304AC" w:rsidRPr="000314D4" w:rsidRDefault="002304AC" w:rsidP="002304AC">
      <w:pPr>
        <w:pStyle w:val="SingleTxt"/>
        <w:numPr>
          <w:ilvl w:val="0"/>
          <w:numId w:val="6"/>
        </w:numPr>
        <w:ind w:left="1267" w:firstLine="0"/>
      </w:pPr>
      <w:r w:rsidRPr="000314D4">
        <w:t>El Plan de acción gubernamental contra las agresiones sexuales de Quebec para el período de 2008 a 2013 se ha prorrogado hasta que se apruebe un nuevo plan. El Plan incluye 100 compromisos y se han invertido 149 millones de dólares para su aplicación desde abril de 2008 hasta marzo de 2014.</w:t>
      </w:r>
    </w:p>
    <w:p w:rsidR="002304AC" w:rsidRPr="000314D4" w:rsidRDefault="002304AC" w:rsidP="002304AC">
      <w:pPr>
        <w:pStyle w:val="SingleTxt"/>
        <w:numPr>
          <w:ilvl w:val="0"/>
          <w:numId w:val="6"/>
        </w:numPr>
        <w:ind w:left="1267" w:firstLine="0"/>
      </w:pPr>
      <w:r w:rsidRPr="000314D4">
        <w:t>En 2014, el gobierno de Alberta proporcionó financiación para capacitar al personal de los Centros Nativos de Amistad (Native Friendship Centres) en el marco de “I Am A Kind Man” (“Soy un hombre amable”), un programa contra la violencia dirigido a hombres y niños varones que tuvo su origen en Ontario.</w:t>
      </w:r>
    </w:p>
    <w:p w:rsidR="002304AC" w:rsidRPr="000314D4" w:rsidRDefault="002304AC" w:rsidP="002304AC">
      <w:pPr>
        <w:pStyle w:val="SingleTxt"/>
        <w:numPr>
          <w:ilvl w:val="0"/>
          <w:numId w:val="6"/>
        </w:numPr>
        <w:ind w:left="1267" w:firstLine="0"/>
      </w:pPr>
      <w:r w:rsidRPr="000314D4">
        <w:t>En 2014, Nueva Brunswick actualizó los Protocolos para Mujeres Víctimas de Malos Tratos, que constan de una serie de instrumentos en los que se describen las funciones de departamentos y organismos, las medidas que hay que adoptar para hacer frente a la violencia contra la mujer, y los medios para ponerse en contacto con los asociados y para establecer un planteamiento comunitario con respecto a la seguridad y la prevención de la violencia contra la mujer.</w:t>
      </w:r>
    </w:p>
    <w:p w:rsidR="002304AC" w:rsidRPr="000314D4" w:rsidRDefault="002304AC" w:rsidP="002304AC">
      <w:pPr>
        <w:pStyle w:val="SingleTxt"/>
        <w:numPr>
          <w:ilvl w:val="0"/>
          <w:numId w:val="6"/>
        </w:numPr>
        <w:ind w:left="1267" w:firstLine="0"/>
      </w:pPr>
      <w:r w:rsidRPr="000314D4">
        <w:t>En agosto de 2009, el gobierno del Yukón publicó una Estrategia Quinquenal para las Víctimas de Delitos, que se centra en las necesidades de estas haciendo hincapié en abordar la violencia contra la mujer. Esta estrategia reconoce, formaliza y fortalece los servicios que el gobierno ya está prestando; explora iniciativas nuevas e incipientes, incluidas las opciones legislativas, para proporcionar más servicios; e insiste en la colaboración con otros agentes a fin de examinar nuevos apoyos para las víctimas de delitos.</w:t>
      </w:r>
    </w:p>
    <w:p w:rsidR="002304AC" w:rsidRPr="000314D4" w:rsidRDefault="002304AC" w:rsidP="002304AC">
      <w:pPr>
        <w:pStyle w:val="SingleTxt"/>
        <w:numPr>
          <w:ilvl w:val="0"/>
          <w:numId w:val="6"/>
        </w:numPr>
        <w:ind w:left="1267" w:firstLine="0"/>
      </w:pPr>
      <w:r w:rsidRPr="000314D4">
        <w:t>En abril de 2014, Manitoba anunció un plan de cuatro puntos para hacer frente a las agresiones sexuales que incluye la Iniciativa Mundial de Ciudades Seguras de ONU-Mujeres; protocolos sobre agresiones sexuales; una campaña de concienciación pública; y un foro de intercambio de conocimientos sobre agresiones sexuales.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 xml:space="preserve">Violencia doméstica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Tras consultar a organismos públicos, paraestatales y comunitarios que trabajan con víctimas de la violencia doméstica, así como organizaciones aborígenes, asociaciones, organizaciones especializadas y grupos de investigación, Quebec lanzó un tercer plan de acción sobre la violencia doméstica, que abarca el período de 2012 a 2017, con el objetivo de garantizar la seguridad de las víctimas e incrementar la asistencia a estas, incluidos los niños vulnerables, y mejorar la asistencia y el asesoramiento para los cónyuges que tienen un comportamiento violento. Hay 100 medidas aplicables a todo el mundo y 35 medidas aplicables de manera específica a las personas aborígenes. Se estima que se necesitarán 57</w:t>
      </w:r>
      <w:r w:rsidR="002C7C35">
        <w:t xml:space="preserve"> </w:t>
      </w:r>
      <w:r w:rsidRPr="000314D4">
        <w:t>millones de dólares a lo largo de 5 años para la aplicación del plan.</w:t>
      </w:r>
    </w:p>
    <w:p w:rsidR="002304AC" w:rsidRPr="000314D4" w:rsidRDefault="002304AC" w:rsidP="002304AC">
      <w:pPr>
        <w:pStyle w:val="SingleTxt"/>
        <w:numPr>
          <w:ilvl w:val="0"/>
          <w:numId w:val="6"/>
        </w:numPr>
        <w:ind w:left="1267" w:firstLine="0"/>
      </w:pPr>
      <w:r w:rsidRPr="000314D4">
        <w:t xml:space="preserve">En 2013, el gobierno de Alberta publicó un Marco para Acabar con la Violencia Familiar en Alberta, que incluye medidas concretas para abordar la igualdad entre los géneros en el contexto de la violencia familiar. El Marco se apoya en las medidas de intervención y prevención vigentes y mejora las estrategias existentes con prácticas basadas en datos empíricos. </w:t>
      </w:r>
    </w:p>
    <w:p w:rsidR="002304AC" w:rsidRPr="000314D4" w:rsidRDefault="002304AC" w:rsidP="002304AC">
      <w:pPr>
        <w:pStyle w:val="SingleTxt"/>
        <w:numPr>
          <w:ilvl w:val="0"/>
          <w:numId w:val="6"/>
        </w:numPr>
        <w:ind w:left="1267" w:firstLine="0"/>
      </w:pPr>
      <w:r w:rsidRPr="000314D4">
        <w:t>En 2014, el gobierno de la Columbia Británica publicó un Plan Trienal Provincial sobre la Violencia Doméstica. Este plan es el resultado de las consultas celebradas con los interesados públicos y activos contra la violencia, e incluye compromisos orientados a crear más dependencias de violencia doméstica, programas para familias aborígenes, servicios directos para los autores de transgresiones, y un mejor acceso a los servicios y la vivienda social para los supervivientes en las comunidades rurales y remotas. Este plan también incluye compromisos para desarrollar una respuesta aborigen y enfoques específicos para tratar las necesidades exclusivas de las mujeres inmigrantes y refugiadas y de las mujeres con discapacidad.</w:t>
      </w:r>
    </w:p>
    <w:p w:rsidR="002304AC" w:rsidRPr="000314D4" w:rsidRDefault="002304AC" w:rsidP="002304AC">
      <w:pPr>
        <w:pStyle w:val="SingleTxt"/>
        <w:numPr>
          <w:ilvl w:val="0"/>
          <w:numId w:val="6"/>
        </w:numPr>
        <w:ind w:left="1267" w:firstLine="0"/>
      </w:pPr>
      <w:r w:rsidRPr="000314D4">
        <w:t xml:space="preserve">El Tribunal Facultativo para la Instrucción de las Causas de Violencia Doméstica del gobierno de los Territorios del Noroeste ofrece un programa de ocho semanas para los acusados de violencia doméstica que están dispuestos a asumir la responsabilidad de sus actos. Los acusados son seleccionados cuidadosamente para participar en el programa, y el hecho de haber completado con éxito el tratamiento es un factor de atenuación de sentencia. El programa concluyó su sexta sesión en marzo de 2014 y, hasta entonces, 33 personas lo habían completado con éxito. </w:t>
      </w:r>
    </w:p>
    <w:p w:rsidR="002304AC" w:rsidRPr="000314D4" w:rsidRDefault="002304AC" w:rsidP="002304AC">
      <w:pPr>
        <w:pStyle w:val="SingleTxt"/>
        <w:numPr>
          <w:ilvl w:val="0"/>
          <w:numId w:val="6"/>
        </w:numPr>
        <w:ind w:left="1267" w:firstLine="0"/>
      </w:pPr>
      <w:r w:rsidRPr="000314D4">
        <w:t xml:space="preserve">El Comité de Acción del Primer Ministro para la Prevención de la Violencia Doméstica de la Isla del Príncipe Eduardo incluye a representantes gubernamentales y comunitarios, como, por ejemplo, grupos de mujeres, que colaboran en la prevención de la violencia familiar. En los cinco últimos años, este comité ha involucrado a las comunidades y las escuelas en la Semana de la Prevención de la Violencia Familiar; ha establecido un modelo mejorado de atención a los pacientes que acuden a los servicios de urgencia para recibir tratamiento después de sufrir agresiones sexuales; ha ofrecido una serie de oportunidades de capacitación avanzada para profesionales que trabajan para prevenir la violencia familiar; y ha ampliado los recursos disponibles en su sitio web para mujeres y hombres víctimas de violencia familiar, para vecinos, amigos y familiares, y para grupos religiosos. </w:t>
      </w:r>
    </w:p>
    <w:p w:rsidR="002304AC" w:rsidRPr="000314D4" w:rsidRDefault="002304AC" w:rsidP="002304AC">
      <w:pPr>
        <w:pStyle w:val="SingleTxt"/>
        <w:numPr>
          <w:ilvl w:val="0"/>
          <w:numId w:val="6"/>
        </w:numPr>
        <w:ind w:left="1267" w:firstLine="0"/>
      </w:pPr>
      <w:r w:rsidRPr="000314D4">
        <w:t>El gobierno de Manitoba tiene en marcha una campaña de concienciación pública bajo el lema “Alto a la violencia”, que cuenta con una variedad de documentos de referencia para promover relaciones no violentas e intervenciones apropiadas. La provincia ha declarado el mes de abril de cada año como el Mes de la Concienciación sobre las Agresiones Sexuales.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Matrimonio infantil, precoz y forzoso, y violencia por motivos de “honor”</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En los últimos años se han intensificado las iniciativas de los gobiernos y las organizaciones no gubernamentales en el Canadá para abordar la cuestión del matrimonio precoz y forzoso en el ámbito nacional. En la Alocución del Trono de octubre de 2013, el Gobierno del Canadá se comprometió a adoptar medidas para garantizar que no se celebraran matrimonios precoces ni forzosos en el país. En respuesta a este compromiso, el 5 de noviembre de 2014 se presentó en el Senado el proyecto de ley S-7, ley de enmienda de la Ley de Inmigración y Protección de los Refugiados, la Ley del Matrimonio Civil y el Código Penal, y en virtud de la cual se introducían las enmiendas pertinentes en otras leyes. Las enmiendas propuestas ayudarán a proteger a las mujeres y los niños frente a prácticas nocivas como el matrimonio precoz y forzoso y la poligamia, y a garantizar que las personas que asesinan en nombre del honor respondan plenamente de sus actos. Estas enmiendas mejorarán las protecciones jurídicas para los canadienses vulnerables, en particular las mujeres y niñas inmigrantes, frente a estas formas insidiosas de violencia familiar.</w:t>
      </w:r>
    </w:p>
    <w:p w:rsidR="002304AC" w:rsidRPr="000314D4" w:rsidRDefault="002304AC" w:rsidP="002304AC">
      <w:pPr>
        <w:pStyle w:val="SingleTxt"/>
        <w:numPr>
          <w:ilvl w:val="0"/>
          <w:numId w:val="6"/>
        </w:numPr>
        <w:ind w:left="1267" w:firstLine="0"/>
      </w:pPr>
      <w:r w:rsidRPr="000314D4">
        <w:t>El Gobierno del Canadá ha creado un grupo de trabajo interdepartamental sobre el matrimonio forzoso y la violencia basada en el honor, bajo los auspicios de la iniciativa federal sobre la violencia familiar, para que actúe como centro de coordinación de medidas colaborativas</w:t>
      </w:r>
      <w:r w:rsidRPr="003B23E1">
        <w:rPr>
          <w:color w:val="FF0000"/>
          <w:vertAlign w:val="superscript"/>
        </w:rPr>
        <w:footnoteReference w:id="13"/>
      </w:r>
      <w:r w:rsidRPr="000314D4">
        <w:t>.</w:t>
      </w:r>
    </w:p>
    <w:p w:rsidR="002304AC" w:rsidRPr="000314D4" w:rsidRDefault="002304AC" w:rsidP="002304AC">
      <w:pPr>
        <w:pStyle w:val="SingleTxt"/>
        <w:numPr>
          <w:ilvl w:val="0"/>
          <w:numId w:val="6"/>
        </w:numPr>
        <w:ind w:left="1267" w:firstLine="0"/>
      </w:pPr>
      <w:r w:rsidRPr="000314D4">
        <w:t xml:space="preserve">En el plano internacional, el Canadá ha situado la eliminación del matrimonio infantil, precoz y forzoso entre sus prioridades en materia de política exterior y desarrollo, y ha desempeñado un papel importante a la hora de lograr que el mundo dedique atención y esfuerzos a poner fin a esta práctica nociva en todo el planeta.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Ciberacoso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proyecto de ley C-13, Ley de Protección de los Canadienses contra la Delincuencia a través de Internet, se presentó en la Cámara de los Comunes en noviembre de 2013. Esta Ley aborda la distribución no consensuada de imágenes íntimas y trata de modernizar las atribuciones de investigación existentes (mandamientos y otras órdenes judiciales) para permitir a la policía —bajo supervisión judicial previa— obtener pruebas electrónicas de Internet y otras nuevas tecnologías de manera más eficiente y eficaz. Entre otras cosas, propone prohibir la distribución no consensuada de imágenes íntimas y facultar a un tribunal para que ordene la retirada de imágenes íntimas de Internet. También propone ampliar la definición de “grupo identificable” en los delitos relacionados con la propaganda que incita al odio en el Código Penal con el fin de incluir el “sexo”, entre otros nuevos motivos. </w:t>
      </w:r>
    </w:p>
    <w:p w:rsidR="002304AC" w:rsidRPr="000314D4" w:rsidRDefault="002304AC" w:rsidP="002304AC">
      <w:pPr>
        <w:pStyle w:val="SingleTxt"/>
        <w:numPr>
          <w:ilvl w:val="0"/>
          <w:numId w:val="6"/>
        </w:numPr>
        <w:ind w:left="1267" w:firstLine="0"/>
      </w:pPr>
      <w:r w:rsidRPr="000314D4">
        <w:t xml:space="preserve">En enero de 2014, el Gobierno del Canadá inició la campaña de concienciación nacional contra el ciberacoso titulada “Stop Hating Online” (“Alto al odio en Internet”), un recurso integral para padres y jóvenes con el que se pretende ayudar a detener el ciberacoso centrando la atención en sus consecuencias y en cómo este comportamiento constituye una actividad delictiva. </w:t>
      </w:r>
    </w:p>
    <w:p w:rsidR="002304AC" w:rsidRPr="000314D4" w:rsidRDefault="002304AC" w:rsidP="002304AC">
      <w:pPr>
        <w:pStyle w:val="SingleTxt"/>
        <w:numPr>
          <w:ilvl w:val="0"/>
          <w:numId w:val="6"/>
        </w:numPr>
        <w:ind w:left="1267" w:firstLine="0"/>
      </w:pPr>
      <w:r w:rsidRPr="000314D4">
        <w:t>En 2013, Nueva Escocia promulgó la Ley de Seguridad Cibernética, que establece disposiciones para que los tribunales dicten órdenes de protección, para que los acosados denuncien al acosador cibernético o a los padres de este, y para que se atribuya con más claridad a los directores de las escuelas la responsabilidad de adoptar medidas cuando exista ciberacoso.</w:t>
      </w:r>
    </w:p>
    <w:p w:rsidR="002304AC" w:rsidRPr="000314D4" w:rsidRDefault="002304AC" w:rsidP="002304AC">
      <w:pPr>
        <w:pStyle w:val="SingleTxt"/>
        <w:numPr>
          <w:ilvl w:val="0"/>
          <w:numId w:val="6"/>
        </w:numPr>
        <w:ind w:left="1267" w:firstLine="0"/>
      </w:pPr>
      <w:r w:rsidRPr="000314D4">
        <w:t xml:space="preserve">En 2013, el gobierno de Saskatchewan publicó su Plan de Acción para Abordar el Acoso y el Ciberacoso. Este plan proporcionará a los estudiantes, las familias y las escuelas conocimientos, aptitudes, recursos y apoyos para ayudar a los niños y jóvenes de Saskatchewan a sentirse seguros y aceptados en la escuela, en su comunidad y en Internet. Su propósito es abordar los comportamientos tendentes al acoso y promover unas relaciones positivas para todos los niños. </w:t>
      </w:r>
    </w:p>
    <w:p w:rsidR="002304AC" w:rsidRPr="000314D4" w:rsidRDefault="002304AC" w:rsidP="002304AC">
      <w:pPr>
        <w:pStyle w:val="SingleTxt"/>
        <w:spacing w:after="0" w:line="120" w:lineRule="exact"/>
        <w:rPr>
          <w:sz w:val="10"/>
          <w:szCs w:val="24"/>
        </w:rPr>
      </w:pPr>
    </w:p>
    <w:p w:rsidR="002304AC" w:rsidRPr="007D25F0"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25F0">
        <w:t>Servicios de asistencia a las víctimas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Actividades de apoyo y servicios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el marco de la iniciativa sobre la violencia familiar, una alianza para coordinar actividades entre 15 ministerios federales, el Gobierno del Canadá dirige un centro de recursos en línea para profesionales en materia de violencia familiar y el público en general. Desde 2009, las páginas web han recibido un promedio aproximado de 194.500 visitas al año. El Gobierno está desarrollando las páginas web con una plataforma modernizada y nuevos contenidos, entre los que se incluyen estadísticas actualizadas sobre la violencia contra la mujer, herramientas para profesionales que trabajan con mujeres y niños que han sufrido violencia familiar, e información para mujeres que necesitan ayuda para hacer frente a la violencia familiar. </w:t>
      </w:r>
    </w:p>
    <w:p w:rsidR="002304AC" w:rsidRPr="000314D4" w:rsidRDefault="002304AC" w:rsidP="002304AC">
      <w:pPr>
        <w:pStyle w:val="SingleTxt"/>
        <w:numPr>
          <w:ilvl w:val="0"/>
          <w:numId w:val="6"/>
        </w:numPr>
        <w:ind w:left="1267" w:firstLine="0"/>
      </w:pPr>
      <w:r w:rsidRPr="000314D4">
        <w:t>En Quebec, se han adoptado medidas encaminadas a promover la complementariedad de los servicios y la coherencia en las intervenciones psicosociales, jurídicas, policiales y penales con respecto a la violencia doméstica, sexual y familiar. Se han logrado enormes avances.</w:t>
      </w:r>
    </w:p>
    <w:p w:rsidR="002304AC" w:rsidRPr="000314D4" w:rsidRDefault="002304AC" w:rsidP="002304AC">
      <w:pPr>
        <w:pStyle w:val="SingleTxt"/>
        <w:numPr>
          <w:ilvl w:val="0"/>
          <w:numId w:val="6"/>
        </w:numPr>
        <w:ind w:left="1267" w:firstLine="0"/>
      </w:pPr>
      <w:r w:rsidRPr="000314D4">
        <w:t>El Gobierno también financia centros de ayuda a las víctimas de actos criminales (CAVAC) que ofrecen servicios de primera línea a todas las víctimas de delitos, sus familiares y los testigos de delitos penales. Esta financiación permitió que se ampliaran los servicios prestados por los CAVAC en Nunavik y a la comunidad cree. La financiación también se destina a centros de ayuda y de lucha contra las agresiones sexuales (CALAC), que han establecido una línea telefónica confidencial, gratuita y bilingüe para víctimas de agresiones sexuales, así como para familiares de víctimas y para asistentes sociales, la cual está operativa en todo Quebec las 24 horas del día los 7 días de la semana.</w:t>
      </w:r>
    </w:p>
    <w:p w:rsidR="002304AC" w:rsidRPr="000314D4" w:rsidRDefault="002304AC" w:rsidP="002304AC">
      <w:pPr>
        <w:pStyle w:val="SingleTxt"/>
        <w:numPr>
          <w:ilvl w:val="0"/>
          <w:numId w:val="6"/>
        </w:numPr>
        <w:ind w:left="1267" w:firstLine="0"/>
      </w:pPr>
      <w:r w:rsidRPr="000314D4">
        <w:t>Quebec también ha introducido enmiendas legislativas que permiten a los ciudadanos rescindir un contrato de arrendamiento de vivienda por motivos de violencia doméstica o agresiones sexuales, así como otra enmienda legislativa que extiende de 3 a 10 años el plazo de prescripción aplicable a las acciones de responsabilidad civil en aquellos supuestos en que un acto que cause lesiones corporales pueda constituir un delito penal. El límite es 30 años cuando las lesiones se deban a agresiones sexuales, violencia sufrida en la niñez o violencia a manos de un cónyuge o excónyuge.</w:t>
      </w:r>
    </w:p>
    <w:p w:rsidR="002304AC" w:rsidRPr="000314D4" w:rsidRDefault="002304AC" w:rsidP="002304AC">
      <w:pPr>
        <w:pStyle w:val="SingleTxt"/>
        <w:numPr>
          <w:ilvl w:val="0"/>
          <w:numId w:val="6"/>
        </w:numPr>
        <w:ind w:left="1267" w:firstLine="0"/>
      </w:pPr>
      <w:r w:rsidRPr="000314D4">
        <w:t xml:space="preserve">Además, a raíz de una evaluación de las necesidades con miras a adaptar los servicios prestados a mujeres con discapacidad que son víctimas de violencia doméstica, al plan de acción sobre la violencia doméstica se le añadieron nuevas medidas destinadas específicamente a estas mujeres. </w:t>
      </w:r>
    </w:p>
    <w:p w:rsidR="002304AC" w:rsidRPr="000314D4" w:rsidRDefault="002304AC" w:rsidP="002304AC">
      <w:pPr>
        <w:pStyle w:val="SingleTxt"/>
        <w:numPr>
          <w:ilvl w:val="0"/>
          <w:numId w:val="6"/>
        </w:numPr>
        <w:ind w:left="1267" w:firstLine="0"/>
      </w:pPr>
      <w:r w:rsidRPr="000314D4">
        <w:t>El programa de centros de lucha contra las agresiones sexuales del gobierno de Ontario ofrece apoyo y servicios a mujeres supervivientes de violencia sexual que tienen 16 o más años, y a sus familiares, parejas y amigos. En toda la provincia hay 40</w:t>
      </w:r>
      <w:r w:rsidR="002C7C35">
        <w:t xml:space="preserve"> </w:t>
      </w:r>
      <w:r w:rsidRPr="000314D4">
        <w:t>organismos que prestan servicios como, por ejemplo, asesoramiento individualizado y en grupo, servicios de información y remisión, promoción y acompañamiento, asistencia práctica y acceso a una línea telefónica de crisis y apoyo operativa las 24 horas del día. Entre 2012 y 2013, el programa proporcionó asesoramiento individualizado a 7.164 beneficiarios y asesoramiento en grupo a 2.005 beneficiarios, y tramitó 12.151 remisiones a otros servicios.</w:t>
      </w:r>
    </w:p>
    <w:p w:rsidR="002304AC" w:rsidRPr="000314D4" w:rsidRDefault="002304AC" w:rsidP="002304AC">
      <w:pPr>
        <w:pStyle w:val="SingleTxt"/>
        <w:numPr>
          <w:ilvl w:val="0"/>
          <w:numId w:val="6"/>
        </w:numPr>
        <w:ind w:left="1267" w:firstLine="0"/>
      </w:pPr>
      <w:r w:rsidRPr="000314D4">
        <w:t>El Programa Autorizado sobre Violencia Familiar de Ontario, disponible a través de algunos albergues y centros comunitarios de asistencia jurídica, ofrece consultas de emergencia de dos horas con un abogado privado para supervivientes de violencia doméstica que necesitan asistencia inmediata. Este programa también proporciona asesoramiento sobre cuestiones relacionadas con la inmigración y los refugiados.</w:t>
      </w:r>
    </w:p>
    <w:p w:rsidR="002304AC" w:rsidRPr="000314D4" w:rsidRDefault="002304AC" w:rsidP="002304AC">
      <w:pPr>
        <w:pStyle w:val="SingleTxt"/>
        <w:numPr>
          <w:ilvl w:val="0"/>
          <w:numId w:val="6"/>
        </w:numPr>
        <w:ind w:left="1267" w:firstLine="0"/>
      </w:pPr>
      <w:r w:rsidRPr="000314D4">
        <w:t>El Gobierno también creó el Programa de Trabajadores de Apoyo en Tribunales de Familia para ayudar a las víctimas de violencia doméstica a lo largo del proceso de separación o divorcio. Este programa se ofrece en 49 distritos judiciales de todo Ontario y sus objetivos principales son ofrecer apoyos a las víctimas de violencia doméstica que están inmersas en el proceso de un tribunal de familia; abordar la seguridad de las víctimas mediante la planificación de la seguridad; y lograr que las víctimas sean más conscientes de los servicios y apoyos que están a su disposición. Desde el inicio de los servicios en 2012 hasta el 31 de marzo de 2014, el programa ha recibido 15.326 remisiones y ha ayudado a 13.865</w:t>
      </w:r>
      <w:r w:rsidR="002C7C35">
        <w:t xml:space="preserve"> </w:t>
      </w:r>
      <w:r w:rsidRPr="000314D4">
        <w:t>beneficiarios.</w:t>
      </w:r>
    </w:p>
    <w:p w:rsidR="002304AC" w:rsidRPr="000314D4" w:rsidRDefault="002304AC" w:rsidP="002304AC">
      <w:pPr>
        <w:pStyle w:val="SingleTxt"/>
        <w:numPr>
          <w:ilvl w:val="0"/>
          <w:numId w:val="6"/>
        </w:numPr>
        <w:ind w:left="1267" w:firstLine="0"/>
      </w:pPr>
      <w:r w:rsidRPr="000314D4">
        <w:t xml:space="preserve">Entre 2012 y 2013, el gobierno de Saskatchewan inició una expansión de sus servicios de apoyo a las víctimas, incluida la mejora de la prestación en toda la provincia de servicios de apoyo a las víctimas y a los testigos, incrementando el número de oficinas regionales de 4 a 6. Estos programas proporcionan apoyo y orientación judicial a los niños víctimas y a otros testigos vulnerables para reducir el miedo, la ansiedad y los nuevos traumas que puede provocar el hecho de testificar. </w:t>
      </w:r>
    </w:p>
    <w:p w:rsidR="002304AC" w:rsidRPr="000314D4" w:rsidRDefault="002304AC" w:rsidP="002304AC">
      <w:pPr>
        <w:pStyle w:val="SingleTxt"/>
        <w:numPr>
          <w:ilvl w:val="0"/>
          <w:numId w:val="6"/>
        </w:numPr>
        <w:ind w:left="1267" w:firstLine="0"/>
      </w:pPr>
      <w:r w:rsidRPr="000314D4">
        <w:t>También se extendieron por la provincia los servicios a las víctimas dirigidos por la policía hasta llegar a 11 instancias policiales entre 2013 y 2014, y se prevé que las 23 instancias policiales restantes reciban los servicios entre 2014 y 2015. Estos servicios proporcionan apoyo, información y remisiones a las víctimas de delitos inmediatamente después de un incidente y a lo largo de todo el proceso de justicia penal.</w:t>
      </w:r>
    </w:p>
    <w:p w:rsidR="002304AC" w:rsidRPr="000314D4" w:rsidRDefault="002304AC" w:rsidP="002304AC">
      <w:pPr>
        <w:pStyle w:val="SingleTxt"/>
        <w:numPr>
          <w:ilvl w:val="0"/>
          <w:numId w:val="6"/>
        </w:numPr>
        <w:ind w:left="1267" w:firstLine="0"/>
      </w:pPr>
      <w:r w:rsidRPr="006050BA">
        <w:t>En junio de 2013, Saskatchewan también enmendó el Reglamento relativo a las Víctimas de Delitos para añadir los delitos del Código Penal por los que las víctimas pueden solicitar indemnización, entre ellos la reclusión forzada y la trata de personas.</w:t>
      </w:r>
    </w:p>
    <w:p w:rsidR="002304AC" w:rsidRPr="006050BA" w:rsidRDefault="002304AC" w:rsidP="002304AC">
      <w:pPr>
        <w:pStyle w:val="SingleTxt"/>
        <w:numPr>
          <w:ilvl w:val="0"/>
          <w:numId w:val="6"/>
        </w:numPr>
        <w:ind w:left="1267" w:firstLine="0"/>
      </w:pPr>
      <w:r w:rsidRPr="006050BA">
        <w:t>En 2012 entró en vigor la Ley contra la Explotación Sexual de Niños y la Trata de Personas de Manitoba, que permite a las víctimas de explotación sexual de niños y de trata de personas obtener órdenes judiciales de protección.</w:t>
      </w:r>
    </w:p>
    <w:p w:rsidR="002304AC" w:rsidRPr="000314D4" w:rsidRDefault="002304AC" w:rsidP="002304AC">
      <w:pPr>
        <w:pStyle w:val="SingleTxt"/>
        <w:numPr>
          <w:ilvl w:val="0"/>
          <w:numId w:val="6"/>
        </w:numPr>
        <w:ind w:left="1267" w:firstLine="0"/>
      </w:pPr>
      <w:r w:rsidRPr="000314D4">
        <w:t xml:space="preserve">Manitoba cuenta con nueve centros de recursos para mujeres que ofrecen asesoramiento individualizado, información y remisión, servicios de divulgación y grupos de apoyo a mujeres afectadas por la violencia doméstica, así como programas educativos, servicios para niños, capacitación de voluntarios y actividades de desarrollo de la comunidad.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 xml:space="preserve">Albergues y alojamientos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Desde 2011, el Gobierno del Canadá ha celebrado acuerdos bilaterales de inversión en la construcción de viviendas asequibles con la mayoría de las provincias y los territorios. En virtud de estos acuerdos, las provincias y los territorios complementan la financiación federal y tienen la flexibilidad necesaria para diseñar y llevar a cabo programas de vivienda con el fin de responder a sus necesidades y prioridades de vivienda locales, incluidos los alojamientos para víctimas de violencia familiar. Las provincias y los territorios tienen la obligación de asignar un mínimo de 1,9 millones de dólares anuales en financiación federal a las víctimas de violencia familiar. El Ministerio de Asuntos Aborígenes y de Desarrollo del Norte del Canadá proporciona unos 18,5 millones de dólares en financiación para una red existente de 41 albergues en las provincias y en el Yukón. El 15 de septiembre de 2014, el Gobierno del Canadá publicó su plan de acción para hacer frente a la violencia en la familia y los delitos violentos contra las mujeres y las niñas aborígenes. Como parte del plan de acción, a partir del 1 de abril de 2015, el Gobierno invertirá otros 158,7 millones de dólares a lo largo de 5 años en albergues y actividades de prevención de la violencia familiar dentro y fuera de las reservas. </w:t>
      </w:r>
    </w:p>
    <w:p w:rsidR="002304AC" w:rsidRPr="000314D4" w:rsidRDefault="002304AC" w:rsidP="002304AC">
      <w:pPr>
        <w:pStyle w:val="SingleTxt"/>
        <w:numPr>
          <w:ilvl w:val="0"/>
          <w:numId w:val="6"/>
        </w:numPr>
        <w:ind w:left="1267" w:firstLine="0"/>
      </w:pPr>
      <w:r w:rsidRPr="000314D4">
        <w:t>Desde 2008 hasta septiembre de 2014, se destinaron cerca de 88 millones de dólares en contribuciones federales, provinciales y territoriales a crear o renovar y mejorar 4.693 plazas o camas en albergues para víctimas de violencia familiar fuera de las reservas; por otro lado, desde 2008 hasta 2013, se aportaron cerca de 5</w:t>
      </w:r>
      <w:r w:rsidR="002C7C35">
        <w:t xml:space="preserve"> </w:t>
      </w:r>
      <w:r w:rsidRPr="000314D4">
        <w:t xml:space="preserve">millones dólares en financiación federal para 309 plazas o camas en las reservas. </w:t>
      </w:r>
    </w:p>
    <w:p w:rsidR="002304AC" w:rsidRPr="000314D4" w:rsidRDefault="002304AC" w:rsidP="002304AC">
      <w:pPr>
        <w:pStyle w:val="SingleTxt"/>
        <w:numPr>
          <w:ilvl w:val="0"/>
          <w:numId w:val="6"/>
        </w:numPr>
        <w:ind w:left="1267" w:firstLine="0"/>
      </w:pPr>
      <w:r w:rsidRPr="000314D4">
        <w:t>El gobierno de Quebec ha venido proporcionando financiación anual recurrente a 110 albergues de todo el territorio para las mujeres que son víctimas de violencia doméstica y se encuentran en situación de dificultad, y para sus hijos, así como para 2 asociaciones provinciales de estos tipos de organizaciones. En la zona de Montreal se financia de manera recurrente a una organización especializada para mujeres inmigrantes y refugiadas.</w:t>
      </w:r>
    </w:p>
    <w:p w:rsidR="002304AC" w:rsidRPr="000314D4" w:rsidRDefault="002304AC" w:rsidP="002304AC">
      <w:pPr>
        <w:pStyle w:val="SingleTxt"/>
        <w:numPr>
          <w:ilvl w:val="0"/>
          <w:numId w:val="6"/>
        </w:numPr>
        <w:ind w:left="1267" w:firstLine="0"/>
      </w:pPr>
      <w:r w:rsidRPr="000314D4">
        <w:t>El componente de renovación del Programa de Mejora de Albergues de Quebec presta asistencia financiera para la renovación de los albergues temporales existentes destinados a mujeres que son víctimas de violencia familiar. Entre el 28</w:t>
      </w:r>
      <w:r w:rsidR="002C7C35">
        <w:t xml:space="preserve"> </w:t>
      </w:r>
      <w:r w:rsidRPr="000314D4">
        <w:t>de febrero de 2010 y el 31 de marzo de 2014, se renovaron 281 unidades para mujeres víctimas de violencia y sus hijos, y para jóvenes en situación de dificultad menores de 29 años.</w:t>
      </w:r>
    </w:p>
    <w:p w:rsidR="002304AC" w:rsidRPr="000314D4" w:rsidRDefault="002304AC" w:rsidP="002304AC">
      <w:pPr>
        <w:pStyle w:val="SingleTxt"/>
        <w:numPr>
          <w:ilvl w:val="0"/>
          <w:numId w:val="6"/>
        </w:numPr>
        <w:ind w:left="1267" w:firstLine="0"/>
      </w:pPr>
      <w:r w:rsidRPr="000314D4">
        <w:t>El gobierno de Ontario ha invertido 142 millones de dólares en programas destinados a incrementar la seguridad de las mujeres que están sufriendo malos tratos y la de sus hijos. Parte de esta financiación ayuda a 95 organismos a gestionar albergues que prestan servicio a alrededor de 12.000 mujeres y 8.000 niños cada año.</w:t>
      </w:r>
    </w:p>
    <w:p w:rsidR="002304AC" w:rsidRPr="000314D4" w:rsidRDefault="002304AC" w:rsidP="002304AC">
      <w:pPr>
        <w:pStyle w:val="SingleTxt"/>
        <w:numPr>
          <w:ilvl w:val="0"/>
          <w:numId w:val="6"/>
        </w:numPr>
        <w:ind w:left="1267" w:firstLine="0"/>
      </w:pPr>
      <w:r w:rsidRPr="000314D4">
        <w:t>En virtud de su Ley de Servicios de la Vivienda de 2011, la Política de Prioridad Especial de Ontario ofrece acceso prioritario a vivienda cuyo alquiler se ajusta a los ingresos a las víctimas de violencia doméstica. Los administradores de los servicios tienen la obligación de situar a los solicitantes que reúnen los requisitos oportunos en los primeros lugares de la lista de espera. En 2012, aproximadamente 4.500 solicitantes nuevos y existentes consiguieron una vivienda cuyo alquiler se ajustaba a los ingresos.</w:t>
      </w:r>
    </w:p>
    <w:p w:rsidR="002304AC" w:rsidRPr="000314D4" w:rsidRDefault="002304AC" w:rsidP="002304AC">
      <w:pPr>
        <w:pStyle w:val="SingleTxt"/>
        <w:numPr>
          <w:ilvl w:val="0"/>
          <w:numId w:val="6"/>
        </w:numPr>
        <w:ind w:left="1267" w:firstLine="0"/>
      </w:pPr>
      <w:r w:rsidRPr="000314D4">
        <w:t>El gobierno de Alberta proporciona financiación regular a los refugios de emergencia de mujeres de toda la provincia y a la red de centros de lucha contra las agresiones sexuales. Entre 2013 y 2014, los refugios de emergencia de mujeres dieron servicio a 7.604 mujeres y 7.766 niños, y, en un día en 2013, 41 de esos refugios ayudaron a 926 mujeres y 1.102 niños.</w:t>
      </w:r>
    </w:p>
    <w:p w:rsidR="002304AC" w:rsidRPr="000314D4" w:rsidRDefault="002304AC" w:rsidP="002304AC">
      <w:pPr>
        <w:pStyle w:val="SingleTxt"/>
        <w:numPr>
          <w:ilvl w:val="0"/>
          <w:numId w:val="6"/>
        </w:numPr>
        <w:ind w:left="1267" w:firstLine="0"/>
      </w:pPr>
      <w:r w:rsidRPr="000314D4">
        <w:t>La Columbia Británica financia unas 1.750 camas en albergues permanentes durante todo el año. Aproximadamente 1.610 de estas camas en albergues permanentes se financian a través de su Programa de Refugios de Emergencia y, de ellas, unas 260 se asignan específicamente a mujeres.</w:t>
      </w:r>
    </w:p>
    <w:p w:rsidR="002304AC" w:rsidRPr="000314D4" w:rsidRDefault="002304AC" w:rsidP="002304AC">
      <w:pPr>
        <w:pStyle w:val="SingleTxt"/>
        <w:numPr>
          <w:ilvl w:val="0"/>
          <w:numId w:val="6"/>
        </w:numPr>
        <w:ind w:left="1267" w:firstLine="0"/>
      </w:pPr>
      <w:r w:rsidRPr="000314D4">
        <w:t>Hay cinco albergues para víctimas de la violencia familiar repartidos por los Territorios del Noroeste, destinados a las mujeres y niños que huyen de la violencia. A estos albergues pueden acceder los residentes de todas las comunidades. En las regiones que carecen de albergues, se proporciona financiación con el fin de apoyar el establecimiento de protocolos culturalmente pertinentes y de equipos de respuesta de emergencia con miras a mejorar la seguridad de las víctimas de violencia familiar y a cubrir los gastos de viaje de las mujeres y niños que han de volar a otra comunidad para acceder a un albergue.</w:t>
      </w:r>
    </w:p>
    <w:p w:rsidR="002304AC" w:rsidRPr="000314D4" w:rsidRDefault="002304AC" w:rsidP="002304AC">
      <w:pPr>
        <w:pStyle w:val="SingleTxt"/>
        <w:numPr>
          <w:ilvl w:val="0"/>
          <w:numId w:val="6"/>
        </w:numPr>
        <w:ind w:left="1267" w:firstLine="0"/>
      </w:pPr>
      <w:r w:rsidRPr="000314D4">
        <w:t xml:space="preserve">En 2011, el gobierno de Manitoba anunció otros 2 millones de dólares para ayudar a establecer 18 nuevas camas de transición segura, así como apoyo al programa “Streetreach”, que ayuda a adolescentes explotados a abandonar la calle. </w:t>
      </w:r>
    </w:p>
    <w:p w:rsidR="002304AC" w:rsidRPr="000314D4" w:rsidRDefault="002304AC" w:rsidP="002304AC">
      <w:pPr>
        <w:pStyle w:val="SingleTxt"/>
        <w:numPr>
          <w:ilvl w:val="0"/>
          <w:numId w:val="6"/>
        </w:numPr>
        <w:ind w:left="1267" w:firstLine="0"/>
      </w:pPr>
      <w:r w:rsidRPr="000314D4">
        <w:t xml:space="preserve">Se puede encontrar más información sobre albergues en los párrafos 204 a 230 de la respuesta de enero de 2014.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Violencia contra las mujeres y niñas aborígenes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Los gobiernos del Canadá siguen adoptando iniciativas y medidas para abordar la cuestión de la violencia contra las mujeres y niñas aborígenes. En la respuesta de enero de 2014, se presenta información sustancial sobre las medidas tomadas antes de 2014 y, a continuación, se exponen nuevos avances.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 xml:space="preserve">Reseña operacional nacional sobre las mujeres aborígenes </w:t>
      </w:r>
      <w:r>
        <w:br/>
      </w:r>
      <w:r w:rsidRPr="000314D4">
        <w:t>desaparecidas y asesinadas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El 16 de mayo de 2014, la Real Policía Montada del Canadá (RPMC) publicó una reseña operacional nacional sobre las mujeres aborígenes desaparecidas y asesinadas. Se trataba de un exhaustivo análisis de datos que implicaba un examen manual expediente por expediente de todo el historial de casos de mujeres aborígenes desaparecidas. Además, el examen abarcaba a todas las mujeres aborígenes víctimas de homicidio de 1980 a 2012. La elaboración de este informe contó con la asistencia de la Oficina de Estadísticas del Canadá y de casi 300 organismos policiales de todo el Canadá.</w:t>
      </w:r>
    </w:p>
    <w:p w:rsidR="002304AC" w:rsidRPr="000314D4" w:rsidRDefault="002304AC" w:rsidP="002304AC">
      <w:pPr>
        <w:pStyle w:val="SingleTxt"/>
        <w:numPr>
          <w:ilvl w:val="0"/>
          <w:numId w:val="6"/>
        </w:numPr>
        <w:ind w:left="1267" w:firstLine="0"/>
      </w:pPr>
      <w:r w:rsidRPr="000314D4">
        <w:t>Esta reseña nacional reveló lo siguiente:</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Los casos registrados por la policía de homicidios de mujeres aborígenes y desapariciones no resueltas de mujeres aborígenes ascienden a un total de 1.181, a saber, 164 mujeres desaparecidas y 1.017 víctimas de homicidio.</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Hay 225 casos no resueltos de mujeres aborígenes desaparecidas o asesinadas: 105 desaparecidas durante más de 30 días a fecha de 4 de noviembre de 2013, cuya causa de desaparición se clasificó en su momento como “desconocida” o “presunta comisión de un delito”, y 120 homicidios no resueltos entre 1980 y 2012.</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Se constata una proporción excesiva de mujeres aborígenes entre las mujeres asesinadas y desaparecidas del Canadá.</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Existen similitudes entre todos los homicidios de mujeres. La mayoría de los homicidios fueron cometidos por hombres y la mayoría de los homicidas conocían a sus víctimas, ya fuera porque estas eran personas conocidas o cónyuges.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La mayoría de todos los homicidios de mujeres se han resuelto (cerca del 90%) y se observan pocas diferencias en las tasas de resolución entre víctimas aborígenes y no aborígenes. </w:t>
      </w:r>
    </w:p>
    <w:p w:rsidR="002304AC" w:rsidRPr="000314D4" w:rsidRDefault="002304AC" w:rsidP="002304AC">
      <w:pPr>
        <w:pStyle w:val="SingleTxt"/>
        <w:numPr>
          <w:ilvl w:val="0"/>
          <w:numId w:val="6"/>
        </w:numPr>
        <w:ind w:left="1267" w:firstLine="0"/>
      </w:pPr>
      <w:r w:rsidRPr="000314D4">
        <w:t xml:space="preserve">La identificación de tendencias y circunstancias que rodean a estos casos servirá para informar a la policía y a los organismos asociados de la policía, lo que permitirá mejorar los esfuerzos de prevención e investigación y la rendición de cuentas. También ayudará a la planificación operacional desde el nivel de destacamento hasta el nivel nacional de la RPMC. </w:t>
      </w:r>
    </w:p>
    <w:p w:rsidR="002304AC" w:rsidRPr="000314D4" w:rsidRDefault="002304AC" w:rsidP="002304AC">
      <w:pPr>
        <w:pStyle w:val="SingleTxt"/>
        <w:numPr>
          <w:ilvl w:val="0"/>
          <w:numId w:val="6"/>
        </w:numPr>
        <w:ind w:left="1267" w:firstLine="0"/>
      </w:pPr>
      <w:r w:rsidRPr="000314D4">
        <w:t>Sobre la base del examen de expedientes, la RPMC facilitó datos actualizados relativos a la identidad aborigen de todas las mujeres víctimas de homicidio entre 1980 y 2012 a la Oficina de Estadísticas del Canadá. En adelante, la RPMC proporcionará a la Oficina de Estadísticas del Canadá datos sobre la identidad aborigen de todas las víctimas de homicidio y personas acusadas de homicidio. La Oficina de Estadísticas del Canadá también está colaborando con todos los servicios de policía para mejorar la calidad de estos datos.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right="2190" w:hanging="1260"/>
      </w:pPr>
      <w:r>
        <w:tab/>
      </w:r>
      <w:r>
        <w:tab/>
      </w:r>
      <w:r w:rsidRPr="000314D4">
        <w:t xml:space="preserve">Plan de acción para hacer frente a la violencia en la familia y los delitos violentos contra las mujeres y las niñas aborígenes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febrero de 2013, la Cámara de los Comunes votó de manera unánime a favor de la creación de un comité especial de la Cámara de los Comunes encargado de examinar la importante cuestión de las mujeres aborígenes desaparecidas y asesinadas, y de sugerir soluciones prácticas. Dicho comité escuchó a numerosas personas y grupos, y publicó su informe en marzo de 2014. </w:t>
      </w:r>
    </w:p>
    <w:p w:rsidR="002304AC" w:rsidRPr="000314D4" w:rsidRDefault="002304AC" w:rsidP="002304AC">
      <w:pPr>
        <w:pStyle w:val="SingleTxt"/>
        <w:numPr>
          <w:ilvl w:val="0"/>
          <w:numId w:val="6"/>
        </w:numPr>
        <w:ind w:left="1267" w:firstLine="0"/>
      </w:pPr>
      <w:r w:rsidRPr="000314D4">
        <w:t xml:space="preserve">En septiembre de 2014, en respuesta a las recomendaciones del comité especial y en consonancia con su compromiso recogido en el presupuesto de 2014 de destinar otros 25 millones de dólares a lo largo de 5 años a abordar la violencia contra las mujeres y niñas aborígenes, el Gobierno del Canadá publicó el plan de acción para hacer frente a la violencia en la familia y los delitos violentos contra las mujeres y las niñas aborígenes. </w:t>
      </w:r>
    </w:p>
    <w:p w:rsidR="002304AC" w:rsidRPr="000314D4" w:rsidRDefault="002304AC" w:rsidP="002304AC">
      <w:pPr>
        <w:pStyle w:val="SingleTxt"/>
        <w:numPr>
          <w:ilvl w:val="0"/>
          <w:numId w:val="6"/>
        </w:numPr>
        <w:ind w:left="1267" w:firstLine="0"/>
      </w:pPr>
      <w:r w:rsidRPr="000314D4">
        <w:t xml:space="preserve">Dicho plan de acción quinquenal refleja que esta grave cuestión requiere una acción coordinada y polifacética, y agrupa las medidas que el Gobierno del Canadá adoptará en tres pilares: prevención de la violencia, apoyo a las víctimas aborígenes y protección de las mujeres y niñas aborígenes. </w:t>
      </w:r>
    </w:p>
    <w:p w:rsidR="002304AC" w:rsidRPr="000314D4" w:rsidRDefault="002304AC" w:rsidP="002304AC">
      <w:pPr>
        <w:pStyle w:val="SingleTxt"/>
        <w:numPr>
          <w:ilvl w:val="0"/>
          <w:numId w:val="6"/>
        </w:numPr>
        <w:ind w:left="1267" w:firstLine="0"/>
      </w:pPr>
      <w:r w:rsidRPr="000314D4">
        <w:t>Entre las iniciativas que plantea el plan de acción, se incluyen las siguientes: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Elaboración de más planes de seguridad a nivel de la comunidad en todo el Canadá, incluso en las regiones que la reseña operacional de la RPMC considera como de alto riesgo; </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Proyectos dirigidos a romper los ciclos intergeneracionales de violencia y malos tratos creando conciencia y entablando relaciones saludables;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Proyectos para involucrar a hombres y niños y empoderar a mujeres y niñas en las iniciativas dedicadas a denunciar y prevenir la violencia;</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Servicios de apoyo a las víctimas y asistencia a las víctimas y las familias;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Acciones destinadas a compartir información y recursos con las comunidades y las organizaciones y a informar con regularidad del progreso realizado y los resultados obtenidos en el marco del plan de acción. </w:t>
      </w:r>
    </w:p>
    <w:p w:rsidR="002304AC" w:rsidRPr="000314D4" w:rsidRDefault="002304AC" w:rsidP="002304AC">
      <w:pPr>
        <w:pStyle w:val="SingleTxt"/>
        <w:numPr>
          <w:ilvl w:val="0"/>
          <w:numId w:val="6"/>
        </w:numPr>
        <w:ind w:left="1267" w:firstLine="0"/>
      </w:pPr>
      <w:r w:rsidRPr="000314D4">
        <w:t>Además de la inversión de 25 millones de dólares entre 2015 y 2020, el Gobierno del Canadá está actuando para proteger a las mujeres y niñas aborígenes de la manera siguiente:</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Financiando albergues y actividades de prevención de la violencia familiar, en una cuantía anual de 31,74 millones de dólares;</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Apoyando la creación de un índice de personas desaparecidas basado en el ADN para contribuir a hacer justicia a las familias de esas personas.</w:t>
      </w:r>
    </w:p>
    <w:p w:rsidR="002304AC" w:rsidRPr="000314D4" w:rsidRDefault="002304AC" w:rsidP="002304AC">
      <w:pPr>
        <w:pStyle w:val="SingleTxt"/>
        <w:numPr>
          <w:ilvl w:val="0"/>
          <w:numId w:val="6"/>
        </w:numPr>
        <w:ind w:left="1267" w:firstLine="0"/>
      </w:pPr>
      <w:r w:rsidRPr="000314D4">
        <w:t xml:space="preserve">Este plan de acción, junto con otros tipos de apoyo federal a los albergues, la prevención de la violencia familiar y el aumento de las oportunidades económicas y de liderazgo para las mujeres aborígenes, tendrá como resultado una inversión, por parte del Gobierno del Canadá, de casi 200 millones de dólares a lo largo de 5 años.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 xml:space="preserve">Nuevas iniciativas provinciales y territoriales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Desde la publicación del informe de la Comisión de Investigación sobre Mujeres Desaparecidas, en noviembre de 2013, el gobierno de la Columbia Británica ha seguido trabajando en la aplicación de sus recomendaciones. Entre las medidas clave adoptadas en la primavera de 2014 se incluye el establecimiento, por parte de la provincia, el Gobierno del Canadá y la Ciudad de Vancouver, de un Fondo de Indemnización para ofrecer 50.000 dólares en indemnizaciones a cada uno de los hijos biológicos vivos de las 67 mujeres identificadas en el informe de la Comisión de Investigación sobre Mujeres Desaparecidas.</w:t>
      </w:r>
    </w:p>
    <w:p w:rsidR="002304AC" w:rsidRPr="000314D4" w:rsidRDefault="002304AC" w:rsidP="002304AC">
      <w:pPr>
        <w:pStyle w:val="SingleTxt"/>
        <w:numPr>
          <w:ilvl w:val="0"/>
          <w:numId w:val="6"/>
        </w:numPr>
        <w:ind w:left="1267" w:firstLine="0"/>
      </w:pPr>
      <w:r w:rsidRPr="000314D4">
        <w:t>En 2014, la provincia aprobó la Ley de Personas Desaparecidas, que dotará a la policía de instrumentos que ayudarán a encontrar a personas desaparecidas con mayor brevedad.</w:t>
      </w:r>
    </w:p>
    <w:p w:rsidR="002304AC" w:rsidRPr="000314D4" w:rsidRDefault="002304AC" w:rsidP="002304AC">
      <w:pPr>
        <w:pStyle w:val="SingleTxt"/>
        <w:numPr>
          <w:ilvl w:val="0"/>
          <w:numId w:val="6"/>
        </w:numPr>
        <w:ind w:left="1267" w:firstLine="0"/>
      </w:pPr>
      <w:r w:rsidRPr="000314D4">
        <w:t>Se aprobaron enmiendas a la Ley sobre la Policía, a fin de introducir normas adicionales para apoyar servicios policiales carentes de prejuicios y auditorías para las investigaciones de casos fundamentales no resueltos. Asimismo, actualmente se están elaborando normas para las investigaciones sobre personas desaparecidas, la gestión de casos fundamentales y la cooperación interinstitucional.</w:t>
      </w:r>
    </w:p>
    <w:p w:rsidR="002304AC" w:rsidRPr="002304AC" w:rsidRDefault="002304AC" w:rsidP="002304AC">
      <w:pPr>
        <w:pStyle w:val="SingleTxt"/>
        <w:numPr>
          <w:ilvl w:val="0"/>
          <w:numId w:val="6"/>
        </w:numPr>
        <w:ind w:left="1267" w:firstLine="0"/>
        <w:rPr>
          <w:spacing w:val="2"/>
        </w:rPr>
      </w:pPr>
      <w:r w:rsidRPr="002304AC">
        <w:rPr>
          <w:spacing w:val="2"/>
        </w:rPr>
        <w:t>La provincia también ha proporcionado financiación a la Academia de Policía del Instituto de Justicia de la Columbia Británica para facilitar la integración de los valores básicos de la competencia cultural y los servicios policiales carentes de prejuicios en todos los planes de estudios para la capacitación. Esto implicará capacitar a los agentes de policía en cuanto al desarrollo y mantenimiento de relaciones comunitarias, en particular con los miembros vulnerables de la comunidad.</w:t>
      </w:r>
    </w:p>
    <w:p w:rsidR="002304AC" w:rsidRPr="000314D4" w:rsidRDefault="002304AC" w:rsidP="002304AC">
      <w:pPr>
        <w:pStyle w:val="SingleTxt"/>
        <w:numPr>
          <w:ilvl w:val="0"/>
          <w:numId w:val="6"/>
        </w:numPr>
        <w:ind w:left="1267" w:firstLine="0"/>
      </w:pPr>
      <w:r w:rsidRPr="000314D4">
        <w:t xml:space="preserve">En colaboración con el Comité Consultivo de la Asociación de Jefes de Policía de la Columbia Británica, la provincia ha realizado un examen de las políticas, los procedimientos y las respuestas operacionales existentes de los departamentos de policía bajo el prisma de las recomendaciones del informe de la Comisión de Investigación sobre Mujeres Desaparecidas. Este trabajo ha determinado lagunas y necesidades y ha recomendado una serie de medidas para abordar dichas lagunas y orientar la aplicación de tales medidas. </w:t>
      </w:r>
    </w:p>
    <w:p w:rsidR="002304AC" w:rsidRPr="002304AC" w:rsidRDefault="002304AC" w:rsidP="002304AC">
      <w:pPr>
        <w:pStyle w:val="SingleTxt"/>
        <w:numPr>
          <w:ilvl w:val="0"/>
          <w:numId w:val="6"/>
        </w:numPr>
        <w:ind w:left="1267" w:firstLine="0"/>
        <w:rPr>
          <w:spacing w:val="2"/>
        </w:rPr>
      </w:pPr>
      <w:r w:rsidRPr="002304AC">
        <w:rPr>
          <w:spacing w:val="2"/>
        </w:rPr>
        <w:t xml:space="preserve">La Columbia Británica está elaborando normas para los servicios policiales provinciales relativas a las investigaciones sobre personas desaparecidas, que se espera que estén completadas en el otoño de 2014. A fin de que haga aportaciones a este proceso, se ha creado un Comité Consultivo Permanente sobre Normas para los Servicios Policiales Provinciales compuesto por interesados policiales y no policiales, incluidas la Unión de Municipalidades de la Columbia Británica, la Union of British Columbia Indian Chiefs y la British Columbia Civil Liberties Association. </w:t>
      </w:r>
    </w:p>
    <w:p w:rsidR="002304AC" w:rsidRPr="000314D4" w:rsidRDefault="002304AC" w:rsidP="002304AC">
      <w:pPr>
        <w:pStyle w:val="SingleTxt"/>
        <w:numPr>
          <w:ilvl w:val="0"/>
          <w:numId w:val="6"/>
        </w:numPr>
        <w:ind w:left="1267" w:firstLine="0"/>
      </w:pPr>
      <w:r w:rsidRPr="000314D4">
        <w:t xml:space="preserve">Se ha puesto en marcha un proyecto plurianual para examinar cómo se estructuran y financian actualmente los servicios policiales. En el proyecto participarán dirigentes municipales y organismos de policía para explorar maneras de capitalizar la prestación regional de servicios especializados. Esto sentará las bases para estudiar modelos de prestación de servicios que van desde una mayor integración hasta la prestación regional de servicios mientras se conservan los servicios policiales locales centrados en las comunidades. A fin de ahondar en este empeño, se ha establecido un Comité de Expertos compuesto por representantes de organismos de policía, gobiernos locales, la Asociación de Policías de la Columbia Británica, y las Primeras Naciones, con los objetivos siguientes: aclarar las responsabilidades de cada nivel de gobierno en relación con los servicios policiales; explorar modelos de servicios policiales que van desde una mayor integración hasta la prestación regional de servicios; y formular opciones para la gobernanza de los servicios policiales y los modelos de financiación. </w:t>
      </w:r>
    </w:p>
    <w:p w:rsidR="002304AC" w:rsidRPr="000314D4" w:rsidRDefault="002304AC" w:rsidP="002304AC">
      <w:pPr>
        <w:pStyle w:val="SingleTxt"/>
        <w:numPr>
          <w:ilvl w:val="0"/>
          <w:numId w:val="6"/>
        </w:numPr>
        <w:ind w:left="1267" w:firstLine="0"/>
      </w:pPr>
      <w:r w:rsidRPr="000314D4">
        <w:t xml:space="preserve">La provincia ha respaldado el establecimiento de un Centro de Inteligencia en Tiempo Real por parte de la RPMC y los asociados de la policía municipal. El Centro velará por que la información se pueda intercambiar más fácilmente e incrementará la capacidad de la policía para investigar todos los delitos, incluidos los relacionados con personas desaparecidas. La implantación del Centro comenzó en junio de 2014 con un servicio inicial para toda la policía del Distrito Regional del Gran Vancouver (Metro Vancouver), incluidas la RPMC y la policía municipal independiente. Durante las dos próximas fases de implantación, el Centro examinará la expansión de sus servicios a la región de la Gran Victoria (2016) y después al resto de la provincia (2017). </w:t>
      </w:r>
    </w:p>
    <w:p w:rsidR="002304AC" w:rsidRPr="000314D4" w:rsidRDefault="002304AC" w:rsidP="002304AC">
      <w:pPr>
        <w:pStyle w:val="SingleTxt"/>
        <w:numPr>
          <w:ilvl w:val="0"/>
          <w:numId w:val="6"/>
        </w:numPr>
        <w:ind w:left="1267" w:firstLine="0"/>
      </w:pPr>
      <w:r w:rsidRPr="000314D4">
        <w:t xml:space="preserve">Los Servicios de atención a las víctimas del Ministerio de Justicia de Manitoba coordinan un grupo de trabajo interinstitucional compuesto por organismos y personas dedicados de manera exclusiva a la cuestión de las personas desaparecidas, específicamente las mujeres y niñas aborígenes desaparecidas y asesinadas, garantizan que todas las partes implicadas conozcan los servicios que actualmente presta cada organismo en Manitoba, y crean un vínculo entre ellas de manera que las familias afectadas, junto con los organismos, tengan menos dificultades para navegar por el sistema y acceder a los servicios. </w:t>
      </w:r>
    </w:p>
    <w:p w:rsidR="002304AC" w:rsidRPr="000314D4" w:rsidRDefault="002304AC" w:rsidP="002304AC">
      <w:pPr>
        <w:pStyle w:val="SingleTxt"/>
        <w:numPr>
          <w:ilvl w:val="0"/>
          <w:numId w:val="6"/>
        </w:numPr>
        <w:ind w:left="1267" w:firstLine="0"/>
      </w:pPr>
      <w:r w:rsidRPr="000314D4">
        <w:t xml:space="preserve">La provincia proporcionó financiación al programa “Unresolved Loss” (“Pérdida no resuelta”) del Aurora Family Therapy Centre, que mejorará los apoyos y el asesoramiento a largo plazo para las familias de personas desaparecidas; a la Ka Ni Kanichihk Inc., para que amplíe y mejore el trabajo del Medicine Bear Project, con el objetivo específico de incrementar las alianzas y los recursos en las comunidades rurales y septentrionales; y al proyecto Ni Mino Biimatiziiwin (My Good Life) (“Mi buena vida”) de Eyaa-Keen, con el fin de tratar el dolor y la pérdida que sufren las familias de las mujeres y niñas aborígenes desaparecidas y asesinadas. </w:t>
      </w:r>
    </w:p>
    <w:p w:rsidR="002304AC" w:rsidRPr="000314D4" w:rsidRDefault="002304AC" w:rsidP="002304AC">
      <w:pPr>
        <w:pStyle w:val="SingleTxt"/>
        <w:numPr>
          <w:ilvl w:val="0"/>
          <w:numId w:val="6"/>
        </w:numPr>
        <w:ind w:left="1267" w:firstLine="0"/>
      </w:pPr>
      <w:r w:rsidRPr="000314D4">
        <w:t xml:space="preserve">El gobierno de Alberta está colaborando con el Institute for Advancement of Aboriginal Women y otros asociados para diseñar una estrategia colaborativa encaminada a incrementar la seguridad de las mujeres y niñas aborígenes. Este comité interinstitucional dirigido por el Institute for Advancement of Aboriginal Women pretende crear conciencia acerca de las mujeres aborígenes desaparecidas y asesinadas, brindar un mejor apoyo a las familias y configurar iniciativas colaborativas en las comunidades de Alberta para mejorar la seguridad.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F524EE" w:rsidRDefault="002304AC" w:rsidP="002304AC">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n-GB"/>
        </w:rPr>
      </w:pPr>
      <w:r w:rsidRPr="002304AC">
        <w:rPr>
          <w:rFonts w:eastAsia="Calibri"/>
          <w:lang w:val="es-ES_tradnl"/>
        </w:rPr>
        <w:tab/>
      </w:r>
      <w:r w:rsidRPr="00F524EE">
        <w:rPr>
          <w:rFonts w:eastAsia="Calibri"/>
          <w:lang w:val="en-GB"/>
        </w:rPr>
        <w:t>V.</w:t>
      </w:r>
      <w:r w:rsidRPr="00F524EE">
        <w:rPr>
          <w:rFonts w:eastAsia="Calibri"/>
          <w:lang w:val="en-GB"/>
        </w:rPr>
        <w:tab/>
        <w:t>Empleo y empoderamiento económico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Esta sección contiene información relacionada con los artículos 4, 10, 11 y 13 de la Convención y se centra en los párrafos 23, 24 y 37 a 40 de las observaciones finales del Comité. </w:t>
      </w:r>
    </w:p>
    <w:p w:rsidR="002304AC" w:rsidRPr="000314D4" w:rsidRDefault="002304AC" w:rsidP="002304AC">
      <w:pPr>
        <w:pStyle w:val="SingleTxt"/>
        <w:numPr>
          <w:ilvl w:val="0"/>
          <w:numId w:val="6"/>
        </w:numPr>
        <w:ind w:left="1267" w:firstLine="0"/>
      </w:pPr>
      <w:r w:rsidRPr="000314D4">
        <w:t>Los gobiernos del Canadá están trabajando para incrementar el empleo y el empoderamiento económico de la mujer mediante una serie de medidas, entre las que se incluyen el desarrollo de aptitudes y los programas de empleo, la financiación del cuidado de la infancia para ayudar a las familias canadienses a compaginar el trabajo con el cuidado de la infancia, y apoyos a la vivienda asequible para las familias con ingresos bajos a moderados.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Desarrollo de aptitudes y medidas para el empleo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La brecha en la tasa de participación en la fuerza de trabajo entre hombres y mujeres de entre 15 y 64 años de edad se ha reducido considerablemente en los últimos 40 años: de un 33% en 1976 a un 7% en 2013. En 2013, la tasa de participación de las mujeres de entre 15 y 64 años era del 74,6%, frente al 51,4% registrado en 1976. Casi el 27% de las mujeres trabajadoras del Canadá trabajaban a tiempo parcial, mientras que el 12% de los hombres trabajadores tenían un empleo a tiempo parcial. Aunque las mujeres con hijos siguen teniendo menos probabilidades de encontrar un empleo que las mujeres sin hijos, la tasa de ocupación de las mujeres con hijos menores de 6 años se ha duplicado con creces en los últimos 30</w:t>
      </w:r>
      <w:r w:rsidR="002C7C35">
        <w:t xml:space="preserve"> </w:t>
      </w:r>
      <w:r w:rsidRPr="000314D4">
        <w:t xml:space="preserve">años. </w:t>
      </w:r>
    </w:p>
    <w:p w:rsidR="002304AC" w:rsidRPr="000314D4" w:rsidRDefault="002304AC" w:rsidP="002304AC">
      <w:pPr>
        <w:pStyle w:val="SingleTxt"/>
        <w:numPr>
          <w:ilvl w:val="0"/>
          <w:numId w:val="6"/>
        </w:numPr>
        <w:ind w:left="1267" w:firstLine="0"/>
      </w:pPr>
      <w:r w:rsidRPr="000314D4">
        <w:t xml:space="preserve">Si bien las mujeres siguen estando infrarrepresentadas en los oficios especializados, el número de mujeres aprendices está aumentando. En 2011, las mujeres representaban el 14% de todos los aprendices registrados. Aunque el número de mujeres aprendices creció en un 216% entre los años 2000 y 2010, estas siguen concentrándose en algunos oficios, que suelen estar peor remunerados (por ejemplo, peluquera, cocinera). No obstante, en los últimos años, más mujeres se han registrado en oficios dominados por hombres. Por ejemplo, tanto la profesión de electricista industrial como la de obrero manual de la construcción han experimentado un aumento del número de mujeres aprendices. </w:t>
      </w:r>
    </w:p>
    <w:p w:rsidR="002304AC" w:rsidRPr="000314D4" w:rsidRDefault="002304AC" w:rsidP="002304AC">
      <w:pPr>
        <w:pStyle w:val="SingleTxt"/>
        <w:numPr>
          <w:ilvl w:val="0"/>
          <w:numId w:val="6"/>
        </w:numPr>
        <w:ind w:left="1267" w:firstLine="0"/>
      </w:pPr>
      <w:r w:rsidRPr="000314D4">
        <w:t>Como medio para proporcionar un apoyo financiero temporal a las personas que se enfrentan a importantes acontecimientos vitales y ayudar a mantener su nexo con el mercado de trabajo, el Gobierno del Canadá también ofrece prestaciones especiales del seguro de empleo, como, por ejemplo, prestaciones de maternidad, parental, de enfermedad y por motivos humanitarios, así como la prestación para padres de niños gravemente enfermos.</w:t>
      </w:r>
    </w:p>
    <w:p w:rsidR="002304AC" w:rsidRPr="000314D4" w:rsidRDefault="002304AC" w:rsidP="002304AC">
      <w:pPr>
        <w:pStyle w:val="SingleTxt"/>
        <w:numPr>
          <w:ilvl w:val="0"/>
          <w:numId w:val="6"/>
        </w:numPr>
        <w:ind w:left="1267" w:firstLine="0"/>
      </w:pPr>
      <w:r w:rsidRPr="000314D4">
        <w:t>El Gobierno federal y los gobiernos provinciales y territoriales han puesto en marcha diversas medidas dirigidas a promover la creación de empleo y la inclusividad del mercado de trabajo, y a garantizar que las mujeres desarrollen las aptitudes que necesitan para tener éxito en el mercado de trabajo, incluso en los oficios y profesiones no tradicionales.</w:t>
      </w:r>
    </w:p>
    <w:p w:rsidR="002304AC" w:rsidRPr="000314D4" w:rsidRDefault="002304AC" w:rsidP="002304AC">
      <w:pPr>
        <w:pStyle w:val="SingleTxt"/>
        <w:numPr>
          <w:ilvl w:val="0"/>
          <w:numId w:val="6"/>
        </w:numPr>
        <w:ind w:left="1267" w:firstLine="0"/>
      </w:pPr>
      <w:r w:rsidRPr="000314D4">
        <w:t xml:space="preserve">El Gobierno del Canadá ofrece una serie integrada de apoyos para alentar una mayor participación en los oficios especializados y en los cursos de aprendizaje por parte tanto de las mujeres como de los hombres. Por ejemplo, la subvención para incentivar los cursos de aprendizaje y la subvención para finalizar dichos cursos ayudan a reducir las barreras financieras que obstaculizan el acceso a la capacitación, como también lo hacen las deducciones para los instrumentos de los comerciantes y la desgravación fiscal por la creación de puestos de trabajo de aprendiz (para los empleadores). En 2014, el Gobierno anunció la creación del préstamo canadiense para aprendices, que proporciona a los aprendices registrados en su primer oficio de tipo </w:t>
      </w:r>
      <w:r w:rsidRPr="006050BA">
        <w:rPr>
          <w:i/>
          <w:iCs/>
        </w:rPr>
        <w:t>red seal</w:t>
      </w:r>
      <w:r w:rsidRPr="000314D4">
        <w:t xml:space="preserve"> (“sello rojo”) préstamos sin interés para cubrir los costos de su capacitación. </w:t>
      </w:r>
    </w:p>
    <w:p w:rsidR="002304AC" w:rsidRPr="000314D4" w:rsidRDefault="002304AC" w:rsidP="002304AC">
      <w:pPr>
        <w:pStyle w:val="SingleTxt"/>
        <w:numPr>
          <w:ilvl w:val="0"/>
          <w:numId w:val="6"/>
        </w:numPr>
        <w:ind w:left="1267" w:firstLine="0"/>
      </w:pPr>
      <w:r w:rsidRPr="000314D4">
        <w:t xml:space="preserve">El Gobierno del Canadá colabora con las provincias y territorios e invierte cerca de 2.700 millones de dólares anuales en programas de empleo y capacitación para mejorar los resultados en el mercado de trabajo. Entre dichas inversiones destacan el nuevo Acuerdo del Fondo Canadiense de Empleo; los Acuerdos de Desarrollo del Mercado de Trabajo, que apoyan la mejora del nexo de los canadienses desempleados con la fuerza de trabajo, incluidas las mujeres en grupos infrarrepresentados; y los Acuerdos del Mercado de Trabajo para Personas con Discapacidad, que ofrecen más soluciones de formación para personas con discapacidad en función de la demanda existente. </w:t>
      </w:r>
    </w:p>
    <w:p w:rsidR="002304AC" w:rsidRPr="000314D4" w:rsidRDefault="002304AC" w:rsidP="002304AC">
      <w:pPr>
        <w:pStyle w:val="SingleTxt"/>
        <w:numPr>
          <w:ilvl w:val="0"/>
          <w:numId w:val="6"/>
        </w:numPr>
        <w:ind w:left="1267" w:firstLine="0"/>
      </w:pPr>
      <w:r w:rsidRPr="000314D4">
        <w:t xml:space="preserve">Desde 2009, el Gobierno del Canadá, a través de la Comisión del Canadá sobre la Condición de la Mujer, ha financiado más de 140 proyectos, en una cuantía total de 33 millones de dólares, para incrementar la seguridad económica y la prosperidad de las mujeres y las niñas, incluidos más de 40 proyectos (que ascienden a un total de 11 millones de dólares) que apoyan a las mujeres en ocupaciones no tradicionales y más de 26 proyectos (que alcanzan un total de más de 6,7 millones de dólares) que respaldan a las mujeres en el emprendimiento. </w:t>
      </w:r>
    </w:p>
    <w:p w:rsidR="002304AC" w:rsidRPr="000314D4" w:rsidRDefault="002304AC" w:rsidP="002304AC">
      <w:pPr>
        <w:pStyle w:val="SingleTxt"/>
        <w:numPr>
          <w:ilvl w:val="0"/>
          <w:numId w:val="6"/>
        </w:numPr>
        <w:ind w:left="1267" w:firstLine="0"/>
      </w:pPr>
      <w:r w:rsidRPr="000314D4">
        <w:t xml:space="preserve">Entre los ejemplos de medidas adoptadas por las provincias y los territorios, cabe citar los Servicios de Capacitación y Empleo del gobierno de Manitoba, que prestan una serie de servicios de capacitación y empleo directos e indirectos a todos los ciudadanos de Manitoba que reúnen los requisitos necesarios y que ofrecen proyectos o iniciativas particulares pensados específicamente para responder a las necesidades de las mujeres solicitantes de empleo, entre los que se incluyen los siguientes: </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 xml:space="preserve">El programa denominado </w:t>
      </w:r>
      <w:r w:rsidRPr="006050BA">
        <w:rPr>
          <w:i/>
          <w:iCs/>
        </w:rPr>
        <w:t>Career Trek/“M” project</w:t>
      </w:r>
      <w:r w:rsidRPr="000314D4">
        <w:t xml:space="preserve"> es un programa de exploración de carreras diseñado para las madres adolescentes con el fin de ayudarlas a permanecer en la escuela, finalizar su enseñanza secundaria y matricularse en cursos de capacitación o estudios postsecundarios; </w:t>
      </w:r>
    </w:p>
    <w:p w:rsidR="002304AC" w:rsidRPr="000314D4" w:rsidRDefault="002304AC" w:rsidP="002304AC">
      <w:pPr>
        <w:pStyle w:val="SingleTxt"/>
        <w:tabs>
          <w:tab w:val="right" w:pos="1685"/>
        </w:tabs>
        <w:ind w:left="1742" w:hanging="475"/>
      </w:pPr>
      <w:r w:rsidRPr="000314D4">
        <w:rPr>
          <w:szCs w:val="24"/>
        </w:rPr>
        <w:tab/>
        <w:t>•</w:t>
      </w:r>
      <w:r w:rsidRPr="000314D4">
        <w:rPr>
          <w:szCs w:val="24"/>
        </w:rPr>
        <w:tab/>
      </w:r>
      <w:r w:rsidRPr="000314D4">
        <w:t>El programa de competencias esenciales y talentos con distinción de la Ka Ni Kanichihk Inc. brinda a las madres solteras aborígenes de entre 18 y 30 años la oportunidad de desarrollar aptitudes pertinentes para el mercado de trabajo.</w:t>
      </w:r>
    </w:p>
    <w:p w:rsidR="002304AC" w:rsidRPr="000314D4" w:rsidRDefault="002304AC" w:rsidP="002304AC">
      <w:pPr>
        <w:pStyle w:val="SingleTxt"/>
        <w:numPr>
          <w:ilvl w:val="0"/>
          <w:numId w:val="6"/>
        </w:numPr>
        <w:ind w:left="1267" w:firstLine="0"/>
      </w:pPr>
      <w:r w:rsidRPr="000314D4">
        <w:t>Los Servicios de Capacitación y Empleo también llevan a cabo la iniciativa “Trade Up to Your Future” (“Progresa hacia tu futuro”), que anima a más mujeres a emprender carreras en los oficios especializados no tradicionales. Los Servicios de Capacitación y Empleo prestan asistencia financiera directa para apoyar a las mujeres con bajos ingresos y baja cualificación mientras adquieren las aptitudes necesarias para poder optar a su primer empleo en los oficios especializados. Las participantes tienen derecho a recibir asesoramiento individual para la promoción de las perspectivas de carrera y asistencia financiera para cursar un programa de formación de aprendices acreditado.</w:t>
      </w:r>
    </w:p>
    <w:p w:rsidR="002304AC" w:rsidRPr="000314D4" w:rsidRDefault="002304AC" w:rsidP="002304AC">
      <w:pPr>
        <w:pStyle w:val="SingleTxt"/>
        <w:numPr>
          <w:ilvl w:val="0"/>
          <w:numId w:val="6"/>
        </w:numPr>
        <w:ind w:left="1267" w:firstLine="0"/>
      </w:pPr>
      <w:r w:rsidRPr="000314D4">
        <w:t xml:space="preserve">En total, en el ejercicio económico 2013/14, los Servicios de Capacitación y Empleo prestaron servicios a 14.963 mujeres y, dentro de este grupo, 2.849 mujeres recibieron asistencia financiera para cursar formación profesional, que incluye actualización de aptitudes, estudios postsecundarios y formación de aprendices impartida en clase. </w:t>
      </w:r>
    </w:p>
    <w:p w:rsidR="002304AC" w:rsidRPr="000314D4" w:rsidRDefault="002304AC" w:rsidP="002304AC">
      <w:pPr>
        <w:pStyle w:val="SingleTxt"/>
        <w:numPr>
          <w:ilvl w:val="0"/>
          <w:numId w:val="6"/>
        </w:numPr>
        <w:ind w:left="1267" w:firstLine="0"/>
      </w:pPr>
      <w:r w:rsidRPr="000314D4">
        <w:t>En Quebec, la estrategia de intervención de Emploi-Québec a favor de las trabajadoras, iniciada en 2009, promueve la integración al mundo laboral y la retención del empleo entre las mujeres, incluidas aquellas mujeres que son más vulnerables en lo que respecta al empleo.</w:t>
      </w:r>
    </w:p>
    <w:p w:rsidR="002304AC" w:rsidRPr="000314D4" w:rsidRDefault="002304AC" w:rsidP="002304AC">
      <w:pPr>
        <w:pStyle w:val="SingleTxt"/>
        <w:numPr>
          <w:ilvl w:val="0"/>
          <w:numId w:val="6"/>
        </w:numPr>
        <w:ind w:left="1267" w:firstLine="0"/>
      </w:pPr>
      <w:r w:rsidRPr="000314D4">
        <w:t>Además, el plan de acción para la igualdad entre los géneros (2011 a 2015) incluye medidas dirigidas a mejorar la situación de las mujeres en el mercado de trabajo, como, por ejemplo, financiación para organizaciones que asesoran a las mujeres que tienen graves dificultades para integrarse en el mundo laboral y medidas encaminadas a mejorar la integración social y profesional de las inmigrantes que han llegado recientemente a Quebec.</w:t>
      </w:r>
    </w:p>
    <w:p w:rsidR="002304AC" w:rsidRPr="000314D4" w:rsidRDefault="002304AC" w:rsidP="002304AC">
      <w:pPr>
        <w:pStyle w:val="SingleTxt"/>
        <w:numPr>
          <w:ilvl w:val="0"/>
          <w:numId w:val="6"/>
        </w:numPr>
        <w:ind w:left="1267" w:firstLine="0"/>
      </w:pPr>
      <w:r w:rsidRPr="000314D4">
        <w:t>El gobierno también elaboró una norma de conciliación de la vida laboral y familiar que anima a las empresas de todos los tamaños a implantar las mejores prácticas en cuanto a dicha conciliación y a publicitar su compromiso a este respecto acometiendo un proceso de certificación.</w:t>
      </w:r>
    </w:p>
    <w:p w:rsidR="002304AC" w:rsidRPr="000314D4" w:rsidRDefault="002304AC" w:rsidP="002304AC">
      <w:pPr>
        <w:pStyle w:val="SingleTxt"/>
        <w:numPr>
          <w:ilvl w:val="0"/>
          <w:numId w:val="6"/>
        </w:numPr>
        <w:ind w:left="1267" w:firstLine="0"/>
      </w:pPr>
      <w:r w:rsidRPr="000314D4">
        <w:t xml:space="preserve">Quebec también está esforzándose por promover la diversidad de las opciones escolares y profesionales que eligen las jóvenes y las mujeres, desde la enseñanza secundaria hasta la universidad, incluso animándolas a seguir una carrera técnica o científica. Reconoce los esfuerzos y la perseverancia de las chicas en los programas de capacitación tradicionalmente dominados por hombres mediante un concurso denominado </w:t>
      </w:r>
      <w:r w:rsidRPr="006050BA">
        <w:rPr>
          <w:i/>
          <w:iCs/>
        </w:rPr>
        <w:t>Chapeau les filles!</w:t>
      </w:r>
      <w:r w:rsidRPr="000314D4">
        <w:t xml:space="preserve"> (“¡Bravo, chicas!”). El apoyo al emprendimiento femenino, a través de la red de organizaciones Femmessor en todo Quebec, contribuye a fomentar que las mujeres estén presentes en campos tradicionalmente dominados por hombres.</w:t>
      </w:r>
    </w:p>
    <w:p w:rsidR="002304AC" w:rsidRPr="000314D4" w:rsidRDefault="002304AC" w:rsidP="002304AC">
      <w:pPr>
        <w:pStyle w:val="SingleTxt"/>
        <w:numPr>
          <w:ilvl w:val="0"/>
          <w:numId w:val="6"/>
        </w:numPr>
        <w:ind w:left="1267" w:firstLine="0"/>
      </w:pPr>
      <w:r w:rsidRPr="000314D4">
        <w:t xml:space="preserve">El gobierno de Saskatchewan presta una variedad de servicios de empleo y garantiza que las personas que reciben ayuda a los ingresos tengan acceso a los servicios de empleo mediante el proceso marcado por el programa </w:t>
      </w:r>
      <w:r w:rsidRPr="00CF50CC">
        <w:rPr>
          <w:i/>
          <w:iCs/>
        </w:rPr>
        <w:t>Accelerated Connections to Employment</w:t>
      </w:r>
      <w:r w:rsidRPr="000314D4">
        <w:t xml:space="preserve"> (“Conexiones aceleradas al empleo”). </w:t>
      </w:r>
    </w:p>
    <w:p w:rsidR="002304AC" w:rsidRPr="000314D4" w:rsidRDefault="002304AC" w:rsidP="002304AC">
      <w:pPr>
        <w:pStyle w:val="SingleTxt"/>
        <w:numPr>
          <w:ilvl w:val="0"/>
          <w:numId w:val="6"/>
        </w:numPr>
        <w:ind w:left="1267" w:firstLine="0"/>
      </w:pPr>
      <w:r w:rsidRPr="000314D4">
        <w:t xml:space="preserve">Además, la Comisión de Certificación de Aprendizaje y Comercial de Saskatchewan promueve la presencia de las mujeres en los oficios especializados mediante alianzas con los empleadores, los sindicatos y los centros de enseñanza postsecundaria. </w:t>
      </w:r>
    </w:p>
    <w:p w:rsidR="002304AC" w:rsidRPr="000314D4" w:rsidRDefault="002304AC" w:rsidP="002304AC">
      <w:pPr>
        <w:pStyle w:val="SingleTxt"/>
        <w:numPr>
          <w:ilvl w:val="0"/>
          <w:numId w:val="6"/>
        </w:numPr>
        <w:ind w:left="1267" w:firstLine="0"/>
      </w:pPr>
      <w:r w:rsidRPr="000314D4">
        <w:t xml:space="preserve">Desde 2002, el gobierno de Terranova y Labrador ha aplicado medidas para permitir a las mujeres que aprovechen las oportunidades de empleo con grandes desarrollos de recursos exigiendo que los operadores de proyectos elaboren y pongan en práctica planes a favor de la igualdad entre los géneros y la diversidad. Estos planes normalmente constan de medidas cuantitativas (metas) y cualitativas para garantizar el empleo de las mujeres y la retención de dicho empleo, así como un calendario de ejecución y de presentación de informes. Desde 2011, los planes también contienen estrategias de acceso empresarial para ayudar a las empresas de propiedad de mujeres a asegurarse el acceso a contratos. </w:t>
      </w:r>
    </w:p>
    <w:p w:rsidR="002304AC" w:rsidRPr="000314D4" w:rsidRDefault="002304AC" w:rsidP="002304AC">
      <w:pPr>
        <w:pStyle w:val="SingleTxt"/>
        <w:numPr>
          <w:ilvl w:val="0"/>
          <w:numId w:val="6"/>
        </w:numPr>
        <w:ind w:left="1267" w:firstLine="0"/>
      </w:pPr>
      <w:r w:rsidRPr="000314D4">
        <w:t xml:space="preserve">La provincia también apoya iniciativas de divulgación y capacitación dirigidas a incrementar el número de mujeres en ocupaciones en las que están infrarrepresentadas. Se proporciona financiación a la Women in Resource Development Corporation, que ofrece una amplia variedad de apoyos e iniciativas destinadas a los empleadores, las mujeres y las alumnas, y la Office to Advance Women Apprentices, que proporciona capacitación y apoyo al empleo a las mujeres en los oficios que se pueden aprender. </w:t>
      </w:r>
    </w:p>
    <w:p w:rsidR="002304AC" w:rsidRPr="000314D4" w:rsidRDefault="002304AC" w:rsidP="002304AC">
      <w:pPr>
        <w:pStyle w:val="SingleTxt"/>
        <w:numPr>
          <w:ilvl w:val="0"/>
          <w:numId w:val="6"/>
        </w:numPr>
        <w:ind w:left="1267" w:firstLine="0"/>
      </w:pPr>
      <w:r w:rsidRPr="000314D4">
        <w:t>El programa</w:t>
      </w:r>
      <w:r w:rsidRPr="00B36FA7">
        <w:rPr>
          <w:i/>
          <w:iCs/>
        </w:rPr>
        <w:t xml:space="preserve"> GroundWorks</w:t>
      </w:r>
      <w:r w:rsidRPr="000314D4">
        <w:t xml:space="preserve"> del gobierno de Nueva Escocia ayuda a las mujeres que reciben ayuda a los ingresos a mejorar sus aptitudes y aprender acerca de las posibilidades existentes en el sector del comercio y la tecnología.</w:t>
      </w:r>
    </w:p>
    <w:p w:rsidR="002304AC" w:rsidRPr="000314D4" w:rsidRDefault="002304AC" w:rsidP="002304AC">
      <w:pPr>
        <w:pStyle w:val="SingleTxt"/>
        <w:numPr>
          <w:ilvl w:val="0"/>
          <w:numId w:val="6"/>
        </w:numPr>
        <w:ind w:left="1267" w:firstLine="0"/>
      </w:pPr>
      <w:r w:rsidRPr="000314D4">
        <w:t>El gobierno del Yukón financia a la organización Yukon Women in Trades and Technology, que celebra una conferencia anual en el Yukon College para 120 chicas de octavo grado de Whitehorse y de comunidades rurales con el objetivo de proporcionarles experiencia práctica en diferentes oficios en un entorno divertido y propicio. El objetivo de la conferencia es despertar el interés de las chicas en dedicarse a oficios no tradicionales.</w:t>
      </w:r>
    </w:p>
    <w:p w:rsidR="002304AC" w:rsidRPr="000314D4" w:rsidRDefault="002304AC" w:rsidP="002304AC">
      <w:pPr>
        <w:pStyle w:val="SingleTxt"/>
        <w:numPr>
          <w:ilvl w:val="0"/>
          <w:numId w:val="6"/>
        </w:numPr>
        <w:ind w:left="1267" w:firstLine="0"/>
      </w:pPr>
      <w:r w:rsidRPr="000314D4">
        <w:t xml:space="preserve">El gobierno de Ontario apoya el programa </w:t>
      </w:r>
      <w:r w:rsidRPr="00B36FA7">
        <w:rPr>
          <w:i/>
          <w:iCs/>
        </w:rPr>
        <w:t>Women in Skilled Trades and Information Technology Training</w:t>
      </w:r>
      <w:r w:rsidRPr="000314D4">
        <w:t xml:space="preserve"> (“Mujeres en oficios especializados y capacitación en tecnología de la información”), que ofrece capacitación para el empleo y apoyos para que las mujeres con bajos ingresos accedan a una variedad de oficios especializados de alta cualificación y muy demandados y a programas de formación de aprendices o empleos relacionados con la tecnología de la información. Desde 2008, 1.128 mujeres con bajos ingresos han participado en el programa. De las mujeres que lo finalizaron, el 87% consiguió acceder a programas de formación de aprendices, a puestos de trabajo o a más cursos de capacitación.</w:t>
      </w:r>
    </w:p>
    <w:p w:rsidR="002304AC" w:rsidRPr="000314D4" w:rsidRDefault="002304AC" w:rsidP="002304AC">
      <w:pPr>
        <w:pStyle w:val="SingleTxt"/>
        <w:numPr>
          <w:ilvl w:val="0"/>
          <w:numId w:val="6"/>
        </w:numPr>
        <w:ind w:left="1267" w:firstLine="0"/>
      </w:pPr>
      <w:r w:rsidRPr="000314D4">
        <w:t xml:space="preserve">El gobierno de Nueva Brunswick cuenta con un Programa de Becas para la Igualdad entre los Géneros, que tiene por objeto animar y apoyar a las mujeres y los hombres a matricularse en carreras no tradicionales en un colegio universitario de Nueva Brunswick. Más de 400 becas se han concedido a mujeres. La provincia también está elaborando un programa titulado “Women in Trades” (“Las mujeres en los oficios”), que se destinará a mujeres que están listas para trabajar e interesadas en recibir capacitación o un empleo en los oficios. </w:t>
      </w:r>
    </w:p>
    <w:p w:rsidR="002304AC" w:rsidRPr="000314D4" w:rsidRDefault="002304AC" w:rsidP="002304AC">
      <w:pPr>
        <w:pStyle w:val="SingleTxt"/>
        <w:numPr>
          <w:ilvl w:val="0"/>
          <w:numId w:val="6"/>
        </w:numPr>
        <w:ind w:left="1267" w:firstLine="0"/>
      </w:pPr>
      <w:r w:rsidRPr="000314D4">
        <w:t xml:space="preserve">La provincia también celebra con regularidad la </w:t>
      </w:r>
      <w:r w:rsidRPr="00B36FA7">
        <w:rPr>
          <w:i/>
          <w:iCs/>
        </w:rPr>
        <w:t>Trades &amp; Tech Gala for Girls</w:t>
      </w:r>
      <w:r w:rsidRPr="000314D4">
        <w:t xml:space="preserve"> (“Gala de oficios y tecnología para las chicas”) junto con asociados del sector privado y del sector sin fines de lucro, un acto diseñado para presentar a las chicas jóvenes que cursan enseñanza secundaria otras mujeres de su comunidad que trabajan o estudian en los sectores de los oficios especializados y de la tecnología. Desde 2009, han asistido a esta gala más de 900 chicas.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 xml:space="preserve">Cuidado de la infancia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En el Canadá, los gobiernos provinciales y territoriales tienen la responsabilidad primordial de prestar servicios sanitarios, sociales y educativos a los niños y las familias, lo que incluye el diseño y la ejecución de las políticas y programas de educación y cuidados en la primera infancia. Cada provincia y territorio tiene un programa de educación y cuidados en la primera infancia acreditados y aprobados que establece los requisitos, las normas y los acuerdos de financiación estipulados para la educación y los cuidados en la primera infancia basados en los centros, los servicios de cuidado de niños en el hogar acreditados y aprobados, el cuidado de la infancia en edad escolar, las escuelas de párvulos, los centros de educación preescolar, y los programas de jardín de infancia. </w:t>
      </w:r>
    </w:p>
    <w:p w:rsidR="002304AC" w:rsidRPr="000314D4" w:rsidRDefault="002304AC" w:rsidP="002304AC">
      <w:pPr>
        <w:pStyle w:val="SingleTxt"/>
        <w:numPr>
          <w:ilvl w:val="0"/>
          <w:numId w:val="6"/>
        </w:numPr>
        <w:ind w:left="1267" w:firstLine="0"/>
      </w:pPr>
      <w:r w:rsidRPr="000314D4">
        <w:t xml:space="preserve">El enfoque del Gobierno del Canadá respeta la responsabilidad provincial y territorial respecto de los servicios sociales al tiempo que respalda la libertad de opción de los padres. Los programas auspiciados por el Gobierno federal incluyen transferencias fiscales a las provincias y los territorios para que las gasten a discreción en programas y servicios; transferencias a personas para apoyar las opciones que hayan escogido; desembolsos por impuestos; y programas para las poblaciones ante las cuales el Gobierno federal tenga responsabilidades particulares, como, por ejemplo, las contribuciones a la educación y los cuidados en la primera infancia en las comunidades aborígenes. </w:t>
      </w:r>
    </w:p>
    <w:p w:rsidR="002304AC" w:rsidRPr="000314D4" w:rsidRDefault="002304AC" w:rsidP="002304AC">
      <w:pPr>
        <w:pStyle w:val="SingleTxt"/>
        <w:numPr>
          <w:ilvl w:val="0"/>
          <w:numId w:val="6"/>
        </w:numPr>
        <w:ind w:left="1267" w:firstLine="0"/>
      </w:pPr>
      <w:r w:rsidRPr="000314D4">
        <w:t xml:space="preserve">El informe </w:t>
      </w:r>
      <w:r w:rsidRPr="00B36FA7">
        <w:rPr>
          <w:i/>
          <w:iCs/>
        </w:rPr>
        <w:t>Public Investments in Early Childhood Education and Care in Canada 2012</w:t>
      </w:r>
      <w:r w:rsidRPr="000314D4">
        <w:t xml:space="preserve"> (Inversiones públicas en educación y cuidados en la primera infancia en el Canadá en 2012) ofrece un panorama general de los programas y gastos federales, así como información provincial y territorial sobre programas acreditados de cuidado de la infancia, de jardín de infancia y de educación y cuidados en la primera infancia de otro tipo, incluido el número de centros acreditados de educación y cuidados en la primera infancia en la mayoría de las provincias y los territorios por entorno y por grupo de edad en 2012</w:t>
      </w:r>
      <w:r w:rsidRPr="00B36FA7">
        <w:rPr>
          <w:color w:val="FF0000"/>
          <w:vertAlign w:val="superscript"/>
        </w:rPr>
        <w:footnoteReference w:id="14"/>
      </w:r>
      <w:r w:rsidRPr="000314D4">
        <w:t>.</w:t>
      </w:r>
    </w:p>
    <w:p w:rsidR="002304AC" w:rsidRPr="000314D4" w:rsidRDefault="002304AC" w:rsidP="002304AC">
      <w:pPr>
        <w:pStyle w:val="SingleTxt"/>
        <w:numPr>
          <w:ilvl w:val="0"/>
          <w:numId w:val="6"/>
        </w:numPr>
        <w:ind w:left="1267" w:firstLine="0"/>
      </w:pPr>
      <w:r w:rsidRPr="000314D4">
        <w:t>Entre 2013 y 2014, el Gobierno del Canadá asignó 6.500 millones de dólares a apoyar el desarrollo del niño en la primera infancia y el cuidado de la infancia por medio de transferencias a las provincias y los territorios, gastos directos y medidas fiscales para las familias. Las prestaciones universales para el cuidado de los niños ayudan a las familias canadienses con el costo que supone el cuidado de la infancia. Gracias a dichas prestaciones, se estima que 19.000 familias salieron de situaciones financieras de bajos ingresos en 2012. A partir del 1 de enero de 2015, por medio de estas prestaciones universales, los padres recibirán una prestación de 160 dólares al mes por cada hijo menor de 6 años (1.920 dólares anuales). Esta también se ampliará para incluir a los niños de entre 6 y 17 años de edad, cuyos padres recibirán una prestación de 60 dólares al mes (720 dólares anuales).</w:t>
      </w:r>
    </w:p>
    <w:p w:rsidR="002304AC" w:rsidRPr="000314D4" w:rsidRDefault="002304AC" w:rsidP="002304AC">
      <w:pPr>
        <w:pStyle w:val="SingleTxt"/>
        <w:numPr>
          <w:ilvl w:val="0"/>
          <w:numId w:val="6"/>
        </w:numPr>
        <w:ind w:left="1267" w:firstLine="0"/>
      </w:pPr>
      <w:r w:rsidRPr="000314D4">
        <w:t>En 2014, el Gobierno del Canadá también se comprometió a aplicar la reducción tributaria familiar, una bonificación fiscal federal que permite que un cónyuge con ingresos más altos transfiera hasta 50.000 dólares de ingresos imponibles a un cónyuge que se sitúe en un tramo impositivo inferior. La bonificación aportará una desgravación fiscal (de hasta 2.000 dólares) a las parejas con niños menores de 18 años. Asimismo, la deducción de gastos por cuidado del hijo aumentará entre 1.000 y 8.000 dólares para hijos menores de 7 años; 5.000</w:t>
      </w:r>
      <w:r w:rsidR="002C7C35">
        <w:t xml:space="preserve"> </w:t>
      </w:r>
      <w:r w:rsidRPr="000314D4">
        <w:t>dólares para hijos de entre 7 y 16 años; y 11.000 dólares para hijos que tienen derecho al descuento impositivo por discapacidad, vigente para el año fiscal de 2015.</w:t>
      </w:r>
    </w:p>
    <w:p w:rsidR="002304AC" w:rsidRPr="000314D4" w:rsidRDefault="002304AC" w:rsidP="002304AC">
      <w:pPr>
        <w:pStyle w:val="SingleTxt"/>
        <w:numPr>
          <w:ilvl w:val="0"/>
          <w:numId w:val="6"/>
        </w:numPr>
        <w:ind w:left="1267" w:firstLine="0"/>
      </w:pPr>
      <w:r w:rsidRPr="000314D4">
        <w:t xml:space="preserve">Además, la bonificación fiscal de las inversiones en establecimientos de guardería ofrece un 25% de bonificación sobre los costos de capital y de desarrollo a las empresas que creen nuevos establecimientos de guardería para sus empleados y la comunidad circundante, hasta un máximo de 10.000 dólares por cada espacio. </w:t>
      </w:r>
    </w:p>
    <w:p w:rsidR="002304AC" w:rsidRPr="000314D4" w:rsidRDefault="002304AC" w:rsidP="002304AC">
      <w:pPr>
        <w:pStyle w:val="SingleTxt"/>
        <w:numPr>
          <w:ilvl w:val="0"/>
          <w:numId w:val="6"/>
        </w:numPr>
        <w:ind w:left="1267" w:firstLine="0"/>
      </w:pPr>
      <w:r w:rsidRPr="000314D4">
        <w:t xml:space="preserve">En 2009, el Gobierno del Canadá también incrementó la deducción canadiense por hijos a cargo y las prestaciones suplementarias nacionales para familias con niños, con el fin de permitir que las familias con bajos ingresos ganasen unos ingresos adicionales y aun así pudieran optar a percibir prestaciones. Entre 2009 y 2010, aproximadamente 3,3 millones de familias (5,8 millones de niños) recibieron la deducción canadiense por hijos a cargo, entre ellas más de 1,5 millones de familias (2,7 millones de niños) que recibieron las prestaciones suplementarias nacionales para familias con niños. </w:t>
      </w:r>
    </w:p>
    <w:p w:rsidR="002304AC" w:rsidRPr="000314D4" w:rsidRDefault="002304AC" w:rsidP="002304AC">
      <w:pPr>
        <w:pStyle w:val="SingleTxt"/>
        <w:numPr>
          <w:ilvl w:val="0"/>
          <w:numId w:val="6"/>
        </w:numPr>
        <w:ind w:left="1267" w:firstLine="0"/>
      </w:pPr>
      <w:r w:rsidRPr="000314D4">
        <w:t xml:space="preserve">El Gobierno federal proporciona 250 millones de dólares cada año a las provincias y los territorios para apoyar la creación de nuevos establecimientos de guardería en todo el país con el fin de ayudar a las familias canadienses a conciliar mejor sus responsabilidades laborales y de cuidado de la infancia. Además, como parte de la Estrategia de Conocimientos Prácticos y Capacitación para el Empleo de los Aborígenes, el Gobierno está invirtiendo 55 millones de dólares al año en apoyar una red de 8.500 establecimientos de guardería en más de 450 enclaves de las comunidades inuits y de las Primeras Naciones. </w:t>
      </w:r>
    </w:p>
    <w:p w:rsidR="002304AC" w:rsidRPr="000314D4" w:rsidRDefault="002304AC" w:rsidP="002304AC">
      <w:pPr>
        <w:pStyle w:val="SingleTxt"/>
        <w:numPr>
          <w:ilvl w:val="0"/>
          <w:numId w:val="6"/>
        </w:numPr>
        <w:ind w:left="1267" w:firstLine="0"/>
      </w:pPr>
      <w:r w:rsidRPr="000314D4">
        <w:t xml:space="preserve">Asimismo, mediante el Programa de Asentamiento, el Gobierno federal financia servicios de apoyo, como guarderías en el lugar de trabajo, de manera que las mujeres inmigrantes recién llegadas puedan sacar mejor partido a servicios como los programas de capacitación lingüística y de preparación para el empleo. Aquí se incluyen las enmiendas recientes para añadir opciones flexibles (por ejemplo, opciones de guardería a corto y largo plazo) a los proveedores de servicios de asentamiento de manera que los servicios de apoyo al cuidado de la infancia puedan responder mejor a las necesidades de los beneficiarios. </w:t>
      </w:r>
    </w:p>
    <w:p w:rsidR="002304AC" w:rsidRPr="000314D4" w:rsidRDefault="002304AC" w:rsidP="002304AC">
      <w:pPr>
        <w:pStyle w:val="SingleTxt"/>
        <w:numPr>
          <w:ilvl w:val="0"/>
          <w:numId w:val="6"/>
        </w:numPr>
        <w:ind w:left="1267" w:firstLine="0"/>
      </w:pPr>
      <w:r w:rsidRPr="000314D4">
        <w:t xml:space="preserve">Entre 2011 y 2013, el gobierno de Quebec aprobó 2 planes de desarrollo para la red de guarderías subvencionadas a fin de crear 30.000 nuevas plazas, con un objetivo global de 250.000 plazas subvencionadas de aquí a 2021. En mayo de 2014, había 218.790 plazas en la red y 3.979 plazas en las comunidades aborígenes. </w:t>
      </w:r>
    </w:p>
    <w:p w:rsidR="002304AC" w:rsidRPr="000314D4" w:rsidRDefault="002304AC" w:rsidP="002304AC">
      <w:pPr>
        <w:pStyle w:val="SingleTxt"/>
        <w:numPr>
          <w:ilvl w:val="0"/>
          <w:numId w:val="6"/>
        </w:numPr>
        <w:ind w:left="1267" w:firstLine="0"/>
      </w:pPr>
      <w:r w:rsidRPr="000314D4">
        <w:t>El Programa quinquenal “Opciones familiares” de Manitoba para el aprendizaje y el cuidado de los niños (2008 a 2013) asignó financiación a 6.500</w:t>
      </w:r>
      <w:r w:rsidR="002C7C35">
        <w:t xml:space="preserve"> </w:t>
      </w:r>
      <w:r w:rsidRPr="000314D4">
        <w:t xml:space="preserve">establecimientos de guardería. El recién anunciado Plan de Opciones Familiares (2014) incluye el compromiso de financiar 5.000 establecimientos más durante los próximos 5 años. </w:t>
      </w:r>
    </w:p>
    <w:p w:rsidR="002304AC" w:rsidRPr="000314D4" w:rsidRDefault="002304AC" w:rsidP="002304AC">
      <w:pPr>
        <w:pStyle w:val="SingleTxt"/>
        <w:numPr>
          <w:ilvl w:val="0"/>
          <w:numId w:val="6"/>
        </w:numPr>
        <w:ind w:left="1267" w:firstLine="0"/>
      </w:pPr>
      <w:r w:rsidRPr="000314D4">
        <w:t xml:space="preserve">El Programa de Manitoba para el aprendizaje y el cuidado de los niños proporciona financiación para apoyar, según se estima, a más de 8.600 niños en centros acreditados de cuidado de la infancia en cada período de 4 semanas, incluida una financiación de subvenciones garantizada a 29 centros para prestar servicio a familias con bajos ingresos en zonas muy necesitadas. Aproximadamente el 18% de todos los niños beneficiarios de subvenciones tienen padres que reciben asistencia para el empleo y los ingresos, y alrededor del 13% son niños en hogares de guarda. En julio de 2012, el Programa incrementó en un 5,3% el umbral de la idoneidad para percibir la subvención correspondiente, a fin de ampliar la accesibilidad al cuidado de la infancia para las familias con bajos ingresos. </w:t>
      </w:r>
    </w:p>
    <w:p w:rsidR="002304AC" w:rsidRPr="000314D4" w:rsidRDefault="002304AC" w:rsidP="002304AC">
      <w:pPr>
        <w:pStyle w:val="SingleTxt"/>
        <w:numPr>
          <w:ilvl w:val="0"/>
          <w:numId w:val="6"/>
        </w:numPr>
        <w:ind w:left="1267" w:firstLine="0"/>
      </w:pPr>
      <w:r w:rsidRPr="000314D4">
        <w:t>El gobierno de Ontario ofrece a las familias con ingresos bajos a moderados con hijos menores de 18 años la prestación por hijos a cargo de Ontario. Desde su establecimiento en 2008, el nivel de apoyo brindado por esta prestación se ha duplicado con creces. La prestación máxima anual ha aumentado en otros 110</w:t>
      </w:r>
      <w:r w:rsidR="002C7C35">
        <w:t xml:space="preserve"> </w:t>
      </w:r>
      <w:r w:rsidRPr="000314D4">
        <w:t xml:space="preserve">dólares por cada hijo en julio de 2013 y 100 dólares en julio de 2014, lo que eleva la cuantía máxima total proporcionada por cada hijo a 1.310 dólares. </w:t>
      </w:r>
    </w:p>
    <w:p w:rsidR="002304AC" w:rsidRPr="000314D4" w:rsidRDefault="002304AC" w:rsidP="002304AC">
      <w:pPr>
        <w:pStyle w:val="SingleTxt"/>
        <w:numPr>
          <w:ilvl w:val="0"/>
          <w:numId w:val="6"/>
        </w:numPr>
        <w:ind w:left="1267" w:firstLine="0"/>
      </w:pPr>
      <w:r w:rsidRPr="000314D4">
        <w:t>Entre 2013 y 2014, el gobierno de Ontario invirtió más de 1.000 millones de dólares en apoyar la disponibilidad de centros acreditados de cuidado de la infancia para los padres y las familias; en prestar servicios a zonas o grupos de población concretos (por ejemplo, zonas remotas o rurales, idioma, etc.); y en respaldar el gasto en activos fijos destinados al acondicionamiento de locales con miras a la implantación de jardines de infancia de tiempo completo.</w:t>
      </w:r>
    </w:p>
    <w:p w:rsidR="002304AC" w:rsidRPr="000314D4" w:rsidRDefault="002304AC" w:rsidP="002304AC">
      <w:pPr>
        <w:pStyle w:val="SingleTxt"/>
        <w:numPr>
          <w:ilvl w:val="0"/>
          <w:numId w:val="6"/>
        </w:numPr>
        <w:ind w:left="1267" w:firstLine="0"/>
      </w:pPr>
      <w:r w:rsidRPr="000314D4">
        <w:t>A fecha de marzo de 2013, había 5.050 centros acreditados de cuidado de la infancia en Ontario y la capacidad total acreditada en dichos centros era de 294.490</w:t>
      </w:r>
      <w:r w:rsidR="002C7C35">
        <w:t xml:space="preserve"> </w:t>
      </w:r>
      <w:r w:rsidRPr="000314D4">
        <w:t>plazas. Se contaban 127 organismos acreditados de servicios de guardería en hogares privados y 5.960 hogares receptores de tales servicios, con un total de 16.807 beneficiarios registrados.</w:t>
      </w:r>
    </w:p>
    <w:p w:rsidR="002304AC" w:rsidRPr="000314D4" w:rsidRDefault="002304AC" w:rsidP="002304AC">
      <w:pPr>
        <w:pStyle w:val="SingleTxt"/>
        <w:numPr>
          <w:ilvl w:val="0"/>
          <w:numId w:val="6"/>
        </w:numPr>
        <w:ind w:left="1267" w:firstLine="0"/>
      </w:pPr>
      <w:r w:rsidRPr="000314D4">
        <w:t>Ontario también ha implantado jardines de infancia de tiempo completo y está colaborando con el sector del cuidado de la infancia en cuanto a cómo transformar el sector y mejorar el cuidado de la infancia y los servicios para niños pequeños de manera que sean más receptivos, integrados y accesibles para los niños y las familias.</w:t>
      </w:r>
    </w:p>
    <w:p w:rsidR="002304AC" w:rsidRPr="000314D4" w:rsidRDefault="002304AC" w:rsidP="002304AC">
      <w:pPr>
        <w:pStyle w:val="SingleTxt"/>
        <w:numPr>
          <w:ilvl w:val="0"/>
          <w:numId w:val="6"/>
        </w:numPr>
        <w:ind w:left="1267" w:firstLine="0"/>
      </w:pPr>
      <w:r w:rsidRPr="000314D4">
        <w:t xml:space="preserve">En 2013, el gobierno de la Columbia Británica anunció la Estrategia para Niños Pequeños de dicha provincia, un compromiso gubernamental de ocho años orientado a mejorar la accesibilidad, la asequibilidad y la calidad de los programas para niños pequeños. El gobierno avisó de que planeaba introducir en 2015 una nueva deducción de la Columbia Británica por hijos pequeños a cargo para mejorar la asequibilidad del cuidado de la infancia y ayudar a las familias con el costo que supone criar a niños pequeños. </w:t>
      </w:r>
    </w:p>
    <w:p w:rsidR="002304AC" w:rsidRPr="000314D4" w:rsidRDefault="002304AC" w:rsidP="002304AC">
      <w:pPr>
        <w:pStyle w:val="SingleTxt"/>
        <w:numPr>
          <w:ilvl w:val="0"/>
          <w:numId w:val="6"/>
        </w:numPr>
        <w:ind w:left="1267" w:firstLine="0"/>
      </w:pPr>
      <w:r w:rsidRPr="000314D4">
        <w:t xml:space="preserve">En 2014, la provincia también anunció un total de 14,8 millones de dólares en financiación de grandes obras de infraestructura para el cuidado de la infancia con el fin de apoyar la creación de nuevos establecimientos de guardería acreditados. De acuerdo con la Estrategia para Niños Pequeños de la Columbia Británica, el gobierno pretende respaldar la creación de hasta 1.000 nuevos establecimientos de guardería entre la primavera de 2014 y la primavera de 2015, y tiene previstas inversiones adicionales en el siguiente ejercicio económico para apoyar la creación de otros 1.000 establecimientos. Desde 2001, ha colaborado con asociados comunitarios para crear más de 6.500 establecimientos de guardería acreditados, mientras que su programa de subvenciones para guarderías continúa prestando asistencia financiera a las familias con bajos ingresos para ayudar a compensar el costo que les supone el cuidado de la infancia. </w:t>
      </w:r>
    </w:p>
    <w:p w:rsidR="002304AC" w:rsidRPr="000314D4" w:rsidRDefault="002304AC" w:rsidP="002304AC">
      <w:pPr>
        <w:pStyle w:val="SingleTxt"/>
        <w:numPr>
          <w:ilvl w:val="0"/>
          <w:numId w:val="6"/>
        </w:numPr>
        <w:ind w:left="1267" w:firstLine="0"/>
      </w:pPr>
      <w:r w:rsidRPr="000314D4">
        <w:t xml:space="preserve">Saskatchewan ofrece diversos apoyos a los padres con ingresos bajos a moderados, entre ellos la ayuda para guarderías; el suplemento al empleo de Saskatchewan; las prestaciones especiales de asistencia social; los subsidios provinciales de capacitación; y los préstamos estudiantiles del Canadá y Saskatchewan. </w:t>
      </w:r>
    </w:p>
    <w:p w:rsidR="002304AC" w:rsidRPr="000314D4" w:rsidRDefault="002304AC" w:rsidP="002304AC">
      <w:pPr>
        <w:pStyle w:val="SingleTxt"/>
        <w:numPr>
          <w:ilvl w:val="0"/>
          <w:numId w:val="6"/>
        </w:numPr>
        <w:ind w:left="1267" w:firstLine="0"/>
      </w:pPr>
      <w:r w:rsidRPr="000314D4">
        <w:t>Saskatchewan ha destinado financiación a incrementar el número de establecimientos de guardería a fin de cumplir el objetivo de añadir 2.000 nuevos establecimientos de guardería de aquí a 2016, y ha nombrado a un Secretario Legislativo para el Cuidado de la Infancia encargado de examinar el actual programa de subvenciones para guarderías. Asimismo, el gobierno ha incrementado las prestaciones máximas del suplemento al empleo de Saskatchewan en un 14% y ha elevado los umbrales de ingresos en un 16%.</w:t>
      </w:r>
    </w:p>
    <w:p w:rsidR="002304AC" w:rsidRPr="000314D4" w:rsidRDefault="002304AC" w:rsidP="002304AC">
      <w:pPr>
        <w:pStyle w:val="SingleTxt"/>
        <w:numPr>
          <w:ilvl w:val="0"/>
          <w:numId w:val="6"/>
        </w:numPr>
        <w:ind w:left="1267" w:firstLine="0"/>
      </w:pPr>
      <w:r w:rsidRPr="000314D4">
        <w:t>Desde 2007, se ha duplicado con creces el número de programas preescolares añadidos en Saskatchewan, y los hijos de mujeres aborígenes y con bajos ingresos que tienen 3 y 4 años de edad pueden acceder a la educación preescolar sin costo alguno. También existen centros de apoyo a estudiantes adolescentes en toda la provincia, que están pensados para cubrir el costo de las guarderías para los padres adolescentes y financiar apoyos programáticos concretos para padres adolescentes y sus hijos mientras los primeros se esfuerzan por finalizar la enseñanza secundaria.</w:t>
      </w:r>
    </w:p>
    <w:p w:rsidR="002304AC" w:rsidRPr="000314D4" w:rsidRDefault="002304AC" w:rsidP="002304AC">
      <w:pPr>
        <w:pStyle w:val="SingleTxt"/>
        <w:numPr>
          <w:ilvl w:val="0"/>
          <w:numId w:val="6"/>
        </w:numPr>
        <w:ind w:left="1267" w:firstLine="0"/>
      </w:pPr>
      <w:r w:rsidRPr="000314D4">
        <w:t>En 2008, Alberta puso en marcha el Plan de Creación de Opciones de Guardería, que tuvo como resultado la creación de más de 20.000 nuevos establecimientos de guardería. En 2012, el cuidado de la infancia se hizo más asequible después de que se incrementara el umbral para recibir subvenciones para guarderías. Alberta también cuenta con un programa de acreditación voluntaria y más del 97% de las guarderías y los hogares de guarda en familia y más del 87% de los programas de centros extraescolares participan en la acreditación para cumplir las normas de excelencia.</w:t>
      </w:r>
    </w:p>
    <w:p w:rsidR="002304AC" w:rsidRPr="000314D4" w:rsidRDefault="002304AC" w:rsidP="002304AC">
      <w:pPr>
        <w:pStyle w:val="SingleTxt"/>
        <w:numPr>
          <w:ilvl w:val="0"/>
          <w:numId w:val="6"/>
        </w:numPr>
        <w:ind w:left="1267" w:firstLine="0"/>
      </w:pPr>
      <w:r w:rsidRPr="000314D4">
        <w:t>El programa de subvenciones para guarderías del gobierno de Nueva Escocia ayuda a las familias que reúnen los requisitos pertinentes a pagar el cuidado de la infancia en establecimientos de guardería acreditados o en hogares de guarda en familia. También se han abierto centros para niños pequeños en cuatro comunidades con el fin de ofrecer a las familias un acceso más amplio a servicios y apoyos para niños pequeños.</w:t>
      </w:r>
    </w:p>
    <w:p w:rsidR="002304AC" w:rsidRPr="000314D4" w:rsidRDefault="002304AC" w:rsidP="002304AC">
      <w:pPr>
        <w:pStyle w:val="SingleTxt"/>
        <w:numPr>
          <w:ilvl w:val="0"/>
          <w:numId w:val="6"/>
        </w:numPr>
        <w:ind w:left="1267" w:firstLine="0"/>
      </w:pPr>
      <w:r w:rsidRPr="000314D4">
        <w:t>En 2010, la Isla del Príncipe Eduardo estableció centros para niños pequeños como parte de su sistema de aprendizaje temprano y cuidado de la infancia. El costo para los padres de los centros para niños pequeños está regulado y, puesto que la tasa máxima por día del programa de subvenciones para guarderías de la provincia está fijada al mismo nivel que el costo regulado, las familias que cumplen los requisitos pertinentes no tienen que pagar costos adicionales por los servicios.</w:t>
      </w:r>
    </w:p>
    <w:p w:rsidR="002304AC" w:rsidRPr="000314D4" w:rsidRDefault="002304AC" w:rsidP="002304AC">
      <w:pPr>
        <w:pStyle w:val="SingleTxt"/>
        <w:numPr>
          <w:ilvl w:val="0"/>
          <w:numId w:val="6"/>
        </w:numPr>
        <w:ind w:left="1267" w:firstLine="0"/>
      </w:pPr>
      <w:r w:rsidRPr="000314D4">
        <w:t xml:space="preserve">Los Territorios del Noroeste están ofreciendo de manera opcional y gratuita aprendizaje temprano y cuidado de tiempo completo para niños de cuatro años en muchas de sus comunidades en los períodos de 2014 a 2015 y de 2015 a 2016. Tras realizar un examen del programa entre 2015 y 2016, se considerará la posibilidad de implantar progresivamente estos servicios en todo el territorio. En aquellos lugares en que se ofrecen, tales servicios brindarán a los operadores de guarderías con y sin fines de lucro la oportunidad de abrir más establecimientos de guardería para niños de 0 a 3 años. Esto ayudará a abordar la realidad de que muchas madres desean reincorporarse a la fuerza de trabajo o seguir adelante con sus estudios.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Vivienda asequible</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Los gobiernos del Canadá reconocen que ofrecer una vivienda segura y estable y los apoyos conexos es importante para ayudar a las personas a lograr una mayor autosuficiencia económica y una mejor calidad de vida. Aunque los datos sobre vivienda asequible no se desglosan por género, las intervenciones gubernamentales a favor de las personas con bajos ingresos y de las comunidades aborígenes benefician a las mujeres.</w:t>
      </w:r>
    </w:p>
    <w:p w:rsidR="002304AC" w:rsidRPr="000314D4" w:rsidRDefault="002304AC" w:rsidP="002304AC">
      <w:pPr>
        <w:pStyle w:val="SingleTxt"/>
        <w:numPr>
          <w:ilvl w:val="0"/>
          <w:numId w:val="6"/>
        </w:numPr>
        <w:ind w:left="1267" w:firstLine="0"/>
      </w:pPr>
      <w:r w:rsidRPr="000314D4">
        <w:t xml:space="preserve">En 2011, el Gobierno federal y los gobiernos provinciales y territoriales asignaron una inversión combinada de 1.400 millones de dólares a reducir el número de canadienses necesitados de vivienda con arreglo a un nuevo Marco de Inversión en la Construcción de Viviendas Asequibles de 2011 a 2014, que propició que cerca de 183.700 hogares dejaran de necesitar una vivienda. </w:t>
      </w:r>
    </w:p>
    <w:p w:rsidR="002304AC" w:rsidRPr="000314D4" w:rsidRDefault="002304AC" w:rsidP="002304AC">
      <w:pPr>
        <w:pStyle w:val="SingleTxt"/>
        <w:numPr>
          <w:ilvl w:val="0"/>
          <w:numId w:val="6"/>
        </w:numPr>
        <w:ind w:left="1267" w:firstLine="0"/>
      </w:pPr>
      <w:r w:rsidRPr="000314D4">
        <w:t xml:space="preserve">Entre el 28 de febrero de 2010 y el 31 de marzo de 2014, el programa </w:t>
      </w:r>
      <w:r w:rsidRPr="00B36FA7">
        <w:rPr>
          <w:i/>
          <w:iCs/>
        </w:rPr>
        <w:t>AccèsLogis</w:t>
      </w:r>
      <w:r w:rsidRPr="000314D4">
        <w:t xml:space="preserve"> del gobierno de Quebec financió 464 alojamientos para mujeres que están en la indigencia y en situación de dificultad. El gobierno también financia proyectos de vivienda asequible para madres solteras jóvenes que se reincorporan al mercado de trabajo (programa </w:t>
      </w:r>
      <w:r w:rsidRPr="00B36FA7">
        <w:rPr>
          <w:i/>
          <w:iCs/>
        </w:rPr>
        <w:t>AccèsLogis</w:t>
      </w:r>
      <w:r w:rsidRPr="000314D4">
        <w:t xml:space="preserve"> de Quebec). Algunos de estos proyectos incluyen el establecimiento de servicios de guardería en el edificio para permitir a los inquilinos conciliar la vida familiar con su regreso a la escuela o a los cursos de capacitación.</w:t>
      </w:r>
    </w:p>
    <w:p w:rsidR="002304AC" w:rsidRPr="000314D4" w:rsidRDefault="002304AC" w:rsidP="002304AC">
      <w:pPr>
        <w:pStyle w:val="SingleTxt"/>
        <w:numPr>
          <w:ilvl w:val="0"/>
          <w:numId w:val="6"/>
        </w:numPr>
        <w:ind w:left="1267" w:firstLine="0"/>
      </w:pPr>
      <w:r w:rsidRPr="000314D4">
        <w:t xml:space="preserve">El gobierno de Ontario ha elaborado varias medidas para abordar las necesidades de vivienda de las mujeres con bajos ingresos, como, por ejemplo, la Estrategia de Vivienda Asequible a Largo Plazo y la Iniciativa Comunitaria de Prevención de la Falta de Vivienda. </w:t>
      </w:r>
    </w:p>
    <w:p w:rsidR="002304AC" w:rsidRPr="000314D4" w:rsidRDefault="002304AC" w:rsidP="002304AC">
      <w:pPr>
        <w:pStyle w:val="SingleTxt"/>
        <w:numPr>
          <w:ilvl w:val="0"/>
          <w:numId w:val="6"/>
        </w:numPr>
        <w:ind w:left="1267" w:firstLine="0"/>
      </w:pPr>
      <w:r w:rsidRPr="000314D4">
        <w:t xml:space="preserve">La vivienda social en Ontario consta de aproximadamente 260.000 unidades de vivienda social, entre las que se incluyen unas 186.000 unidades cuyo alquiler se ajusta a los ingresos. Estas unidades ayudan a una variedad de hogares de bajos ingresos, entre los que se incluyen hogares encabezados por mujeres. </w:t>
      </w:r>
    </w:p>
    <w:p w:rsidR="002304AC" w:rsidRPr="000314D4" w:rsidRDefault="002304AC" w:rsidP="002304AC">
      <w:pPr>
        <w:pStyle w:val="SingleTxt"/>
        <w:numPr>
          <w:ilvl w:val="0"/>
          <w:numId w:val="6"/>
        </w:numPr>
        <w:ind w:left="1267" w:firstLine="0"/>
      </w:pPr>
      <w:r w:rsidRPr="000314D4">
        <w:t xml:space="preserve">A fecha de marzo de 2014, se han asignado más de 373 millones de dólares en financiación para inversión en la construcción de viviendas asequibles con el fin de construir y reparar 10.144 unidades en Ontario y prestar asistencia para el alquiler y para la entrada de viviendas a 6.941 hogares, incluidos hogares encabezados por mujeres. </w:t>
      </w:r>
    </w:p>
    <w:p w:rsidR="002304AC" w:rsidRPr="000314D4" w:rsidRDefault="002304AC" w:rsidP="002304AC">
      <w:pPr>
        <w:pStyle w:val="SingleTxt"/>
        <w:numPr>
          <w:ilvl w:val="0"/>
          <w:numId w:val="6"/>
        </w:numPr>
        <w:ind w:left="1267" w:firstLine="0"/>
      </w:pPr>
      <w:r w:rsidRPr="000314D4">
        <w:t xml:space="preserve">De 2004 a 2014, la Isla del Príncipe Eduardo, en colaboración con el Gobierno del Canadá y promotores privados, invirtió más de 20 millones de dólares para ofrecer nuevas opciones de vivienda asequible a personas y familias necesitadas. Esta financiación incrementó en 455 unidades el parque habitacional disponible para los habitantes vulnerables de la Isla del Príncipe Eduardo. </w:t>
      </w:r>
    </w:p>
    <w:p w:rsidR="002304AC" w:rsidRPr="000314D4" w:rsidRDefault="002304AC" w:rsidP="002304AC">
      <w:pPr>
        <w:pStyle w:val="SingleTxt"/>
        <w:numPr>
          <w:ilvl w:val="0"/>
          <w:numId w:val="6"/>
        </w:numPr>
        <w:ind w:left="1267" w:firstLine="0"/>
      </w:pPr>
      <w:r w:rsidRPr="000314D4">
        <w:t>El gobierno de Saskatchewan ha ajustado los suplementos para el alquiler de vivienda y las prestaciones de vivienda con arreglo al suplemento para el alquiler de vivienda de Saskatchewan y los programas de asistencia social nueve veces desde agosto de 2008 (el aumento más reciente tuvo lugar el 1 de octubre de 2013).</w:t>
      </w:r>
    </w:p>
    <w:p w:rsidR="002304AC" w:rsidRPr="000314D4" w:rsidRDefault="002304AC" w:rsidP="002304AC">
      <w:pPr>
        <w:pStyle w:val="SingleTxt"/>
        <w:numPr>
          <w:ilvl w:val="0"/>
          <w:numId w:val="6"/>
        </w:numPr>
        <w:ind w:left="1267" w:firstLine="0"/>
      </w:pPr>
      <w:r w:rsidRPr="000314D4">
        <w:t>En 2009, el gobierno de Manitoba publicó “HOMEWorks! Manitoba’s Long-Term Housing Strategy and Policy Framework” (estrategia y marco normativo a largo plazo en materia de vivienda), que es un complemento de “AllAboard”, la estrategia para la reducción de la pobreza en Manitoba. Ambas estrategias han anunciado, entre otras cosas, una cuantía considerable de financiación para nuevas viviendas públicas e importantes proyectos de renovación. Las iniciativas de coordinación interministerial también han desarrollado la Estrategia para Combatir la Falta de Vivienda, que incluye diversos proyectos de vivienda para personas con problemas de salud mental y falta de vivienda.</w:t>
      </w:r>
    </w:p>
    <w:p w:rsidR="002304AC" w:rsidRPr="000314D4" w:rsidRDefault="002304AC" w:rsidP="002304AC">
      <w:pPr>
        <w:pStyle w:val="SingleTxt"/>
        <w:numPr>
          <w:ilvl w:val="0"/>
          <w:numId w:val="6"/>
        </w:numPr>
        <w:ind w:left="1267" w:firstLine="0"/>
      </w:pPr>
      <w:r w:rsidRPr="000314D4">
        <w:t>En febrero de 2014, la Columbia Británica actualizó su estrategia de vivienda de 2006, llamada “Housing Matters BC”, y renovó su compromiso de abordar la cuestión de la vivienda de las personas aborígenes por medio de un sólido sector de la vivienda para estas personas. A fecha de marzo de 2014, hay más de 4.500 unidades de vivienda dedicadas a apoyar a familias y personas aborígenes con bajos ingresos.</w:t>
      </w:r>
    </w:p>
    <w:p w:rsidR="002304AC" w:rsidRPr="000314D4" w:rsidRDefault="002304AC" w:rsidP="002304AC">
      <w:pPr>
        <w:pStyle w:val="SingleTxt"/>
        <w:numPr>
          <w:ilvl w:val="0"/>
          <w:numId w:val="6"/>
        </w:numPr>
        <w:ind w:left="1267" w:firstLine="0"/>
      </w:pPr>
      <w:r w:rsidRPr="000314D4">
        <w:t xml:space="preserve">El Programa de Apoyos y Viviendas de Transición para Mujeres de la Columbia Británica asiste a aproximadamente 18.000 mujeres y niños en toda la provincia. Todos los programas prestan servicio a mujeres y niños aborígenes, e incluyen a siete proveedores aborígenes. </w:t>
      </w:r>
    </w:p>
    <w:p w:rsidR="002304AC" w:rsidRPr="002304AC" w:rsidRDefault="002304AC" w:rsidP="002304AC">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s-ES_tradnl"/>
        </w:rPr>
      </w:pPr>
      <w:r w:rsidRPr="002304AC">
        <w:rPr>
          <w:rFonts w:eastAsia="Calibri"/>
          <w:lang w:val="es-ES_tradnl"/>
        </w:rPr>
        <w:tab/>
        <w:t>VI.</w:t>
      </w:r>
      <w:r w:rsidRPr="002304AC">
        <w:rPr>
          <w:rFonts w:eastAsia="Calibri"/>
          <w:lang w:val="es-ES_tradnl"/>
        </w:rPr>
        <w:tab/>
        <w:t>La mujer y el sistema de justicia</w:t>
      </w:r>
    </w:p>
    <w:p w:rsidR="002304AC" w:rsidRDefault="002304AC" w:rsidP="002304AC">
      <w:pPr>
        <w:pStyle w:val="SingleTxt"/>
        <w:spacing w:after="0" w:line="120" w:lineRule="exact"/>
        <w:rPr>
          <w:sz w:val="10"/>
          <w:szCs w:val="24"/>
        </w:rPr>
      </w:pP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Esta sección del informe contiene información relacionada con los artículos 15 y 16 de la Convención, y aborda el acceso a recursos jurídicos, la distribución de los bienes al disolverse el matrimonio o una relación de hecho, y la situación de las mujeres y niñas en el sistema penitenciario. Se centra en las observaciones 21, 22, 33, 34, 47 y 48 del Comité. </w:t>
      </w:r>
    </w:p>
    <w:p w:rsidR="002304AC" w:rsidRPr="000314D4" w:rsidRDefault="002304AC" w:rsidP="002304AC">
      <w:pPr>
        <w:pStyle w:val="SingleTxt"/>
        <w:numPr>
          <w:ilvl w:val="0"/>
          <w:numId w:val="6"/>
        </w:numPr>
        <w:ind w:left="1267" w:firstLine="0"/>
      </w:pPr>
      <w:r w:rsidRPr="000314D4">
        <w:t xml:space="preserve">Todos los gobiernos del Canadá han promulgado legislación por la que se prohíbe la discriminación por diversos motivos, incluido el sexo, en lo referente al empleo, el suministro de los bienes y servicios que habitualmente se ofrecen al público, y la vivienda. Se puede encontrar más información sobre los códigos de derechos humanos del Canadá y sobre las vías de recurso en los párrafos 99 a 108 y 131 a 152 del documento básico del Canadá.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Asistencia jurídica</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Como parte de su jurisdicción constitucional en el ámbito del derecho penal, el Gobierno del Canadá proporciona ayuda económica a las provincias y territorios para que ofrezcan servicios de asistencia jurídica en materia penal. El Gobierno del Canadá proporciona ayuda económica a las seis provincias que ofrecen servicios de asistencia jurídica en materia de inmigración y refugiados (Columbia Británica, Alberta, Manitoba, Quebec, Ontario, y Terranova y Labrador).</w:t>
      </w:r>
    </w:p>
    <w:p w:rsidR="002304AC" w:rsidRPr="000314D4" w:rsidRDefault="002304AC" w:rsidP="002304AC">
      <w:pPr>
        <w:pStyle w:val="SingleTxt"/>
        <w:numPr>
          <w:ilvl w:val="0"/>
          <w:numId w:val="6"/>
        </w:numPr>
        <w:ind w:left="1267" w:firstLine="0"/>
      </w:pPr>
      <w:r w:rsidRPr="000314D4">
        <w:t xml:space="preserve">El servicio de Transferencia en Materia de Programas Sociales del Gobierno federal del Canadá incluye financiación para asistencia jurídica en lo civil. Este servicio aporta flexibilidad a los gobiernos provinciales y territoriales para invertir estos fondos con arreglo a las necesidades y prioridades de sus residentes, también determinando el diseño y la ejecución de los programas de asistencia jurídica en lo civil. </w:t>
      </w:r>
    </w:p>
    <w:p w:rsidR="002304AC" w:rsidRPr="000314D4" w:rsidRDefault="002304AC" w:rsidP="002304AC">
      <w:pPr>
        <w:pStyle w:val="SingleTxt"/>
        <w:numPr>
          <w:ilvl w:val="0"/>
          <w:numId w:val="6"/>
        </w:numPr>
        <w:ind w:left="1267" w:firstLine="0"/>
      </w:pPr>
      <w:r w:rsidRPr="000314D4">
        <w:t>Desde enero de 2014, los umbrales de elegibilidad para recibir asistencia jurídica se han incrementado sustancialmente en Quebec. Más de 500.000 nuevos beneficiarios tendrán acceso a este componente gratuito del programa. Este aumento permitirá a las personas de edad que viven solas y que reciben principalmente el suplemento de ingresos garantizado disfrutar de una cobertura jurídica gratuita. A partir de junio de 2015, las personas que trabajan a tiempo completo y ganan el salario mínimo también tendrán acceso a asistencia jurídica gratuita. Esta enmienda al plan beneficiará a las mujeres que perciben bajos ingresos.</w:t>
      </w:r>
    </w:p>
    <w:p w:rsidR="002304AC" w:rsidRPr="000314D4" w:rsidRDefault="002304AC" w:rsidP="002304AC">
      <w:pPr>
        <w:pStyle w:val="SingleTxt"/>
        <w:numPr>
          <w:ilvl w:val="0"/>
          <w:numId w:val="6"/>
        </w:numPr>
        <w:ind w:left="1267" w:firstLine="0"/>
      </w:pPr>
      <w:r w:rsidRPr="000314D4">
        <w:t xml:space="preserve">Con respecto al derecho de familia, en 2012 se promulgó una ley de promoción del acceso a la justicia en cuestiones de familia. Se mejoró el programa de mediación familiar, que ofrece a los padres que se encuentran en proceso de separación (ya estén casados o no) la posibilidad de seguir disfrutando de los servicios de mediación familiar cubiertos por el gobierno, de hasta 7 horas y media, incluidas 2 horas y media para un examen de seguimiento. También se ofrecen de forma gratuita a los padres sesiones sobre desempeño de las funciones parentales, en particular para informarlos de los aspectos psicosociales de la ruptura. </w:t>
      </w:r>
    </w:p>
    <w:p w:rsidR="002304AC" w:rsidRPr="000314D4" w:rsidRDefault="002304AC" w:rsidP="002304AC">
      <w:pPr>
        <w:pStyle w:val="SingleTxt"/>
        <w:numPr>
          <w:ilvl w:val="0"/>
          <w:numId w:val="6"/>
        </w:numPr>
        <w:ind w:left="1267" w:firstLine="0"/>
      </w:pPr>
      <w:r w:rsidRPr="000314D4">
        <w:t>Desde abril de 2014, existe un servicio administrativo encargado de ajustar las cuantías de la pensión alimenticia que permite a los padres actualizar la cuantía en aquellos casos en que no se necesita una evaluación judicial. El servicio se ofrece a un costo fijo y es asequible, y los padres que reúnen los requisitos necesarios no tienen que comparecer ante un juez.</w:t>
      </w:r>
    </w:p>
    <w:p w:rsidR="002304AC" w:rsidRPr="000314D4" w:rsidRDefault="002304AC" w:rsidP="002304AC">
      <w:pPr>
        <w:pStyle w:val="SingleTxt"/>
        <w:numPr>
          <w:ilvl w:val="0"/>
          <w:numId w:val="6"/>
        </w:numPr>
        <w:ind w:left="1267" w:firstLine="0"/>
      </w:pPr>
      <w:r w:rsidRPr="000314D4">
        <w:t xml:space="preserve">En los Territorios del Noroeste se presta asistencia jurídica a personas que reúnen los requisitos financieros necesarios y a personas que reciben apoyo a los ingresos en las esferas relacionadas con la familia y las causas civiles: causas relativas a la pensión alimenticia, la custodia de los hijos y el plan de visitas; división de bienes y divorcio en relación con la pensión alimenticia, la custodia de los hijos o el plan de visitas; manutención conyugal; órdenes de alejamiento de emergencia; cuestiones de bienestar infantil; y acceso a los servicios gubernamentales. En Yellowknife se ha establecido un consultorio de asistencia jurídica que viaja por las comunidades de todo el territorio y presta servicios relacionados con cuestiones civiles que tienen efectos sobre los medios de vida, la salud física o mental, o la capacidad para adquirir alimentos, ropa o vivienda para las personas o sus familias. </w:t>
      </w:r>
    </w:p>
    <w:p w:rsidR="002304AC" w:rsidRPr="000314D4" w:rsidRDefault="002304AC" w:rsidP="002304AC">
      <w:pPr>
        <w:pStyle w:val="SingleTxt"/>
        <w:numPr>
          <w:ilvl w:val="0"/>
          <w:numId w:val="6"/>
        </w:numPr>
        <w:ind w:left="1267" w:firstLine="0"/>
      </w:pPr>
      <w:r w:rsidRPr="000314D4">
        <w:t xml:space="preserve">La Sociedad de Servicios de Asistencia Letrada del Yukón ha establecido unos criterios mínimos para acceder a la asistencia jurídica y a los servicios relacionados con la pobreza. Toda la información está publicada en su sitio web para que resulte de fácil acceso. Además, la Sociedad cuenta con un procedimiento de llamamientos establecido. </w:t>
      </w:r>
    </w:p>
    <w:p w:rsidR="002304AC" w:rsidRPr="000314D4" w:rsidRDefault="002304AC" w:rsidP="002304AC">
      <w:pPr>
        <w:pStyle w:val="SingleTxt"/>
        <w:numPr>
          <w:ilvl w:val="0"/>
          <w:numId w:val="6"/>
        </w:numPr>
        <w:ind w:left="1267" w:firstLine="0"/>
      </w:pPr>
      <w:r w:rsidRPr="000314D4">
        <w:t>Se puede encontrar más información sobre el acceso a la asistencia jurídica en el Canadá en los párrafos 554 a 605 de la respuesta de enero de 2014.</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 xml:space="preserve">Distribución de los bienes al disolverse el matrimonio </w:t>
      </w:r>
      <w:r>
        <w:br/>
      </w:r>
      <w:r w:rsidRPr="000314D4">
        <w:t xml:space="preserve">o una relación de hecho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Cada provincia y territorio tiene jurisdicción constitucional sobre bienes y, por tanto, cuenta con una legislación que regula la división de bienes familiares cuando se rompe el matrimonio. Los estatutos difieren en varios aspectos, tales como qué “bienes” pueden ser objeto de división, cuándo surge el derecho a reclamar una división de bienes, y si los derechos otorgados por la legislación son derechos entre deudor y acreedor o derechos de propiedad sobre los activos. En la práctica, hay menos diferencias de las que cabría esperar en la distribución final de los bienes en virtud de los distintos estatutos y, normalmente, se termina llegando a una división a partes iguales en valor o en bienes. La capacidad de obtener ingresos suele abordarse con el remedio jurídico de la manutención conyugal y no con la división de bienes. La legislación también establece excepciones en circunstancias de desigualdad: por ejemplo, en la provincia de la Columbia Británica, donde la capacidad de obtener ingresos también se puede tratar mediante una división desigual de los bienes, y en Quebec, donde la división desigual de los bienes puede permitirse en virtud del Código Civil de Quebec.</w:t>
      </w:r>
    </w:p>
    <w:p w:rsidR="002304AC" w:rsidRPr="000314D4" w:rsidRDefault="002304AC" w:rsidP="002304AC">
      <w:pPr>
        <w:pStyle w:val="SingleTxt"/>
        <w:numPr>
          <w:ilvl w:val="0"/>
          <w:numId w:val="6"/>
        </w:numPr>
        <w:ind w:left="1267" w:firstLine="0"/>
      </w:pPr>
      <w:r w:rsidRPr="000314D4">
        <w:t>En todas las provincias, la legislación relativa a la división de bienes familiares se aplica automáticamente a las parejas casadas. En Quebec, la legislación también se aplica a las parejas no casadas que han formalizado un contrato de unión civil. Otras dos provincias (Nueva Escocia y Manitoba) también contemplan un sistema de registro de parejas que mantienen una relación conyugal pero no están casadas, el cual les otorga derechos y responsabilidades similares a los de las parejas casadas. Estos sistemas de registro han tenido una tasa de utilización relativamente baja, especialmente porque las parejas del mismo sexo han conseguido el derecho a contraer matrimonio. Hay 3 provincias (Columbia Británica, Manitoba y Saskatchewan) que han extendido su legislación sobre la división de bienes familiares a las parejas de hecho que llevan conviviendo entre 2 y 3 años como mínimo. Las reclamaciones de bienes familiares para las parejas de hecho suelen basarse en los recursos equitativos de enriquecimiento injusto y fideicomiso impuesto.</w:t>
      </w:r>
    </w:p>
    <w:p w:rsidR="002304AC" w:rsidRPr="000314D4" w:rsidRDefault="002304AC" w:rsidP="002304AC">
      <w:pPr>
        <w:pStyle w:val="SingleTxt"/>
        <w:numPr>
          <w:ilvl w:val="0"/>
          <w:numId w:val="6"/>
        </w:numPr>
        <w:ind w:left="1267" w:firstLine="0"/>
      </w:pPr>
      <w:r w:rsidRPr="000314D4">
        <w:t xml:space="preserve">La legislación federal establece normas provisionales sobre la división de bienes familiares para las Primeras Naciones hasta que estas promulguen su propia legislación. También otorga los mismos derechos y responsabilidades a las parejas de hecho. </w:t>
      </w:r>
    </w:p>
    <w:p w:rsidR="002304AC" w:rsidRPr="000314D4" w:rsidRDefault="002304AC" w:rsidP="002304AC">
      <w:pPr>
        <w:pStyle w:val="SingleTxt"/>
        <w:numPr>
          <w:ilvl w:val="0"/>
          <w:numId w:val="6"/>
        </w:numPr>
        <w:ind w:left="1267" w:firstLine="0"/>
      </w:pPr>
      <w:r w:rsidRPr="000314D4">
        <w:t>En Quebec, los activos no se dividen. En su lugar, hay una división del “patrimonio familiar”, que corresponde al valor neto total de ciertos activos, concretamente las viviendas utilizadas por la familia, los muebles usados por la familia en dichas viviendas, los vehículos empleados para viajes familiares y los activos acumulados en un plan de jubilación durante el matrimonio o la unión civil. Las normas que rigen la constitución y la división del patrimonio familiar se aplican a las parejas casadas y a aquellas que están en una unión civil en el momento de la disolución de su unión, con independencia de su régimen de unión matrimonial o civil y de si tienen hijos o no. Los activos que no forman parte del patrimonio familiar están sujetos al régimen matrimonial de los cónyuges. Estas normas no son aplicables a las parejas de hecho, aunque estas pueden protegerse previendo las consecuencias de una eventual ruptura mediante un acuerdo de cohabitación</w:t>
      </w:r>
      <w:r w:rsidRPr="00223441">
        <w:rPr>
          <w:color w:val="FF0000"/>
          <w:vertAlign w:val="superscript"/>
        </w:rPr>
        <w:footnoteReference w:id="15"/>
      </w:r>
      <w:r w:rsidRPr="000314D4">
        <w:t>.</w:t>
      </w:r>
    </w:p>
    <w:p w:rsidR="002304AC" w:rsidRPr="000314D4" w:rsidRDefault="002304AC" w:rsidP="002304AC">
      <w:pPr>
        <w:pStyle w:val="SingleTxt"/>
        <w:numPr>
          <w:ilvl w:val="0"/>
          <w:numId w:val="6"/>
        </w:numPr>
        <w:ind w:left="1267" w:firstLine="0"/>
      </w:pPr>
      <w:r w:rsidRPr="000314D4">
        <w:t>En abril de 2013 se creó un comité consultivo sobre derecho de familia para valorar la posibilidad de realizar una reforma del derecho de familia de Quebec. En su informe preliminar, que se basa en un análisis jurídico y en datos sociodemográficos, el comité concluye que existe una brecha considerable entre el modelo de familia reconocido por el Código Civil, que comienza con el matrimonio, y las diferentes formas de uniones y familias que hay en Quebec hoy en día. El comité recomendó que se revisara el derecho de familia en su conjunto y actualmente está trabajando en la elaboración de propuestas de revisión.</w:t>
      </w:r>
    </w:p>
    <w:p w:rsidR="002304AC" w:rsidRPr="000314D4" w:rsidRDefault="002304AC" w:rsidP="002304AC">
      <w:pPr>
        <w:pStyle w:val="SingleTxt"/>
        <w:numPr>
          <w:ilvl w:val="0"/>
          <w:numId w:val="6"/>
        </w:numPr>
        <w:ind w:left="1267" w:firstLine="0"/>
      </w:pPr>
      <w:r w:rsidRPr="000314D4">
        <w:t xml:space="preserve">El régimen de bienes familiares de Manitoba lleva vigente para los cónyuges casados desde la década de 1970 y dispone la división del valor de todos los bienes adquiridos por uno de los cónyuges o por ambos durante la cohabitación matrimonial. Se presupone que el valor de dichos bienes se distribuirá a partes iguales, pero el tribunal sí tiene discrecionalidad limitada para ordenar una división desigual. La legislación sobre el reparto de bienes familiares en Manitoba se extendió a las parejas de hecho con efecto a partir del 30 de junio de 2004. </w:t>
      </w:r>
    </w:p>
    <w:p w:rsidR="002304AC" w:rsidRPr="000314D4" w:rsidRDefault="002304AC" w:rsidP="002304AC">
      <w:pPr>
        <w:pStyle w:val="SingleTxt"/>
        <w:numPr>
          <w:ilvl w:val="0"/>
          <w:numId w:val="6"/>
        </w:numPr>
        <w:ind w:left="1267" w:firstLine="0"/>
      </w:pPr>
      <w:r w:rsidRPr="000314D4">
        <w:t>Puesto que el régimen de bienes familiares de Manitoba trata de activos adquiridos durante la cohabitación, la futura capacidad de obtener ingresos no está directamente relacionada con esta materia y probablemente tiene más que ver con las cuestiones relativas a la manutención conyugal o de la pareja de hecho. La futura capacidad de obtener ingresos puede considerarse de forma indirecta en una reclamación de bienes familiares cuando se divide el valor del lugar de ejercicio profesional de un cónyuge o pareja, como, por ejemplo, un consultorio médico o un despacho jurídico o contable.</w:t>
      </w:r>
    </w:p>
    <w:p w:rsidR="002304AC" w:rsidRPr="000314D4" w:rsidRDefault="002304AC" w:rsidP="002304AC">
      <w:pPr>
        <w:pStyle w:val="SingleTxt"/>
        <w:numPr>
          <w:ilvl w:val="0"/>
          <w:numId w:val="6"/>
        </w:numPr>
        <w:ind w:left="1267" w:firstLine="0"/>
      </w:pPr>
      <w:r w:rsidRPr="000314D4">
        <w:t>En Saskatchewan, la Ley de Bienes Familiares regula la posesión y distribución de bienes entre los cónyuges. Se considera cónyuge a un cónyuge legalmente casado o una pareja de hecho (esto es, que haya cohabitado con la otra persona en régimen conyugal ininterrumpidamente durante un período mínimo de dos años). Por regla general, cada cónyuge tiene derecho a una parte igual de los bienes familiares, sin perjuicio de las excepciones, exenciones y consideraciones de equidad establecidas en la Ley. Por ejemplo, un tribunal puede ordenar que a uno de los cónyuges se le conceda la posesión exclusiva de la vivienda familiar o de enseres domésticos. Al dictar esa orden, el tribunal tendrá en cuenta factores como las necesidades de los hijos, si existen; la conducta que los cónyuges mantienen entre sí y hacia sus hijos, si existen; la disponibilidad de otro alojamiento dentro del límite de los recursos financieros de cada cónyuge; la situación financiera de cada cónyuge; cualquier contrato o acuerdo escrito convenido entre los cónyuges; o cualquier otro hecho o circunstancia pertinente.</w:t>
      </w:r>
    </w:p>
    <w:p w:rsidR="002304AC" w:rsidRPr="000314D4" w:rsidRDefault="002304AC" w:rsidP="002304AC">
      <w:pPr>
        <w:pStyle w:val="SingleTxt"/>
        <w:numPr>
          <w:ilvl w:val="0"/>
          <w:numId w:val="6"/>
        </w:numPr>
        <w:ind w:left="1267" w:firstLine="0"/>
      </w:pPr>
      <w:r w:rsidRPr="000314D4">
        <w:t xml:space="preserve">En Terranova y Labrador, en las relaciones de hecho, si no se han celebrado acuerdos con respecto a los bienes, las personas pueden tratar de invocar los recursos equitativos de fideicomiso impuesto, fideicomisos resultantes, enriquecimiento injusto o </w:t>
      </w:r>
      <w:r w:rsidRPr="00223441">
        <w:rPr>
          <w:i/>
          <w:iCs/>
        </w:rPr>
        <w:t>quantum meruit</w:t>
      </w:r>
      <w:r w:rsidRPr="000314D4">
        <w:t>, y alegar la existencia de una relación de pareja para abordar las desigualdades que pueden surgir en una disolución.</w:t>
      </w:r>
    </w:p>
    <w:p w:rsidR="002304AC" w:rsidRPr="000314D4" w:rsidRDefault="002304AC" w:rsidP="002304AC">
      <w:pPr>
        <w:pStyle w:val="SingleTxt"/>
        <w:numPr>
          <w:ilvl w:val="0"/>
          <w:numId w:val="6"/>
        </w:numPr>
        <w:ind w:left="1267" w:firstLine="0"/>
      </w:pPr>
      <w:r w:rsidRPr="000314D4">
        <w:t>En la Isla del Príncipe Eduardo, el valor neto de los bienes familiares ha de distribuirse a partes iguales, de manera que, si un cónyuge tiene bienes cuyo valor es superior a la mitad del valor de los bienes familiares netos (por ejemplo, la casa), dicho cónyuge debe dar al otro la mitad de la deferencia del valor de los bienes que tiene cada uno. La Ley sobre el Derecho de Familia estipula lo siguiente: “Todo cónyuge o excónyuge tiene, en la medida de sus capacidades, la obligación de procurar manutención para sí mismo y para el otro cónyuge o excónyuge, en función de las necesidades”.</w:t>
      </w:r>
    </w:p>
    <w:p w:rsidR="002304AC" w:rsidRPr="000314D4" w:rsidRDefault="002304AC" w:rsidP="002304AC">
      <w:pPr>
        <w:pStyle w:val="SingleTxt"/>
        <w:numPr>
          <w:ilvl w:val="0"/>
          <w:numId w:val="6"/>
        </w:numPr>
        <w:ind w:left="1267" w:firstLine="0"/>
      </w:pPr>
      <w:r w:rsidRPr="000314D4">
        <w:t>Con la aplicación de su Ley sobre el Derecho de Familia en marzo de 2013, la Columbia Británica reformó su régimen de división de bienes. En virtud de la nueva Ley, en caso de separación, cada cónyuge tiene derecho a una mitad íntegra del interés sobre todos los bienes familiares y es responsable por igual de la deuda familiar, salvo que exista un acuerdo u orden que disponga lo contrario. Los bienes familiares incluyen todos los bienes muebles e inmuebles, excepto las categorías específicas de bienes excluidos que figuran en la Ley. A diferencia de la legislación anterior de la provincia, las disposiciones sobre la división de bienes se aplican tanto a los cónyuges que están casados como a las personas que conviven en una relación similar al matrimonio durante al menos dos años.</w:t>
      </w:r>
    </w:p>
    <w:p w:rsidR="002304AC" w:rsidRPr="000314D4" w:rsidRDefault="002304AC" w:rsidP="002304AC">
      <w:pPr>
        <w:pStyle w:val="SingleTxt"/>
        <w:numPr>
          <w:ilvl w:val="0"/>
          <w:numId w:val="6"/>
        </w:numPr>
        <w:ind w:left="1267" w:firstLine="0"/>
      </w:pPr>
      <w:r w:rsidRPr="000314D4">
        <w:t>Cuando se pone fin a un matrimonio en Ontario, se reconoce la contribución a partes iguales de cada persona a dicho matrimonio. La Ley sobre el Derecho de Familia dispone que el valor de cualquier tipo de bien que haya adquirido un cónyuge durante el matrimonio y que todavía exista en el momento de la separación debe dividirse a partes iguales entre los cónyuges. Asimismo, debe compartirse cualquier aumento del valor de los bienes de los que es titular un cónyuge en el momento del matrimonio. El pago que se puede adeudar a uno de los cónyuges a fin de compartir dicho aumento del valor se denomina “pago compensatorio” o “equiparación de bienes familiares netos”.</w:t>
      </w:r>
    </w:p>
    <w:p w:rsidR="002304AC" w:rsidRPr="000314D4" w:rsidRDefault="002304AC" w:rsidP="002304AC">
      <w:pPr>
        <w:pStyle w:val="SingleTxt"/>
        <w:numPr>
          <w:ilvl w:val="0"/>
          <w:numId w:val="6"/>
        </w:numPr>
        <w:ind w:left="1267" w:firstLine="0"/>
      </w:pPr>
      <w:r w:rsidRPr="000314D4">
        <w:t>Existen algunas excepciones posibles a estas normas, conocidas como bienes excluidos, que pueden abarcar donaciones o herencias recibidas durante el matrimonio de parte de una persona diferente de un cónyuge, siempre que dichas donaciones o herencias no se hayan destinado para su uso en el hogar conyugal. Estas disposiciones que obligan a compartir automáticamente los bienes solo son aplicables a los cónyuges casados. La futura capacidad de obtener ingresos de un cónyuge no es un factor que haya de considerarse en la división de bienes familiares; sin embargo, sí puede tenerse en cuenta en la asignación de la manutención conyugal.</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14D4">
        <w:t>Las mujeres y las niñas en el sistema penitenciario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Sistema de clasificación de mujeres en el sistema penitenciario federal</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El Gobierno federal no ha rediseñado su sistema de clasificación de mujeres en el sistema penitenciario federal. No obstante, las enmiendas legislativas introducidas en junio de 2012 autorizaron al Comisionado del Servicio Correccional del Canadá a asignar subclasificaciones a hombres y mujeres delincuentes clasificados como de máxima seguridad y de seguridad media. </w:t>
      </w:r>
    </w:p>
    <w:p w:rsidR="002304AC" w:rsidRPr="000314D4" w:rsidRDefault="002304AC" w:rsidP="002304AC">
      <w:pPr>
        <w:pStyle w:val="SingleTxt"/>
        <w:numPr>
          <w:ilvl w:val="0"/>
          <w:numId w:val="6"/>
        </w:numPr>
        <w:ind w:left="1267" w:firstLine="0"/>
      </w:pPr>
      <w:r w:rsidRPr="000314D4">
        <w:t xml:space="preserve">Sobre la base de los mandamientos de prisión contra mujeres delincuentes dictados desde el período de 2008 a 2009 hasta el período de 2013 a 2014, la proporción de mujeres delincuentes a las que se decidió atribuir un nivel de seguridad inicial máximo osciló entre el 5,1% y el 7,8%. Además, la investigación ha demostrado que los instrumentos utilizados para valorar los niveles de seguridad en el momento de la entrada en prisión y durante el cumplimiento de la condena siguen siendo válidos y fiables para predecir la adaptación penitenciaria de las delincuentes.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right="2550" w:hanging="1260"/>
      </w:pPr>
      <w:r>
        <w:tab/>
      </w:r>
      <w:r>
        <w:tab/>
      </w:r>
      <w:r w:rsidRPr="000314D4">
        <w:t xml:space="preserve">Empleo de personal masculino en puestos de primera línea en las instituciones penitenciarias para mujeres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 xml:space="preserve">Es posible emplear a trabajadores principales varones como personal de primera línea en las instituciones penitenciarias federales para mujeres. La Directiva del Comisionado 577 —Protocolo del personal de las instituciones penitenciarias para mujeres— tiene por objeto garantizar el respeto máximo posible a la dignidad e intimidad de las mujeres encarceladas que concuerde con la seguridad, y velar por que la presencia de hombres en el lugar de trabajo no coloque al personal ni a las reclusas en situaciones de vulnerabilidad. En 2013, se añadió a dicho protocolo una medida adicional sobre conducta sexual indebida. </w:t>
      </w:r>
    </w:p>
    <w:p w:rsidR="002304AC" w:rsidRPr="000314D4" w:rsidRDefault="002304AC" w:rsidP="002304AC">
      <w:pPr>
        <w:pStyle w:val="SingleTxt"/>
        <w:numPr>
          <w:ilvl w:val="0"/>
          <w:numId w:val="6"/>
        </w:numPr>
        <w:ind w:left="1267" w:firstLine="0"/>
      </w:pPr>
      <w:r w:rsidRPr="000314D4">
        <w:t xml:space="preserve">Los servicios penitenciarios del Canadá exigen a todo su personal de primera línea someterse a una capacitación centrada en la mujer, que incluye debates sobre la violencia contra la mujer y la cultura aborigen. </w:t>
      </w:r>
    </w:p>
    <w:p w:rsidR="002304AC" w:rsidRPr="000314D4" w:rsidRDefault="002304AC" w:rsidP="002304AC">
      <w:pPr>
        <w:pStyle w:val="SingleTxt"/>
        <w:numPr>
          <w:ilvl w:val="0"/>
          <w:numId w:val="6"/>
        </w:numPr>
        <w:ind w:left="1267" w:firstLine="0"/>
      </w:pPr>
      <w:r w:rsidRPr="000314D4">
        <w:t>Manitoba cuenta con funcionarios varones del sistema penitenciario que trabajan en el centro penitenciario de mujeres adultas, así como con políticas y prácticas encaminadas a garantizar que se proteja la intimidad de las delincuentes; por ejemplo, no está permitido que los funcionarios varones del sistema penitenciario cacheen a las delincuentes.</w:t>
      </w:r>
    </w:p>
    <w:p w:rsidR="002304AC" w:rsidRPr="000314D4" w:rsidRDefault="002304AC" w:rsidP="002304AC">
      <w:pPr>
        <w:pStyle w:val="SingleTxt"/>
        <w:numPr>
          <w:ilvl w:val="0"/>
          <w:numId w:val="6"/>
        </w:numPr>
        <w:ind w:left="1267" w:firstLine="0"/>
      </w:pPr>
      <w:r w:rsidRPr="000314D4">
        <w:t xml:space="preserve">Ontario emplea a funcionarios varones del sistema penitenciario en puestos de primera línea en las instituciones penitenciarias para mujeres adultas. El gobierno tiene en vigor políticas y procedimientos para garantizar que el derecho de las reclusas a la intimidad no se vea vulnerado y también cuenta con varios programas que imparten al personal conocimientos y capacitación sobre cómo trabajar con las delincuentes. </w:t>
      </w:r>
    </w:p>
    <w:p w:rsidR="002304AC" w:rsidRPr="000314D4" w:rsidRDefault="002304AC" w:rsidP="002304AC">
      <w:pPr>
        <w:pStyle w:val="SingleTxt"/>
        <w:numPr>
          <w:ilvl w:val="0"/>
          <w:numId w:val="6"/>
        </w:numPr>
        <w:ind w:left="1267" w:firstLine="0"/>
      </w:pPr>
      <w:r w:rsidRPr="000314D4">
        <w:t xml:space="preserve">En todos los centros penitenciarios provinciales de la Columbia Británica hay personal de ambos sexos. Sin embargo, en las unidades de vivienda de las instalaciones destinadas a mujeres trabajan funcionarias, ya que la intimidad y la dignidad son fundamentales para las mujeres en el entorno penitenciario. Además, no hay personal de ambos sexos en los vestuarios o las unidades de vivienda donde no se puedan garantizar la dignidad y la intimidad. Salvo en situaciones de emergencia en las que las funcionarias puedan verse apoyadas por funcionarios varones, solo pueden trabajar mujeres en las unidades de vivienda destinadas a mujeres en los centros en que hay reclusos y reclusas o solo reclusas. </w:t>
      </w:r>
    </w:p>
    <w:p w:rsidR="002304AC" w:rsidRPr="000314D4" w:rsidRDefault="002304AC" w:rsidP="002304AC">
      <w:pPr>
        <w:pStyle w:val="SingleTxt"/>
        <w:numPr>
          <w:ilvl w:val="0"/>
          <w:numId w:val="6"/>
        </w:numPr>
        <w:ind w:left="1267" w:firstLine="0"/>
      </w:pPr>
      <w:r w:rsidRPr="000314D4">
        <w:t>Salvo en situaciones de emergencia, son funcionarios del sistema penitenciario del mismo sexo que los reclusos quienes supervisan los vestuarios cuando, a su entrada en prisión, se obliga al recluso a desnudarse, ducharse y someterse a un cacheo exhaustivo; quienes vigilan directamente los aseos y las duchas cuando los funcionarios trabajan a plena vista de los reclusos que se están duchando; y quienes realizan cacheos con desnudo integral. Hay que restringir al mínimo la observación de reclusos por parte de funcionarios del sexo opuesto, la cual solo se permite en situaciones de emergencia y durante un examen administrativo de incidentes por parte de un funcionario superior.</w:t>
      </w:r>
    </w:p>
    <w:p w:rsidR="002304AC" w:rsidRPr="000314D4" w:rsidRDefault="002304AC" w:rsidP="002304AC">
      <w:pPr>
        <w:pStyle w:val="SingleTxt"/>
        <w:numPr>
          <w:ilvl w:val="0"/>
          <w:numId w:val="6"/>
        </w:numPr>
        <w:ind w:left="1267" w:firstLine="0"/>
      </w:pPr>
      <w:r w:rsidRPr="000314D4">
        <w:t>Dada su reducida población reclusa, la institución penitenciaria de la Isla del Príncipe Eduardo es mixta e incluye unidades de vivienda femeninas dentro de sus instalaciones. Las funcionarias del sistema penitenciario realizan la supervisión en primera línea de las delincuentes, aunque pueda haber un modelo de dotación de personal mixto en vigor.</w:t>
      </w:r>
    </w:p>
    <w:p w:rsidR="002304AC" w:rsidRPr="000314D4" w:rsidRDefault="002304AC" w:rsidP="002304AC">
      <w:pPr>
        <w:pStyle w:val="SingleTxt"/>
        <w:numPr>
          <w:ilvl w:val="0"/>
          <w:numId w:val="6"/>
        </w:numPr>
        <w:ind w:left="1267" w:firstLine="0"/>
      </w:pPr>
      <w:r w:rsidRPr="000314D4">
        <w:t xml:space="preserve">En la unidad femenina de los centros penitenciarios de los Territorios del Noroeste no hay personal masculino en puestos de primera línea. En situaciones de emergencia sí se ha llamado a funcionarios varones para turnos de noche, pero no se les permite participar en los recuentos. </w:t>
      </w:r>
    </w:p>
    <w:p w:rsidR="002304AC" w:rsidRPr="000314D4" w:rsidRDefault="002304AC" w:rsidP="002304AC">
      <w:pPr>
        <w:pStyle w:val="SingleTxt"/>
        <w:numPr>
          <w:ilvl w:val="0"/>
          <w:numId w:val="6"/>
        </w:numPr>
        <w:ind w:left="1267" w:firstLine="0"/>
      </w:pPr>
      <w:r w:rsidRPr="000314D4">
        <w:t xml:space="preserve">El gobierno del Yukón no emplea a funcionarios varones del sistema penitenciario en puestos de primera línea en las unidades femeninas. En estas unidades solo trabajan funcionarias. Además, el Yukón cuenta con una legislación que estipula que las reclusas no deben ser supervisadas por un funcionario varón. </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Cárceles o centros de detención mixtos de menores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En el centro de menores de Manitoba se alojan jóvenes de ambos sexos, que residen separados y mantienen un contacto mínimo. Si entran en breve contacto unos con otros, de inmediato está presente un asesor de menores del centro. Estos asesores están capacitados en materia de receptividad a las cuestiones de género y están sometidos a las mismas políticas y procedimientos que los funcionarios del sistema penitenciario en las instalaciones de adultos a fin de garantizar la protección de la intimidad cuando en una unidad femenina trabajan funcionarios varones.</w:t>
      </w:r>
    </w:p>
    <w:p w:rsidR="002304AC" w:rsidRPr="000314D4" w:rsidRDefault="002304AC" w:rsidP="002304AC">
      <w:pPr>
        <w:pStyle w:val="SingleTxt"/>
        <w:numPr>
          <w:ilvl w:val="0"/>
          <w:numId w:val="6"/>
        </w:numPr>
        <w:ind w:left="1267" w:firstLine="0"/>
      </w:pPr>
      <w:r w:rsidRPr="000314D4">
        <w:t>Ontario dispone de 11 centros de detención y custodia en los que solo se alojan reclusas menores. Hay diez centros de detención y custodia en Ontario que alojan a menores de ambos sexos. Cada uno de los sexos reside por separado y solo mantiene un contacto mínimo con el otro sexo (por ejemplo, durante el día cuando asisten a la escuela). Todas las interacciones entre los menores están supervisadas en todo momento por el personal.</w:t>
      </w:r>
    </w:p>
    <w:p w:rsidR="002304AC" w:rsidRPr="000314D4" w:rsidRDefault="002304AC" w:rsidP="002304AC">
      <w:pPr>
        <w:pStyle w:val="SingleTxt"/>
        <w:numPr>
          <w:ilvl w:val="0"/>
          <w:numId w:val="6"/>
        </w:numPr>
        <w:ind w:left="1267" w:firstLine="0"/>
      </w:pPr>
      <w:r w:rsidRPr="000314D4">
        <w:t>Los centros de detención y custodia de menores de Ontario están dotados de personal tanto masculino como femenino que trabaja directamente con reclusas menores. Las tareas asignadas al personal masculino y femenino se ajustan al Código de Derechos Humanos de Ontario, que prohíbe la discriminación por motivo de género en la contratación y en la asignación de tareas, al tiempo que demuestra consideración y sensibilidad hacia la dignidad y las necesidades personales de los menores.</w:t>
      </w:r>
    </w:p>
    <w:p w:rsidR="002304AC" w:rsidRPr="000314D4" w:rsidRDefault="002304AC" w:rsidP="002304AC">
      <w:pPr>
        <w:pStyle w:val="SingleTxt"/>
        <w:numPr>
          <w:ilvl w:val="0"/>
          <w:numId w:val="6"/>
        </w:numPr>
        <w:ind w:left="1267" w:firstLine="0"/>
      </w:pPr>
      <w:r w:rsidRPr="000314D4">
        <w:t>El Ministerio de Servicios para la Infancia y la Juventud de Ontario dispone de normas, políticas y procedimientos que describen las expectativas concretas con respecto a las actividades que requieren expresamente la intervención de un funcionario del mismo sexo que los menores. A excepción de las tareas asignadas que requieran expresamente la intervención de un funcionario del mismo sexo que un menor (por ejemplo, cacheos, vigilancia de duchas, escoltas, etc.), todas las demás tareas las pueden realizar funcionarios de cualquier sexo. Entre ellas se incluye la vigilancia de rutina de los menores.</w:t>
      </w:r>
    </w:p>
    <w:p w:rsidR="002304AC" w:rsidRPr="000314D4" w:rsidRDefault="002304AC" w:rsidP="002304AC">
      <w:pPr>
        <w:pStyle w:val="SingleTxt"/>
        <w:numPr>
          <w:ilvl w:val="0"/>
          <w:numId w:val="6"/>
        </w:numPr>
        <w:ind w:left="1267" w:firstLine="0"/>
      </w:pPr>
      <w:r w:rsidRPr="000314D4">
        <w:t>Cuando es necesario establecer cualquier contacto físico o desvestir parcial o totalmente a un menor, tienen que intervenir como mínimo dos funcionarios y uno de ellos tiene que ser del mismo sexo que el menor. A la hora de realizar cacheos, estos debe efectuarlos un funcionario del mismo sexo que el menor y, si la segunda persona interviniente es del sexo opuesto y el cacheo implica desvestir parcial o totalmente al menor, los funcionarios deben posicionarse de tal manera que esa segunda persona solo vea a su colega y no al menor.</w:t>
      </w:r>
    </w:p>
    <w:p w:rsidR="002304AC" w:rsidRPr="000314D4" w:rsidRDefault="002304AC" w:rsidP="002304AC">
      <w:pPr>
        <w:pStyle w:val="SingleTxt"/>
        <w:numPr>
          <w:ilvl w:val="0"/>
          <w:numId w:val="6"/>
        </w:numPr>
        <w:ind w:left="1267" w:firstLine="0"/>
      </w:pPr>
      <w:r w:rsidRPr="000314D4">
        <w:t xml:space="preserve">El centro de menores de la Isla del Príncipe Eduardo se ocupa de poblaciones reducidas en sus unidades y actualmente, debido a la reducción de personal, la designación dual y los efectos resultantes de la aplicación de la Ley de Justicia Penal de Menores, hay menos opciones de colocación en los establecimientos vigilados de la provincia, lo que provoca que haya poblaciones mixtas (menores de ambos sexos). No obstante, la filosofía de trabajo de la provincia se basa en los riesgos y las necesidades del menor, y la aplicación de estrategias específicas para cada caso que permitan al menor progresar y resarcir a la comunidad. Este propósito se logra mediante una programación específica de las cuestiones de género siempre que sea posible, ya sea en formato de grupo o en sesiones individuales. El modelo de dotación de personal de la provincia reúne a trabajadores y trabajadoras sociales de menores, y el personal debe contar al menos con una trabajadora social de menores. </w:t>
      </w:r>
    </w:p>
    <w:p w:rsidR="002304AC" w:rsidRPr="000314D4" w:rsidRDefault="002304AC" w:rsidP="002304AC">
      <w:pPr>
        <w:pStyle w:val="SingleTxt"/>
        <w:numPr>
          <w:ilvl w:val="0"/>
          <w:numId w:val="6"/>
        </w:numPr>
        <w:ind w:left="1267" w:firstLine="0"/>
      </w:pPr>
      <w:r w:rsidRPr="000314D4">
        <w:t xml:space="preserve">En circunstancias excepcionales, en las que la colocación de un menor en una unidad pueda exacerbar las dificultades con otro residente concreto o con los demás residentes debido a problemas emergentes o preexistentes, o debido a la singularidad de las circunstancias particulares del menor, la provincia prestará un servicio integral al menor que incluirá una supervisión individual o una supervisión reforzada de la unidad. </w:t>
      </w:r>
    </w:p>
    <w:p w:rsidR="002304AC" w:rsidRPr="000314D4" w:rsidRDefault="002304AC" w:rsidP="002304AC">
      <w:pPr>
        <w:pStyle w:val="SingleTxt"/>
        <w:numPr>
          <w:ilvl w:val="0"/>
          <w:numId w:val="6"/>
        </w:numPr>
        <w:ind w:left="1267" w:firstLine="0"/>
      </w:pPr>
      <w:r w:rsidRPr="000314D4">
        <w:t>A fecha de febrero de 2011, en Nueva Brunswick, las delincuentes menores se alojan en una unidad separada en las mismas instalaciones que los menores varones (el centro de menores de Nueva Brunswick). La unidad está dotada de personal femenino y los programas son específicos del género.</w:t>
      </w:r>
    </w:p>
    <w:p w:rsidR="002304AC" w:rsidRPr="000314D4" w:rsidRDefault="002304AC" w:rsidP="002304AC">
      <w:pPr>
        <w:pStyle w:val="SingleTxt"/>
        <w:numPr>
          <w:ilvl w:val="0"/>
          <w:numId w:val="6"/>
        </w:numPr>
        <w:ind w:left="1267" w:firstLine="0"/>
      </w:pPr>
      <w:r w:rsidRPr="000314D4">
        <w:t>En los Territorios del Noroeste, hay un centro penitenciario de menores, que es mixto. Aunque el gobierno tiene previsto construir un nuevo centro para reclusas adultas, planea continuar alojando a reclusos y reclusas menores en el mismo centro existente debido al número sumamente reducido de chicas delincuentes menores y a la capacitación, la programación y el apoyo especializados disponibles en el centro de menores actual. Gran parte del tiempo, no hay ninguna delincuente menor en el centro penitenciario, y el promedio de órdenes de custodia para chicas delincuentes menores en los 3 últimos años ha sido inferior a 1. En todo momento hay una funcionaria de turno y, cuando se priva de libertad a una delincuente menor, se la aloja en secciones separadas de las unidades, con cuartos de baño y lavandería separados, y una funcionaria la escolta a la zona de entrada para que se duche. El centro también cuenta con una programación específica de las cuestiones de género.</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H4"/>
        <w:keepNext w:val="0"/>
        <w:keepLines w:val="0"/>
        <w:tabs>
          <w:tab w:val="clear" w:pos="360"/>
          <w:tab w:val="right" w:pos="990"/>
          <w:tab w:val="left" w:pos="1260"/>
        </w:tabs>
        <w:ind w:left="1260" w:hanging="1260"/>
      </w:pPr>
      <w:r>
        <w:tab/>
      </w:r>
      <w:r>
        <w:tab/>
      </w:r>
      <w:r w:rsidRPr="000314D4">
        <w:t>Mecanismo externo de supervisión y reparación para las reclusas federales</w:t>
      </w:r>
    </w:p>
    <w:p w:rsidR="002304AC" w:rsidRPr="000314D4" w:rsidRDefault="002304AC" w:rsidP="002304AC">
      <w:pPr>
        <w:pStyle w:val="SingleTxt"/>
        <w:spacing w:after="0" w:line="120" w:lineRule="exact"/>
        <w:rPr>
          <w:sz w:val="10"/>
          <w:szCs w:val="24"/>
        </w:rPr>
      </w:pPr>
    </w:p>
    <w:p w:rsidR="002304AC" w:rsidRPr="000314D4" w:rsidRDefault="002304AC" w:rsidP="002304AC">
      <w:pPr>
        <w:pStyle w:val="SingleTxt"/>
        <w:numPr>
          <w:ilvl w:val="0"/>
          <w:numId w:val="6"/>
        </w:numPr>
        <w:ind w:left="1267" w:firstLine="0"/>
      </w:pPr>
      <w:r w:rsidRPr="000314D4">
        <w:t>Se puede encontrar información relacionada con la cuestión del mecanismo externo de supervisión y reparación para las reclusas federales en los párrafos 262 a 280 de la respuesta del Canadá a la lista de cuestiones previa al examen del sexto informe periódico del Canadá sobre la Convención contra la Tortura y Otros Tratos o Penas Crueles, Inhumanos o Degradantes.</w:t>
      </w:r>
    </w:p>
    <w:p w:rsidR="002304AC" w:rsidRPr="002304AC" w:rsidRDefault="002304AC" w:rsidP="002304AC">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59F52F48" wp14:editId="2E23B87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2304AC" w:rsidRPr="002304AC" w:rsidSect="0072075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0T10:09:00Z" w:initials="Start">
    <w:p w:rsidR="005D0279" w:rsidRPr="002304AC" w:rsidRDefault="005D0279">
      <w:pPr>
        <w:pStyle w:val="CommentText"/>
        <w:rPr>
          <w:lang w:val="en-US"/>
        </w:rPr>
      </w:pPr>
      <w:r>
        <w:fldChar w:fldCharType="begin"/>
      </w:r>
      <w:r w:rsidRPr="002304AC">
        <w:rPr>
          <w:rStyle w:val="CommentReference"/>
          <w:lang w:val="en-US"/>
        </w:rPr>
        <w:instrText xml:space="preserve"> </w:instrText>
      </w:r>
      <w:r w:rsidRPr="002304AC">
        <w:rPr>
          <w:lang w:val="en-US"/>
        </w:rPr>
        <w:instrText>PAGE \# "'Page: '#'</w:instrText>
      </w:r>
      <w:r w:rsidRPr="002304AC">
        <w:rPr>
          <w:lang w:val="en-US"/>
        </w:rPr>
        <w:br/>
        <w:instrText>'"</w:instrText>
      </w:r>
      <w:r w:rsidRPr="002304AC">
        <w:rPr>
          <w:rStyle w:val="CommentReference"/>
          <w:lang w:val="en-US"/>
        </w:rPr>
        <w:instrText xml:space="preserve"> </w:instrText>
      </w:r>
      <w:r>
        <w:fldChar w:fldCharType="end"/>
      </w:r>
      <w:r>
        <w:rPr>
          <w:rStyle w:val="CommentReference"/>
        </w:rPr>
        <w:annotationRef/>
      </w:r>
      <w:r w:rsidRPr="002304AC">
        <w:rPr>
          <w:lang w:val="en-US"/>
        </w:rPr>
        <w:t>&lt;&lt;ODS JOB NO&gt;&gt;N1512256S&lt;&lt;ODS JOB NO&gt;&gt;</w:t>
      </w:r>
    </w:p>
    <w:p w:rsidR="005D0279" w:rsidRPr="002304AC" w:rsidRDefault="005D0279">
      <w:pPr>
        <w:pStyle w:val="CommentText"/>
        <w:rPr>
          <w:lang w:val="en-US"/>
        </w:rPr>
      </w:pPr>
      <w:r w:rsidRPr="002304AC">
        <w:rPr>
          <w:lang w:val="en-US"/>
        </w:rPr>
        <w:t>&lt;&lt;ODS DOC SYMBOL1&gt;&gt;CEDAW/C/CAN/8-9&lt;&lt;ODS DOC SYMBOL1&gt;&gt;</w:t>
      </w:r>
    </w:p>
    <w:p w:rsidR="005D0279" w:rsidRDefault="005D02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762" w:rsidRDefault="00D67762" w:rsidP="008F1E8F">
      <w:pPr>
        <w:spacing w:line="240" w:lineRule="auto"/>
      </w:pPr>
      <w:r>
        <w:separator/>
      </w:r>
    </w:p>
  </w:endnote>
  <w:endnote w:type="continuationSeparator" w:id="0">
    <w:p w:rsidR="00D67762" w:rsidRDefault="00D6776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0279" w:rsidTr="005D0279">
      <w:tc>
        <w:tcPr>
          <w:tcW w:w="5028" w:type="dxa"/>
          <w:shd w:val="clear" w:color="auto" w:fill="auto"/>
        </w:tcPr>
        <w:p w:rsidR="005D0279" w:rsidRPr="005D0279" w:rsidRDefault="005D0279" w:rsidP="005D027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422B9">
            <w:rPr>
              <w:b w:val="0"/>
              <w:color w:val="000000"/>
              <w:w w:val="103"/>
              <w:sz w:val="14"/>
            </w:rPr>
            <w:t>15-06627</w:t>
          </w:r>
          <w:r>
            <w:rPr>
              <w:b w:val="0"/>
              <w:color w:val="000000"/>
              <w:w w:val="103"/>
              <w:sz w:val="14"/>
            </w:rPr>
            <w:fldChar w:fldCharType="end"/>
          </w:r>
        </w:p>
      </w:tc>
      <w:tc>
        <w:tcPr>
          <w:tcW w:w="5028" w:type="dxa"/>
          <w:shd w:val="clear" w:color="auto" w:fill="auto"/>
        </w:tcPr>
        <w:p w:rsidR="005D0279" w:rsidRPr="005D0279" w:rsidRDefault="005D0279" w:rsidP="005D027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4139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41398">
            <w:rPr>
              <w:color w:val="000000"/>
              <w:w w:val="103"/>
            </w:rPr>
            <w:t>2</w:t>
          </w:r>
          <w:r>
            <w:rPr>
              <w:color w:val="000000"/>
              <w:w w:val="103"/>
            </w:rPr>
            <w:fldChar w:fldCharType="end"/>
          </w:r>
        </w:p>
      </w:tc>
    </w:tr>
  </w:tbl>
  <w:p w:rsidR="005D0279" w:rsidRPr="005D0279" w:rsidRDefault="005D0279" w:rsidP="005D02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0279" w:rsidTr="005D0279">
      <w:tc>
        <w:tcPr>
          <w:tcW w:w="5028" w:type="dxa"/>
          <w:shd w:val="clear" w:color="auto" w:fill="auto"/>
        </w:tcPr>
        <w:p w:rsidR="005D0279" w:rsidRPr="005D0279" w:rsidRDefault="005D0279" w:rsidP="005D027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5783">
            <w:rPr>
              <w:color w:val="000000"/>
              <w:w w:val="103"/>
            </w:rPr>
            <w:t>43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5783">
            <w:rPr>
              <w:color w:val="000000"/>
              <w:w w:val="103"/>
            </w:rPr>
            <w:t>43</w:t>
          </w:r>
          <w:r>
            <w:rPr>
              <w:color w:val="000000"/>
              <w:w w:val="103"/>
            </w:rPr>
            <w:fldChar w:fldCharType="end"/>
          </w:r>
        </w:p>
      </w:tc>
      <w:tc>
        <w:tcPr>
          <w:tcW w:w="5028" w:type="dxa"/>
          <w:shd w:val="clear" w:color="auto" w:fill="auto"/>
        </w:tcPr>
        <w:p w:rsidR="005D0279" w:rsidRPr="005D0279" w:rsidRDefault="005D0279" w:rsidP="005D027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422B9">
            <w:rPr>
              <w:b w:val="0"/>
              <w:color w:val="000000"/>
              <w:w w:val="103"/>
              <w:sz w:val="14"/>
            </w:rPr>
            <w:t>15-06627</w:t>
          </w:r>
          <w:r>
            <w:rPr>
              <w:b w:val="0"/>
              <w:color w:val="000000"/>
              <w:w w:val="103"/>
              <w:sz w:val="14"/>
            </w:rPr>
            <w:fldChar w:fldCharType="end"/>
          </w:r>
        </w:p>
      </w:tc>
    </w:tr>
  </w:tbl>
  <w:p w:rsidR="005D0279" w:rsidRPr="005D0279" w:rsidRDefault="005D0279" w:rsidP="005D02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279" w:rsidRPr="005D0279" w:rsidRDefault="005D0279" w:rsidP="005D0279">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6D06702F" wp14:editId="2B0ABA9B">
          <wp:simplePos x="0" y="0"/>
          <wp:positionH relativeFrom="column">
            <wp:posOffset>5565416</wp:posOffset>
          </wp:positionH>
          <wp:positionV relativeFrom="paragraph">
            <wp:posOffset>-292879</wp:posOffset>
          </wp:positionV>
          <wp:extent cx="694690" cy="694690"/>
          <wp:effectExtent l="0" t="0" r="0" b="0"/>
          <wp:wrapNone/>
          <wp:docPr id="3" name="Picture 3" descr="http://undocs.org/m2/QRCode2.ashx?DS=CEDAW/C/CAN/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5D0279" w:rsidTr="005D0279">
      <w:tc>
        <w:tcPr>
          <w:tcW w:w="3772" w:type="dxa"/>
        </w:tcPr>
        <w:p w:rsidR="005D0279" w:rsidRDefault="005D0279" w:rsidP="005D0279">
          <w:pPr>
            <w:pStyle w:val="ReleaseDate"/>
          </w:pPr>
          <w:r>
            <w:t>15-06627</w:t>
          </w:r>
          <w:r w:rsidR="002C7C35">
            <w:t>X</w:t>
          </w:r>
          <w:r>
            <w:t xml:space="preserve"> (S) </w:t>
          </w:r>
        </w:p>
        <w:p w:rsidR="005D0279" w:rsidRPr="005D0279" w:rsidRDefault="005D0279" w:rsidP="005D027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*1506627*</w:t>
          </w:r>
        </w:p>
      </w:tc>
      <w:tc>
        <w:tcPr>
          <w:tcW w:w="5028" w:type="dxa"/>
        </w:tcPr>
        <w:p w:rsidR="005D0279" w:rsidRDefault="005D0279" w:rsidP="005D0279">
          <w:pPr>
            <w:pStyle w:val="Footer"/>
            <w:jc w:val="right"/>
            <w:rPr>
              <w:b w:val="0"/>
              <w:sz w:val="20"/>
            </w:rPr>
          </w:pPr>
          <w:r>
            <w:rPr>
              <w:b w:val="0"/>
              <w:sz w:val="20"/>
              <w:lang w:eastAsia="zh-CN"/>
            </w:rPr>
            <w:drawing>
              <wp:inline distT="0" distB="0" distL="0" distR="0" wp14:anchorId="55A585A1" wp14:editId="4A04499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D0279" w:rsidRPr="005D0279" w:rsidRDefault="005D0279" w:rsidP="005D02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762" w:rsidRPr="002304AC" w:rsidRDefault="002304AC" w:rsidP="002304AC">
      <w:pPr>
        <w:pStyle w:val="Footer"/>
        <w:spacing w:after="80"/>
        <w:ind w:left="792"/>
        <w:rPr>
          <w:sz w:val="16"/>
        </w:rPr>
      </w:pPr>
      <w:r w:rsidRPr="002304AC">
        <w:rPr>
          <w:sz w:val="16"/>
        </w:rPr>
        <w:t>__________________</w:t>
      </w:r>
    </w:p>
  </w:footnote>
  <w:footnote w:type="continuationSeparator" w:id="0">
    <w:p w:rsidR="00D67762" w:rsidRPr="002304AC" w:rsidRDefault="002304AC" w:rsidP="002304AC">
      <w:pPr>
        <w:pStyle w:val="Footer"/>
        <w:spacing w:after="80"/>
        <w:ind w:left="792"/>
        <w:rPr>
          <w:sz w:val="16"/>
        </w:rPr>
      </w:pPr>
      <w:r w:rsidRPr="002304AC">
        <w:rPr>
          <w:sz w:val="16"/>
        </w:rPr>
        <w:t>__________________</w:t>
      </w:r>
    </w:p>
  </w:footnote>
  <w:footnote w:id="1">
    <w:p w:rsidR="002304AC" w:rsidRDefault="002304AC" w:rsidP="002304AC">
      <w:pPr>
        <w:tabs>
          <w:tab w:val="right" w:pos="1195"/>
          <w:tab w:val="left" w:pos="1267"/>
          <w:tab w:val="left" w:pos="1742"/>
          <w:tab w:val="left" w:pos="2218"/>
          <w:tab w:val="left" w:pos="2693"/>
        </w:tabs>
        <w:spacing w:line="210" w:lineRule="exact"/>
        <w:ind w:left="1267" w:right="1267" w:hanging="432"/>
      </w:pPr>
      <w:r w:rsidRPr="00435A46">
        <w:rPr>
          <w:szCs w:val="24"/>
        </w:rPr>
        <w:tab/>
      </w:r>
      <w:r w:rsidRPr="002367B8">
        <w:rPr>
          <w:rStyle w:val="FootnoteReference"/>
          <w:color w:val="FF0000"/>
          <w:szCs w:val="24"/>
        </w:rPr>
        <w:footnoteRef/>
      </w:r>
      <w:r w:rsidRPr="00435A46">
        <w:rPr>
          <w:szCs w:val="24"/>
        </w:rPr>
        <w:t xml:space="preserve"> </w:t>
      </w:r>
      <w:r>
        <w:rPr>
          <w:szCs w:val="24"/>
        </w:rPr>
        <w:tab/>
      </w:r>
      <w:r w:rsidRPr="002367B8">
        <w:rPr>
          <w:spacing w:val="5"/>
          <w:w w:val="104"/>
          <w:sz w:val="17"/>
          <w:lang w:val="es-ES_tradnl"/>
        </w:rPr>
        <w:t>Oficina de Estadísticas del Canadá. Cuadro 051-0001 - Estimaciones de población, por grupo de edad y sexo, a 1 de julio, el Canadá, provincias y territorios, anual, CANSIM (base de datos).</w:t>
      </w:r>
    </w:p>
  </w:footnote>
  <w:footnote w:id="2">
    <w:p w:rsidR="002304AC" w:rsidRDefault="002304AC" w:rsidP="002304AC">
      <w:pPr>
        <w:tabs>
          <w:tab w:val="right" w:pos="1195"/>
          <w:tab w:val="left" w:pos="1267"/>
          <w:tab w:val="left" w:pos="1742"/>
          <w:tab w:val="left" w:pos="2218"/>
          <w:tab w:val="left" w:pos="2693"/>
        </w:tabs>
        <w:spacing w:line="210" w:lineRule="exact"/>
        <w:ind w:left="1267" w:right="1267" w:hanging="432"/>
      </w:pPr>
      <w:r w:rsidRPr="00435A46">
        <w:rPr>
          <w:szCs w:val="24"/>
        </w:rPr>
        <w:tab/>
      </w:r>
      <w:r w:rsidRPr="002367B8">
        <w:rPr>
          <w:rStyle w:val="FootnoteReference"/>
          <w:color w:val="FF0000"/>
          <w:szCs w:val="24"/>
        </w:rPr>
        <w:footnoteRef/>
      </w:r>
      <w:r>
        <w:rPr>
          <w:szCs w:val="24"/>
        </w:rPr>
        <w:tab/>
      </w:r>
      <w:r w:rsidRPr="002367B8">
        <w:rPr>
          <w:sz w:val="17"/>
          <w:szCs w:val="17"/>
        </w:rPr>
        <w:t xml:space="preserve"> www.statcan.gc.ca/pub/89-503-x/89-503-x2010001-eng.htm.</w:t>
      </w:r>
    </w:p>
  </w:footnote>
  <w:footnote w:id="3">
    <w:p w:rsidR="002304AC" w:rsidRPr="00D401BA" w:rsidRDefault="002304AC" w:rsidP="002304AC">
      <w:pPr>
        <w:tabs>
          <w:tab w:val="right" w:pos="1195"/>
          <w:tab w:val="left" w:pos="1267"/>
          <w:tab w:val="left" w:pos="1742"/>
          <w:tab w:val="left" w:pos="2218"/>
          <w:tab w:val="left" w:pos="2693"/>
        </w:tabs>
        <w:spacing w:line="210" w:lineRule="exact"/>
        <w:ind w:left="1267" w:right="1267" w:hanging="432"/>
        <w:rPr>
          <w:lang w:val="fr-FR"/>
        </w:rPr>
      </w:pPr>
      <w:r w:rsidRPr="00BF7238">
        <w:rPr>
          <w:szCs w:val="24"/>
        </w:rPr>
        <w:tab/>
      </w:r>
      <w:r w:rsidRPr="00BF7238">
        <w:rPr>
          <w:rStyle w:val="FootnoteReference"/>
          <w:color w:val="FF0000"/>
          <w:szCs w:val="24"/>
        </w:rPr>
        <w:footnoteRef/>
      </w:r>
      <w:r w:rsidRPr="00BF7238">
        <w:rPr>
          <w:szCs w:val="24"/>
          <w:lang w:val="fr-FR"/>
        </w:rPr>
        <w:tab/>
      </w:r>
      <w:r w:rsidRPr="00BF7238">
        <w:rPr>
          <w:sz w:val="17"/>
          <w:szCs w:val="17"/>
          <w:lang w:val="fr-FR"/>
        </w:rPr>
        <w:t>Véase: www.parl.gc.ca/HousePublications/Publication.aspx?DocId=5056509&amp;Language =E&amp;Mode=1&amp;Parl =40&amp;Ses=3&amp;File=27.</w:t>
      </w:r>
    </w:p>
  </w:footnote>
  <w:footnote w:id="4">
    <w:p w:rsidR="002304AC" w:rsidRPr="00D401BA" w:rsidRDefault="002304AC" w:rsidP="002304AC">
      <w:pPr>
        <w:tabs>
          <w:tab w:val="right" w:pos="1195"/>
          <w:tab w:val="left" w:pos="1267"/>
          <w:tab w:val="left" w:pos="1742"/>
          <w:tab w:val="left" w:pos="2218"/>
          <w:tab w:val="left" w:pos="2693"/>
        </w:tabs>
        <w:spacing w:line="210" w:lineRule="exact"/>
        <w:ind w:left="1267" w:right="1267" w:hanging="432"/>
        <w:rPr>
          <w:lang w:val="fr-FR"/>
        </w:rPr>
      </w:pPr>
      <w:r w:rsidRPr="00BF7238">
        <w:rPr>
          <w:szCs w:val="24"/>
          <w:lang w:val="fr-FR"/>
        </w:rPr>
        <w:tab/>
      </w:r>
      <w:r w:rsidRPr="00BF7238">
        <w:rPr>
          <w:rStyle w:val="FootnoteReference"/>
          <w:color w:val="FF0000"/>
          <w:szCs w:val="24"/>
        </w:rPr>
        <w:footnoteRef/>
      </w:r>
      <w:r>
        <w:rPr>
          <w:szCs w:val="24"/>
          <w:lang w:val="fr-FR"/>
        </w:rPr>
        <w:tab/>
      </w:r>
      <w:r w:rsidRPr="00BF7238">
        <w:rPr>
          <w:sz w:val="17"/>
          <w:szCs w:val="17"/>
          <w:lang w:val="fr-FR"/>
        </w:rPr>
        <w:t>Véase: www.pch.gc.ca/eng/1358179459602/1358179794270.</w:t>
      </w:r>
    </w:p>
  </w:footnote>
  <w:footnote w:id="5">
    <w:p w:rsidR="002304AC" w:rsidRDefault="002304AC" w:rsidP="002304AC">
      <w:pPr>
        <w:tabs>
          <w:tab w:val="right" w:pos="1195"/>
          <w:tab w:val="left" w:pos="1267"/>
          <w:tab w:val="left" w:pos="1742"/>
          <w:tab w:val="left" w:pos="2218"/>
          <w:tab w:val="left" w:pos="2693"/>
        </w:tabs>
        <w:spacing w:line="210" w:lineRule="exact"/>
        <w:ind w:left="1267" w:right="1267" w:hanging="432"/>
      </w:pPr>
      <w:r w:rsidRPr="00D401BA">
        <w:rPr>
          <w:szCs w:val="24"/>
          <w:lang w:val="fr-FR"/>
        </w:rPr>
        <w:tab/>
      </w:r>
      <w:r w:rsidRPr="00E13EF0">
        <w:rPr>
          <w:rStyle w:val="FootnoteReference"/>
          <w:color w:val="FF0000"/>
          <w:szCs w:val="24"/>
        </w:rPr>
        <w:footnoteRef/>
      </w:r>
      <w:r>
        <w:rPr>
          <w:szCs w:val="24"/>
        </w:rPr>
        <w:tab/>
      </w:r>
      <w:r w:rsidRPr="00E13EF0">
        <w:rPr>
          <w:sz w:val="17"/>
          <w:szCs w:val="17"/>
        </w:rPr>
        <w:t xml:space="preserve">El examen nacional del Canadá se encuentra disponible en www.unece.org/index.php?id=35455. </w:t>
      </w:r>
    </w:p>
  </w:footnote>
  <w:footnote w:id="6">
    <w:p w:rsidR="002304AC" w:rsidRPr="00E13EF0" w:rsidRDefault="002304AC" w:rsidP="002304AC">
      <w:pPr>
        <w:tabs>
          <w:tab w:val="right" w:pos="1195"/>
          <w:tab w:val="left" w:pos="1267"/>
          <w:tab w:val="left" w:pos="1742"/>
          <w:tab w:val="left" w:pos="2218"/>
          <w:tab w:val="left" w:pos="2693"/>
        </w:tabs>
        <w:spacing w:line="210" w:lineRule="exact"/>
        <w:ind w:left="1267" w:right="1267" w:hanging="432"/>
        <w:rPr>
          <w:sz w:val="17"/>
          <w:szCs w:val="17"/>
        </w:rPr>
      </w:pPr>
      <w:r>
        <w:rPr>
          <w:szCs w:val="24"/>
        </w:rPr>
        <w:tab/>
      </w:r>
      <w:r w:rsidRPr="00E13EF0">
        <w:rPr>
          <w:rStyle w:val="FootnoteReference"/>
          <w:color w:val="FF0000"/>
          <w:szCs w:val="24"/>
        </w:rPr>
        <w:footnoteRef/>
      </w:r>
      <w:r>
        <w:rPr>
          <w:szCs w:val="24"/>
        </w:rPr>
        <w:t xml:space="preserve"> </w:t>
      </w:r>
      <w:r>
        <w:rPr>
          <w:szCs w:val="24"/>
        </w:rPr>
        <w:tab/>
      </w:r>
      <w:r w:rsidRPr="00E13EF0">
        <w:rPr>
          <w:sz w:val="17"/>
          <w:szCs w:val="17"/>
          <w:lang w:val="es-ES_tradnl"/>
        </w:rPr>
        <w:t>Oficina de Estadísticas del Canadá.</w:t>
      </w:r>
      <w:r w:rsidRPr="00E13EF0">
        <w:rPr>
          <w:sz w:val="17"/>
          <w:szCs w:val="17"/>
        </w:rPr>
        <w:t xml:space="preserve"> 2013. </w:t>
      </w:r>
      <w:r w:rsidRPr="00E13EF0">
        <w:rPr>
          <w:sz w:val="17"/>
          <w:szCs w:val="17"/>
          <w:lang w:val="es-ES_tradnl"/>
        </w:rPr>
        <w:t>Canadá (Código 01) (cuadro).</w:t>
      </w:r>
      <w:r w:rsidRPr="00E13EF0">
        <w:rPr>
          <w:sz w:val="17"/>
          <w:szCs w:val="17"/>
        </w:rPr>
        <w:t xml:space="preserve"> </w:t>
      </w:r>
      <w:r w:rsidRPr="00E13EF0">
        <w:rPr>
          <w:sz w:val="17"/>
          <w:szCs w:val="17"/>
          <w:lang w:val="es-ES_tradnl"/>
        </w:rPr>
        <w:t>National Household Survey (NHS) Aboriginal Population Profile.</w:t>
      </w:r>
      <w:r w:rsidRPr="00E13EF0">
        <w:rPr>
          <w:sz w:val="17"/>
          <w:szCs w:val="17"/>
        </w:rPr>
        <w:t xml:space="preserve"> </w:t>
      </w:r>
      <w:r w:rsidRPr="00E13EF0">
        <w:rPr>
          <w:sz w:val="17"/>
          <w:szCs w:val="17"/>
          <w:lang w:val="es-ES_tradnl"/>
        </w:rPr>
        <w:t>2011 National Household Survey (Encuesta Nacional de Hogares de 2011).</w:t>
      </w:r>
      <w:r w:rsidRPr="00E13EF0">
        <w:rPr>
          <w:sz w:val="17"/>
          <w:szCs w:val="17"/>
        </w:rPr>
        <w:t xml:space="preserve"> </w:t>
      </w:r>
      <w:r w:rsidRPr="00E13EF0">
        <w:rPr>
          <w:sz w:val="17"/>
          <w:szCs w:val="17"/>
          <w:lang w:val="es-ES_tradnl"/>
        </w:rPr>
        <w:t>Catálogo núm. 99-011-X2011007 de la Oficina de Estadísticas del Canadá.</w:t>
      </w:r>
      <w:r w:rsidRPr="00E13EF0">
        <w:rPr>
          <w:sz w:val="17"/>
          <w:szCs w:val="17"/>
        </w:rPr>
        <w:t xml:space="preserve"> </w:t>
      </w:r>
      <w:r w:rsidRPr="00E13EF0">
        <w:rPr>
          <w:sz w:val="17"/>
          <w:szCs w:val="17"/>
          <w:lang w:val="es-ES_tradnl"/>
        </w:rPr>
        <w:t>Ottawa.</w:t>
      </w:r>
      <w:r w:rsidRPr="00E13EF0">
        <w:rPr>
          <w:sz w:val="17"/>
          <w:szCs w:val="17"/>
        </w:rPr>
        <w:t xml:space="preserve"> </w:t>
      </w:r>
      <w:r w:rsidRPr="00E13EF0">
        <w:rPr>
          <w:sz w:val="17"/>
          <w:szCs w:val="17"/>
          <w:lang w:val="es-ES_tradnl"/>
        </w:rPr>
        <w:t xml:space="preserve">Publicado el 13 de noviembre de 2013. </w:t>
      </w:r>
      <w:r>
        <w:rPr>
          <w:sz w:val="17"/>
          <w:szCs w:val="17"/>
          <w:lang w:val="es-ES_tradnl"/>
        </w:rPr>
        <w:br/>
      </w:r>
      <w:r w:rsidRPr="00E13EF0">
        <w:rPr>
          <w:sz w:val="17"/>
          <w:szCs w:val="17"/>
          <w:lang w:val="es-ES_tradnl"/>
        </w:rPr>
        <w:t>Véase:</w:t>
      </w:r>
      <w:r w:rsidRPr="00E13EF0">
        <w:rPr>
          <w:sz w:val="17"/>
          <w:szCs w:val="17"/>
        </w:rPr>
        <w:t xml:space="preserve"> </w:t>
      </w:r>
      <w:r w:rsidRPr="00E13EF0">
        <w:rPr>
          <w:sz w:val="17"/>
          <w:szCs w:val="17"/>
          <w:lang w:val="es-ES_tradnl"/>
        </w:rPr>
        <w:t>www12.statcan.gc.ca/nhs-enm/2011/dp-pd/aprof/index.cfm?Lang=E.</w:t>
      </w:r>
    </w:p>
    <w:p w:rsidR="002304AC" w:rsidRDefault="002304AC" w:rsidP="002304A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pPr>
    </w:p>
  </w:footnote>
  <w:footnote w:id="7">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E13EF0">
        <w:rPr>
          <w:rStyle w:val="FootnoteReference"/>
          <w:color w:val="FF0000"/>
          <w:szCs w:val="24"/>
        </w:rPr>
        <w:footnoteRef/>
      </w:r>
      <w:r>
        <w:rPr>
          <w:szCs w:val="24"/>
        </w:rPr>
        <w:t xml:space="preserve"> </w:t>
      </w:r>
      <w:r>
        <w:rPr>
          <w:szCs w:val="24"/>
        </w:rPr>
        <w:tab/>
      </w:r>
      <w:r w:rsidRPr="00E13EF0">
        <w:rPr>
          <w:sz w:val="17"/>
          <w:szCs w:val="17"/>
          <w:lang w:val="es-ES_tradnl"/>
        </w:rPr>
        <w:t>El término “grupo minoritario visible” se define en la Ley de Igualdad en el Empleo como el constituido por “personas, distintas de los indígenas, que no son de raza blanca o que no tienen la piel blanca”</w:t>
      </w:r>
      <w:r w:rsidRPr="00E13EF0">
        <w:rPr>
          <w:rStyle w:val="CommentReference"/>
          <w:sz w:val="17"/>
          <w:szCs w:val="17"/>
          <w:lang w:val="es-ES_tradnl"/>
        </w:rPr>
        <w:annotationRef/>
      </w:r>
      <w:r w:rsidRPr="00E13EF0">
        <w:rPr>
          <w:sz w:val="17"/>
          <w:szCs w:val="17"/>
          <w:lang w:val="es-ES_tradnl"/>
        </w:rPr>
        <w:t>.</w:t>
      </w:r>
      <w:r w:rsidRPr="00E13EF0">
        <w:rPr>
          <w:sz w:val="17"/>
          <w:szCs w:val="17"/>
        </w:rPr>
        <w:t xml:space="preserve"> </w:t>
      </w:r>
      <w:r w:rsidRPr="00E13EF0">
        <w:rPr>
          <w:sz w:val="17"/>
          <w:szCs w:val="17"/>
          <w:lang w:val="es-ES_tradnl"/>
        </w:rPr>
        <w:t>Con arreglo a esta definición, los reglamentos especifican los siguientes grupos minoritarios visibles: chinos, asiáticos del sur, población negra, árabes, asiáticos del oeste, filipinos, asiáticos del sureste, latinoamericanos, japoneses, coreanos y otros grupos minoritarios visibles como los naturales de las islas del Pacífico.</w:t>
      </w:r>
    </w:p>
  </w:footnote>
  <w:footnote w:id="8">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E13EF0">
        <w:rPr>
          <w:rStyle w:val="FootnoteReference"/>
          <w:color w:val="FF0000"/>
          <w:szCs w:val="24"/>
        </w:rPr>
        <w:footnoteRef/>
      </w:r>
      <w:r>
        <w:rPr>
          <w:szCs w:val="24"/>
        </w:rPr>
        <w:t xml:space="preserve"> </w:t>
      </w:r>
      <w:r>
        <w:rPr>
          <w:szCs w:val="24"/>
        </w:rPr>
        <w:tab/>
      </w:r>
      <w:r w:rsidRPr="00E13EF0">
        <w:rPr>
          <w:sz w:val="17"/>
          <w:szCs w:val="17"/>
          <w:lang w:val="es-ES_tradnl"/>
        </w:rPr>
        <w:t>Oficina de Estadísticas del Canadá, Encuesta Nacional de Hogares de 2011, Catálogo núm.</w:t>
      </w:r>
      <w:r>
        <w:rPr>
          <w:sz w:val="17"/>
          <w:szCs w:val="17"/>
          <w:lang w:val="es-ES_tradnl"/>
        </w:rPr>
        <w:t xml:space="preserve"> </w:t>
      </w:r>
      <w:r w:rsidRPr="00E13EF0">
        <w:rPr>
          <w:sz w:val="17"/>
          <w:szCs w:val="17"/>
          <w:lang w:val="es-ES_tradnl"/>
        </w:rPr>
        <w:t>99-010-X2011030 de la Oficina de Estadísticas del Canadá.</w:t>
      </w:r>
    </w:p>
  </w:footnote>
  <w:footnote w:id="9">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E13EF0">
        <w:rPr>
          <w:rStyle w:val="FootnoteReference"/>
          <w:color w:val="FF0000"/>
          <w:szCs w:val="24"/>
        </w:rPr>
        <w:footnoteRef/>
      </w:r>
      <w:r>
        <w:rPr>
          <w:szCs w:val="24"/>
        </w:rPr>
        <w:t xml:space="preserve"> </w:t>
      </w:r>
      <w:r>
        <w:rPr>
          <w:szCs w:val="24"/>
        </w:rPr>
        <w:tab/>
      </w:r>
      <w:r w:rsidRPr="00E13EF0">
        <w:rPr>
          <w:i/>
          <w:sz w:val="17"/>
          <w:szCs w:val="17"/>
          <w:lang w:val="es-ES_tradnl"/>
        </w:rPr>
        <w:t>Ibid.</w:t>
      </w:r>
      <w:r w:rsidRPr="00E13EF0">
        <w:rPr>
          <w:sz w:val="17"/>
          <w:szCs w:val="17"/>
          <w:lang w:val="es-ES_tradnl"/>
        </w:rPr>
        <w:t>, Catálogo núm. 99-010-X2011030.</w:t>
      </w:r>
    </w:p>
  </w:footnote>
  <w:footnote w:id="10">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0314D4">
        <w:rPr>
          <w:rStyle w:val="FootnoteReference"/>
          <w:color w:val="FF0000"/>
          <w:szCs w:val="24"/>
        </w:rPr>
        <w:footnoteRef/>
      </w:r>
      <w:r>
        <w:rPr>
          <w:szCs w:val="24"/>
        </w:rPr>
        <w:t xml:space="preserve"> </w:t>
      </w:r>
      <w:r>
        <w:rPr>
          <w:szCs w:val="24"/>
        </w:rPr>
        <w:tab/>
      </w:r>
      <w:r w:rsidRPr="000314D4">
        <w:rPr>
          <w:sz w:val="17"/>
          <w:szCs w:val="17"/>
        </w:rPr>
        <w:t>Se puede obtener más información sobre iniciativas en materia de vivienda en los párrafos 200 a</w:t>
      </w:r>
      <w:r>
        <w:rPr>
          <w:sz w:val="17"/>
          <w:szCs w:val="17"/>
        </w:rPr>
        <w:t> </w:t>
      </w:r>
      <w:r w:rsidRPr="000314D4">
        <w:rPr>
          <w:sz w:val="17"/>
          <w:szCs w:val="17"/>
        </w:rPr>
        <w:t>210.</w:t>
      </w:r>
    </w:p>
  </w:footnote>
  <w:footnote w:id="11">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0314D4">
        <w:rPr>
          <w:rStyle w:val="FootnoteReference"/>
          <w:color w:val="FF0000"/>
          <w:szCs w:val="24"/>
        </w:rPr>
        <w:footnoteRef/>
      </w:r>
      <w:r>
        <w:rPr>
          <w:szCs w:val="24"/>
        </w:rPr>
        <w:t xml:space="preserve"> </w:t>
      </w:r>
      <w:r>
        <w:rPr>
          <w:szCs w:val="24"/>
        </w:rPr>
        <w:tab/>
      </w:r>
      <w:r w:rsidRPr="000314D4">
        <w:rPr>
          <w:sz w:val="17"/>
          <w:szCs w:val="17"/>
        </w:rPr>
        <w:t>Catálogo núm. 99-010-X2011038 de la Oficina de Estadísticas del Canadá.</w:t>
      </w:r>
    </w:p>
  </w:footnote>
  <w:footnote w:id="12">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0314D4">
        <w:rPr>
          <w:rStyle w:val="FootnoteReference"/>
          <w:color w:val="FF0000"/>
          <w:szCs w:val="24"/>
        </w:rPr>
        <w:footnoteRef/>
      </w:r>
      <w:r>
        <w:rPr>
          <w:szCs w:val="24"/>
        </w:rPr>
        <w:t xml:space="preserve"> </w:t>
      </w:r>
      <w:r>
        <w:rPr>
          <w:szCs w:val="24"/>
        </w:rPr>
        <w:tab/>
      </w:r>
      <w:r w:rsidRPr="000314D4">
        <w:rPr>
          <w:sz w:val="17"/>
          <w:szCs w:val="17"/>
        </w:rPr>
        <w:t>Véase el párrafo</w:t>
      </w:r>
      <w:r w:rsidR="002C7C35">
        <w:rPr>
          <w:sz w:val="17"/>
          <w:szCs w:val="17"/>
        </w:rPr>
        <w:t xml:space="preserve"> </w:t>
      </w:r>
      <w:r w:rsidRPr="000314D4">
        <w:rPr>
          <w:sz w:val="17"/>
          <w:szCs w:val="17"/>
        </w:rPr>
        <w:t>92 de la respuesta de enero de 2014 para obtener más información.</w:t>
      </w:r>
    </w:p>
  </w:footnote>
  <w:footnote w:id="13">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3B23E1">
        <w:rPr>
          <w:rStyle w:val="FootnoteReference"/>
          <w:color w:val="FF0000"/>
          <w:szCs w:val="24"/>
        </w:rPr>
        <w:footnoteRef/>
      </w:r>
      <w:r>
        <w:rPr>
          <w:szCs w:val="24"/>
        </w:rPr>
        <w:t xml:space="preserve"> </w:t>
      </w:r>
      <w:r w:rsidRPr="003B23E1">
        <w:rPr>
          <w:szCs w:val="24"/>
        </w:rPr>
        <w:tab/>
      </w:r>
      <w:r w:rsidRPr="003B23E1">
        <w:rPr>
          <w:sz w:val="17"/>
          <w:szCs w:val="17"/>
        </w:rPr>
        <w:t>Para obtener más información acerca de la iniciativa sobre la violencia familiar del Gobierno del Canadá, consúltese www.phac-aspc.gc.ca/ncfv-cnivf/initiative-eng.php.</w:t>
      </w:r>
    </w:p>
  </w:footnote>
  <w:footnote w:id="14">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B36FA7">
        <w:rPr>
          <w:rStyle w:val="FootnoteReference"/>
          <w:color w:val="FF0000"/>
          <w:szCs w:val="24"/>
        </w:rPr>
        <w:footnoteRef/>
      </w:r>
      <w:r>
        <w:rPr>
          <w:szCs w:val="24"/>
        </w:rPr>
        <w:t xml:space="preserve"> </w:t>
      </w:r>
      <w:r>
        <w:rPr>
          <w:szCs w:val="24"/>
        </w:rPr>
        <w:tab/>
      </w:r>
      <w:hyperlink w:history="1">
        <w:r w:rsidR="002C7C35" w:rsidRPr="002C7C35">
          <w:rPr>
            <w:rStyle w:val="Hyperlink"/>
          </w:rPr>
          <w:t>http:///</w:t>
        </w:r>
      </w:hyperlink>
      <w:r>
        <w:rPr>
          <w:sz w:val="17"/>
          <w:szCs w:val="17"/>
          <w:lang w:val="es-ES_tradnl"/>
        </w:rPr>
        <w:t>http://w</w:t>
      </w:r>
      <w:r w:rsidRPr="00B36FA7">
        <w:rPr>
          <w:sz w:val="17"/>
          <w:szCs w:val="17"/>
          <w:lang w:val="es-ES_tradnl"/>
        </w:rPr>
        <w:t>ww.esdc.gc.ca/eng/child_family/childhood/ececc_2012.shtml (véase la página 90).</w:t>
      </w:r>
    </w:p>
  </w:footnote>
  <w:footnote w:id="15">
    <w:p w:rsidR="002304AC" w:rsidRDefault="002304AC" w:rsidP="002304AC">
      <w:pPr>
        <w:tabs>
          <w:tab w:val="right" w:pos="1195"/>
          <w:tab w:val="left" w:pos="1267"/>
          <w:tab w:val="left" w:pos="1742"/>
          <w:tab w:val="left" w:pos="2218"/>
          <w:tab w:val="left" w:pos="2693"/>
        </w:tabs>
        <w:spacing w:line="210" w:lineRule="exact"/>
        <w:ind w:left="1267" w:right="1267" w:hanging="432"/>
      </w:pPr>
      <w:r>
        <w:rPr>
          <w:szCs w:val="24"/>
        </w:rPr>
        <w:tab/>
      </w:r>
      <w:r w:rsidRPr="00223441">
        <w:rPr>
          <w:rStyle w:val="FootnoteReference"/>
          <w:color w:val="FF0000"/>
          <w:szCs w:val="24"/>
        </w:rPr>
        <w:footnoteRef/>
      </w:r>
      <w:r>
        <w:rPr>
          <w:szCs w:val="24"/>
        </w:rPr>
        <w:t xml:space="preserve"> </w:t>
      </w:r>
      <w:r>
        <w:rPr>
          <w:szCs w:val="24"/>
        </w:rPr>
        <w:tab/>
      </w:r>
      <w:r w:rsidRPr="00223441">
        <w:rPr>
          <w:sz w:val="17"/>
          <w:szCs w:val="17"/>
        </w:rPr>
        <w:t>El Tribunal Supremo del Canadá examinó si las disposiciones del Código Civil de Quebec que crean derechos patrimoniales y de apoyo para los cónyuges casados y en régimen de unión civil pero no para las parejas de hecho discriminan de manera injustificable sobre la base del estado civil contrariamente al artículo 15 1) de la Carta de Derechos y Libertades del Canadá</w:t>
      </w:r>
      <w:r w:rsidRPr="00223441">
        <w:rPr>
          <w:rStyle w:val="CommentReference"/>
          <w:sz w:val="17"/>
          <w:szCs w:val="17"/>
        </w:rPr>
        <w:annotationRef/>
      </w:r>
      <w:r w:rsidRPr="00223441">
        <w:rPr>
          <w:sz w:val="17"/>
          <w:szCs w:val="17"/>
        </w:rPr>
        <w:t xml:space="preserve">. El Tribunal Supremo del Canadá concluyó que, si bien la legislación establece una distinción basada en el motivo análogo del “estado civil”, no discrimina de manera injustificable sobre esa base ni es contraria al artículo 15 1) de la Carta.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0279" w:rsidTr="005D0279">
      <w:trPr>
        <w:trHeight w:hRule="exact" w:val="864"/>
      </w:trPr>
      <w:tc>
        <w:tcPr>
          <w:tcW w:w="4838" w:type="dxa"/>
          <w:shd w:val="clear" w:color="auto" w:fill="auto"/>
          <w:vAlign w:val="bottom"/>
        </w:tcPr>
        <w:p w:rsidR="005D0279" w:rsidRPr="005D0279" w:rsidRDefault="005D0279" w:rsidP="005D02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22B9">
            <w:rPr>
              <w:b/>
              <w:color w:val="000000"/>
            </w:rPr>
            <w:t>CEDAW/C/CAN/8-9</w:t>
          </w:r>
          <w:r>
            <w:rPr>
              <w:b/>
              <w:color w:val="000000"/>
            </w:rPr>
            <w:fldChar w:fldCharType="end"/>
          </w:r>
        </w:p>
      </w:tc>
      <w:tc>
        <w:tcPr>
          <w:tcW w:w="5028" w:type="dxa"/>
          <w:shd w:val="clear" w:color="auto" w:fill="auto"/>
          <w:vAlign w:val="bottom"/>
        </w:tcPr>
        <w:p w:rsidR="005D0279" w:rsidRDefault="005D0279" w:rsidP="005D0279">
          <w:pPr>
            <w:pStyle w:val="Header"/>
          </w:pPr>
        </w:p>
      </w:tc>
    </w:tr>
  </w:tbl>
  <w:p w:rsidR="005D0279" w:rsidRPr="005D0279" w:rsidRDefault="005D0279" w:rsidP="005D027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0279" w:rsidTr="005D0279">
      <w:trPr>
        <w:trHeight w:hRule="exact" w:val="864"/>
      </w:trPr>
      <w:tc>
        <w:tcPr>
          <w:tcW w:w="4838" w:type="dxa"/>
          <w:shd w:val="clear" w:color="auto" w:fill="auto"/>
          <w:vAlign w:val="bottom"/>
        </w:tcPr>
        <w:p w:rsidR="005D0279" w:rsidRDefault="005D0279" w:rsidP="005D0279">
          <w:pPr>
            <w:pStyle w:val="Header"/>
          </w:pPr>
        </w:p>
      </w:tc>
      <w:tc>
        <w:tcPr>
          <w:tcW w:w="5028" w:type="dxa"/>
          <w:shd w:val="clear" w:color="auto" w:fill="auto"/>
          <w:vAlign w:val="bottom"/>
        </w:tcPr>
        <w:p w:rsidR="005D0279" w:rsidRPr="005D0279" w:rsidRDefault="005D0279" w:rsidP="005D02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22B9">
            <w:rPr>
              <w:b/>
              <w:color w:val="000000"/>
            </w:rPr>
            <w:t>CEDAW/C/CAN/8-9</w:t>
          </w:r>
          <w:r>
            <w:rPr>
              <w:b/>
              <w:color w:val="000000"/>
            </w:rPr>
            <w:fldChar w:fldCharType="end"/>
          </w:r>
        </w:p>
      </w:tc>
    </w:tr>
  </w:tbl>
  <w:p w:rsidR="005D0279" w:rsidRPr="005D0279" w:rsidRDefault="005D0279" w:rsidP="005D027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0279" w:rsidTr="005D0279">
      <w:trPr>
        <w:gridAfter w:val="1"/>
        <w:wAfter w:w="12" w:type="dxa"/>
        <w:trHeight w:hRule="exact" w:val="864"/>
      </w:trPr>
      <w:tc>
        <w:tcPr>
          <w:tcW w:w="1267" w:type="dxa"/>
          <w:tcBorders>
            <w:bottom w:val="single" w:sz="4" w:space="0" w:color="auto"/>
          </w:tcBorders>
          <w:shd w:val="clear" w:color="auto" w:fill="auto"/>
          <w:vAlign w:val="bottom"/>
        </w:tcPr>
        <w:p w:rsidR="005D0279" w:rsidRDefault="005D0279" w:rsidP="005D0279">
          <w:pPr>
            <w:pStyle w:val="Header"/>
            <w:spacing w:after="120"/>
          </w:pPr>
        </w:p>
      </w:tc>
      <w:tc>
        <w:tcPr>
          <w:tcW w:w="2059" w:type="dxa"/>
          <w:tcBorders>
            <w:bottom w:val="single" w:sz="4" w:space="0" w:color="auto"/>
          </w:tcBorders>
          <w:shd w:val="clear" w:color="auto" w:fill="auto"/>
          <w:vAlign w:val="bottom"/>
        </w:tcPr>
        <w:p w:rsidR="005D0279" w:rsidRPr="005D0279" w:rsidRDefault="005D0279" w:rsidP="005D02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0279" w:rsidRDefault="005D0279" w:rsidP="005D0279">
          <w:pPr>
            <w:pStyle w:val="Header"/>
            <w:spacing w:after="120"/>
          </w:pPr>
        </w:p>
      </w:tc>
      <w:tc>
        <w:tcPr>
          <w:tcW w:w="6523" w:type="dxa"/>
          <w:gridSpan w:val="3"/>
          <w:tcBorders>
            <w:bottom w:val="single" w:sz="4" w:space="0" w:color="auto"/>
          </w:tcBorders>
          <w:shd w:val="clear" w:color="auto" w:fill="auto"/>
          <w:vAlign w:val="bottom"/>
        </w:tcPr>
        <w:p w:rsidR="005D0279" w:rsidRPr="005D0279" w:rsidRDefault="005D0279" w:rsidP="005D0279">
          <w:pPr>
            <w:spacing w:after="80" w:line="240" w:lineRule="auto"/>
            <w:jc w:val="right"/>
            <w:rPr>
              <w:position w:val="-4"/>
            </w:rPr>
          </w:pPr>
          <w:r>
            <w:rPr>
              <w:position w:val="-4"/>
              <w:sz w:val="40"/>
            </w:rPr>
            <w:t>CEDAW</w:t>
          </w:r>
          <w:r>
            <w:rPr>
              <w:position w:val="-4"/>
            </w:rPr>
            <w:t>/C/CAN/8-9</w:t>
          </w:r>
        </w:p>
      </w:tc>
    </w:tr>
    <w:tr w:rsidR="005D0279" w:rsidRPr="005D0279" w:rsidTr="005D0279">
      <w:trPr>
        <w:trHeight w:hRule="exact" w:val="2880"/>
      </w:trPr>
      <w:tc>
        <w:tcPr>
          <w:tcW w:w="1267" w:type="dxa"/>
          <w:tcBorders>
            <w:top w:val="single" w:sz="4" w:space="0" w:color="auto"/>
            <w:bottom w:val="single" w:sz="12" w:space="0" w:color="auto"/>
          </w:tcBorders>
          <w:shd w:val="clear" w:color="auto" w:fill="auto"/>
        </w:tcPr>
        <w:p w:rsidR="005D0279" w:rsidRPr="005D0279" w:rsidRDefault="005D0279" w:rsidP="005D0279">
          <w:pPr>
            <w:pStyle w:val="Header"/>
            <w:spacing w:before="109"/>
          </w:pPr>
          <w:r>
            <w:t xml:space="preserve"> </w:t>
          </w:r>
          <w:r>
            <w:rPr>
              <w:lang w:eastAsia="zh-CN"/>
            </w:rPr>
            <w:drawing>
              <wp:inline distT="0" distB="0" distL="0" distR="0" wp14:anchorId="7FDEED4E" wp14:editId="2642D587">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0279" w:rsidRPr="005D0279" w:rsidRDefault="005D0279" w:rsidP="005D027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D0279" w:rsidRPr="002304AC" w:rsidRDefault="005D0279" w:rsidP="005D0279">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5D0279" w:rsidRDefault="005D0279" w:rsidP="005D0279">
          <w:pPr>
            <w:pStyle w:val="Distribution"/>
            <w:spacing w:before="240"/>
          </w:pPr>
          <w:r>
            <w:t>Distr. general</w:t>
          </w:r>
        </w:p>
        <w:p w:rsidR="005D0279" w:rsidRDefault="005D0279" w:rsidP="005D0279">
          <w:pPr>
            <w:pStyle w:val="Publication"/>
          </w:pPr>
          <w:r>
            <w:t>28 de abril de 2015</w:t>
          </w:r>
        </w:p>
        <w:p w:rsidR="005D0279" w:rsidRDefault="005D0279" w:rsidP="005D0279">
          <w:r>
            <w:t>Español</w:t>
          </w:r>
        </w:p>
        <w:p w:rsidR="005D0279" w:rsidRDefault="005D0279" w:rsidP="005D0279">
          <w:pPr>
            <w:pStyle w:val="Original"/>
          </w:pPr>
          <w:r>
            <w:t>Original: inglés</w:t>
          </w:r>
        </w:p>
        <w:p w:rsidR="005D0279" w:rsidRPr="005D0279" w:rsidRDefault="005D0279" w:rsidP="005D0279"/>
      </w:tc>
    </w:tr>
  </w:tbl>
  <w:p w:rsidR="005D0279" w:rsidRPr="005D0279" w:rsidRDefault="005D0279" w:rsidP="005D027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D14EB5"/>
    <w:multiLevelType w:val="hybridMultilevel"/>
    <w:tmpl w:val="A1802D3C"/>
    <w:lvl w:ilvl="0" w:tplc="BA34D4D0">
      <w:start w:val="1"/>
      <w:numFmt w:val="decimal"/>
      <w:lvlText w:val="%1."/>
      <w:lvlJc w:val="left"/>
      <w:pPr>
        <w:ind w:left="2280" w:hanging="480"/>
      </w:pPr>
      <w:rPr>
        <w:rFonts w:cs="Times New Roman" w:hint="default"/>
        <w:b w:val="0"/>
        <w:bCs/>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6627*"/>
    <w:docVar w:name="CreationDt" w:val="10/06/2015 10:09 AM"/>
    <w:docVar w:name="DocCategory" w:val="Doc"/>
    <w:docVar w:name="DocType" w:val="Final"/>
    <w:docVar w:name="DutyStation" w:val="New York"/>
    <w:docVar w:name="FooterJN" w:val="15-06627"/>
    <w:docVar w:name="jobn" w:val="15-06627 (S)"/>
    <w:docVar w:name="jobnDT" w:val="15-06627 (S)   100615"/>
    <w:docVar w:name="jobnDTDT" w:val="15-06627 (S)   100615   100615"/>
    <w:docVar w:name="JobNo" w:val="1506627S"/>
    <w:docVar w:name="JobNo2" w:val="151225610:09 AM"/>
    <w:docVar w:name="LocalDrive" w:val="0"/>
    <w:docVar w:name="OandT" w:val="pl"/>
    <w:docVar w:name="PaperSize" w:val="Letter"/>
    <w:docVar w:name="sss1" w:val="CEDAW/C/CAN/8-9"/>
    <w:docVar w:name="sss2" w:val="-"/>
    <w:docVar w:name="Symbol1" w:val="CEDAW/C/CAN/8-9"/>
    <w:docVar w:name="Symbol2" w:val="-"/>
  </w:docVars>
  <w:rsids>
    <w:rsidRoot w:val="00D6776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304AC"/>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C7C35"/>
    <w:rsid w:val="002D3F35"/>
    <w:rsid w:val="002E1262"/>
    <w:rsid w:val="002E2A29"/>
    <w:rsid w:val="002F0A5D"/>
    <w:rsid w:val="002F4C08"/>
    <w:rsid w:val="003034FD"/>
    <w:rsid w:val="00303A2A"/>
    <w:rsid w:val="00327A13"/>
    <w:rsid w:val="00330167"/>
    <w:rsid w:val="003359DE"/>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4F5783"/>
    <w:rsid w:val="004F7C50"/>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0279"/>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0750"/>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2B9"/>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398"/>
    <w:rsid w:val="00C41651"/>
    <w:rsid w:val="00C468A1"/>
    <w:rsid w:val="00C51D2E"/>
    <w:rsid w:val="00C56024"/>
    <w:rsid w:val="00C6016B"/>
    <w:rsid w:val="00C71D8C"/>
    <w:rsid w:val="00C72875"/>
    <w:rsid w:val="00C72AD9"/>
    <w:rsid w:val="00C7369D"/>
    <w:rsid w:val="00C77C5A"/>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67762"/>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qFormat="1"/>
    <w:lsdException w:name="annotation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link w:val="BalloonTextChar1"/>
    <w:uiPriority w:val="99"/>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FooterChar1"/>
    <w:uiPriority w:val="99"/>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Rimando notaOreste,Rimando notaOreste1,Rimando notaOreste2,nota a piè di pagina,Appel note de bas de p,Footnote,pre-cab,16 Point,Superscript 6 Point,Char Char,Carattere Char1,Carattere Char Char Carattere Carattere Char Char,ftre"/>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D0279"/>
    <w:pPr>
      <w:spacing w:line="240" w:lineRule="auto"/>
    </w:pPr>
    <w:rPr>
      <w:szCs w:val="20"/>
    </w:rPr>
  </w:style>
  <w:style w:type="character" w:customStyle="1" w:styleId="CommentTextChar">
    <w:name w:val="Comment Text Char"/>
    <w:basedOn w:val="DefaultParagraphFont"/>
    <w:link w:val="CommentText"/>
    <w:rsid w:val="005D0279"/>
    <w:rPr>
      <w:rFonts w:ascii="Times New Roman" w:hAnsi="Times New Roman"/>
      <w:spacing w:val="4"/>
      <w:w w:val="103"/>
      <w:lang w:val="es-ES"/>
    </w:rPr>
  </w:style>
  <w:style w:type="paragraph" w:styleId="CommentSubject">
    <w:name w:val="annotation subject"/>
    <w:basedOn w:val="CommentText"/>
    <w:next w:val="CommentText"/>
    <w:link w:val="CommentSubjectChar"/>
    <w:rsid w:val="005D0279"/>
    <w:rPr>
      <w:b/>
      <w:bCs/>
    </w:rPr>
  </w:style>
  <w:style w:type="character" w:customStyle="1" w:styleId="CommentSubjectChar">
    <w:name w:val="Comment Subject Char"/>
    <w:basedOn w:val="CommentTextChar"/>
    <w:link w:val="CommentSubject"/>
    <w:rsid w:val="005D0279"/>
    <w:rPr>
      <w:rFonts w:ascii="Times New Roman" w:hAnsi="Times New Roman"/>
      <w:b/>
      <w:bCs/>
      <w:spacing w:val="4"/>
      <w:w w:val="103"/>
      <w:lang w:val="es-ES"/>
    </w:rPr>
  </w:style>
  <w:style w:type="character" w:customStyle="1" w:styleId="BalloonTextChar1">
    <w:name w:val="Balloon Text Char1"/>
    <w:link w:val="HCh"/>
    <w:uiPriority w:val="99"/>
    <w:locked/>
    <w:rsid w:val="002304AC"/>
    <w:rPr>
      <w:rFonts w:ascii="Times New Roman" w:hAnsi="Times New Roman"/>
      <w:b/>
      <w:spacing w:val="-2"/>
      <w:w w:val="103"/>
      <w:kern w:val="14"/>
      <w:sz w:val="28"/>
      <w:szCs w:val="22"/>
      <w:lang w:val="es-ES"/>
    </w:rPr>
  </w:style>
  <w:style w:type="character" w:customStyle="1" w:styleId="FooterChar1">
    <w:name w:val="Footer Char1"/>
    <w:link w:val="SingleTxt"/>
    <w:uiPriority w:val="99"/>
    <w:locked/>
    <w:rsid w:val="002304AC"/>
    <w:rPr>
      <w:rFonts w:ascii="Times New Roman" w:hAnsi="Times New Roman"/>
      <w:spacing w:val="4"/>
      <w:w w:val="103"/>
      <w:kern w:val="14"/>
      <w:szCs w:val="22"/>
      <w:lang w:val="es-ES"/>
    </w:rPr>
  </w:style>
  <w:style w:type="character" w:styleId="Hyperlink">
    <w:name w:val="Hyperlink"/>
    <w:basedOn w:val="DefaultParagraphFont"/>
    <w:rsid w:val="002C7C35"/>
    <w:rPr>
      <w:color w:val="0000FF"/>
      <w:u w:val="none"/>
    </w:rPr>
  </w:style>
  <w:style w:type="character" w:styleId="FollowedHyperlink">
    <w:name w:val="FollowedHyperlink"/>
    <w:basedOn w:val="DefaultParagraphFont"/>
    <w:rsid w:val="002C7C3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qFormat="1"/>
    <w:lsdException w:name="annotation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link w:val="BalloonTextChar1"/>
    <w:uiPriority w:val="99"/>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FooterChar1"/>
    <w:uiPriority w:val="99"/>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Rimando notaOreste,Rimando notaOreste1,Rimando notaOreste2,nota a piè di pagina,Appel note de bas de p,Footnote,pre-cab,16 Point,Superscript 6 Point,Char Char,Carattere Char1,Carattere Char Char Carattere Carattere Char Char,ftre"/>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D0279"/>
    <w:pPr>
      <w:spacing w:line="240" w:lineRule="auto"/>
    </w:pPr>
    <w:rPr>
      <w:szCs w:val="20"/>
    </w:rPr>
  </w:style>
  <w:style w:type="character" w:customStyle="1" w:styleId="CommentTextChar">
    <w:name w:val="Comment Text Char"/>
    <w:basedOn w:val="DefaultParagraphFont"/>
    <w:link w:val="CommentText"/>
    <w:rsid w:val="005D0279"/>
    <w:rPr>
      <w:rFonts w:ascii="Times New Roman" w:hAnsi="Times New Roman"/>
      <w:spacing w:val="4"/>
      <w:w w:val="103"/>
      <w:lang w:val="es-ES"/>
    </w:rPr>
  </w:style>
  <w:style w:type="paragraph" w:styleId="CommentSubject">
    <w:name w:val="annotation subject"/>
    <w:basedOn w:val="CommentText"/>
    <w:next w:val="CommentText"/>
    <w:link w:val="CommentSubjectChar"/>
    <w:rsid w:val="005D0279"/>
    <w:rPr>
      <w:b/>
      <w:bCs/>
    </w:rPr>
  </w:style>
  <w:style w:type="character" w:customStyle="1" w:styleId="CommentSubjectChar">
    <w:name w:val="Comment Subject Char"/>
    <w:basedOn w:val="CommentTextChar"/>
    <w:link w:val="CommentSubject"/>
    <w:rsid w:val="005D0279"/>
    <w:rPr>
      <w:rFonts w:ascii="Times New Roman" w:hAnsi="Times New Roman"/>
      <w:b/>
      <w:bCs/>
      <w:spacing w:val="4"/>
      <w:w w:val="103"/>
      <w:lang w:val="es-ES"/>
    </w:rPr>
  </w:style>
  <w:style w:type="character" w:customStyle="1" w:styleId="BalloonTextChar1">
    <w:name w:val="Balloon Text Char1"/>
    <w:link w:val="HCh"/>
    <w:uiPriority w:val="99"/>
    <w:locked/>
    <w:rsid w:val="002304AC"/>
    <w:rPr>
      <w:rFonts w:ascii="Times New Roman" w:hAnsi="Times New Roman"/>
      <w:b/>
      <w:spacing w:val="-2"/>
      <w:w w:val="103"/>
      <w:kern w:val="14"/>
      <w:sz w:val="28"/>
      <w:szCs w:val="22"/>
      <w:lang w:val="es-ES"/>
    </w:rPr>
  </w:style>
  <w:style w:type="character" w:customStyle="1" w:styleId="FooterChar1">
    <w:name w:val="Footer Char1"/>
    <w:link w:val="SingleTxt"/>
    <w:uiPriority w:val="99"/>
    <w:locked/>
    <w:rsid w:val="002304AC"/>
    <w:rPr>
      <w:rFonts w:ascii="Times New Roman" w:hAnsi="Times New Roman"/>
      <w:spacing w:val="4"/>
      <w:w w:val="103"/>
      <w:kern w:val="14"/>
      <w:szCs w:val="22"/>
      <w:lang w:val="es-ES"/>
    </w:rPr>
  </w:style>
  <w:style w:type="character" w:styleId="Hyperlink">
    <w:name w:val="Hyperlink"/>
    <w:basedOn w:val="DefaultParagraphFont"/>
    <w:rsid w:val="002C7C35"/>
    <w:rPr>
      <w:color w:val="0000FF"/>
      <w:u w:val="none"/>
    </w:rPr>
  </w:style>
  <w:style w:type="character" w:styleId="FollowedHyperlink">
    <w:name w:val="FollowedHyperlink"/>
    <w:basedOn w:val="DefaultParagraphFont"/>
    <w:rsid w:val="002C7C3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45145-CA1B-403B-8D81-D72F9AFC0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20515</Words>
  <Characters>116942</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Spanish Text Processing FD2</cp:lastModifiedBy>
  <cp:revision>5</cp:revision>
  <cp:lastPrinted>2015-06-10T14:17:00Z</cp:lastPrinted>
  <dcterms:created xsi:type="dcterms:W3CDTF">2015-06-10T14:17:00Z</dcterms:created>
  <dcterms:modified xsi:type="dcterms:W3CDTF">2015-06-10T14:38:00Z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1506627</vt:lpwstr>
  </property>
  <property fmtid="{D5CDD505-2E9C-101B-9397-08002B2CF9AE}" pid="3" name="ODSRefJobNo">
    <vt:lpwstr>1512256</vt:lpwstr>
  </property>
  <property fmtid="{D5CDD505-2E9C-101B-9397-08002B2CF9AE}" pid="4" name="Symbol1">
    <vt:lpwstr>CEDAW/C/CAN/8-9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abril de 2015</vt:lpwstr>
  </property>
  <property fmtid="{D5CDD505-2E9C-101B-9397-08002B2CF9AE}" pid="8" name="Original">
    <vt:lpwstr>inglés</vt:lpwstr>
  </property>
  <property fmtid="{D5CDD505-2E9C-101B-9397-08002B2CF9AE}" pid="9" name="Release Date">
    <vt:lpwstr>100615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