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b/>
          <w:bCs/>
          <w:u w:val="single"/>
          <w:rtl/>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29.45pt;width:201.25pt;height:117.6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CRC/GC/2001/1</w:t>
                  </w:r>
                  <w:r>
                    <w:rPr>
                      <w:szCs w:val="22"/>
                      <w:lang w:eastAsia="en-US"/>
                    </w:rPr>
                    <w:br/>
                    <w:t>17 April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bCs/>
          <w:u w:val="single"/>
          <w:rtl/>
        </w:rPr>
        <w:t>المرفق التاسع</w:t>
      </w:r>
    </w:p>
    <w:p w:rsidR="00000000" w:rsidRDefault="00000000">
      <w:pPr>
        <w:jc w:val="center"/>
        <w:rPr>
          <w:rFonts w:hint="cs"/>
          <w:b/>
          <w:bCs/>
          <w:szCs w:val="36"/>
          <w:u w:val="single"/>
          <w:rtl/>
        </w:rPr>
      </w:pPr>
      <w:r>
        <w:rPr>
          <w:rFonts w:hint="cs"/>
          <w:b/>
          <w:bCs/>
          <w:szCs w:val="36"/>
          <w:u w:val="single"/>
          <w:rtl/>
        </w:rPr>
        <w:t>التعليق العام رقم 1(2001)</w:t>
      </w:r>
    </w:p>
    <w:p w:rsidR="00000000" w:rsidRDefault="00000000">
      <w:pPr>
        <w:jc w:val="center"/>
        <w:rPr>
          <w:rFonts w:hint="cs"/>
          <w:b/>
          <w:bCs/>
          <w:sz w:val="38"/>
          <w:szCs w:val="36"/>
          <w:u w:val="single"/>
          <w:rtl/>
        </w:rPr>
      </w:pPr>
      <w:r>
        <w:rPr>
          <w:rFonts w:hint="cs"/>
          <w:b/>
          <w:bCs/>
          <w:sz w:val="38"/>
          <w:szCs w:val="36"/>
          <w:u w:val="single"/>
          <w:rtl/>
        </w:rPr>
        <w:t>المادة 29(1): أهداف التعليم</w:t>
      </w:r>
    </w:p>
    <w:p w:rsidR="00000000" w:rsidRDefault="00000000">
      <w:pPr>
        <w:jc w:val="both"/>
        <w:rPr>
          <w:rFonts w:hint="cs"/>
          <w:b/>
          <w:bCs/>
          <w:u w:val="single"/>
          <w:rtl/>
        </w:rPr>
      </w:pPr>
      <w:r>
        <w:rPr>
          <w:rFonts w:hint="cs"/>
          <w:b/>
          <w:bCs/>
          <w:u w:val="single"/>
          <w:rtl/>
        </w:rPr>
        <w:t>المادة 29(1)، اتفاقية حقوق الطفل</w:t>
      </w:r>
    </w:p>
    <w:p w:rsidR="00000000" w:rsidRDefault="00000000">
      <w:pPr>
        <w:ind w:left="720"/>
        <w:jc w:val="both"/>
        <w:rPr>
          <w:rFonts w:hint="cs"/>
          <w:rtl/>
        </w:rPr>
      </w:pPr>
      <w:r>
        <w:rPr>
          <w:rFonts w:hint="cs"/>
          <w:rtl/>
        </w:rPr>
        <w:t>"1-</w:t>
      </w:r>
      <w:r>
        <w:rPr>
          <w:rFonts w:hint="cs"/>
          <w:rtl/>
        </w:rPr>
        <w:tab/>
        <w:t>توافق الدول الأطراف على أن يكون تعليم الطفل موجهاً نحو:</w:t>
      </w:r>
    </w:p>
    <w:p w:rsidR="00000000" w:rsidRDefault="00000000">
      <w:pPr>
        <w:ind w:left="720"/>
        <w:jc w:val="both"/>
        <w:rPr>
          <w:rFonts w:hint="cs"/>
          <w:rtl/>
        </w:rPr>
      </w:pPr>
      <w:r>
        <w:rPr>
          <w:rFonts w:hint="cs"/>
          <w:rtl/>
        </w:rPr>
        <w:tab/>
        <w:t>"(أ)</w:t>
      </w:r>
      <w:r>
        <w:rPr>
          <w:rFonts w:hint="cs"/>
          <w:rtl/>
        </w:rPr>
        <w:tab/>
        <w:t>تنمية شخصية الطفل ومواهبه وقدراته العقلية والبدنية إلى أقصى إمكاناتها؛</w:t>
      </w:r>
    </w:p>
    <w:p w:rsidR="00000000" w:rsidRDefault="00000000">
      <w:pPr>
        <w:ind w:left="720"/>
        <w:jc w:val="both"/>
        <w:rPr>
          <w:rFonts w:hint="cs"/>
          <w:rtl/>
        </w:rPr>
      </w:pPr>
      <w:r>
        <w:rPr>
          <w:rFonts w:hint="cs"/>
          <w:rtl/>
        </w:rPr>
        <w:tab/>
        <w:t>"(ب)</w:t>
      </w:r>
      <w:r>
        <w:rPr>
          <w:rFonts w:hint="cs"/>
          <w:rtl/>
        </w:rPr>
        <w:tab/>
        <w:t>تنمية احترام حقوق الإنسان والحريات الأساسية والمبادئ المكرسة في ميثاق الأمم المتحدة؛</w:t>
      </w:r>
    </w:p>
    <w:p w:rsidR="00000000" w:rsidRDefault="00000000">
      <w:pPr>
        <w:ind w:left="720"/>
        <w:jc w:val="both"/>
        <w:rPr>
          <w:rFonts w:hint="cs"/>
          <w:rtl/>
        </w:rPr>
      </w:pPr>
      <w:r>
        <w:rPr>
          <w:rFonts w:hint="cs"/>
          <w:rtl/>
        </w:rPr>
        <w:tab/>
        <w:t>"(ج)</w:t>
      </w:r>
      <w:r>
        <w:rPr>
          <w:rFonts w:hint="cs"/>
          <w:rtl/>
        </w:rPr>
        <w:tab/>
        <w:t>تنمية احترام ذوي الطفل وهويته الثقافية ولغته وقيمه الخاصة والقيم الوطنية للبلد الذي يعيش فيه الطفل والبلد الذي نشأ فيه في الأصل والحضارات المختلفة عن حضارته؛</w:t>
      </w:r>
    </w:p>
    <w:p w:rsidR="00000000" w:rsidRDefault="00000000">
      <w:pPr>
        <w:ind w:left="720"/>
        <w:jc w:val="both"/>
        <w:rPr>
          <w:rFonts w:hint="cs"/>
          <w:rtl/>
        </w:rPr>
      </w:pPr>
      <w:r>
        <w:rPr>
          <w:rFonts w:hint="cs"/>
          <w:rtl/>
        </w:rPr>
        <w:tab/>
        <w:t>"(د)</w:t>
      </w:r>
      <w:r>
        <w:rPr>
          <w:rFonts w:hint="cs"/>
          <w:rtl/>
        </w:rPr>
        <w:tab/>
        <w:t>إعداد الطفل لحياة تستشعر المسؤولية في مجتمع حر بروح من التفاهم والسلم والتسامح والمساواة بين الجنسين والصداقة بين جميع الشعوب والجماعات الإثنية والوطنية والدينية والأشخاص الذين ينتمون إلى السكان الأصليين؛</w:t>
      </w:r>
    </w:p>
    <w:p w:rsidR="00000000" w:rsidRDefault="00000000">
      <w:pPr>
        <w:ind w:left="720"/>
        <w:jc w:val="both"/>
        <w:rPr>
          <w:rFonts w:hint="cs"/>
          <w:rtl/>
        </w:rPr>
      </w:pPr>
      <w:r>
        <w:rPr>
          <w:rFonts w:hint="cs"/>
          <w:rtl/>
        </w:rPr>
        <w:tab/>
        <w:t>"(ه‍)</w:t>
      </w:r>
      <w:r>
        <w:rPr>
          <w:rFonts w:hint="cs"/>
          <w:rtl/>
        </w:rPr>
        <w:tab/>
        <w:t>تنمية احترام البيئة الطبيعية.".</w:t>
      </w:r>
    </w:p>
    <w:p w:rsidR="00000000" w:rsidRDefault="00000000">
      <w:pPr>
        <w:jc w:val="both"/>
        <w:rPr>
          <w:rFonts w:hint="cs"/>
          <w:rtl/>
        </w:rPr>
      </w:pPr>
    </w:p>
    <w:p w:rsidR="00000000" w:rsidRDefault="00000000">
      <w:pPr>
        <w:jc w:val="center"/>
        <w:rPr>
          <w:rFonts w:hint="cs"/>
          <w:rtl/>
        </w:rPr>
      </w:pPr>
      <w:r>
        <w:rPr>
          <w:rFonts w:hint="cs"/>
          <w:rtl/>
        </w:rPr>
        <w:t>تذييل</w:t>
      </w:r>
    </w:p>
    <w:p w:rsidR="00000000" w:rsidRDefault="00000000">
      <w:pPr>
        <w:jc w:val="center"/>
        <w:rPr>
          <w:rFonts w:hint="cs"/>
          <w:rtl/>
        </w:rPr>
      </w:pPr>
      <w:r>
        <w:rPr>
          <w:rFonts w:hint="cs"/>
          <w:rtl/>
        </w:rPr>
        <w:t>التعليق العام رقم 1(2001): أهداف التعليم</w:t>
      </w:r>
    </w:p>
    <w:p w:rsidR="00000000" w:rsidRDefault="00000000">
      <w:pPr>
        <w:jc w:val="both"/>
        <w:rPr>
          <w:rFonts w:hint="cs"/>
          <w:rtl/>
        </w:rPr>
      </w:pPr>
      <w:r>
        <w:rPr>
          <w:rFonts w:hint="cs"/>
          <w:rtl/>
        </w:rPr>
        <w:t>فحوى المادة 29(1)</w:t>
      </w:r>
    </w:p>
    <w:p w:rsidR="00000000" w:rsidRDefault="00000000">
      <w:pPr>
        <w:jc w:val="both"/>
        <w:rPr>
          <w:rFonts w:hint="cs"/>
          <w:rtl/>
        </w:rPr>
      </w:pPr>
      <w:r>
        <w:rPr>
          <w:rFonts w:hint="cs"/>
          <w:rtl/>
        </w:rPr>
        <w:t>1-</w:t>
      </w:r>
      <w:r>
        <w:rPr>
          <w:rFonts w:hint="cs"/>
          <w:rtl/>
        </w:rPr>
        <w:tab/>
        <w:t>تكتسي الفقرة 1 من المادة 29 من اتفاقية حقوق الطفل أهمية بالغة. والأهداف التي حددتها هذه الفقرة للتعليم والتي وافقت عليها جميع الدول الأطراف أهداف تشجع وتدعم وتحمي القيم الأساسية للاتفاقية أي كرامة الإنسان المتأصلة في كل طفل وحقوقه المتساوية وغير القابلة للتجزئة. وجميع هذه الأهداف، المبينة في خمس فقرات فرعية من المادة 29(1)، مرتبطة مباشرة بالاعتراف بكرامة الطفل وحقوقه كإنسان وتأخذ في الاعتبار احتياجاته التنموية الخاصة والتطور التدريجي لمختلف قدراته. وهذه الأهداف هي: التنمية الشاملة لكافة إمكانات الطفل</w:t>
      </w:r>
      <w:r>
        <w:rPr>
          <w:rtl/>
        </w:rPr>
        <w:br/>
      </w:r>
      <w:r>
        <w:rPr>
          <w:rFonts w:hint="cs"/>
          <w:rtl/>
        </w:rPr>
        <w:t>(29(1))(أ)، بما في ذلك تنمية احترام حقوق الإنسان (29(1))(ب) وتعزيز الإحساس بالهوية والانتماء</w:t>
      </w:r>
      <w:r>
        <w:rPr>
          <w:rtl/>
        </w:rPr>
        <w:br/>
      </w:r>
      <w:r>
        <w:rPr>
          <w:rFonts w:hint="cs"/>
          <w:rtl/>
        </w:rPr>
        <w:t>(29(1)(ج) والتنشئة الاجتماعية للطفل وتفاعله مع الآخرين (29(1)(د)) ومع البيئة (29(1)(ه‍)).</w:t>
      </w:r>
    </w:p>
    <w:p w:rsidR="00000000" w:rsidRDefault="00000000">
      <w:pPr>
        <w:jc w:val="both"/>
        <w:rPr>
          <w:rFonts w:hint="cs"/>
          <w:rtl/>
        </w:rPr>
      </w:pPr>
      <w:r>
        <w:rPr>
          <w:rFonts w:hint="cs"/>
          <w:rtl/>
        </w:rPr>
        <w:t>2-</w:t>
      </w:r>
      <w:r>
        <w:rPr>
          <w:rFonts w:hint="cs"/>
          <w:rtl/>
        </w:rPr>
        <w:tab/>
        <w:t>إن المادة 29(1) لا تضيف إلى الحق في التعليم المعترف به في المادة 28 بعدا نوعيا يعكس حقوق الطفل والكرامة المتأصلة فيه فحسب بل تشدد أيضاً على ضرورة أن يكون التعليم مركزاً علـى الطفــل ومناسباً</w:t>
      </w:r>
      <w:r>
        <w:rPr>
          <w:rtl/>
        </w:rPr>
        <w:br/>
      </w:r>
      <w:r>
        <w:rPr>
          <w:rFonts w:hint="cs"/>
          <w:rtl/>
        </w:rPr>
        <w:t>له وتمكينياً؛ وتبرز الحاجة إلى أن تكون عمليات التعليم قائمة على ذات المبادئ التي تنص عليها</w:t>
      </w:r>
      <w:r>
        <w:rPr>
          <w:rFonts w:hint="cs"/>
          <w:vertAlign w:val="superscript"/>
          <w:rtl/>
        </w:rPr>
        <w:t>(1)</w:t>
      </w:r>
      <w:r>
        <w:rPr>
          <w:rFonts w:hint="cs"/>
          <w:rtl/>
        </w:rPr>
        <w:t>. والتعليم الذي يحق لكل طفل هو التعليم المصمم لتزويد الطفل بالمهارات الحياتية وتعزيز قدرته على التمتع بكافة حقوق الإنسان ونشر ثقافة مشبعة بقيم حقوق الإنسان المناسبة. ويتمثل الهدف المنشود في تمكين الطفل بتعزيز مهاراته وقدرته على التعلم وغيرها من القدرات، وكرامته كإنسان واحترامه لذاته وثقته بنفسه. ويتجاوز "التعليم" في هذا السياق التمدرس النظامي ليشمل المجموعة الواسعة من الخبرات الحياتية وعمليات التعلُّم التي تمكن الأطفال فردياً وجماعياً من تنمية شخصيتهم ومواهبهم وقدراتهم والعيش حياة خصبة ومرضية داخل المجتمع.</w:t>
      </w:r>
    </w:p>
    <w:p w:rsidR="00000000" w:rsidRDefault="00000000">
      <w:pPr>
        <w:jc w:val="both"/>
        <w:rPr>
          <w:rFonts w:hint="cs"/>
          <w:rtl/>
        </w:rPr>
      </w:pPr>
      <w:r>
        <w:rPr>
          <w:rFonts w:hint="cs"/>
          <w:rtl/>
        </w:rPr>
        <w:t>3-</w:t>
      </w:r>
      <w:r>
        <w:rPr>
          <w:rFonts w:hint="cs"/>
          <w:rtl/>
        </w:rPr>
        <w:tab/>
        <w:t>وليس حق الطفل في التعليم مسألة تتصل فقط بحصوله على هذا التعليم (المادة 28) بل وكذلك بمحتواه. ويشكل التعليم الذي يكون مضمونه نابعا من في قيم المادة 29(1) أداة ضرورية للجهود التي يبذلها كل طفل ليجد طوال حياته رداً متوازناً ومناسباً لحقوق الإنسان على التحديات التي ترافق فترة تغير أساسي ناجم عن العولمة والتكنولوجيات الجديدة والظواهر ذات الصلة. وتشمل هذه التحديات التوترات بين جملة أمور منها ما هو عالمي وما هو محلي، وما هو فردي وما هو جماعي، وما هو تقليدي وما هو عصري، وبين الاعتبارات الطويلة الأجل والاعتبارات القصيرة الأجل؛ والتنافس وتكافؤ الفرص، وانتشار المعرفة والقدرة على استيعابها، وما هو روحي وما هو مادي</w:t>
      </w:r>
      <w:r>
        <w:rPr>
          <w:rFonts w:hint="cs"/>
          <w:vertAlign w:val="superscript"/>
          <w:rtl/>
        </w:rPr>
        <w:t>(2)</w:t>
      </w:r>
      <w:r>
        <w:rPr>
          <w:rFonts w:hint="cs"/>
          <w:rtl/>
        </w:rPr>
        <w:t>. ومع ذلك يبدو أن جميع العناصر المجسدة في المادة 29(1) غائبة إلى حد كبير، في معظم الأحيان، من البرامج والسياسات الوطنية والدولية بشأن التعليم التي تكتسي حقاً أهمية، أو موجودة فيها صوريا فقط كفكرة عرضية.</w:t>
      </w:r>
    </w:p>
    <w:p w:rsidR="00000000" w:rsidRDefault="00000000">
      <w:pPr>
        <w:jc w:val="both"/>
        <w:rPr>
          <w:rFonts w:hint="cs"/>
          <w:rtl/>
        </w:rPr>
      </w:pPr>
      <w:r>
        <w:rPr>
          <w:rFonts w:hint="cs"/>
          <w:rtl/>
        </w:rPr>
        <w:t>4-</w:t>
      </w:r>
      <w:r>
        <w:rPr>
          <w:rFonts w:hint="cs"/>
          <w:rtl/>
        </w:rPr>
        <w:tab/>
        <w:t>وتؤكد المادة 29(1) أن الدول الأطراف توافق على أن يكون التعليم موجهاً إلى مجموعة واسعة من القيم. ويتغلب هذا الاتفاق على الحواجز الدينية والقومية والثقافية القائمة في الكثير من أنحاء العالم. وقد يبدو بعض القيم المختلفة المعرب عنها في المادة 29(1) لأول وهلة متناقضاً في بعض الحالات. وهكذا قد لا تكون الجهود الرامية إلى تشجيع التفاهم والتسامح والصداقة بين كافة الشعوب، التي تشير إليها الفقرة (1)(د)، دائماً متماشية تلقائياً مع السياسات المصممة، وفقاً للفقرة (1)(ج)، لتنمية احترام الهوية الثقافية للطفل ولغته وقيمه والقيم الوطنية للبلد الذي يعيش فيه والبلد الذي قد ينتمي إليه والحضارات المختلفة عن حضارته. غير أن جزءاً من أهمية هذا الحكم تكمن في الواقع في اعترافه بضرورة اتباع نهج متوازن إزاء التعليم ينجح في التوفيق بين مختلف القيم عن طريق الحوار واحترام الفرق. وفضلا عن ذلك فإن الأطفال قادرون على القيام بدور فريد من نوعه في التقريب بين الكثير من الفروق التي فصلت مجموعات من السكان عن أخرى في الماضي.</w:t>
      </w:r>
    </w:p>
    <w:p w:rsidR="00000000" w:rsidRDefault="00000000">
      <w:pPr>
        <w:jc w:val="both"/>
        <w:rPr>
          <w:rFonts w:hint="cs"/>
          <w:rtl/>
        </w:rPr>
      </w:pPr>
      <w:r>
        <w:rPr>
          <w:rFonts w:hint="cs"/>
          <w:rtl/>
        </w:rPr>
        <w:t>وظائف المادة 29(1)</w:t>
      </w:r>
    </w:p>
    <w:p w:rsidR="00000000" w:rsidRDefault="00000000">
      <w:pPr>
        <w:jc w:val="both"/>
        <w:rPr>
          <w:rFonts w:hint="cs"/>
          <w:rtl/>
        </w:rPr>
      </w:pPr>
      <w:r>
        <w:rPr>
          <w:rFonts w:hint="cs"/>
          <w:rtl/>
        </w:rPr>
        <w:t>5-</w:t>
      </w:r>
      <w:r>
        <w:rPr>
          <w:rFonts w:hint="cs"/>
          <w:rtl/>
        </w:rPr>
        <w:tab/>
        <w:t>إن المادة 29(1) تمثل أكثر من جرد أو قائمة لمختلف الأهداف التي ينبغي أن يحاول التعليم تحقيقها. وهي في السياق العام للاتفاقية تبرز جملة أمور منها الأبعاد التالية.</w:t>
      </w:r>
    </w:p>
    <w:p w:rsidR="00000000" w:rsidRDefault="00000000">
      <w:pPr>
        <w:jc w:val="both"/>
        <w:rPr>
          <w:rFonts w:hint="cs"/>
          <w:rtl/>
        </w:rPr>
      </w:pPr>
      <w:r>
        <w:rPr>
          <w:rFonts w:hint="cs"/>
          <w:rtl/>
        </w:rPr>
        <w:t>6-</w:t>
      </w:r>
      <w:r>
        <w:rPr>
          <w:rFonts w:hint="cs"/>
          <w:rtl/>
        </w:rPr>
        <w:tab/>
        <w:t>أولاً، تؤكد الطابع المترابط الضروري لأحكام الاتفاقية. وتستند إلى مجموعة متنوعة من الأحكام الأخرى وتعززها وتدمجها وتكملها ولا يمكن أن تُفهم فهماً صحيحا بمعزل عنها. وبالإضافة إلى المبادئ العامة للاتفاقية - عدم التمييز (المادة 2) ومصالح الطفل الفضلى (المادة 3) والحق في الحياة والبقاء والنمو (المادة 6) وحق الطفل في أن يعرب عن آرائه وتؤخذ في الاعتبار (المادة 12) - يمكن الإشارة إلى أحكام كثيرة أخرى منها، على سبيل المثال لا الحصر، حقوق ومسؤوليات الوالدين (المادتان 5 و18) وحرية التعبير (المادة 13) وحرية الفكر (المادة 14) والحق في المعلومات (المادة 17) وحقوق الأطفال للمعوقين (المادة 23) والحق في التعليم من أجل الصحة (المادة 24) والحق في التعليم (المادة 28) والحقوق اللغوية والثقافية للأطفال المنتمين إلى أقليات (المادة 30).</w:t>
      </w:r>
    </w:p>
    <w:p w:rsidR="00000000" w:rsidRDefault="00000000">
      <w:pPr>
        <w:jc w:val="both"/>
        <w:rPr>
          <w:rFonts w:hint="cs"/>
          <w:rtl/>
        </w:rPr>
      </w:pPr>
      <w:r>
        <w:rPr>
          <w:rFonts w:hint="cs"/>
          <w:rtl/>
        </w:rPr>
        <w:t>7-</w:t>
      </w:r>
      <w:r>
        <w:rPr>
          <w:rFonts w:hint="cs"/>
          <w:rtl/>
        </w:rPr>
        <w:tab/>
        <w:t>وليست حقوق الطفل قيما منفصلة أو منعزلة لا سياق لها بل توجد ضمن الإطار الأخلاقي الأوسع الموصوف جزئياً في المادة 29(1) وفي ديباجة الاتفاقية. وترد هذه المادة تحديداً على كثير من الانتقادات الموجهة إلى اتفاقية. وهي مثلا تشدد على أهمية احترام الوالدين وضرورة النظر إلى الحقوق ضمن الإطار الأخلاقي أو الأدبي أو الروحي أو الثقافي أو الاجتماعي الأوسع، وكون معظم حقوق الطفل مجسدة في قيم المجتمعات المحلية وغير مفروضة من الخارج على الإطلاق.</w:t>
      </w:r>
    </w:p>
    <w:p w:rsidR="00000000" w:rsidRDefault="00000000">
      <w:pPr>
        <w:jc w:val="both"/>
        <w:rPr>
          <w:rFonts w:hint="cs"/>
          <w:rtl/>
        </w:rPr>
      </w:pPr>
      <w:r>
        <w:rPr>
          <w:rFonts w:hint="cs"/>
          <w:rtl/>
        </w:rPr>
        <w:t>8-</w:t>
      </w:r>
      <w:r>
        <w:rPr>
          <w:rFonts w:hint="cs"/>
          <w:rtl/>
        </w:rPr>
        <w:tab/>
        <w:t>ثانياً، تولي المادة أهمية للعملية التي ينبغي أن يتم بواسطتها تعزيز الحق في التعليم. وهكذا، يجب ألا تُحبط القيم المنقولة في عملية التعليم الجهود الرامية إلى تعزيز التمتع بالحقوق الأخرى، بل تدعمها. ولا يشمل ذلك مضمون المناهج الدراسية فقط بل وكذلك العمليات التعليمية والطرق التربوية والبيئة التي يتم فيها التعليم سواء أكان ذلك في البيت أم المدرسة أم مكان آخر. والأطفال لا يفقدون حقوقهم الإنسانية بعبور أبواب المدارس. وهكذا يجب مثلاً أن يوفر التعليم بطريقة تحترم الكرامة المتأصلة في الطفل وتمكنه من التعبير عن آرائه بحرية وفقاً لما تنص عليه المادة 12(1) ويشارك في الحياة المدرسية. ويجب أن يوفر التعليم بطريقة لا تحيد عن حدود الانضباط المنصوص عليها في المادة 28(2) وتشجع عدم اللجوء إلى العنف في المدرسة. وقد أوضحت اللجنة مراراً في ملاحظاتها الختامية أن استخدام العقاب البدني لا يحترم الكرامة المتأصلة في الطفل ولا الحدود الدقيقة للانضباط في المدرسة. وواضح أن الامتثال للقيم المعترف بها في المادة 29(1) يتطلب مدارس مناسبة للأطفال بكل معنى الكلمة ومتماشية من جميع النواحي مع كرامة الطفل. وينبغي تشجيع مشاركة الطفل في الحياة المدرسية، وإنشاء التجمعات المدرسية ومجالس الطلاب، والتثقيف عن طريق الأقران والتوجيه المتبادل بين الأنداد ومشاركة الأطفال في الإجراءات التأديبية المدرسية بوصف ذلك جزءاً من عملية تعلم وتجربة إعمال الحقوق.</w:t>
      </w:r>
    </w:p>
    <w:p w:rsidR="00000000" w:rsidRDefault="00000000">
      <w:pPr>
        <w:jc w:val="both"/>
        <w:rPr>
          <w:rFonts w:hint="cs"/>
          <w:rtl/>
        </w:rPr>
      </w:pPr>
      <w:r>
        <w:rPr>
          <w:rFonts w:hint="cs"/>
          <w:rtl/>
        </w:rPr>
        <w:t>9-</w:t>
      </w:r>
      <w:r>
        <w:rPr>
          <w:rFonts w:hint="cs"/>
          <w:rtl/>
        </w:rPr>
        <w:tab/>
        <w:t>ثالثاً، بينما تركز المادة 28 على التزامات الدول الأطراف فيما يخص إنشاء النظم التعليمية وضمان الوصول إليها، تشدد المادة 29(1) على الحق الفردي والذاتي في تعليم ذي نوعية معينة. وطبقاً للاتفاقية التي تشدد على أهمية العمل من أجل المصلحة الفضلى للطفل تؤكد هذه المادة رسالة التعليم المركز على الطفل: أي أن الهدف الرئيسي للتعليم هو تنمية شخصية  كل طفل ومواهبه وقدراته، اعترافاً بما لكل طفل من خصائص ومصالح وقدرات واحتياجات تعليمية فريدة</w:t>
      </w:r>
      <w:r>
        <w:rPr>
          <w:rFonts w:hint="cs"/>
          <w:vertAlign w:val="superscript"/>
          <w:rtl/>
        </w:rPr>
        <w:t>(3)</w:t>
      </w:r>
      <w:r>
        <w:rPr>
          <w:rFonts w:hint="cs"/>
          <w:rtl/>
        </w:rPr>
        <w:t>. وعليه يجب أن يكون المنهاج الدراسي مناسباً تماماً لظروف الطفل الاجتماعية والثقافية والبيئية والاقتصادية ولاحتياجاته الحاضرة والمقبلة، ويأخذ في الاعتبار التام التطور التدرجي لقدراته، كما ينبغي أن تكون أساليب التعليم مناسبة لاحتياجات مختلف الأطفال. ويجب أيضاً أن يهدف التعليم إلى ضمان تعلم كل طفل المهارات الحياتية الأساسية وعدم مغادرة أي طفل المدرسة من غير أن يكون مؤهلا لمواجهة التحديات التي يمكن أن يصادفها في الحياة. ولا تشمل المهارات الأساسية القراءة والكتابة والحساب فقط، بل كذلك المهارات الحياتية مثل القدرة على اتخاذ قرارات متوازنة، وتسوية النزاعات بطريقة غير عنيفة، وبناء أسلوب حياة صحي، وعلاقات اجتماعية جيدة، والمسؤولية، والتفكير الناقد، والمواهب الإبداعية وغير ذلك من القدرات التي تزود الطفل بالأدوات اللازمة لتحقيق ما يختاره في الحياة.</w:t>
      </w:r>
    </w:p>
    <w:p w:rsidR="00000000" w:rsidRDefault="00000000">
      <w:pPr>
        <w:jc w:val="both"/>
        <w:rPr>
          <w:rFonts w:hint="cs"/>
          <w:rtl/>
        </w:rPr>
      </w:pPr>
      <w:r>
        <w:rPr>
          <w:rFonts w:hint="cs"/>
          <w:rtl/>
        </w:rPr>
        <w:t>10-</w:t>
      </w:r>
      <w:r>
        <w:rPr>
          <w:rFonts w:hint="cs"/>
          <w:rtl/>
        </w:rPr>
        <w:tab/>
        <w:t>والتمييز على أي أساس من الأسس المبينة في المادة 2من الاتفاقية، سواء أكان علنيا أم مستترا، يشكل إهانة لكرامة الطفل كإنسان ويمكن أن يقوض قدرة الطفل على الاستفادة من الفرص التعليمية. ولئن كان حرمان الطفل من الاستفادة من فرص التعليم مسألة تتصل في المقام الأول بالمادة 28 من الاتفاقية فإن هناك طرقاً كثيرة يمكن أن يخلف بها عدم الامتثال للمبادئ الواردة في المادة 29(1) آثاراً مماثلة. وكمثال خطير على ذلك يمكن أن تؤدي بعض الممارسات، مثل اتباع منهاج دراسي لا يتماشى مع مبادئ المساواة بين الجنسين والترتيبات التي تحد من الفوائد التي يمكن أن تجنيها الفتيات من الفرص التعليمية الممنوحة، والظروف غير الآمنة أو غير المناسبة التي تثني الفتيات عن المشاركة، إلى تعزيز التمييز بين الجنسين. والتمييز ضد الأطفال المعوقين منتشر أيضاً في الكثير من النظم التعليمية الرسمية وفي عدد كبير جداً من الأوساط التعليمية غير النظامية بما في ذلك في البيت</w:t>
      </w:r>
      <w:r>
        <w:rPr>
          <w:rFonts w:hint="cs"/>
          <w:vertAlign w:val="superscript"/>
          <w:rtl/>
        </w:rPr>
        <w:t>(4)</w:t>
      </w:r>
      <w:r>
        <w:rPr>
          <w:rFonts w:hint="cs"/>
          <w:rtl/>
        </w:rPr>
        <w:t>.</w:t>
      </w:r>
      <w:r>
        <w:rPr>
          <w:rtl/>
        </w:rPr>
        <w:br/>
      </w:r>
      <w:r>
        <w:rPr>
          <w:rFonts w:hint="cs"/>
          <w:rtl/>
        </w:rPr>
        <w:t>ويتعرض الأطفال المصابون بفيروس نقص المناعة البشرية/متلازمة نقص المناعة المكتسب أيضاً لتمييز كبير في الوسطين معاً</w:t>
      </w:r>
      <w:r>
        <w:rPr>
          <w:rFonts w:hint="cs"/>
          <w:vertAlign w:val="superscript"/>
          <w:rtl/>
        </w:rPr>
        <w:t>(5)</w:t>
      </w:r>
      <w:r>
        <w:rPr>
          <w:rFonts w:hint="cs"/>
          <w:rtl/>
        </w:rPr>
        <w:t>. وتتناقض جميع هذه الممارسات التمييزية تناقضاً مباشراً مع شروط المادة 29(1)(أ) المتمثلة في أن يكون التعليم موجهاً إلى تنمية شخصية الطفل ومواهبه وقدراته العقلية والبدنية إلى أقصى إمكاناتها.</w:t>
      </w:r>
    </w:p>
    <w:p w:rsidR="00000000" w:rsidRDefault="00000000">
      <w:pPr>
        <w:jc w:val="both"/>
        <w:rPr>
          <w:rFonts w:hint="cs"/>
          <w:rtl/>
        </w:rPr>
      </w:pPr>
      <w:r>
        <w:rPr>
          <w:rFonts w:hint="cs"/>
          <w:rtl/>
        </w:rPr>
        <w:t>11-</w:t>
      </w:r>
      <w:r>
        <w:rPr>
          <w:rFonts w:hint="cs"/>
          <w:rtl/>
        </w:rPr>
        <w:tab/>
        <w:t>وتود اللجنة أيضاً أن تبرز الروابط بين المادة 29(1) والكفاح ضد العنصرية والتمييز العنصري وكره الأجانب وما يتصل بذلك من تعصب. وتنتشر العنصرية وما يتصل بها من ظواهر حيثما يوجد الجهل والمخاوف غير المبررة من الفروق العرقية والإثنية والدينية والثقافية واللغوية أو أشكال أخرى من الفروق، أو استغلال الأفكار المسبقة أو تعليم أو نشر القيم المشوهة. وتتمثل إحدى الوسائل الموثوقة والدائمة لاستئصال جميع هذه النقائص في توفير تعليم يعزز التفاهم وتقدير القيم المنصوص عليها في المادة 29(أ)، بما في ذلك احترام الفروق، ويتصدى لجميع مظاهر التمييز والإجحاف. لهذا ينبغي أن يحظى التعليم بأعلى الأولويات في جميع الحملات الرامية إلى مكافحة آفات العنصرية وما يتصل بها من ظواهر. ويجب أيضاً التشديد على أهمية التعليم المتعلق بالعنصرية كما مورست في التاريخ، وخاصة كما تتجلى أو تجلت في بعض المجتمعات. وليس السلوك العنصري سلوك ينفرد به "الآخرون". لهذا من الأهمية بمكان التركيز على مجتمع الطفل الخاص عند تعليم حقوق الإنسان والطفل ومبدأ عدم التمييز. ويمكن أن يساهم هذا التعليم مساهمة فعّالة في منع واستئصال العنصرية والتمييز الإثني وكره الأجانب وما يتصل بذلك من تعصب.</w:t>
      </w:r>
    </w:p>
    <w:p w:rsidR="00000000" w:rsidRDefault="00000000">
      <w:pPr>
        <w:jc w:val="both"/>
        <w:rPr>
          <w:rFonts w:hint="cs"/>
          <w:rtl/>
        </w:rPr>
      </w:pPr>
      <w:r>
        <w:rPr>
          <w:rFonts w:hint="cs"/>
          <w:rtl/>
        </w:rPr>
        <w:t>12-</w:t>
      </w:r>
      <w:r>
        <w:rPr>
          <w:rFonts w:hint="cs"/>
          <w:rtl/>
        </w:rPr>
        <w:tab/>
        <w:t>رابعاً، تشدد المادة 29(1) على اتباع نهج شامل إزاء التعليم يضمن إتاحة فرص تعليمية تعكس توازناً مناسباً بين تعزيز جوانب التعليم البدنية والعقلية والروحية والعاطفية للتعليم والأبعاد الفكرية والاجتماعية والعملية والأبعاد المتصلة بالطفولة والحياة كلها. والهدف العام من التعليم هو تعزيز قدرة الطفل على المشاركة مشاركة تامة وبمسؤولية في مجتمع حر وفرصة قيامه بذلك. وينبغي التشديد على أن هذا النوع من التعليم الذي يركز بالدرجة الأولى على تراكم المعارف، مشجعاً المنافسة ومؤدياً إلى فرض عبء عمل مفرط على الطفل، يمكن أن يعوق بصورة خطيرة نموه المتسق إلى أقصى إمكانات قدراته ومواهبه. وينبغي أن يكون التعليم مناسباً للطفل وملهماً ومشجعاً له. وينبغي أن توفر المدارس جواً إنسانياً وتسمح للطفل بالنمو بحسب التطور التدريجي لقدراته.</w:t>
      </w:r>
    </w:p>
    <w:p w:rsidR="00000000" w:rsidRDefault="00000000">
      <w:pPr>
        <w:jc w:val="both"/>
        <w:rPr>
          <w:rFonts w:hint="cs"/>
          <w:rtl/>
        </w:rPr>
      </w:pPr>
      <w:r>
        <w:rPr>
          <w:rFonts w:hint="cs"/>
          <w:rtl/>
        </w:rPr>
        <w:t>13-</w:t>
      </w:r>
      <w:r>
        <w:rPr>
          <w:rFonts w:hint="cs"/>
          <w:rtl/>
        </w:rPr>
        <w:tab/>
        <w:t xml:space="preserve">خامساً، تركز على ضرورة تصميم التعليم وتوفيره على نحو يروج ويعزز، بطريقة متكاملة وشاملة، مجموعة القيم الأخلاقية المجسدة في الاتفاقية، بما في ذلك التعليم من أجل السلام والتسامح واحترام البيئة الطبيعية. وقد يتطلب ذلك نهجاً متعدد الاختصاصات. إن ترويج وتعزيز قيم المادة 29(1) أمر ضروري ليس فقط بسبب المشاكل الموجودة في أماكن أخرى ويجب أيضاً التركيز على المشاكل داخل مجتمع الطفل الخاص. وينبغي، في هذا الصدد، أن يتم التعليم داخل الأسرة، على أن تقوم المدارس والمجتمعات أيضاً بدور هام. ولنشر احترام البيئة الطبيعية مثلاً يجب أن يربط التعليم قضايا البيئـة والتنمية المستدامة بالقضايـا الاجتماعية - الاقتصادية والاجتماعية - الثقافية والديموغرافية. وبالمثل، ينبغي أن يتعلم الأطفال احترام البيئة الطبيعية في البيت وفي المدرسة وفي المجتمع كما ينبغي أن يشمل هذا التعليم المشاكل الوطنية والدولية على حد سواء وأن يشارك الأطفال مشاركة نشطة في المشاريع المحلية أو الإقليمية أو العالمية. </w:t>
      </w:r>
    </w:p>
    <w:p w:rsidR="00000000" w:rsidRDefault="00000000">
      <w:pPr>
        <w:jc w:val="both"/>
        <w:rPr>
          <w:rFonts w:hint="cs"/>
          <w:rtl/>
        </w:rPr>
      </w:pPr>
      <w:r>
        <w:rPr>
          <w:rFonts w:hint="cs"/>
          <w:rtl/>
        </w:rPr>
        <w:t>14-</w:t>
      </w:r>
      <w:r>
        <w:rPr>
          <w:rFonts w:hint="cs"/>
          <w:rtl/>
        </w:rPr>
        <w:tab/>
        <w:t>سادساً، تعكس الدور الحيوي للفرص التعليمية المناسبة في تعزيز جميع حقوق الإنسان الأخرى وتفهم عدم قابليتها للتجزئة. ويمكن أن تعاق أو تقوض قدرة الطفل على المشاركة مشاركة تامة وبمسؤولية في مجتمع حر ليس فقط بحرمانه صراحة من التعليم بل وكذلك بعدم تيسير تفهم القيم المعترف به في هذه المادة.</w:t>
      </w:r>
    </w:p>
    <w:p w:rsidR="00000000" w:rsidRDefault="00000000">
      <w:pPr>
        <w:jc w:val="both"/>
        <w:rPr>
          <w:rFonts w:hint="cs"/>
          <w:u w:val="single"/>
          <w:rtl/>
        </w:rPr>
      </w:pPr>
      <w:r>
        <w:rPr>
          <w:rFonts w:hint="cs"/>
          <w:u w:val="single"/>
          <w:rtl/>
        </w:rPr>
        <w:t>تعليم حقوق الإنسان</w:t>
      </w:r>
    </w:p>
    <w:p w:rsidR="00000000" w:rsidRDefault="00000000">
      <w:pPr>
        <w:jc w:val="both"/>
        <w:rPr>
          <w:rFonts w:hint="cs"/>
          <w:rtl/>
        </w:rPr>
      </w:pPr>
      <w:r>
        <w:rPr>
          <w:rFonts w:hint="cs"/>
          <w:rtl/>
        </w:rPr>
        <w:t>15-</w:t>
      </w:r>
      <w:r>
        <w:rPr>
          <w:rFonts w:hint="cs"/>
          <w:rtl/>
        </w:rPr>
        <w:tab/>
        <w:t>يمكن أيضاً اعتبار المادة 29(1) حجر أساس مختلف برامج تعليم حقوق الإنسان التي دعا إلى وضعها المؤتمر العالمي لحقوق الإنسان الذي عقد في فيينا في عام 1993 وروجت لها الوكالات الدولية. غير أن حقوق الطفل لم تحظَ دائماً بالمكانة البارزة التي تحتاج إليها في سياق هذه الأنشطة. وينبغي أن يوفّر تعليم حقوق الإنسان معلومات عن مضمون معاهدات حقوق الإنسان. غير أن من اللازم أيضاً أن يتعلم الأطفال حقوق الإنسان بمشاهدة معاييرها تطبق على أرض الواقع سواء في البيت أو المدرسة أو داخـل المجتمع. وينبغي أن يكون تعليم حقـوق الإنسان عملية شاملة تستمر مدى الحياة وتبدأ بتجلي قيم هذه الحقـوق في الحياة اليومية للطفل وتجاربه</w:t>
      </w:r>
      <w:r>
        <w:rPr>
          <w:rFonts w:hint="cs"/>
          <w:vertAlign w:val="superscript"/>
          <w:rtl/>
        </w:rPr>
        <w:t>(6)</w:t>
      </w:r>
      <w:r>
        <w:rPr>
          <w:rFonts w:hint="cs"/>
          <w:rtl/>
        </w:rPr>
        <w:t>.</w:t>
      </w:r>
    </w:p>
    <w:p w:rsidR="00000000" w:rsidRDefault="00000000">
      <w:pPr>
        <w:jc w:val="both"/>
        <w:rPr>
          <w:rFonts w:hint="cs"/>
          <w:rtl/>
        </w:rPr>
      </w:pPr>
      <w:r>
        <w:rPr>
          <w:rFonts w:hint="cs"/>
          <w:rtl/>
        </w:rPr>
        <w:t>16-</w:t>
      </w:r>
      <w:r>
        <w:rPr>
          <w:rFonts w:hint="cs"/>
          <w:rtl/>
        </w:rPr>
        <w:tab/>
        <w:t>وتعتبر القيم المجسدة في المادة 29(1) مفيدة للأطفال الذين يعيشون في المناطق التي يسودها السلم لكنها أهم بكثير بالنسبة للأطفال الذين يعيشون في حالات النزاع أو الطوارئ. وكما لوحظ في إطار عمل داكار، من الأهمية بمكان، في سياق نظم التعليم المتضررة بنزاعات أو كوارث طبيعية أو عدم الاستقرار، أن تنفذ البرامج التعليمية بطريقة تعزز التفاهم والسلم والتسامح وتساعد على منع العنف والنزاع</w:t>
      </w:r>
      <w:r>
        <w:rPr>
          <w:rFonts w:hint="cs"/>
          <w:vertAlign w:val="superscript"/>
          <w:rtl/>
        </w:rPr>
        <w:t>(7)</w:t>
      </w:r>
      <w:r>
        <w:rPr>
          <w:rFonts w:hint="cs"/>
          <w:rtl/>
        </w:rPr>
        <w:t>. ويشكل التعليم المتعلق بالقانون الإنساني الدولي أيضاً بعداً هاماً، ولكنه مهملاً في معظم الأحيان، من أبعاد الجهود الرامية إلى إعمال المادة 29(1).</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u w:val="single"/>
          <w:rtl/>
        </w:rPr>
      </w:pPr>
      <w:r>
        <w:rPr>
          <w:rFonts w:hint="cs"/>
          <w:u w:val="single"/>
          <w:rtl/>
        </w:rPr>
        <w:t>التنفيذ والرصد والاستعراض</w:t>
      </w:r>
    </w:p>
    <w:p w:rsidR="00000000" w:rsidRDefault="00000000">
      <w:pPr>
        <w:jc w:val="both"/>
        <w:rPr>
          <w:rFonts w:hint="cs"/>
          <w:rtl/>
        </w:rPr>
      </w:pPr>
      <w:r>
        <w:rPr>
          <w:rFonts w:hint="cs"/>
          <w:rtl/>
        </w:rPr>
        <w:t>17-</w:t>
      </w:r>
      <w:r>
        <w:rPr>
          <w:rFonts w:hint="cs"/>
          <w:rtl/>
        </w:rPr>
        <w:tab/>
        <w:t xml:space="preserve">إن الأهداف والقيم الواردة في هذه المادة مذكورة بعبارات عامة جداً ويمكن أن تكون آثارها متنوعة للغاية. ويبدو أن ذلك دفع الكثير من الدول إلى افتراض أن من غير اللازم، بل ومن غير المناسب، ضمان انعكاس المبادئ ذات الصلة في التشريع أو في التوجيهات الإدارية. وليس هناك ما يبرر هذا الافتراض. وإذا لم يكن هناك أي إقرار رسمي محدد في القانون الوطني أو السياسة الوطنية للمبادئ ذات الصلة فمن المستبعد أن تستخدم في الحاضر أو المستقبل في إلهام السياسات التعليمية حقاً. لهذا تدعو اللجنة جميع الدول الأطراف إلى اتخاذ التدابير اللازمة لإدماج هذه المبادئ رسمياً في سياساتها التعليمية وتشريعها على جميع المستويات. </w:t>
      </w:r>
    </w:p>
    <w:p w:rsidR="00000000" w:rsidRDefault="00000000">
      <w:pPr>
        <w:jc w:val="both"/>
        <w:rPr>
          <w:rFonts w:hint="cs"/>
          <w:rtl/>
        </w:rPr>
      </w:pPr>
      <w:r>
        <w:rPr>
          <w:rFonts w:hint="cs"/>
          <w:rtl/>
        </w:rPr>
        <w:t>18-</w:t>
      </w:r>
      <w:r>
        <w:rPr>
          <w:rFonts w:hint="cs"/>
          <w:rtl/>
        </w:rPr>
        <w:tab/>
        <w:t>ويتطلب الإعمال الفعلي للمادة 29(1) إعادة صياغة المناهج الدراسية بصورة جذرية لتضمينها مختلف جوانب التعليم وإعادة النظر بانتظام في الكتب المدرسية وغيرها من المواد والتكنولوجيات التعليمية فضلاً عن السياسات المدرسية. وواضح أن النهج التي تكتفي بمحاولة إضافة أهداف هذه المادة وقيمها إلى النظام القائم من غير تشجيع أي تغييرات أعمق نهج غير مناسبة. ولا يمكن إدماج القيم ذات الصلة إدماجاً فعّالاً في منهاج دراسي أوسع نطاقاً، ومن ثم جعلها متماشية معه ما لم يقتنع الأشخاص الذين يتوقع منهم أن ينقلوا ويشجعوا ويعلموا ويمثلوا هذه القيم قدر الإمكان، أنفسهم بأهميتها. لهذا تعتبر برامج التدريب قبل مباشرة الخدمة، وأثناء الخدمة، التي تروج للمبادئ الواردة في المادة 29(1)، أساسية بالنسبة للمدرسين ومديري التعليم وغيرهم من المعنيين بتعليم الطفل. ومن الأهمية بمكان أيضاً أن تعكس طرق التعليم المتبعة في المدارس روح اتفاقية حقوق الطفل وفلسفتها التعليمية وأهداف التعليم المبينة في المادة 29(1).</w:t>
      </w:r>
    </w:p>
    <w:p w:rsidR="00000000" w:rsidRDefault="00000000">
      <w:pPr>
        <w:jc w:val="both"/>
        <w:rPr>
          <w:rFonts w:hint="cs"/>
          <w:rtl/>
        </w:rPr>
      </w:pPr>
      <w:r>
        <w:rPr>
          <w:rFonts w:hint="cs"/>
          <w:rtl/>
        </w:rPr>
        <w:t>19-</w:t>
      </w:r>
      <w:r>
        <w:rPr>
          <w:rFonts w:hint="cs"/>
          <w:rtl/>
        </w:rPr>
        <w:tab/>
        <w:t>وبالإضافة إلى ذلك، يجب أن تعكس البيئة المدرسية نفسها الحرية وروح التفاهم والسلم والتسامح والمساواة بين الجنسين والصداقة بين جميع الشعوب والمجموعات الإثنية والقومية والدينية والأشخاص المنتمين إلى السكان الأصليين، طبقاً لما تدعو إليه المادة 29(1)(ب) و(د). وليست المدرسة التي تسمح بالاضطهاد أو غيره من ممارسات العنف أو النبذ مدرسة تستوفي شروط المادة 29(1). وكثيراً ما تستخدم عبارة "تعليم حقوق الإنسان" بطريقة تغالي في تبسيط معانيها الضمنية. إن ما يحتاج إليه في ميدان التعليم النظامي لحقوق الإنسان هو نشر قيم وسياسات تؤدي إلى تعزيز حقوق الإنسان ليس فقط في المدارس والجامعات بل وكذلك في المجتمع بصورة أعم.</w:t>
      </w:r>
    </w:p>
    <w:p w:rsidR="00000000" w:rsidRDefault="00000000">
      <w:pPr>
        <w:jc w:val="both"/>
        <w:rPr>
          <w:rFonts w:hint="cs"/>
          <w:rtl/>
        </w:rPr>
      </w:pPr>
      <w:r>
        <w:rPr>
          <w:rFonts w:hint="cs"/>
          <w:rtl/>
        </w:rPr>
        <w:t>20-</w:t>
      </w:r>
      <w:r>
        <w:rPr>
          <w:rFonts w:hint="cs"/>
          <w:rtl/>
        </w:rPr>
        <w:tab/>
        <w:t>وعموماً، لن يكون لمختلف المبادرات المطلوب من الدول الأطراف اتخاذها عملاً بالتزاماتها بموجب الاتفاقية أسس كافية إذا لم ينشر على نطاق واسع نص الاتفاقية نفسها طبقاً لأحكام المادة 42. وسييسر ذلك أيضاً دور الأطفال كمروجين لحقوق الطفل ومدافعين عنها في حياتهم اليومية. ولتسهيل نشر النص على نطاق واسع ينبغي للدول الأطراف أن تقدم تقريراً عن التدابير التي اتخذتها لتحقيق هذا الهدف كما ينبغي للمفوضية السامية لحقوق الإنسان أن تضع قاعدة بيانات شاملة للاتفاقية باللغات التي صدرت بها.</w:t>
      </w:r>
    </w:p>
    <w:p w:rsidR="00000000" w:rsidRDefault="00000000">
      <w:pPr>
        <w:jc w:val="both"/>
        <w:rPr>
          <w:rFonts w:hint="cs"/>
          <w:rtl/>
        </w:rPr>
      </w:pPr>
      <w:r>
        <w:rPr>
          <w:rFonts w:hint="cs"/>
          <w:rtl/>
        </w:rPr>
        <w:t>21-</w:t>
      </w:r>
      <w:r>
        <w:rPr>
          <w:rFonts w:hint="cs"/>
          <w:rtl/>
        </w:rPr>
        <w:tab/>
        <w:t>ولوسائل الإعلام بالمعنى العام لهذه العبارة دور رئيسي تقوم به سواء في ترويج القيم والأهداف المنصوص عليها في المادة 29(1) أو في ضمان عدم إحباط جهودها للجهود التي يبذلها الآخرون لتحقيق هذه الأهداف. والحكومات ملزمة بموجب المادة 17(أ) من الاتفاقية باتخاذ كافة الخطوات المناسبة ل‍ "تشجيع وسائط الإعلام على نشر المعلومات والمواد ذات المنفعة الاجتماعية والثقافية للطفل"</w:t>
      </w:r>
      <w:r>
        <w:rPr>
          <w:rFonts w:hint="cs"/>
          <w:vertAlign w:val="superscript"/>
          <w:rtl/>
        </w:rPr>
        <w:t>(8)</w:t>
      </w:r>
      <w:r>
        <w:rPr>
          <w:rFonts w:hint="cs"/>
          <w:rtl/>
        </w:rPr>
        <w:t>.</w:t>
      </w:r>
    </w:p>
    <w:p w:rsidR="00000000" w:rsidRDefault="00000000">
      <w:pPr>
        <w:jc w:val="both"/>
        <w:rPr>
          <w:rFonts w:hint="cs"/>
          <w:rtl/>
        </w:rPr>
      </w:pPr>
      <w:r>
        <w:rPr>
          <w:rFonts w:hint="cs"/>
          <w:rtl/>
        </w:rPr>
        <w:t>22-</w:t>
      </w:r>
      <w:r>
        <w:rPr>
          <w:rFonts w:hint="cs"/>
          <w:rtl/>
        </w:rPr>
        <w:tab/>
        <w:t>وتدعو اللجنة الدول الأطراف إلى إيلاء المزيد من الاهتمام للتعليم بوصفه عملية دينامية ولاستحداث الوسائل المناسبة لقياس التغييرات التي تحدث مع مرور الوقت فيما يخص المادة 29(1). ولكل طفل الحق في الحصول على تعليم جيد، الأمر الذي يتطلب بدوره تركيزاً على نوعية البيئة التعليمية وعمليتي التعليم والتعلم وموادهما ونتائج التعليم. وتشير اللجنة إلى أهمية الدراسات الاستقصائية التي يمكن أن توفّر فرصة لتقييم التقدم المحرز استناداً إلى النظر في آراء جميع الجهات الفاعلة التي تشارك في هذه العملية، بما في ذلك الأطفال الموجودون حالياً في المدرسة والذين غادروها والمعلمون وقادة الشباب والآباء ومديرو التعليم والمشرفون عليه. وفي هذا الصدد، تشدد اللجنة على دور الرصد على الصعيد الوطني الرامي إلى إتاحة الفرصة للأطفال والآباء والمعلمين للمشاركة في القرارات المتصلة بالتعليم.</w:t>
      </w:r>
    </w:p>
    <w:p w:rsidR="00000000" w:rsidRDefault="00000000">
      <w:pPr>
        <w:jc w:val="both"/>
        <w:rPr>
          <w:rFonts w:hint="cs"/>
          <w:rtl/>
        </w:rPr>
      </w:pPr>
      <w:r>
        <w:rPr>
          <w:rFonts w:hint="cs"/>
          <w:rtl/>
        </w:rPr>
        <w:t>23-</w:t>
      </w:r>
      <w:r>
        <w:rPr>
          <w:rFonts w:hint="cs"/>
          <w:rtl/>
        </w:rPr>
        <w:tab/>
        <w:t xml:space="preserve">وتدعو اللجنة الدول الأطراف إلى وضع خطة عمل وطنية شاملة لتشجيع ورصد تحقيق الأهداف الواردة في المادة 29(1). وفي حالة رسم هذه الخطة في السياق الأوسع لخطة عمل وطنية بشأن الطفل أو خطة عمل وطنية بشأن حقوق الإنسان أو استراتيجية وطنية لتعليم حقوق الإنسان، يجب على الحكومة أن تضمن معالجة هذه الخطة مع ذلك لجميع القضايا التي تتناولها المادة 29(1) وذلك من منظور حقوق الطفل. وتحث اللجنة هيئات الأمم المتحدة وغيرها من الهيئات الدولية المعنية بالسياسة التعليمية وتعليم حقوق الإنسان على السعي إلى تحسين التنسيق من أجل زيادة فعالية تنفيذ المادة 29(1). </w:t>
      </w:r>
    </w:p>
    <w:p w:rsidR="00000000" w:rsidRDefault="00000000">
      <w:pPr>
        <w:jc w:val="both"/>
        <w:rPr>
          <w:rFonts w:hint="cs"/>
          <w:rtl/>
        </w:rPr>
      </w:pPr>
      <w:r>
        <w:rPr>
          <w:rFonts w:hint="cs"/>
          <w:rtl/>
        </w:rPr>
        <w:t>24-</w:t>
      </w:r>
      <w:r>
        <w:rPr>
          <w:rFonts w:hint="cs"/>
          <w:rtl/>
        </w:rPr>
        <w:tab/>
        <w:t xml:space="preserve">وينبغي أن يصبح تصميم وتنفيذ البرامج لترويج القيم الواردة في هذه المادة جزءاً من استجابية حكومات نموذجية لمعظم الحالات التي وقعت فيها انتهاكات متعاقبة لحقوق الإنسان. وبذلك يعقل مثلاً، حيثما تقع أحداث هامة مرتبطة بالعنصرية والتمييز العنصري وكره الأجانب وما يتصل بذلك من تعصب يشارك فيها أشخاص دون 18 عاماً، أن يفترض أن الحكومة لم تقم بكل ما هو مطلوب منها لترويج القيم المنصوص عليها في الاتفاقية عموماً وفي المادة 29(1) خصوصاً. وينبغي بالتالي اعتماد تدابير إضافية مناسبة بموجب المادة 29(1) تشمل البحث المتعلق بالتقنيات التعليمية التي قد يكون لها أثر إيجابي على إعمال الحقوق المعترف بها في الاتفاقية واستخدام هذه التقنيات. </w:t>
      </w:r>
    </w:p>
    <w:p w:rsidR="00000000" w:rsidRDefault="00000000">
      <w:pPr>
        <w:jc w:val="both"/>
        <w:rPr>
          <w:rFonts w:hint="cs"/>
          <w:rtl/>
        </w:rPr>
      </w:pPr>
      <w:r>
        <w:rPr>
          <w:rFonts w:hint="cs"/>
          <w:rtl/>
        </w:rPr>
        <w:t>25-</w:t>
      </w:r>
      <w:r>
        <w:rPr>
          <w:rFonts w:hint="cs"/>
          <w:rtl/>
        </w:rPr>
        <w:tab/>
        <w:t>ينبغي للدول الأطراف أيضاً أن تنظر في تحديد إجراء استعراضي للرد على الشكاوى من عدم تماشي السياسات القائمة أو الممارسات المرعية مع المادة 29(1). ولا ينبغي أن تستتبع هذه الإجراءات الاستعراضية بالضرورة إنشاء هيئات قانونية أو إدارية أو تعليمية جديدة. ويمكن أيضاً أن يعهد بها إلى مؤسسات حقوق الإنسان الوطنية أو الهيئات الإدارية القائمة. وتطلب اللجنة من كل دولة طرف القيام عند الإبلاغ عن هذه المادة بتحديد الإمكانيات الحقيقية الموجودة على الصعيد الوطني أو المحلي لإجراء استعراض للنهج الموجودة التي يدعى أنها غير متماشية مع الاتفاقية. وينبغي تقديم معلومات عن الطريقة التي يمكن أن تتم بها هذه الاستعراضات وعن عدد الإجراءات الاستعراضية التي تم الاضطلاع بها أثناء الفترة المشمولة بالتقرير.</w:t>
      </w:r>
    </w:p>
    <w:p w:rsidR="00000000" w:rsidRDefault="00000000">
      <w:pPr>
        <w:jc w:val="both"/>
        <w:rPr>
          <w:rFonts w:hint="cs"/>
          <w:rtl/>
        </w:rPr>
      </w:pPr>
      <w:r>
        <w:rPr>
          <w:rFonts w:hint="cs"/>
          <w:rtl/>
        </w:rPr>
        <w:t>26-</w:t>
      </w:r>
      <w:r>
        <w:rPr>
          <w:rFonts w:hint="cs"/>
          <w:rtl/>
        </w:rPr>
        <w:tab/>
        <w:t xml:space="preserve">ولتركيز عملية بحث تقارير الدول الأطراف المتعلقة بالمادة 29(1) تركيزاً أفضل، وعملاً بما تنص عليه المادة 44 من أن تبين التقارير العوامل والصعوبات، تطلب اللجنة من كل دولة طرف أن تقدم بياناً مفصلاً في تقاريرها الدورية لما تعتبره أهم أولوية في نطاق اختصاصها تستدعي جهوداً أكثر تضافراً لتعزيز القيم التي تعكسها هذه المادة، وتبين برنامج الأنشطة التي تقترح الاضطلاع بها خلال السنوات الخمس التالية لمعالجة المشاكل المحددة. </w:t>
      </w:r>
    </w:p>
    <w:p w:rsidR="00000000" w:rsidRDefault="00000000">
      <w:pPr>
        <w:jc w:val="both"/>
        <w:rPr>
          <w:rFonts w:hint="cs"/>
          <w:rtl/>
        </w:rPr>
      </w:pPr>
      <w:r>
        <w:rPr>
          <w:rFonts w:hint="cs"/>
          <w:rtl/>
        </w:rPr>
        <w:t>27-</w:t>
      </w:r>
      <w:r>
        <w:rPr>
          <w:rFonts w:hint="cs"/>
          <w:rtl/>
        </w:rPr>
        <w:tab/>
        <w:t>وتطلب اللجنة إلى هيئات الأمم المتحدة ووكالاتها وغيرها من الهيئات المختصة التي أشير إليها في المادة 45 من الاتفاقية أن تساهم مساهمة أكثر فعالية وانتظاماً في أعمال اللجنة المتصلة بالمادة 29(1).</w:t>
      </w:r>
    </w:p>
    <w:p w:rsidR="00000000" w:rsidRDefault="00000000">
      <w:pPr>
        <w:jc w:val="both"/>
        <w:rPr>
          <w:rFonts w:hint="cs"/>
          <w:rtl/>
        </w:rPr>
      </w:pPr>
      <w:r>
        <w:rPr>
          <w:rFonts w:hint="cs"/>
          <w:rtl/>
        </w:rPr>
        <w:t>28-</w:t>
      </w:r>
      <w:r>
        <w:rPr>
          <w:rFonts w:hint="cs"/>
          <w:rtl/>
        </w:rPr>
        <w:tab/>
        <w:t>سيتطلب تنفيذ خطط العمل الوطنية الشاملة لتعزيز الامتثال للمادة 29(1) موارد بشرية ومالية ينبغي إتاحتها إلى أقصى حد ممكن وفقاً للمادة 4. لهذا، ترى اللجنة أن القيود المتصلة بالموارد قيود لا يمكن أن تبرر عدم قيام دولة طرف باتخاذ أي من التدابير المطلوبة أو ما يكفي منها. وفي هذا السياق، وفي ضوء التزامات الدول الطرف المتصلة بتعزيز وتشجيع التعاون الدولي بصورة عامة (المادتان 4 و45 من الاتفاقية) وفيما يخص التعليم (المادة 28(3))، تحث اللجنة الدول الأطراف على إتاحة التعاون الإنمائي لضمان تصميم برامجها بطريقة تأخذ في الاعتبار التام المبادئ الواردة في المادة 29(1).</w:t>
      </w:r>
    </w:p>
    <w:p w:rsidR="00000000" w:rsidRDefault="00000000">
      <w:pPr>
        <w:jc w:val="center"/>
        <w:rPr>
          <w:rFonts w:hint="cs"/>
          <w:u w:val="single"/>
          <w:rtl/>
        </w:rPr>
      </w:pPr>
      <w:r>
        <w:rPr>
          <w:rFonts w:hint="cs"/>
          <w:u w:val="single"/>
          <w:rtl/>
        </w:rPr>
        <w:t>الحواشي</w:t>
      </w:r>
    </w:p>
    <w:p w:rsidR="00000000" w:rsidRDefault="00000000">
      <w:pPr>
        <w:jc w:val="both"/>
        <w:rPr>
          <w:rFonts w:hint="cs"/>
          <w:rtl/>
        </w:rPr>
      </w:pPr>
      <w:r>
        <w:rPr>
          <w:rFonts w:hint="cs"/>
          <w:rtl/>
        </w:rPr>
        <w:tab/>
        <w:t>(1)</w:t>
      </w:r>
      <w:r>
        <w:rPr>
          <w:rFonts w:hint="cs"/>
          <w:rtl/>
        </w:rPr>
        <w:tab/>
        <w:t>تحيط اللجنة علماً، في هذا الصدد، بالتعليق العام رقم 13(1999) للجنة الحقوق الاقتصادية والاجتماعية والثقافية بشأن الحق في التعليم، الذي يتناول جملة أمور منها أهداف التعليم بموجب المادة 13(1) من العهد الدولي الخاص بالحقوق الاقتصادية والاجتماعية والثقافية. وتلفت اللجنة الانتباه أيضاً إلى المبادئ التوجيهية العامة المتعلقة بشكل ومضمون التقارير الدورية التي يتعين على الدول الأطراف أن تقدمها بموجب الفقرة 1(ب) من المادة 44 من الاتفاقية (</w:t>
      </w:r>
      <w:r>
        <w:t>CRC/C/58</w:t>
      </w:r>
      <w:r>
        <w:rPr>
          <w:rFonts w:hint="cs"/>
          <w:rtl/>
        </w:rPr>
        <w:t>) الفقرات 112-116.</w:t>
      </w:r>
    </w:p>
    <w:p w:rsidR="00000000" w:rsidRDefault="00000000">
      <w:pPr>
        <w:jc w:val="both"/>
        <w:rPr>
          <w:rFonts w:hint="cs"/>
          <w:rtl/>
        </w:rPr>
      </w:pPr>
      <w:r>
        <w:rPr>
          <w:rFonts w:hint="cs"/>
          <w:rtl/>
        </w:rPr>
        <w:tab/>
        <w:t>(2)</w:t>
      </w:r>
      <w:r>
        <w:rPr>
          <w:rFonts w:hint="cs"/>
          <w:rtl/>
        </w:rPr>
        <w:tab/>
        <w:t xml:space="preserve">اليونسكو </w:t>
      </w:r>
      <w:r>
        <w:t>"</w:t>
      </w:r>
      <w:r>
        <w:rPr>
          <w:i/>
          <w:iCs/>
        </w:rPr>
        <w:t>Learning: The Treasure Within"</w:t>
      </w:r>
      <w:r>
        <w:rPr>
          <w:rFonts w:hint="cs"/>
          <w:rtl/>
        </w:rPr>
        <w:t xml:space="preserve"> تقرير اللجنة الدولية المعنية بالتربية للقرن الحادي والعشرين (1996) الصفحات 16-18.</w:t>
      </w:r>
    </w:p>
    <w:p w:rsidR="00000000" w:rsidRDefault="00000000">
      <w:pPr>
        <w:jc w:val="center"/>
        <w:rPr>
          <w:rFonts w:hint="cs"/>
          <w:rtl/>
        </w:rPr>
      </w:pPr>
      <w:r>
        <w:rPr>
          <w:rFonts w:hint="cs"/>
          <w:u w:val="single"/>
          <w:rtl/>
        </w:rPr>
        <w:t>الحواشي</w:t>
      </w:r>
      <w:r>
        <w:rPr>
          <w:rFonts w:hint="cs"/>
          <w:rtl/>
        </w:rPr>
        <w:t xml:space="preserve"> (تابع)</w:t>
      </w:r>
    </w:p>
    <w:p w:rsidR="00000000" w:rsidRDefault="00000000">
      <w:pPr>
        <w:jc w:val="both"/>
        <w:rPr>
          <w:rtl/>
        </w:rPr>
      </w:pPr>
      <w:r>
        <w:rPr>
          <w:rFonts w:hint="cs"/>
          <w:rtl/>
        </w:rPr>
        <w:tab/>
        <w:t>(3)</w:t>
      </w:r>
      <w:r>
        <w:rPr>
          <w:rFonts w:hint="cs"/>
          <w:rtl/>
        </w:rPr>
        <w:tab/>
        <w:t xml:space="preserve">اليونسكو </w:t>
      </w:r>
      <w:r>
        <w:t>The Salamanca Statement and Framework for Action on Special Needs Education, 1994, p. viii</w:t>
      </w:r>
      <w:r>
        <w:rPr>
          <w:rFonts w:hint="cs"/>
          <w:rtl/>
        </w:rPr>
        <w:t>.</w:t>
      </w:r>
    </w:p>
    <w:p w:rsidR="00000000" w:rsidRDefault="00000000">
      <w:pPr>
        <w:jc w:val="both"/>
        <w:rPr>
          <w:rFonts w:hint="cs"/>
          <w:rtl/>
        </w:rPr>
      </w:pPr>
      <w:r>
        <w:rPr>
          <w:rFonts w:hint="cs"/>
          <w:rtl/>
        </w:rPr>
        <w:tab/>
        <w:t>(4)</w:t>
      </w:r>
      <w:r>
        <w:rPr>
          <w:rFonts w:hint="cs"/>
          <w:rtl/>
        </w:rPr>
        <w:tab/>
        <w:t>انظر التعليق العام رقم 5(1994) للجنة الحقوق الاقتصادية والاجتماعية والثقافية بشأن المعوقين.</w:t>
      </w:r>
    </w:p>
    <w:p w:rsidR="00000000" w:rsidRDefault="00000000">
      <w:pPr>
        <w:jc w:val="both"/>
        <w:rPr>
          <w:rFonts w:hint="cs"/>
          <w:rtl/>
        </w:rPr>
      </w:pPr>
      <w:r>
        <w:rPr>
          <w:rFonts w:hint="cs"/>
          <w:rtl/>
        </w:rPr>
        <w:tab/>
        <w:t>(5)</w:t>
      </w:r>
      <w:r>
        <w:rPr>
          <w:rFonts w:hint="cs"/>
          <w:rtl/>
        </w:rPr>
        <w:tab/>
        <w:t>انظر التوصيات التي اعتمدتها لجنة حقوق الطفل بعد يوم المناقشة العامة الذي نظمته في عام 1998 بشأن الأطفال الذين يعيشون في عالم يعاني من فيروس نقص المناعة البشرية/متلازمة نقص المناعة المكتسب (</w:t>
      </w:r>
      <w:r>
        <w:t>A/55/41</w:t>
      </w:r>
      <w:r>
        <w:rPr>
          <w:rFonts w:hint="cs"/>
          <w:rtl/>
        </w:rPr>
        <w:t>، الفقرة 1536).</w:t>
      </w:r>
    </w:p>
    <w:p w:rsidR="00000000" w:rsidRDefault="00000000">
      <w:pPr>
        <w:jc w:val="both"/>
        <w:rPr>
          <w:rStyle w:val="FootnoteReference"/>
          <w:rFonts w:hint="cs"/>
          <w:bCs w:val="0"/>
          <w:vertAlign w:val="baseline"/>
          <w:rtl/>
        </w:rPr>
      </w:pPr>
      <w:r>
        <w:rPr>
          <w:rFonts w:hint="cs"/>
          <w:rtl/>
        </w:rPr>
        <w:tab/>
        <w:t>(6)</w:t>
      </w:r>
      <w:r>
        <w:rPr>
          <w:rFonts w:hint="cs"/>
          <w:rtl/>
        </w:rPr>
        <w:tab/>
        <w:t>انظر قرار الجمعية العامة 49/184 المؤرخ 23 كانون الأول/ديسمبر 1994 الذي أعلنت فيه عن عقد الأمم المتحدة للتثقيف في مجال حقوق الإنسان.</w:t>
      </w:r>
    </w:p>
    <w:p w:rsidR="00000000" w:rsidRDefault="00000000">
      <w:pPr>
        <w:jc w:val="both"/>
        <w:rPr>
          <w:rFonts w:hint="cs"/>
          <w:rtl/>
          <w:lang w:eastAsia="en-US"/>
        </w:rPr>
      </w:pPr>
      <w:r>
        <w:rPr>
          <w:rFonts w:hint="cs"/>
          <w:rtl/>
          <w:lang w:eastAsia="en-US"/>
        </w:rPr>
        <w:tab/>
        <w:t>(7)</w:t>
      </w:r>
      <w:r>
        <w:rPr>
          <w:rFonts w:hint="cs"/>
          <w:rtl/>
          <w:lang w:eastAsia="en-US"/>
        </w:rPr>
        <w:tab/>
      </w:r>
      <w:r>
        <w:rPr>
          <w:lang w:eastAsia="en-US"/>
        </w:rPr>
        <w:t>Education for All: Meeting our Collective Commitments</w:t>
      </w:r>
      <w:r>
        <w:rPr>
          <w:rFonts w:hint="cs"/>
          <w:rtl/>
          <w:lang w:eastAsia="en-US"/>
        </w:rPr>
        <w:t>، اعتمد في المنتدى العالمي للتعليم، داكار 26-28 نيسان/أبريل 2000.</w:t>
      </w:r>
    </w:p>
    <w:p w:rsidR="00000000" w:rsidRDefault="00000000">
      <w:pPr>
        <w:jc w:val="both"/>
        <w:rPr>
          <w:rFonts w:hint="cs"/>
          <w:rtl/>
          <w:lang w:eastAsia="en-US"/>
        </w:rPr>
      </w:pPr>
      <w:r>
        <w:rPr>
          <w:rFonts w:hint="cs"/>
          <w:rtl/>
          <w:lang w:eastAsia="en-US"/>
        </w:rPr>
        <w:tab/>
        <w:t>(8)</w:t>
      </w:r>
      <w:r>
        <w:rPr>
          <w:rFonts w:hint="cs"/>
          <w:rtl/>
          <w:lang w:eastAsia="en-US"/>
        </w:rPr>
        <w:tab/>
        <w:t xml:space="preserve">تشير اللجنة إلى التوصيات المتعلقة بهذا الموضوع التي تمخض عنها يوم المناقشة العامة الذي نظمته في 1996 بشأن الأطفال ووسائط الإعلام (انظر </w:t>
      </w:r>
      <w:r>
        <w:rPr>
          <w:lang w:eastAsia="en-US"/>
        </w:rPr>
        <w:t>A/53/41</w:t>
      </w:r>
      <w:r>
        <w:rPr>
          <w:rFonts w:hint="cs"/>
          <w:rtl/>
          <w:lang w:eastAsia="en-US"/>
        </w:rPr>
        <w:t>، الفقرة 1396).</w:t>
      </w:r>
    </w:p>
    <w:p w:rsidR="00000000" w:rsidRDefault="00000000">
      <w:pPr>
        <w:jc w:val="center"/>
        <w:rPr>
          <w:rFonts w:hint="cs"/>
          <w:rtl/>
          <w:lang w:eastAsia="en-US"/>
        </w:rPr>
      </w:pPr>
      <w:r>
        <w:rPr>
          <w:rFonts w:hint="cs"/>
          <w:rtl/>
          <w:lang w:eastAsia="en-US"/>
        </w:rPr>
        <w:t>- - - - -</w:t>
      </w:r>
    </w:p>
    <w:p w:rsidR="00000000" w:rsidRDefault="00000000">
      <w:pPr>
        <w:jc w:val="center"/>
        <w:rPr>
          <w:rFonts w:hint="cs"/>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6BB2">
    <w:pPr>
      <w:pStyle w:val="Footer"/>
      <w:bidi w:val="0"/>
      <w:jc w:val="right"/>
      <w:rPr>
        <w:rtl/>
        <w:lang w:eastAsia="en-US"/>
      </w:rPr>
    </w:pPr>
    <w:r>
      <w:rPr>
        <w:szCs w:val="22"/>
        <w:lang w:eastAsia="en-US"/>
      </w:rPr>
      <w:t>(A)     GE.01-41251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79"/>
    </w:tblGrid>
    <w:tr w:rsidR="00EC6BB2" w:rsidTr="00EC6BB2">
      <w:tblPrEx>
        <w:tblCellMar>
          <w:top w:w="0" w:type="dxa"/>
          <w:bottom w:w="0" w:type="dxa"/>
        </w:tblCellMar>
      </w:tblPrEx>
      <w:tc>
        <w:tcPr>
          <w:tcW w:w="1879" w:type="dxa"/>
        </w:tcPr>
        <w:p w:rsidR="00000000" w:rsidRDefault="00EC6BB2">
          <w:pPr>
            <w:pStyle w:val="Header"/>
            <w:bidi w:val="0"/>
            <w:rPr>
              <w:lang w:val="fr-CH"/>
            </w:rPr>
          </w:pPr>
          <w:r>
            <w:rPr>
              <w:lang w:val="fr-CH"/>
            </w:rPr>
            <w:t>CRC/GC/2001/1</w:t>
          </w:r>
        </w:p>
        <w:p w:rsidR="00000000" w:rsidRDefault="00EC6BB2">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10</w:t>
          </w:r>
          <w:r>
            <w:fldChar w:fldCharType="end"/>
          </w:r>
        </w:p>
      </w:tc>
    </w:tr>
  </w:tbl>
  <w:p w:rsidR="00000000" w:rsidRDefault="00EC6BB2">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6BB2">
    <w:pPr>
      <w:pStyle w:val="Header"/>
      <w:bidi w:val="0"/>
      <w:rPr>
        <w:lang w:val="fr-CH"/>
      </w:rPr>
    </w:pPr>
    <w:r>
      <w:rPr>
        <w:lang w:val="fr-CH"/>
      </w:rPr>
      <w:t>CRC/GC/2001/1</w:t>
    </w:r>
  </w:p>
  <w:p w:rsidR="00000000" w:rsidRDefault="00EC6BB2">
    <w:pPr>
      <w:pStyle w:val="Header"/>
      <w:bidi w:val="0"/>
      <w:rPr>
        <w:lang w:val="fr-CH"/>
      </w:rPr>
    </w:pPr>
    <w:r>
      <w:rPr>
        <w:lang w:val="fr-CH"/>
      </w:rPr>
      <w:t xml:space="preserve">Page </w:t>
    </w:r>
    <w:r>
      <w:fldChar w:fldCharType="begin"/>
    </w:r>
    <w:r>
      <w:rPr>
        <w:lang w:val="fr-CH"/>
      </w:rPr>
      <w:instrText xml:space="preserve"> PAGE</w:instrText>
    </w:r>
    <w:r>
      <w:rPr>
        <w:lang w:val="fr-CH"/>
      </w:rPr>
      <w:instrText xml:space="preserve">  \* MERGEFORMAT </w:instrText>
    </w:r>
    <w:r>
      <w:fldChar w:fldCharType="separate"/>
    </w:r>
    <w:r>
      <w:rPr>
        <w:lang w:val="fr-CH"/>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6BB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EC6BB2">
    <w:pPr>
      <w:pBdr>
        <w:bottom w:val="single" w:sz="6" w:space="1" w:color="auto"/>
      </w:pBdr>
      <w:bidi w:val="0"/>
      <w:spacing w:before="0" w:after="0"/>
      <w:rPr>
        <w:rFonts w:cs="Times New Roman"/>
        <w:szCs w:val="22"/>
        <w:lang w:eastAsia="en-US"/>
      </w:rPr>
    </w:pPr>
  </w:p>
  <w:p w:rsidR="00000000" w:rsidRDefault="00EC6BB2">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EC6BB2">
    <w:pPr>
      <w:pStyle w:val="Header"/>
      <w:bidi w:val="0"/>
      <w:rPr>
        <w:szCs w:val="22"/>
        <w:lang w:eastAsia="en-US"/>
      </w:rPr>
    </w:pPr>
  </w:p>
  <w:p w:rsidR="00000000" w:rsidRDefault="00EC6BB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EC6BB2">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EC6BB2">
    <w:pPr>
      <w:pStyle w:val="Header"/>
      <w:bidi w:val="0"/>
      <w:rPr>
        <w:szCs w:val="22"/>
        <w:lang w:eastAsia="en-US"/>
      </w:rPr>
    </w:pPr>
  </w:p>
  <w:p w:rsidR="00000000" w:rsidRDefault="00EC6BB2">
    <w:pPr>
      <w:pStyle w:val="Header"/>
      <w:bidi w:val="0"/>
      <w:rPr>
        <w:szCs w:val="22"/>
        <w:lang w:eastAsia="en-US"/>
      </w:rPr>
    </w:pPr>
  </w:p>
  <w:p w:rsidR="00000000" w:rsidRDefault="00EC6BB2">
    <w:pPr>
      <w:pStyle w:val="Header"/>
      <w:bidi w:val="0"/>
      <w:rPr>
        <w:szCs w:val="22"/>
        <w:lang w:eastAsia="en-US"/>
      </w:rPr>
    </w:pPr>
  </w:p>
  <w:p w:rsidR="00000000" w:rsidRDefault="00EC6BB2">
    <w:pPr>
      <w:pStyle w:val="Header"/>
      <w:bidi w:val="0"/>
      <w:rPr>
        <w:rtl/>
        <w:lang w:eastAsia="en-US"/>
      </w:rPr>
    </w:pPr>
  </w:p>
  <w:p w:rsidR="00000000" w:rsidRDefault="00EC6BB2">
    <w:pPr>
      <w:pStyle w:val="Header"/>
      <w:bidi w:val="0"/>
      <w:rPr>
        <w:rtl/>
        <w:lang w:eastAsia="en-US"/>
      </w:rPr>
    </w:pPr>
  </w:p>
  <w:p w:rsidR="00000000" w:rsidRDefault="00EC6BB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3062</Words>
  <Characters>17456</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عبد الله</dc:creator>
  <cp:keywords/>
  <dc:description/>
  <cp:lastModifiedBy>درويش</cp:lastModifiedBy>
  <cp:revision>2</cp:revision>
  <cp:lastPrinted>2001-05-16T14:14:00Z</cp:lastPrinted>
  <dcterms:created xsi:type="dcterms:W3CDTF">2001-05-16T14:18:00Z</dcterms:created>
  <dcterms:modified xsi:type="dcterms:W3CDTF">2001-05-16T14:18:00Z</dcterms:modified>
</cp:coreProperties>
</file>