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B41FE8" w14:paraId="30B49263" w14:textId="77777777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52F3F453" w14:textId="3B74CFE6" w:rsidR="00C62D50" w:rsidRDefault="00C62D50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73F0E67F" w14:textId="77777777" w:rsidR="00C62D50" w:rsidRDefault="0066027C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7BC787E0" w14:textId="62AAE3E8" w:rsidR="00C62D50" w:rsidRDefault="0066027C">
            <w:pPr>
              <w:suppressAutoHyphens w:val="0"/>
              <w:spacing w:after="20"/>
              <w:jc w:val="right"/>
            </w:pPr>
            <w:r>
              <w:rPr>
                <w:sz w:val="40"/>
              </w:rPr>
              <w:t>CERD</w:t>
            </w:r>
            <w:r>
              <w:t>/C/</w:t>
            </w:r>
            <w:r w:rsidR="00F62581">
              <w:t>EST</w:t>
            </w:r>
            <w:r>
              <w:t>/Q/</w:t>
            </w:r>
            <w:r w:rsidR="00F62581">
              <w:t>12-13</w:t>
            </w:r>
          </w:p>
        </w:tc>
      </w:tr>
      <w:tr w:rsidR="00B41FE8" w14:paraId="28E7B5EC" w14:textId="77777777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1A60BD1A" w14:textId="77777777" w:rsidR="00C62D50" w:rsidRDefault="0066027C">
            <w:pPr>
              <w:spacing w:before="12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93DF6A1" wp14:editId="292B3410">
                  <wp:extent cx="714375" cy="590550"/>
                  <wp:effectExtent l="0" t="0" r="9525" b="0"/>
                  <wp:docPr id="1913991199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3991199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C435FD2" w14:textId="7DDD29A3" w:rsidR="00C62D50" w:rsidRDefault="0066027C">
            <w:pPr>
              <w:spacing w:before="120" w:line="380" w:lineRule="exact"/>
            </w:pPr>
            <w:r>
              <w:rPr>
                <w:b/>
                <w:sz w:val="34"/>
                <w:szCs w:val="40"/>
              </w:rPr>
              <w:t>International Convention on</w:t>
            </w:r>
            <w:r>
              <w:rPr>
                <w:b/>
                <w:sz w:val="34"/>
                <w:szCs w:val="40"/>
              </w:rPr>
              <w:br/>
              <w:t>the Elimination of All Forms</w:t>
            </w:r>
            <w:r w:rsidR="00F62581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br/>
              <w:t>of Racial Discrimination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0FBFB8CF" w14:textId="77777777" w:rsidR="00C62D50" w:rsidRDefault="0066027C">
            <w:pPr>
              <w:suppressAutoHyphens w:val="0"/>
              <w:spacing w:before="240" w:line="240" w:lineRule="exact"/>
            </w:pPr>
            <w:r>
              <w:t>Distr.: General</w:t>
            </w:r>
          </w:p>
          <w:p w14:paraId="4921958C" w14:textId="48839133" w:rsidR="00C62D50" w:rsidRDefault="00A953EF">
            <w:pPr>
              <w:suppressAutoHyphens w:val="0"/>
            </w:pPr>
            <w:r>
              <w:t>1</w:t>
            </w:r>
            <w:r w:rsidR="00CC21EB">
              <w:t>7</w:t>
            </w:r>
            <w:r w:rsidR="0014436C">
              <w:t xml:space="preserve"> March</w:t>
            </w:r>
            <w:r w:rsidR="00F62581">
              <w:t xml:space="preserve"> 2022</w:t>
            </w:r>
          </w:p>
          <w:p w14:paraId="2872E61D" w14:textId="77777777" w:rsidR="00C62D50" w:rsidRDefault="00C62D50">
            <w:pPr>
              <w:suppressAutoHyphens w:val="0"/>
            </w:pPr>
          </w:p>
          <w:p w14:paraId="5AF2C099" w14:textId="77777777" w:rsidR="00C62D50" w:rsidRDefault="0066027C">
            <w:pPr>
              <w:suppressAutoHyphens w:val="0"/>
            </w:pPr>
            <w:r>
              <w:t>Original: English</w:t>
            </w:r>
          </w:p>
          <w:p w14:paraId="2DD39429" w14:textId="77777777" w:rsidR="00C62D50" w:rsidRDefault="00664656">
            <w:pPr>
              <w:suppressAutoHyphens w:val="0"/>
            </w:pPr>
            <w:r>
              <w:t>English, French and Spanish only</w:t>
            </w:r>
          </w:p>
        </w:tc>
      </w:tr>
    </w:tbl>
    <w:p w14:paraId="5C3AEE15" w14:textId="77777777" w:rsidR="00C62D50" w:rsidRDefault="0066027C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Committee on the Elimination of Racial Discrimination</w:t>
      </w:r>
    </w:p>
    <w:p w14:paraId="5BCC832E" w14:textId="77777777" w:rsidR="00C62D50" w:rsidRDefault="0066027C">
      <w:pPr>
        <w:rPr>
          <w:b/>
        </w:rPr>
      </w:pPr>
      <w:r>
        <w:rPr>
          <w:b/>
        </w:rPr>
        <w:t>106th session</w:t>
      </w:r>
    </w:p>
    <w:p w14:paraId="4FD15699" w14:textId="74AC6C1E" w:rsidR="00C62D50" w:rsidRDefault="00664656">
      <w:r>
        <w:t>11</w:t>
      </w:r>
      <w:r w:rsidR="00D01C49">
        <w:t>–</w:t>
      </w:r>
      <w:r>
        <w:t>29 April 2022</w:t>
      </w:r>
    </w:p>
    <w:p w14:paraId="2CF41216" w14:textId="4FDC5169" w:rsidR="00C62D50" w:rsidRDefault="0066027C">
      <w:r>
        <w:t xml:space="preserve">Item </w:t>
      </w:r>
      <w:r w:rsidR="0014436C">
        <w:t>6</w:t>
      </w:r>
      <w:r>
        <w:t xml:space="preserve"> of the provisional agenda</w:t>
      </w:r>
    </w:p>
    <w:p w14:paraId="2A669C0D" w14:textId="77777777" w:rsidR="004E071F" w:rsidRDefault="0066027C" w:rsidP="004E071F">
      <w:pPr>
        <w:rPr>
          <w:b/>
          <w:bCs/>
        </w:rPr>
      </w:pPr>
      <w:r>
        <w:rPr>
          <w:b/>
          <w:bCs/>
        </w:rPr>
        <w:t>Consideration of reports, comments and information submitted</w:t>
      </w:r>
    </w:p>
    <w:p w14:paraId="3D7D7231" w14:textId="77777777" w:rsidR="00C62D50" w:rsidRDefault="0066027C" w:rsidP="004E071F">
      <w:pPr>
        <w:rPr>
          <w:b/>
          <w:bCs/>
        </w:rPr>
      </w:pPr>
      <w:r>
        <w:rPr>
          <w:b/>
          <w:bCs/>
        </w:rPr>
        <w:t>by States parties under article 9 of the Convention</w:t>
      </w:r>
    </w:p>
    <w:p w14:paraId="1092A8FB" w14:textId="2AF63B84" w:rsidR="00C62D50" w:rsidRDefault="0066027C">
      <w:pPr>
        <w:pStyle w:val="HChG"/>
      </w:pPr>
      <w:r>
        <w:tab/>
      </w:r>
      <w:r>
        <w:tab/>
        <w:t xml:space="preserve">List of </w:t>
      </w:r>
      <w:r w:rsidR="002140BB">
        <w:t>themes</w:t>
      </w:r>
      <w:r>
        <w:t xml:space="preserve"> in relation to the combined </w:t>
      </w:r>
      <w:r w:rsidR="00F62581">
        <w:t xml:space="preserve">twelfth and thirteenth </w:t>
      </w:r>
      <w:r>
        <w:t xml:space="preserve">reports of </w:t>
      </w:r>
      <w:r w:rsidR="00F62581">
        <w:t>Estonia</w:t>
      </w:r>
    </w:p>
    <w:p w14:paraId="65695D3A" w14:textId="094286C4" w:rsidR="00C62D50" w:rsidRDefault="0066027C">
      <w:pPr>
        <w:pStyle w:val="H1G"/>
      </w:pPr>
      <w:r>
        <w:tab/>
      </w:r>
      <w:r>
        <w:tab/>
        <w:t>Note by the Country Rapporteur</w:t>
      </w:r>
      <w:r w:rsidR="00F31DD4" w:rsidRPr="00F31DD4">
        <w:rPr>
          <w:rStyle w:val="FootnoteReference"/>
          <w:sz w:val="20"/>
          <w:vertAlign w:val="baseline"/>
        </w:rPr>
        <w:footnoteReference w:customMarkFollows="1" w:id="1"/>
        <w:t>*</w:t>
      </w:r>
    </w:p>
    <w:p w14:paraId="162A752E" w14:textId="468CB202" w:rsidR="00C62D50" w:rsidRDefault="002D7C8C" w:rsidP="002D7C8C">
      <w:pPr>
        <w:pStyle w:val="SingleTxtG"/>
      </w:pPr>
      <w:r>
        <w:t>1.</w:t>
      </w:r>
      <w:r>
        <w:tab/>
      </w:r>
      <w:r w:rsidR="0066027C">
        <w:t>The Committee on the Elimination of Racial Discrimination decided at its seventy-sixth session</w:t>
      </w:r>
      <w:r w:rsidR="00635AC8">
        <w:rPr>
          <w:rStyle w:val="FootnoteReference"/>
        </w:rPr>
        <w:footnoteReference w:id="2"/>
      </w:r>
      <w:r w:rsidR="0066027C">
        <w:t xml:space="preserve"> that the Country Rapporteur would send to the State party concerned a short list of themes with a view to guiding and focusing the dialogue between the State party’s delegation and the Committee during the consideration of the State party’s report. The present document contains a list of such themes. It is not an exhaustive list; other issues may also be raised in the course of the dialogue. No written replies are required.</w:t>
      </w:r>
    </w:p>
    <w:p w14:paraId="75DE29E5" w14:textId="6E74D5F8" w:rsidR="00C62D50" w:rsidRDefault="00A953EF" w:rsidP="00A953EF">
      <w:pPr>
        <w:pStyle w:val="H23G"/>
      </w:pPr>
      <w:r>
        <w:tab/>
      </w:r>
      <w:r>
        <w:tab/>
      </w:r>
      <w:r w:rsidR="0066027C">
        <w:t>The Convention in domestic law and the institutional and policy framework for its implementation (arts.</w:t>
      </w:r>
      <w:r w:rsidR="0014436C">
        <w:t xml:space="preserve"> </w:t>
      </w:r>
      <w:r w:rsidR="0014436C" w:rsidRPr="00303987">
        <w:rPr>
          <w:rFonts w:eastAsia="Arial Unicode MS" w:cs="Arial Unicode MS"/>
          <w:u w:color="FF0000"/>
        </w:rPr>
        <w:t>1</w:t>
      </w:r>
      <w:r w:rsidR="0014436C" w:rsidRPr="00303987">
        <w:rPr>
          <w:rFonts w:eastAsia="Arial Unicode MS" w:cs="Arial Unicode MS"/>
        </w:rPr>
        <w:t xml:space="preserve">, </w:t>
      </w:r>
      <w:r w:rsidR="0014436C" w:rsidRPr="00303987">
        <w:rPr>
          <w:rFonts w:eastAsia="Arial Unicode MS" w:cs="Arial Unicode MS"/>
          <w:u w:color="FF0000"/>
        </w:rPr>
        <w:t>2, 4, 6 and 7</w:t>
      </w:r>
      <w:r w:rsidR="0014436C" w:rsidRPr="00303987">
        <w:rPr>
          <w:rFonts w:eastAsia="Arial Unicode MS" w:cs="Arial Unicode MS"/>
        </w:rPr>
        <w:t>)</w:t>
      </w:r>
      <w:r w:rsidR="0014436C">
        <w:rPr>
          <w:color w:val="FF0000"/>
        </w:rPr>
        <w:t xml:space="preserve"> </w:t>
      </w:r>
      <w:r w:rsidR="0066027C">
        <w:t xml:space="preserve"> </w:t>
      </w:r>
    </w:p>
    <w:p w14:paraId="2428417F" w14:textId="59F5D22B" w:rsidR="00A01BFE" w:rsidRDefault="002D7C8C" w:rsidP="002D7C8C">
      <w:pPr>
        <w:pStyle w:val="SingleTxtG"/>
        <w:rPr>
          <w:lang w:val="en-US"/>
        </w:rPr>
      </w:pPr>
      <w:r>
        <w:rPr>
          <w:lang w:val="en-US"/>
        </w:rPr>
        <w:t>2.</w:t>
      </w:r>
      <w:r>
        <w:rPr>
          <w:lang w:val="en-US"/>
        </w:rPr>
        <w:tab/>
      </w:r>
      <w:r w:rsidR="000D636D">
        <w:rPr>
          <w:lang w:val="en-US"/>
        </w:rPr>
        <w:t xml:space="preserve">Measures to </w:t>
      </w:r>
      <w:r w:rsidR="00A47795">
        <w:rPr>
          <w:lang w:val="en-US"/>
        </w:rPr>
        <w:t>allocate</w:t>
      </w:r>
      <w:r w:rsidR="000D636D">
        <w:rPr>
          <w:lang w:val="en-US"/>
        </w:rPr>
        <w:t xml:space="preserve"> the Chancellor of Justice </w:t>
      </w:r>
      <w:r w:rsidR="00C12F28">
        <w:rPr>
          <w:lang w:val="en-US"/>
        </w:rPr>
        <w:t xml:space="preserve">and the Gender </w:t>
      </w:r>
      <w:r w:rsidR="0001256A">
        <w:rPr>
          <w:lang w:val="en-US"/>
        </w:rPr>
        <w:t xml:space="preserve">Equality </w:t>
      </w:r>
      <w:r w:rsidR="00C12F28">
        <w:rPr>
          <w:lang w:val="en-US"/>
        </w:rPr>
        <w:t xml:space="preserve">and Equal Treatment </w:t>
      </w:r>
      <w:r w:rsidR="00C12F28" w:rsidRPr="00A953EF">
        <w:t>Commissioner</w:t>
      </w:r>
      <w:r w:rsidR="00C12F28">
        <w:rPr>
          <w:lang w:val="en-US"/>
        </w:rPr>
        <w:t xml:space="preserve"> </w:t>
      </w:r>
      <w:r w:rsidR="00A47795">
        <w:rPr>
          <w:lang w:val="en-US"/>
        </w:rPr>
        <w:t xml:space="preserve">adequate human and financial resources to </w:t>
      </w:r>
      <w:r w:rsidR="00C12F28">
        <w:rPr>
          <w:lang w:val="en-US"/>
        </w:rPr>
        <w:t xml:space="preserve">carry out </w:t>
      </w:r>
      <w:r w:rsidR="00A7384C">
        <w:rPr>
          <w:lang w:val="en-US"/>
        </w:rPr>
        <w:t xml:space="preserve">fully </w:t>
      </w:r>
      <w:r w:rsidR="00C12F28">
        <w:rPr>
          <w:lang w:val="en-US"/>
        </w:rPr>
        <w:t>their respective</w:t>
      </w:r>
      <w:r w:rsidR="00A47795">
        <w:rPr>
          <w:lang w:val="en-US"/>
        </w:rPr>
        <w:t xml:space="preserve"> mandate</w:t>
      </w:r>
      <w:r w:rsidR="00C12F28">
        <w:rPr>
          <w:lang w:val="en-US"/>
        </w:rPr>
        <w:t>s</w:t>
      </w:r>
      <w:r w:rsidR="00833DAB">
        <w:rPr>
          <w:lang w:val="en-US"/>
        </w:rPr>
        <w:t>.</w:t>
      </w:r>
      <w:r w:rsidR="00C12F28">
        <w:rPr>
          <w:lang w:val="en-US"/>
        </w:rPr>
        <w:t xml:space="preserve"> </w:t>
      </w:r>
      <w:r w:rsidR="000D636D">
        <w:rPr>
          <w:lang w:val="en-US"/>
        </w:rPr>
        <w:t xml:space="preserve">Information on activities </w:t>
      </w:r>
      <w:r w:rsidR="00A47795">
        <w:rPr>
          <w:lang w:val="en-US"/>
        </w:rPr>
        <w:t>carried out by the</w:t>
      </w:r>
      <w:r w:rsidR="00A01BFE">
        <w:rPr>
          <w:lang w:val="en-US"/>
        </w:rPr>
        <w:t xml:space="preserve">se two bodies </w:t>
      </w:r>
      <w:r w:rsidR="000D636D">
        <w:rPr>
          <w:lang w:val="en-US"/>
        </w:rPr>
        <w:t xml:space="preserve">on </w:t>
      </w:r>
      <w:r w:rsidR="00A01BFE">
        <w:rPr>
          <w:lang w:val="en-US"/>
        </w:rPr>
        <w:t xml:space="preserve">the prohibition of </w:t>
      </w:r>
      <w:r w:rsidR="000D636D">
        <w:rPr>
          <w:lang w:val="en-US"/>
        </w:rPr>
        <w:t xml:space="preserve">racial discrimination and </w:t>
      </w:r>
      <w:r w:rsidR="00A47795">
        <w:rPr>
          <w:lang w:val="en-US"/>
        </w:rPr>
        <w:t xml:space="preserve">the </w:t>
      </w:r>
      <w:r w:rsidR="000D636D">
        <w:rPr>
          <w:lang w:val="en-US"/>
        </w:rPr>
        <w:t xml:space="preserve">promotion of </w:t>
      </w:r>
      <w:r w:rsidR="003C489A">
        <w:rPr>
          <w:lang w:val="en-US"/>
        </w:rPr>
        <w:t xml:space="preserve">the </w:t>
      </w:r>
      <w:r w:rsidR="000D636D">
        <w:rPr>
          <w:lang w:val="en-US"/>
        </w:rPr>
        <w:t xml:space="preserve">principles of the Convention </w:t>
      </w:r>
      <w:r w:rsidR="00C12F28">
        <w:rPr>
          <w:lang w:val="en-US"/>
        </w:rPr>
        <w:t>among</w:t>
      </w:r>
      <w:r w:rsidR="00A01BFE">
        <w:rPr>
          <w:lang w:val="en-US"/>
        </w:rPr>
        <w:t xml:space="preserve"> the population, including </w:t>
      </w:r>
      <w:r w:rsidR="00C12F28">
        <w:rPr>
          <w:lang w:val="en-US"/>
        </w:rPr>
        <w:t xml:space="preserve">on </w:t>
      </w:r>
      <w:r w:rsidR="00A01BFE">
        <w:rPr>
          <w:lang w:val="en-US"/>
        </w:rPr>
        <w:t>the Equal Treatment Act</w:t>
      </w:r>
      <w:r w:rsidR="003C489A">
        <w:rPr>
          <w:lang w:val="en-US"/>
        </w:rPr>
        <w:t>,</w:t>
      </w:r>
      <w:r w:rsidR="00A01BFE">
        <w:rPr>
          <w:lang w:val="en-US"/>
        </w:rPr>
        <w:t xml:space="preserve"> and </w:t>
      </w:r>
      <w:r w:rsidR="003C489A">
        <w:rPr>
          <w:lang w:val="en-US"/>
        </w:rPr>
        <w:t xml:space="preserve">the </w:t>
      </w:r>
      <w:r w:rsidR="00A01BFE">
        <w:rPr>
          <w:lang w:val="en-US"/>
        </w:rPr>
        <w:t>local remedies available</w:t>
      </w:r>
      <w:r w:rsidR="000D636D">
        <w:rPr>
          <w:lang w:val="en-US"/>
        </w:rPr>
        <w:t>.</w:t>
      </w:r>
      <w:r w:rsidR="00FE24B7">
        <w:rPr>
          <w:rStyle w:val="FootnoteReference"/>
        </w:rPr>
        <w:footnoteReference w:id="3"/>
      </w:r>
      <w:r w:rsidR="00A7384C">
        <w:rPr>
          <w:lang w:val="en-US"/>
        </w:rPr>
        <w:t xml:space="preserve"> </w:t>
      </w:r>
    </w:p>
    <w:p w14:paraId="66FA1B45" w14:textId="1F7155D0" w:rsidR="00C62D50" w:rsidRDefault="002D7C8C" w:rsidP="002D7C8C">
      <w:pPr>
        <w:pStyle w:val="SingleTxtG"/>
        <w:rPr>
          <w:b/>
          <w:bCs/>
        </w:rPr>
      </w:pPr>
      <w:r>
        <w:t>3.</w:t>
      </w:r>
      <w:r>
        <w:tab/>
      </w:r>
      <w:r w:rsidR="00833DAB" w:rsidRPr="008124B9">
        <w:t>E</w:t>
      </w:r>
      <w:r w:rsidR="00833DAB" w:rsidRPr="00303987">
        <w:t xml:space="preserve">xamples of cases in which the provisions of the Convention have been </w:t>
      </w:r>
      <w:r w:rsidR="00833DAB">
        <w:t xml:space="preserve">evoked before or </w:t>
      </w:r>
      <w:r w:rsidR="00833DAB" w:rsidRPr="00303987">
        <w:t>applied by domestic courts</w:t>
      </w:r>
      <w:r w:rsidR="00833DAB" w:rsidRPr="008124B9">
        <w:t>; detailed information on measures taken to raise public awareness of the Convention</w:t>
      </w:r>
      <w:r w:rsidR="003C489A">
        <w:t>,</w:t>
      </w:r>
      <w:r w:rsidR="00833DAB" w:rsidRPr="008124B9">
        <w:t xml:space="preserve"> </w:t>
      </w:r>
      <w:r w:rsidR="00833DAB">
        <w:t xml:space="preserve">including </w:t>
      </w:r>
      <w:r w:rsidR="003C489A">
        <w:t xml:space="preserve">among </w:t>
      </w:r>
      <w:r w:rsidR="00833DAB">
        <w:t xml:space="preserve">lawyers, magistrates, police, border control guards and the population, in particular </w:t>
      </w:r>
      <w:r w:rsidR="00833DAB" w:rsidRPr="008124B9">
        <w:t>minority groups</w:t>
      </w:r>
      <w:r w:rsidR="00833DAB">
        <w:t>, including on available</w:t>
      </w:r>
      <w:r w:rsidR="00833DAB" w:rsidRPr="008124B9">
        <w:t xml:space="preserve"> remedies</w:t>
      </w:r>
      <w:r w:rsidR="00833DAB">
        <w:t>.</w:t>
      </w:r>
    </w:p>
    <w:p w14:paraId="1E039A9E" w14:textId="06A91402" w:rsidR="00A01BFE" w:rsidRDefault="002D7C8C" w:rsidP="002D7C8C">
      <w:pPr>
        <w:pStyle w:val="SingleTxtG"/>
        <w:rPr>
          <w:bCs/>
        </w:rPr>
      </w:pPr>
      <w:r>
        <w:t>4.</w:t>
      </w:r>
      <w:r>
        <w:tab/>
      </w:r>
      <w:r w:rsidR="00F82934">
        <w:rPr>
          <w:bCs/>
        </w:rPr>
        <w:t xml:space="preserve">Update on efforts to ensure full compliance of the State party’s Penal Code with provisions of article 4 (b) of the Convention. Examples of dissolution by </w:t>
      </w:r>
      <w:r w:rsidR="005F1EE1">
        <w:rPr>
          <w:bCs/>
        </w:rPr>
        <w:t xml:space="preserve">the </w:t>
      </w:r>
      <w:r w:rsidR="00F82934">
        <w:rPr>
          <w:bCs/>
        </w:rPr>
        <w:t>courts of racist organizations that promote and incite racial discrimination</w:t>
      </w:r>
      <w:r w:rsidR="00F82934">
        <w:rPr>
          <w:lang w:val="en-US"/>
        </w:rPr>
        <w:t>.</w:t>
      </w:r>
      <w:r w:rsidR="00755460">
        <w:rPr>
          <w:rStyle w:val="FootnoteReference"/>
        </w:rPr>
        <w:footnoteReference w:id="4"/>
      </w:r>
      <w:r w:rsidR="008D28FE">
        <w:rPr>
          <w:bCs/>
        </w:rPr>
        <w:t xml:space="preserve"> </w:t>
      </w:r>
    </w:p>
    <w:p w14:paraId="6A149D00" w14:textId="57FFAD52" w:rsidR="00A01BFE" w:rsidRPr="00A953EF" w:rsidRDefault="002D7C8C" w:rsidP="002D7C8C">
      <w:pPr>
        <w:pStyle w:val="SingleTxtG"/>
      </w:pPr>
      <w:r w:rsidRPr="00A953EF">
        <w:lastRenderedPageBreak/>
        <w:t>5.</w:t>
      </w:r>
      <w:r w:rsidRPr="00A953EF">
        <w:tab/>
      </w:r>
      <w:r w:rsidR="008D28FE" w:rsidRPr="00A953EF">
        <w:t>Update on efforts to amend the Criminal law and ensure that racist motive</w:t>
      </w:r>
      <w:r w:rsidR="009B08B3" w:rsidRPr="00A953EF">
        <w:t xml:space="preserve"> or hatred motive</w:t>
      </w:r>
      <w:r w:rsidR="008D28FE" w:rsidRPr="00A953EF">
        <w:t xml:space="preserve"> is an aggravating circumstance</w:t>
      </w:r>
      <w:r w:rsidR="009B08B3" w:rsidRPr="00A953EF">
        <w:t>.</w:t>
      </w:r>
      <w:r w:rsidR="005F1EE1">
        <w:rPr>
          <w:rStyle w:val="FootnoteReference"/>
        </w:rPr>
        <w:footnoteReference w:id="5"/>
      </w:r>
      <w:r w:rsidR="009B08B3" w:rsidRPr="00A953EF">
        <w:t xml:space="preserve"> Information on </w:t>
      </w:r>
      <w:r w:rsidR="00C12F28" w:rsidRPr="00A953EF">
        <w:t xml:space="preserve">the issuance of </w:t>
      </w:r>
      <w:r w:rsidR="009B08B3" w:rsidRPr="00A953EF">
        <w:t xml:space="preserve">methodological bases </w:t>
      </w:r>
      <w:r w:rsidR="00F16C7B" w:rsidRPr="00A953EF">
        <w:t xml:space="preserve">prepared by the Ministry of Justice </w:t>
      </w:r>
      <w:r w:rsidR="009B08B3" w:rsidRPr="00A953EF">
        <w:t>for identifying hate motives of offences.</w:t>
      </w:r>
      <w:r w:rsidR="00F16C7B">
        <w:rPr>
          <w:rStyle w:val="FootnoteReference"/>
        </w:rPr>
        <w:footnoteReference w:id="6"/>
      </w:r>
      <w:r w:rsidR="009B08B3" w:rsidRPr="00A953EF">
        <w:t xml:space="preserve"> </w:t>
      </w:r>
    </w:p>
    <w:p w14:paraId="301A8FE7" w14:textId="0909CCBA" w:rsidR="00C12F28" w:rsidRPr="00A953EF" w:rsidRDefault="002D7C8C" w:rsidP="002D7C8C">
      <w:pPr>
        <w:pStyle w:val="SingleTxtG"/>
      </w:pPr>
      <w:r w:rsidRPr="00A953EF">
        <w:t>6.</w:t>
      </w:r>
      <w:r w:rsidRPr="00A953EF">
        <w:tab/>
      </w:r>
      <w:r w:rsidR="009B08B3" w:rsidRPr="00A953EF">
        <w:t>Update on measures to prevent and counter instances of</w:t>
      </w:r>
      <w:r w:rsidR="00C12F28" w:rsidRPr="00A953EF">
        <w:t xml:space="preserve"> hate crimes</w:t>
      </w:r>
      <w:r w:rsidR="009B08B3" w:rsidRPr="00A953EF">
        <w:t xml:space="preserve"> and racist hate speech</w:t>
      </w:r>
      <w:r w:rsidR="00281ACD">
        <w:t>,</w:t>
      </w:r>
      <w:r w:rsidR="009B08B3" w:rsidRPr="00A953EF">
        <w:t xml:space="preserve"> </w:t>
      </w:r>
      <w:r w:rsidR="00C12F28" w:rsidRPr="00A953EF">
        <w:t xml:space="preserve">including </w:t>
      </w:r>
      <w:r w:rsidR="009B08B3" w:rsidRPr="00A953EF">
        <w:t xml:space="preserve">on </w:t>
      </w:r>
      <w:r w:rsidR="00281ACD">
        <w:t xml:space="preserve">the </w:t>
      </w:r>
      <w:r w:rsidR="009B08B3" w:rsidRPr="00A953EF">
        <w:t>Internet.</w:t>
      </w:r>
      <w:r w:rsidR="00281ACD">
        <w:rPr>
          <w:rStyle w:val="FootnoteReference"/>
        </w:rPr>
        <w:footnoteReference w:id="7"/>
      </w:r>
    </w:p>
    <w:p w14:paraId="18351FFA" w14:textId="2F7A7C92" w:rsidR="00C12F28" w:rsidRPr="00A953EF" w:rsidRDefault="002D7C8C" w:rsidP="002D7C8C">
      <w:pPr>
        <w:pStyle w:val="SingleTxtG"/>
      </w:pPr>
      <w:r w:rsidRPr="00A953EF">
        <w:t>7.</w:t>
      </w:r>
      <w:r w:rsidRPr="00A953EF">
        <w:tab/>
      </w:r>
      <w:r w:rsidR="00C12F28" w:rsidRPr="00A953EF">
        <w:t>Measures taken to ensure that victims of racial discrimination can lodge complaints with</w:t>
      </w:r>
      <w:r w:rsidR="00FE703B">
        <w:t>out</w:t>
      </w:r>
      <w:r w:rsidR="00C12F28" w:rsidRPr="00A953EF">
        <w:t xml:space="preserve"> fear of reprisals</w:t>
      </w:r>
      <w:r w:rsidR="00D76258">
        <w:t>,</w:t>
      </w:r>
      <w:r w:rsidR="00C12F28" w:rsidRPr="00A953EF">
        <w:t xml:space="preserve"> and to increase victims’ confidence </w:t>
      </w:r>
      <w:r w:rsidR="00FE703B">
        <w:t>in</w:t>
      </w:r>
      <w:r w:rsidR="00FE703B" w:rsidRPr="00A953EF">
        <w:t xml:space="preserve"> </w:t>
      </w:r>
      <w:r w:rsidR="00C12F28" w:rsidRPr="00A953EF">
        <w:t>police and judicial authorities.</w:t>
      </w:r>
      <w:r w:rsidR="00D76258">
        <w:rPr>
          <w:rStyle w:val="FootnoteReference"/>
        </w:rPr>
        <w:footnoteReference w:id="8"/>
      </w:r>
      <w:r w:rsidR="00C12F28" w:rsidRPr="00A953EF">
        <w:t xml:space="preserve"> </w:t>
      </w:r>
    </w:p>
    <w:p w14:paraId="50309521" w14:textId="09662A89" w:rsidR="00DF3302" w:rsidRDefault="002D7C8C" w:rsidP="002D7C8C">
      <w:pPr>
        <w:pStyle w:val="SingleTxtG"/>
      </w:pPr>
      <w:r>
        <w:t>8.</w:t>
      </w:r>
      <w:r>
        <w:tab/>
      </w:r>
      <w:r w:rsidR="005F1D9F" w:rsidRPr="00A953EF">
        <w:t>Update on cases on racial discrimination, including racist hate speech and hate crimes</w:t>
      </w:r>
      <w:r w:rsidR="00442039">
        <w:t>,</w:t>
      </w:r>
      <w:r w:rsidR="005F1D9F" w:rsidRPr="00A953EF">
        <w:t xml:space="preserve"> submitted to the </w:t>
      </w:r>
      <w:r w:rsidR="00442039">
        <w:t>p</w:t>
      </w:r>
      <w:r w:rsidR="005F1D9F" w:rsidRPr="00A953EF">
        <w:t>olice</w:t>
      </w:r>
      <w:r w:rsidR="00C12F28" w:rsidRPr="00A953EF">
        <w:t xml:space="preserve"> or brought to</w:t>
      </w:r>
      <w:r w:rsidR="005F1D9F" w:rsidRPr="00A953EF">
        <w:t xml:space="preserve"> domestic courts </w:t>
      </w:r>
      <w:r w:rsidR="00442039">
        <w:t>or</w:t>
      </w:r>
      <w:r w:rsidR="005F1D9F" w:rsidRPr="00A953EF">
        <w:t xml:space="preserve"> the Gender and Equal Treatment Commissioner and the Chancellor of Justice</w:t>
      </w:r>
      <w:r w:rsidR="00634730" w:rsidRPr="00A953EF">
        <w:t>, including under articles 151</w:t>
      </w:r>
      <w:r w:rsidR="00442039">
        <w:t>–</w:t>
      </w:r>
      <w:r w:rsidR="00634730" w:rsidRPr="00A953EF">
        <w:t>153 of the Penal Code</w:t>
      </w:r>
      <w:r w:rsidR="005F1D9F" w:rsidRPr="00A953EF">
        <w:t>. Update on investigations, prosecutions</w:t>
      </w:r>
      <w:r w:rsidR="00C12F28" w:rsidRPr="00A953EF">
        <w:t xml:space="preserve"> relating to hate crimes and racist hate speech</w:t>
      </w:r>
      <w:r w:rsidR="00442039">
        <w:t>,</w:t>
      </w:r>
      <w:r w:rsidR="005F1D9F" w:rsidRPr="00A953EF">
        <w:t xml:space="preserve"> if any, and </w:t>
      </w:r>
      <w:r w:rsidR="00C12F28" w:rsidRPr="00A953EF">
        <w:t xml:space="preserve">their </w:t>
      </w:r>
      <w:r w:rsidR="005F1D9F" w:rsidRPr="00A953EF">
        <w:t>outcomes</w:t>
      </w:r>
      <w:r w:rsidR="003E07A6">
        <w:t>,</w:t>
      </w:r>
      <w:r w:rsidR="005F1D9F" w:rsidRPr="00A953EF">
        <w:t xml:space="preserve"> including sanctions </w:t>
      </w:r>
      <w:r w:rsidR="00634730" w:rsidRPr="00A953EF">
        <w:t xml:space="preserve">imposed </w:t>
      </w:r>
      <w:r w:rsidR="005F1D9F" w:rsidRPr="00A953EF">
        <w:t>a</w:t>
      </w:r>
      <w:r w:rsidR="00C12F28" w:rsidRPr="00A953EF">
        <w:t xml:space="preserve">nd </w:t>
      </w:r>
      <w:r w:rsidR="005F1D9F" w:rsidRPr="00A953EF">
        <w:t>reparation provided to victims</w:t>
      </w:r>
      <w:r w:rsidR="00634730" w:rsidRPr="00A953EF">
        <w:t>.</w:t>
      </w:r>
      <w:r w:rsidR="003E07A6">
        <w:rPr>
          <w:rStyle w:val="FootnoteReference"/>
        </w:rPr>
        <w:footnoteReference w:id="9"/>
      </w:r>
      <w:r w:rsidR="00634730" w:rsidRPr="00A953EF">
        <w:t xml:space="preserve">   </w:t>
      </w:r>
    </w:p>
    <w:p w14:paraId="1CF56F6F" w14:textId="411623BF" w:rsidR="00DF3302" w:rsidRPr="00A953EF" w:rsidRDefault="002D7C8C" w:rsidP="002D7C8C">
      <w:pPr>
        <w:pStyle w:val="SingleTxtG"/>
      </w:pPr>
      <w:r w:rsidRPr="00A953EF">
        <w:t>9.</w:t>
      </w:r>
      <w:r w:rsidRPr="00A953EF">
        <w:tab/>
      </w:r>
      <w:r w:rsidR="00DF3302">
        <w:t>Impact of awareness-raising activities undertaken to minimi</w:t>
      </w:r>
      <w:r w:rsidR="00913794">
        <w:t>z</w:t>
      </w:r>
      <w:r w:rsidR="00DF3302">
        <w:t>e negative attitudes, increase tolerance and improve the knowledge of rights among the population about differences and different situations</w:t>
      </w:r>
      <w:r w:rsidR="00DF3302" w:rsidRPr="00A953EF">
        <w:t>.</w:t>
      </w:r>
      <w:r w:rsidR="00913794">
        <w:rPr>
          <w:rStyle w:val="FootnoteReference"/>
        </w:rPr>
        <w:footnoteReference w:id="10"/>
      </w:r>
      <w:r w:rsidR="00DF3302" w:rsidRPr="00A953EF">
        <w:t xml:space="preserve"> </w:t>
      </w:r>
    </w:p>
    <w:p w14:paraId="51800435" w14:textId="7DD720E6" w:rsidR="001D2F4C" w:rsidRPr="00A953EF" w:rsidRDefault="002D7C8C" w:rsidP="002D7C8C">
      <w:pPr>
        <w:pStyle w:val="SingleTxtG"/>
      </w:pPr>
      <w:r w:rsidRPr="00A953EF">
        <w:t>10.</w:t>
      </w:r>
      <w:r w:rsidRPr="00A953EF">
        <w:tab/>
      </w:r>
      <w:r w:rsidR="00DF3302" w:rsidRPr="00A953EF">
        <w:t xml:space="preserve">Information </w:t>
      </w:r>
      <w:r w:rsidR="00800C82">
        <w:t xml:space="preserve">on </w:t>
      </w:r>
      <w:r w:rsidR="00DF3302" w:rsidRPr="00A953EF">
        <w:t>whether legal aid is available to immigrants</w:t>
      </w:r>
      <w:r w:rsidR="00800C82">
        <w:t>,</w:t>
      </w:r>
      <w:r w:rsidR="00DF3302" w:rsidRPr="00A953EF">
        <w:t xml:space="preserve"> </w:t>
      </w:r>
      <w:r w:rsidR="001D2F4C" w:rsidRPr="00A953EF">
        <w:t>irrespective of their country of origin</w:t>
      </w:r>
      <w:r w:rsidR="00DF3302" w:rsidRPr="00A953EF">
        <w:t>.</w:t>
      </w:r>
      <w:r w:rsidR="00770F26">
        <w:rPr>
          <w:rStyle w:val="FootnoteReference"/>
        </w:rPr>
        <w:footnoteReference w:id="11"/>
      </w:r>
      <w:r w:rsidR="00DF3302" w:rsidRPr="00A953EF">
        <w:t xml:space="preserve"> </w:t>
      </w:r>
    </w:p>
    <w:p w14:paraId="389F7F5A" w14:textId="78AC1CBB" w:rsidR="009B08B3" w:rsidRPr="00A953EF" w:rsidRDefault="002D7C8C" w:rsidP="002D7C8C">
      <w:pPr>
        <w:pStyle w:val="SingleTxtG"/>
      </w:pPr>
      <w:r w:rsidRPr="00A953EF">
        <w:t>11.</w:t>
      </w:r>
      <w:r w:rsidRPr="00A953EF">
        <w:tab/>
      </w:r>
      <w:r w:rsidR="005D5771" w:rsidRPr="00A953EF">
        <w:t>Promoti</w:t>
      </w:r>
      <w:r w:rsidR="00A67681" w:rsidRPr="00A953EF">
        <w:t>on of the culture and langua</w:t>
      </w:r>
      <w:r w:rsidR="005D5771" w:rsidRPr="00A953EF">
        <w:t xml:space="preserve">ges </w:t>
      </w:r>
      <w:r w:rsidR="00833DAB" w:rsidRPr="00A953EF">
        <w:t xml:space="preserve">of </w:t>
      </w:r>
      <w:r w:rsidR="005D5771" w:rsidRPr="00A953EF">
        <w:t xml:space="preserve">minority groups other than Russian, including in </w:t>
      </w:r>
      <w:r w:rsidR="002776DD">
        <w:t xml:space="preserve">the </w:t>
      </w:r>
      <w:r w:rsidR="005D5771" w:rsidRPr="00A953EF">
        <w:t>media.</w:t>
      </w:r>
      <w:r w:rsidR="00FF3C7E">
        <w:rPr>
          <w:rStyle w:val="FootnoteReference"/>
        </w:rPr>
        <w:footnoteReference w:id="12"/>
      </w:r>
      <w:r w:rsidR="00634730" w:rsidRPr="00A953EF">
        <w:t xml:space="preserve">   </w:t>
      </w:r>
    </w:p>
    <w:p w14:paraId="7F1AB1C2" w14:textId="1C20E07B" w:rsidR="004C645C" w:rsidRPr="001D1537" w:rsidRDefault="00A953EF" w:rsidP="00A953EF">
      <w:pPr>
        <w:pStyle w:val="H23G"/>
      </w:pPr>
      <w:r>
        <w:tab/>
      </w:r>
      <w:r>
        <w:tab/>
      </w:r>
      <w:r w:rsidR="001D2F4C" w:rsidRPr="001D1537">
        <w:t>Situation of ethnic minorities (art</w:t>
      </w:r>
      <w:r w:rsidR="00746E5A">
        <w:t>s</w:t>
      </w:r>
      <w:r w:rsidR="001D2F4C" w:rsidRPr="001D1537">
        <w:t>. 2</w:t>
      </w:r>
      <w:r w:rsidR="005F58F9">
        <w:t xml:space="preserve"> and</w:t>
      </w:r>
      <w:r w:rsidR="001D2F4C" w:rsidRPr="001D1537">
        <w:t xml:space="preserve"> 5)</w:t>
      </w:r>
    </w:p>
    <w:p w14:paraId="574369F1" w14:textId="019CD536" w:rsidR="00352BEB" w:rsidRDefault="002D7C8C" w:rsidP="002D7C8C">
      <w:pPr>
        <w:pStyle w:val="SingleTxtG"/>
      </w:pPr>
      <w:r>
        <w:t>12.</w:t>
      </w:r>
      <w:r>
        <w:tab/>
      </w:r>
      <w:r w:rsidR="00352BEB">
        <w:t xml:space="preserve">Measures to improve the representation of minorities in public and political life, at </w:t>
      </w:r>
      <w:r w:rsidR="00746E5A">
        <w:t xml:space="preserve">the </w:t>
      </w:r>
      <w:r w:rsidR="00352BEB">
        <w:t>local and national levels</w:t>
      </w:r>
      <w:r w:rsidR="00A43B4F">
        <w:t xml:space="preserve"> and</w:t>
      </w:r>
      <w:r w:rsidR="00352BEB">
        <w:t xml:space="preserve"> at all administrative levels</w:t>
      </w:r>
      <w:r w:rsidR="006A3530">
        <w:t>. Measures to strengthen the cooperation of Estonian authorities with the Council of Ethnic Minorities</w:t>
      </w:r>
      <w:r w:rsidR="00352BEB">
        <w:t>.</w:t>
      </w:r>
      <w:r w:rsidR="00A43B4F">
        <w:rPr>
          <w:rStyle w:val="FootnoteReference"/>
        </w:rPr>
        <w:footnoteReference w:id="13"/>
      </w:r>
      <w:r w:rsidR="00352BEB">
        <w:t xml:space="preserve"> </w:t>
      </w:r>
    </w:p>
    <w:p w14:paraId="71B0CEEB" w14:textId="2BAF5D58" w:rsidR="00A02C13" w:rsidRDefault="002D7C8C" w:rsidP="002D7C8C">
      <w:pPr>
        <w:pStyle w:val="SingleTxtG"/>
      </w:pPr>
      <w:r>
        <w:t>13.</w:t>
      </w:r>
      <w:r>
        <w:tab/>
      </w:r>
      <w:r w:rsidR="00277B60">
        <w:t xml:space="preserve">Update on the rate of employment of minority groups. Results of </w:t>
      </w:r>
      <w:r w:rsidR="00BA7F00">
        <w:t>initiatives</w:t>
      </w:r>
      <w:r w:rsidR="00277B60">
        <w:t xml:space="preserve"> taken to improve access to the labour market for minority groups</w:t>
      </w:r>
      <w:r w:rsidR="005D54B5">
        <w:t>,</w:t>
      </w:r>
      <w:r w:rsidR="004560D2">
        <w:rPr>
          <w:rStyle w:val="FootnoteReference"/>
        </w:rPr>
        <w:footnoteReference w:id="14"/>
      </w:r>
      <w:r w:rsidR="00277B60">
        <w:t xml:space="preserve"> and measures to eliminate discrepancies in </w:t>
      </w:r>
      <w:r w:rsidR="00266896">
        <w:t xml:space="preserve">conditions of </w:t>
      </w:r>
      <w:r w:rsidR="00277B60">
        <w:t>employment and remuneration between Estonians and non-Estonians due to insufficient knowledge of the Estonian language.</w:t>
      </w:r>
      <w:r w:rsidR="00266896">
        <w:rPr>
          <w:rStyle w:val="FootnoteReference"/>
        </w:rPr>
        <w:footnoteReference w:id="15"/>
      </w:r>
    </w:p>
    <w:p w14:paraId="7FFDFF67" w14:textId="7C88EB14" w:rsidR="00A63BC0" w:rsidRDefault="002D7C8C" w:rsidP="002D7C8C">
      <w:pPr>
        <w:pStyle w:val="SingleTxtG"/>
      </w:pPr>
      <w:r>
        <w:t>14.</w:t>
      </w:r>
      <w:r>
        <w:tab/>
      </w:r>
      <w:r w:rsidR="0073729C">
        <w:t xml:space="preserve">Update on </w:t>
      </w:r>
      <w:r w:rsidR="00833DAB">
        <w:t xml:space="preserve">access to education by </w:t>
      </w:r>
      <w:r w:rsidR="0073729C">
        <w:t>Roma children</w:t>
      </w:r>
      <w:r w:rsidR="00C347DE">
        <w:t>,</w:t>
      </w:r>
      <w:r w:rsidR="0073729C">
        <w:t xml:space="preserve"> including in upper secondary school. Update on the results of initiatives aimed at integrating Roma, in particular </w:t>
      </w:r>
      <w:r w:rsidR="00833DAB">
        <w:t>with regard to</w:t>
      </w:r>
      <w:r w:rsidR="00A953EF">
        <w:t xml:space="preserve"> </w:t>
      </w:r>
      <w:r w:rsidR="0073729C">
        <w:t>access to employment, education, housing and health care. Details on the Advisory Committee for Roma Integration, its mandate, composition</w:t>
      </w:r>
      <w:r w:rsidR="004150D9">
        <w:t>,</w:t>
      </w:r>
      <w:r w:rsidR="0073729C">
        <w:t xml:space="preserve"> and </w:t>
      </w:r>
      <w:r w:rsidR="00833DAB">
        <w:t xml:space="preserve">activities for </w:t>
      </w:r>
      <w:r w:rsidR="0073729C">
        <w:t>Roma integration.</w:t>
      </w:r>
      <w:r w:rsidR="004150D9">
        <w:rPr>
          <w:rStyle w:val="FootnoteReference"/>
        </w:rPr>
        <w:footnoteReference w:id="16"/>
      </w:r>
    </w:p>
    <w:p w14:paraId="781F8E50" w14:textId="3C9CA65F" w:rsidR="005D1547" w:rsidRPr="001D1537" w:rsidRDefault="00A953EF" w:rsidP="00A953EF">
      <w:pPr>
        <w:pStyle w:val="H23G"/>
      </w:pPr>
      <w:r>
        <w:tab/>
      </w:r>
      <w:r>
        <w:tab/>
      </w:r>
      <w:r w:rsidR="005D1547" w:rsidRPr="001D1537">
        <w:t>Situation of non-citizens, migrants, asylum seekers, refugees and stateless persons (art. 5)</w:t>
      </w:r>
    </w:p>
    <w:p w14:paraId="6EF40B33" w14:textId="11837E17" w:rsidR="00833DAB" w:rsidRPr="00833DAB" w:rsidRDefault="002D7C8C" w:rsidP="002D7C8C">
      <w:pPr>
        <w:pStyle w:val="SingleTxtG"/>
      </w:pPr>
      <w:r w:rsidRPr="00833DAB">
        <w:t>15.</w:t>
      </w:r>
      <w:r w:rsidRPr="00833DAB">
        <w:tab/>
      </w:r>
      <w:r w:rsidR="00833DAB" w:rsidRPr="00A953EF">
        <w:t xml:space="preserve">Measures taken to include citizenship, race and ethnic origin as grounds of discrimination </w:t>
      </w:r>
      <w:r w:rsidR="008E76A5">
        <w:t>under</w:t>
      </w:r>
      <w:r w:rsidR="008E76A5" w:rsidRPr="00A953EF">
        <w:t xml:space="preserve"> </w:t>
      </w:r>
      <w:r w:rsidR="00833DAB" w:rsidRPr="00A953EF">
        <w:t>the Equal Treatment Act.</w:t>
      </w:r>
      <w:r w:rsidR="008E76A5">
        <w:rPr>
          <w:rStyle w:val="FootnoteReference"/>
        </w:rPr>
        <w:footnoteReference w:id="17"/>
      </w:r>
    </w:p>
    <w:p w14:paraId="42DC2B41" w14:textId="2CECBFB6" w:rsidR="005D1547" w:rsidRPr="005D1547" w:rsidRDefault="002D7C8C" w:rsidP="002D7C8C">
      <w:pPr>
        <w:pStyle w:val="SingleTxtG"/>
      </w:pPr>
      <w:r w:rsidRPr="005D1547">
        <w:t>16.</w:t>
      </w:r>
      <w:r w:rsidRPr="005D1547">
        <w:tab/>
      </w:r>
      <w:r w:rsidR="005D1547" w:rsidRPr="005D1547">
        <w:t>Update on the acquisition of Estonian citizenship</w:t>
      </w:r>
      <w:r w:rsidR="00906F5C">
        <w:t>,</w:t>
      </w:r>
      <w:r w:rsidR="005D1547" w:rsidRPr="005D1547">
        <w:t xml:space="preserve"> including by persons with undetermined citizenship. Measures taken at </w:t>
      </w:r>
      <w:r w:rsidR="00DA45EB">
        <w:t xml:space="preserve">the </w:t>
      </w:r>
      <w:r w:rsidR="005D1547" w:rsidRPr="005D1547">
        <w:t xml:space="preserve">local and national levels to identify stateless </w:t>
      </w:r>
      <w:r w:rsidR="005D1547" w:rsidRPr="005D1547">
        <w:lastRenderedPageBreak/>
        <w:t>persons</w:t>
      </w:r>
      <w:r w:rsidR="00F74C85">
        <w:t>,</w:t>
      </w:r>
      <w:r w:rsidR="005D1547" w:rsidRPr="005D1547">
        <w:t xml:space="preserve"> </w:t>
      </w:r>
      <w:r w:rsidR="00DA45EB">
        <w:t xml:space="preserve">to </w:t>
      </w:r>
      <w:r w:rsidR="005D1547" w:rsidRPr="005D1547">
        <w:t xml:space="preserve">prevent statelessness </w:t>
      </w:r>
      <w:r w:rsidR="00DA45EB">
        <w:t>and</w:t>
      </w:r>
      <w:r w:rsidR="005D1547" w:rsidRPr="005D1547">
        <w:t xml:space="preserve"> to facilitate the acquisition of citizenship by </w:t>
      </w:r>
      <w:r w:rsidR="005D1547" w:rsidRPr="00E7301C">
        <w:t>stateless persons. Impact of awareness-raising meetings and round</w:t>
      </w:r>
      <w:r w:rsidR="00425D96">
        <w:t xml:space="preserve"> </w:t>
      </w:r>
      <w:r w:rsidR="005D1547" w:rsidRPr="00E7301C">
        <w:t>tables organi</w:t>
      </w:r>
      <w:r w:rsidR="00F74C85">
        <w:t>z</w:t>
      </w:r>
      <w:r w:rsidR="005D1547" w:rsidRPr="00E7301C">
        <w:t xml:space="preserve">ed to </w:t>
      </w:r>
      <w:r w:rsidR="005D1547" w:rsidRPr="00C966E6">
        <w:t xml:space="preserve">encourage </w:t>
      </w:r>
      <w:r w:rsidR="005240E4" w:rsidRPr="00C966E6">
        <w:t xml:space="preserve">eligible </w:t>
      </w:r>
      <w:r w:rsidR="005240E4">
        <w:t xml:space="preserve">members of the </w:t>
      </w:r>
      <w:r w:rsidR="005240E4" w:rsidRPr="00C966E6">
        <w:t xml:space="preserve">population </w:t>
      </w:r>
      <w:r w:rsidR="005240E4">
        <w:t xml:space="preserve">to </w:t>
      </w:r>
      <w:r w:rsidR="005D1547" w:rsidRPr="00C966E6">
        <w:t>appl</w:t>
      </w:r>
      <w:r w:rsidR="005240E4">
        <w:t xml:space="preserve">y for </w:t>
      </w:r>
      <w:r w:rsidR="005D1547" w:rsidRPr="00C966E6">
        <w:t>citizenship</w:t>
      </w:r>
      <w:r w:rsidR="005D1547" w:rsidRPr="006C6176">
        <w:t>.</w:t>
      </w:r>
      <w:r w:rsidR="00B94B5F">
        <w:rPr>
          <w:rStyle w:val="FootnoteReference"/>
        </w:rPr>
        <w:footnoteReference w:id="18"/>
      </w:r>
    </w:p>
    <w:p w14:paraId="13743901" w14:textId="45ECEA7E" w:rsidR="005D1547" w:rsidRDefault="002D7C8C" w:rsidP="002D7C8C">
      <w:pPr>
        <w:pStyle w:val="SingleTxtG"/>
      </w:pPr>
      <w:r>
        <w:t>17.</w:t>
      </w:r>
      <w:r>
        <w:tab/>
      </w:r>
      <w:r w:rsidR="005D1547" w:rsidRPr="005D1547">
        <w:t xml:space="preserve">Update on the number of non-Estonians </w:t>
      </w:r>
      <w:r w:rsidR="00AA289C">
        <w:t>in</w:t>
      </w:r>
      <w:r w:rsidR="00AA289C" w:rsidRPr="005D1547">
        <w:t xml:space="preserve"> </w:t>
      </w:r>
      <w:r w:rsidR="005D1547" w:rsidRPr="005D1547">
        <w:t xml:space="preserve">the prison population, in particular those with undetermined citizenship. Measures to prevent racial discrimination against non-citizens in </w:t>
      </w:r>
      <w:r w:rsidR="00833DAB">
        <w:t xml:space="preserve">the </w:t>
      </w:r>
      <w:r w:rsidR="005D1547" w:rsidRPr="005D1547">
        <w:t>criminal justice system.</w:t>
      </w:r>
      <w:r w:rsidR="00AA289C">
        <w:rPr>
          <w:rStyle w:val="FootnoteReference"/>
        </w:rPr>
        <w:footnoteReference w:id="19"/>
      </w:r>
    </w:p>
    <w:p w14:paraId="551FB3EC" w14:textId="10090AB8" w:rsidR="005D1547" w:rsidRDefault="002D7C8C" w:rsidP="002D7C8C">
      <w:pPr>
        <w:pStyle w:val="SingleTxtG"/>
      </w:pPr>
      <w:r>
        <w:t>18.</w:t>
      </w:r>
      <w:r>
        <w:tab/>
      </w:r>
      <w:r w:rsidR="00B92DA9">
        <w:t xml:space="preserve">Measures to ensure fully the principle of non-refoulement of asylum seekers arriving at border-crossing points in the State party and </w:t>
      </w:r>
      <w:r w:rsidR="00475FB7">
        <w:t xml:space="preserve">who </w:t>
      </w:r>
      <w:r w:rsidR="00B92DA9">
        <w:t>could</w:t>
      </w:r>
      <w:r w:rsidR="00833DAB">
        <w:t>, in practice,</w:t>
      </w:r>
      <w:r w:rsidR="00B92DA9">
        <w:t xml:space="preserve"> lodge asylum applications. </w:t>
      </w:r>
      <w:r w:rsidR="00833DAB">
        <w:t xml:space="preserve">Measures to provide free legal aid to asylum applicants. Measures to ensure that that individuals applying for asylum are released from any criminal liability </w:t>
      </w:r>
      <w:r w:rsidR="00C82269">
        <w:t xml:space="preserve">for </w:t>
      </w:r>
      <w:r w:rsidR="00833DAB">
        <w:t xml:space="preserve">illegal entry to the territory. </w:t>
      </w:r>
      <w:r w:rsidR="00B92DA9">
        <w:t xml:space="preserve">Measures to establish an independent asylum monitoring system at border-crossing points. </w:t>
      </w:r>
      <w:r w:rsidR="00C966E6">
        <w:t>Measures to improve the living conditions of asylum seekers and refugees in reception centres.</w:t>
      </w:r>
    </w:p>
    <w:p w14:paraId="24E98F1F" w14:textId="35080733" w:rsidR="00C966E6" w:rsidRDefault="002D7C8C" w:rsidP="002D7C8C">
      <w:pPr>
        <w:pStyle w:val="SingleTxtG"/>
      </w:pPr>
      <w:r>
        <w:t>19.</w:t>
      </w:r>
      <w:r>
        <w:tab/>
      </w:r>
      <w:r w:rsidR="00C966E6">
        <w:t xml:space="preserve">Update on the adoption of a </w:t>
      </w:r>
      <w:r w:rsidR="006C6176">
        <w:t xml:space="preserve">comprehensive national refugee integration strategy and its implementation. </w:t>
      </w:r>
    </w:p>
    <w:p w14:paraId="2040015F" w14:textId="57355B9A" w:rsidR="006C6176" w:rsidRDefault="002D7C8C" w:rsidP="002D7C8C">
      <w:pPr>
        <w:pStyle w:val="SingleTxtG"/>
      </w:pPr>
      <w:r>
        <w:t>20.</w:t>
      </w:r>
      <w:r>
        <w:tab/>
      </w:r>
      <w:r w:rsidR="006C6176">
        <w:t xml:space="preserve">Update on economic indicators </w:t>
      </w:r>
      <w:r w:rsidR="00833DAB">
        <w:t>on</w:t>
      </w:r>
      <w:r w:rsidR="006C6176">
        <w:t xml:space="preserve"> the integration of migrants</w:t>
      </w:r>
      <w:r w:rsidR="006F1AFB">
        <w:t>,</w:t>
      </w:r>
      <w:r w:rsidR="006C6176">
        <w:t xml:space="preserve"> including asylum seekers, refugees and stateless persons, with regard to education, health care, employment and housing. </w:t>
      </w:r>
    </w:p>
    <w:p w14:paraId="3D325976" w14:textId="60CDEE21" w:rsidR="00D8614E" w:rsidRDefault="002D7C8C" w:rsidP="002D7C8C">
      <w:pPr>
        <w:pStyle w:val="SingleTxtG"/>
        <w:spacing w:before="240" w:after="0"/>
      </w:pPr>
      <w:r>
        <w:t>21.</w:t>
      </w:r>
      <w:r>
        <w:tab/>
      </w:r>
      <w:r w:rsidR="00D8614E" w:rsidRPr="00F26064">
        <w:t>Information on the impact of the coronavirus disease (COVID-19) pandemic on persons most vulnerable to discrimination and the different groups protected by the Convention, including</w:t>
      </w:r>
      <w:r w:rsidR="00D8614E" w:rsidRPr="005513C5">
        <w:t xml:space="preserve"> </w:t>
      </w:r>
      <w:r w:rsidR="00D8614E" w:rsidRPr="008124B9">
        <w:t>ethnic minority groups</w:t>
      </w:r>
      <w:r w:rsidR="00D8614E">
        <w:t xml:space="preserve">, </w:t>
      </w:r>
      <w:r w:rsidR="00D8614E" w:rsidRPr="008124B9">
        <w:t>indigenous peoples</w:t>
      </w:r>
      <w:r w:rsidR="00D8614E">
        <w:t xml:space="preserve"> and</w:t>
      </w:r>
      <w:r w:rsidR="00D8614E" w:rsidRPr="00F26064">
        <w:t xml:space="preserve"> non-citizens. Include measures taken to protect them against the effects of the COVID-19 pandemic; to protect them against discriminatory acts, and to counter hate speech and stigmatization in connection with the pandemic; </w:t>
      </w:r>
      <w:r w:rsidR="00D8614E">
        <w:t>and</w:t>
      </w:r>
      <w:r w:rsidR="00D8614E" w:rsidRPr="00F26064">
        <w:t xml:space="preserve"> to mitigate the socioeconomic impact of the pandemic on such persons and groups.</w:t>
      </w:r>
    </w:p>
    <w:p w14:paraId="751FEAAF" w14:textId="647B25F8" w:rsidR="00A953EF" w:rsidRPr="00A953EF" w:rsidRDefault="00A953EF" w:rsidP="00A953EF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A953EF" w:rsidRPr="00A953EF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A50EE1" w14:textId="77777777" w:rsidR="00C922C4" w:rsidRDefault="00C922C4">
      <w:pPr>
        <w:spacing w:line="240" w:lineRule="auto"/>
      </w:pPr>
      <w:r>
        <w:separator/>
      </w:r>
    </w:p>
  </w:endnote>
  <w:endnote w:type="continuationSeparator" w:id="0">
    <w:p w14:paraId="4F54DD13" w14:textId="77777777" w:rsidR="00C922C4" w:rsidRDefault="00C922C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3B1CF0" w14:textId="1936E3BA" w:rsidR="00C62D50" w:rsidRDefault="0066027C">
    <w:pPr>
      <w:pStyle w:val="Footer"/>
      <w:tabs>
        <w:tab w:val="right" w:pos="9639"/>
      </w:tabs>
    </w:pPr>
    <w:r>
      <w:rPr>
        <w:b/>
        <w:sz w:val="18"/>
      </w:rPr>
      <w:fldChar w:fldCharType="begin"/>
    </w:r>
    <w:r>
      <w:rPr>
        <w:b/>
        <w:sz w:val="18"/>
      </w:rPr>
      <w:instrText xml:space="preserve"> PAGE  \* MERGEFORMAT </w:instrText>
    </w:r>
    <w:r>
      <w:rPr>
        <w:b/>
        <w:sz w:val="18"/>
      </w:rPr>
      <w:fldChar w:fldCharType="separate"/>
    </w:r>
    <w:r w:rsidR="00CC21EB">
      <w:rPr>
        <w:b/>
        <w:noProof/>
        <w:sz w:val="18"/>
      </w:rPr>
      <w:t>2</w:t>
    </w:r>
    <w:r>
      <w:rPr>
        <w:b/>
        <w:sz w:val="18"/>
      </w:rPr>
      <w:fldChar w:fldCharType="end"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AEAC34" w14:textId="30A2F99F" w:rsidR="00C62D50" w:rsidRDefault="00664656">
    <w:pPr>
      <w:pStyle w:val="Footer"/>
      <w:tabs>
        <w:tab w:val="right" w:pos="9639"/>
      </w:tabs>
      <w:rPr>
        <w:sz w:val="20"/>
      </w:rPr>
    </w:pPr>
    <w:r>
      <w:tab/>
    </w:r>
    <w:r>
      <w:rPr>
        <w:b/>
        <w:sz w:val="18"/>
      </w:rPr>
      <w:fldChar w:fldCharType="begin"/>
    </w:r>
    <w:r>
      <w:rPr>
        <w:b/>
        <w:sz w:val="18"/>
      </w:rPr>
      <w:instrText xml:space="preserve"> PAGE  \* MERGEFORMAT </w:instrText>
    </w:r>
    <w:r>
      <w:rPr>
        <w:b/>
        <w:sz w:val="18"/>
      </w:rPr>
      <w:fldChar w:fldCharType="separate"/>
    </w:r>
    <w:r w:rsidR="00CC21EB">
      <w:rPr>
        <w:b/>
        <w:noProof/>
        <w:sz w:val="18"/>
      </w:rPr>
      <w:t>3</w:t>
    </w:r>
    <w:r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23932" w14:textId="39C02766" w:rsidR="002E4A71" w:rsidRDefault="002E4A71" w:rsidP="002E4A71">
    <w:pPr>
      <w:pStyle w:val="Footer"/>
    </w:pPr>
    <w:r w:rsidRPr="0027112F">
      <w:rPr>
        <w:noProof/>
        <w:lang w:val="en-US"/>
      </w:rPr>
      <w:drawing>
        <wp:anchor distT="0" distB="0" distL="114300" distR="114300" simplePos="0" relativeHeight="251659264" behindDoc="0" locked="1" layoutInCell="1" allowOverlap="1" wp14:anchorId="06CE95F0" wp14:editId="3E5ABAE1">
          <wp:simplePos x="0" y="0"/>
          <wp:positionH relativeFrom="column">
            <wp:posOffset>4558030</wp:posOffset>
          </wp:positionH>
          <wp:positionV relativeFrom="page">
            <wp:posOffset>10128250</wp:posOffset>
          </wp:positionV>
          <wp:extent cx="932400" cy="230400"/>
          <wp:effectExtent l="0" t="0" r="1270" b="0"/>
          <wp:wrapNone/>
          <wp:docPr id="5" name="Picture 5" descr="Please recycl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BB44FD8" w14:textId="578AE0C5" w:rsidR="002E4A71" w:rsidRPr="002E4A71" w:rsidRDefault="002E4A71" w:rsidP="002E4A71">
    <w:pPr>
      <w:pStyle w:val="Footer"/>
      <w:ind w:right="1134"/>
      <w:rPr>
        <w:sz w:val="20"/>
      </w:rPr>
    </w:pPr>
    <w:r>
      <w:rPr>
        <w:sz w:val="20"/>
      </w:rPr>
      <w:t>GE.22-03909(E)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61514B29" wp14:editId="53C338A1">
          <wp:simplePos x="0" y="0"/>
          <wp:positionH relativeFrom="margin">
            <wp:posOffset>5615940</wp:posOffset>
          </wp:positionH>
          <wp:positionV relativeFrom="margin">
            <wp:posOffset>8905875</wp:posOffset>
          </wp:positionV>
          <wp:extent cx="561975" cy="561975"/>
          <wp:effectExtent l="0" t="0" r="9525" b="952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BD74E0" w14:textId="77777777" w:rsidR="00C922C4" w:rsidRDefault="00C922C4">
      <w:pPr>
        <w:spacing w:line="240" w:lineRule="auto"/>
      </w:pPr>
      <w:r>
        <w:separator/>
      </w:r>
    </w:p>
  </w:footnote>
  <w:footnote w:type="continuationSeparator" w:id="0">
    <w:p w14:paraId="0648EAEF" w14:textId="77777777" w:rsidR="00C922C4" w:rsidRDefault="00C922C4">
      <w:pPr>
        <w:spacing w:line="240" w:lineRule="auto"/>
      </w:pPr>
      <w:r>
        <w:continuationSeparator/>
      </w:r>
    </w:p>
  </w:footnote>
  <w:footnote w:id="1">
    <w:p w14:paraId="5838BBF5" w14:textId="4778A529" w:rsidR="00F31DD4" w:rsidRPr="00F31DD4" w:rsidRDefault="00F31DD4">
      <w:pPr>
        <w:pStyle w:val="FootnoteText"/>
      </w:pPr>
      <w:r>
        <w:rPr>
          <w:rStyle w:val="FootnoteReference"/>
        </w:rPr>
        <w:tab/>
      </w:r>
      <w:r w:rsidRPr="00F31DD4">
        <w:rPr>
          <w:rStyle w:val="FootnoteReference"/>
          <w:sz w:val="20"/>
          <w:vertAlign w:val="baseline"/>
        </w:rPr>
        <w:t>*</w:t>
      </w:r>
      <w:r>
        <w:rPr>
          <w:rStyle w:val="FootnoteReference"/>
          <w:sz w:val="20"/>
          <w:vertAlign w:val="baseline"/>
        </w:rPr>
        <w:tab/>
      </w:r>
      <w:r>
        <w:rPr>
          <w:color w:val="000000"/>
          <w:shd w:val="clear" w:color="auto" w:fill="FFFFFF"/>
          <w:lang w:val="en-US"/>
        </w:rPr>
        <w:t>Agreement was reached to publish the present document after the standard publication date owing to circumstances beyond the submitter's control.</w:t>
      </w:r>
    </w:p>
  </w:footnote>
  <w:footnote w:id="2">
    <w:p w14:paraId="07644F61" w14:textId="1A9FB476" w:rsidR="00635AC8" w:rsidRPr="00F31DD4" w:rsidRDefault="00635AC8" w:rsidP="00635AC8">
      <w:pPr>
        <w:pStyle w:val="FootnoteText"/>
        <w:rPr>
          <w:lang w:val="es-ES"/>
        </w:rPr>
      </w:pPr>
      <w:r>
        <w:tab/>
      </w:r>
      <w:r>
        <w:rPr>
          <w:rStyle w:val="FootnoteReference"/>
        </w:rPr>
        <w:footnoteRef/>
      </w:r>
      <w:r w:rsidRPr="00F31DD4">
        <w:rPr>
          <w:lang w:val="es-ES"/>
        </w:rPr>
        <w:t xml:space="preserve"> </w:t>
      </w:r>
      <w:r w:rsidRPr="00F31DD4">
        <w:rPr>
          <w:lang w:val="es-ES"/>
        </w:rPr>
        <w:tab/>
      </w:r>
      <w:hyperlink r:id="rId1" w:history="1">
        <w:r w:rsidRPr="00B67FB6">
          <w:rPr>
            <w:rStyle w:val="Hyperlink"/>
            <w:lang w:val="es-ES"/>
          </w:rPr>
          <w:t>A/65/18</w:t>
        </w:r>
      </w:hyperlink>
      <w:r w:rsidRPr="00F31DD4">
        <w:rPr>
          <w:lang w:val="es-ES"/>
        </w:rPr>
        <w:t>, para. 85.</w:t>
      </w:r>
    </w:p>
  </w:footnote>
  <w:footnote w:id="3">
    <w:p w14:paraId="0A4D47BC" w14:textId="7CBF011F" w:rsidR="00FE24B7" w:rsidRPr="00F31DD4" w:rsidRDefault="00FE24B7">
      <w:pPr>
        <w:pStyle w:val="FootnoteText"/>
        <w:rPr>
          <w:lang w:val="en-US"/>
        </w:rPr>
      </w:pPr>
      <w:r w:rsidRPr="00F31DD4">
        <w:rPr>
          <w:lang w:val="es-ES"/>
        </w:rPr>
        <w:tab/>
      </w:r>
      <w:r>
        <w:rPr>
          <w:rStyle w:val="FootnoteReference"/>
        </w:rPr>
        <w:footnoteRef/>
      </w:r>
      <w:r w:rsidRPr="00F31DD4">
        <w:rPr>
          <w:lang w:val="es-ES"/>
        </w:rPr>
        <w:t xml:space="preserve"> </w:t>
      </w:r>
      <w:r w:rsidRPr="00F31DD4">
        <w:rPr>
          <w:lang w:val="es-ES"/>
        </w:rPr>
        <w:tab/>
      </w:r>
      <w:hyperlink r:id="rId2" w:history="1">
        <w:r w:rsidRPr="00B67FB6">
          <w:rPr>
            <w:rStyle w:val="Hyperlink"/>
            <w:lang w:val="es-ES"/>
          </w:rPr>
          <w:t>CERD/C/EST/12-13</w:t>
        </w:r>
      </w:hyperlink>
      <w:r w:rsidRPr="00F31DD4">
        <w:rPr>
          <w:lang w:val="es-ES"/>
        </w:rPr>
        <w:t>, para</w:t>
      </w:r>
      <w:r w:rsidR="00195D1B" w:rsidRPr="00F31DD4">
        <w:rPr>
          <w:lang w:val="es-ES"/>
        </w:rPr>
        <w:t>s</w:t>
      </w:r>
      <w:r w:rsidRPr="00F31DD4">
        <w:rPr>
          <w:lang w:val="es-ES"/>
        </w:rPr>
        <w:t xml:space="preserve">. </w:t>
      </w:r>
      <w:r>
        <w:rPr>
          <w:lang w:val="en-US"/>
        </w:rPr>
        <w:t>15</w:t>
      </w:r>
      <w:r w:rsidR="00244C0C">
        <w:rPr>
          <w:lang w:val="en-US"/>
        </w:rPr>
        <w:t>–</w:t>
      </w:r>
      <w:r>
        <w:rPr>
          <w:lang w:val="en-US"/>
        </w:rPr>
        <w:t>1</w:t>
      </w:r>
      <w:r w:rsidR="00772EB5">
        <w:rPr>
          <w:lang w:val="en-US"/>
        </w:rPr>
        <w:t>7</w:t>
      </w:r>
      <w:r>
        <w:rPr>
          <w:lang w:val="en-US"/>
        </w:rPr>
        <w:t xml:space="preserve">; </w:t>
      </w:r>
      <w:r w:rsidR="00F80BAC">
        <w:rPr>
          <w:lang w:val="en-US"/>
        </w:rPr>
        <w:t xml:space="preserve">and </w:t>
      </w:r>
      <w:hyperlink r:id="rId3" w:history="1">
        <w:r w:rsidRPr="00B67FB6">
          <w:rPr>
            <w:rStyle w:val="Hyperlink"/>
            <w:lang w:val="en-US"/>
          </w:rPr>
          <w:t>CERD/C/EST/CO/10-11</w:t>
        </w:r>
      </w:hyperlink>
      <w:r>
        <w:rPr>
          <w:lang w:val="en-US"/>
        </w:rPr>
        <w:t>, para. 6.</w:t>
      </w:r>
    </w:p>
  </w:footnote>
  <w:footnote w:id="4">
    <w:p w14:paraId="03737656" w14:textId="5DA779E2" w:rsidR="00755460" w:rsidRPr="00F31DD4" w:rsidRDefault="00755460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 xml:space="preserve"> </w:t>
      </w:r>
      <w:r>
        <w:tab/>
      </w:r>
      <w:hyperlink r:id="rId4" w:history="1">
        <w:r w:rsidRPr="00B67FB6">
          <w:rPr>
            <w:rStyle w:val="Hyperlink"/>
            <w:lang w:val="en-US"/>
          </w:rPr>
          <w:t>CERD/C/EST/12-13</w:t>
        </w:r>
      </w:hyperlink>
      <w:r>
        <w:rPr>
          <w:lang w:val="en-US"/>
        </w:rPr>
        <w:t>, para</w:t>
      </w:r>
      <w:r w:rsidR="00195D1B">
        <w:rPr>
          <w:lang w:val="en-US"/>
        </w:rPr>
        <w:t>s</w:t>
      </w:r>
      <w:r>
        <w:rPr>
          <w:lang w:val="en-US"/>
        </w:rPr>
        <w:t>. 105</w:t>
      </w:r>
      <w:r w:rsidR="00244C0C">
        <w:rPr>
          <w:lang w:val="en-US"/>
        </w:rPr>
        <w:t>–</w:t>
      </w:r>
      <w:r>
        <w:rPr>
          <w:lang w:val="en-US"/>
        </w:rPr>
        <w:t xml:space="preserve">107; </w:t>
      </w:r>
      <w:r w:rsidR="00F80BAC">
        <w:rPr>
          <w:lang w:val="en-US"/>
        </w:rPr>
        <w:t xml:space="preserve">and </w:t>
      </w:r>
      <w:hyperlink r:id="rId5" w:history="1">
        <w:r w:rsidRPr="00B67FB6">
          <w:rPr>
            <w:rStyle w:val="Hyperlink"/>
            <w:lang w:val="en-US"/>
          </w:rPr>
          <w:t>CERD/C/EST/CO/10-11</w:t>
        </w:r>
      </w:hyperlink>
      <w:r>
        <w:rPr>
          <w:lang w:val="en-US"/>
        </w:rPr>
        <w:t>, para. 7.</w:t>
      </w:r>
    </w:p>
  </w:footnote>
  <w:footnote w:id="5">
    <w:p w14:paraId="28BB42CD" w14:textId="42F5CB2C" w:rsidR="005F1EE1" w:rsidRPr="00F31DD4" w:rsidRDefault="005439B8">
      <w:pPr>
        <w:pStyle w:val="FootnoteText"/>
        <w:rPr>
          <w:lang w:val="es-ES"/>
        </w:rPr>
      </w:pPr>
      <w:r>
        <w:tab/>
      </w:r>
      <w:r w:rsidR="005F1EE1">
        <w:rPr>
          <w:rStyle w:val="FootnoteReference"/>
        </w:rPr>
        <w:footnoteRef/>
      </w:r>
      <w:r w:rsidR="005F1EE1">
        <w:t xml:space="preserve"> </w:t>
      </w:r>
      <w:r>
        <w:tab/>
      </w:r>
      <w:hyperlink r:id="rId6" w:history="1">
        <w:r w:rsidRPr="00B67FB6">
          <w:rPr>
            <w:rStyle w:val="Hyperlink"/>
          </w:rPr>
          <w:t>CERD/C/EST/12-13</w:t>
        </w:r>
      </w:hyperlink>
      <w:r w:rsidRPr="00A953EF">
        <w:t>, para</w:t>
      </w:r>
      <w:r w:rsidR="00195D1B">
        <w:t>s</w:t>
      </w:r>
      <w:r w:rsidRPr="00A953EF">
        <w:t>. 10</w:t>
      </w:r>
      <w:r w:rsidR="00BE6373">
        <w:t>9</w:t>
      </w:r>
      <w:r w:rsidR="00244C0C">
        <w:rPr>
          <w:lang w:val="en-US"/>
        </w:rPr>
        <w:t>–</w:t>
      </w:r>
      <w:r w:rsidRPr="00A953EF">
        <w:t xml:space="preserve">112; </w:t>
      </w:r>
      <w:r w:rsidR="005C5F32">
        <w:t xml:space="preserve">and </w:t>
      </w:r>
      <w:hyperlink r:id="rId7" w:history="1">
        <w:r w:rsidRPr="00B67FB6">
          <w:rPr>
            <w:rStyle w:val="Hyperlink"/>
          </w:rPr>
          <w:t>CERD/C/EST/CO/10-11</w:t>
        </w:r>
      </w:hyperlink>
      <w:r w:rsidRPr="00A953EF">
        <w:t xml:space="preserve">, para. </w:t>
      </w:r>
      <w:r w:rsidRPr="00F31DD4">
        <w:rPr>
          <w:lang w:val="es-ES"/>
        </w:rPr>
        <w:t>8.</w:t>
      </w:r>
    </w:p>
  </w:footnote>
  <w:footnote w:id="6">
    <w:p w14:paraId="7FF80A5C" w14:textId="459C5B53" w:rsidR="00F16C7B" w:rsidRPr="00F31DD4" w:rsidRDefault="00F16C7B">
      <w:pPr>
        <w:pStyle w:val="FootnoteText"/>
        <w:rPr>
          <w:lang w:val="es-ES"/>
        </w:rPr>
      </w:pPr>
      <w:r w:rsidRPr="00F31DD4">
        <w:rPr>
          <w:lang w:val="es-ES"/>
        </w:rPr>
        <w:tab/>
      </w:r>
      <w:r>
        <w:rPr>
          <w:rStyle w:val="FootnoteReference"/>
        </w:rPr>
        <w:footnoteRef/>
      </w:r>
      <w:r w:rsidRPr="00F31DD4">
        <w:rPr>
          <w:lang w:val="es-ES"/>
        </w:rPr>
        <w:t xml:space="preserve"> </w:t>
      </w:r>
      <w:r w:rsidRPr="00F31DD4">
        <w:rPr>
          <w:lang w:val="es-ES"/>
        </w:rPr>
        <w:tab/>
      </w:r>
      <w:hyperlink r:id="rId8" w:history="1">
        <w:r w:rsidRPr="00B67FB6">
          <w:rPr>
            <w:rStyle w:val="Hyperlink"/>
            <w:lang w:val="es-ES"/>
          </w:rPr>
          <w:t>CERD/C/EST/12-13</w:t>
        </w:r>
      </w:hyperlink>
      <w:r w:rsidRPr="00F31DD4">
        <w:rPr>
          <w:lang w:val="es-ES"/>
        </w:rPr>
        <w:t xml:space="preserve">, para. </w:t>
      </w:r>
      <w:r w:rsidR="007261F0" w:rsidRPr="00F31DD4">
        <w:rPr>
          <w:lang w:val="es-ES"/>
        </w:rPr>
        <w:t>105–</w:t>
      </w:r>
      <w:r w:rsidR="00BB1675" w:rsidRPr="00F31DD4">
        <w:rPr>
          <w:lang w:val="es-ES"/>
        </w:rPr>
        <w:t>111</w:t>
      </w:r>
      <w:r w:rsidRPr="00F31DD4">
        <w:rPr>
          <w:lang w:val="es-ES"/>
        </w:rPr>
        <w:t>.</w:t>
      </w:r>
    </w:p>
  </w:footnote>
  <w:footnote w:id="7">
    <w:p w14:paraId="271B9D17" w14:textId="2D2B01CA" w:rsidR="00281ACD" w:rsidRPr="00F31DD4" w:rsidRDefault="00281ACD">
      <w:pPr>
        <w:pStyle w:val="FootnoteText"/>
        <w:rPr>
          <w:lang w:val="es-ES"/>
        </w:rPr>
      </w:pPr>
      <w:r w:rsidRPr="00F31DD4">
        <w:rPr>
          <w:lang w:val="es-ES"/>
        </w:rPr>
        <w:tab/>
      </w:r>
      <w:r>
        <w:rPr>
          <w:rStyle w:val="FootnoteReference"/>
        </w:rPr>
        <w:footnoteRef/>
      </w:r>
      <w:r w:rsidRPr="00F31DD4">
        <w:rPr>
          <w:lang w:val="es-ES"/>
        </w:rPr>
        <w:t xml:space="preserve"> </w:t>
      </w:r>
      <w:r w:rsidRPr="00F31DD4">
        <w:rPr>
          <w:lang w:val="es-ES"/>
        </w:rPr>
        <w:tab/>
      </w:r>
      <w:r w:rsidR="00392295" w:rsidRPr="00F31DD4">
        <w:rPr>
          <w:lang w:val="es-ES"/>
        </w:rPr>
        <w:t>Ibid.</w:t>
      </w:r>
      <w:r w:rsidRPr="00F31DD4">
        <w:rPr>
          <w:lang w:val="es-ES"/>
        </w:rPr>
        <w:t>, para</w:t>
      </w:r>
      <w:r w:rsidR="00195D1B" w:rsidRPr="00F31DD4">
        <w:rPr>
          <w:lang w:val="es-ES"/>
        </w:rPr>
        <w:t>s</w:t>
      </w:r>
      <w:r w:rsidRPr="00F31DD4">
        <w:rPr>
          <w:lang w:val="es-ES"/>
        </w:rPr>
        <w:t>. 104–105.</w:t>
      </w:r>
    </w:p>
  </w:footnote>
  <w:footnote w:id="8">
    <w:p w14:paraId="3FB684BA" w14:textId="1532E474" w:rsidR="00D76258" w:rsidRPr="00F31DD4" w:rsidRDefault="00D76258">
      <w:pPr>
        <w:pStyle w:val="FootnoteText"/>
        <w:rPr>
          <w:lang w:val="en-US"/>
        </w:rPr>
      </w:pPr>
      <w:r w:rsidRPr="00F31DD4">
        <w:rPr>
          <w:lang w:val="es-ES"/>
        </w:rPr>
        <w:tab/>
      </w:r>
      <w:r>
        <w:rPr>
          <w:rStyle w:val="FootnoteReference"/>
        </w:rPr>
        <w:footnoteRef/>
      </w:r>
      <w:r w:rsidRPr="00F31DD4">
        <w:rPr>
          <w:lang w:val="es-ES"/>
        </w:rPr>
        <w:t xml:space="preserve"> </w:t>
      </w:r>
      <w:r w:rsidRPr="00F31DD4">
        <w:rPr>
          <w:lang w:val="es-ES"/>
        </w:rPr>
        <w:tab/>
      </w:r>
      <w:hyperlink r:id="rId9" w:history="1">
        <w:r w:rsidRPr="00B67FB6">
          <w:rPr>
            <w:rStyle w:val="Hyperlink"/>
            <w:lang w:val="es-ES"/>
          </w:rPr>
          <w:t>CERD/C/EST/CO/10-11</w:t>
        </w:r>
      </w:hyperlink>
      <w:r w:rsidRPr="00F31DD4">
        <w:rPr>
          <w:lang w:val="es-ES"/>
        </w:rPr>
        <w:t xml:space="preserve">, para. </w:t>
      </w:r>
      <w:r w:rsidRPr="00A953EF">
        <w:t>15</w:t>
      </w:r>
      <w:r>
        <w:t>.</w:t>
      </w:r>
    </w:p>
  </w:footnote>
  <w:footnote w:id="9">
    <w:p w14:paraId="40A1ABED" w14:textId="24D8113F" w:rsidR="003E07A6" w:rsidRPr="00F31DD4" w:rsidRDefault="003E07A6">
      <w:pPr>
        <w:pStyle w:val="FootnoteText"/>
        <w:rPr>
          <w:lang w:val="es-ES"/>
        </w:rPr>
      </w:pPr>
      <w:r>
        <w:tab/>
      </w:r>
      <w:r>
        <w:rPr>
          <w:rStyle w:val="FootnoteReference"/>
        </w:rPr>
        <w:footnoteRef/>
      </w:r>
      <w:r>
        <w:t xml:space="preserve"> </w:t>
      </w:r>
      <w:r>
        <w:tab/>
      </w:r>
      <w:bookmarkStart w:id="0" w:name="OLE_LINK78"/>
      <w:bookmarkStart w:id="1" w:name="OLE_LINK79"/>
      <w:r w:rsidR="00B67FB6">
        <w:fldChar w:fldCharType="begin"/>
      </w:r>
      <w:r w:rsidR="00B67FB6">
        <w:instrText xml:space="preserve"> HYPERLINK "http://undocs.org/en/CERD/C/EST/12-13" </w:instrText>
      </w:r>
      <w:r w:rsidR="00B67FB6">
        <w:fldChar w:fldCharType="separate"/>
      </w:r>
      <w:r w:rsidRPr="00B67FB6">
        <w:rPr>
          <w:rStyle w:val="Hyperlink"/>
        </w:rPr>
        <w:t>CERD/C/EST/12-13</w:t>
      </w:r>
      <w:bookmarkEnd w:id="0"/>
      <w:bookmarkEnd w:id="1"/>
      <w:r w:rsidR="00B67FB6">
        <w:fldChar w:fldCharType="end"/>
      </w:r>
      <w:r w:rsidRPr="00A953EF">
        <w:t>, para</w:t>
      </w:r>
      <w:r w:rsidR="00195D1B">
        <w:t>s</w:t>
      </w:r>
      <w:r w:rsidRPr="00A953EF">
        <w:t>. 20</w:t>
      </w:r>
      <w:r w:rsidR="00195D1B">
        <w:rPr>
          <w:lang w:val="en-US"/>
        </w:rPr>
        <w:t>–</w:t>
      </w:r>
      <w:r w:rsidRPr="00A953EF">
        <w:t>27 and 89</w:t>
      </w:r>
      <w:r w:rsidR="00195D1B">
        <w:rPr>
          <w:lang w:val="en-US"/>
        </w:rPr>
        <w:t>–</w:t>
      </w:r>
      <w:r w:rsidRPr="00A953EF">
        <w:t xml:space="preserve">99; </w:t>
      </w:r>
      <w:r w:rsidR="005C5F32">
        <w:t xml:space="preserve">and </w:t>
      </w:r>
      <w:hyperlink r:id="rId10" w:history="1">
        <w:r w:rsidRPr="00B67FB6">
          <w:rPr>
            <w:rStyle w:val="Hyperlink"/>
          </w:rPr>
          <w:t>CERD/C/EST/CO/10-11</w:t>
        </w:r>
      </w:hyperlink>
      <w:r w:rsidRPr="00A953EF">
        <w:t>, para</w:t>
      </w:r>
      <w:r w:rsidR="00195D1B">
        <w:t>s</w:t>
      </w:r>
      <w:r w:rsidRPr="00A953EF">
        <w:t xml:space="preserve">. </w:t>
      </w:r>
      <w:r w:rsidRPr="00F31DD4">
        <w:rPr>
          <w:lang w:val="es-ES"/>
        </w:rPr>
        <w:t>15</w:t>
      </w:r>
      <w:r w:rsidR="00195D1B" w:rsidRPr="00F31DD4">
        <w:rPr>
          <w:lang w:val="es-ES"/>
        </w:rPr>
        <w:t>–</w:t>
      </w:r>
      <w:r w:rsidRPr="00F31DD4">
        <w:rPr>
          <w:lang w:val="es-ES"/>
        </w:rPr>
        <w:t>16.</w:t>
      </w:r>
    </w:p>
  </w:footnote>
  <w:footnote w:id="10">
    <w:p w14:paraId="2CB0B7F9" w14:textId="1127F6E4" w:rsidR="00913794" w:rsidRPr="00F31DD4" w:rsidRDefault="00913794">
      <w:pPr>
        <w:pStyle w:val="FootnoteText"/>
        <w:rPr>
          <w:lang w:val="es-ES"/>
        </w:rPr>
      </w:pPr>
      <w:r w:rsidRPr="00F31DD4">
        <w:rPr>
          <w:lang w:val="es-ES"/>
        </w:rPr>
        <w:tab/>
      </w:r>
      <w:r>
        <w:rPr>
          <w:rStyle w:val="FootnoteReference"/>
        </w:rPr>
        <w:footnoteRef/>
      </w:r>
      <w:r w:rsidRPr="00F31DD4">
        <w:rPr>
          <w:lang w:val="es-ES"/>
        </w:rPr>
        <w:t xml:space="preserve"> </w:t>
      </w:r>
      <w:r w:rsidRPr="00F31DD4">
        <w:rPr>
          <w:lang w:val="es-ES"/>
        </w:rPr>
        <w:tab/>
      </w:r>
      <w:hyperlink r:id="rId11" w:history="1">
        <w:r w:rsidRPr="00B67FB6">
          <w:rPr>
            <w:rStyle w:val="Hyperlink"/>
            <w:lang w:val="es-ES"/>
          </w:rPr>
          <w:t>CERD/C/EST/12-13</w:t>
        </w:r>
      </w:hyperlink>
      <w:r w:rsidRPr="00F31DD4">
        <w:rPr>
          <w:lang w:val="es-ES"/>
        </w:rPr>
        <w:t>, para</w:t>
      </w:r>
      <w:r w:rsidR="00195D1B" w:rsidRPr="00F31DD4">
        <w:rPr>
          <w:lang w:val="es-ES"/>
        </w:rPr>
        <w:t>s</w:t>
      </w:r>
      <w:r w:rsidRPr="00F31DD4">
        <w:rPr>
          <w:lang w:val="es-ES"/>
        </w:rPr>
        <w:t>. 209</w:t>
      </w:r>
      <w:r w:rsidR="00195D1B" w:rsidRPr="00F31DD4">
        <w:rPr>
          <w:lang w:val="es-ES"/>
        </w:rPr>
        <w:t>–</w:t>
      </w:r>
      <w:r w:rsidRPr="00F31DD4">
        <w:rPr>
          <w:lang w:val="es-ES"/>
        </w:rPr>
        <w:t>210.</w:t>
      </w:r>
    </w:p>
  </w:footnote>
  <w:footnote w:id="11">
    <w:p w14:paraId="2D037518" w14:textId="6974BEA1" w:rsidR="00770F26" w:rsidRPr="00F31DD4" w:rsidRDefault="00770F26">
      <w:pPr>
        <w:pStyle w:val="FootnoteText"/>
        <w:rPr>
          <w:lang w:val="es-ES"/>
        </w:rPr>
      </w:pPr>
      <w:r w:rsidRPr="00F31DD4">
        <w:rPr>
          <w:lang w:val="es-ES"/>
        </w:rPr>
        <w:tab/>
      </w:r>
      <w:r>
        <w:rPr>
          <w:rStyle w:val="FootnoteReference"/>
        </w:rPr>
        <w:footnoteRef/>
      </w:r>
      <w:r w:rsidRPr="00F31DD4">
        <w:rPr>
          <w:lang w:val="es-ES"/>
        </w:rPr>
        <w:t xml:space="preserve"> </w:t>
      </w:r>
      <w:r w:rsidRPr="00F31DD4">
        <w:rPr>
          <w:lang w:val="es-ES"/>
        </w:rPr>
        <w:tab/>
      </w:r>
      <w:r w:rsidR="009D2179" w:rsidRPr="00F31DD4">
        <w:rPr>
          <w:lang w:val="es-ES"/>
        </w:rPr>
        <w:t>Ibid.</w:t>
      </w:r>
      <w:r w:rsidRPr="00F31DD4">
        <w:rPr>
          <w:lang w:val="es-ES"/>
        </w:rPr>
        <w:t>, para. 211.</w:t>
      </w:r>
    </w:p>
  </w:footnote>
  <w:footnote w:id="12">
    <w:p w14:paraId="03F09B92" w14:textId="0A97E437" w:rsidR="00FF3C7E" w:rsidRPr="00F31DD4" w:rsidRDefault="00FF3C7E">
      <w:pPr>
        <w:pStyle w:val="FootnoteText"/>
        <w:rPr>
          <w:lang w:val="es-ES"/>
        </w:rPr>
      </w:pPr>
      <w:r w:rsidRPr="00F31DD4">
        <w:rPr>
          <w:lang w:val="es-ES"/>
        </w:rPr>
        <w:tab/>
      </w:r>
      <w:r>
        <w:rPr>
          <w:rStyle w:val="FootnoteReference"/>
        </w:rPr>
        <w:footnoteRef/>
      </w:r>
      <w:r w:rsidRPr="00F31DD4">
        <w:rPr>
          <w:lang w:val="es-ES"/>
        </w:rPr>
        <w:t xml:space="preserve"> </w:t>
      </w:r>
      <w:r w:rsidRPr="00F31DD4">
        <w:rPr>
          <w:lang w:val="es-ES"/>
        </w:rPr>
        <w:tab/>
      </w:r>
      <w:r w:rsidR="009D2179" w:rsidRPr="00F31DD4">
        <w:rPr>
          <w:lang w:val="es-ES"/>
        </w:rPr>
        <w:t>Ibid.</w:t>
      </w:r>
      <w:r w:rsidRPr="00F31DD4">
        <w:rPr>
          <w:lang w:val="es-ES"/>
        </w:rPr>
        <w:t>, para</w:t>
      </w:r>
      <w:r w:rsidR="00195D1B" w:rsidRPr="00F31DD4">
        <w:rPr>
          <w:lang w:val="es-ES"/>
        </w:rPr>
        <w:t>s</w:t>
      </w:r>
      <w:r w:rsidRPr="00F31DD4">
        <w:rPr>
          <w:lang w:val="es-ES"/>
        </w:rPr>
        <w:t>. 232</w:t>
      </w:r>
      <w:r w:rsidR="00195D1B" w:rsidRPr="00F31DD4">
        <w:rPr>
          <w:lang w:val="es-ES"/>
        </w:rPr>
        <w:t>–</w:t>
      </w:r>
      <w:r w:rsidRPr="00F31DD4">
        <w:rPr>
          <w:lang w:val="es-ES"/>
        </w:rPr>
        <w:t>253.</w:t>
      </w:r>
    </w:p>
  </w:footnote>
  <w:footnote w:id="13">
    <w:p w14:paraId="2DC8223E" w14:textId="7DE42952" w:rsidR="00A43B4F" w:rsidRPr="00F31DD4" w:rsidRDefault="00A43B4F">
      <w:pPr>
        <w:pStyle w:val="FootnoteText"/>
        <w:rPr>
          <w:lang w:val="es-ES"/>
        </w:rPr>
      </w:pPr>
      <w:r w:rsidRPr="00F31DD4">
        <w:rPr>
          <w:lang w:val="es-ES"/>
        </w:rPr>
        <w:tab/>
      </w:r>
      <w:r>
        <w:rPr>
          <w:rStyle w:val="FootnoteReference"/>
        </w:rPr>
        <w:footnoteRef/>
      </w:r>
      <w:r w:rsidRPr="00F31DD4">
        <w:rPr>
          <w:lang w:val="es-ES"/>
        </w:rPr>
        <w:t xml:space="preserve"> </w:t>
      </w:r>
      <w:r w:rsidRPr="00F31DD4">
        <w:rPr>
          <w:lang w:val="es-ES"/>
        </w:rPr>
        <w:tab/>
      </w:r>
      <w:hyperlink r:id="rId12" w:history="1">
        <w:r w:rsidRPr="00B67FB6">
          <w:rPr>
            <w:rStyle w:val="Hyperlink"/>
            <w:lang w:val="es-ES"/>
          </w:rPr>
          <w:t>CERD/C/EST/CO/10-11</w:t>
        </w:r>
      </w:hyperlink>
      <w:r w:rsidRPr="00F31DD4">
        <w:rPr>
          <w:lang w:val="es-ES"/>
        </w:rPr>
        <w:t>, para. 14.</w:t>
      </w:r>
    </w:p>
  </w:footnote>
  <w:footnote w:id="14">
    <w:p w14:paraId="414E18CD" w14:textId="373C8EDC" w:rsidR="004560D2" w:rsidRPr="00F31DD4" w:rsidRDefault="004560D2">
      <w:pPr>
        <w:pStyle w:val="FootnoteText"/>
        <w:rPr>
          <w:lang w:val="es-ES"/>
        </w:rPr>
      </w:pPr>
      <w:r w:rsidRPr="00F31DD4">
        <w:rPr>
          <w:lang w:val="es-ES"/>
        </w:rPr>
        <w:tab/>
      </w:r>
      <w:r>
        <w:rPr>
          <w:rStyle w:val="FootnoteReference"/>
        </w:rPr>
        <w:footnoteRef/>
      </w:r>
      <w:r w:rsidRPr="00F31DD4">
        <w:rPr>
          <w:lang w:val="es-ES"/>
        </w:rPr>
        <w:t xml:space="preserve"> </w:t>
      </w:r>
      <w:r w:rsidRPr="00F31DD4">
        <w:rPr>
          <w:lang w:val="es-ES"/>
        </w:rPr>
        <w:tab/>
      </w:r>
      <w:hyperlink r:id="rId13" w:history="1">
        <w:r w:rsidRPr="00B67FB6">
          <w:rPr>
            <w:rStyle w:val="Hyperlink"/>
            <w:lang w:val="es-ES"/>
          </w:rPr>
          <w:t>CERD/C/EST/12-13</w:t>
        </w:r>
      </w:hyperlink>
      <w:r w:rsidRPr="00F31DD4">
        <w:rPr>
          <w:lang w:val="es-ES"/>
        </w:rPr>
        <w:t>, para</w:t>
      </w:r>
      <w:r w:rsidR="00195D1B" w:rsidRPr="00F31DD4">
        <w:rPr>
          <w:lang w:val="es-ES"/>
        </w:rPr>
        <w:t>s</w:t>
      </w:r>
      <w:r w:rsidRPr="00F31DD4">
        <w:rPr>
          <w:lang w:val="es-ES"/>
        </w:rPr>
        <w:t>. 141</w:t>
      </w:r>
      <w:r w:rsidR="00195D1B" w:rsidRPr="00F31DD4">
        <w:rPr>
          <w:lang w:val="es-ES"/>
        </w:rPr>
        <w:t>–</w:t>
      </w:r>
      <w:r w:rsidRPr="00F31DD4">
        <w:rPr>
          <w:lang w:val="es-ES"/>
        </w:rPr>
        <w:t>145.</w:t>
      </w:r>
    </w:p>
  </w:footnote>
  <w:footnote w:id="15">
    <w:p w14:paraId="6C65B996" w14:textId="02F8BA21" w:rsidR="00266896" w:rsidRPr="00F31DD4" w:rsidRDefault="00266896">
      <w:pPr>
        <w:pStyle w:val="FootnoteText"/>
        <w:rPr>
          <w:lang w:val="es-ES"/>
        </w:rPr>
      </w:pPr>
      <w:r w:rsidRPr="00F31DD4">
        <w:rPr>
          <w:lang w:val="es-ES"/>
        </w:rPr>
        <w:tab/>
      </w:r>
      <w:r>
        <w:rPr>
          <w:rStyle w:val="FootnoteReference"/>
        </w:rPr>
        <w:footnoteRef/>
      </w:r>
      <w:r w:rsidRPr="00F31DD4">
        <w:rPr>
          <w:lang w:val="es-ES"/>
        </w:rPr>
        <w:t xml:space="preserve"> </w:t>
      </w:r>
      <w:r w:rsidRPr="00F31DD4">
        <w:rPr>
          <w:lang w:val="es-ES"/>
        </w:rPr>
        <w:tab/>
      </w:r>
      <w:r w:rsidR="009D2179" w:rsidRPr="00F31DD4">
        <w:rPr>
          <w:lang w:val="es-ES"/>
        </w:rPr>
        <w:t>Ibid.</w:t>
      </w:r>
      <w:r w:rsidRPr="00F31DD4">
        <w:rPr>
          <w:lang w:val="es-ES"/>
        </w:rPr>
        <w:t>, para</w:t>
      </w:r>
      <w:r w:rsidR="00195D1B" w:rsidRPr="00F31DD4">
        <w:rPr>
          <w:lang w:val="es-ES"/>
        </w:rPr>
        <w:t>s</w:t>
      </w:r>
      <w:r w:rsidRPr="00F31DD4">
        <w:rPr>
          <w:lang w:val="es-ES"/>
        </w:rPr>
        <w:t xml:space="preserve">. </w:t>
      </w:r>
      <w:r>
        <w:t>146</w:t>
      </w:r>
      <w:r w:rsidR="00195D1B">
        <w:rPr>
          <w:lang w:val="en-US"/>
        </w:rPr>
        <w:t>–</w:t>
      </w:r>
      <w:r>
        <w:t xml:space="preserve">155; </w:t>
      </w:r>
      <w:r w:rsidR="005C5F32">
        <w:t xml:space="preserve">and </w:t>
      </w:r>
      <w:hyperlink r:id="rId14" w:history="1">
        <w:r w:rsidRPr="00B67FB6">
          <w:rPr>
            <w:rStyle w:val="Hyperlink"/>
          </w:rPr>
          <w:t>CERD/C/EST/CO/10-11</w:t>
        </w:r>
      </w:hyperlink>
      <w:r>
        <w:t xml:space="preserve">, para. </w:t>
      </w:r>
      <w:r w:rsidRPr="00F31DD4">
        <w:rPr>
          <w:lang w:val="es-ES"/>
        </w:rPr>
        <w:t>10.</w:t>
      </w:r>
    </w:p>
  </w:footnote>
  <w:footnote w:id="16">
    <w:p w14:paraId="263CCD57" w14:textId="2DA19209" w:rsidR="004150D9" w:rsidRPr="00F31DD4" w:rsidRDefault="00BD3EBC">
      <w:pPr>
        <w:pStyle w:val="FootnoteText"/>
        <w:rPr>
          <w:lang w:val="es-ES"/>
        </w:rPr>
      </w:pPr>
      <w:r w:rsidRPr="00F31DD4">
        <w:rPr>
          <w:lang w:val="es-ES"/>
        </w:rPr>
        <w:tab/>
      </w:r>
      <w:r w:rsidR="004150D9">
        <w:rPr>
          <w:rStyle w:val="FootnoteReference"/>
        </w:rPr>
        <w:footnoteRef/>
      </w:r>
      <w:r w:rsidR="004150D9" w:rsidRPr="00F31DD4">
        <w:rPr>
          <w:lang w:val="es-ES"/>
        </w:rPr>
        <w:t xml:space="preserve"> </w:t>
      </w:r>
      <w:r w:rsidRPr="00F31DD4">
        <w:rPr>
          <w:lang w:val="es-ES"/>
        </w:rPr>
        <w:tab/>
      </w:r>
      <w:hyperlink r:id="rId15" w:history="1">
        <w:r w:rsidR="004150D9" w:rsidRPr="00B67FB6">
          <w:rPr>
            <w:rStyle w:val="Hyperlink"/>
            <w:lang w:val="es-ES"/>
          </w:rPr>
          <w:t>CERD/C/EST/12-13</w:t>
        </w:r>
      </w:hyperlink>
      <w:r w:rsidR="004150D9" w:rsidRPr="00F31DD4">
        <w:rPr>
          <w:lang w:val="es-ES"/>
        </w:rPr>
        <w:t>, para</w:t>
      </w:r>
      <w:r w:rsidR="00195D1B" w:rsidRPr="00F31DD4">
        <w:rPr>
          <w:lang w:val="es-ES"/>
        </w:rPr>
        <w:t>s</w:t>
      </w:r>
      <w:r w:rsidR="004150D9" w:rsidRPr="00F31DD4">
        <w:rPr>
          <w:lang w:val="es-ES"/>
        </w:rPr>
        <w:t>. 7</w:t>
      </w:r>
      <w:r w:rsidR="000131FB" w:rsidRPr="00F31DD4">
        <w:rPr>
          <w:lang w:val="es-ES"/>
        </w:rPr>
        <w:t>1</w:t>
      </w:r>
      <w:r w:rsidR="00195D1B" w:rsidRPr="00F31DD4">
        <w:rPr>
          <w:lang w:val="es-ES"/>
        </w:rPr>
        <w:t>–</w:t>
      </w:r>
      <w:r w:rsidR="004150D9" w:rsidRPr="00F31DD4">
        <w:rPr>
          <w:lang w:val="es-ES"/>
        </w:rPr>
        <w:t>80</w:t>
      </w:r>
      <w:r w:rsidRPr="00F31DD4">
        <w:rPr>
          <w:lang w:val="es-ES"/>
        </w:rPr>
        <w:t>.</w:t>
      </w:r>
    </w:p>
  </w:footnote>
  <w:footnote w:id="17">
    <w:p w14:paraId="27E05464" w14:textId="7DBE8607" w:rsidR="008E76A5" w:rsidRPr="00F31DD4" w:rsidRDefault="008E76A5">
      <w:pPr>
        <w:pStyle w:val="FootnoteText"/>
        <w:rPr>
          <w:lang w:val="en-US"/>
        </w:rPr>
      </w:pPr>
      <w:r w:rsidRPr="00F31DD4">
        <w:rPr>
          <w:lang w:val="es-ES"/>
        </w:rPr>
        <w:tab/>
      </w:r>
      <w:r>
        <w:rPr>
          <w:rStyle w:val="FootnoteReference"/>
        </w:rPr>
        <w:footnoteRef/>
      </w:r>
      <w:r w:rsidRPr="00F31DD4">
        <w:rPr>
          <w:lang w:val="es-ES"/>
        </w:rPr>
        <w:t xml:space="preserve"> </w:t>
      </w:r>
      <w:r w:rsidRPr="00F31DD4">
        <w:rPr>
          <w:lang w:val="es-ES"/>
        </w:rPr>
        <w:tab/>
      </w:r>
      <w:r w:rsidR="009D2179" w:rsidRPr="00F31DD4">
        <w:rPr>
          <w:lang w:val="es-ES"/>
        </w:rPr>
        <w:t>Ibid.</w:t>
      </w:r>
      <w:r w:rsidRPr="00F31DD4">
        <w:rPr>
          <w:lang w:val="es-ES"/>
        </w:rPr>
        <w:t xml:space="preserve">, para. </w:t>
      </w:r>
      <w:r w:rsidRPr="00A953EF">
        <w:t>208</w:t>
      </w:r>
      <w:r>
        <w:t>.</w:t>
      </w:r>
    </w:p>
  </w:footnote>
  <w:footnote w:id="18">
    <w:p w14:paraId="0B5A0BD3" w14:textId="5115C28E" w:rsidR="00B94B5F" w:rsidRPr="00F31DD4" w:rsidRDefault="00B94B5F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 xml:space="preserve"> </w:t>
      </w:r>
      <w:r>
        <w:tab/>
      </w:r>
      <w:r w:rsidR="009D2179">
        <w:t>Ibid.</w:t>
      </w:r>
      <w:r w:rsidRPr="00A953EF">
        <w:t>, para</w:t>
      </w:r>
      <w:r w:rsidR="00195D1B">
        <w:t>s</w:t>
      </w:r>
      <w:r w:rsidRPr="00A953EF">
        <w:t>. 119</w:t>
      </w:r>
      <w:r w:rsidR="00195D1B">
        <w:rPr>
          <w:lang w:val="en-US"/>
        </w:rPr>
        <w:t>–</w:t>
      </w:r>
      <w:r w:rsidRPr="00A953EF">
        <w:t>130</w:t>
      </w:r>
      <w:r>
        <w:t>.</w:t>
      </w:r>
    </w:p>
  </w:footnote>
  <w:footnote w:id="19">
    <w:p w14:paraId="7F59D1BA" w14:textId="3C34B58D" w:rsidR="00AA289C" w:rsidRPr="00F31DD4" w:rsidRDefault="00C814BB">
      <w:pPr>
        <w:pStyle w:val="FootnoteText"/>
        <w:rPr>
          <w:lang w:val="en-US"/>
        </w:rPr>
      </w:pPr>
      <w:r>
        <w:tab/>
      </w:r>
      <w:r w:rsidR="00AA289C">
        <w:rPr>
          <w:rStyle w:val="FootnoteReference"/>
        </w:rPr>
        <w:footnoteRef/>
      </w:r>
      <w:r w:rsidR="00AA289C">
        <w:t xml:space="preserve"> </w:t>
      </w:r>
      <w:r>
        <w:tab/>
      </w:r>
      <w:r w:rsidR="009D2179">
        <w:t>Ibid.</w:t>
      </w:r>
      <w:r w:rsidRPr="00A953EF">
        <w:t>, para. 219</w:t>
      </w:r>
      <w:r w:rsidR="00943372">
        <w:rPr>
          <w:lang w:val="en-US"/>
        </w:rPr>
        <w:t>–</w:t>
      </w:r>
      <w:r w:rsidR="00943372">
        <w:t>227</w:t>
      </w:r>
      <w:r w:rsidRPr="00A953EF">
        <w:t xml:space="preserve">; </w:t>
      </w:r>
      <w:r w:rsidR="00400C64">
        <w:t xml:space="preserve">and </w:t>
      </w:r>
      <w:hyperlink r:id="rId16" w:history="1">
        <w:r w:rsidRPr="00B67FB6">
          <w:rPr>
            <w:rStyle w:val="Hyperlink"/>
          </w:rPr>
          <w:t>CERD/C/EST/CO/10-11</w:t>
        </w:r>
      </w:hyperlink>
      <w:r w:rsidRPr="00A953EF">
        <w:t>, para. 12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0ADFF" w14:textId="76FA27D6" w:rsidR="00C62D50" w:rsidRPr="00F62581" w:rsidRDefault="00F62581" w:rsidP="00F62581">
    <w:pPr>
      <w:pStyle w:val="Header"/>
    </w:pPr>
    <w:r>
      <w:t>CERD/C/EST/Q/12-13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47F803" w14:textId="64391751" w:rsidR="00C62D50" w:rsidRPr="00F62581" w:rsidRDefault="00F62581" w:rsidP="00F62581">
    <w:pPr>
      <w:pStyle w:val="Header"/>
      <w:jc w:val="right"/>
    </w:pPr>
    <w:r>
      <w:t>CERD/C/EST/Q/12-13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80ABF" w14:textId="77777777" w:rsidR="00C62D50" w:rsidRDefault="00C62D50">
    <w:pPr>
      <w:pStyle w:val="Header"/>
      <w:pBdr>
        <w:bottom w:val="none" w:sz="0" w:space="0" w:color="auto"/>
      </w:pBdr>
      <w:rPr>
        <w:b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FA320932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1FC83A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4BAD3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8A6F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7044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AEE8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B696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F855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656F5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D954887"/>
    <w:multiLevelType w:val="hybridMultilevel"/>
    <w:tmpl w:val="2B362816"/>
    <w:lvl w:ilvl="0" w:tplc="25045F84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B2AAB0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0A41C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3C2DC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24AA7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8703E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F4E8B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5611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027C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E253887"/>
    <w:multiLevelType w:val="hybridMultilevel"/>
    <w:tmpl w:val="497EC7CC"/>
    <w:lvl w:ilvl="0" w:tplc="D39A585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385ED1A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7C585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9E88C7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FB4FC9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FF4A7A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CAE53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68E584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36EC7F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A12325"/>
    <w:multiLevelType w:val="hybridMultilevel"/>
    <w:tmpl w:val="FF0E5B48"/>
    <w:lvl w:ilvl="0" w:tplc="DA1ADA12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81FC2B7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964874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EAE15E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CD4E5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F844B2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DEC288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C0EB92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846536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CF4EB2"/>
    <w:multiLevelType w:val="hybridMultilevel"/>
    <w:tmpl w:val="CB6C816A"/>
    <w:lvl w:ilvl="0" w:tplc="D40E9EB0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4CC459D2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1F88FE68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A344CF32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4D4A7220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8FF0540C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C688CE94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966A0D44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53D22416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5" w15:restartNumberingAfterBreak="0">
    <w:nsid w:val="562A5F26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5ED85D91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619F6210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62F51DFD"/>
    <w:multiLevelType w:val="hybridMultilevel"/>
    <w:tmpl w:val="8594E0A0"/>
    <w:lvl w:ilvl="0" w:tplc="667AB2D8">
      <w:start w:val="1"/>
      <w:numFmt w:val="decimal"/>
      <w:lvlText w:val="%1."/>
      <w:lvlJc w:val="left"/>
      <w:pPr>
        <w:ind w:left="1704" w:hanging="5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 w15:restartNumberingAfterBreak="0">
    <w:nsid w:val="68AD07B2"/>
    <w:multiLevelType w:val="hybridMultilevel"/>
    <w:tmpl w:val="7FEE3222"/>
    <w:lvl w:ilvl="0" w:tplc="F618A564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818C7DFA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5190505E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C038D9C8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5CEC24FE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A68610EC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9E0CC450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B636D008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61628172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20" w15:restartNumberingAfterBreak="0">
    <w:nsid w:val="750938C2"/>
    <w:multiLevelType w:val="hybridMultilevel"/>
    <w:tmpl w:val="52FCE04C"/>
    <w:lvl w:ilvl="0" w:tplc="4CD87510">
      <w:start w:val="1"/>
      <w:numFmt w:val="decimal"/>
      <w:lvlText w:val="%1."/>
      <w:lvlJc w:val="left"/>
      <w:pPr>
        <w:ind w:left="1854" w:hanging="360"/>
      </w:pPr>
      <w:rPr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1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9"/>
  </w:num>
  <w:num w:numId="2">
    <w:abstractNumId w:val="14"/>
  </w:num>
  <w:num w:numId="3">
    <w:abstractNumId w:val="11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3"/>
  </w:num>
  <w:num w:numId="15">
    <w:abstractNumId w:val="12"/>
  </w:num>
  <w:num w:numId="16">
    <w:abstractNumId w:val="10"/>
  </w:num>
  <w:num w:numId="17">
    <w:abstractNumId w:val="16"/>
  </w:num>
  <w:num w:numId="18">
    <w:abstractNumId w:val="17"/>
  </w:num>
  <w:num w:numId="19">
    <w:abstractNumId w:val="15"/>
  </w:num>
  <w:num w:numId="20">
    <w:abstractNumId w:val="21"/>
  </w:num>
  <w:num w:numId="21">
    <w:abstractNumId w:val="19"/>
  </w:num>
  <w:num w:numId="22">
    <w:abstractNumId w:val="14"/>
  </w:num>
  <w:num w:numId="23">
    <w:abstractNumId w:val="11"/>
  </w:num>
  <w:num w:numId="24">
    <w:abstractNumId w:val="20"/>
  </w:num>
  <w:num w:numId="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embedSystemFonts/>
  <w:activeWritingStyle w:appName="MSWord" w:lang="es-ES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es-ES" w:vendorID="64" w:dllVersion="0" w:nlCheck="1" w:checkStyle="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hyphenationZone w:val="425"/>
  <w:evenAndOddHeaders/>
  <w:characterSpacingControl w:val="doNotCompress"/>
  <w:hdrShapeDefaults>
    <o:shapedefaults v:ext="edit" spidmax="6146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2D50"/>
    <w:rsid w:val="0001256A"/>
    <w:rsid w:val="000131FB"/>
    <w:rsid w:val="0004672F"/>
    <w:rsid w:val="0005235A"/>
    <w:rsid w:val="00085A73"/>
    <w:rsid w:val="000B74A0"/>
    <w:rsid w:val="000D636D"/>
    <w:rsid w:val="00102F51"/>
    <w:rsid w:val="0014436C"/>
    <w:rsid w:val="00147850"/>
    <w:rsid w:val="00181C7D"/>
    <w:rsid w:val="00195D1B"/>
    <w:rsid w:val="001D1537"/>
    <w:rsid w:val="001D2F4C"/>
    <w:rsid w:val="002140BB"/>
    <w:rsid w:val="00244C0C"/>
    <w:rsid w:val="00266896"/>
    <w:rsid w:val="002776DD"/>
    <w:rsid w:val="00277B60"/>
    <w:rsid w:val="00281ACD"/>
    <w:rsid w:val="002D7C8C"/>
    <w:rsid w:val="002E4A71"/>
    <w:rsid w:val="00352BEB"/>
    <w:rsid w:val="00392295"/>
    <w:rsid w:val="003C489A"/>
    <w:rsid w:val="003E07A6"/>
    <w:rsid w:val="00400C64"/>
    <w:rsid w:val="004150D9"/>
    <w:rsid w:val="00425D96"/>
    <w:rsid w:val="00442039"/>
    <w:rsid w:val="004560D2"/>
    <w:rsid w:val="00473873"/>
    <w:rsid w:val="00475FB7"/>
    <w:rsid w:val="004B6CA9"/>
    <w:rsid w:val="004C645C"/>
    <w:rsid w:val="004E071F"/>
    <w:rsid w:val="005240E4"/>
    <w:rsid w:val="005439B8"/>
    <w:rsid w:val="005A45CC"/>
    <w:rsid w:val="005A6992"/>
    <w:rsid w:val="005C5F32"/>
    <w:rsid w:val="005D1547"/>
    <w:rsid w:val="005D54B5"/>
    <w:rsid w:val="005D5771"/>
    <w:rsid w:val="005F1D9F"/>
    <w:rsid w:val="005F1EE1"/>
    <w:rsid w:val="005F58F9"/>
    <w:rsid w:val="006161F9"/>
    <w:rsid w:val="00634730"/>
    <w:rsid w:val="00635AC8"/>
    <w:rsid w:val="0066027C"/>
    <w:rsid w:val="00664656"/>
    <w:rsid w:val="006703F8"/>
    <w:rsid w:val="00670612"/>
    <w:rsid w:val="006A3530"/>
    <w:rsid w:val="006C6176"/>
    <w:rsid w:val="006F1AFB"/>
    <w:rsid w:val="00725B21"/>
    <w:rsid w:val="00725D9D"/>
    <w:rsid w:val="007261F0"/>
    <w:rsid w:val="0073729C"/>
    <w:rsid w:val="00746E5A"/>
    <w:rsid w:val="007479FD"/>
    <w:rsid w:val="00755460"/>
    <w:rsid w:val="00770F26"/>
    <w:rsid w:val="00772EB5"/>
    <w:rsid w:val="00800C82"/>
    <w:rsid w:val="00833DAB"/>
    <w:rsid w:val="00847829"/>
    <w:rsid w:val="008B1091"/>
    <w:rsid w:val="008D28FE"/>
    <w:rsid w:val="008E76A5"/>
    <w:rsid w:val="00906F5C"/>
    <w:rsid w:val="00913794"/>
    <w:rsid w:val="00922351"/>
    <w:rsid w:val="00943372"/>
    <w:rsid w:val="00950F44"/>
    <w:rsid w:val="009B08B3"/>
    <w:rsid w:val="009D2179"/>
    <w:rsid w:val="009D7D26"/>
    <w:rsid w:val="00A01BFE"/>
    <w:rsid w:val="00A02C13"/>
    <w:rsid w:val="00A43B4F"/>
    <w:rsid w:val="00A47795"/>
    <w:rsid w:val="00A60549"/>
    <w:rsid w:val="00A63BC0"/>
    <w:rsid w:val="00A67681"/>
    <w:rsid w:val="00A7384C"/>
    <w:rsid w:val="00A953EF"/>
    <w:rsid w:val="00AA289C"/>
    <w:rsid w:val="00AD7DB5"/>
    <w:rsid w:val="00AE5AF0"/>
    <w:rsid w:val="00B36B07"/>
    <w:rsid w:val="00B41FE8"/>
    <w:rsid w:val="00B42D15"/>
    <w:rsid w:val="00B67FB6"/>
    <w:rsid w:val="00B90498"/>
    <w:rsid w:val="00B92DA9"/>
    <w:rsid w:val="00B93FF9"/>
    <w:rsid w:val="00B94B5F"/>
    <w:rsid w:val="00BA7F00"/>
    <w:rsid w:val="00BB1675"/>
    <w:rsid w:val="00BB1C62"/>
    <w:rsid w:val="00BD3EBC"/>
    <w:rsid w:val="00BE6373"/>
    <w:rsid w:val="00C11806"/>
    <w:rsid w:val="00C12F28"/>
    <w:rsid w:val="00C347DE"/>
    <w:rsid w:val="00C61745"/>
    <w:rsid w:val="00C62D50"/>
    <w:rsid w:val="00C814BB"/>
    <w:rsid w:val="00C82269"/>
    <w:rsid w:val="00C922C4"/>
    <w:rsid w:val="00C966E6"/>
    <w:rsid w:val="00CC21EB"/>
    <w:rsid w:val="00D01C49"/>
    <w:rsid w:val="00D47EAD"/>
    <w:rsid w:val="00D76258"/>
    <w:rsid w:val="00D8614E"/>
    <w:rsid w:val="00DA45EB"/>
    <w:rsid w:val="00DF3302"/>
    <w:rsid w:val="00E558A5"/>
    <w:rsid w:val="00E7301C"/>
    <w:rsid w:val="00EB4F56"/>
    <w:rsid w:val="00F16C7B"/>
    <w:rsid w:val="00F31DD4"/>
    <w:rsid w:val="00F62581"/>
    <w:rsid w:val="00F74C85"/>
    <w:rsid w:val="00F80BAC"/>
    <w:rsid w:val="00F82934"/>
    <w:rsid w:val="00FE24B7"/>
    <w:rsid w:val="00FE703B"/>
    <w:rsid w:val="00FF3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  <w14:docId w14:val="6BD9A75C"/>
  <w15:docId w15:val="{1CD2F336-C71E-47E2-B19C-FEAB35E51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0549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Heading1">
    <w:name w:val="heading 1"/>
    <w:aliases w:val="Table_G"/>
    <w:basedOn w:val="SingleTxtG"/>
    <w:next w:val="SingleTxtG"/>
    <w:link w:val="Heading1Char"/>
    <w:qFormat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pPr>
      <w:kinsoku w:val="0"/>
      <w:overflowPunct w:val="0"/>
      <w:autoSpaceDE w:val="0"/>
      <w:autoSpaceDN w:val="0"/>
      <w:adjustRightInd w:val="0"/>
      <w:snapToGrid w:val="0"/>
      <w:outlineLvl w:val="1"/>
    </w:pPr>
    <w:rPr>
      <w:rFonts w:eastAsiaTheme="minorHAnsi"/>
      <w:lang w:val="fr-CH"/>
    </w:rPr>
  </w:style>
  <w:style w:type="paragraph" w:styleId="Heading3">
    <w:name w:val="heading 3"/>
    <w:basedOn w:val="Normal"/>
    <w:next w:val="Normal"/>
    <w:link w:val="Heading3Char"/>
    <w:semiHidden/>
    <w:qFormat/>
    <w:pPr>
      <w:kinsoku w:val="0"/>
      <w:overflowPunct w:val="0"/>
      <w:autoSpaceDE w:val="0"/>
      <w:autoSpaceDN w:val="0"/>
      <w:adjustRightInd w:val="0"/>
      <w:snapToGrid w:val="0"/>
      <w:outlineLvl w:val="2"/>
    </w:pPr>
    <w:rPr>
      <w:rFonts w:eastAsiaTheme="minorHAnsi"/>
      <w:lang w:val="fr-CH"/>
    </w:rPr>
  </w:style>
  <w:style w:type="paragraph" w:styleId="Heading4">
    <w:name w:val="heading 4"/>
    <w:basedOn w:val="Normal"/>
    <w:next w:val="Normal"/>
    <w:link w:val="Heading4Char"/>
    <w:semiHidden/>
    <w:qFormat/>
    <w:pPr>
      <w:kinsoku w:val="0"/>
      <w:overflowPunct w:val="0"/>
      <w:autoSpaceDE w:val="0"/>
      <w:autoSpaceDN w:val="0"/>
      <w:adjustRightInd w:val="0"/>
      <w:snapToGrid w:val="0"/>
      <w:outlineLvl w:val="3"/>
    </w:pPr>
    <w:rPr>
      <w:rFonts w:eastAsiaTheme="minorHAnsi"/>
      <w:lang w:val="fr-CH"/>
    </w:rPr>
  </w:style>
  <w:style w:type="paragraph" w:styleId="Heading5">
    <w:name w:val="heading 5"/>
    <w:basedOn w:val="Normal"/>
    <w:next w:val="Normal"/>
    <w:link w:val="Heading5Char"/>
    <w:semiHidden/>
    <w:qFormat/>
    <w:pPr>
      <w:kinsoku w:val="0"/>
      <w:overflowPunct w:val="0"/>
      <w:autoSpaceDE w:val="0"/>
      <w:autoSpaceDN w:val="0"/>
      <w:adjustRightInd w:val="0"/>
      <w:snapToGrid w:val="0"/>
      <w:outlineLvl w:val="4"/>
    </w:pPr>
    <w:rPr>
      <w:rFonts w:eastAsiaTheme="minorHAnsi"/>
      <w:lang w:val="fr-CH"/>
    </w:rPr>
  </w:style>
  <w:style w:type="paragraph" w:styleId="Heading6">
    <w:name w:val="heading 6"/>
    <w:basedOn w:val="Normal"/>
    <w:next w:val="Normal"/>
    <w:link w:val="Heading6Char"/>
    <w:semiHidden/>
    <w:qFormat/>
    <w:pPr>
      <w:kinsoku w:val="0"/>
      <w:overflowPunct w:val="0"/>
      <w:autoSpaceDE w:val="0"/>
      <w:autoSpaceDN w:val="0"/>
      <w:adjustRightInd w:val="0"/>
      <w:snapToGrid w:val="0"/>
      <w:outlineLvl w:val="5"/>
    </w:pPr>
    <w:rPr>
      <w:rFonts w:eastAsiaTheme="minorHAnsi"/>
      <w:lang w:val="fr-CH"/>
    </w:rPr>
  </w:style>
  <w:style w:type="paragraph" w:styleId="Heading7">
    <w:name w:val="heading 7"/>
    <w:basedOn w:val="Normal"/>
    <w:next w:val="Normal"/>
    <w:link w:val="Heading7Char"/>
    <w:semiHidden/>
    <w:qFormat/>
    <w:pPr>
      <w:kinsoku w:val="0"/>
      <w:overflowPunct w:val="0"/>
      <w:autoSpaceDE w:val="0"/>
      <w:autoSpaceDN w:val="0"/>
      <w:adjustRightInd w:val="0"/>
      <w:snapToGrid w:val="0"/>
      <w:outlineLvl w:val="6"/>
    </w:pPr>
    <w:rPr>
      <w:rFonts w:eastAsiaTheme="minorHAnsi"/>
      <w:lang w:val="fr-CH"/>
    </w:rPr>
  </w:style>
  <w:style w:type="paragraph" w:styleId="Heading8">
    <w:name w:val="heading 8"/>
    <w:basedOn w:val="Normal"/>
    <w:next w:val="Normal"/>
    <w:link w:val="Heading8Char"/>
    <w:semiHidden/>
    <w:qFormat/>
    <w:pPr>
      <w:kinsoku w:val="0"/>
      <w:overflowPunct w:val="0"/>
      <w:autoSpaceDE w:val="0"/>
      <w:autoSpaceDN w:val="0"/>
      <w:adjustRightInd w:val="0"/>
      <w:snapToGrid w:val="0"/>
      <w:outlineLvl w:val="7"/>
    </w:pPr>
    <w:rPr>
      <w:rFonts w:eastAsiaTheme="minorHAnsi"/>
      <w:lang w:val="fr-CH"/>
    </w:rPr>
  </w:style>
  <w:style w:type="paragraph" w:styleId="Heading9">
    <w:name w:val="heading 9"/>
    <w:basedOn w:val="Normal"/>
    <w:next w:val="Normal"/>
    <w:link w:val="Heading9Char"/>
    <w:semiHidden/>
    <w:qFormat/>
    <w:pPr>
      <w:kinsoku w:val="0"/>
      <w:overflowPunct w:val="0"/>
      <w:autoSpaceDE w:val="0"/>
      <w:autoSpaceDN w:val="0"/>
      <w:adjustRightInd w:val="0"/>
      <w:snapToGrid w:val="0"/>
      <w:outlineLvl w:val="8"/>
    </w:pPr>
    <w:rPr>
      <w:rFonts w:eastAsiaTheme="minorHAnsi"/>
      <w:lang w:val="fr-C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pPr>
      <w:pBdr>
        <w:bottom w:val="single" w:sz="4" w:space="4" w:color="auto"/>
      </w:pBdr>
      <w:suppressAutoHyphens w:val="0"/>
      <w:spacing w:line="240" w:lineRule="auto"/>
    </w:pPr>
    <w:rPr>
      <w:rFonts w:eastAsiaTheme="minorHAnsi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Pr>
      <w:rFonts w:ascii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link w:val="FooterChar"/>
    <w:pPr>
      <w:suppressAutoHyphens w:val="0"/>
      <w:spacing w:line="240" w:lineRule="auto"/>
    </w:pPr>
    <w:rPr>
      <w:rFonts w:eastAsiaTheme="minorHAnsi"/>
      <w:sz w:val="16"/>
    </w:rPr>
  </w:style>
  <w:style w:type="character" w:customStyle="1" w:styleId="FooterChar">
    <w:name w:val="Footer Char"/>
    <w:aliases w:val="3_G Char"/>
    <w:basedOn w:val="DefaultParagraphFont"/>
    <w:link w:val="Footer"/>
    <w:rPr>
      <w:rFonts w:ascii="Times New Roman" w:hAnsi="Times New Roman" w:cs="Times New Roman"/>
      <w:sz w:val="16"/>
      <w:szCs w:val="20"/>
      <w:lang w:val="en-GB"/>
    </w:rPr>
  </w:style>
  <w:style w:type="paragraph" w:customStyle="1" w:styleId="HMG">
    <w:name w:val="_ H __M_G"/>
    <w:basedOn w:val="Normal"/>
    <w:next w:val="Normal"/>
    <w:qFormat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240" w:line="360" w:lineRule="exact"/>
      <w:ind w:left="1134" w:right="1134" w:hanging="1134"/>
      <w:outlineLvl w:val="0"/>
    </w:pPr>
    <w:rPr>
      <w:rFonts w:eastAsiaTheme="minorHAnsi"/>
      <w:b/>
      <w:sz w:val="34"/>
    </w:rPr>
  </w:style>
  <w:style w:type="paragraph" w:customStyle="1" w:styleId="HChG">
    <w:name w:val="_ H _Ch_G"/>
    <w:basedOn w:val="Normal"/>
    <w:next w:val="Normal"/>
    <w:qFormat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360" w:after="240" w:line="300" w:lineRule="exact"/>
      <w:ind w:left="1134" w:right="1134" w:hanging="1134"/>
      <w:outlineLvl w:val="1"/>
    </w:pPr>
    <w:rPr>
      <w:rFonts w:eastAsiaTheme="minorHAnsi"/>
      <w:b/>
      <w:sz w:val="28"/>
    </w:rPr>
  </w:style>
  <w:style w:type="paragraph" w:customStyle="1" w:styleId="H1G">
    <w:name w:val="_ H_1_G"/>
    <w:basedOn w:val="Normal"/>
    <w:next w:val="Normal"/>
    <w:qFormat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360" w:after="240" w:line="270" w:lineRule="exact"/>
      <w:ind w:left="1134" w:right="1134" w:hanging="1134"/>
      <w:outlineLvl w:val="2"/>
    </w:pPr>
    <w:rPr>
      <w:rFonts w:eastAsiaTheme="minorHAnsi"/>
      <w:b/>
      <w:sz w:val="24"/>
    </w:rPr>
  </w:style>
  <w:style w:type="paragraph" w:customStyle="1" w:styleId="H23G">
    <w:name w:val="_ H_2/3_G"/>
    <w:basedOn w:val="Normal"/>
    <w:next w:val="Normal"/>
    <w:qFormat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 w:line="240" w:lineRule="exact"/>
      <w:ind w:left="1134" w:right="1134" w:hanging="1134"/>
      <w:outlineLvl w:val="3"/>
    </w:pPr>
    <w:rPr>
      <w:rFonts w:eastAsiaTheme="minorHAnsi"/>
      <w:b/>
    </w:rPr>
  </w:style>
  <w:style w:type="paragraph" w:customStyle="1" w:styleId="H4G">
    <w:name w:val="_ H_4_G"/>
    <w:basedOn w:val="Normal"/>
    <w:next w:val="Normal"/>
    <w:qFormat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 w:line="240" w:lineRule="exact"/>
      <w:ind w:left="1134" w:right="1134" w:hanging="1134"/>
      <w:outlineLvl w:val="4"/>
    </w:pPr>
    <w:rPr>
      <w:rFonts w:eastAsiaTheme="minorHAnsi"/>
      <w:i/>
    </w:rPr>
  </w:style>
  <w:style w:type="paragraph" w:customStyle="1" w:styleId="H56G">
    <w:name w:val="_ H_5/6_G"/>
    <w:basedOn w:val="Normal"/>
    <w:next w:val="Normal"/>
    <w:qFormat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 w:line="240" w:lineRule="exact"/>
      <w:ind w:left="1134" w:right="1134" w:hanging="1134"/>
      <w:outlineLvl w:val="5"/>
    </w:pPr>
    <w:rPr>
      <w:rFonts w:eastAsiaTheme="minorHAnsi"/>
    </w:rPr>
  </w:style>
  <w:style w:type="paragraph" w:customStyle="1" w:styleId="SingleTxtG">
    <w:name w:val="_ Single Txt_G"/>
    <w:basedOn w:val="Normal"/>
    <w:link w:val="SingleTxtGChar"/>
    <w:qFormat/>
    <w:pPr>
      <w:tabs>
        <w:tab w:val="left" w:pos="1701"/>
        <w:tab w:val="left" w:pos="2268"/>
        <w:tab w:val="left" w:pos="2835"/>
      </w:tabs>
      <w:kinsoku w:val="0"/>
      <w:overflowPunct w:val="0"/>
      <w:autoSpaceDE w:val="0"/>
      <w:autoSpaceDN w:val="0"/>
      <w:adjustRightInd w:val="0"/>
      <w:snapToGrid w:val="0"/>
      <w:spacing w:after="120"/>
      <w:ind w:left="1134" w:right="1134"/>
      <w:jc w:val="both"/>
    </w:pPr>
    <w:rPr>
      <w:rFonts w:eastAsiaTheme="minorHAnsi"/>
    </w:rPr>
  </w:style>
  <w:style w:type="paragraph" w:customStyle="1" w:styleId="SLG">
    <w:name w:val="__S_L_G"/>
    <w:basedOn w:val="Normal"/>
    <w:next w:val="Normal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pPr>
      <w:numPr>
        <w:numId w:val="21"/>
      </w:numPr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</w:rPr>
  </w:style>
  <w:style w:type="paragraph" w:customStyle="1" w:styleId="Bullet2G">
    <w:name w:val="_Bullet 2_G"/>
    <w:basedOn w:val="Normal"/>
    <w:qFormat/>
    <w:pPr>
      <w:numPr>
        <w:numId w:val="22"/>
      </w:numPr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</w:rPr>
  </w:style>
  <w:style w:type="paragraph" w:customStyle="1" w:styleId="ParNoG">
    <w:name w:val="_ParNo_G"/>
    <w:basedOn w:val="Normal"/>
    <w:qFormat/>
    <w:pPr>
      <w:numPr>
        <w:numId w:val="23"/>
      </w:numPr>
      <w:tabs>
        <w:tab w:val="left" w:pos="1701"/>
        <w:tab w:val="left" w:pos="2268"/>
        <w:tab w:val="left" w:pos="2835"/>
      </w:tabs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</w:rPr>
  </w:style>
  <w:style w:type="character" w:styleId="FootnoteReference">
    <w:name w:val="footnote reference"/>
    <w:aliases w:val="4_G"/>
    <w:basedOn w:val="DefaultParagraphFont"/>
    <w:qFormat/>
    <w:rPr>
      <w:rFonts w:ascii="Times New Roman" w:hAnsi="Times New Roman"/>
      <w:sz w:val="18"/>
      <w:vertAlign w:val="superscript"/>
      <w:lang w:val="en-GB"/>
    </w:rPr>
  </w:style>
  <w:style w:type="character" w:styleId="EndnoteReference">
    <w:name w:val="endnote reference"/>
    <w:aliases w:val="1_G"/>
    <w:basedOn w:val="FootnoteReference"/>
    <w:qFormat/>
    <w:rPr>
      <w:rFonts w:ascii="Times New Roman" w:hAnsi="Times New Roman"/>
      <w:sz w:val="18"/>
      <w:vertAlign w:val="superscript"/>
      <w:lang w:val="en-GB"/>
    </w:rPr>
  </w:style>
  <w:style w:type="table" w:styleId="TableGrid">
    <w:name w:val="Table Grid"/>
    <w:basedOn w:val="TableNormal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Pr>
      <w:color w:val="0000FF"/>
      <w:u w:val="none"/>
    </w:rPr>
  </w:style>
  <w:style w:type="character" w:styleId="FollowedHyperlink">
    <w:name w:val="FollowedHyperlink"/>
    <w:basedOn w:val="DefaultParagraphFont"/>
    <w:semiHidden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pPr>
      <w:tabs>
        <w:tab w:val="right" w:pos="1021"/>
      </w:tabs>
      <w:kinsoku w:val="0"/>
      <w:overflowPunct w:val="0"/>
      <w:autoSpaceDE w:val="0"/>
      <w:autoSpaceDN w:val="0"/>
      <w:adjustRightInd w:val="0"/>
      <w:snapToGrid w:val="0"/>
      <w:spacing w:line="220" w:lineRule="exact"/>
      <w:ind w:left="1134" w:right="1134" w:hanging="1134"/>
    </w:pPr>
    <w:rPr>
      <w:rFonts w:eastAsiaTheme="minorHAnsi"/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Pr>
      <w:rFonts w:ascii="Times New Roman" w:hAnsi="Times New Roman" w:cs="Times New Roman"/>
      <w:sz w:val="18"/>
      <w:szCs w:val="20"/>
      <w:lang w:val="en-GB"/>
    </w:rPr>
  </w:style>
  <w:style w:type="paragraph" w:styleId="EndnoteText">
    <w:name w:val="endnote text"/>
    <w:aliases w:val="2_G"/>
    <w:basedOn w:val="FootnoteText"/>
    <w:link w:val="EndnoteTextChar"/>
    <w:qFormat/>
  </w:style>
  <w:style w:type="character" w:customStyle="1" w:styleId="EndnoteTextChar">
    <w:name w:val="Endnote Text Char"/>
    <w:aliases w:val="2_G Char"/>
    <w:basedOn w:val="DefaultParagraphFont"/>
    <w:link w:val="EndnoteText"/>
    <w:rPr>
      <w:rFonts w:ascii="Times New Roman" w:hAnsi="Times New Roman" w:cs="Times New Roman"/>
      <w:sz w:val="18"/>
      <w:szCs w:val="20"/>
      <w:lang w:val="en-GB"/>
    </w:rPr>
  </w:style>
  <w:style w:type="character" w:styleId="PageNumber">
    <w:name w:val="page number"/>
    <w:aliases w:val="7_G"/>
    <w:basedOn w:val="DefaultParagraphFont"/>
    <w:qFormat/>
    <w:rPr>
      <w:rFonts w:ascii="Times New Roman" w:hAnsi="Times New Roman"/>
      <w:b/>
      <w:sz w:val="18"/>
      <w:lang w:val="en-GB"/>
    </w:rPr>
  </w:style>
  <w:style w:type="character" w:customStyle="1" w:styleId="Heading1Char">
    <w:name w:val="Heading 1 Char"/>
    <w:aliases w:val="Table_G Char"/>
    <w:basedOn w:val="DefaultParagraphFont"/>
    <w:link w:val="Heading1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Pr>
      <w:rFonts w:ascii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eastAsia="Times New Roman" w:hAnsi="Tahoma" w:cs="Tahoma"/>
      <w:sz w:val="16"/>
      <w:szCs w:val="16"/>
      <w:lang w:val="en-GB"/>
    </w:rPr>
  </w:style>
  <w:style w:type="numbering" w:styleId="111111">
    <w:name w:val="Outline List 2"/>
    <w:basedOn w:val="NoList"/>
    <w:semiHidden/>
    <w:pPr>
      <w:numPr>
        <w:numId w:val="18"/>
      </w:numPr>
    </w:pPr>
  </w:style>
  <w:style w:type="numbering" w:styleId="1ai">
    <w:name w:val="Outline List 1"/>
    <w:basedOn w:val="NoList"/>
    <w:semiHidden/>
    <w:pPr>
      <w:numPr>
        <w:numId w:val="20"/>
      </w:numPr>
    </w:pPr>
  </w:style>
  <w:style w:type="character" w:customStyle="1" w:styleId="SingleTxtGChar">
    <w:name w:val="_ Single Txt_G Char"/>
    <w:link w:val="SingleTxtG"/>
    <w:locked/>
    <w:rPr>
      <w:rFonts w:ascii="Times New Roman" w:hAnsi="Times New Roman" w:cs="Times New Roman"/>
      <w:sz w:val="20"/>
      <w:szCs w:val="20"/>
      <w:lang w:val="en-GB"/>
    </w:rPr>
  </w:style>
  <w:style w:type="table" w:customStyle="1" w:styleId="TableGrid1">
    <w:name w:val="Table Grid1"/>
    <w:basedOn w:val="TableNormal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BB1C6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B1C62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B1C62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B1C6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B1C62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paragraph" w:styleId="Revision">
    <w:name w:val="Revision"/>
    <w:hidden/>
    <w:uiPriority w:val="99"/>
    <w:semiHidden/>
    <w:rsid w:val="00D01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B67F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wmf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en/CERD/C/EST/12-13" TargetMode="External"/><Relationship Id="rId13" Type="http://schemas.openxmlformats.org/officeDocument/2006/relationships/hyperlink" Target="http://undocs.org/en/CERD/C/EST/12-13" TargetMode="External"/><Relationship Id="rId3" Type="http://schemas.openxmlformats.org/officeDocument/2006/relationships/hyperlink" Target="http://undocs.org/en/CERD/C/EST/CO/10-11" TargetMode="External"/><Relationship Id="rId7" Type="http://schemas.openxmlformats.org/officeDocument/2006/relationships/hyperlink" Target="http://undocs.org/en/CERD/C/EST/CO/10-11" TargetMode="External"/><Relationship Id="rId12" Type="http://schemas.openxmlformats.org/officeDocument/2006/relationships/hyperlink" Target="http://undocs.org/en/CERD/C/EST/CO/10-11" TargetMode="External"/><Relationship Id="rId2" Type="http://schemas.openxmlformats.org/officeDocument/2006/relationships/hyperlink" Target="http://undocs.org/en/CERD/C/EST/12-13" TargetMode="External"/><Relationship Id="rId16" Type="http://schemas.openxmlformats.org/officeDocument/2006/relationships/hyperlink" Target="http://undocs.org/en/CERD/C/EST/CO/10-11" TargetMode="External"/><Relationship Id="rId1" Type="http://schemas.openxmlformats.org/officeDocument/2006/relationships/hyperlink" Target="http://undocs.org/en/A/65/18" TargetMode="External"/><Relationship Id="rId6" Type="http://schemas.openxmlformats.org/officeDocument/2006/relationships/hyperlink" Target="http://undocs.org/en/CERD/C/EST/12-13" TargetMode="External"/><Relationship Id="rId11" Type="http://schemas.openxmlformats.org/officeDocument/2006/relationships/hyperlink" Target="http://undocs.org/en/CERD/C/EST/12-13" TargetMode="External"/><Relationship Id="rId5" Type="http://schemas.openxmlformats.org/officeDocument/2006/relationships/hyperlink" Target="http://undocs.org/en/CERD/C/EST/CO/10-11" TargetMode="External"/><Relationship Id="rId15" Type="http://schemas.openxmlformats.org/officeDocument/2006/relationships/hyperlink" Target="http://undocs.org/en/CERD/C/EST/12-13" TargetMode="External"/><Relationship Id="rId10" Type="http://schemas.openxmlformats.org/officeDocument/2006/relationships/hyperlink" Target="http://undocs.org/en/CERD/C/EST/CO/10-11" TargetMode="External"/><Relationship Id="rId4" Type="http://schemas.openxmlformats.org/officeDocument/2006/relationships/hyperlink" Target="http://undocs.org/en/CERD/C/EST/12-13" TargetMode="External"/><Relationship Id="rId9" Type="http://schemas.openxmlformats.org/officeDocument/2006/relationships/hyperlink" Target="http://undocs.org/en/CERD/C/EST/CO/10-11" TargetMode="External"/><Relationship Id="rId14" Type="http://schemas.openxmlformats.org/officeDocument/2006/relationships/hyperlink" Target="http://undocs.org/en/CERD/C/EST/CO/10-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E6135625EDE924B8C759341E8045347" ma:contentTypeVersion="7" ma:contentTypeDescription="Create a new document." ma:contentTypeScope="" ma:versionID="0c0618ae2394c0285804146eb3049e02">
  <xsd:schema xmlns:xsd="http://www.w3.org/2001/XMLSchema" xmlns:xs="http://www.w3.org/2001/XMLSchema" xmlns:p="http://schemas.microsoft.com/office/2006/metadata/properties" xmlns:ns3="216f5fd1-64b5-46a6-a50d-1afd4873157f" xmlns:ns4="31eeb98e-90e3-4d81-af45-df7da42028c0" targetNamespace="http://schemas.microsoft.com/office/2006/metadata/properties" ma:root="true" ma:fieldsID="4d81817e614ef76ffc96e9e6b8cf190c" ns3:_="" ns4:_="">
    <xsd:import namespace="216f5fd1-64b5-46a6-a50d-1afd4873157f"/>
    <xsd:import namespace="31eeb98e-90e3-4d81-af45-df7da42028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6f5fd1-64b5-46a6-a50d-1afd4873157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eeb98e-90e3-4d81-af45-df7da42028c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55192A9-E32F-4C52-BB46-6B63A4B963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B1CA6AB-DA52-4E16-9F50-1DE87E9AA9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6f5fd1-64b5-46a6-a50d-1afd4873157f"/>
    <ds:schemaRef ds:uri="31eeb98e-90e3-4d81-af45-df7da42028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BF9860B-F93F-4230-90E4-CCEFE1A3260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4FA490D-2938-4C14-B256-E8E634B1ADAC}">
  <ds:schemaRefs>
    <ds:schemaRef ds:uri="http://schemas.microsoft.com/office/2006/metadata/properties"/>
    <ds:schemaRef ds:uri="216f5fd1-64b5-46a6-a50d-1afd4873157f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31eeb98e-90e3-4d81-af45-df7da42028c0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1024</Words>
  <Characters>5901</Characters>
  <Application>Microsoft Office Word</Application>
  <DocSecurity>0</DocSecurity>
  <Lines>107</Lines>
  <Paragraphs>39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CERD/C/KAZ/Q/8-10</vt:lpstr>
      <vt:lpstr/>
      <vt:lpstr/>
    </vt:vector>
  </TitlesOfParts>
  <Company>DCM</Company>
  <LinksUpToDate>false</LinksUpToDate>
  <CharactersWithSpaces>6915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CERD/C/EST/Q/12-13</dc:title>
  <dc:subject>2203909</dc:subject>
  <dc:creator>Gloria</dc:creator>
  <cp:keywords/>
  <dc:description/>
  <cp:lastModifiedBy>Cecile Pacis</cp:lastModifiedBy>
  <cp:revision>2</cp:revision>
  <cp:lastPrinted>2022-03-07T14:13:00Z</cp:lastPrinted>
  <dcterms:created xsi:type="dcterms:W3CDTF">2022-03-17T06:27:00Z</dcterms:created>
  <dcterms:modified xsi:type="dcterms:W3CDTF">2022-03-17T06:27:00Z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num">
    <vt:lpwstr>[NUMBER]</vt:lpwstr>
  </property>
  <property fmtid="{D5CDD505-2E9C-101B-9397-08002B2CF9AE}" pid="3" name="atitle">
    <vt:lpwstr>[Title]</vt:lpwstr>
  </property>
  <property fmtid="{D5CDD505-2E9C-101B-9397-08002B2CF9AE}" pid="4" name="Author">
    <vt:lpwstr/>
  </property>
  <property fmtid="{D5CDD505-2E9C-101B-9397-08002B2CF9AE}" pid="5" name="bar">
    <vt:lpwstr/>
  </property>
  <property fmtid="{D5CDD505-2E9C-101B-9397-08002B2CF9AE}" pid="6" name="category">
    <vt:lpwstr>CERD</vt:lpwstr>
  </property>
  <property fmtid="{D5CDD505-2E9C-101B-9397-08002B2CF9AE}" pid="7" name="ContentTypeId">
    <vt:lpwstr>0x0101000E6135625EDE924B8C759341E8045347</vt:lpwstr>
  </property>
  <property fmtid="{D5CDD505-2E9C-101B-9397-08002B2CF9AE}" pid="8" name="count">
    <vt:lpwstr>Kazakhstan</vt:lpwstr>
  </property>
  <property fmtid="{D5CDD505-2E9C-101B-9397-08002B2CF9AE}" pid="9" name="countw">
    <vt:lpwstr>Kazakhstan</vt:lpwstr>
  </property>
  <property fmtid="{D5CDD505-2E9C-101B-9397-08002B2CF9AE}" pid="10" name="countwd">
    <vt:lpwstr>Kazakhstan</vt:lpwstr>
  </property>
  <property fmtid="{D5CDD505-2E9C-101B-9397-08002B2CF9AE}" pid="11" name="date">
    <vt:lpwstr>17 December 2021</vt:lpwstr>
  </property>
  <property fmtid="{D5CDD505-2E9C-101B-9397-08002B2CF9AE}" pid="12" name="Date-Generated">
    <vt:filetime>2021-12-17T10:17:47Z</vt:filetime>
  </property>
  <property fmtid="{D5CDD505-2E9C-101B-9397-08002B2CF9AE}" pid="13" name="dist">
    <vt:lpwstr>General</vt:lpwstr>
  </property>
  <property fmtid="{D5CDD505-2E9C-101B-9397-08002B2CF9AE}" pid="14" name="doctype">
    <vt:lpwstr>Final</vt:lpwstr>
  </property>
  <property fmtid="{D5CDD505-2E9C-101B-9397-08002B2CF9AE}" pid="15" name="Entity">
    <vt:lpwstr>List of themes</vt:lpwstr>
  </property>
  <property fmtid="{D5CDD505-2E9C-101B-9397-08002B2CF9AE}" pid="16" name="gdoc">
    <vt:lpwstr/>
  </property>
  <property fmtid="{D5CDD505-2E9C-101B-9397-08002B2CF9AE}" pid="17" name="gdocf">
    <vt:lpwstr/>
  </property>
  <property fmtid="{D5CDD505-2E9C-101B-9397-08002B2CF9AE}" pid="18" name="olang">
    <vt:lpwstr>English</vt:lpwstr>
  </property>
  <property fmtid="{D5CDD505-2E9C-101B-9397-08002B2CF9AE}" pid="19" name="Order">
    <vt:r8>161800</vt:r8>
  </property>
  <property fmtid="{D5CDD505-2E9C-101B-9397-08002B2CF9AE}" pid="20" name="Org">
    <vt:lpwstr>OHCHR</vt:lpwstr>
  </property>
  <property fmtid="{D5CDD505-2E9C-101B-9397-08002B2CF9AE}" pid="21" name="prep">
    <vt:lpwstr>combined eighth to tenth reports of Kazakhstan</vt:lpwstr>
  </property>
  <property fmtid="{D5CDD505-2E9C-101B-9397-08002B2CF9AE}" pid="22" name="preps">
    <vt:lpwstr>combined eighth to tenth reports of Kazakhstan</vt:lpwstr>
  </property>
  <property fmtid="{D5CDD505-2E9C-101B-9397-08002B2CF9AE}" pid="23" name="prepw">
    <vt:lpwstr>combined eighth to tenth reports</vt:lpwstr>
  </property>
  <property fmtid="{D5CDD505-2E9C-101B-9397-08002B2CF9AE}" pid="24" name="prepwc">
    <vt:lpwstr>Combined eighth to tenth reports </vt:lpwstr>
  </property>
  <property fmtid="{D5CDD505-2E9C-101B-9397-08002B2CF9AE}" pid="25" name="prepws">
    <vt:lpwstr>combined eighth to tenth reports</vt:lpwstr>
  </property>
  <property fmtid="{D5CDD505-2E9C-101B-9397-08002B2CF9AE}" pid="26" name="sdate">
    <vt:lpwstr>11-29 April 2022</vt:lpwstr>
  </property>
  <property fmtid="{D5CDD505-2E9C-101B-9397-08002B2CF9AE}" pid="27" name="snum">
    <vt:lpwstr>106th</vt:lpwstr>
  </property>
  <property fmtid="{D5CDD505-2E9C-101B-9397-08002B2CF9AE}" pid="28" name="stitle">
    <vt:lpwstr>[Title]</vt:lpwstr>
  </property>
  <property fmtid="{D5CDD505-2E9C-101B-9397-08002B2CF9AE}" pid="29" name="sym1">
    <vt:lpwstr>C/KAZ/Q/8-10</vt:lpwstr>
  </property>
  <property fmtid="{D5CDD505-2E9C-101B-9397-08002B2CF9AE}" pid="30" name="symh">
    <vt:lpwstr>CERD/C/KAZ/Q/8-10</vt:lpwstr>
  </property>
  <property fmtid="{D5CDD505-2E9C-101B-9397-08002B2CF9AE}" pid="31" name="tlang">
    <vt:lpwstr/>
  </property>
  <property fmtid="{D5CDD505-2E9C-101B-9397-08002B2CF9AE}" pid="32" name="virs">
    <vt:lpwstr>English, French and Spanish only</vt:lpwstr>
  </property>
</Properties>
</file>