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960EA">
      <w:pPr>
        <w:textAlignment w:val="center"/>
      </w:pPr>
    </w:p>
    <w:p w:rsidR="00000000" w:rsidRDefault="00E960EA">
      <w:pPr>
        <w:spacing w:after="320"/>
        <w:textAlignment w:val="center"/>
      </w:pPr>
      <w:r>
        <w:t>1998</w:t>
      </w:r>
      <w:r>
        <w:rPr>
          <w:rFonts w:hint="eastAsia"/>
        </w:rPr>
        <w:t>年实务会议</w:t>
      </w:r>
    </w:p>
    <w:p w:rsidR="00000000" w:rsidRDefault="00E960EA"/>
    <w:p w:rsidR="00000000" w:rsidRDefault="00E960EA">
      <w:pPr>
        <w:pStyle w:val="Heading2"/>
      </w:pPr>
      <w:r>
        <w:rPr>
          <w:rFonts w:hint="eastAsia"/>
        </w:rPr>
        <w:t>《经济、社会、文化权利国际盟约》的执行情况</w:t>
      </w:r>
    </w:p>
    <w:p w:rsidR="00000000" w:rsidRDefault="00E960EA">
      <w:pPr>
        <w:jc w:val="center"/>
        <w:rPr>
          <w:u w:val="single"/>
        </w:rPr>
      </w:pPr>
      <w:r>
        <w:rPr>
          <w:rFonts w:hint="eastAsia"/>
          <w:u w:val="single"/>
        </w:rPr>
        <w:t>缔约国根据《盟约》第</w:t>
      </w:r>
      <w:r>
        <w:rPr>
          <w:u w:val="single"/>
        </w:rPr>
        <w:t>16</w:t>
      </w:r>
      <w:r>
        <w:rPr>
          <w:rFonts w:hint="eastAsia"/>
          <w:u w:val="single"/>
        </w:rPr>
        <w:t>条和第</w:t>
      </w:r>
      <w:r>
        <w:rPr>
          <w:u w:val="single"/>
        </w:rPr>
        <w:t>17</w:t>
      </w:r>
      <w:r>
        <w:rPr>
          <w:rFonts w:hint="eastAsia"/>
          <w:u w:val="single"/>
        </w:rPr>
        <w:t>条</w:t>
      </w:r>
    </w:p>
    <w:p w:rsidR="00000000" w:rsidRDefault="00E960EA">
      <w:pPr>
        <w:pStyle w:val="Heading3"/>
      </w:pPr>
      <w:r>
        <w:rPr>
          <w:rFonts w:hint="eastAsia"/>
        </w:rPr>
        <w:t>提交的第三份定期报告</w:t>
      </w:r>
    </w:p>
    <w:p w:rsidR="00000000" w:rsidRDefault="00E960EA">
      <w:pPr>
        <w:pStyle w:val="Heading3"/>
      </w:pPr>
      <w:r>
        <w:rPr>
          <w:rFonts w:hint="eastAsia"/>
        </w:rPr>
        <w:t>增</w:t>
      </w:r>
      <w:r>
        <w:t xml:space="preserve">  </w:t>
      </w:r>
      <w:r>
        <w:rPr>
          <w:rFonts w:hint="eastAsia"/>
        </w:rPr>
        <w:t>编</w:t>
      </w:r>
    </w:p>
    <w:p w:rsidR="00000000" w:rsidRDefault="00E960EA">
      <w:pPr>
        <w:pStyle w:val="Heading3"/>
      </w:pPr>
      <w:r>
        <w:rPr>
          <w:u w:val="none"/>
        </w:rPr>
        <w:t xml:space="preserve">  </w:t>
      </w:r>
      <w:r>
        <w:rPr>
          <w:rFonts w:hint="eastAsia"/>
          <w:u w:val="none"/>
        </w:rPr>
        <w:t>蒙</w:t>
      </w:r>
      <w:r>
        <w:rPr>
          <w:u w:val="none"/>
        </w:rPr>
        <w:t xml:space="preserve">  </w:t>
      </w:r>
      <w:r>
        <w:rPr>
          <w:rFonts w:hint="eastAsia"/>
          <w:u w:val="none"/>
        </w:rPr>
        <w:t>古</w:t>
      </w:r>
      <w:r>
        <w:rPr>
          <w:u w:val="none"/>
        </w:rPr>
        <w:t xml:space="preserve"> </w:t>
      </w:r>
      <w:r>
        <w:rPr>
          <w:rStyle w:val="FootnoteReference"/>
          <w:u w:val="none"/>
          <w:vertAlign w:val="baseline"/>
        </w:rPr>
        <w:footnoteReference w:customMarkFollows="1" w:id="1"/>
        <w:t>*</w:t>
      </w:r>
    </w:p>
    <w:p w:rsidR="00000000" w:rsidRDefault="00E960EA">
      <w:pPr>
        <w:ind w:firstLine="6120"/>
      </w:pPr>
      <w:r>
        <w:rPr>
          <w:rFonts w:hint="eastAsia"/>
        </w:rPr>
        <w:t>［</w:t>
      </w:r>
      <w:r>
        <w:t>1998</w:t>
      </w:r>
      <w:r>
        <w:rPr>
          <w:rFonts w:hint="eastAsia"/>
        </w:rPr>
        <w:t>年</w:t>
      </w:r>
      <w:r>
        <w:t>4</w:t>
      </w:r>
      <w:r>
        <w:rPr>
          <w:rFonts w:hint="eastAsia"/>
        </w:rPr>
        <w:t>月</w:t>
      </w:r>
      <w:r>
        <w:t>20</w:t>
      </w:r>
      <w:r>
        <w:rPr>
          <w:rFonts w:hint="eastAsia"/>
        </w:rPr>
        <w:t>日］</w:t>
      </w:r>
    </w:p>
    <w:p w:rsidR="00000000" w:rsidRDefault="00E960EA">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E960EA">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E960EA">
      <w:pPr>
        <w:pStyle w:val="a3"/>
      </w:pPr>
      <w:r>
        <w:tab/>
      </w:r>
      <w:r>
        <w:rPr>
          <w:rFonts w:hint="eastAsia"/>
        </w:rPr>
        <w:t>导</w:t>
      </w:r>
      <w:r>
        <w:t xml:space="preserve">  </w:t>
      </w:r>
      <w:r>
        <w:rPr>
          <w:rFonts w:hint="eastAsia"/>
        </w:rPr>
        <w:t>言</w:t>
      </w:r>
      <w:r>
        <w:t>................</w:t>
      </w:r>
      <w:r>
        <w:t>..</w:t>
      </w:r>
      <w:r>
        <w:tab/>
      </w:r>
      <w:r>
        <w:tab/>
        <w:t>1</w:t>
      </w:r>
      <w:r>
        <w:tab/>
        <w:t>-</w:t>
      </w:r>
      <w:r>
        <w:tab/>
        <w:t>2</w:t>
      </w:r>
      <w:r>
        <w:tab/>
        <w:t>3</w:t>
      </w:r>
    </w:p>
    <w:p w:rsidR="00000000" w:rsidRDefault="00E960EA">
      <w:pPr>
        <w:pStyle w:val="a3"/>
        <w:ind w:left="518"/>
      </w:pPr>
      <w:r>
        <w:rPr>
          <w:rFonts w:hint="eastAsia"/>
        </w:rPr>
        <w:t>第</w:t>
      </w:r>
      <w:r>
        <w:t>1</w:t>
      </w:r>
      <w:r>
        <w:rPr>
          <w:rFonts w:hint="eastAsia"/>
        </w:rPr>
        <w:t>条</w:t>
      </w:r>
      <w:r>
        <w:t>...................</w:t>
      </w:r>
      <w:r>
        <w:tab/>
      </w:r>
      <w:r>
        <w:tab/>
        <w:t>3</w:t>
      </w:r>
      <w:r>
        <w:tab/>
        <w:t>-</w:t>
      </w:r>
      <w:r>
        <w:tab/>
        <w:t>7</w:t>
      </w:r>
      <w:r>
        <w:tab/>
        <w:t>3</w:t>
      </w:r>
    </w:p>
    <w:p w:rsidR="00000000" w:rsidRDefault="00E960EA">
      <w:pPr>
        <w:pStyle w:val="a3"/>
        <w:ind w:left="518"/>
      </w:pPr>
      <w:r>
        <w:rPr>
          <w:rFonts w:hint="eastAsia"/>
        </w:rPr>
        <w:t>第</w:t>
      </w:r>
      <w:r>
        <w:t>2</w:t>
      </w:r>
      <w:r>
        <w:rPr>
          <w:rFonts w:hint="eastAsia"/>
        </w:rPr>
        <w:t>条</w:t>
      </w:r>
      <w:r>
        <w:t>...................</w:t>
      </w:r>
      <w:r>
        <w:tab/>
      </w:r>
      <w:r>
        <w:tab/>
        <w:t>8</w:t>
      </w:r>
      <w:r>
        <w:tab/>
        <w:t>-</w:t>
      </w:r>
      <w:r>
        <w:tab/>
        <w:t>13</w:t>
      </w:r>
      <w:r>
        <w:tab/>
        <w:t>4</w:t>
      </w:r>
    </w:p>
    <w:p w:rsidR="00000000" w:rsidRDefault="00E960EA">
      <w:pPr>
        <w:pStyle w:val="a3"/>
        <w:ind w:left="518"/>
      </w:pPr>
      <w:r>
        <w:rPr>
          <w:rFonts w:hint="eastAsia"/>
        </w:rPr>
        <w:t>第</w:t>
      </w:r>
      <w:r>
        <w:t>3</w:t>
      </w:r>
      <w:r>
        <w:rPr>
          <w:rFonts w:hint="eastAsia"/>
        </w:rPr>
        <w:t>条</w:t>
      </w:r>
      <w:r>
        <w:t>...................</w:t>
      </w:r>
      <w:r>
        <w:tab/>
      </w:r>
      <w:r>
        <w:tab/>
        <w:t>14</w:t>
      </w:r>
      <w:r>
        <w:tab/>
        <w:t>-</w:t>
      </w:r>
      <w:r>
        <w:tab/>
        <w:t>18</w:t>
      </w:r>
      <w:r>
        <w:tab/>
        <w:t>6</w:t>
      </w:r>
    </w:p>
    <w:p w:rsidR="00000000" w:rsidRDefault="00E960EA">
      <w:pPr>
        <w:pStyle w:val="a3"/>
        <w:ind w:left="518"/>
      </w:pPr>
      <w:r>
        <w:rPr>
          <w:rFonts w:hint="eastAsia"/>
        </w:rPr>
        <w:t>第</w:t>
      </w:r>
      <w:r>
        <w:t>4</w:t>
      </w:r>
      <w:r>
        <w:rPr>
          <w:rFonts w:hint="eastAsia"/>
        </w:rPr>
        <w:t>条</w:t>
      </w:r>
      <w:r>
        <w:t>...................</w:t>
      </w:r>
      <w:r>
        <w:tab/>
      </w:r>
      <w:r>
        <w:tab/>
      </w:r>
      <w:r>
        <w:tab/>
        <w:t>19</w:t>
      </w:r>
      <w:r>
        <w:tab/>
      </w:r>
      <w:r>
        <w:tab/>
        <w:t>6</w:t>
      </w:r>
    </w:p>
    <w:p w:rsidR="00000000" w:rsidRDefault="00E960EA">
      <w:pPr>
        <w:pStyle w:val="a3"/>
        <w:ind w:left="518"/>
      </w:pPr>
      <w:r>
        <w:rPr>
          <w:rFonts w:hint="eastAsia"/>
        </w:rPr>
        <w:t>第</w:t>
      </w:r>
      <w:r>
        <w:t>6</w:t>
      </w:r>
      <w:r>
        <w:rPr>
          <w:rFonts w:hint="eastAsia"/>
        </w:rPr>
        <w:t>条</w:t>
      </w:r>
      <w:r>
        <w:t>...................</w:t>
      </w:r>
      <w:r>
        <w:tab/>
      </w:r>
      <w:r>
        <w:tab/>
        <w:t>20</w:t>
      </w:r>
      <w:r>
        <w:tab/>
        <w:t>-</w:t>
      </w:r>
      <w:r>
        <w:tab/>
        <w:t>30</w:t>
      </w:r>
      <w:r>
        <w:tab/>
        <w:t>7</w:t>
      </w:r>
    </w:p>
    <w:p w:rsidR="00000000" w:rsidRDefault="00E960EA">
      <w:pPr>
        <w:pStyle w:val="a3"/>
        <w:ind w:left="518"/>
      </w:pPr>
      <w:r>
        <w:rPr>
          <w:rFonts w:hint="eastAsia"/>
        </w:rPr>
        <w:t>第</w:t>
      </w:r>
      <w:r>
        <w:t>7</w:t>
      </w:r>
      <w:r>
        <w:rPr>
          <w:rFonts w:hint="eastAsia"/>
        </w:rPr>
        <w:t>条</w:t>
      </w:r>
      <w:r>
        <w:t>...................</w:t>
      </w:r>
      <w:r>
        <w:tab/>
      </w:r>
      <w:r>
        <w:tab/>
        <w:t>31</w:t>
      </w:r>
      <w:r>
        <w:tab/>
        <w:t>-</w:t>
      </w:r>
      <w:r>
        <w:tab/>
        <w:t>39</w:t>
      </w:r>
      <w:r>
        <w:tab/>
        <w:t>10</w:t>
      </w:r>
    </w:p>
    <w:p w:rsidR="00000000" w:rsidRDefault="00E960EA">
      <w:pPr>
        <w:pStyle w:val="a3"/>
        <w:ind w:left="518"/>
      </w:pPr>
      <w:r>
        <w:rPr>
          <w:rFonts w:hint="eastAsia"/>
        </w:rPr>
        <w:t>第</w:t>
      </w:r>
      <w:r>
        <w:t>8</w:t>
      </w:r>
      <w:r>
        <w:rPr>
          <w:rFonts w:hint="eastAsia"/>
        </w:rPr>
        <w:t>条</w:t>
      </w:r>
      <w:r>
        <w:t>...................</w:t>
      </w:r>
      <w:r>
        <w:tab/>
      </w:r>
      <w:r>
        <w:tab/>
        <w:t>40</w:t>
      </w:r>
      <w:r>
        <w:tab/>
        <w:t>-</w:t>
      </w:r>
      <w:r>
        <w:tab/>
        <w:t>46</w:t>
      </w:r>
      <w:r>
        <w:tab/>
        <w:t>11</w:t>
      </w:r>
    </w:p>
    <w:p w:rsidR="00000000" w:rsidRDefault="00E960EA">
      <w:pPr>
        <w:pStyle w:val="a3"/>
        <w:ind w:left="518"/>
      </w:pPr>
      <w:r>
        <w:rPr>
          <w:rFonts w:hint="eastAsia"/>
        </w:rPr>
        <w:t>第</w:t>
      </w:r>
      <w:r>
        <w:t>9</w:t>
      </w:r>
      <w:r>
        <w:rPr>
          <w:rFonts w:hint="eastAsia"/>
        </w:rPr>
        <w:t>条</w:t>
      </w:r>
      <w:r>
        <w:t>.......</w:t>
      </w:r>
      <w:r>
        <w:t>............</w:t>
      </w:r>
      <w:r>
        <w:tab/>
      </w:r>
      <w:r>
        <w:tab/>
        <w:t>47</w:t>
      </w:r>
      <w:r>
        <w:tab/>
        <w:t>-</w:t>
      </w:r>
      <w:r>
        <w:tab/>
        <w:t>62</w:t>
      </w:r>
      <w:r>
        <w:tab/>
        <w:t>12</w:t>
      </w:r>
    </w:p>
    <w:p w:rsidR="00000000" w:rsidRDefault="00E960EA">
      <w:pPr>
        <w:pStyle w:val="a3"/>
        <w:ind w:left="518"/>
      </w:pPr>
      <w:r>
        <w:rPr>
          <w:rFonts w:hint="eastAsia"/>
        </w:rPr>
        <w:t>第</w:t>
      </w:r>
      <w:r>
        <w:t>10</w:t>
      </w:r>
      <w:r>
        <w:rPr>
          <w:rFonts w:hint="eastAsia"/>
        </w:rPr>
        <w:t>条</w:t>
      </w:r>
      <w:r>
        <w:t>...................</w:t>
      </w:r>
      <w:r>
        <w:tab/>
      </w:r>
      <w:r>
        <w:tab/>
        <w:t>63</w:t>
      </w:r>
      <w:r>
        <w:tab/>
        <w:t>-</w:t>
      </w:r>
      <w:r>
        <w:tab/>
        <w:t>67</w:t>
      </w:r>
      <w:r>
        <w:tab/>
        <w:t>15</w:t>
      </w:r>
    </w:p>
    <w:p w:rsidR="00000000" w:rsidRDefault="00E960EA">
      <w:pPr>
        <w:pStyle w:val="a3"/>
        <w:ind w:left="518"/>
      </w:pPr>
      <w:r>
        <w:rPr>
          <w:rFonts w:hint="eastAsia"/>
        </w:rPr>
        <w:t>第</w:t>
      </w:r>
      <w:r>
        <w:t>11</w:t>
      </w:r>
      <w:r>
        <w:rPr>
          <w:rFonts w:hint="eastAsia"/>
        </w:rPr>
        <w:t>条</w:t>
      </w:r>
      <w:r>
        <w:t>...................</w:t>
      </w:r>
      <w:r>
        <w:tab/>
      </w:r>
      <w:r>
        <w:tab/>
        <w:t>68</w:t>
      </w:r>
      <w:r>
        <w:tab/>
        <w:t>-</w:t>
      </w:r>
      <w:r>
        <w:tab/>
        <w:t>97</w:t>
      </w:r>
      <w:r>
        <w:tab/>
        <w:t>16</w:t>
      </w:r>
    </w:p>
    <w:p w:rsidR="00000000" w:rsidRDefault="00E960EA">
      <w:pPr>
        <w:pStyle w:val="a3"/>
        <w:ind w:left="518"/>
      </w:pPr>
      <w:r>
        <w:rPr>
          <w:rFonts w:hint="eastAsia"/>
        </w:rPr>
        <w:t>第</w:t>
      </w:r>
      <w:r>
        <w:t>12</w:t>
      </w:r>
      <w:r>
        <w:rPr>
          <w:rFonts w:hint="eastAsia"/>
        </w:rPr>
        <w:t>条</w:t>
      </w:r>
      <w:r>
        <w:t>...................</w:t>
      </w:r>
      <w:r>
        <w:tab/>
      </w:r>
      <w:r>
        <w:tab/>
        <w:t>98</w:t>
      </w:r>
      <w:r>
        <w:tab/>
        <w:t>-</w:t>
      </w:r>
      <w:r>
        <w:tab/>
        <w:t>113</w:t>
      </w:r>
      <w:r>
        <w:tab/>
        <w:t>23</w:t>
      </w:r>
    </w:p>
    <w:p w:rsidR="00000000" w:rsidRDefault="00E960EA">
      <w:pPr>
        <w:pStyle w:val="a3"/>
        <w:ind w:left="518"/>
      </w:pPr>
      <w:r>
        <w:rPr>
          <w:rFonts w:hint="eastAsia"/>
        </w:rPr>
        <w:t>第</w:t>
      </w:r>
      <w:r>
        <w:t>13</w:t>
      </w:r>
      <w:r>
        <w:rPr>
          <w:rFonts w:hint="eastAsia"/>
        </w:rPr>
        <w:t>条</w:t>
      </w:r>
      <w:r>
        <w:t>...................</w:t>
      </w:r>
      <w:r>
        <w:tab/>
      </w:r>
      <w:r>
        <w:tab/>
        <w:t>114</w:t>
      </w:r>
      <w:r>
        <w:tab/>
        <w:t>-</w:t>
      </w:r>
      <w:r>
        <w:tab/>
        <w:t>123</w:t>
      </w:r>
      <w:r>
        <w:tab/>
        <w:t>29</w:t>
      </w:r>
    </w:p>
    <w:p w:rsidR="00000000" w:rsidRDefault="00E960EA">
      <w:pPr>
        <w:pStyle w:val="a3"/>
        <w:ind w:left="518"/>
      </w:pPr>
      <w:r>
        <w:rPr>
          <w:rFonts w:hint="eastAsia"/>
        </w:rPr>
        <w:t>第</w:t>
      </w:r>
      <w:r>
        <w:t>14</w:t>
      </w:r>
      <w:r>
        <w:rPr>
          <w:rFonts w:hint="eastAsia"/>
        </w:rPr>
        <w:t>条</w:t>
      </w:r>
      <w:r>
        <w:t>...................</w:t>
      </w:r>
      <w:r>
        <w:tab/>
      </w:r>
      <w:r>
        <w:tab/>
        <w:t>124</w:t>
      </w:r>
      <w:r>
        <w:tab/>
        <w:t>-</w:t>
      </w:r>
      <w:r>
        <w:tab/>
        <w:t>129</w:t>
      </w:r>
      <w:r>
        <w:tab/>
        <w:t>30</w:t>
      </w:r>
    </w:p>
    <w:p w:rsidR="00000000" w:rsidRDefault="00E960EA">
      <w:r>
        <w:br/>
      </w:r>
      <w:r>
        <w:br w:type="page"/>
      </w:r>
    </w:p>
    <w:p w:rsidR="00000000" w:rsidRDefault="00E960EA">
      <w:pPr>
        <w:pStyle w:val="Heading2"/>
      </w:pPr>
      <w:r>
        <w:rPr>
          <w:rFonts w:hint="eastAsia"/>
        </w:rPr>
        <w:t>导</w:t>
      </w:r>
      <w:r>
        <w:t xml:space="preserve">  </w:t>
      </w:r>
      <w:r>
        <w:rPr>
          <w:rFonts w:hint="eastAsia"/>
        </w:rPr>
        <w:t>言</w:t>
      </w:r>
    </w:p>
    <w:p w:rsidR="00000000" w:rsidRDefault="00E960EA">
      <w:r>
        <w:tab/>
        <w:t xml:space="preserve">1.  </w:t>
      </w:r>
      <w:r>
        <w:rPr>
          <w:rFonts w:hint="eastAsia"/>
        </w:rPr>
        <w:t>蒙古于</w:t>
      </w:r>
      <w:r>
        <w:t>1974</w:t>
      </w:r>
      <w:r>
        <w:rPr>
          <w:rFonts w:hint="eastAsia"/>
        </w:rPr>
        <w:t>年</w:t>
      </w:r>
      <w:r>
        <w:t>11</w:t>
      </w:r>
      <w:r>
        <w:rPr>
          <w:rFonts w:hint="eastAsia"/>
        </w:rPr>
        <w:t>月</w:t>
      </w:r>
      <w:r>
        <w:t>18</w:t>
      </w:r>
      <w:r>
        <w:rPr>
          <w:rFonts w:hint="eastAsia"/>
        </w:rPr>
        <w:t>日批准了《经济、社会、文化权利国际盟约》</w:t>
      </w:r>
      <w:r>
        <w:rPr>
          <w:rFonts w:hint="eastAsia"/>
        </w:rPr>
        <w:t>。蒙古已提交了有关《盟约》的执行情况的两份报告。目前的第三份报告由于在时间上涉及的是蒙古政治、经济和社会生活发生重大变化的时期，即走向民主和自由市场的过渡期而特别引人注目。</w:t>
      </w:r>
    </w:p>
    <w:p w:rsidR="00000000" w:rsidRDefault="00E960EA">
      <w:pPr>
        <w:spacing w:after="320"/>
        <w:textAlignment w:val="center"/>
      </w:pPr>
      <w:r>
        <w:tab/>
        <w:t xml:space="preserve">2.  </w:t>
      </w:r>
      <w:r>
        <w:rPr>
          <w:rFonts w:hint="eastAsia"/>
        </w:rPr>
        <w:t>根据委员会的建议，本报告将涉及《盟约》的所有规定。由于有关的国家机构工作人员不足，缺乏必要的资料，因此未能及时提交《盟约》第</w:t>
      </w:r>
      <w:r>
        <w:t>13</w:t>
      </w:r>
      <w:r>
        <w:rPr>
          <w:rFonts w:hint="eastAsia"/>
        </w:rPr>
        <w:t>条至第</w:t>
      </w:r>
      <w:r>
        <w:t>15</w:t>
      </w:r>
      <w:r>
        <w:rPr>
          <w:rFonts w:hint="eastAsia"/>
        </w:rPr>
        <w:t>条的实施情况的部分报告。</w:t>
      </w:r>
    </w:p>
    <w:p w:rsidR="00000000" w:rsidRDefault="00E960EA">
      <w:pPr>
        <w:pStyle w:val="Heading3"/>
      </w:pPr>
      <w:r>
        <w:rPr>
          <w:rFonts w:hint="eastAsia"/>
        </w:rPr>
        <w:t>第</w:t>
      </w:r>
      <w:r>
        <w:t xml:space="preserve"> 1 </w:t>
      </w:r>
      <w:r>
        <w:rPr>
          <w:rFonts w:hint="eastAsia"/>
        </w:rPr>
        <w:t>条</w:t>
      </w:r>
    </w:p>
    <w:p w:rsidR="00000000" w:rsidRDefault="00E960EA">
      <w:r>
        <w:tab/>
        <w:t xml:space="preserve">3.  </w:t>
      </w:r>
      <w:r>
        <w:rPr>
          <w:rFonts w:hint="eastAsia"/>
        </w:rPr>
        <w:t>《联合国宪章》第</w:t>
      </w:r>
      <w:r>
        <w:t>55</w:t>
      </w:r>
      <w:r>
        <w:rPr>
          <w:rFonts w:hint="eastAsia"/>
        </w:rPr>
        <w:t>条第</w:t>
      </w:r>
      <w:r>
        <w:t>1</w:t>
      </w:r>
      <w:r>
        <w:rPr>
          <w:rFonts w:hint="eastAsia"/>
        </w:rPr>
        <w:t>款提及的自决权在蒙古已得到了充分的行使。由国家大呼拉尔</w:t>
      </w:r>
      <w:r>
        <w:t>1992</w:t>
      </w:r>
      <w:r>
        <w:rPr>
          <w:rFonts w:hint="eastAsia"/>
        </w:rPr>
        <w:t>年</w:t>
      </w:r>
      <w:r>
        <w:t>1</w:t>
      </w:r>
      <w:r>
        <w:rPr>
          <w:rFonts w:hint="eastAsia"/>
        </w:rPr>
        <w:t>月</w:t>
      </w:r>
      <w:r>
        <w:t>13</w:t>
      </w:r>
      <w:r>
        <w:rPr>
          <w:rFonts w:hint="eastAsia"/>
        </w:rPr>
        <w:t>日颁布的</w:t>
      </w:r>
      <w:r>
        <w:rPr>
          <w:rFonts w:hint="eastAsia"/>
          <w:sz w:val="20"/>
        </w:rPr>
        <w:t>《</w:t>
      </w:r>
      <w:r>
        <w:rPr>
          <w:rFonts w:hint="eastAsia"/>
        </w:rPr>
        <w:t>蒙古宪法》已成为这一权利的最高保障</w:t>
      </w:r>
      <w:r>
        <w:rPr>
          <w:rFonts w:hint="eastAsia"/>
        </w:rPr>
        <w:t>。《宪法》，特别是它的第一章宣告了蒙古的政治和经济制度的基础：国家主权、民主治国原则和公民代表权。</w:t>
      </w:r>
    </w:p>
    <w:p w:rsidR="00000000" w:rsidRDefault="00E960EA">
      <w:r>
        <w:tab/>
        <w:t xml:space="preserve">4.  </w:t>
      </w:r>
      <w:r>
        <w:rPr>
          <w:rFonts w:hint="eastAsia"/>
        </w:rPr>
        <w:t>宪法第一章表明了蒙古的独立和主权，根据第</w:t>
      </w:r>
      <w:r>
        <w:t>1</w:t>
      </w:r>
      <w:r>
        <w:rPr>
          <w:rFonts w:hint="eastAsia"/>
        </w:rPr>
        <w:t>条，“蒙古是一个独立和主权的共和国”。</w:t>
      </w:r>
    </w:p>
    <w:p w:rsidR="00000000" w:rsidRDefault="00E960EA">
      <w:r>
        <w:tab/>
        <w:t xml:space="preserve">5.  </w:t>
      </w:r>
      <w:r>
        <w:rPr>
          <w:rFonts w:hint="eastAsia"/>
        </w:rPr>
        <w:t>在我国的历史上，人民的自决权得到了各种法律和法令的保障。因此，</w:t>
      </w:r>
      <w:r>
        <w:t>1924</w:t>
      </w:r>
      <w:r>
        <w:rPr>
          <w:rFonts w:hint="eastAsia"/>
        </w:rPr>
        <w:t>年蒙古宣布成为一个共和国，并且，四部宪法</w:t>
      </w:r>
      <w:r>
        <w:t>(1924</w:t>
      </w:r>
      <w:r>
        <w:rPr>
          <w:rFonts w:hint="eastAsia"/>
        </w:rPr>
        <w:t>年、</w:t>
      </w:r>
      <w:r>
        <w:t>1940</w:t>
      </w:r>
      <w:r>
        <w:rPr>
          <w:rFonts w:hint="eastAsia"/>
        </w:rPr>
        <w:t>年、</w:t>
      </w:r>
      <w:r>
        <w:t>1960</w:t>
      </w:r>
      <w:r>
        <w:rPr>
          <w:rFonts w:hint="eastAsia"/>
        </w:rPr>
        <w:t>年和</w:t>
      </w:r>
      <w:r>
        <w:t>1992</w:t>
      </w:r>
      <w:r>
        <w:rPr>
          <w:rFonts w:hint="eastAsia"/>
        </w:rPr>
        <w:t>年</w:t>
      </w:r>
      <w:r>
        <w:t>)</w:t>
      </w:r>
      <w:r>
        <w:rPr>
          <w:rFonts w:hint="eastAsia"/>
        </w:rPr>
        <w:t>都重申了这一点。</w:t>
      </w:r>
    </w:p>
    <w:p w:rsidR="00000000" w:rsidRDefault="00E960EA">
      <w:r>
        <w:tab/>
        <w:t xml:space="preserve">6.  </w:t>
      </w:r>
      <w:r>
        <w:rPr>
          <w:rFonts w:hint="eastAsia"/>
        </w:rPr>
        <w:t>在国际一级，蒙古作为一个成员国，积极参加了联合国、联合国各专门机构和其他政府间组织的活动。</w:t>
      </w:r>
    </w:p>
    <w:p w:rsidR="00000000" w:rsidRDefault="00E960EA">
      <w:pPr>
        <w:spacing w:after="320"/>
        <w:textAlignment w:val="center"/>
      </w:pPr>
      <w:r>
        <w:tab/>
        <w:t xml:space="preserve">7.  </w:t>
      </w:r>
      <w:r>
        <w:rPr>
          <w:rFonts w:hint="eastAsia"/>
        </w:rPr>
        <w:t>迄今为止蒙古已加入了</w:t>
      </w:r>
      <w:r>
        <w:rPr>
          <w:rFonts w:hint="eastAsia"/>
        </w:rPr>
        <w:t>大约</w:t>
      </w:r>
      <w:r>
        <w:t>70</w:t>
      </w:r>
      <w:r>
        <w:rPr>
          <w:rFonts w:hint="eastAsia"/>
        </w:rPr>
        <w:t>项国际公约和条约，其中包括《经济、社会、文化权利国际盟约》、《公民权利和政治权利国际盟约》和《消除一切形式种族歧视国际公约》等联合国人权文书。</w:t>
      </w:r>
    </w:p>
    <w:p w:rsidR="00000000" w:rsidRDefault="00E960EA">
      <w:pPr>
        <w:pStyle w:val="Heading3"/>
      </w:pPr>
      <w:r>
        <w:rPr>
          <w:u w:val="none"/>
        </w:rPr>
        <w:tab/>
      </w:r>
      <w:r>
        <w:rPr>
          <w:rFonts w:hint="eastAsia"/>
        </w:rPr>
        <w:t>第</w:t>
      </w:r>
      <w:r>
        <w:t xml:space="preserve"> 2 </w:t>
      </w:r>
      <w:r>
        <w:rPr>
          <w:rFonts w:hint="eastAsia"/>
        </w:rPr>
        <w:t>条</w:t>
      </w:r>
    </w:p>
    <w:p w:rsidR="00000000" w:rsidRDefault="00E960EA">
      <w:r>
        <w:tab/>
        <w:t xml:space="preserve">8.  </w:t>
      </w:r>
      <w:r>
        <w:rPr>
          <w:rFonts w:hint="eastAsia"/>
        </w:rPr>
        <w:t>尽管缺乏资源和机会，蒙古政府为确保人民充分享有经济、社会和文化权利而采取了连贯的措施。</w:t>
      </w:r>
    </w:p>
    <w:p w:rsidR="00000000" w:rsidRDefault="00E960EA">
      <w:r>
        <w:tab/>
        <w:t xml:space="preserve">9.  </w:t>
      </w:r>
      <w:r>
        <w:rPr>
          <w:rFonts w:hint="eastAsia"/>
        </w:rPr>
        <w:t>《蒙古宪法》第二章的标题是“人权和自由”，它列出了蒙古公民享有的下列经济、社会和文化权利：</w:t>
      </w:r>
    </w:p>
    <w:p w:rsidR="00000000" w:rsidRDefault="00E960EA" w:rsidP="00E960EA">
      <w:pPr>
        <w:pStyle w:val="a0"/>
        <w:numPr>
          <w:ilvl w:val="0"/>
          <w:numId w:val="1"/>
        </w:numPr>
        <w:ind w:left="1531" w:hanging="510"/>
      </w:pPr>
      <w:r>
        <w:rPr>
          <w:rFonts w:hint="eastAsia"/>
        </w:rPr>
        <w:t>享有一个健康和安全的环境，不受环境污染和生态失衡影响的权利；</w:t>
      </w:r>
    </w:p>
    <w:p w:rsidR="00000000" w:rsidRDefault="00E960EA" w:rsidP="00E960EA">
      <w:pPr>
        <w:pStyle w:val="a0"/>
        <w:numPr>
          <w:ilvl w:val="0"/>
          <w:numId w:val="1"/>
        </w:numPr>
        <w:ind w:left="1531" w:hanging="510"/>
      </w:pPr>
      <w:r>
        <w:rPr>
          <w:rFonts w:hint="eastAsia"/>
        </w:rPr>
        <w:t>公平获取、拥有和继承动产和不动产的权利。禁止非法没收和征用公民的私人财产。如果国家及</w:t>
      </w:r>
      <w:r>
        <w:rPr>
          <w:rFonts w:hint="eastAsia"/>
        </w:rPr>
        <w:t>其机构根据公众的特殊需求征用私人财产，则必须给予适当的赔偿和付款；</w:t>
      </w:r>
    </w:p>
    <w:p w:rsidR="00000000" w:rsidRDefault="00E960EA" w:rsidP="00E960EA">
      <w:pPr>
        <w:pStyle w:val="a0"/>
        <w:numPr>
          <w:ilvl w:val="0"/>
          <w:numId w:val="1"/>
        </w:numPr>
        <w:ind w:left="1531" w:hanging="510"/>
      </w:pPr>
      <w:r>
        <w:rPr>
          <w:rFonts w:hint="eastAsia"/>
        </w:rPr>
        <w:t>自由选择就业、有利的工作条件、获取报酬、休息和建立私营企业的权利。</w:t>
      </w:r>
    </w:p>
    <w:p w:rsidR="00000000" w:rsidRDefault="00E960EA" w:rsidP="00E960EA">
      <w:pPr>
        <w:pStyle w:val="a0"/>
        <w:numPr>
          <w:ilvl w:val="0"/>
          <w:numId w:val="1"/>
        </w:numPr>
        <w:ind w:left="1531" w:hanging="510"/>
      </w:pPr>
      <w:r>
        <w:rPr>
          <w:rFonts w:hint="eastAsia"/>
        </w:rPr>
        <w:t>在年老、残疾、生育和子女养育和法律规定的其他情况下获得物力和财力援助的权利；</w:t>
      </w:r>
    </w:p>
    <w:p w:rsidR="00000000" w:rsidRDefault="00E960EA" w:rsidP="00E960EA">
      <w:pPr>
        <w:pStyle w:val="a0"/>
        <w:numPr>
          <w:ilvl w:val="0"/>
          <w:numId w:val="1"/>
        </w:numPr>
        <w:ind w:left="1531" w:hanging="510"/>
      </w:pPr>
      <w:r>
        <w:rPr>
          <w:rFonts w:hint="eastAsia"/>
        </w:rPr>
        <w:t>获得卫生和医疗保健的权利。法律应当确定获取免费医疗援助的程序和条件；</w:t>
      </w:r>
    </w:p>
    <w:p w:rsidR="00000000" w:rsidRDefault="00E960EA" w:rsidP="00E960EA">
      <w:pPr>
        <w:pStyle w:val="a0"/>
        <w:numPr>
          <w:ilvl w:val="0"/>
          <w:numId w:val="1"/>
        </w:numPr>
        <w:ind w:left="1531" w:hanging="510"/>
      </w:pPr>
      <w:r>
        <w:rPr>
          <w:rFonts w:hint="eastAsia"/>
        </w:rPr>
        <w:t>享受教育的权利。国家应当提供免费的大众基础教育。公民可以开设和经营私人学校，条件是他们必须达到国家的要求；</w:t>
      </w:r>
    </w:p>
    <w:p w:rsidR="00000000" w:rsidRDefault="00E960EA" w:rsidP="00E960EA">
      <w:pPr>
        <w:pStyle w:val="a0"/>
        <w:numPr>
          <w:ilvl w:val="0"/>
          <w:numId w:val="1"/>
        </w:numPr>
        <w:ind w:left="1531" w:hanging="510"/>
      </w:pPr>
      <w:r>
        <w:rPr>
          <w:rFonts w:hint="eastAsia"/>
        </w:rPr>
        <w:t>从事创造性、文化性、艺术性和科学性的工作并从中获取报酬。法律保护版权和专利权；</w:t>
      </w:r>
    </w:p>
    <w:p w:rsidR="00000000" w:rsidRDefault="00E960EA" w:rsidP="00E960EA">
      <w:pPr>
        <w:pStyle w:val="a0"/>
        <w:numPr>
          <w:ilvl w:val="0"/>
          <w:numId w:val="1"/>
        </w:numPr>
        <w:ind w:left="1531" w:hanging="510"/>
      </w:pPr>
      <w:r>
        <w:rPr>
          <w:rFonts w:hint="eastAsia"/>
        </w:rPr>
        <w:t>根据社会和个人利益及见解自由参加政党和其</w:t>
      </w:r>
      <w:r>
        <w:rPr>
          <w:rFonts w:hint="eastAsia"/>
        </w:rPr>
        <w:t>他自愿性组织的权利。各政党和其他群众组织应当维护公共秩序和国家安全并遵守法律。严禁因加入一个政党或其他协会或成为其成员而对个人进行歧视和迫害。有些类别的国家机构工作人员不得加入政党；</w:t>
      </w:r>
    </w:p>
    <w:p w:rsidR="00000000" w:rsidRDefault="00E960EA" w:rsidP="00E960EA">
      <w:pPr>
        <w:pStyle w:val="a0"/>
        <w:numPr>
          <w:ilvl w:val="0"/>
          <w:numId w:val="1"/>
        </w:numPr>
        <w:ind w:left="1531" w:hanging="510"/>
      </w:pPr>
      <w:r>
        <w:rPr>
          <w:rFonts w:hint="eastAsia"/>
        </w:rPr>
        <w:t>男女在政治、经济、社会和文化领域和家庭中享有平等权利。婚姻应当建立在平等和达到法定年龄的配偶双方的相互同意的基础上。国家应当保护家庭、母性和儿童的利益。</w:t>
      </w:r>
    </w:p>
    <w:p w:rsidR="00000000" w:rsidRDefault="00E960EA">
      <w:r>
        <w:tab/>
        <w:t xml:space="preserve">10.  </w:t>
      </w:r>
      <w:r>
        <w:rPr>
          <w:rFonts w:hint="eastAsia"/>
        </w:rPr>
        <w:t>宪法第</w:t>
      </w:r>
      <w:r>
        <w:t>19</w:t>
      </w:r>
      <w:r>
        <w:rPr>
          <w:rFonts w:hint="eastAsia"/>
        </w:rPr>
        <w:t>条第</w:t>
      </w:r>
      <w:r>
        <w:t>1</w:t>
      </w:r>
      <w:r>
        <w:rPr>
          <w:rFonts w:hint="eastAsia"/>
        </w:rPr>
        <w:t>款规定“国家应当负责为公民提供经济、社会、法律和其他保障，以确保人权和自由、预防对人权和自由的侵犯以及恢复遭受侵犯的权利”，这一规定构成了蒙古公民</w:t>
      </w:r>
      <w:r>
        <w:rPr>
          <w:rFonts w:hint="eastAsia"/>
        </w:rPr>
        <w:t>的权利和自由能够得到有效保护和行使的法律基础。</w:t>
      </w:r>
    </w:p>
    <w:p w:rsidR="00000000" w:rsidRDefault="00E960EA">
      <w:r>
        <w:tab/>
        <w:t xml:space="preserve">11.  </w:t>
      </w:r>
      <w:r>
        <w:rPr>
          <w:rFonts w:hint="eastAsia"/>
        </w:rPr>
        <w:t>在近几年中，国家大呼拉尔已通过了涉及经济、社会和文化权利的许多新的法律。这些法律包括《保障国家安全法》</w:t>
      </w:r>
      <w:r>
        <w:t>(1992</w:t>
      </w:r>
      <w:r>
        <w:rPr>
          <w:rFonts w:hint="eastAsia"/>
        </w:rPr>
        <w:t>年</w:t>
      </w:r>
      <w:r>
        <w:t>)</w:t>
      </w:r>
      <w:r>
        <w:rPr>
          <w:rFonts w:hint="eastAsia"/>
        </w:rPr>
        <w:t>、一整套《征税法》</w:t>
      </w:r>
      <w:r>
        <w:t>(1992</w:t>
      </w:r>
      <w:r>
        <w:rPr>
          <w:rFonts w:hint="eastAsia"/>
        </w:rPr>
        <w:t>年</w:t>
      </w:r>
      <w:r>
        <w:t>)</w:t>
      </w:r>
      <w:r>
        <w:rPr>
          <w:rFonts w:hint="eastAsia"/>
        </w:rPr>
        <w:t>、《外国投资法》</w:t>
      </w:r>
      <w:r>
        <w:t>(1993</w:t>
      </w:r>
      <w:r>
        <w:rPr>
          <w:rFonts w:hint="eastAsia"/>
        </w:rPr>
        <w:t>年</w:t>
      </w:r>
      <w:r>
        <w:t>)</w:t>
      </w:r>
      <w:r>
        <w:rPr>
          <w:rFonts w:hint="eastAsia"/>
        </w:rPr>
        <w:t>、《版权法》</w:t>
      </w:r>
      <w:r>
        <w:t>(1993</w:t>
      </w:r>
      <w:r>
        <w:rPr>
          <w:rFonts w:hint="eastAsia"/>
        </w:rPr>
        <w:t>年</w:t>
      </w:r>
      <w:r>
        <w:t>)</w:t>
      </w:r>
      <w:r>
        <w:rPr>
          <w:rFonts w:hint="eastAsia"/>
        </w:rPr>
        <w:t>、《专利法》</w:t>
      </w:r>
      <w:r>
        <w:t>(1993</w:t>
      </w:r>
      <w:r>
        <w:rPr>
          <w:rFonts w:hint="eastAsia"/>
        </w:rPr>
        <w:t>年</w:t>
      </w:r>
      <w:r>
        <w:t>)</w:t>
      </w:r>
      <w:r>
        <w:rPr>
          <w:rFonts w:hint="eastAsia"/>
        </w:rPr>
        <w:t>、《禁止不公平竞争法》</w:t>
      </w:r>
      <w:r>
        <w:t>(1993</w:t>
      </w:r>
      <w:r>
        <w:rPr>
          <w:rFonts w:hint="eastAsia"/>
        </w:rPr>
        <w:t>年</w:t>
      </w:r>
      <w:r>
        <w:t>)</w:t>
      </w:r>
      <w:r>
        <w:rPr>
          <w:rFonts w:hint="eastAsia"/>
        </w:rPr>
        <w:t>、《蒙古公民医疗保险法》</w:t>
      </w:r>
      <w:r>
        <w:t>(1993</w:t>
      </w:r>
      <w:r>
        <w:rPr>
          <w:rFonts w:hint="eastAsia"/>
        </w:rPr>
        <w:t>年</w:t>
      </w:r>
      <w:r>
        <w:t>)</w:t>
      </w:r>
      <w:r>
        <w:rPr>
          <w:rFonts w:hint="eastAsia"/>
        </w:rPr>
        <w:t>、《国防法》</w:t>
      </w:r>
      <w:r>
        <w:t>(1993</w:t>
      </w:r>
      <w:r>
        <w:rPr>
          <w:rFonts w:hint="eastAsia"/>
        </w:rPr>
        <w:t>年</w:t>
      </w:r>
      <w:r>
        <w:t>)</w:t>
      </w:r>
      <w:r>
        <w:rPr>
          <w:rFonts w:hint="eastAsia"/>
        </w:rPr>
        <w:t>、《边界法》</w:t>
      </w:r>
      <w:r>
        <w:t>(1993</w:t>
      </w:r>
      <w:r>
        <w:rPr>
          <w:rFonts w:hint="eastAsia"/>
        </w:rPr>
        <w:t>年</w:t>
      </w:r>
      <w:r>
        <w:t>)</w:t>
      </w:r>
      <w:r>
        <w:rPr>
          <w:rFonts w:hint="eastAsia"/>
        </w:rPr>
        <w:t>、《处理劳资纠纷法》</w:t>
      </w:r>
      <w:r>
        <w:t>(1993</w:t>
      </w:r>
      <w:r>
        <w:rPr>
          <w:rFonts w:hint="eastAsia"/>
        </w:rPr>
        <w:t>年</w:t>
      </w:r>
      <w:r>
        <w:t>)</w:t>
      </w:r>
      <w:r>
        <w:rPr>
          <w:rFonts w:hint="eastAsia"/>
        </w:rPr>
        <w:t>、《预防艾滋病法》</w:t>
      </w:r>
      <w:r>
        <w:t>(1993</w:t>
      </w:r>
      <w:r>
        <w:rPr>
          <w:rFonts w:hint="eastAsia"/>
        </w:rPr>
        <w:t>年</w:t>
      </w:r>
      <w:r>
        <w:t>)</w:t>
      </w:r>
      <w:r>
        <w:rPr>
          <w:rFonts w:hint="eastAsia"/>
        </w:rPr>
        <w:t>、《外国公民法律地位法》</w:t>
      </w:r>
      <w:r>
        <w:t>(19</w:t>
      </w:r>
      <w:r>
        <w:t>93</w:t>
      </w:r>
      <w:r>
        <w:rPr>
          <w:rFonts w:hint="eastAsia"/>
        </w:rPr>
        <w:t>年</w:t>
      </w:r>
      <w:r>
        <w:t>)</w:t>
      </w:r>
      <w:r>
        <w:rPr>
          <w:rFonts w:hint="eastAsia"/>
        </w:rPr>
        <w:t>、《打击烟草危害法》</w:t>
      </w:r>
      <w:r>
        <w:t>(1993</w:t>
      </w:r>
      <w:r>
        <w:rPr>
          <w:rFonts w:hint="eastAsia"/>
        </w:rPr>
        <w:t>年</w:t>
      </w:r>
      <w:r>
        <w:t>)</w:t>
      </w:r>
      <w:r>
        <w:rPr>
          <w:rFonts w:hint="eastAsia"/>
        </w:rPr>
        <w:t>、《打击酗酒法》</w:t>
      </w:r>
      <w:r>
        <w:t>(1993</w:t>
      </w:r>
      <w:r>
        <w:rPr>
          <w:rFonts w:hint="eastAsia"/>
        </w:rPr>
        <w:t>年</w:t>
      </w:r>
      <w:r>
        <w:t>)</w:t>
      </w:r>
      <w:r>
        <w:rPr>
          <w:rFonts w:hint="eastAsia"/>
        </w:rPr>
        <w:t>、《国际条约法》</w:t>
      </w:r>
      <w:r>
        <w:t>(1993</w:t>
      </w:r>
      <w:r>
        <w:rPr>
          <w:rFonts w:hint="eastAsia"/>
        </w:rPr>
        <w:t>年</w:t>
      </w:r>
      <w:r>
        <w:t>)</w:t>
      </w:r>
      <w:r>
        <w:rPr>
          <w:rFonts w:hint="eastAsia"/>
        </w:rPr>
        <w:t>。同时，为了使现有的立法符合宪法的规定，已对一些法律作了修订和重新颁布，例如，《劳工法》、《教育法》、《文物保护法》，《家庭法》，《民法》。除此之外，还制定和公布了一些以前并不存在的其他法律，如一套《环境保护法》、一套《社会保险法》、《文化法》、《食品法》、《儿童权利保护法》。</w:t>
      </w:r>
    </w:p>
    <w:p w:rsidR="00000000" w:rsidRDefault="00E960EA">
      <w:r>
        <w:tab/>
        <w:t xml:space="preserve">12.  </w:t>
      </w:r>
      <w:r>
        <w:rPr>
          <w:rFonts w:hint="eastAsia"/>
        </w:rPr>
        <w:t>《宪法》规定，在蒙古境内合法居住的每一个人在法律和法庭面前人人平等。《宪法》第</w:t>
      </w:r>
      <w:r>
        <w:t>14</w:t>
      </w:r>
      <w:r>
        <w:rPr>
          <w:rFonts w:hint="eastAsia"/>
        </w:rPr>
        <w:t>条规定，不得因种族出身、语言、人种、</w:t>
      </w:r>
      <w:r>
        <w:rPr>
          <w:rFonts w:hint="eastAsia"/>
        </w:rPr>
        <w:t>年龄、性别、社会起源和地位、财产、职业或职务、宗教、观点或教育对任何人进行歧视。《宪法》指出，蒙古的法律和与有关人士的国家所签订的条约应当对居住在蒙古境内的外国公民的权利和义务作出规定。根据这一点，国家大呼拉尔于</w:t>
      </w:r>
      <w:r>
        <w:t>1993</w:t>
      </w:r>
      <w:r>
        <w:rPr>
          <w:rFonts w:hint="eastAsia"/>
        </w:rPr>
        <w:t>年</w:t>
      </w:r>
      <w:r>
        <w:t>12</w:t>
      </w:r>
      <w:r>
        <w:rPr>
          <w:rFonts w:hint="eastAsia"/>
        </w:rPr>
        <w:t>月通过了《外国公民法律地位法》并于</w:t>
      </w:r>
      <w:r>
        <w:t>1994</w:t>
      </w:r>
      <w:r>
        <w:rPr>
          <w:rFonts w:hint="eastAsia"/>
        </w:rPr>
        <w:t>年</w:t>
      </w:r>
      <w:r>
        <w:t>2</w:t>
      </w:r>
      <w:r>
        <w:rPr>
          <w:rFonts w:hint="eastAsia"/>
        </w:rPr>
        <w:t>月</w:t>
      </w:r>
      <w:r>
        <w:t>1</w:t>
      </w:r>
      <w:r>
        <w:rPr>
          <w:rFonts w:hint="eastAsia"/>
        </w:rPr>
        <w:t>日生效。这一法律对外国人的法律地位、蒙古签证、移民、进入、离开和从蒙古领土上过境的问题作出了规定。</w:t>
      </w:r>
    </w:p>
    <w:p w:rsidR="00000000" w:rsidRDefault="00E960EA">
      <w:pPr>
        <w:spacing w:after="320"/>
        <w:textAlignment w:val="center"/>
      </w:pPr>
      <w:r>
        <w:tab/>
        <w:t xml:space="preserve">13.  </w:t>
      </w:r>
      <w:r>
        <w:rPr>
          <w:rFonts w:hint="eastAsia"/>
        </w:rPr>
        <w:t>随着这一法律的通过并为了保护外国人的财产和非财产关系，他们的个人权利和自由，已经在对等的基础上与</w:t>
      </w:r>
      <w:r>
        <w:t>12</w:t>
      </w:r>
      <w:r>
        <w:rPr>
          <w:rFonts w:hint="eastAsia"/>
        </w:rPr>
        <w:t>个国家签订了在民事和刑事</w:t>
      </w:r>
      <w:r>
        <w:rPr>
          <w:rFonts w:hint="eastAsia"/>
        </w:rPr>
        <w:t>问题上提供援助的双边条约。在报告期间，已与中国、朝鲜人民民主主义共和国、法国和哈萨克斯坦订立了这种条约。</w:t>
      </w:r>
    </w:p>
    <w:p w:rsidR="00000000" w:rsidRDefault="00E960EA">
      <w:pPr>
        <w:pStyle w:val="Heading3"/>
      </w:pPr>
      <w:r>
        <w:rPr>
          <w:rFonts w:hint="eastAsia"/>
        </w:rPr>
        <w:t>第</w:t>
      </w:r>
      <w:r>
        <w:t xml:space="preserve"> 3 </w:t>
      </w:r>
      <w:r>
        <w:rPr>
          <w:rFonts w:hint="eastAsia"/>
        </w:rPr>
        <w:t>条</w:t>
      </w:r>
    </w:p>
    <w:p w:rsidR="00000000" w:rsidRDefault="00E960EA">
      <w:r>
        <w:tab/>
        <w:t xml:space="preserve">14.  </w:t>
      </w:r>
      <w:r>
        <w:rPr>
          <w:rFonts w:hint="eastAsia"/>
        </w:rPr>
        <w:t>《宪法》第</w:t>
      </w:r>
      <w:r>
        <w:t>14</w:t>
      </w:r>
      <w:r>
        <w:rPr>
          <w:rFonts w:hint="eastAsia"/>
        </w:rPr>
        <w:t>条禁止基于性别进行歧视。蒙古有着确保男女在包括政治、经济、社会和文化等所有社会生活领域中享有平等权利的有利条件。例如，妇女在教育和确定工资、工作、假期、社会保险和其他条件方面享有与男子平等的待遇。</w:t>
      </w:r>
    </w:p>
    <w:p w:rsidR="00000000" w:rsidRDefault="00E960EA">
      <w:r>
        <w:tab/>
        <w:t xml:space="preserve">15.  </w:t>
      </w:r>
      <w:r>
        <w:rPr>
          <w:rFonts w:hint="eastAsia"/>
        </w:rPr>
        <w:t>《刑法》第</w:t>
      </w:r>
      <w:r>
        <w:t>142</w:t>
      </w:r>
      <w:r>
        <w:rPr>
          <w:rFonts w:hint="eastAsia"/>
        </w:rPr>
        <w:t>条规定，旨在阻碍妇女行使与男子平等的权利的任何活动均被视为是一种犯罪行为，并应受到相应惩罚，该条规定，严重侵犯妇女的平等权利，阻碍她们参与国家</w:t>
      </w:r>
      <w:r>
        <w:rPr>
          <w:rFonts w:hint="eastAsia"/>
        </w:rPr>
        <w:t>、公众和文化活动的行为应罚以最长不超过</w:t>
      </w:r>
      <w:r>
        <w:t>3</w:t>
      </w:r>
      <w:r>
        <w:rPr>
          <w:rFonts w:hint="eastAsia"/>
        </w:rPr>
        <w:t>年时间的监禁或不超过一年半时间的劳改，还可对罪犯采取强制性公共服务的适当措施。</w:t>
      </w:r>
    </w:p>
    <w:p w:rsidR="00000000" w:rsidRDefault="00E960EA">
      <w:r>
        <w:tab/>
        <w:t xml:space="preserve">16.  </w:t>
      </w:r>
      <w:r>
        <w:rPr>
          <w:rFonts w:hint="eastAsia"/>
        </w:rPr>
        <w:t>拒绝雇用或开除孕妇、哺乳母亲或子女不满周岁的母亲均将依照《刑法》第</w:t>
      </w:r>
      <w:r>
        <w:t>149</w:t>
      </w:r>
      <w:r>
        <w:rPr>
          <w:rFonts w:hint="eastAsia"/>
        </w:rPr>
        <w:t>条受到惩罚。</w:t>
      </w:r>
    </w:p>
    <w:p w:rsidR="00000000" w:rsidRDefault="00E960EA">
      <w:r>
        <w:tab/>
        <w:t xml:space="preserve">17.  </w:t>
      </w:r>
      <w:r>
        <w:rPr>
          <w:rFonts w:hint="eastAsia"/>
        </w:rPr>
        <w:t>目前，蒙古妇女享有一系列特权。根据</w:t>
      </w:r>
      <w:r>
        <w:t>1994</w:t>
      </w:r>
      <w:r>
        <w:rPr>
          <w:rFonts w:hint="eastAsia"/>
        </w:rPr>
        <w:t>年</w:t>
      </w:r>
      <w:r>
        <w:t>6</w:t>
      </w:r>
      <w:r>
        <w:rPr>
          <w:rFonts w:hint="eastAsia"/>
        </w:rPr>
        <w:t>月通过的《社会保险基金养老金和津贴法》，年满</w:t>
      </w:r>
      <w:r>
        <w:t>55</w:t>
      </w:r>
      <w:r>
        <w:rPr>
          <w:rFonts w:hint="eastAsia"/>
        </w:rPr>
        <w:t>岁、并向养老基金缴款</w:t>
      </w:r>
      <w:r>
        <w:t>20</w:t>
      </w:r>
      <w:r>
        <w:rPr>
          <w:rFonts w:hint="eastAsia"/>
        </w:rPr>
        <w:t>年以上的妇女均有权在退休时获取养老金。根据这一法律第</w:t>
      </w:r>
      <w:r>
        <w:t>4</w:t>
      </w:r>
      <w:r>
        <w:rPr>
          <w:rFonts w:hint="eastAsia"/>
        </w:rPr>
        <w:t>条第</w:t>
      </w:r>
      <w:r>
        <w:t>2</w:t>
      </w:r>
      <w:r>
        <w:rPr>
          <w:rFonts w:hint="eastAsia"/>
        </w:rPr>
        <w:t>款和第</w:t>
      </w:r>
      <w:r>
        <w:t>3</w:t>
      </w:r>
      <w:r>
        <w:rPr>
          <w:rFonts w:hint="eastAsia"/>
        </w:rPr>
        <w:t>款的规定，妇女在下属情况下有权在上文规定的年龄之前退休：</w:t>
      </w:r>
    </w:p>
    <w:p w:rsidR="00000000" w:rsidRDefault="00E960EA" w:rsidP="00E960EA">
      <w:pPr>
        <w:pStyle w:val="a0"/>
        <w:numPr>
          <w:ilvl w:val="0"/>
          <w:numId w:val="2"/>
        </w:numPr>
        <w:ind w:left="1531" w:hanging="510"/>
      </w:pPr>
      <w:r>
        <w:rPr>
          <w:rFonts w:hint="eastAsia"/>
        </w:rPr>
        <w:t>如果她们抚养了</w:t>
      </w:r>
      <w:r>
        <w:t>4</w:t>
      </w:r>
      <w:r>
        <w:rPr>
          <w:rFonts w:hint="eastAsia"/>
        </w:rPr>
        <w:t>个或</w:t>
      </w:r>
      <w:r>
        <w:t>4</w:t>
      </w:r>
      <w:r>
        <w:rPr>
          <w:rFonts w:hint="eastAsia"/>
        </w:rPr>
        <w:t>个以上的未满</w:t>
      </w:r>
      <w:r>
        <w:t>6</w:t>
      </w:r>
      <w:r>
        <w:rPr>
          <w:rFonts w:hint="eastAsia"/>
        </w:rPr>
        <w:t>岁</w:t>
      </w:r>
      <w:r>
        <w:rPr>
          <w:rFonts w:hint="eastAsia"/>
        </w:rPr>
        <w:t>的亲生子女或在收养时未满</w:t>
      </w:r>
      <w:r>
        <w:t>3</w:t>
      </w:r>
      <w:r>
        <w:rPr>
          <w:rFonts w:hint="eastAsia"/>
        </w:rPr>
        <w:t>岁的养子养女，已满</w:t>
      </w:r>
      <w:r>
        <w:t>50</w:t>
      </w:r>
      <w:r>
        <w:rPr>
          <w:rFonts w:hint="eastAsia"/>
        </w:rPr>
        <w:t>周岁，并缴付养老金保险长达</w:t>
      </w:r>
      <w:r>
        <w:t>20</w:t>
      </w:r>
      <w:r>
        <w:rPr>
          <w:rFonts w:hint="eastAsia"/>
        </w:rPr>
        <w:t>年以上；</w:t>
      </w:r>
    </w:p>
    <w:p w:rsidR="00000000" w:rsidRDefault="00E960EA" w:rsidP="00E960EA">
      <w:pPr>
        <w:pStyle w:val="a0"/>
        <w:numPr>
          <w:ilvl w:val="0"/>
          <w:numId w:val="2"/>
        </w:numPr>
        <w:ind w:left="1531" w:hanging="510"/>
      </w:pPr>
      <w:r>
        <w:rPr>
          <w:rFonts w:hint="eastAsia"/>
        </w:rPr>
        <w:t>如果她们已工作</w:t>
      </w:r>
      <w:r>
        <w:t>20</w:t>
      </w:r>
      <w:r>
        <w:rPr>
          <w:rFonts w:hint="eastAsia"/>
        </w:rPr>
        <w:t>年以上，其中</w:t>
      </w:r>
      <w:r>
        <w:t>7</w:t>
      </w:r>
      <w:r>
        <w:rPr>
          <w:rFonts w:hint="eastAsia"/>
        </w:rPr>
        <w:t>年</w:t>
      </w:r>
      <w:r>
        <w:t>6</w:t>
      </w:r>
      <w:r>
        <w:rPr>
          <w:rFonts w:hint="eastAsia"/>
        </w:rPr>
        <w:t>个月是在有害健康和高温工作条件下工作，并支付养老金保险和年满</w:t>
      </w:r>
      <w:r>
        <w:t>50</w:t>
      </w:r>
      <w:r>
        <w:rPr>
          <w:rFonts w:hint="eastAsia"/>
        </w:rPr>
        <w:t>周岁。</w:t>
      </w:r>
    </w:p>
    <w:p w:rsidR="00000000" w:rsidRDefault="00E960EA">
      <w:pPr>
        <w:spacing w:after="320"/>
        <w:textAlignment w:val="center"/>
      </w:pPr>
      <w:r>
        <w:tab/>
        <w:t xml:space="preserve">18.  </w:t>
      </w:r>
      <w:r>
        <w:rPr>
          <w:rFonts w:hint="eastAsia"/>
        </w:rPr>
        <w:t>同时，</w:t>
      </w:r>
      <w:r>
        <w:t>1991</w:t>
      </w:r>
      <w:r>
        <w:rPr>
          <w:rFonts w:hint="eastAsia"/>
        </w:rPr>
        <w:t>年通过的《劳工法》也对涉及妇女的劳资关系问题作出了规定。《劳工法》还专门包括了题为“妇女和未满法律年龄者的劳动”的一章。可引述其中一段：为保障妇女和儿童的权利和利益，禁止迫使有婴儿的妇女上夜班或加班或派她们出差。除此之外，法律规定孕妇可以获得产假和育儿假。</w:t>
      </w:r>
    </w:p>
    <w:p w:rsidR="00000000" w:rsidRDefault="00E960EA">
      <w:pPr>
        <w:pStyle w:val="Heading3"/>
      </w:pPr>
      <w:r>
        <w:rPr>
          <w:rFonts w:hint="eastAsia"/>
        </w:rPr>
        <w:t>第</w:t>
      </w:r>
      <w:r>
        <w:t xml:space="preserve"> 4 </w:t>
      </w:r>
      <w:r>
        <w:rPr>
          <w:rFonts w:hint="eastAsia"/>
        </w:rPr>
        <w:t>条</w:t>
      </w:r>
    </w:p>
    <w:p w:rsidR="00000000" w:rsidRDefault="00E960EA">
      <w:pPr>
        <w:spacing w:after="320"/>
        <w:textAlignment w:val="center"/>
      </w:pPr>
      <w:r>
        <w:tab/>
        <w:t xml:space="preserve">19.  </w:t>
      </w:r>
      <w:r>
        <w:rPr>
          <w:rFonts w:hint="eastAsia"/>
        </w:rPr>
        <w:t>根据《宪</w:t>
      </w:r>
      <w:r>
        <w:rPr>
          <w:rFonts w:hint="eastAsia"/>
        </w:rPr>
        <w:t>法》第</w:t>
      </w:r>
      <w:r>
        <w:t>19</w:t>
      </w:r>
      <w:r>
        <w:rPr>
          <w:rFonts w:hint="eastAsia"/>
        </w:rPr>
        <w:t>条第</w:t>
      </w:r>
      <w:r>
        <w:t>2</w:t>
      </w:r>
      <w:r>
        <w:rPr>
          <w:rFonts w:hint="eastAsia"/>
        </w:rPr>
        <w:t>款，在发生紧急状态或军法管制时，唯有通过法律才能限制《宪法》和其他法律所规定的人权和自由。这一法律不应影响生命权、思想、良心和宗教自由权，以及不受酷刑和不人道和残忍待遇的权利。</w:t>
      </w:r>
    </w:p>
    <w:p w:rsidR="00000000" w:rsidRDefault="00E960EA">
      <w:pPr>
        <w:pStyle w:val="Heading3"/>
      </w:pPr>
      <w:r>
        <w:rPr>
          <w:rFonts w:hint="eastAsia"/>
        </w:rPr>
        <w:t>第</w:t>
      </w:r>
      <w:r>
        <w:t xml:space="preserve"> 6 </w:t>
      </w:r>
      <w:r>
        <w:rPr>
          <w:rFonts w:hint="eastAsia"/>
        </w:rPr>
        <w:t>条</w:t>
      </w:r>
    </w:p>
    <w:p w:rsidR="00000000" w:rsidRDefault="00E960EA">
      <w:pPr>
        <w:spacing w:line="312" w:lineRule="auto"/>
      </w:pPr>
      <w:r>
        <w:tab/>
        <w:t xml:space="preserve">20.  </w:t>
      </w:r>
      <w:r>
        <w:rPr>
          <w:rFonts w:hint="eastAsia"/>
        </w:rPr>
        <w:t>《宪法》是宣布工作权利的最基本和最关键的文件。根据《宪法》第</w:t>
      </w:r>
      <w:r>
        <w:t>16</w:t>
      </w:r>
      <w:r>
        <w:rPr>
          <w:rFonts w:hint="eastAsia"/>
        </w:rPr>
        <w:t>条第</w:t>
      </w:r>
      <w:r>
        <w:t>4</w:t>
      </w:r>
      <w:r>
        <w:rPr>
          <w:rFonts w:hint="eastAsia"/>
        </w:rPr>
        <w:t>款，蒙古公民享有“自由选择就业、良好的工作条件、获取报酬、休息和建立私营企业的权利。不得非法迫使任何人工作”。</w:t>
      </w:r>
    </w:p>
    <w:p w:rsidR="00000000" w:rsidRDefault="00E960EA">
      <w:pPr>
        <w:spacing w:line="312" w:lineRule="auto"/>
      </w:pPr>
      <w:r>
        <w:tab/>
        <w:t xml:space="preserve">21.  </w:t>
      </w:r>
      <w:r>
        <w:rPr>
          <w:rFonts w:hint="eastAsia"/>
        </w:rPr>
        <w:t>我国是劳工组织的一系列公约的缔约国，其中包括</w:t>
      </w:r>
      <w:r>
        <w:t>1964</w:t>
      </w:r>
      <w:r>
        <w:rPr>
          <w:rFonts w:hint="eastAsia"/>
        </w:rPr>
        <w:t>年的《就业政策公约》</w:t>
      </w:r>
      <w:r>
        <w:t>(</w:t>
      </w:r>
      <w:r>
        <w:rPr>
          <w:rFonts w:hint="eastAsia"/>
        </w:rPr>
        <w:t>第</w:t>
      </w:r>
      <w:r>
        <w:t>122</w:t>
      </w:r>
      <w:r>
        <w:rPr>
          <w:rFonts w:hint="eastAsia"/>
        </w:rPr>
        <w:t>号</w:t>
      </w:r>
      <w:r>
        <w:t>)</w:t>
      </w:r>
      <w:r>
        <w:rPr>
          <w:rFonts w:hint="eastAsia"/>
        </w:rPr>
        <w:t>和</w:t>
      </w:r>
      <w:r>
        <w:t>1958</w:t>
      </w:r>
      <w:r>
        <w:rPr>
          <w:rFonts w:hint="eastAsia"/>
        </w:rPr>
        <w:t>年的</w:t>
      </w:r>
      <w:r>
        <w:t>(</w:t>
      </w:r>
      <w:r>
        <w:rPr>
          <w:rFonts w:hint="eastAsia"/>
        </w:rPr>
        <w:t>就业和职业</w:t>
      </w:r>
      <w:r>
        <w:t>)</w:t>
      </w:r>
      <w:r>
        <w:rPr>
          <w:rFonts w:hint="eastAsia"/>
        </w:rPr>
        <w:t>《歧视公约》</w:t>
      </w:r>
      <w:r>
        <w:t>(</w:t>
      </w:r>
      <w:r>
        <w:rPr>
          <w:rFonts w:hint="eastAsia"/>
        </w:rPr>
        <w:t>第</w:t>
      </w:r>
      <w:r>
        <w:t>111</w:t>
      </w:r>
      <w:r>
        <w:rPr>
          <w:rFonts w:hint="eastAsia"/>
        </w:rPr>
        <w:t>号</w:t>
      </w:r>
      <w:r>
        <w:t>)</w:t>
      </w:r>
      <w:r>
        <w:rPr>
          <w:rFonts w:hint="eastAsia"/>
        </w:rPr>
        <w:t>。</w:t>
      </w:r>
    </w:p>
    <w:p w:rsidR="00000000" w:rsidRDefault="00E960EA">
      <w:pPr>
        <w:spacing w:line="312" w:lineRule="auto"/>
      </w:pPr>
      <w:r>
        <w:tab/>
        <w:t xml:space="preserve">22.  </w:t>
      </w:r>
      <w:r>
        <w:rPr>
          <w:rFonts w:hint="eastAsia"/>
        </w:rPr>
        <w:t>截至</w:t>
      </w:r>
      <w:r>
        <w:t>1996</w:t>
      </w:r>
      <w:r>
        <w:rPr>
          <w:rFonts w:hint="eastAsia"/>
        </w:rPr>
        <w:t>年，蒙古的劳动力人数已达</w:t>
      </w:r>
      <w:r>
        <w:t>1,137,200</w:t>
      </w:r>
      <w:r>
        <w:rPr>
          <w:rFonts w:hint="eastAsia"/>
        </w:rPr>
        <w:t>人，其中</w:t>
      </w:r>
      <w:r>
        <w:t>69.6%</w:t>
      </w:r>
      <w:r>
        <w:rPr>
          <w:rFonts w:hint="eastAsia"/>
        </w:rPr>
        <w:t>或</w:t>
      </w:r>
      <w:r>
        <w:t>791,800</w:t>
      </w:r>
      <w:r>
        <w:rPr>
          <w:rFonts w:hint="eastAsia"/>
        </w:rPr>
        <w:t>人为受雇职工。年龄在</w:t>
      </w:r>
      <w:r>
        <w:t>16</w:t>
      </w:r>
      <w:r>
        <w:rPr>
          <w:rFonts w:hint="eastAsia"/>
        </w:rPr>
        <w:t>岁至</w:t>
      </w:r>
      <w:r>
        <w:t>35</w:t>
      </w:r>
      <w:r>
        <w:rPr>
          <w:rFonts w:hint="eastAsia"/>
        </w:rPr>
        <w:t>岁的年青人占</w:t>
      </w:r>
      <w:r>
        <w:t>59.0%</w:t>
      </w:r>
      <w:r>
        <w:rPr>
          <w:rFonts w:hint="eastAsia"/>
        </w:rPr>
        <w:t>，妇女占劳动力的</w:t>
      </w:r>
      <w:r>
        <w:t>47.4%</w:t>
      </w:r>
      <w:r>
        <w:rPr>
          <w:rFonts w:hint="eastAsia"/>
        </w:rPr>
        <w:t>。</w:t>
      </w:r>
      <w:r>
        <w:t>1990</w:t>
      </w:r>
      <w:r>
        <w:rPr>
          <w:rFonts w:hint="eastAsia"/>
        </w:rPr>
        <w:t>年，失业人数达到</w:t>
      </w:r>
      <w:r>
        <w:t>45,700</w:t>
      </w:r>
      <w:r>
        <w:rPr>
          <w:rFonts w:hint="eastAsia"/>
        </w:rPr>
        <w:t>人，这一数字到</w:t>
      </w:r>
      <w:r>
        <w:t>1996</w:t>
      </w:r>
      <w:r>
        <w:rPr>
          <w:rFonts w:hint="eastAsia"/>
        </w:rPr>
        <w:t>年末时逐渐增加到</w:t>
      </w:r>
      <w:r>
        <w:t>227,200</w:t>
      </w:r>
      <w:r>
        <w:rPr>
          <w:rFonts w:hint="eastAsia"/>
        </w:rPr>
        <w:t>人，其中</w:t>
      </w:r>
      <w:r>
        <w:t>55,400</w:t>
      </w:r>
      <w:r>
        <w:rPr>
          <w:rFonts w:hint="eastAsia"/>
        </w:rPr>
        <w:t>人已经向中央和各省的职业介绍所登记，他们形成了积极寻找就业的失业者的核心体。在近几年中，失业率已从</w:t>
      </w:r>
      <w:r>
        <w:t>3.0%</w:t>
      </w:r>
      <w:r>
        <w:rPr>
          <w:rFonts w:hint="eastAsia"/>
        </w:rPr>
        <w:t>上升到</w:t>
      </w:r>
      <w:r>
        <w:t>6.5%</w:t>
      </w:r>
      <w:r>
        <w:rPr>
          <w:rFonts w:hint="eastAsia"/>
        </w:rPr>
        <w:t>。</w:t>
      </w:r>
    </w:p>
    <w:p w:rsidR="00000000" w:rsidRDefault="00E960EA">
      <w:pPr>
        <w:spacing w:line="312" w:lineRule="auto"/>
      </w:pPr>
      <w:r>
        <w:tab/>
        <w:t xml:space="preserve">23.  </w:t>
      </w:r>
      <w:r>
        <w:rPr>
          <w:rFonts w:hint="eastAsia"/>
        </w:rPr>
        <w:t>早些年的失业原因主要是减员或撤消国家实体，</w:t>
      </w:r>
      <w:r>
        <w:rPr>
          <w:rFonts w:hint="eastAsia"/>
        </w:rPr>
        <w:t>而与此相反，到</w:t>
      </w:r>
      <w:r>
        <w:t>1996</w:t>
      </w:r>
      <w:r>
        <w:rPr>
          <w:rFonts w:hint="eastAsia"/>
        </w:rPr>
        <w:t>年，</w:t>
      </w:r>
      <w:r>
        <w:t>84.1%</w:t>
      </w:r>
      <w:r>
        <w:rPr>
          <w:rFonts w:hint="eastAsia"/>
        </w:rPr>
        <w:t>的失业者是中等学校和职业培训中心的毕业生以及退役军人。失业者主要是那些无专业、技术不熟练或技术熟练程度很低的年青人，妇女和残疾者。因此，在失业总人数中，</w:t>
      </w:r>
      <w:r>
        <w:t>51.4%</w:t>
      </w:r>
      <w:r>
        <w:rPr>
          <w:rFonts w:hint="eastAsia"/>
        </w:rPr>
        <w:t>为妇女，</w:t>
      </w:r>
      <w:r>
        <w:t>59.8%</w:t>
      </w:r>
      <w:r>
        <w:rPr>
          <w:rFonts w:hint="eastAsia"/>
        </w:rPr>
        <w:t>为只受过中等教育的无职业人士，</w:t>
      </w:r>
      <w:r>
        <w:t>13.8%</w:t>
      </w:r>
      <w:r>
        <w:rPr>
          <w:rFonts w:hint="eastAsia"/>
        </w:rPr>
        <w:t>曾受过高等和特殊教育，</w:t>
      </w:r>
      <w:r>
        <w:t>24%</w:t>
      </w:r>
      <w:r>
        <w:rPr>
          <w:rFonts w:hint="eastAsia"/>
        </w:rPr>
        <w:t>为职业培训中心的毕业生。</w:t>
      </w:r>
    </w:p>
    <w:p w:rsidR="00000000" w:rsidRDefault="00E960EA">
      <w:pPr>
        <w:spacing w:line="312" w:lineRule="auto"/>
      </w:pPr>
      <w:r>
        <w:tab/>
        <w:t xml:space="preserve">24.  </w:t>
      </w:r>
      <w:r>
        <w:rPr>
          <w:rFonts w:hint="eastAsia"/>
        </w:rPr>
        <w:t>如果从失业人数的地域分布情况看，</w:t>
      </w:r>
      <w:r>
        <w:t>Uvurkhangai</w:t>
      </w:r>
      <w:r>
        <w:rPr>
          <w:rFonts w:hint="eastAsia"/>
        </w:rPr>
        <w:t>、巴彦乌列盖省、</w:t>
      </w:r>
      <w:r>
        <w:t>Gobisumber</w:t>
      </w:r>
      <w:r>
        <w:rPr>
          <w:rFonts w:hint="eastAsia"/>
        </w:rPr>
        <w:t>、色椤格省、东方省、布尔干省、戈壁阿尔泰省和</w:t>
      </w:r>
      <w:r>
        <w:t>Lavkhan</w:t>
      </w:r>
      <w:r>
        <w:rPr>
          <w:rFonts w:hint="eastAsia"/>
        </w:rPr>
        <w:t>等省在平均每</w:t>
      </w:r>
      <w:r>
        <w:t>10,000</w:t>
      </w:r>
      <w:r>
        <w:rPr>
          <w:rFonts w:hint="eastAsia"/>
        </w:rPr>
        <w:t>个身体健全者中的失</w:t>
      </w:r>
      <w:r>
        <w:rPr>
          <w:rFonts w:hint="eastAsia"/>
        </w:rPr>
        <w:t>业人数方面领先其他省份。首都乌兰巴托的失业者人数占</w:t>
      </w:r>
      <w:r>
        <w:t>16.4%</w:t>
      </w:r>
      <w:r>
        <w:rPr>
          <w:rFonts w:hint="eastAsia"/>
        </w:rPr>
        <w:t>。</w:t>
      </w:r>
    </w:p>
    <w:p w:rsidR="00000000" w:rsidRDefault="00E960EA">
      <w:pPr>
        <w:spacing w:line="312" w:lineRule="auto"/>
      </w:pPr>
      <w:r>
        <w:tab/>
        <w:t xml:space="preserve">25.  </w:t>
      </w:r>
      <w:r>
        <w:rPr>
          <w:rFonts w:hint="eastAsia"/>
        </w:rPr>
        <w:t>蒙古政府正在采取下列措施增加就业，减少失业：</w:t>
      </w:r>
    </w:p>
    <w:p w:rsidR="00000000" w:rsidRDefault="00E960EA" w:rsidP="00E960EA">
      <w:pPr>
        <w:pStyle w:val="a0"/>
        <w:numPr>
          <w:ilvl w:val="0"/>
          <w:numId w:val="3"/>
        </w:numPr>
        <w:spacing w:line="312" w:lineRule="auto"/>
        <w:ind w:left="1531" w:hanging="510"/>
      </w:pPr>
      <w:r>
        <w:rPr>
          <w:rFonts w:hint="eastAsia"/>
        </w:rPr>
        <w:t>在省和区一级设立和开办职业介绍所；</w:t>
      </w:r>
    </w:p>
    <w:p w:rsidR="00000000" w:rsidRDefault="00E960EA" w:rsidP="00E960EA">
      <w:pPr>
        <w:pStyle w:val="a0"/>
        <w:numPr>
          <w:ilvl w:val="0"/>
          <w:numId w:val="3"/>
        </w:numPr>
        <w:spacing w:line="312" w:lineRule="auto"/>
        <w:ind w:left="1531" w:hanging="510"/>
      </w:pPr>
      <w:r>
        <w:rPr>
          <w:rFonts w:hint="eastAsia"/>
        </w:rPr>
        <w:t>建立一个“就业支助共同基金”，促进公民和各种经济实体采取积极措施，通过提供软贷款创造新的就业机会；</w:t>
      </w:r>
    </w:p>
    <w:p w:rsidR="00000000" w:rsidRDefault="00E960EA" w:rsidP="00E960EA">
      <w:pPr>
        <w:pStyle w:val="a0"/>
        <w:numPr>
          <w:ilvl w:val="0"/>
          <w:numId w:val="3"/>
        </w:numPr>
        <w:spacing w:line="312" w:lineRule="auto"/>
        <w:ind w:left="1531" w:hanging="510"/>
      </w:pPr>
      <w:r>
        <w:rPr>
          <w:rFonts w:hint="eastAsia"/>
        </w:rPr>
        <w:t>责成省长和首都市长利用当地资源创造新的就业；</w:t>
      </w:r>
    </w:p>
    <w:p w:rsidR="00000000" w:rsidRDefault="00E960EA" w:rsidP="00E960EA">
      <w:pPr>
        <w:pStyle w:val="a0"/>
        <w:numPr>
          <w:ilvl w:val="0"/>
          <w:numId w:val="3"/>
        </w:numPr>
        <w:spacing w:line="312" w:lineRule="auto"/>
        <w:ind w:left="1531" w:hanging="510"/>
      </w:pPr>
      <w:r>
        <w:rPr>
          <w:rFonts w:hint="eastAsia"/>
        </w:rPr>
        <w:t>提请各国际组织和捐款国注意减少失业的问题，并请它们为此目的拨出一定数量的贷款和援助；</w:t>
      </w:r>
    </w:p>
    <w:p w:rsidR="00000000" w:rsidRDefault="00E960EA" w:rsidP="00E960EA">
      <w:pPr>
        <w:pStyle w:val="a0"/>
        <w:numPr>
          <w:ilvl w:val="0"/>
          <w:numId w:val="3"/>
        </w:numPr>
        <w:spacing w:line="312" w:lineRule="auto"/>
        <w:ind w:left="1531" w:hanging="510"/>
      </w:pPr>
      <w:r>
        <w:rPr>
          <w:rFonts w:hint="eastAsia"/>
        </w:rPr>
        <w:t>通过支持中小型企业保持现有的就业机会。</w:t>
      </w:r>
    </w:p>
    <w:p w:rsidR="00000000" w:rsidRDefault="00E960EA">
      <w:pPr>
        <w:spacing w:line="312" w:lineRule="auto"/>
      </w:pPr>
      <w:r>
        <w:tab/>
        <w:t>26.  1995</w:t>
      </w:r>
      <w:r>
        <w:rPr>
          <w:rFonts w:hint="eastAsia"/>
        </w:rPr>
        <w:t>年</w:t>
      </w:r>
      <w:r>
        <w:t>10</w:t>
      </w:r>
      <w:r>
        <w:rPr>
          <w:rFonts w:hint="eastAsia"/>
        </w:rPr>
        <w:t>月，政府核准了“全国减少失业计划”。这一文件制订了政府鼓</w:t>
      </w:r>
      <w:r>
        <w:rPr>
          <w:rFonts w:hint="eastAsia"/>
        </w:rPr>
        <w:t>励就业、减少失业的政策，确定了这一政策的方向和实施应当与社会经济发展趋势、资本投资和结构改革紧密联系并相互协调，并规定在</w:t>
      </w:r>
      <w:r>
        <w:t>1996</w:t>
      </w:r>
      <w:r>
        <w:rPr>
          <w:rFonts w:hint="eastAsia"/>
        </w:rPr>
        <w:t>年至</w:t>
      </w:r>
      <w:r>
        <w:t>2010</w:t>
      </w:r>
      <w:r>
        <w:rPr>
          <w:rFonts w:hint="eastAsia"/>
        </w:rPr>
        <w:t>年期间建立一个有效的劳动力市场体制。</w:t>
      </w:r>
    </w:p>
    <w:p w:rsidR="00000000" w:rsidRDefault="00E960EA">
      <w:pPr>
        <w:spacing w:line="312" w:lineRule="auto"/>
      </w:pPr>
      <w:r>
        <w:tab/>
        <w:t xml:space="preserve">27.  </w:t>
      </w:r>
      <w:r>
        <w:rPr>
          <w:rFonts w:hint="eastAsia"/>
        </w:rPr>
        <w:t>在向自由市场过渡的阶段中，就业政策的基础是下述方向和概念：</w:t>
      </w:r>
    </w:p>
    <w:p w:rsidR="00000000" w:rsidRDefault="00E960EA" w:rsidP="00E960EA">
      <w:pPr>
        <w:pStyle w:val="a0"/>
        <w:numPr>
          <w:ilvl w:val="0"/>
          <w:numId w:val="4"/>
        </w:numPr>
        <w:spacing w:line="312" w:lineRule="auto"/>
        <w:ind w:left="1531" w:hanging="510"/>
      </w:pPr>
      <w:r>
        <w:rPr>
          <w:rFonts w:hint="eastAsia"/>
        </w:rPr>
        <w:t>考虑到获取工作经验、专业化和专业技能是每个人获取就业的一个基本的先决条件，以尊重劳动，视劳动为生活基础的精神培养儿童和青年，通过促进和发展各种形式的培训</w:t>
      </w:r>
      <w:r>
        <w:t>(</w:t>
      </w:r>
      <w:r>
        <w:rPr>
          <w:rFonts w:hint="eastAsia"/>
        </w:rPr>
        <w:t>职业培训和工业培训，针对无业青年的实习方案</w:t>
      </w:r>
      <w:r>
        <w:t>)</w:t>
      </w:r>
      <w:r>
        <w:rPr>
          <w:rFonts w:hint="eastAsia"/>
        </w:rPr>
        <w:t>来提高公民的专业技能；</w:t>
      </w:r>
    </w:p>
    <w:p w:rsidR="00000000" w:rsidRDefault="00E960EA" w:rsidP="00E960EA">
      <w:pPr>
        <w:pStyle w:val="a0"/>
        <w:numPr>
          <w:ilvl w:val="0"/>
          <w:numId w:val="4"/>
        </w:numPr>
        <w:spacing w:line="312" w:lineRule="auto"/>
        <w:ind w:left="1531" w:hanging="510"/>
      </w:pPr>
      <w:r>
        <w:rPr>
          <w:rFonts w:hint="eastAsia"/>
        </w:rPr>
        <w:t>鼓励创造性劳动，增强人们对脑力劳动的认识</w:t>
      </w:r>
      <w:r>
        <w:rPr>
          <w:rFonts w:hint="eastAsia"/>
        </w:rPr>
        <w:t>，建立一个工人在社会领域中就业的合理结构；</w:t>
      </w:r>
    </w:p>
    <w:p w:rsidR="00000000" w:rsidRDefault="00E960EA" w:rsidP="00E960EA">
      <w:pPr>
        <w:pStyle w:val="a0"/>
        <w:numPr>
          <w:ilvl w:val="0"/>
          <w:numId w:val="4"/>
        </w:numPr>
        <w:spacing w:line="312" w:lineRule="auto"/>
        <w:ind w:left="1531" w:hanging="510"/>
      </w:pPr>
      <w:r>
        <w:rPr>
          <w:rFonts w:hint="eastAsia"/>
        </w:rPr>
        <w:t>协调财政、资金和汇率政策，降低通货膨胀率并确保图格里克汇率的相对稳定；在宏观经济一级，通过确保经济增长增加国家储备，从而实现经济稳定，增加就业和减轻失业现象；</w:t>
      </w:r>
    </w:p>
    <w:p w:rsidR="00000000" w:rsidRDefault="00E960EA" w:rsidP="00E960EA">
      <w:pPr>
        <w:pStyle w:val="a0"/>
        <w:numPr>
          <w:ilvl w:val="0"/>
          <w:numId w:val="4"/>
        </w:numPr>
        <w:spacing w:line="312" w:lineRule="auto"/>
        <w:ind w:left="1531" w:hanging="510"/>
      </w:pPr>
      <w:r>
        <w:rPr>
          <w:rFonts w:hint="eastAsia"/>
        </w:rPr>
        <w:t>根据国家的经济资源和国家比较优势，对具有有效发展潜力的企业进行投资，通过单独或联合建立中小型企业、合作社和合伙单位推动和鼓励就业；</w:t>
      </w:r>
    </w:p>
    <w:p w:rsidR="00000000" w:rsidRDefault="00E960EA" w:rsidP="00E960EA">
      <w:pPr>
        <w:pStyle w:val="a0"/>
        <w:numPr>
          <w:ilvl w:val="0"/>
          <w:numId w:val="4"/>
        </w:numPr>
        <w:spacing w:line="312" w:lineRule="auto"/>
        <w:ind w:left="1531" w:hanging="510"/>
      </w:pPr>
      <w:r>
        <w:rPr>
          <w:rFonts w:hint="eastAsia"/>
        </w:rPr>
        <w:t>制订和实施着眼于增加就业的方案和项目，并通过在更大程度上调动地方资源和利用各种机会来振兴工业；</w:t>
      </w:r>
    </w:p>
    <w:p w:rsidR="00000000" w:rsidRDefault="00E960EA">
      <w:pPr>
        <w:pStyle w:val="a5"/>
        <w:spacing w:line="312" w:lineRule="auto"/>
        <w:ind w:left="1546"/>
      </w:pPr>
      <w:r>
        <w:t>(f)</w:t>
      </w:r>
      <w:r>
        <w:tab/>
      </w:r>
      <w:r>
        <w:rPr>
          <w:rFonts w:hint="eastAsia"/>
        </w:rPr>
        <w:t>消除工业企业造成的环境污染，拆毁不再需要的建筑物和设施，以有组织的方式安</w:t>
      </w:r>
      <w:r>
        <w:rPr>
          <w:rFonts w:hint="eastAsia"/>
        </w:rPr>
        <w:t>排失业者到新的工业城市临时就业或从事对国家和社会都极为重要的其它工作；</w:t>
      </w:r>
    </w:p>
    <w:p w:rsidR="00000000" w:rsidRDefault="00E960EA">
      <w:pPr>
        <w:pStyle w:val="a5"/>
        <w:spacing w:line="312" w:lineRule="auto"/>
        <w:ind w:left="1546"/>
      </w:pPr>
      <w:r>
        <w:t>(g)</w:t>
      </w:r>
      <w:r>
        <w:tab/>
      </w:r>
      <w:r>
        <w:rPr>
          <w:rFonts w:hint="eastAsia"/>
        </w:rPr>
        <w:t>确保国家对各级劳务输出和引进的问题的管理，同时认真考虑到国家安全利益，保护国内劳动力市场和部门结构及技术政策；</w:t>
      </w:r>
    </w:p>
    <w:p w:rsidR="00000000" w:rsidRDefault="00E960EA">
      <w:pPr>
        <w:pStyle w:val="a5"/>
        <w:spacing w:line="312" w:lineRule="auto"/>
        <w:ind w:left="1546"/>
      </w:pPr>
      <w:r>
        <w:rPr>
          <w:rFonts w:eastAsia="长城楷体"/>
          <w:spacing w:val="0"/>
        </w:rPr>
        <w:t>(h)</w:t>
      </w:r>
      <w:r>
        <w:tab/>
      </w:r>
      <w:r>
        <w:rPr>
          <w:rFonts w:hint="eastAsia"/>
        </w:rPr>
        <w:t>建立和加强职业介绍所，责成它充分和快速地协调供求关系，其办法是组织失业保险，对劳资问题进行调解和咨询，并且实施一项积极的劳动力市场政策；</w:t>
      </w:r>
    </w:p>
    <w:p w:rsidR="00000000" w:rsidRDefault="00E960EA">
      <w:pPr>
        <w:pStyle w:val="a5"/>
        <w:spacing w:line="312" w:lineRule="auto"/>
        <w:ind w:left="1546"/>
      </w:pPr>
      <w:r>
        <w:t>(i)</w:t>
      </w:r>
      <w:r>
        <w:tab/>
      </w:r>
      <w:r>
        <w:rPr>
          <w:rFonts w:hint="eastAsia"/>
        </w:rPr>
        <w:t>完善劳动力市场的信息系统，在现代化信息技术和设备的基础上建立一个信息和调解网络；</w:t>
      </w:r>
    </w:p>
    <w:p w:rsidR="00000000" w:rsidRDefault="00E960EA">
      <w:pPr>
        <w:pStyle w:val="a5"/>
        <w:spacing w:line="312" w:lineRule="auto"/>
        <w:ind w:left="1546"/>
      </w:pPr>
      <w:r>
        <w:t>(j)</w:t>
      </w:r>
      <w:r>
        <w:tab/>
      </w:r>
      <w:r>
        <w:rPr>
          <w:rFonts w:hint="eastAsia"/>
        </w:rPr>
        <w:t>在大规模的基础上使政府和非政府组织，研究机构及学者参与对劳资关系的研究分析；</w:t>
      </w:r>
    </w:p>
    <w:p w:rsidR="00000000" w:rsidRDefault="00E960EA">
      <w:pPr>
        <w:pStyle w:val="a5"/>
        <w:spacing w:line="312" w:lineRule="auto"/>
        <w:ind w:left="1546"/>
      </w:pPr>
      <w:r>
        <w:t>(k)</w:t>
      </w:r>
      <w:r>
        <w:tab/>
      </w:r>
      <w:r>
        <w:rPr>
          <w:rFonts w:hint="eastAsia"/>
        </w:rPr>
        <w:t>改善负责制定和实施就业和劳动力市场的积极管理政策的机构的组织结构，工作关系和协调。</w:t>
      </w:r>
    </w:p>
    <w:p w:rsidR="00000000" w:rsidRDefault="00E960EA">
      <w:pPr>
        <w:spacing w:line="312" w:lineRule="auto"/>
      </w:pPr>
      <w:r>
        <w:tab/>
        <w:t xml:space="preserve">28.  </w:t>
      </w:r>
      <w:r>
        <w:rPr>
          <w:rFonts w:hint="eastAsia"/>
        </w:rPr>
        <w:t>自</w:t>
      </w:r>
      <w:r>
        <w:t>1995</w:t>
      </w:r>
      <w:r>
        <w:rPr>
          <w:rFonts w:hint="eastAsia"/>
        </w:rPr>
        <w:t>年</w:t>
      </w:r>
      <w:r>
        <w:t>8</w:t>
      </w:r>
      <w:r>
        <w:rPr>
          <w:rFonts w:hint="eastAsia"/>
        </w:rPr>
        <w:t>月以来，已经实施了一个旨在根据市场经济的需要和要求建立一个全国劳动力市场的项目。这一项目是由一个国际财团资助的</w:t>
      </w:r>
      <w:r>
        <w:t>(120</w:t>
      </w:r>
      <w:r>
        <w:rPr>
          <w:rFonts w:hint="eastAsia"/>
        </w:rPr>
        <w:t>万欧洲货币单位</w:t>
      </w:r>
      <w:r>
        <w:t>)</w:t>
      </w:r>
      <w:r>
        <w:rPr>
          <w:rFonts w:hint="eastAsia"/>
        </w:rPr>
        <w:t>，项目周期预计为时</w:t>
      </w:r>
      <w:r>
        <w:t>18</w:t>
      </w:r>
      <w:r>
        <w:rPr>
          <w:rFonts w:hint="eastAsia"/>
        </w:rPr>
        <w:t>个月。在这一项目下，短期和长期的顾问向卫生和社会福利部的劳工司官员提供咨询服务。它们还为协助制订就业和实现适用于蒙古的劳动力市场的积极战略，作为政府行动方针的一部分提供了基础。这样，这一项目将有助于在更好地协调劳工司和有关政府各部和它们</w:t>
      </w:r>
      <w:r>
        <w:rPr>
          <w:rFonts w:hint="eastAsia"/>
        </w:rPr>
        <w:t>的社会合作伙伴的活动方面建立能力。</w:t>
      </w:r>
    </w:p>
    <w:p w:rsidR="00000000" w:rsidRDefault="00E960EA">
      <w:pPr>
        <w:spacing w:after="200" w:line="312" w:lineRule="auto"/>
        <w:textAlignment w:val="center"/>
      </w:pPr>
      <w:r>
        <w:tab/>
        <w:t xml:space="preserve">29.  </w:t>
      </w:r>
      <w:r>
        <w:rPr>
          <w:rFonts w:hint="eastAsia"/>
        </w:rPr>
        <w:t>作为建立和加强一个适当的就业管理办事处体制的一部分，一个试验性的信息网络将把首都地区</w:t>
      </w:r>
      <w:r>
        <w:t>(</w:t>
      </w:r>
      <w:r>
        <w:rPr>
          <w:rFonts w:hint="eastAsia"/>
        </w:rPr>
        <w:t>乌兰巴托</w:t>
      </w:r>
      <w:r>
        <w:t>)</w:t>
      </w:r>
      <w:r>
        <w:rPr>
          <w:rFonts w:hint="eastAsia"/>
        </w:rPr>
        <w:t>的办事处与一个镇和一个省联结起来，而且，在建立一个适当的劳动力市场信息和管理体制的同时，拟计划针对劳动力市场的工作人员进行组织方法，咨询和信息发布方面的培训。</w:t>
      </w:r>
    </w:p>
    <w:p w:rsidR="00000000" w:rsidRDefault="00E960EA">
      <w:pPr>
        <w:spacing w:after="160" w:line="288" w:lineRule="auto"/>
        <w:jc w:val="center"/>
        <w:textAlignment w:val="center"/>
        <w:rPr>
          <w:u w:val="single"/>
        </w:rPr>
      </w:pPr>
      <w:r>
        <w:rPr>
          <w:rFonts w:hint="eastAsia"/>
          <w:u w:val="single"/>
        </w:rPr>
        <w:t>劳</w:t>
      </w:r>
      <w:r>
        <w:rPr>
          <w:u w:val="single"/>
        </w:rPr>
        <w:t xml:space="preserve"> </w:t>
      </w:r>
      <w:r>
        <w:rPr>
          <w:rFonts w:hint="eastAsia"/>
          <w:u w:val="single"/>
        </w:rPr>
        <w:t>动</w:t>
      </w:r>
      <w:r>
        <w:rPr>
          <w:u w:val="single"/>
        </w:rPr>
        <w:t xml:space="preserve"> </w:t>
      </w:r>
      <w:r>
        <w:rPr>
          <w:rFonts w:hint="eastAsia"/>
          <w:u w:val="single"/>
        </w:rPr>
        <w:t>力</w:t>
      </w:r>
    </w:p>
    <w:p w:rsidR="00000000" w:rsidRDefault="00E960EA">
      <w:pPr>
        <w:spacing w:after="160" w:line="288" w:lineRule="auto"/>
        <w:jc w:val="center"/>
        <w:textAlignment w:val="center"/>
      </w:pPr>
      <w:r>
        <w:t>(</w:t>
      </w:r>
      <w:r>
        <w:rPr>
          <w:rFonts w:hint="eastAsia"/>
        </w:rPr>
        <w:t>年底统计数，单位千</w:t>
      </w:r>
      <w: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708"/>
        <w:gridCol w:w="1100"/>
        <w:gridCol w:w="1100"/>
        <w:gridCol w:w="1100"/>
        <w:gridCol w:w="1100"/>
        <w:gridCol w:w="1120"/>
        <w:gridCol w:w="1143"/>
        <w:gridCol w:w="1018"/>
      </w:tblGrid>
      <w:tr w:rsidR="00000000">
        <w:tblPrEx>
          <w:tblCellMar>
            <w:top w:w="0" w:type="dxa"/>
            <w:bottom w:w="0" w:type="dxa"/>
          </w:tblCellMar>
        </w:tblPrEx>
        <w:tc>
          <w:tcPr>
            <w:tcW w:w="1708" w:type="dxa"/>
            <w:tcBorders>
              <w:bottom w:val="nil"/>
              <w:right w:val="nil"/>
            </w:tcBorders>
          </w:tcPr>
          <w:p w:rsidR="00000000" w:rsidRDefault="00E960EA">
            <w:pPr>
              <w:spacing w:before="120" w:after="80" w:line="240" w:lineRule="auto"/>
              <w:jc w:val="center"/>
              <w:rPr>
                <w:spacing w:val="0"/>
                <w:sz w:val="21"/>
              </w:rPr>
            </w:pPr>
            <w:r>
              <w:rPr>
                <w:rFonts w:hint="eastAsia"/>
                <w:spacing w:val="0"/>
                <w:sz w:val="21"/>
              </w:rPr>
              <w:t>指</w:t>
            </w:r>
            <w:r>
              <w:rPr>
                <w:spacing w:val="0"/>
                <w:sz w:val="21"/>
              </w:rPr>
              <w:t xml:space="preserve"> </w:t>
            </w:r>
            <w:r>
              <w:rPr>
                <w:rFonts w:hint="eastAsia"/>
                <w:spacing w:val="0"/>
                <w:sz w:val="21"/>
              </w:rPr>
              <w:t>示</w:t>
            </w:r>
            <w:r>
              <w:rPr>
                <w:spacing w:val="0"/>
                <w:sz w:val="21"/>
              </w:rPr>
              <w:t xml:space="preserve"> </w:t>
            </w:r>
            <w:r>
              <w:rPr>
                <w:rFonts w:hint="eastAsia"/>
                <w:spacing w:val="0"/>
                <w:sz w:val="21"/>
              </w:rPr>
              <w:t>数</w:t>
            </w:r>
          </w:p>
        </w:tc>
        <w:tc>
          <w:tcPr>
            <w:tcW w:w="1100" w:type="dxa"/>
            <w:tcBorders>
              <w:top w:val="single" w:sz="6" w:space="0" w:color="auto"/>
              <w:left w:val="single" w:sz="6" w:space="0" w:color="auto"/>
              <w:bottom w:val="nil"/>
              <w:right w:val="single" w:sz="6" w:space="0" w:color="auto"/>
            </w:tcBorders>
          </w:tcPr>
          <w:p w:rsidR="00000000" w:rsidRDefault="00E960EA">
            <w:pPr>
              <w:spacing w:before="120" w:after="80" w:line="240" w:lineRule="auto"/>
              <w:jc w:val="center"/>
              <w:rPr>
                <w:spacing w:val="0"/>
                <w:sz w:val="21"/>
              </w:rPr>
            </w:pPr>
            <w:r>
              <w:rPr>
                <w:spacing w:val="0"/>
                <w:sz w:val="21"/>
              </w:rPr>
              <w:t>1990</w:t>
            </w:r>
            <w:r>
              <w:rPr>
                <w:rFonts w:hint="eastAsia"/>
                <w:spacing w:val="0"/>
                <w:sz w:val="21"/>
              </w:rPr>
              <w:t>年</w:t>
            </w:r>
          </w:p>
        </w:tc>
        <w:tc>
          <w:tcPr>
            <w:tcW w:w="1100" w:type="dxa"/>
            <w:tcBorders>
              <w:left w:val="nil"/>
              <w:bottom w:val="nil"/>
              <w:right w:val="nil"/>
            </w:tcBorders>
          </w:tcPr>
          <w:p w:rsidR="00000000" w:rsidRDefault="00E960EA">
            <w:pPr>
              <w:spacing w:before="120" w:after="80" w:line="240" w:lineRule="auto"/>
              <w:jc w:val="center"/>
              <w:rPr>
                <w:spacing w:val="0"/>
                <w:sz w:val="21"/>
              </w:rPr>
            </w:pPr>
            <w:r>
              <w:rPr>
                <w:spacing w:val="0"/>
                <w:sz w:val="21"/>
              </w:rPr>
              <w:t>1991</w:t>
            </w:r>
            <w:r>
              <w:rPr>
                <w:rFonts w:hint="eastAsia"/>
                <w:spacing w:val="0"/>
                <w:sz w:val="21"/>
              </w:rPr>
              <w:t>年</w:t>
            </w:r>
          </w:p>
        </w:tc>
        <w:tc>
          <w:tcPr>
            <w:tcW w:w="1100" w:type="dxa"/>
            <w:tcBorders>
              <w:top w:val="single" w:sz="6" w:space="0" w:color="auto"/>
              <w:left w:val="single" w:sz="6" w:space="0" w:color="auto"/>
              <w:bottom w:val="nil"/>
              <w:right w:val="single" w:sz="6" w:space="0" w:color="auto"/>
            </w:tcBorders>
          </w:tcPr>
          <w:p w:rsidR="00000000" w:rsidRDefault="00E960EA">
            <w:pPr>
              <w:spacing w:before="120" w:after="80" w:line="240" w:lineRule="auto"/>
              <w:jc w:val="center"/>
              <w:rPr>
                <w:spacing w:val="0"/>
                <w:sz w:val="21"/>
              </w:rPr>
            </w:pPr>
            <w:r>
              <w:rPr>
                <w:spacing w:val="0"/>
                <w:sz w:val="21"/>
              </w:rPr>
              <w:t>1992</w:t>
            </w:r>
            <w:r>
              <w:rPr>
                <w:rFonts w:hint="eastAsia"/>
                <w:spacing w:val="0"/>
                <w:sz w:val="21"/>
              </w:rPr>
              <w:t>年</w:t>
            </w:r>
          </w:p>
        </w:tc>
        <w:tc>
          <w:tcPr>
            <w:tcW w:w="1100" w:type="dxa"/>
            <w:tcBorders>
              <w:left w:val="nil"/>
              <w:bottom w:val="nil"/>
              <w:right w:val="nil"/>
            </w:tcBorders>
          </w:tcPr>
          <w:p w:rsidR="00000000" w:rsidRDefault="00E960EA">
            <w:pPr>
              <w:spacing w:before="120" w:after="80" w:line="240" w:lineRule="auto"/>
              <w:jc w:val="center"/>
              <w:rPr>
                <w:spacing w:val="0"/>
                <w:sz w:val="21"/>
              </w:rPr>
            </w:pPr>
            <w:r>
              <w:rPr>
                <w:spacing w:val="0"/>
                <w:sz w:val="21"/>
              </w:rPr>
              <w:t>1993</w:t>
            </w:r>
            <w:r>
              <w:rPr>
                <w:rFonts w:hint="eastAsia"/>
                <w:spacing w:val="0"/>
                <w:sz w:val="21"/>
              </w:rPr>
              <w:t>年</w:t>
            </w:r>
          </w:p>
        </w:tc>
        <w:tc>
          <w:tcPr>
            <w:tcW w:w="1120" w:type="dxa"/>
            <w:tcBorders>
              <w:top w:val="single" w:sz="6" w:space="0" w:color="auto"/>
              <w:left w:val="single" w:sz="6" w:space="0" w:color="auto"/>
              <w:bottom w:val="nil"/>
              <w:right w:val="single" w:sz="6" w:space="0" w:color="auto"/>
            </w:tcBorders>
          </w:tcPr>
          <w:p w:rsidR="00000000" w:rsidRDefault="00E960EA">
            <w:pPr>
              <w:spacing w:before="120" w:after="80" w:line="240" w:lineRule="auto"/>
              <w:jc w:val="center"/>
              <w:rPr>
                <w:spacing w:val="0"/>
                <w:sz w:val="21"/>
              </w:rPr>
            </w:pPr>
            <w:r>
              <w:rPr>
                <w:spacing w:val="0"/>
                <w:sz w:val="21"/>
              </w:rPr>
              <w:t>1994</w:t>
            </w:r>
            <w:r>
              <w:rPr>
                <w:rFonts w:hint="eastAsia"/>
                <w:spacing w:val="0"/>
                <w:sz w:val="21"/>
              </w:rPr>
              <w:t>年</w:t>
            </w:r>
          </w:p>
        </w:tc>
        <w:tc>
          <w:tcPr>
            <w:tcW w:w="1143" w:type="dxa"/>
            <w:tcBorders>
              <w:left w:val="nil"/>
              <w:bottom w:val="nil"/>
              <w:right w:val="nil"/>
            </w:tcBorders>
          </w:tcPr>
          <w:p w:rsidR="00000000" w:rsidRDefault="00E960EA">
            <w:pPr>
              <w:spacing w:before="120" w:after="80" w:line="240" w:lineRule="auto"/>
              <w:jc w:val="center"/>
              <w:rPr>
                <w:spacing w:val="0"/>
                <w:sz w:val="21"/>
              </w:rPr>
            </w:pPr>
            <w:r>
              <w:rPr>
                <w:spacing w:val="0"/>
                <w:sz w:val="21"/>
              </w:rPr>
              <w:t>1995</w:t>
            </w:r>
            <w:r>
              <w:rPr>
                <w:rFonts w:hint="eastAsia"/>
                <w:spacing w:val="0"/>
                <w:sz w:val="21"/>
              </w:rPr>
              <w:t>年</w:t>
            </w:r>
          </w:p>
        </w:tc>
        <w:tc>
          <w:tcPr>
            <w:tcW w:w="1018" w:type="dxa"/>
            <w:tcBorders>
              <w:top w:val="single" w:sz="6" w:space="0" w:color="auto"/>
              <w:left w:val="single" w:sz="6" w:space="0" w:color="auto"/>
              <w:bottom w:val="nil"/>
            </w:tcBorders>
          </w:tcPr>
          <w:p w:rsidR="00000000" w:rsidRDefault="00E960EA">
            <w:pPr>
              <w:spacing w:before="120" w:after="80" w:line="240" w:lineRule="auto"/>
              <w:jc w:val="center"/>
              <w:rPr>
                <w:spacing w:val="0"/>
                <w:sz w:val="21"/>
              </w:rPr>
            </w:pPr>
            <w:r>
              <w:rPr>
                <w:spacing w:val="0"/>
                <w:sz w:val="21"/>
              </w:rPr>
              <w:t>1996</w:t>
            </w:r>
            <w:r>
              <w:rPr>
                <w:rFonts w:hint="eastAsia"/>
                <w:spacing w:val="0"/>
                <w:sz w:val="21"/>
              </w:rPr>
              <w:t>年</w:t>
            </w:r>
          </w:p>
        </w:tc>
      </w:tr>
      <w:tr w:rsidR="00000000">
        <w:tblPrEx>
          <w:tblCellMar>
            <w:top w:w="0" w:type="dxa"/>
            <w:bottom w:w="0" w:type="dxa"/>
          </w:tblCellMar>
        </w:tblPrEx>
        <w:tc>
          <w:tcPr>
            <w:tcW w:w="1708" w:type="dxa"/>
            <w:tcBorders>
              <w:top w:val="single" w:sz="6" w:space="0" w:color="auto"/>
              <w:bottom w:val="nil"/>
              <w:right w:val="nil"/>
            </w:tcBorders>
          </w:tcPr>
          <w:p w:rsidR="00000000" w:rsidRDefault="00E960EA">
            <w:pPr>
              <w:spacing w:before="60" w:after="40" w:line="240" w:lineRule="auto"/>
              <w:ind w:left="57"/>
              <w:rPr>
                <w:spacing w:val="0"/>
                <w:sz w:val="21"/>
              </w:rPr>
            </w:pPr>
            <w:r>
              <w:rPr>
                <w:rFonts w:hint="eastAsia"/>
                <w:spacing w:val="0"/>
                <w:sz w:val="21"/>
              </w:rPr>
              <w:t>人</w:t>
            </w:r>
            <w:r>
              <w:rPr>
                <w:spacing w:val="0"/>
                <w:sz w:val="21"/>
              </w:rPr>
              <w:t xml:space="preserve">  </w:t>
            </w:r>
            <w:r>
              <w:rPr>
                <w:rFonts w:hint="eastAsia"/>
                <w:spacing w:val="0"/>
                <w:sz w:val="21"/>
              </w:rPr>
              <w:t>口</w:t>
            </w:r>
          </w:p>
        </w:tc>
        <w:tc>
          <w:tcPr>
            <w:tcW w:w="1100" w:type="dxa"/>
            <w:tcBorders>
              <w:top w:val="single" w:sz="6" w:space="0" w:color="auto"/>
              <w:left w:val="single" w:sz="6" w:space="0" w:color="auto"/>
              <w:bottom w:val="nil"/>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2149.3</w:t>
            </w:r>
          </w:p>
        </w:tc>
        <w:tc>
          <w:tcPr>
            <w:tcW w:w="1100" w:type="dxa"/>
            <w:tcBorders>
              <w:top w:val="single" w:sz="6" w:space="0" w:color="auto"/>
              <w:left w:val="nil"/>
              <w:bottom w:val="nil"/>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2187.2</w:t>
            </w:r>
          </w:p>
        </w:tc>
        <w:tc>
          <w:tcPr>
            <w:tcW w:w="1100" w:type="dxa"/>
            <w:tcBorders>
              <w:top w:val="single" w:sz="6" w:space="0" w:color="auto"/>
              <w:left w:val="single" w:sz="6" w:space="0" w:color="auto"/>
              <w:bottom w:val="nil"/>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2215.0</w:t>
            </w:r>
          </w:p>
        </w:tc>
        <w:tc>
          <w:tcPr>
            <w:tcW w:w="1100" w:type="dxa"/>
            <w:tcBorders>
              <w:top w:val="single" w:sz="6" w:space="0" w:color="auto"/>
              <w:left w:val="nil"/>
              <w:bottom w:val="nil"/>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2250.0</w:t>
            </w:r>
          </w:p>
        </w:tc>
        <w:tc>
          <w:tcPr>
            <w:tcW w:w="1120" w:type="dxa"/>
            <w:tcBorders>
              <w:top w:val="single" w:sz="6" w:space="0" w:color="auto"/>
              <w:left w:val="single" w:sz="6" w:space="0" w:color="auto"/>
              <w:bottom w:val="nil"/>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2280</w:t>
            </w:r>
            <w:r>
              <w:rPr>
                <w:spacing w:val="0"/>
                <w:sz w:val="21"/>
              </w:rPr>
              <w:t>.0</w:t>
            </w:r>
          </w:p>
        </w:tc>
        <w:tc>
          <w:tcPr>
            <w:tcW w:w="1143" w:type="dxa"/>
            <w:tcBorders>
              <w:top w:val="single" w:sz="6" w:space="0" w:color="auto"/>
              <w:left w:val="nil"/>
              <w:bottom w:val="nil"/>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2317.5</w:t>
            </w:r>
          </w:p>
        </w:tc>
        <w:tc>
          <w:tcPr>
            <w:tcW w:w="1018" w:type="dxa"/>
            <w:tcBorders>
              <w:top w:val="single" w:sz="6" w:space="0" w:color="auto"/>
              <w:left w:val="single" w:sz="6" w:space="0" w:color="auto"/>
              <w:bottom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2353.3</w:t>
            </w:r>
          </w:p>
        </w:tc>
      </w:tr>
      <w:tr w:rsidR="00000000">
        <w:tblPrEx>
          <w:tblCellMar>
            <w:top w:w="0" w:type="dxa"/>
            <w:bottom w:w="0" w:type="dxa"/>
          </w:tblCellMar>
        </w:tblPrEx>
        <w:tc>
          <w:tcPr>
            <w:tcW w:w="1708" w:type="dxa"/>
            <w:tcBorders>
              <w:top w:val="single" w:sz="6" w:space="0" w:color="auto"/>
              <w:bottom w:val="single" w:sz="6" w:space="0" w:color="auto"/>
              <w:right w:val="nil"/>
            </w:tcBorders>
          </w:tcPr>
          <w:p w:rsidR="00000000" w:rsidRDefault="00E960EA">
            <w:pPr>
              <w:spacing w:before="60" w:after="40" w:line="240" w:lineRule="auto"/>
              <w:ind w:left="57"/>
              <w:rPr>
                <w:spacing w:val="0"/>
                <w:sz w:val="21"/>
              </w:rPr>
            </w:pPr>
            <w:r>
              <w:rPr>
                <w:rFonts w:hint="eastAsia"/>
                <w:spacing w:val="0"/>
                <w:sz w:val="21"/>
              </w:rPr>
              <w:t>工作年龄人口</w:t>
            </w:r>
          </w:p>
        </w:tc>
        <w:tc>
          <w:tcPr>
            <w:tcW w:w="1100" w:type="dxa"/>
            <w:tcBorders>
              <w:top w:val="single" w:sz="6" w:space="0" w:color="auto"/>
              <w:left w:val="single" w:sz="6" w:space="0" w:color="auto"/>
              <w:bottom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997.5</w:t>
            </w:r>
          </w:p>
        </w:tc>
        <w:tc>
          <w:tcPr>
            <w:tcW w:w="1100" w:type="dxa"/>
            <w:tcBorders>
              <w:top w:val="single" w:sz="6" w:space="0" w:color="auto"/>
              <w:left w:val="nil"/>
              <w:bottom w:val="single" w:sz="6" w:space="0" w:color="auto"/>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1132.1</w:t>
            </w:r>
          </w:p>
        </w:tc>
        <w:tc>
          <w:tcPr>
            <w:tcW w:w="1100" w:type="dxa"/>
            <w:tcBorders>
              <w:top w:val="single" w:sz="6" w:space="0" w:color="auto"/>
              <w:left w:val="single" w:sz="6" w:space="0" w:color="auto"/>
              <w:bottom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1143.1</w:t>
            </w:r>
          </w:p>
        </w:tc>
        <w:tc>
          <w:tcPr>
            <w:tcW w:w="1100" w:type="dxa"/>
            <w:tcBorders>
              <w:top w:val="single" w:sz="6" w:space="0" w:color="auto"/>
              <w:left w:val="nil"/>
              <w:bottom w:val="single" w:sz="6" w:space="0" w:color="auto"/>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1138.9</w:t>
            </w:r>
          </w:p>
        </w:tc>
        <w:tc>
          <w:tcPr>
            <w:tcW w:w="1120" w:type="dxa"/>
            <w:tcBorders>
              <w:top w:val="single" w:sz="6" w:space="0" w:color="auto"/>
              <w:left w:val="single" w:sz="6" w:space="0" w:color="auto"/>
              <w:bottom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1163.0</w:t>
            </w:r>
          </w:p>
        </w:tc>
        <w:tc>
          <w:tcPr>
            <w:tcW w:w="1143" w:type="dxa"/>
            <w:tcBorders>
              <w:top w:val="single" w:sz="6" w:space="0" w:color="auto"/>
              <w:left w:val="nil"/>
              <w:bottom w:val="single" w:sz="6" w:space="0" w:color="auto"/>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1180.7</w:t>
            </w:r>
          </w:p>
        </w:tc>
        <w:tc>
          <w:tcPr>
            <w:tcW w:w="1018" w:type="dxa"/>
            <w:tcBorders>
              <w:top w:val="single" w:sz="6" w:space="0" w:color="auto"/>
              <w:left w:val="single" w:sz="6" w:space="0" w:color="auto"/>
              <w:bottom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1201.1</w:t>
            </w:r>
          </w:p>
        </w:tc>
      </w:tr>
      <w:tr w:rsidR="00000000">
        <w:tblPrEx>
          <w:tblCellMar>
            <w:top w:w="0" w:type="dxa"/>
            <w:bottom w:w="0" w:type="dxa"/>
          </w:tblCellMar>
        </w:tblPrEx>
        <w:tc>
          <w:tcPr>
            <w:tcW w:w="1708" w:type="dxa"/>
            <w:tcBorders>
              <w:top w:val="nil"/>
              <w:right w:val="nil"/>
            </w:tcBorders>
          </w:tcPr>
          <w:p w:rsidR="00000000" w:rsidRDefault="00E960EA">
            <w:pPr>
              <w:spacing w:before="60" w:line="240" w:lineRule="auto"/>
              <w:ind w:left="57"/>
              <w:rPr>
                <w:spacing w:val="0"/>
                <w:sz w:val="21"/>
              </w:rPr>
            </w:pPr>
            <w:r>
              <w:rPr>
                <w:rFonts w:hint="eastAsia"/>
                <w:spacing w:val="0"/>
                <w:sz w:val="21"/>
              </w:rPr>
              <w:t>劳动力来源：</w:t>
            </w:r>
          </w:p>
        </w:tc>
        <w:tc>
          <w:tcPr>
            <w:tcW w:w="1100" w:type="dxa"/>
            <w:tcBorders>
              <w:top w:val="nil"/>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before="60" w:line="240" w:lineRule="auto"/>
              <w:rPr>
                <w:spacing w:val="0"/>
                <w:sz w:val="21"/>
              </w:rPr>
            </w:pPr>
            <w:r>
              <w:rPr>
                <w:spacing w:val="0"/>
                <w:sz w:val="21"/>
              </w:rPr>
              <w:t>965.4</w:t>
            </w:r>
          </w:p>
        </w:tc>
        <w:tc>
          <w:tcPr>
            <w:tcW w:w="1100" w:type="dxa"/>
            <w:tcBorders>
              <w:top w:val="nil"/>
              <w:left w:val="nil"/>
              <w:right w:val="nil"/>
            </w:tcBorders>
          </w:tcPr>
          <w:p w:rsidR="00000000" w:rsidRDefault="00E960EA">
            <w:pPr>
              <w:tabs>
                <w:tab w:val="clear" w:pos="510"/>
                <w:tab w:val="clear" w:pos="1021"/>
                <w:tab w:val="clear" w:pos="1531"/>
                <w:tab w:val="clear" w:pos="2041"/>
                <w:tab w:val="decimal" w:pos="572"/>
              </w:tabs>
              <w:spacing w:before="60" w:line="240" w:lineRule="auto"/>
              <w:rPr>
                <w:spacing w:val="0"/>
                <w:sz w:val="21"/>
              </w:rPr>
            </w:pPr>
            <w:r>
              <w:rPr>
                <w:spacing w:val="0"/>
                <w:sz w:val="21"/>
              </w:rPr>
              <w:t>1041.7</w:t>
            </w:r>
          </w:p>
        </w:tc>
        <w:tc>
          <w:tcPr>
            <w:tcW w:w="1100" w:type="dxa"/>
            <w:tcBorders>
              <w:top w:val="nil"/>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before="60" w:line="240" w:lineRule="auto"/>
              <w:rPr>
                <w:spacing w:val="0"/>
                <w:sz w:val="21"/>
              </w:rPr>
            </w:pPr>
            <w:r>
              <w:rPr>
                <w:spacing w:val="0"/>
                <w:sz w:val="21"/>
              </w:rPr>
              <w:t>1078.0</w:t>
            </w:r>
          </w:p>
        </w:tc>
        <w:tc>
          <w:tcPr>
            <w:tcW w:w="1100" w:type="dxa"/>
            <w:tcBorders>
              <w:top w:val="nil"/>
              <w:left w:val="nil"/>
              <w:right w:val="nil"/>
            </w:tcBorders>
          </w:tcPr>
          <w:p w:rsidR="00000000" w:rsidRDefault="00E960EA">
            <w:pPr>
              <w:tabs>
                <w:tab w:val="clear" w:pos="510"/>
                <w:tab w:val="clear" w:pos="1021"/>
                <w:tab w:val="clear" w:pos="1531"/>
                <w:tab w:val="clear" w:pos="2041"/>
                <w:tab w:val="decimal" w:pos="572"/>
              </w:tabs>
              <w:spacing w:before="60" w:line="240" w:lineRule="auto"/>
              <w:rPr>
                <w:spacing w:val="0"/>
                <w:sz w:val="21"/>
              </w:rPr>
            </w:pPr>
            <w:r>
              <w:rPr>
                <w:spacing w:val="0"/>
                <w:sz w:val="21"/>
              </w:rPr>
              <w:t>1083.7</w:t>
            </w:r>
          </w:p>
        </w:tc>
        <w:tc>
          <w:tcPr>
            <w:tcW w:w="1120" w:type="dxa"/>
            <w:tcBorders>
              <w:top w:val="nil"/>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before="60" w:line="240" w:lineRule="auto"/>
              <w:rPr>
                <w:spacing w:val="0"/>
                <w:sz w:val="21"/>
              </w:rPr>
            </w:pPr>
            <w:r>
              <w:rPr>
                <w:spacing w:val="0"/>
                <w:sz w:val="21"/>
              </w:rPr>
              <w:t>1094.9</w:t>
            </w:r>
          </w:p>
        </w:tc>
        <w:tc>
          <w:tcPr>
            <w:tcW w:w="1143" w:type="dxa"/>
            <w:tcBorders>
              <w:top w:val="nil"/>
              <w:left w:val="nil"/>
              <w:right w:val="nil"/>
            </w:tcBorders>
          </w:tcPr>
          <w:p w:rsidR="00000000" w:rsidRDefault="00E960EA">
            <w:pPr>
              <w:tabs>
                <w:tab w:val="clear" w:pos="510"/>
                <w:tab w:val="clear" w:pos="1021"/>
                <w:tab w:val="clear" w:pos="1531"/>
                <w:tab w:val="clear" w:pos="2041"/>
                <w:tab w:val="decimal" w:pos="572"/>
              </w:tabs>
              <w:spacing w:before="60" w:line="240" w:lineRule="auto"/>
              <w:rPr>
                <w:spacing w:val="0"/>
                <w:sz w:val="21"/>
              </w:rPr>
            </w:pPr>
            <w:r>
              <w:rPr>
                <w:spacing w:val="0"/>
                <w:sz w:val="21"/>
              </w:rPr>
              <w:t>1111.3</w:t>
            </w:r>
          </w:p>
        </w:tc>
        <w:tc>
          <w:tcPr>
            <w:tcW w:w="1018" w:type="dxa"/>
            <w:tcBorders>
              <w:top w:val="nil"/>
              <w:left w:val="single" w:sz="6" w:space="0" w:color="auto"/>
            </w:tcBorders>
          </w:tcPr>
          <w:p w:rsidR="00000000" w:rsidRDefault="00E960EA">
            <w:pPr>
              <w:tabs>
                <w:tab w:val="clear" w:pos="510"/>
                <w:tab w:val="clear" w:pos="1021"/>
                <w:tab w:val="clear" w:pos="1531"/>
                <w:tab w:val="clear" w:pos="2041"/>
                <w:tab w:val="decimal" w:pos="572"/>
              </w:tabs>
              <w:spacing w:before="60" w:line="240" w:lineRule="auto"/>
              <w:rPr>
                <w:spacing w:val="0"/>
                <w:sz w:val="21"/>
              </w:rPr>
            </w:pPr>
            <w:r>
              <w:rPr>
                <w:spacing w:val="0"/>
                <w:sz w:val="21"/>
              </w:rPr>
              <w:t>1137.2</w:t>
            </w:r>
          </w:p>
        </w:tc>
      </w:tr>
      <w:tr w:rsidR="00000000">
        <w:tblPrEx>
          <w:tblCellMar>
            <w:top w:w="0" w:type="dxa"/>
            <w:bottom w:w="0" w:type="dxa"/>
          </w:tblCellMar>
        </w:tblPrEx>
        <w:tc>
          <w:tcPr>
            <w:tcW w:w="1708" w:type="dxa"/>
            <w:tcBorders>
              <w:right w:val="nil"/>
            </w:tcBorders>
          </w:tcPr>
          <w:p w:rsidR="00000000" w:rsidRDefault="00E960EA">
            <w:pPr>
              <w:spacing w:line="240" w:lineRule="auto"/>
              <w:ind w:left="57"/>
              <w:rPr>
                <w:spacing w:val="0"/>
                <w:sz w:val="21"/>
              </w:rPr>
            </w:pPr>
            <w:r>
              <w:rPr>
                <w:spacing w:val="0"/>
                <w:sz w:val="21"/>
              </w:rPr>
              <w:t xml:space="preserve">- </w:t>
            </w:r>
            <w:r>
              <w:rPr>
                <w:rFonts w:hint="eastAsia"/>
                <w:spacing w:val="0"/>
                <w:sz w:val="21"/>
              </w:rPr>
              <w:t>女</w:t>
            </w:r>
            <w:r>
              <w:rPr>
                <w:spacing w:val="0"/>
                <w:sz w:val="21"/>
              </w:rPr>
              <w:t xml:space="preserve">  </w:t>
            </w:r>
            <w:r>
              <w:rPr>
                <w:rFonts w:hint="eastAsia"/>
                <w:spacing w:val="0"/>
                <w:sz w:val="21"/>
              </w:rPr>
              <w:t>性</w:t>
            </w:r>
          </w:p>
        </w:tc>
        <w:tc>
          <w:tcPr>
            <w:tcW w:w="1100" w:type="dxa"/>
            <w:tcBorders>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489.9</w:t>
            </w:r>
          </w:p>
        </w:tc>
        <w:tc>
          <w:tcPr>
            <w:tcW w:w="1100" w:type="dxa"/>
            <w:tcBorders>
              <w:left w:val="nil"/>
              <w:right w:val="nil"/>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513.0</w:t>
            </w:r>
          </w:p>
        </w:tc>
        <w:tc>
          <w:tcPr>
            <w:tcW w:w="1100" w:type="dxa"/>
            <w:tcBorders>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529.5</w:t>
            </w:r>
          </w:p>
        </w:tc>
        <w:tc>
          <w:tcPr>
            <w:tcW w:w="1100" w:type="dxa"/>
            <w:tcBorders>
              <w:left w:val="nil"/>
              <w:right w:val="nil"/>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523.0</w:t>
            </w:r>
          </w:p>
        </w:tc>
        <w:tc>
          <w:tcPr>
            <w:tcW w:w="1120" w:type="dxa"/>
            <w:tcBorders>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539.7</w:t>
            </w:r>
          </w:p>
        </w:tc>
        <w:tc>
          <w:tcPr>
            <w:tcW w:w="1143" w:type="dxa"/>
            <w:tcBorders>
              <w:left w:val="nil"/>
              <w:right w:val="nil"/>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547.3</w:t>
            </w:r>
          </w:p>
        </w:tc>
        <w:tc>
          <w:tcPr>
            <w:tcW w:w="1018" w:type="dxa"/>
            <w:tcBorders>
              <w:lef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548.2</w:t>
            </w:r>
          </w:p>
        </w:tc>
      </w:tr>
      <w:tr w:rsidR="00000000">
        <w:tblPrEx>
          <w:tblCellMar>
            <w:top w:w="0" w:type="dxa"/>
            <w:bottom w:w="0" w:type="dxa"/>
          </w:tblCellMar>
        </w:tblPrEx>
        <w:tc>
          <w:tcPr>
            <w:tcW w:w="1708" w:type="dxa"/>
            <w:tcBorders>
              <w:right w:val="nil"/>
            </w:tcBorders>
          </w:tcPr>
          <w:p w:rsidR="00000000" w:rsidRDefault="00E960EA">
            <w:pPr>
              <w:spacing w:line="240" w:lineRule="auto"/>
              <w:ind w:left="57"/>
              <w:rPr>
                <w:spacing w:val="0"/>
                <w:sz w:val="21"/>
              </w:rPr>
            </w:pPr>
            <w:r>
              <w:rPr>
                <w:spacing w:val="0"/>
                <w:sz w:val="21"/>
              </w:rPr>
              <w:t xml:space="preserve">- </w:t>
            </w:r>
            <w:r>
              <w:rPr>
                <w:rFonts w:hint="eastAsia"/>
                <w:spacing w:val="0"/>
                <w:sz w:val="21"/>
              </w:rPr>
              <w:t>身体健全的工</w:t>
            </w:r>
            <w:r>
              <w:rPr>
                <w:spacing w:val="0"/>
                <w:sz w:val="21"/>
              </w:rPr>
              <w:br/>
              <w:t xml:space="preserve">  </w:t>
            </w:r>
            <w:r>
              <w:rPr>
                <w:rFonts w:hint="eastAsia"/>
                <w:spacing w:val="0"/>
                <w:sz w:val="21"/>
              </w:rPr>
              <w:t>作年龄人口</w:t>
            </w:r>
          </w:p>
        </w:tc>
        <w:tc>
          <w:tcPr>
            <w:tcW w:w="1100" w:type="dxa"/>
            <w:tcBorders>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942.9</w:t>
            </w:r>
          </w:p>
        </w:tc>
        <w:tc>
          <w:tcPr>
            <w:tcW w:w="1100" w:type="dxa"/>
            <w:tcBorders>
              <w:left w:val="nil"/>
              <w:right w:val="nil"/>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1009</w:t>
            </w:r>
          </w:p>
        </w:tc>
        <w:tc>
          <w:tcPr>
            <w:tcW w:w="1100" w:type="dxa"/>
            <w:tcBorders>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1045</w:t>
            </w:r>
          </w:p>
        </w:tc>
        <w:tc>
          <w:tcPr>
            <w:tcW w:w="1100" w:type="dxa"/>
            <w:tcBorders>
              <w:left w:val="nil"/>
              <w:right w:val="nil"/>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1053</w:t>
            </w:r>
          </w:p>
        </w:tc>
        <w:tc>
          <w:tcPr>
            <w:tcW w:w="1120" w:type="dxa"/>
            <w:tcBorders>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1057</w:t>
            </w:r>
          </w:p>
        </w:tc>
        <w:tc>
          <w:tcPr>
            <w:tcW w:w="1143" w:type="dxa"/>
            <w:tcBorders>
              <w:left w:val="nil"/>
              <w:right w:val="nil"/>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1074</w:t>
            </w:r>
          </w:p>
        </w:tc>
        <w:tc>
          <w:tcPr>
            <w:tcW w:w="1018" w:type="dxa"/>
            <w:tcBorders>
              <w:lef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1098</w:t>
            </w:r>
          </w:p>
        </w:tc>
      </w:tr>
      <w:tr w:rsidR="00000000">
        <w:tblPrEx>
          <w:tblCellMar>
            <w:top w:w="0" w:type="dxa"/>
            <w:bottom w:w="0" w:type="dxa"/>
          </w:tblCellMar>
        </w:tblPrEx>
        <w:tc>
          <w:tcPr>
            <w:tcW w:w="1708" w:type="dxa"/>
            <w:tcBorders>
              <w:right w:val="nil"/>
            </w:tcBorders>
          </w:tcPr>
          <w:p w:rsidR="00000000" w:rsidRDefault="00E960EA">
            <w:pPr>
              <w:spacing w:line="240" w:lineRule="auto"/>
              <w:ind w:left="57"/>
              <w:rPr>
                <w:spacing w:val="0"/>
                <w:sz w:val="21"/>
              </w:rPr>
            </w:pPr>
            <w:r>
              <w:rPr>
                <w:spacing w:val="0"/>
                <w:sz w:val="21"/>
              </w:rPr>
              <w:t xml:space="preserve">- </w:t>
            </w:r>
            <w:r>
              <w:rPr>
                <w:rFonts w:hint="eastAsia"/>
                <w:spacing w:val="0"/>
                <w:sz w:val="21"/>
              </w:rPr>
              <w:t>童</w:t>
            </w:r>
            <w:r>
              <w:rPr>
                <w:spacing w:val="0"/>
                <w:sz w:val="21"/>
              </w:rPr>
              <w:t xml:space="preserve">  </w:t>
            </w:r>
            <w:r>
              <w:rPr>
                <w:rFonts w:hint="eastAsia"/>
                <w:spacing w:val="0"/>
                <w:sz w:val="21"/>
              </w:rPr>
              <w:t>工</w:t>
            </w:r>
          </w:p>
        </w:tc>
        <w:tc>
          <w:tcPr>
            <w:tcW w:w="1100" w:type="dxa"/>
            <w:tcBorders>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2.2</w:t>
            </w:r>
          </w:p>
        </w:tc>
        <w:tc>
          <w:tcPr>
            <w:tcW w:w="1100" w:type="dxa"/>
            <w:tcBorders>
              <w:left w:val="nil"/>
              <w:right w:val="nil"/>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9</w:t>
            </w:r>
          </w:p>
        </w:tc>
        <w:tc>
          <w:tcPr>
            <w:tcW w:w="1100" w:type="dxa"/>
            <w:tcBorders>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5</w:t>
            </w:r>
          </w:p>
        </w:tc>
        <w:tc>
          <w:tcPr>
            <w:tcW w:w="1100" w:type="dxa"/>
            <w:tcBorders>
              <w:left w:val="nil"/>
              <w:right w:val="nil"/>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9</w:t>
            </w:r>
          </w:p>
        </w:tc>
        <w:tc>
          <w:tcPr>
            <w:tcW w:w="1120" w:type="dxa"/>
            <w:tcBorders>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3</w:t>
            </w:r>
          </w:p>
        </w:tc>
        <w:tc>
          <w:tcPr>
            <w:tcW w:w="1143" w:type="dxa"/>
            <w:tcBorders>
              <w:left w:val="nil"/>
              <w:right w:val="nil"/>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4</w:t>
            </w:r>
          </w:p>
        </w:tc>
        <w:tc>
          <w:tcPr>
            <w:tcW w:w="1018" w:type="dxa"/>
            <w:tcBorders>
              <w:lef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9</w:t>
            </w:r>
          </w:p>
        </w:tc>
      </w:tr>
      <w:tr w:rsidR="00000000">
        <w:tblPrEx>
          <w:tblCellMar>
            <w:top w:w="0" w:type="dxa"/>
            <w:bottom w:w="0" w:type="dxa"/>
          </w:tblCellMar>
        </w:tblPrEx>
        <w:tc>
          <w:tcPr>
            <w:tcW w:w="1708" w:type="dxa"/>
            <w:tcBorders>
              <w:right w:val="nil"/>
            </w:tcBorders>
          </w:tcPr>
          <w:p w:rsidR="00000000" w:rsidRDefault="00E960EA">
            <w:pPr>
              <w:spacing w:line="240" w:lineRule="auto"/>
              <w:ind w:left="57"/>
              <w:rPr>
                <w:spacing w:val="0"/>
                <w:sz w:val="21"/>
              </w:rPr>
            </w:pPr>
            <w:r>
              <w:rPr>
                <w:spacing w:val="0"/>
                <w:sz w:val="21"/>
              </w:rPr>
              <w:t xml:space="preserve">- </w:t>
            </w:r>
            <w:r>
              <w:rPr>
                <w:rFonts w:hint="eastAsia"/>
                <w:spacing w:val="0"/>
                <w:sz w:val="21"/>
              </w:rPr>
              <w:t>仍在工作的退</w:t>
            </w:r>
          </w:p>
        </w:tc>
        <w:tc>
          <w:tcPr>
            <w:tcW w:w="1100" w:type="dxa"/>
            <w:tcBorders>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16.3</w:t>
            </w:r>
          </w:p>
        </w:tc>
        <w:tc>
          <w:tcPr>
            <w:tcW w:w="1100" w:type="dxa"/>
            <w:tcBorders>
              <w:left w:val="nil"/>
              <w:right w:val="nil"/>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8.1</w:t>
            </w:r>
          </w:p>
        </w:tc>
        <w:tc>
          <w:tcPr>
            <w:tcW w:w="1100" w:type="dxa"/>
            <w:tcBorders>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6.6</w:t>
            </w:r>
          </w:p>
        </w:tc>
        <w:tc>
          <w:tcPr>
            <w:tcW w:w="1100" w:type="dxa"/>
            <w:tcBorders>
              <w:left w:val="nil"/>
              <w:right w:val="nil"/>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5.4</w:t>
            </w:r>
          </w:p>
        </w:tc>
        <w:tc>
          <w:tcPr>
            <w:tcW w:w="1120" w:type="dxa"/>
            <w:tcBorders>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6.8</w:t>
            </w:r>
          </w:p>
        </w:tc>
        <w:tc>
          <w:tcPr>
            <w:tcW w:w="1143" w:type="dxa"/>
            <w:tcBorders>
              <w:left w:val="nil"/>
              <w:right w:val="nil"/>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6.7</w:t>
            </w:r>
          </w:p>
        </w:tc>
        <w:tc>
          <w:tcPr>
            <w:tcW w:w="1018" w:type="dxa"/>
            <w:tcBorders>
              <w:lef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r>
              <w:rPr>
                <w:spacing w:val="0"/>
                <w:sz w:val="21"/>
              </w:rPr>
              <w:t>5.3</w:t>
            </w:r>
          </w:p>
        </w:tc>
      </w:tr>
      <w:tr w:rsidR="00000000">
        <w:tblPrEx>
          <w:tblCellMar>
            <w:top w:w="0" w:type="dxa"/>
            <w:bottom w:w="0" w:type="dxa"/>
          </w:tblCellMar>
        </w:tblPrEx>
        <w:tc>
          <w:tcPr>
            <w:tcW w:w="1708" w:type="dxa"/>
            <w:tcBorders>
              <w:right w:val="nil"/>
            </w:tcBorders>
          </w:tcPr>
          <w:p w:rsidR="00000000" w:rsidRDefault="00E960EA">
            <w:pPr>
              <w:spacing w:line="240" w:lineRule="auto"/>
              <w:ind w:left="57"/>
              <w:rPr>
                <w:spacing w:val="0"/>
                <w:sz w:val="21"/>
              </w:rPr>
            </w:pPr>
            <w:r>
              <w:rPr>
                <w:spacing w:val="0"/>
                <w:sz w:val="21"/>
              </w:rPr>
              <w:t xml:space="preserve">  </w:t>
            </w:r>
            <w:r>
              <w:rPr>
                <w:rFonts w:hint="eastAsia"/>
                <w:spacing w:val="0"/>
                <w:sz w:val="21"/>
              </w:rPr>
              <w:t>休人员</w:t>
            </w:r>
          </w:p>
        </w:tc>
        <w:tc>
          <w:tcPr>
            <w:tcW w:w="1100" w:type="dxa"/>
            <w:tcBorders>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p>
        </w:tc>
        <w:tc>
          <w:tcPr>
            <w:tcW w:w="1100" w:type="dxa"/>
            <w:tcBorders>
              <w:left w:val="nil"/>
              <w:right w:val="nil"/>
            </w:tcBorders>
          </w:tcPr>
          <w:p w:rsidR="00000000" w:rsidRDefault="00E960EA">
            <w:pPr>
              <w:tabs>
                <w:tab w:val="clear" w:pos="510"/>
                <w:tab w:val="clear" w:pos="1021"/>
                <w:tab w:val="clear" w:pos="1531"/>
                <w:tab w:val="clear" w:pos="2041"/>
                <w:tab w:val="decimal" w:pos="572"/>
              </w:tabs>
              <w:spacing w:line="240" w:lineRule="auto"/>
              <w:rPr>
                <w:spacing w:val="0"/>
                <w:sz w:val="21"/>
              </w:rPr>
            </w:pPr>
          </w:p>
        </w:tc>
        <w:tc>
          <w:tcPr>
            <w:tcW w:w="1100" w:type="dxa"/>
            <w:tcBorders>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p>
        </w:tc>
        <w:tc>
          <w:tcPr>
            <w:tcW w:w="1100" w:type="dxa"/>
            <w:tcBorders>
              <w:left w:val="nil"/>
              <w:right w:val="nil"/>
            </w:tcBorders>
          </w:tcPr>
          <w:p w:rsidR="00000000" w:rsidRDefault="00E960EA">
            <w:pPr>
              <w:tabs>
                <w:tab w:val="clear" w:pos="510"/>
                <w:tab w:val="clear" w:pos="1021"/>
                <w:tab w:val="clear" w:pos="1531"/>
                <w:tab w:val="clear" w:pos="2041"/>
                <w:tab w:val="decimal" w:pos="572"/>
              </w:tabs>
              <w:spacing w:line="240" w:lineRule="auto"/>
              <w:rPr>
                <w:spacing w:val="0"/>
                <w:sz w:val="21"/>
              </w:rPr>
            </w:pPr>
          </w:p>
        </w:tc>
        <w:tc>
          <w:tcPr>
            <w:tcW w:w="1120" w:type="dxa"/>
            <w:tcBorders>
              <w:left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p>
        </w:tc>
        <w:tc>
          <w:tcPr>
            <w:tcW w:w="1143" w:type="dxa"/>
            <w:tcBorders>
              <w:left w:val="nil"/>
              <w:right w:val="nil"/>
            </w:tcBorders>
          </w:tcPr>
          <w:p w:rsidR="00000000" w:rsidRDefault="00E960EA">
            <w:pPr>
              <w:tabs>
                <w:tab w:val="clear" w:pos="510"/>
                <w:tab w:val="clear" w:pos="1021"/>
                <w:tab w:val="clear" w:pos="1531"/>
                <w:tab w:val="clear" w:pos="2041"/>
                <w:tab w:val="decimal" w:pos="572"/>
              </w:tabs>
              <w:spacing w:line="240" w:lineRule="auto"/>
              <w:rPr>
                <w:spacing w:val="0"/>
                <w:sz w:val="21"/>
              </w:rPr>
            </w:pPr>
          </w:p>
        </w:tc>
        <w:tc>
          <w:tcPr>
            <w:tcW w:w="1018" w:type="dxa"/>
            <w:tcBorders>
              <w:left w:val="single" w:sz="6" w:space="0" w:color="auto"/>
            </w:tcBorders>
          </w:tcPr>
          <w:p w:rsidR="00000000" w:rsidRDefault="00E960EA">
            <w:pPr>
              <w:tabs>
                <w:tab w:val="clear" w:pos="510"/>
                <w:tab w:val="clear" w:pos="1021"/>
                <w:tab w:val="clear" w:pos="1531"/>
                <w:tab w:val="clear" w:pos="2041"/>
                <w:tab w:val="decimal" w:pos="572"/>
              </w:tabs>
              <w:spacing w:line="240" w:lineRule="auto"/>
              <w:rPr>
                <w:spacing w:val="0"/>
                <w:sz w:val="21"/>
              </w:rPr>
            </w:pPr>
          </w:p>
        </w:tc>
      </w:tr>
      <w:tr w:rsidR="00000000">
        <w:tblPrEx>
          <w:tblCellMar>
            <w:top w:w="0" w:type="dxa"/>
            <w:bottom w:w="0" w:type="dxa"/>
          </w:tblCellMar>
        </w:tblPrEx>
        <w:tc>
          <w:tcPr>
            <w:tcW w:w="1708" w:type="dxa"/>
            <w:tcBorders>
              <w:bottom w:val="nil"/>
              <w:right w:val="nil"/>
            </w:tcBorders>
          </w:tcPr>
          <w:p w:rsidR="00000000" w:rsidRDefault="00E960EA">
            <w:pPr>
              <w:spacing w:after="60" w:line="240" w:lineRule="auto"/>
              <w:ind w:left="57"/>
              <w:rPr>
                <w:spacing w:val="0"/>
                <w:sz w:val="21"/>
              </w:rPr>
            </w:pPr>
          </w:p>
        </w:tc>
        <w:tc>
          <w:tcPr>
            <w:tcW w:w="1100" w:type="dxa"/>
            <w:tcBorders>
              <w:left w:val="single" w:sz="6" w:space="0" w:color="auto"/>
              <w:bottom w:val="nil"/>
              <w:right w:val="single" w:sz="6" w:space="0" w:color="auto"/>
            </w:tcBorders>
          </w:tcPr>
          <w:p w:rsidR="00000000" w:rsidRDefault="00E960EA">
            <w:pPr>
              <w:tabs>
                <w:tab w:val="clear" w:pos="510"/>
                <w:tab w:val="clear" w:pos="1021"/>
                <w:tab w:val="clear" w:pos="1531"/>
                <w:tab w:val="clear" w:pos="2041"/>
                <w:tab w:val="decimal" w:pos="572"/>
              </w:tabs>
              <w:spacing w:after="60" w:line="240" w:lineRule="auto"/>
              <w:rPr>
                <w:spacing w:val="0"/>
                <w:sz w:val="21"/>
              </w:rPr>
            </w:pPr>
          </w:p>
        </w:tc>
        <w:tc>
          <w:tcPr>
            <w:tcW w:w="1100" w:type="dxa"/>
            <w:tcBorders>
              <w:left w:val="nil"/>
              <w:bottom w:val="nil"/>
              <w:right w:val="nil"/>
            </w:tcBorders>
          </w:tcPr>
          <w:p w:rsidR="00000000" w:rsidRDefault="00E960EA">
            <w:pPr>
              <w:tabs>
                <w:tab w:val="clear" w:pos="510"/>
                <w:tab w:val="clear" w:pos="1021"/>
                <w:tab w:val="clear" w:pos="1531"/>
                <w:tab w:val="clear" w:pos="2041"/>
                <w:tab w:val="decimal" w:pos="572"/>
              </w:tabs>
              <w:spacing w:after="60" w:line="240" w:lineRule="auto"/>
              <w:rPr>
                <w:spacing w:val="0"/>
                <w:sz w:val="21"/>
              </w:rPr>
            </w:pPr>
            <w:r>
              <w:rPr>
                <w:spacing w:val="0"/>
                <w:sz w:val="21"/>
              </w:rPr>
              <w:t>23.7</w:t>
            </w:r>
          </w:p>
        </w:tc>
        <w:tc>
          <w:tcPr>
            <w:tcW w:w="1100" w:type="dxa"/>
            <w:tcBorders>
              <w:left w:val="single" w:sz="6" w:space="0" w:color="auto"/>
              <w:bottom w:val="nil"/>
              <w:right w:val="single" w:sz="6" w:space="0" w:color="auto"/>
            </w:tcBorders>
          </w:tcPr>
          <w:p w:rsidR="00000000" w:rsidRDefault="00E960EA">
            <w:pPr>
              <w:tabs>
                <w:tab w:val="clear" w:pos="510"/>
                <w:tab w:val="clear" w:pos="1021"/>
                <w:tab w:val="clear" w:pos="1531"/>
                <w:tab w:val="clear" w:pos="2041"/>
                <w:tab w:val="decimal" w:pos="572"/>
              </w:tabs>
              <w:spacing w:after="60" w:line="240" w:lineRule="auto"/>
              <w:rPr>
                <w:spacing w:val="0"/>
                <w:sz w:val="21"/>
              </w:rPr>
            </w:pPr>
            <w:r>
              <w:rPr>
                <w:spacing w:val="0"/>
                <w:sz w:val="21"/>
              </w:rPr>
              <w:t>25.9</w:t>
            </w:r>
          </w:p>
        </w:tc>
        <w:tc>
          <w:tcPr>
            <w:tcW w:w="1100" w:type="dxa"/>
            <w:tcBorders>
              <w:left w:val="nil"/>
              <w:bottom w:val="nil"/>
              <w:right w:val="nil"/>
            </w:tcBorders>
          </w:tcPr>
          <w:p w:rsidR="00000000" w:rsidRDefault="00E960EA">
            <w:pPr>
              <w:tabs>
                <w:tab w:val="clear" w:pos="510"/>
                <w:tab w:val="clear" w:pos="1021"/>
                <w:tab w:val="clear" w:pos="1531"/>
                <w:tab w:val="clear" w:pos="2041"/>
                <w:tab w:val="decimal" w:pos="572"/>
              </w:tabs>
              <w:spacing w:after="60" w:line="240" w:lineRule="auto"/>
              <w:rPr>
                <w:spacing w:val="0"/>
                <w:sz w:val="21"/>
              </w:rPr>
            </w:pPr>
            <w:r>
              <w:rPr>
                <w:spacing w:val="0"/>
                <w:sz w:val="21"/>
              </w:rPr>
              <w:t>24.4</w:t>
            </w:r>
          </w:p>
        </w:tc>
        <w:tc>
          <w:tcPr>
            <w:tcW w:w="1120" w:type="dxa"/>
            <w:tcBorders>
              <w:left w:val="single" w:sz="6" w:space="0" w:color="auto"/>
              <w:bottom w:val="nil"/>
              <w:right w:val="single" w:sz="6" w:space="0" w:color="auto"/>
            </w:tcBorders>
          </w:tcPr>
          <w:p w:rsidR="00000000" w:rsidRDefault="00E960EA">
            <w:pPr>
              <w:tabs>
                <w:tab w:val="clear" w:pos="510"/>
                <w:tab w:val="clear" w:pos="1021"/>
                <w:tab w:val="clear" w:pos="1531"/>
                <w:tab w:val="clear" w:pos="2041"/>
                <w:tab w:val="decimal" w:pos="572"/>
              </w:tabs>
              <w:spacing w:after="60" w:line="240" w:lineRule="auto"/>
              <w:rPr>
                <w:spacing w:val="0"/>
                <w:sz w:val="21"/>
              </w:rPr>
            </w:pPr>
            <w:r>
              <w:rPr>
                <w:spacing w:val="0"/>
                <w:sz w:val="21"/>
              </w:rPr>
              <w:t>30.8</w:t>
            </w:r>
          </w:p>
        </w:tc>
        <w:tc>
          <w:tcPr>
            <w:tcW w:w="1143" w:type="dxa"/>
            <w:tcBorders>
              <w:left w:val="nil"/>
              <w:bottom w:val="nil"/>
              <w:right w:val="nil"/>
            </w:tcBorders>
          </w:tcPr>
          <w:p w:rsidR="00000000" w:rsidRDefault="00E960EA">
            <w:pPr>
              <w:tabs>
                <w:tab w:val="clear" w:pos="510"/>
                <w:tab w:val="clear" w:pos="1021"/>
                <w:tab w:val="clear" w:pos="1531"/>
                <w:tab w:val="clear" w:pos="2041"/>
                <w:tab w:val="decimal" w:pos="572"/>
              </w:tabs>
              <w:spacing w:after="60" w:line="240" w:lineRule="auto"/>
              <w:rPr>
                <w:spacing w:val="0"/>
                <w:sz w:val="21"/>
              </w:rPr>
            </w:pPr>
            <w:r>
              <w:rPr>
                <w:spacing w:val="0"/>
                <w:sz w:val="21"/>
              </w:rPr>
              <w:t>30.2</w:t>
            </w:r>
          </w:p>
        </w:tc>
        <w:tc>
          <w:tcPr>
            <w:tcW w:w="1018" w:type="dxa"/>
            <w:tcBorders>
              <w:left w:val="single" w:sz="6" w:space="0" w:color="auto"/>
              <w:bottom w:val="nil"/>
            </w:tcBorders>
          </w:tcPr>
          <w:p w:rsidR="00000000" w:rsidRDefault="00E960EA">
            <w:pPr>
              <w:tabs>
                <w:tab w:val="clear" w:pos="510"/>
                <w:tab w:val="clear" w:pos="1021"/>
                <w:tab w:val="clear" w:pos="1531"/>
                <w:tab w:val="clear" w:pos="2041"/>
                <w:tab w:val="decimal" w:pos="572"/>
              </w:tabs>
              <w:spacing w:after="60" w:line="240" w:lineRule="auto"/>
              <w:rPr>
                <w:spacing w:val="0"/>
                <w:sz w:val="21"/>
              </w:rPr>
            </w:pPr>
            <w:r>
              <w:rPr>
                <w:spacing w:val="0"/>
                <w:sz w:val="21"/>
              </w:rPr>
              <w:t>33.0</w:t>
            </w:r>
          </w:p>
        </w:tc>
      </w:tr>
      <w:tr w:rsidR="00000000">
        <w:tblPrEx>
          <w:tblCellMar>
            <w:top w:w="0" w:type="dxa"/>
            <w:bottom w:w="0" w:type="dxa"/>
          </w:tblCellMar>
        </w:tblPrEx>
        <w:tc>
          <w:tcPr>
            <w:tcW w:w="1708" w:type="dxa"/>
            <w:tcBorders>
              <w:top w:val="single" w:sz="6" w:space="0" w:color="auto"/>
              <w:bottom w:val="nil"/>
              <w:right w:val="nil"/>
            </w:tcBorders>
          </w:tcPr>
          <w:p w:rsidR="00000000" w:rsidRDefault="00E960EA">
            <w:pPr>
              <w:spacing w:before="60" w:after="40" w:line="240" w:lineRule="auto"/>
              <w:ind w:left="57"/>
              <w:rPr>
                <w:spacing w:val="0"/>
                <w:sz w:val="21"/>
              </w:rPr>
            </w:pPr>
            <w:r>
              <w:rPr>
                <w:rFonts w:hint="eastAsia"/>
                <w:spacing w:val="0"/>
                <w:sz w:val="21"/>
              </w:rPr>
              <w:t>劳动力或参加经</w:t>
            </w:r>
            <w:r>
              <w:rPr>
                <w:spacing w:val="0"/>
                <w:sz w:val="21"/>
              </w:rPr>
              <w:br/>
              <w:t xml:space="preserve">  </w:t>
            </w:r>
            <w:r>
              <w:rPr>
                <w:rFonts w:hint="eastAsia"/>
                <w:spacing w:val="0"/>
                <w:sz w:val="21"/>
              </w:rPr>
              <w:t>济活动人口</w:t>
            </w:r>
          </w:p>
        </w:tc>
        <w:tc>
          <w:tcPr>
            <w:tcW w:w="1100" w:type="dxa"/>
            <w:tcBorders>
              <w:top w:val="single" w:sz="6" w:space="0" w:color="auto"/>
              <w:left w:val="single" w:sz="6" w:space="0" w:color="auto"/>
              <w:bottom w:val="nil"/>
              <w:right w:val="single" w:sz="6" w:space="0" w:color="auto"/>
            </w:tcBorders>
          </w:tcPr>
          <w:p w:rsidR="00000000" w:rsidRDefault="00E960EA">
            <w:pPr>
              <w:tabs>
                <w:tab w:val="clear" w:pos="510"/>
                <w:tab w:val="clear" w:pos="1021"/>
                <w:tab w:val="clear" w:pos="1531"/>
                <w:tab w:val="clear" w:pos="2041"/>
                <w:tab w:val="decimal" w:pos="572"/>
              </w:tabs>
              <w:spacing w:before="60" w:line="240" w:lineRule="auto"/>
              <w:rPr>
                <w:spacing w:val="0"/>
                <w:sz w:val="21"/>
              </w:rPr>
            </w:pPr>
            <w:r>
              <w:rPr>
                <w:spacing w:val="0"/>
                <w:sz w:val="21"/>
              </w:rPr>
              <w:t>808.4</w:t>
            </w:r>
          </w:p>
        </w:tc>
        <w:tc>
          <w:tcPr>
            <w:tcW w:w="1100" w:type="dxa"/>
            <w:tcBorders>
              <w:top w:val="single" w:sz="6" w:space="0" w:color="auto"/>
              <w:left w:val="nil"/>
              <w:bottom w:val="nil"/>
              <w:right w:val="nil"/>
            </w:tcBorders>
          </w:tcPr>
          <w:p w:rsidR="00000000" w:rsidRDefault="00E960EA">
            <w:pPr>
              <w:tabs>
                <w:tab w:val="clear" w:pos="510"/>
                <w:tab w:val="clear" w:pos="1021"/>
                <w:tab w:val="clear" w:pos="1531"/>
                <w:tab w:val="clear" w:pos="2041"/>
                <w:tab w:val="decimal" w:pos="572"/>
              </w:tabs>
              <w:spacing w:before="60" w:line="240" w:lineRule="auto"/>
              <w:rPr>
                <w:spacing w:val="0"/>
                <w:sz w:val="21"/>
              </w:rPr>
            </w:pPr>
            <w:r>
              <w:rPr>
                <w:spacing w:val="0"/>
                <w:sz w:val="21"/>
              </w:rPr>
              <w:t>851.1</w:t>
            </w:r>
          </w:p>
        </w:tc>
        <w:tc>
          <w:tcPr>
            <w:tcW w:w="1100" w:type="dxa"/>
            <w:tcBorders>
              <w:top w:val="single" w:sz="6" w:space="0" w:color="auto"/>
              <w:left w:val="single" w:sz="6" w:space="0" w:color="auto"/>
              <w:bottom w:val="nil"/>
              <w:right w:val="single" w:sz="6" w:space="0" w:color="auto"/>
            </w:tcBorders>
          </w:tcPr>
          <w:p w:rsidR="00000000" w:rsidRDefault="00E960EA">
            <w:pPr>
              <w:tabs>
                <w:tab w:val="clear" w:pos="510"/>
                <w:tab w:val="clear" w:pos="1021"/>
                <w:tab w:val="clear" w:pos="1531"/>
                <w:tab w:val="clear" w:pos="2041"/>
                <w:tab w:val="decimal" w:pos="572"/>
              </w:tabs>
              <w:spacing w:before="60" w:line="240" w:lineRule="auto"/>
              <w:rPr>
                <w:spacing w:val="0"/>
                <w:sz w:val="21"/>
              </w:rPr>
            </w:pPr>
            <w:r>
              <w:rPr>
                <w:spacing w:val="0"/>
                <w:sz w:val="21"/>
              </w:rPr>
              <w:t>860.0</w:t>
            </w:r>
          </w:p>
        </w:tc>
        <w:tc>
          <w:tcPr>
            <w:tcW w:w="1100" w:type="dxa"/>
            <w:tcBorders>
              <w:top w:val="single" w:sz="6" w:space="0" w:color="auto"/>
              <w:left w:val="nil"/>
              <w:bottom w:val="nil"/>
              <w:right w:val="nil"/>
            </w:tcBorders>
          </w:tcPr>
          <w:p w:rsidR="00000000" w:rsidRDefault="00E960EA">
            <w:pPr>
              <w:tabs>
                <w:tab w:val="clear" w:pos="510"/>
                <w:tab w:val="clear" w:pos="1021"/>
                <w:tab w:val="clear" w:pos="1531"/>
                <w:tab w:val="clear" w:pos="2041"/>
                <w:tab w:val="decimal" w:pos="572"/>
              </w:tabs>
              <w:spacing w:before="60" w:line="240" w:lineRule="auto"/>
              <w:rPr>
                <w:spacing w:val="0"/>
                <w:sz w:val="21"/>
              </w:rPr>
            </w:pPr>
            <w:r>
              <w:rPr>
                <w:spacing w:val="0"/>
                <w:sz w:val="21"/>
              </w:rPr>
              <w:t>844.7</w:t>
            </w:r>
          </w:p>
        </w:tc>
        <w:tc>
          <w:tcPr>
            <w:tcW w:w="1120" w:type="dxa"/>
            <w:tcBorders>
              <w:top w:val="single" w:sz="6" w:space="0" w:color="auto"/>
              <w:left w:val="single" w:sz="6" w:space="0" w:color="auto"/>
              <w:bottom w:val="nil"/>
              <w:right w:val="single" w:sz="6" w:space="0" w:color="auto"/>
            </w:tcBorders>
          </w:tcPr>
          <w:p w:rsidR="00000000" w:rsidRDefault="00E960EA">
            <w:pPr>
              <w:tabs>
                <w:tab w:val="clear" w:pos="510"/>
                <w:tab w:val="clear" w:pos="1021"/>
                <w:tab w:val="clear" w:pos="1531"/>
                <w:tab w:val="clear" w:pos="2041"/>
                <w:tab w:val="decimal" w:pos="572"/>
              </w:tabs>
              <w:spacing w:before="60" w:line="240" w:lineRule="auto"/>
              <w:rPr>
                <w:spacing w:val="0"/>
                <w:sz w:val="21"/>
              </w:rPr>
            </w:pPr>
            <w:r>
              <w:rPr>
                <w:spacing w:val="0"/>
                <w:sz w:val="21"/>
              </w:rPr>
              <w:t>861.4</w:t>
            </w:r>
          </w:p>
        </w:tc>
        <w:tc>
          <w:tcPr>
            <w:tcW w:w="1143" w:type="dxa"/>
            <w:tcBorders>
              <w:top w:val="single" w:sz="6" w:space="0" w:color="auto"/>
              <w:left w:val="nil"/>
              <w:bottom w:val="nil"/>
              <w:right w:val="nil"/>
            </w:tcBorders>
          </w:tcPr>
          <w:p w:rsidR="00000000" w:rsidRDefault="00E960EA">
            <w:pPr>
              <w:tabs>
                <w:tab w:val="clear" w:pos="510"/>
                <w:tab w:val="clear" w:pos="1021"/>
                <w:tab w:val="clear" w:pos="1531"/>
                <w:tab w:val="clear" w:pos="2041"/>
                <w:tab w:val="decimal" w:pos="572"/>
              </w:tabs>
              <w:spacing w:before="60" w:line="240" w:lineRule="auto"/>
              <w:rPr>
                <w:spacing w:val="0"/>
                <w:sz w:val="21"/>
              </w:rPr>
            </w:pPr>
            <w:r>
              <w:rPr>
                <w:spacing w:val="0"/>
                <w:sz w:val="21"/>
              </w:rPr>
              <w:t>839.8</w:t>
            </w:r>
          </w:p>
        </w:tc>
        <w:tc>
          <w:tcPr>
            <w:tcW w:w="1018" w:type="dxa"/>
            <w:tcBorders>
              <w:top w:val="single" w:sz="6" w:space="0" w:color="auto"/>
              <w:left w:val="single" w:sz="6" w:space="0" w:color="auto"/>
              <w:bottom w:val="nil"/>
            </w:tcBorders>
          </w:tcPr>
          <w:p w:rsidR="00000000" w:rsidRDefault="00E960EA">
            <w:pPr>
              <w:tabs>
                <w:tab w:val="clear" w:pos="510"/>
                <w:tab w:val="clear" w:pos="1021"/>
                <w:tab w:val="clear" w:pos="1531"/>
                <w:tab w:val="clear" w:pos="2041"/>
                <w:tab w:val="decimal" w:pos="572"/>
              </w:tabs>
              <w:spacing w:before="60" w:line="240" w:lineRule="auto"/>
              <w:rPr>
                <w:spacing w:val="0"/>
                <w:sz w:val="21"/>
              </w:rPr>
            </w:pPr>
            <w:r>
              <w:rPr>
                <w:spacing w:val="0"/>
                <w:sz w:val="21"/>
              </w:rPr>
              <w:t>847.2</w:t>
            </w:r>
          </w:p>
        </w:tc>
      </w:tr>
      <w:tr w:rsidR="00000000">
        <w:tblPrEx>
          <w:tblCellMar>
            <w:top w:w="0" w:type="dxa"/>
            <w:bottom w:w="0" w:type="dxa"/>
          </w:tblCellMar>
        </w:tblPrEx>
        <w:tc>
          <w:tcPr>
            <w:tcW w:w="1708" w:type="dxa"/>
            <w:tcBorders>
              <w:top w:val="single" w:sz="6" w:space="0" w:color="auto"/>
              <w:bottom w:val="single" w:sz="6" w:space="0" w:color="auto"/>
              <w:right w:val="nil"/>
            </w:tcBorders>
          </w:tcPr>
          <w:p w:rsidR="00000000" w:rsidRDefault="00E960EA">
            <w:pPr>
              <w:spacing w:before="60" w:after="40" w:line="240" w:lineRule="auto"/>
              <w:ind w:left="57"/>
              <w:rPr>
                <w:spacing w:val="0"/>
                <w:sz w:val="21"/>
              </w:rPr>
            </w:pPr>
            <w:r>
              <w:rPr>
                <w:rFonts w:hint="eastAsia"/>
                <w:spacing w:val="0"/>
                <w:sz w:val="21"/>
              </w:rPr>
              <w:t>雇</w:t>
            </w:r>
            <w:r>
              <w:rPr>
                <w:spacing w:val="0"/>
                <w:sz w:val="21"/>
              </w:rPr>
              <w:t xml:space="preserve">  </w:t>
            </w:r>
            <w:r>
              <w:rPr>
                <w:rFonts w:hint="eastAsia"/>
                <w:spacing w:val="0"/>
                <w:sz w:val="21"/>
              </w:rPr>
              <w:t>员</w:t>
            </w:r>
          </w:p>
        </w:tc>
        <w:tc>
          <w:tcPr>
            <w:tcW w:w="1100" w:type="dxa"/>
            <w:tcBorders>
              <w:top w:val="single" w:sz="6" w:space="0" w:color="auto"/>
              <w:left w:val="single" w:sz="6" w:space="0" w:color="auto"/>
              <w:bottom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783.6</w:t>
            </w:r>
          </w:p>
        </w:tc>
        <w:tc>
          <w:tcPr>
            <w:tcW w:w="1100" w:type="dxa"/>
            <w:tcBorders>
              <w:top w:val="single" w:sz="6" w:space="0" w:color="auto"/>
              <w:left w:val="nil"/>
              <w:bottom w:val="single" w:sz="6" w:space="0" w:color="auto"/>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795.7</w:t>
            </w:r>
          </w:p>
        </w:tc>
        <w:tc>
          <w:tcPr>
            <w:tcW w:w="1100" w:type="dxa"/>
            <w:tcBorders>
              <w:top w:val="single" w:sz="6" w:space="0" w:color="auto"/>
              <w:left w:val="single" w:sz="6" w:space="0" w:color="auto"/>
              <w:bottom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806.0</w:t>
            </w:r>
          </w:p>
        </w:tc>
        <w:tc>
          <w:tcPr>
            <w:tcW w:w="1100" w:type="dxa"/>
            <w:tcBorders>
              <w:top w:val="single" w:sz="6" w:space="0" w:color="auto"/>
              <w:left w:val="nil"/>
              <w:bottom w:val="single" w:sz="6" w:space="0" w:color="auto"/>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772.8</w:t>
            </w:r>
          </w:p>
        </w:tc>
        <w:tc>
          <w:tcPr>
            <w:tcW w:w="1120" w:type="dxa"/>
            <w:tcBorders>
              <w:top w:val="single" w:sz="6" w:space="0" w:color="auto"/>
              <w:left w:val="single" w:sz="6" w:space="0" w:color="auto"/>
              <w:bottom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786.5</w:t>
            </w:r>
          </w:p>
        </w:tc>
        <w:tc>
          <w:tcPr>
            <w:tcW w:w="1143" w:type="dxa"/>
            <w:tcBorders>
              <w:top w:val="single" w:sz="6" w:space="0" w:color="auto"/>
              <w:left w:val="nil"/>
              <w:bottom w:val="single" w:sz="6" w:space="0" w:color="auto"/>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794.7</w:t>
            </w:r>
          </w:p>
        </w:tc>
        <w:tc>
          <w:tcPr>
            <w:tcW w:w="1018" w:type="dxa"/>
            <w:tcBorders>
              <w:top w:val="single" w:sz="6" w:space="0" w:color="auto"/>
              <w:left w:val="single" w:sz="6" w:space="0" w:color="auto"/>
              <w:bottom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791.8</w:t>
            </w:r>
          </w:p>
        </w:tc>
      </w:tr>
      <w:tr w:rsidR="00000000">
        <w:tblPrEx>
          <w:tblCellMar>
            <w:top w:w="0" w:type="dxa"/>
            <w:bottom w:w="0" w:type="dxa"/>
          </w:tblCellMar>
        </w:tblPrEx>
        <w:tc>
          <w:tcPr>
            <w:tcW w:w="1708" w:type="dxa"/>
            <w:tcBorders>
              <w:top w:val="nil"/>
              <w:bottom w:val="nil"/>
              <w:right w:val="nil"/>
            </w:tcBorders>
          </w:tcPr>
          <w:p w:rsidR="00000000" w:rsidRDefault="00E960EA">
            <w:pPr>
              <w:spacing w:before="60" w:after="40" w:line="240" w:lineRule="auto"/>
              <w:ind w:left="57"/>
              <w:rPr>
                <w:spacing w:val="0"/>
                <w:sz w:val="21"/>
              </w:rPr>
            </w:pPr>
            <w:r>
              <w:rPr>
                <w:rFonts w:hint="eastAsia"/>
                <w:spacing w:val="0"/>
                <w:sz w:val="21"/>
              </w:rPr>
              <w:t>失业人口</w:t>
            </w:r>
          </w:p>
        </w:tc>
        <w:tc>
          <w:tcPr>
            <w:tcW w:w="1100" w:type="dxa"/>
            <w:tcBorders>
              <w:top w:val="nil"/>
              <w:left w:val="single" w:sz="6" w:space="0" w:color="auto"/>
              <w:bottom w:val="nil"/>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45.6</w:t>
            </w:r>
          </w:p>
        </w:tc>
        <w:tc>
          <w:tcPr>
            <w:tcW w:w="1100" w:type="dxa"/>
            <w:tcBorders>
              <w:top w:val="nil"/>
              <w:left w:val="nil"/>
              <w:bottom w:val="nil"/>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108.2</w:t>
            </w:r>
          </w:p>
        </w:tc>
        <w:tc>
          <w:tcPr>
            <w:tcW w:w="1100" w:type="dxa"/>
            <w:tcBorders>
              <w:top w:val="nil"/>
              <w:left w:val="single" w:sz="6" w:space="0" w:color="auto"/>
              <w:bottom w:val="nil"/>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150.2</w:t>
            </w:r>
          </w:p>
        </w:tc>
        <w:tc>
          <w:tcPr>
            <w:tcW w:w="1100" w:type="dxa"/>
            <w:tcBorders>
              <w:top w:val="nil"/>
              <w:left w:val="nil"/>
              <w:bottom w:val="nil"/>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185.9</w:t>
            </w:r>
          </w:p>
        </w:tc>
        <w:tc>
          <w:tcPr>
            <w:tcW w:w="1120" w:type="dxa"/>
            <w:tcBorders>
              <w:top w:val="nil"/>
              <w:left w:val="single" w:sz="6" w:space="0" w:color="auto"/>
              <w:bottom w:val="nil"/>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212.3</w:t>
            </w:r>
          </w:p>
        </w:tc>
        <w:tc>
          <w:tcPr>
            <w:tcW w:w="1143" w:type="dxa"/>
            <w:tcBorders>
              <w:top w:val="nil"/>
              <w:left w:val="nil"/>
              <w:bottom w:val="nil"/>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217.7</w:t>
            </w:r>
          </w:p>
        </w:tc>
        <w:tc>
          <w:tcPr>
            <w:tcW w:w="1018" w:type="dxa"/>
            <w:tcBorders>
              <w:top w:val="nil"/>
              <w:left w:val="single" w:sz="6" w:space="0" w:color="auto"/>
              <w:bottom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227.2</w:t>
            </w:r>
          </w:p>
        </w:tc>
      </w:tr>
      <w:tr w:rsidR="00000000">
        <w:tblPrEx>
          <w:tblCellMar>
            <w:top w:w="0" w:type="dxa"/>
            <w:bottom w:w="0" w:type="dxa"/>
          </w:tblCellMar>
        </w:tblPrEx>
        <w:tc>
          <w:tcPr>
            <w:tcW w:w="1708" w:type="dxa"/>
            <w:tcBorders>
              <w:top w:val="single" w:sz="6" w:space="0" w:color="auto"/>
              <w:bottom w:val="nil"/>
              <w:right w:val="nil"/>
            </w:tcBorders>
          </w:tcPr>
          <w:p w:rsidR="00000000" w:rsidRDefault="00E960EA">
            <w:pPr>
              <w:spacing w:before="60" w:after="40" w:line="240" w:lineRule="auto"/>
              <w:ind w:left="57"/>
              <w:rPr>
                <w:spacing w:val="0"/>
                <w:sz w:val="21"/>
              </w:rPr>
            </w:pPr>
            <w:r>
              <w:rPr>
                <w:rFonts w:hint="eastAsia"/>
                <w:spacing w:val="0"/>
                <w:sz w:val="21"/>
              </w:rPr>
              <w:t>已登记的失业者</w:t>
            </w:r>
          </w:p>
        </w:tc>
        <w:tc>
          <w:tcPr>
            <w:tcW w:w="1100" w:type="dxa"/>
            <w:tcBorders>
              <w:top w:val="single" w:sz="6" w:space="0" w:color="auto"/>
              <w:left w:val="single" w:sz="6" w:space="0" w:color="auto"/>
              <w:bottom w:val="nil"/>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24.8</w:t>
            </w:r>
          </w:p>
        </w:tc>
        <w:tc>
          <w:tcPr>
            <w:tcW w:w="1100" w:type="dxa"/>
            <w:tcBorders>
              <w:top w:val="single" w:sz="6" w:space="0" w:color="auto"/>
              <w:left w:val="nil"/>
              <w:bottom w:val="nil"/>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5</w:t>
            </w:r>
            <w:r>
              <w:rPr>
                <w:spacing w:val="0"/>
                <w:sz w:val="21"/>
              </w:rPr>
              <w:t>5.4</w:t>
            </w:r>
          </w:p>
        </w:tc>
        <w:tc>
          <w:tcPr>
            <w:tcW w:w="1100" w:type="dxa"/>
            <w:tcBorders>
              <w:top w:val="single" w:sz="6" w:space="0" w:color="auto"/>
              <w:left w:val="single" w:sz="6" w:space="0" w:color="auto"/>
              <w:bottom w:val="nil"/>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54.0</w:t>
            </w:r>
          </w:p>
        </w:tc>
        <w:tc>
          <w:tcPr>
            <w:tcW w:w="1100" w:type="dxa"/>
            <w:tcBorders>
              <w:top w:val="single" w:sz="6" w:space="0" w:color="auto"/>
              <w:left w:val="nil"/>
              <w:bottom w:val="nil"/>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71.9</w:t>
            </w:r>
          </w:p>
        </w:tc>
        <w:tc>
          <w:tcPr>
            <w:tcW w:w="1120" w:type="dxa"/>
            <w:tcBorders>
              <w:top w:val="single" w:sz="6" w:space="0" w:color="auto"/>
              <w:left w:val="single" w:sz="6" w:space="0" w:color="auto"/>
              <w:bottom w:val="nil"/>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74.9</w:t>
            </w:r>
          </w:p>
        </w:tc>
        <w:tc>
          <w:tcPr>
            <w:tcW w:w="1143" w:type="dxa"/>
            <w:tcBorders>
              <w:top w:val="single" w:sz="6" w:space="0" w:color="auto"/>
              <w:left w:val="nil"/>
              <w:bottom w:val="nil"/>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45.1*</w:t>
            </w:r>
          </w:p>
        </w:tc>
        <w:tc>
          <w:tcPr>
            <w:tcW w:w="1018" w:type="dxa"/>
            <w:tcBorders>
              <w:top w:val="single" w:sz="6" w:space="0" w:color="auto"/>
              <w:left w:val="single" w:sz="6" w:space="0" w:color="auto"/>
              <w:bottom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55.4</w:t>
            </w:r>
          </w:p>
        </w:tc>
      </w:tr>
      <w:tr w:rsidR="00000000">
        <w:tblPrEx>
          <w:tblCellMar>
            <w:top w:w="0" w:type="dxa"/>
            <w:bottom w:w="0" w:type="dxa"/>
          </w:tblCellMar>
        </w:tblPrEx>
        <w:tc>
          <w:tcPr>
            <w:tcW w:w="1708" w:type="dxa"/>
            <w:tcBorders>
              <w:top w:val="single" w:sz="6" w:space="0" w:color="auto"/>
              <w:bottom w:val="single" w:sz="6" w:space="0" w:color="auto"/>
              <w:right w:val="nil"/>
            </w:tcBorders>
          </w:tcPr>
          <w:p w:rsidR="00000000" w:rsidRDefault="00E960EA">
            <w:pPr>
              <w:spacing w:before="40" w:after="20" w:line="240" w:lineRule="auto"/>
              <w:ind w:left="57"/>
              <w:rPr>
                <w:spacing w:val="0"/>
                <w:sz w:val="21"/>
              </w:rPr>
            </w:pPr>
            <w:r>
              <w:rPr>
                <w:rFonts w:hint="eastAsia"/>
                <w:spacing w:val="0"/>
                <w:sz w:val="21"/>
              </w:rPr>
              <w:t>失业率或参加经</w:t>
            </w:r>
            <w:r>
              <w:rPr>
                <w:spacing w:val="0"/>
                <w:sz w:val="21"/>
              </w:rPr>
              <w:br/>
              <w:t xml:space="preserve">  </w:t>
            </w:r>
            <w:r>
              <w:rPr>
                <w:rFonts w:hint="eastAsia"/>
                <w:spacing w:val="0"/>
                <w:sz w:val="21"/>
              </w:rPr>
              <w:t>济活动人口</w:t>
            </w:r>
          </w:p>
        </w:tc>
        <w:tc>
          <w:tcPr>
            <w:tcW w:w="1100" w:type="dxa"/>
            <w:tcBorders>
              <w:top w:val="single" w:sz="6" w:space="0" w:color="auto"/>
              <w:left w:val="single" w:sz="6" w:space="0" w:color="auto"/>
              <w:bottom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before="40" w:after="20" w:line="240" w:lineRule="auto"/>
              <w:rPr>
                <w:spacing w:val="0"/>
                <w:sz w:val="21"/>
              </w:rPr>
            </w:pPr>
            <w:r>
              <w:rPr>
                <w:spacing w:val="0"/>
                <w:sz w:val="21"/>
              </w:rPr>
              <w:t>3.1</w:t>
            </w:r>
          </w:p>
        </w:tc>
        <w:tc>
          <w:tcPr>
            <w:tcW w:w="1100" w:type="dxa"/>
            <w:tcBorders>
              <w:top w:val="single" w:sz="6" w:space="0" w:color="auto"/>
              <w:left w:val="nil"/>
              <w:bottom w:val="single" w:sz="6" w:space="0" w:color="auto"/>
              <w:right w:val="nil"/>
            </w:tcBorders>
          </w:tcPr>
          <w:p w:rsidR="00000000" w:rsidRDefault="00E960EA">
            <w:pPr>
              <w:tabs>
                <w:tab w:val="clear" w:pos="510"/>
                <w:tab w:val="clear" w:pos="1021"/>
                <w:tab w:val="clear" w:pos="1531"/>
                <w:tab w:val="clear" w:pos="2041"/>
                <w:tab w:val="decimal" w:pos="572"/>
              </w:tabs>
              <w:spacing w:before="40" w:after="20" w:line="240" w:lineRule="auto"/>
              <w:rPr>
                <w:spacing w:val="0"/>
                <w:sz w:val="21"/>
              </w:rPr>
            </w:pPr>
            <w:r>
              <w:rPr>
                <w:spacing w:val="0"/>
                <w:sz w:val="21"/>
              </w:rPr>
              <w:t>6.5</w:t>
            </w:r>
          </w:p>
        </w:tc>
        <w:tc>
          <w:tcPr>
            <w:tcW w:w="1100" w:type="dxa"/>
            <w:tcBorders>
              <w:top w:val="single" w:sz="6" w:space="0" w:color="auto"/>
              <w:left w:val="single" w:sz="6" w:space="0" w:color="auto"/>
              <w:bottom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before="40" w:after="20" w:line="240" w:lineRule="auto"/>
              <w:rPr>
                <w:spacing w:val="0"/>
                <w:sz w:val="21"/>
              </w:rPr>
            </w:pPr>
            <w:r>
              <w:rPr>
                <w:spacing w:val="0"/>
                <w:sz w:val="21"/>
              </w:rPr>
              <w:t>6.3</w:t>
            </w:r>
          </w:p>
        </w:tc>
        <w:tc>
          <w:tcPr>
            <w:tcW w:w="1100" w:type="dxa"/>
            <w:tcBorders>
              <w:top w:val="single" w:sz="6" w:space="0" w:color="auto"/>
              <w:left w:val="nil"/>
              <w:bottom w:val="single" w:sz="6" w:space="0" w:color="auto"/>
              <w:right w:val="nil"/>
            </w:tcBorders>
          </w:tcPr>
          <w:p w:rsidR="00000000" w:rsidRDefault="00E960EA">
            <w:pPr>
              <w:tabs>
                <w:tab w:val="clear" w:pos="510"/>
                <w:tab w:val="clear" w:pos="1021"/>
                <w:tab w:val="clear" w:pos="1531"/>
                <w:tab w:val="clear" w:pos="2041"/>
                <w:tab w:val="decimal" w:pos="572"/>
              </w:tabs>
              <w:spacing w:before="40" w:after="20" w:line="240" w:lineRule="auto"/>
              <w:rPr>
                <w:spacing w:val="0"/>
                <w:sz w:val="21"/>
              </w:rPr>
            </w:pPr>
            <w:r>
              <w:rPr>
                <w:spacing w:val="0"/>
                <w:sz w:val="21"/>
              </w:rPr>
              <w:t>8.5</w:t>
            </w:r>
          </w:p>
        </w:tc>
        <w:tc>
          <w:tcPr>
            <w:tcW w:w="1120" w:type="dxa"/>
            <w:tcBorders>
              <w:top w:val="single" w:sz="6" w:space="0" w:color="auto"/>
              <w:left w:val="single" w:sz="6" w:space="0" w:color="auto"/>
              <w:bottom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before="40" w:after="20" w:line="240" w:lineRule="auto"/>
              <w:rPr>
                <w:spacing w:val="0"/>
                <w:sz w:val="21"/>
              </w:rPr>
            </w:pPr>
            <w:r>
              <w:rPr>
                <w:spacing w:val="0"/>
                <w:sz w:val="21"/>
              </w:rPr>
              <w:t>8.7</w:t>
            </w:r>
          </w:p>
        </w:tc>
        <w:tc>
          <w:tcPr>
            <w:tcW w:w="1143" w:type="dxa"/>
            <w:tcBorders>
              <w:top w:val="single" w:sz="6" w:space="0" w:color="auto"/>
              <w:left w:val="nil"/>
              <w:bottom w:val="single" w:sz="6" w:space="0" w:color="auto"/>
              <w:right w:val="nil"/>
            </w:tcBorders>
          </w:tcPr>
          <w:p w:rsidR="00000000" w:rsidRDefault="00E960EA">
            <w:pPr>
              <w:tabs>
                <w:tab w:val="clear" w:pos="510"/>
                <w:tab w:val="clear" w:pos="1021"/>
                <w:tab w:val="clear" w:pos="1531"/>
                <w:tab w:val="clear" w:pos="2041"/>
                <w:tab w:val="decimal" w:pos="572"/>
              </w:tabs>
              <w:spacing w:before="40" w:after="20" w:line="240" w:lineRule="auto"/>
              <w:rPr>
                <w:spacing w:val="0"/>
                <w:sz w:val="21"/>
              </w:rPr>
            </w:pPr>
            <w:r>
              <w:rPr>
                <w:spacing w:val="0"/>
                <w:sz w:val="21"/>
              </w:rPr>
              <w:t>5.4*</w:t>
            </w:r>
          </w:p>
        </w:tc>
        <w:tc>
          <w:tcPr>
            <w:tcW w:w="1018" w:type="dxa"/>
            <w:tcBorders>
              <w:top w:val="single" w:sz="6" w:space="0" w:color="auto"/>
              <w:left w:val="single" w:sz="6" w:space="0" w:color="auto"/>
              <w:bottom w:val="single" w:sz="6" w:space="0" w:color="auto"/>
            </w:tcBorders>
          </w:tcPr>
          <w:p w:rsidR="00000000" w:rsidRDefault="00E960EA">
            <w:pPr>
              <w:tabs>
                <w:tab w:val="clear" w:pos="510"/>
                <w:tab w:val="clear" w:pos="1021"/>
                <w:tab w:val="clear" w:pos="1531"/>
                <w:tab w:val="clear" w:pos="2041"/>
                <w:tab w:val="decimal" w:pos="572"/>
              </w:tabs>
              <w:spacing w:before="40" w:after="20" w:line="240" w:lineRule="auto"/>
              <w:rPr>
                <w:spacing w:val="0"/>
                <w:sz w:val="21"/>
              </w:rPr>
            </w:pPr>
            <w:r>
              <w:rPr>
                <w:spacing w:val="0"/>
                <w:sz w:val="21"/>
              </w:rPr>
              <w:t>6.5</w:t>
            </w:r>
          </w:p>
        </w:tc>
      </w:tr>
      <w:tr w:rsidR="00000000">
        <w:tblPrEx>
          <w:tblCellMar>
            <w:top w:w="0" w:type="dxa"/>
            <w:bottom w:w="0" w:type="dxa"/>
          </w:tblCellMar>
        </w:tblPrEx>
        <w:tc>
          <w:tcPr>
            <w:tcW w:w="1708" w:type="dxa"/>
            <w:tcBorders>
              <w:top w:val="single" w:sz="6" w:space="0" w:color="auto"/>
              <w:bottom w:val="single" w:sz="6" w:space="0" w:color="auto"/>
              <w:right w:val="nil"/>
            </w:tcBorders>
          </w:tcPr>
          <w:p w:rsidR="00000000" w:rsidRDefault="00E960EA">
            <w:pPr>
              <w:spacing w:before="60" w:after="40" w:line="240" w:lineRule="auto"/>
              <w:ind w:left="57"/>
              <w:rPr>
                <w:spacing w:val="0"/>
                <w:sz w:val="21"/>
              </w:rPr>
            </w:pPr>
            <w:r>
              <w:rPr>
                <w:rFonts w:hint="eastAsia"/>
                <w:spacing w:val="0"/>
                <w:sz w:val="21"/>
              </w:rPr>
              <w:t>劳动力参与率</w:t>
            </w:r>
          </w:p>
        </w:tc>
        <w:tc>
          <w:tcPr>
            <w:tcW w:w="1100" w:type="dxa"/>
            <w:tcBorders>
              <w:top w:val="single" w:sz="6" w:space="0" w:color="auto"/>
              <w:left w:val="single" w:sz="6" w:space="0" w:color="auto"/>
              <w:bottom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81.8</w:t>
            </w:r>
          </w:p>
        </w:tc>
        <w:tc>
          <w:tcPr>
            <w:tcW w:w="1100" w:type="dxa"/>
            <w:tcBorders>
              <w:top w:val="single" w:sz="6" w:space="0" w:color="auto"/>
              <w:left w:val="nil"/>
              <w:bottom w:val="single" w:sz="6" w:space="0" w:color="auto"/>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78.7</w:t>
            </w:r>
          </w:p>
        </w:tc>
        <w:tc>
          <w:tcPr>
            <w:tcW w:w="1100" w:type="dxa"/>
            <w:tcBorders>
              <w:top w:val="single" w:sz="6" w:space="0" w:color="auto"/>
              <w:left w:val="single" w:sz="6" w:space="0" w:color="auto"/>
              <w:bottom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77.7</w:t>
            </w:r>
          </w:p>
        </w:tc>
        <w:tc>
          <w:tcPr>
            <w:tcW w:w="1100" w:type="dxa"/>
            <w:tcBorders>
              <w:top w:val="single" w:sz="6" w:space="0" w:color="auto"/>
              <w:left w:val="nil"/>
              <w:bottom w:val="single" w:sz="6" w:space="0" w:color="auto"/>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76.8</w:t>
            </w:r>
          </w:p>
        </w:tc>
        <w:tc>
          <w:tcPr>
            <w:tcW w:w="1120" w:type="dxa"/>
            <w:tcBorders>
              <w:top w:val="single" w:sz="6" w:space="0" w:color="auto"/>
              <w:left w:val="single" w:sz="6" w:space="0" w:color="auto"/>
              <w:bottom w:val="single" w:sz="6" w:space="0" w:color="auto"/>
              <w:right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73.9</w:t>
            </w:r>
          </w:p>
        </w:tc>
        <w:tc>
          <w:tcPr>
            <w:tcW w:w="1143" w:type="dxa"/>
            <w:tcBorders>
              <w:top w:val="single" w:sz="6" w:space="0" w:color="auto"/>
              <w:left w:val="nil"/>
              <w:bottom w:val="single" w:sz="6" w:space="0" w:color="auto"/>
              <w:right w:val="nil"/>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68.5</w:t>
            </w:r>
          </w:p>
        </w:tc>
        <w:tc>
          <w:tcPr>
            <w:tcW w:w="1018" w:type="dxa"/>
            <w:tcBorders>
              <w:top w:val="single" w:sz="6" w:space="0" w:color="auto"/>
              <w:left w:val="single" w:sz="6" w:space="0" w:color="auto"/>
              <w:bottom w:val="single" w:sz="6" w:space="0" w:color="auto"/>
            </w:tcBorders>
          </w:tcPr>
          <w:p w:rsidR="00000000" w:rsidRDefault="00E960EA">
            <w:pPr>
              <w:tabs>
                <w:tab w:val="clear" w:pos="510"/>
                <w:tab w:val="clear" w:pos="1021"/>
                <w:tab w:val="clear" w:pos="1531"/>
                <w:tab w:val="clear" w:pos="2041"/>
                <w:tab w:val="decimal" w:pos="572"/>
              </w:tabs>
              <w:spacing w:before="60" w:after="40" w:line="240" w:lineRule="auto"/>
              <w:rPr>
                <w:spacing w:val="0"/>
                <w:sz w:val="21"/>
              </w:rPr>
            </w:pPr>
            <w:r>
              <w:rPr>
                <w:spacing w:val="0"/>
                <w:sz w:val="21"/>
              </w:rPr>
              <w:t>68.0</w:t>
            </w:r>
          </w:p>
        </w:tc>
      </w:tr>
      <w:tr w:rsidR="00000000">
        <w:tblPrEx>
          <w:tblCellMar>
            <w:top w:w="0" w:type="dxa"/>
            <w:bottom w:w="0" w:type="dxa"/>
          </w:tblCellMar>
        </w:tblPrEx>
        <w:tc>
          <w:tcPr>
            <w:tcW w:w="9389" w:type="dxa"/>
            <w:gridSpan w:val="8"/>
            <w:tcBorders>
              <w:top w:val="single" w:sz="6" w:space="0" w:color="auto"/>
              <w:left w:val="nil"/>
              <w:bottom w:val="nil"/>
              <w:right w:val="nil"/>
            </w:tcBorders>
          </w:tcPr>
          <w:p w:rsidR="00000000" w:rsidRDefault="00E960EA">
            <w:pPr>
              <w:tabs>
                <w:tab w:val="clear" w:pos="510"/>
                <w:tab w:val="clear" w:pos="1021"/>
                <w:tab w:val="clear" w:pos="1531"/>
                <w:tab w:val="clear" w:pos="2041"/>
                <w:tab w:val="decimal" w:pos="572"/>
              </w:tabs>
              <w:spacing w:before="100" w:after="40" w:line="240" w:lineRule="auto"/>
              <w:rPr>
                <w:spacing w:val="0"/>
                <w:sz w:val="21"/>
              </w:rPr>
            </w:pPr>
            <w:r>
              <w:rPr>
                <w:rFonts w:ascii="长城楷体" w:eastAsia="长城楷体"/>
                <w:sz w:val="21"/>
              </w:rPr>
              <w:t xml:space="preserve">   *  </w:t>
            </w:r>
            <w:r>
              <w:rPr>
                <w:rFonts w:ascii="长城楷体" w:eastAsia="长城楷体" w:hint="eastAsia"/>
                <w:spacing w:val="0"/>
                <w:sz w:val="21"/>
              </w:rPr>
              <w:t>根据国家对中央和省级就业管理部门的视察以及对登记记录的修改，失业人数已经下</w:t>
            </w:r>
            <w:r>
              <w:rPr>
                <w:rFonts w:ascii="长城楷体" w:eastAsia="长城楷体" w:hint="eastAsia"/>
                <w:sz w:val="21"/>
              </w:rPr>
              <w:t>降。</w:t>
            </w:r>
          </w:p>
        </w:tc>
      </w:tr>
    </w:tbl>
    <w:p w:rsidR="00000000" w:rsidRDefault="00E960EA">
      <w:pPr>
        <w:spacing w:before="60" w:after="60"/>
        <w:rPr>
          <w:sz w:val="21"/>
        </w:rPr>
      </w:pPr>
    </w:p>
    <w:p w:rsidR="00000000" w:rsidRDefault="00E960EA">
      <w:pPr>
        <w:spacing w:after="320"/>
        <w:textAlignment w:val="center"/>
      </w:pPr>
      <w:r>
        <w:tab/>
        <w:t xml:space="preserve">30.  </w:t>
      </w:r>
      <w:r>
        <w:rPr>
          <w:rFonts w:hint="eastAsia"/>
        </w:rPr>
        <w:t>为了提高经济实体的生产率和效率，促进和鼓励一个有创造性的劳动力队伍，</w:t>
      </w:r>
      <w:r>
        <w:t>1993</w:t>
      </w:r>
      <w:r>
        <w:rPr>
          <w:rFonts w:hint="eastAsia"/>
        </w:rPr>
        <w:t>年人口政策和劳工部、蒙古私营企业拥有者联盟和工会联合成立了蒙古生产率中心。这一中心与亚洲</w:t>
      </w:r>
      <w:r>
        <w:rPr>
          <w:rFonts w:hint="eastAsia"/>
        </w:rPr>
        <w:t>生产率组织合作，就提高生产率和劳动效率问题举办各种培训班和讨论会。</w:t>
      </w:r>
    </w:p>
    <w:p w:rsidR="00000000" w:rsidRDefault="00E960EA">
      <w:pPr>
        <w:pStyle w:val="Heading3"/>
        <w:spacing w:after="240"/>
        <w:textAlignment w:val="center"/>
      </w:pPr>
      <w:r>
        <w:rPr>
          <w:rFonts w:hint="eastAsia"/>
        </w:rPr>
        <w:t>第</w:t>
      </w:r>
      <w:r>
        <w:t xml:space="preserve"> 7 </w:t>
      </w:r>
      <w:r>
        <w:rPr>
          <w:rFonts w:hint="eastAsia"/>
        </w:rPr>
        <w:t>条</w:t>
      </w:r>
    </w:p>
    <w:p w:rsidR="00000000" w:rsidRDefault="00E960EA">
      <w:pPr>
        <w:pStyle w:val="Heading4"/>
      </w:pPr>
      <w:r>
        <w:rPr>
          <w:rFonts w:hint="eastAsia"/>
        </w:rPr>
        <w:t>蒙古目前的工资水平</w:t>
      </w:r>
    </w:p>
    <w:p w:rsidR="00000000" w:rsidRDefault="00E960EA">
      <w:r>
        <w:tab/>
        <w:t xml:space="preserve">31.  </w:t>
      </w:r>
      <w:r>
        <w:rPr>
          <w:rFonts w:hint="eastAsia"/>
        </w:rPr>
        <w:t>蒙古的《劳工法》对与工资有关的各种问题作出了规定。</w:t>
      </w:r>
    </w:p>
    <w:p w:rsidR="00000000" w:rsidRDefault="00E960EA">
      <w:r>
        <w:tab/>
        <w:t xml:space="preserve">32.  </w:t>
      </w:r>
      <w:r>
        <w:rPr>
          <w:rFonts w:hint="eastAsia"/>
        </w:rPr>
        <w:t>国家对国家公务员规定了最低工资标准和工资比额表。国营企业和国家主控的经济实体的管理人员的工资标准是由有关实体和企业的管理部门根据政府、其它组织和经济实体的工作人员的工资比额表和工资标准并在考虑到它们的产量和资金的充分程度的情况下确定的。</w:t>
      </w:r>
    </w:p>
    <w:p w:rsidR="00000000" w:rsidRDefault="00E960EA">
      <w:r>
        <w:tab/>
        <w:t xml:space="preserve">33.  </w:t>
      </w:r>
      <w:r>
        <w:rPr>
          <w:rFonts w:hint="eastAsia"/>
        </w:rPr>
        <w:t>工人的工资采取与工作产量相关的计件工资、计时工资和其它工资形式。</w:t>
      </w:r>
    </w:p>
    <w:p w:rsidR="00000000" w:rsidRDefault="00E960EA">
      <w:r>
        <w:tab/>
        <w:t xml:space="preserve">34.  </w:t>
      </w:r>
      <w:r>
        <w:rPr>
          <w:rFonts w:hint="eastAsia"/>
        </w:rPr>
        <w:t>在确定国</w:t>
      </w:r>
      <w:r>
        <w:rPr>
          <w:rFonts w:hint="eastAsia"/>
        </w:rPr>
        <w:t>家公务员的工资时，将考虑到下述要求：</w:t>
      </w:r>
    </w:p>
    <w:p w:rsidR="00000000" w:rsidRDefault="00E960EA">
      <w:pPr>
        <w:pStyle w:val="a5"/>
        <w:ind w:left="1546"/>
      </w:pPr>
      <w:r>
        <w:t>(a)</w:t>
      </w:r>
      <w:r>
        <w:tab/>
      </w:r>
      <w:r>
        <w:rPr>
          <w:rFonts w:hint="eastAsia"/>
        </w:rPr>
        <w:t>对类似的国家职务</w:t>
      </w:r>
      <w:r>
        <w:t>(</w:t>
      </w:r>
      <w:r>
        <w:rPr>
          <w:rFonts w:hint="eastAsia"/>
        </w:rPr>
        <w:t>办公部门</w:t>
      </w:r>
      <w:r>
        <w:t>)</w:t>
      </w:r>
      <w:r>
        <w:rPr>
          <w:rFonts w:hint="eastAsia"/>
        </w:rPr>
        <w:t>确定相同的薪资；</w:t>
      </w:r>
    </w:p>
    <w:p w:rsidR="00000000" w:rsidRDefault="00E960EA">
      <w:pPr>
        <w:pStyle w:val="a5"/>
        <w:ind w:left="1546"/>
      </w:pPr>
      <w:r>
        <w:t>(b)</w:t>
      </w:r>
      <w:r>
        <w:tab/>
      </w:r>
      <w:r>
        <w:rPr>
          <w:rFonts w:hint="eastAsia"/>
        </w:rPr>
        <w:t>将薪资与平均生活标准和私营部门职工的中档工资联系起来；</w:t>
      </w:r>
    </w:p>
    <w:p w:rsidR="00000000" w:rsidRDefault="00E960EA">
      <w:pPr>
        <w:pStyle w:val="a5"/>
        <w:ind w:left="1546"/>
      </w:pPr>
      <w:r>
        <w:t>(c)</w:t>
      </w:r>
      <w:r>
        <w:tab/>
      </w:r>
      <w:r>
        <w:rPr>
          <w:rFonts w:hint="eastAsia"/>
        </w:rPr>
        <w:t>当与私营部门的类似职务的中档工资相比薪资价值至少下降</w:t>
      </w:r>
      <w:r>
        <w:t>5%</w:t>
      </w:r>
      <w:r>
        <w:rPr>
          <w:rFonts w:hint="eastAsia"/>
        </w:rPr>
        <w:t>时，提议增加薪资和工资；</w:t>
      </w:r>
    </w:p>
    <w:p w:rsidR="00000000" w:rsidRDefault="00E960EA">
      <w:pPr>
        <w:pStyle w:val="a5"/>
        <w:ind w:left="1546"/>
      </w:pPr>
      <w:r>
        <w:t>(d)</w:t>
      </w:r>
      <w:r>
        <w:tab/>
      </w:r>
      <w:r>
        <w:rPr>
          <w:rFonts w:hint="eastAsia"/>
        </w:rPr>
        <w:t>根据职务定级和工龄以及国家服务部门和有关国家组织的活动类型确定工资比额表和工资标准。</w:t>
      </w:r>
    </w:p>
    <w:p w:rsidR="00000000" w:rsidRDefault="00E960EA">
      <w:r>
        <w:tab/>
        <w:t xml:space="preserve">35.  </w:t>
      </w:r>
      <w:r>
        <w:rPr>
          <w:rFonts w:hint="eastAsia"/>
        </w:rPr>
        <w:t>《劳工法》规定，最低工资由政府根据生活标准的变化加以确定。全国所有经济实体和组织都必须遵守已确定的最低薪资标准。不得支付低于固定最低工资线的薪资。</w:t>
      </w:r>
    </w:p>
    <w:p w:rsidR="00000000" w:rsidRDefault="00E960EA">
      <w:pPr>
        <w:spacing w:after="320"/>
        <w:textAlignment w:val="center"/>
      </w:pPr>
      <w:r>
        <w:tab/>
        <w:t xml:space="preserve">36.  </w:t>
      </w:r>
      <w:r>
        <w:rPr>
          <w:rFonts w:hint="eastAsia"/>
        </w:rPr>
        <w:t>最低工资是根据工人的个人需求、生活标准的变化、通货膨胀率和资金的充分程度确定的。</w:t>
      </w:r>
      <w:r>
        <w:t>1991</w:t>
      </w:r>
      <w:r>
        <w:rPr>
          <w:rFonts w:hint="eastAsia"/>
        </w:rPr>
        <w:t>年首次对最低工资作出了正式规定，之后已修改</w:t>
      </w:r>
      <w:r>
        <w:t>5</w:t>
      </w:r>
      <w:r>
        <w:rPr>
          <w:rFonts w:hint="eastAsia"/>
        </w:rPr>
        <w:t>次。</w:t>
      </w:r>
    </w:p>
    <w:p w:rsidR="00000000" w:rsidRDefault="00E960EA">
      <w:pPr>
        <w:pStyle w:val="Heading3"/>
      </w:pPr>
      <w:r>
        <w:rPr>
          <w:rFonts w:hint="eastAsia"/>
        </w:rPr>
        <w:t>最低工资水平修订情况</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784"/>
        <w:gridCol w:w="784"/>
        <w:gridCol w:w="784"/>
        <w:gridCol w:w="784"/>
        <w:gridCol w:w="784"/>
        <w:gridCol w:w="784"/>
        <w:gridCol w:w="784"/>
        <w:gridCol w:w="784"/>
        <w:gridCol w:w="784"/>
        <w:gridCol w:w="784"/>
        <w:gridCol w:w="784"/>
        <w:gridCol w:w="784"/>
      </w:tblGrid>
      <w:tr w:rsidR="00000000">
        <w:tblPrEx>
          <w:tblCellMar>
            <w:top w:w="0" w:type="dxa"/>
            <w:bottom w:w="0" w:type="dxa"/>
          </w:tblCellMar>
        </w:tblPrEx>
        <w:tc>
          <w:tcPr>
            <w:tcW w:w="784" w:type="dxa"/>
            <w:tcBorders>
              <w:right w:val="nil"/>
            </w:tcBorders>
          </w:tcPr>
          <w:p w:rsidR="00000000" w:rsidRDefault="00E960EA">
            <w:pPr>
              <w:spacing w:before="120"/>
              <w:rPr>
                <w:sz w:val="15"/>
              </w:rPr>
            </w:pPr>
            <w:r>
              <w:rPr>
                <w:rFonts w:hint="eastAsia"/>
                <w:sz w:val="15"/>
              </w:rPr>
              <w:t>最低工资</w:t>
            </w:r>
          </w:p>
        </w:tc>
        <w:tc>
          <w:tcPr>
            <w:tcW w:w="784" w:type="dxa"/>
            <w:tcBorders>
              <w:top w:val="single" w:sz="6" w:space="0" w:color="auto"/>
              <w:left w:val="single" w:sz="6" w:space="0" w:color="auto"/>
              <w:bottom w:val="nil"/>
              <w:right w:val="single" w:sz="6" w:space="0" w:color="auto"/>
            </w:tcBorders>
          </w:tcPr>
          <w:p w:rsidR="00000000" w:rsidRDefault="00E960EA">
            <w:pPr>
              <w:spacing w:before="120" w:after="60" w:line="240" w:lineRule="auto"/>
              <w:jc w:val="center"/>
              <w:rPr>
                <w:sz w:val="15"/>
              </w:rPr>
            </w:pPr>
            <w:r>
              <w:rPr>
                <w:sz w:val="15"/>
              </w:rPr>
              <w:t xml:space="preserve">1991 </w:t>
            </w:r>
            <w:r>
              <w:rPr>
                <w:rFonts w:hint="eastAsia"/>
                <w:sz w:val="15"/>
              </w:rPr>
              <w:t>年</w:t>
            </w:r>
            <w:r>
              <w:rPr>
                <w:sz w:val="15"/>
              </w:rPr>
              <w:br/>
            </w:r>
            <w:r>
              <w:rPr>
                <w:rFonts w:hint="eastAsia"/>
                <w:sz w:val="15"/>
              </w:rPr>
              <w:t>第</w:t>
            </w:r>
            <w:r>
              <w:rPr>
                <w:sz w:val="15"/>
              </w:rPr>
              <w:t>199</w:t>
            </w:r>
            <w:r>
              <w:rPr>
                <w:rFonts w:hint="eastAsia"/>
                <w:sz w:val="15"/>
              </w:rPr>
              <w:t>号政</w:t>
            </w:r>
            <w:r>
              <w:rPr>
                <w:sz w:val="15"/>
              </w:rPr>
              <w:t xml:space="preserve"> </w:t>
            </w:r>
            <w:r>
              <w:rPr>
                <w:rFonts w:hint="eastAsia"/>
                <w:sz w:val="15"/>
              </w:rPr>
              <w:t>府</w:t>
            </w:r>
            <w:r>
              <w:rPr>
                <w:sz w:val="15"/>
              </w:rPr>
              <w:t xml:space="preserve"> </w:t>
            </w:r>
            <w:r>
              <w:rPr>
                <w:rFonts w:hint="eastAsia"/>
                <w:sz w:val="15"/>
              </w:rPr>
              <w:t>令</w:t>
            </w:r>
          </w:p>
        </w:tc>
        <w:tc>
          <w:tcPr>
            <w:tcW w:w="7840" w:type="dxa"/>
            <w:gridSpan w:val="10"/>
            <w:tcBorders>
              <w:left w:val="nil"/>
            </w:tcBorders>
          </w:tcPr>
          <w:p w:rsidR="00000000" w:rsidRDefault="00E960EA">
            <w:pPr>
              <w:spacing w:before="120"/>
              <w:jc w:val="center"/>
              <w:rPr>
                <w:sz w:val="15"/>
              </w:rPr>
            </w:pPr>
            <w:r>
              <w:rPr>
                <w:rFonts w:hint="eastAsia"/>
                <w:sz w:val="15"/>
              </w:rPr>
              <w:t>修</w:t>
            </w:r>
            <w:r>
              <w:rPr>
                <w:sz w:val="15"/>
              </w:rPr>
              <w:t xml:space="preserve">  </w:t>
            </w:r>
            <w:r>
              <w:rPr>
                <w:rFonts w:hint="eastAsia"/>
                <w:sz w:val="15"/>
              </w:rPr>
              <w:t>订</w:t>
            </w:r>
            <w:r>
              <w:rPr>
                <w:sz w:val="15"/>
              </w:rPr>
              <w:t xml:space="preserve">  </w:t>
            </w:r>
            <w:r>
              <w:rPr>
                <w:rFonts w:hint="eastAsia"/>
                <w:sz w:val="15"/>
              </w:rPr>
              <w:t>情</w:t>
            </w:r>
            <w:r>
              <w:rPr>
                <w:sz w:val="15"/>
              </w:rPr>
              <w:t xml:space="preserve">  </w:t>
            </w:r>
            <w:r>
              <w:rPr>
                <w:rFonts w:hint="eastAsia"/>
                <w:sz w:val="15"/>
              </w:rPr>
              <w:t>况</w:t>
            </w:r>
          </w:p>
        </w:tc>
      </w:tr>
      <w:tr w:rsidR="00000000">
        <w:tblPrEx>
          <w:tblCellMar>
            <w:top w:w="0" w:type="dxa"/>
            <w:bottom w:w="0" w:type="dxa"/>
          </w:tblCellMar>
        </w:tblPrEx>
        <w:tc>
          <w:tcPr>
            <w:tcW w:w="784" w:type="dxa"/>
            <w:tcBorders>
              <w:top w:val="single" w:sz="6" w:space="0" w:color="auto"/>
              <w:bottom w:val="single" w:sz="6" w:space="0" w:color="auto"/>
              <w:right w:val="nil"/>
            </w:tcBorders>
          </w:tcPr>
          <w:p w:rsidR="00000000" w:rsidRDefault="00E960EA">
            <w:pPr>
              <w:spacing w:before="120" w:after="60" w:line="240" w:lineRule="auto"/>
              <w:rPr>
                <w:sz w:val="15"/>
              </w:rPr>
            </w:pP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after="60" w:line="240" w:lineRule="auto"/>
              <w:rPr>
                <w:sz w:val="15"/>
              </w:rPr>
            </w:pPr>
          </w:p>
        </w:tc>
        <w:tc>
          <w:tcPr>
            <w:tcW w:w="1568" w:type="dxa"/>
            <w:gridSpan w:val="2"/>
            <w:tcBorders>
              <w:top w:val="single" w:sz="6" w:space="0" w:color="auto"/>
              <w:left w:val="nil"/>
              <w:bottom w:val="single" w:sz="6" w:space="0" w:color="auto"/>
              <w:right w:val="nil"/>
            </w:tcBorders>
          </w:tcPr>
          <w:p w:rsidR="00000000" w:rsidRDefault="00E960EA">
            <w:pPr>
              <w:spacing w:before="120" w:after="60" w:line="240" w:lineRule="auto"/>
              <w:jc w:val="center"/>
              <w:rPr>
                <w:sz w:val="15"/>
              </w:rPr>
            </w:pPr>
            <w:r>
              <w:rPr>
                <w:rFonts w:hint="eastAsia"/>
                <w:sz w:val="15"/>
              </w:rPr>
              <w:t>按</w:t>
            </w:r>
            <w:r>
              <w:rPr>
                <w:sz w:val="15"/>
              </w:rPr>
              <w:t>1991</w:t>
            </w:r>
            <w:r>
              <w:rPr>
                <w:rFonts w:hint="eastAsia"/>
                <w:sz w:val="15"/>
              </w:rPr>
              <w:t>年</w:t>
            </w:r>
            <w:r>
              <w:rPr>
                <w:sz w:val="15"/>
              </w:rPr>
              <w:br/>
            </w:r>
            <w:r>
              <w:rPr>
                <w:rFonts w:hint="eastAsia"/>
                <w:sz w:val="15"/>
              </w:rPr>
              <w:t>第</w:t>
            </w:r>
            <w:r>
              <w:rPr>
                <w:sz w:val="15"/>
              </w:rPr>
              <w:t>294</w:t>
            </w:r>
            <w:r>
              <w:rPr>
                <w:rFonts w:hint="eastAsia"/>
                <w:sz w:val="15"/>
              </w:rPr>
              <w:t>号政府令</w:t>
            </w:r>
          </w:p>
        </w:tc>
        <w:tc>
          <w:tcPr>
            <w:tcW w:w="1568" w:type="dxa"/>
            <w:gridSpan w:val="2"/>
            <w:tcBorders>
              <w:top w:val="single" w:sz="6" w:space="0" w:color="auto"/>
              <w:left w:val="single" w:sz="6" w:space="0" w:color="auto"/>
              <w:bottom w:val="single" w:sz="6" w:space="0" w:color="auto"/>
              <w:right w:val="single" w:sz="6" w:space="0" w:color="auto"/>
            </w:tcBorders>
          </w:tcPr>
          <w:p w:rsidR="00000000" w:rsidRDefault="00E960EA">
            <w:pPr>
              <w:spacing w:before="120" w:after="60" w:line="240" w:lineRule="auto"/>
              <w:jc w:val="center"/>
              <w:rPr>
                <w:sz w:val="15"/>
              </w:rPr>
            </w:pPr>
            <w:r>
              <w:rPr>
                <w:rFonts w:hint="eastAsia"/>
                <w:sz w:val="15"/>
              </w:rPr>
              <w:t>按</w:t>
            </w:r>
            <w:r>
              <w:rPr>
                <w:sz w:val="15"/>
              </w:rPr>
              <w:t>1992</w:t>
            </w:r>
            <w:r>
              <w:rPr>
                <w:rFonts w:hint="eastAsia"/>
                <w:sz w:val="15"/>
              </w:rPr>
              <w:t>年</w:t>
            </w:r>
            <w:r>
              <w:rPr>
                <w:sz w:val="15"/>
              </w:rPr>
              <w:br/>
            </w:r>
            <w:r>
              <w:rPr>
                <w:rFonts w:hint="eastAsia"/>
                <w:sz w:val="15"/>
              </w:rPr>
              <w:t>第</w:t>
            </w:r>
            <w:r>
              <w:rPr>
                <w:sz w:val="15"/>
              </w:rPr>
              <w:t>69</w:t>
            </w:r>
            <w:r>
              <w:rPr>
                <w:rFonts w:hint="eastAsia"/>
                <w:sz w:val="15"/>
              </w:rPr>
              <w:t>号政府令</w:t>
            </w:r>
          </w:p>
        </w:tc>
        <w:tc>
          <w:tcPr>
            <w:tcW w:w="1568" w:type="dxa"/>
            <w:gridSpan w:val="2"/>
            <w:tcBorders>
              <w:top w:val="single" w:sz="6" w:space="0" w:color="auto"/>
              <w:left w:val="nil"/>
              <w:bottom w:val="single" w:sz="6" w:space="0" w:color="auto"/>
              <w:right w:val="nil"/>
            </w:tcBorders>
          </w:tcPr>
          <w:p w:rsidR="00000000" w:rsidRDefault="00E960EA">
            <w:pPr>
              <w:pBdr>
                <w:right w:val="single" w:sz="6" w:space="1" w:color="auto"/>
              </w:pBdr>
              <w:spacing w:before="120" w:after="60" w:line="240" w:lineRule="auto"/>
              <w:jc w:val="center"/>
              <w:rPr>
                <w:sz w:val="15"/>
              </w:rPr>
            </w:pPr>
            <w:r>
              <w:rPr>
                <w:rFonts w:hint="eastAsia"/>
                <w:sz w:val="15"/>
              </w:rPr>
              <w:t>按</w:t>
            </w:r>
            <w:r>
              <w:rPr>
                <w:sz w:val="15"/>
              </w:rPr>
              <w:t>1992</w:t>
            </w:r>
            <w:r>
              <w:rPr>
                <w:rFonts w:hint="eastAsia"/>
                <w:sz w:val="15"/>
              </w:rPr>
              <w:t>年</w:t>
            </w:r>
            <w:r>
              <w:rPr>
                <w:sz w:val="15"/>
              </w:rPr>
              <w:br/>
            </w:r>
            <w:r>
              <w:rPr>
                <w:rFonts w:hint="eastAsia"/>
                <w:sz w:val="15"/>
              </w:rPr>
              <w:t>第</w:t>
            </w:r>
            <w:r>
              <w:rPr>
                <w:sz w:val="15"/>
              </w:rPr>
              <w:t>94</w:t>
            </w:r>
            <w:r>
              <w:rPr>
                <w:rFonts w:hint="eastAsia"/>
                <w:sz w:val="15"/>
              </w:rPr>
              <w:t>号政府令</w:t>
            </w:r>
          </w:p>
        </w:tc>
        <w:tc>
          <w:tcPr>
            <w:tcW w:w="1568" w:type="dxa"/>
            <w:gridSpan w:val="2"/>
            <w:tcBorders>
              <w:top w:val="single" w:sz="6" w:space="0" w:color="auto"/>
              <w:left w:val="single" w:sz="6" w:space="0" w:color="auto"/>
              <w:bottom w:val="single" w:sz="6" w:space="0" w:color="auto"/>
              <w:right w:val="nil"/>
            </w:tcBorders>
          </w:tcPr>
          <w:p w:rsidR="00000000" w:rsidRDefault="00E960EA">
            <w:pPr>
              <w:spacing w:before="120" w:after="60" w:line="240" w:lineRule="auto"/>
              <w:jc w:val="center"/>
              <w:rPr>
                <w:sz w:val="15"/>
              </w:rPr>
            </w:pPr>
            <w:r>
              <w:rPr>
                <w:rFonts w:hint="eastAsia"/>
                <w:sz w:val="15"/>
              </w:rPr>
              <w:t>按</w:t>
            </w:r>
            <w:r>
              <w:rPr>
                <w:sz w:val="15"/>
              </w:rPr>
              <w:t>1993</w:t>
            </w:r>
            <w:r>
              <w:rPr>
                <w:rFonts w:hint="eastAsia"/>
                <w:sz w:val="15"/>
              </w:rPr>
              <w:t>年</w:t>
            </w:r>
            <w:r>
              <w:rPr>
                <w:sz w:val="15"/>
              </w:rPr>
              <w:br/>
            </w:r>
            <w:r>
              <w:rPr>
                <w:rFonts w:hint="eastAsia"/>
                <w:sz w:val="15"/>
              </w:rPr>
              <w:t>第</w:t>
            </w:r>
            <w:r>
              <w:rPr>
                <w:sz w:val="15"/>
              </w:rPr>
              <w:t>184</w:t>
            </w:r>
            <w:r>
              <w:rPr>
                <w:rFonts w:hint="eastAsia"/>
                <w:sz w:val="15"/>
              </w:rPr>
              <w:t>号政府令</w:t>
            </w:r>
          </w:p>
        </w:tc>
        <w:tc>
          <w:tcPr>
            <w:tcW w:w="1568" w:type="dxa"/>
            <w:gridSpan w:val="2"/>
            <w:tcBorders>
              <w:top w:val="single" w:sz="6" w:space="0" w:color="auto"/>
              <w:left w:val="single" w:sz="6" w:space="0" w:color="auto"/>
              <w:bottom w:val="single" w:sz="6" w:space="0" w:color="auto"/>
            </w:tcBorders>
          </w:tcPr>
          <w:p w:rsidR="00000000" w:rsidRDefault="00E960EA">
            <w:pPr>
              <w:spacing w:before="120" w:after="60" w:line="240" w:lineRule="auto"/>
              <w:jc w:val="center"/>
              <w:rPr>
                <w:sz w:val="15"/>
              </w:rPr>
            </w:pPr>
            <w:r>
              <w:rPr>
                <w:rFonts w:hint="eastAsia"/>
                <w:sz w:val="15"/>
              </w:rPr>
              <w:t>按</w:t>
            </w:r>
            <w:r>
              <w:rPr>
                <w:sz w:val="15"/>
              </w:rPr>
              <w:t>1994</w:t>
            </w:r>
            <w:r>
              <w:rPr>
                <w:rFonts w:hint="eastAsia"/>
                <w:sz w:val="15"/>
              </w:rPr>
              <w:t>年</w:t>
            </w:r>
            <w:r>
              <w:rPr>
                <w:sz w:val="15"/>
              </w:rPr>
              <w:br/>
            </w:r>
            <w:r>
              <w:rPr>
                <w:rFonts w:hint="eastAsia"/>
                <w:sz w:val="15"/>
              </w:rPr>
              <w:t>第</w:t>
            </w:r>
            <w:r>
              <w:rPr>
                <w:sz w:val="15"/>
              </w:rPr>
              <w:t>163</w:t>
            </w:r>
            <w:r>
              <w:rPr>
                <w:rFonts w:hint="eastAsia"/>
                <w:sz w:val="15"/>
              </w:rPr>
              <w:t>号政府令</w:t>
            </w:r>
          </w:p>
        </w:tc>
      </w:tr>
      <w:tr w:rsidR="00000000">
        <w:tblPrEx>
          <w:tblCellMar>
            <w:top w:w="0" w:type="dxa"/>
            <w:bottom w:w="0" w:type="dxa"/>
          </w:tblCellMar>
        </w:tblPrEx>
        <w:tc>
          <w:tcPr>
            <w:tcW w:w="784" w:type="dxa"/>
            <w:tcBorders>
              <w:bottom w:val="nil"/>
              <w:right w:val="nil"/>
            </w:tcBorders>
          </w:tcPr>
          <w:p w:rsidR="00000000" w:rsidRDefault="00E960EA">
            <w:pPr>
              <w:spacing w:before="120" w:after="60"/>
              <w:rPr>
                <w:sz w:val="15"/>
              </w:rPr>
            </w:pPr>
          </w:p>
        </w:tc>
        <w:tc>
          <w:tcPr>
            <w:tcW w:w="784" w:type="dxa"/>
            <w:tcBorders>
              <w:top w:val="nil"/>
              <w:left w:val="single" w:sz="6" w:space="0" w:color="auto"/>
              <w:bottom w:val="nil"/>
              <w:right w:val="single" w:sz="6" w:space="0" w:color="auto"/>
            </w:tcBorders>
          </w:tcPr>
          <w:p w:rsidR="00000000" w:rsidRDefault="00E960EA">
            <w:pPr>
              <w:spacing w:before="120" w:after="60"/>
              <w:rPr>
                <w:sz w:val="15"/>
              </w:rPr>
            </w:pPr>
          </w:p>
        </w:tc>
        <w:tc>
          <w:tcPr>
            <w:tcW w:w="784" w:type="dxa"/>
            <w:tcBorders>
              <w:top w:val="single" w:sz="6" w:space="0" w:color="auto"/>
              <w:left w:val="nil"/>
              <w:bottom w:val="single" w:sz="6" w:space="0" w:color="auto"/>
              <w:right w:val="nil"/>
            </w:tcBorders>
          </w:tcPr>
          <w:p w:rsidR="00000000" w:rsidRDefault="00E960EA">
            <w:pPr>
              <w:spacing w:before="120" w:after="60"/>
              <w:rPr>
                <w:sz w:val="15"/>
              </w:rPr>
            </w:pPr>
            <w:r>
              <w:rPr>
                <w:rFonts w:hint="eastAsia"/>
                <w:sz w:val="15"/>
              </w:rPr>
              <w:t>图格里克</w:t>
            </w: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after="60"/>
              <w:rPr>
                <w:spacing w:val="-10"/>
                <w:sz w:val="15"/>
              </w:rPr>
            </w:pPr>
            <w:r>
              <w:rPr>
                <w:rFonts w:hint="eastAsia"/>
                <w:spacing w:val="-10"/>
                <w:sz w:val="15"/>
              </w:rPr>
              <w:t>增长百分比</w:t>
            </w: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after="60"/>
              <w:rPr>
                <w:sz w:val="15"/>
              </w:rPr>
            </w:pPr>
            <w:r>
              <w:rPr>
                <w:rFonts w:hint="eastAsia"/>
                <w:sz w:val="15"/>
              </w:rPr>
              <w:t>图格里克</w:t>
            </w:r>
          </w:p>
        </w:tc>
        <w:tc>
          <w:tcPr>
            <w:tcW w:w="784" w:type="dxa"/>
            <w:tcBorders>
              <w:top w:val="single" w:sz="6" w:space="0" w:color="auto"/>
              <w:left w:val="single" w:sz="6" w:space="0" w:color="auto"/>
              <w:bottom w:val="single" w:sz="6" w:space="0" w:color="auto"/>
              <w:right w:val="nil"/>
            </w:tcBorders>
          </w:tcPr>
          <w:p w:rsidR="00000000" w:rsidRDefault="00E960EA">
            <w:pPr>
              <w:spacing w:before="120" w:after="60"/>
              <w:rPr>
                <w:sz w:val="15"/>
              </w:rPr>
            </w:pPr>
            <w:r>
              <w:rPr>
                <w:rFonts w:hint="eastAsia"/>
                <w:spacing w:val="-10"/>
                <w:sz w:val="15"/>
              </w:rPr>
              <w:t>增长百分比</w:t>
            </w: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after="60"/>
              <w:rPr>
                <w:sz w:val="15"/>
              </w:rPr>
            </w:pPr>
            <w:r>
              <w:rPr>
                <w:rFonts w:hint="eastAsia"/>
                <w:sz w:val="15"/>
              </w:rPr>
              <w:t>图格里克</w:t>
            </w:r>
          </w:p>
        </w:tc>
        <w:tc>
          <w:tcPr>
            <w:tcW w:w="784" w:type="dxa"/>
            <w:tcBorders>
              <w:top w:val="single" w:sz="6" w:space="0" w:color="auto"/>
              <w:left w:val="nil"/>
              <w:bottom w:val="single" w:sz="6" w:space="0" w:color="auto"/>
              <w:right w:val="nil"/>
            </w:tcBorders>
          </w:tcPr>
          <w:p w:rsidR="00000000" w:rsidRDefault="00E960EA">
            <w:pPr>
              <w:spacing w:before="120" w:after="60"/>
              <w:rPr>
                <w:sz w:val="15"/>
              </w:rPr>
            </w:pPr>
            <w:r>
              <w:rPr>
                <w:rFonts w:hint="eastAsia"/>
                <w:spacing w:val="-10"/>
                <w:sz w:val="15"/>
              </w:rPr>
              <w:t>增长百分比</w:t>
            </w: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after="60"/>
              <w:rPr>
                <w:sz w:val="15"/>
              </w:rPr>
            </w:pPr>
            <w:r>
              <w:rPr>
                <w:rFonts w:hint="eastAsia"/>
                <w:sz w:val="15"/>
              </w:rPr>
              <w:t>图格里克</w:t>
            </w:r>
          </w:p>
        </w:tc>
        <w:tc>
          <w:tcPr>
            <w:tcW w:w="784" w:type="dxa"/>
            <w:tcBorders>
              <w:top w:val="single" w:sz="6" w:space="0" w:color="auto"/>
              <w:left w:val="nil"/>
              <w:bottom w:val="single" w:sz="6" w:space="0" w:color="auto"/>
              <w:right w:val="nil"/>
            </w:tcBorders>
          </w:tcPr>
          <w:p w:rsidR="00000000" w:rsidRDefault="00E960EA">
            <w:pPr>
              <w:spacing w:before="120" w:after="60"/>
              <w:rPr>
                <w:sz w:val="15"/>
              </w:rPr>
            </w:pPr>
            <w:r>
              <w:rPr>
                <w:rFonts w:hint="eastAsia"/>
                <w:spacing w:val="-10"/>
                <w:sz w:val="15"/>
              </w:rPr>
              <w:t>增长百分比</w:t>
            </w: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after="60"/>
              <w:rPr>
                <w:sz w:val="15"/>
              </w:rPr>
            </w:pPr>
            <w:r>
              <w:rPr>
                <w:rFonts w:hint="eastAsia"/>
                <w:sz w:val="15"/>
              </w:rPr>
              <w:t>图格里克</w:t>
            </w:r>
          </w:p>
        </w:tc>
        <w:tc>
          <w:tcPr>
            <w:tcW w:w="784" w:type="dxa"/>
            <w:tcBorders>
              <w:top w:val="single" w:sz="6" w:space="0" w:color="auto"/>
              <w:left w:val="nil"/>
              <w:bottom w:val="single" w:sz="6" w:space="0" w:color="auto"/>
            </w:tcBorders>
          </w:tcPr>
          <w:p w:rsidR="00000000" w:rsidRDefault="00E960EA">
            <w:pPr>
              <w:spacing w:before="120" w:after="60"/>
              <w:rPr>
                <w:sz w:val="15"/>
              </w:rPr>
            </w:pPr>
            <w:r>
              <w:rPr>
                <w:rFonts w:hint="eastAsia"/>
                <w:spacing w:val="-10"/>
                <w:sz w:val="15"/>
              </w:rPr>
              <w:t>增长百分比</w:t>
            </w:r>
          </w:p>
        </w:tc>
      </w:tr>
      <w:tr w:rsidR="00000000">
        <w:tblPrEx>
          <w:tblCellMar>
            <w:top w:w="0" w:type="dxa"/>
            <w:bottom w:w="0" w:type="dxa"/>
          </w:tblCellMar>
        </w:tblPrEx>
        <w:tc>
          <w:tcPr>
            <w:tcW w:w="784" w:type="dxa"/>
            <w:tcBorders>
              <w:top w:val="single" w:sz="6" w:space="0" w:color="auto"/>
              <w:bottom w:val="single" w:sz="6" w:space="0" w:color="auto"/>
              <w:right w:val="nil"/>
            </w:tcBorders>
          </w:tcPr>
          <w:p w:rsidR="00000000" w:rsidRDefault="00E960EA">
            <w:pPr>
              <w:tabs>
                <w:tab w:val="clear" w:pos="510"/>
                <w:tab w:val="left" w:pos="240"/>
              </w:tabs>
              <w:spacing w:before="120"/>
              <w:rPr>
                <w:sz w:val="15"/>
              </w:rPr>
            </w:pPr>
            <w:r>
              <w:rPr>
                <w:sz w:val="15"/>
              </w:rPr>
              <w:t xml:space="preserve"> </w:t>
            </w:r>
            <w:r>
              <w:rPr>
                <w:rFonts w:hint="eastAsia"/>
                <w:sz w:val="15"/>
              </w:rPr>
              <w:t>每</w:t>
            </w:r>
            <w:r>
              <w:rPr>
                <w:rFonts w:hint="eastAsia"/>
                <w:sz w:val="15"/>
              </w:rPr>
              <w:t>小时</w:t>
            </w: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jc w:val="center"/>
              <w:rPr>
                <w:sz w:val="15"/>
              </w:rPr>
            </w:pPr>
            <w:r>
              <w:rPr>
                <w:sz w:val="15"/>
              </w:rPr>
              <w:t>2-87</w:t>
            </w:r>
          </w:p>
        </w:tc>
        <w:tc>
          <w:tcPr>
            <w:tcW w:w="784" w:type="dxa"/>
            <w:tcBorders>
              <w:top w:val="single" w:sz="6" w:space="0" w:color="auto"/>
              <w:left w:val="nil"/>
              <w:bottom w:val="single" w:sz="6" w:space="0" w:color="auto"/>
              <w:right w:val="nil"/>
            </w:tcBorders>
          </w:tcPr>
          <w:p w:rsidR="00000000" w:rsidRDefault="00E960EA">
            <w:pPr>
              <w:spacing w:before="120"/>
              <w:jc w:val="center"/>
              <w:rPr>
                <w:sz w:val="15"/>
              </w:rPr>
            </w:pPr>
            <w:r>
              <w:rPr>
                <w:sz w:val="15"/>
              </w:rPr>
              <w:t>3-59</w:t>
            </w: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jc w:val="center"/>
              <w:rPr>
                <w:sz w:val="15"/>
              </w:rPr>
            </w:pPr>
            <w:r>
              <w:rPr>
                <w:sz w:val="15"/>
              </w:rPr>
              <w:t>125.1</w:t>
            </w: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jc w:val="center"/>
              <w:rPr>
                <w:sz w:val="15"/>
              </w:rPr>
            </w:pPr>
            <w:r>
              <w:rPr>
                <w:sz w:val="15"/>
              </w:rPr>
              <w:t>8-46</w:t>
            </w:r>
          </w:p>
        </w:tc>
        <w:tc>
          <w:tcPr>
            <w:tcW w:w="784" w:type="dxa"/>
            <w:tcBorders>
              <w:top w:val="single" w:sz="6" w:space="0" w:color="auto"/>
              <w:left w:val="single" w:sz="6" w:space="0" w:color="auto"/>
              <w:bottom w:val="single" w:sz="6" w:space="0" w:color="auto"/>
              <w:right w:val="nil"/>
            </w:tcBorders>
          </w:tcPr>
          <w:p w:rsidR="00000000" w:rsidRDefault="00E960EA">
            <w:pPr>
              <w:spacing w:before="120"/>
              <w:jc w:val="center"/>
              <w:rPr>
                <w:sz w:val="15"/>
              </w:rPr>
            </w:pPr>
            <w:r>
              <w:rPr>
                <w:sz w:val="15"/>
              </w:rPr>
              <w:t>294.8</w:t>
            </w: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jc w:val="center"/>
              <w:rPr>
                <w:sz w:val="15"/>
              </w:rPr>
            </w:pPr>
            <w:r>
              <w:rPr>
                <w:sz w:val="15"/>
              </w:rPr>
              <w:t>11-00</w:t>
            </w:r>
          </w:p>
        </w:tc>
        <w:tc>
          <w:tcPr>
            <w:tcW w:w="784" w:type="dxa"/>
            <w:tcBorders>
              <w:top w:val="single" w:sz="6" w:space="0" w:color="auto"/>
              <w:left w:val="nil"/>
              <w:bottom w:val="single" w:sz="6" w:space="0" w:color="auto"/>
              <w:right w:val="nil"/>
            </w:tcBorders>
          </w:tcPr>
          <w:p w:rsidR="00000000" w:rsidRDefault="00E960EA">
            <w:pPr>
              <w:spacing w:before="120"/>
              <w:jc w:val="center"/>
              <w:rPr>
                <w:sz w:val="15"/>
              </w:rPr>
            </w:pPr>
            <w:r>
              <w:rPr>
                <w:sz w:val="15"/>
              </w:rPr>
              <w:t>383.3</w:t>
            </w: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jc w:val="center"/>
              <w:rPr>
                <w:sz w:val="15"/>
              </w:rPr>
            </w:pPr>
            <w:r>
              <w:rPr>
                <w:sz w:val="15"/>
              </w:rPr>
              <w:t>25-74</w:t>
            </w:r>
          </w:p>
        </w:tc>
        <w:tc>
          <w:tcPr>
            <w:tcW w:w="784" w:type="dxa"/>
            <w:tcBorders>
              <w:top w:val="single" w:sz="6" w:space="0" w:color="auto"/>
              <w:left w:val="nil"/>
              <w:bottom w:val="single" w:sz="6" w:space="0" w:color="auto"/>
              <w:right w:val="nil"/>
            </w:tcBorders>
          </w:tcPr>
          <w:p w:rsidR="00000000" w:rsidRDefault="00E960EA">
            <w:pPr>
              <w:spacing w:before="120"/>
              <w:jc w:val="center"/>
              <w:rPr>
                <w:sz w:val="15"/>
              </w:rPr>
            </w:pPr>
            <w:r>
              <w:rPr>
                <w:sz w:val="15"/>
              </w:rPr>
              <w:t>896.7</w:t>
            </w: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jc w:val="center"/>
              <w:rPr>
                <w:sz w:val="15"/>
              </w:rPr>
            </w:pPr>
            <w:r>
              <w:rPr>
                <w:sz w:val="15"/>
              </w:rPr>
              <w:t>32-80</w:t>
            </w:r>
          </w:p>
        </w:tc>
        <w:tc>
          <w:tcPr>
            <w:tcW w:w="784" w:type="dxa"/>
            <w:tcBorders>
              <w:top w:val="single" w:sz="6" w:space="0" w:color="auto"/>
              <w:left w:val="nil"/>
              <w:bottom w:val="single" w:sz="6" w:space="0" w:color="auto"/>
            </w:tcBorders>
          </w:tcPr>
          <w:p w:rsidR="00000000" w:rsidRDefault="00E960EA">
            <w:pPr>
              <w:spacing w:before="120"/>
              <w:jc w:val="center"/>
              <w:rPr>
                <w:sz w:val="15"/>
              </w:rPr>
            </w:pPr>
            <w:r>
              <w:rPr>
                <w:sz w:val="15"/>
              </w:rPr>
              <w:t>1143.5</w:t>
            </w:r>
          </w:p>
        </w:tc>
      </w:tr>
      <w:tr w:rsidR="00000000">
        <w:tblPrEx>
          <w:tblCellMar>
            <w:top w:w="0" w:type="dxa"/>
            <w:bottom w:w="0" w:type="dxa"/>
          </w:tblCellMar>
        </w:tblPrEx>
        <w:tc>
          <w:tcPr>
            <w:tcW w:w="784" w:type="dxa"/>
            <w:tcBorders>
              <w:top w:val="nil"/>
              <w:right w:val="nil"/>
            </w:tcBorders>
          </w:tcPr>
          <w:p w:rsidR="00000000" w:rsidRDefault="00E960EA">
            <w:pPr>
              <w:spacing w:before="120"/>
              <w:rPr>
                <w:sz w:val="15"/>
              </w:rPr>
            </w:pPr>
            <w:r>
              <w:rPr>
                <w:sz w:val="15"/>
              </w:rPr>
              <w:t xml:space="preserve"> </w:t>
            </w:r>
            <w:r>
              <w:rPr>
                <w:rFonts w:hint="eastAsia"/>
                <w:sz w:val="15"/>
              </w:rPr>
              <w:t>每</w:t>
            </w:r>
            <w:r>
              <w:rPr>
                <w:sz w:val="15"/>
              </w:rPr>
              <w:t xml:space="preserve">  </w:t>
            </w:r>
            <w:r>
              <w:rPr>
                <w:rFonts w:hint="eastAsia"/>
                <w:sz w:val="15"/>
              </w:rPr>
              <w:t>月</w:t>
            </w:r>
          </w:p>
        </w:tc>
        <w:tc>
          <w:tcPr>
            <w:tcW w:w="784" w:type="dxa"/>
            <w:tcBorders>
              <w:top w:val="nil"/>
              <w:left w:val="single" w:sz="6" w:space="0" w:color="auto"/>
              <w:bottom w:val="single" w:sz="6" w:space="0" w:color="auto"/>
              <w:right w:val="single" w:sz="6" w:space="0" w:color="auto"/>
            </w:tcBorders>
          </w:tcPr>
          <w:p w:rsidR="00000000" w:rsidRDefault="00E960EA">
            <w:pPr>
              <w:spacing w:before="120"/>
              <w:jc w:val="center"/>
              <w:rPr>
                <w:sz w:val="15"/>
              </w:rPr>
            </w:pPr>
            <w:r>
              <w:rPr>
                <w:sz w:val="15"/>
              </w:rPr>
              <w:t>560</w:t>
            </w:r>
          </w:p>
        </w:tc>
        <w:tc>
          <w:tcPr>
            <w:tcW w:w="784" w:type="dxa"/>
            <w:tcBorders>
              <w:top w:val="single" w:sz="6" w:space="0" w:color="auto"/>
              <w:left w:val="nil"/>
              <w:bottom w:val="single" w:sz="6" w:space="0" w:color="auto"/>
              <w:right w:val="nil"/>
            </w:tcBorders>
          </w:tcPr>
          <w:p w:rsidR="00000000" w:rsidRDefault="00E960EA">
            <w:pPr>
              <w:spacing w:before="120"/>
              <w:jc w:val="center"/>
              <w:rPr>
                <w:sz w:val="15"/>
              </w:rPr>
            </w:pPr>
            <w:r>
              <w:rPr>
                <w:sz w:val="15"/>
              </w:rPr>
              <w:t>700</w:t>
            </w: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jc w:val="center"/>
              <w:rPr>
                <w:sz w:val="15"/>
              </w:rPr>
            </w:pP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jc w:val="center"/>
              <w:rPr>
                <w:sz w:val="15"/>
              </w:rPr>
            </w:pPr>
            <w:r>
              <w:rPr>
                <w:sz w:val="15"/>
              </w:rPr>
              <w:t>1650</w:t>
            </w:r>
          </w:p>
        </w:tc>
        <w:tc>
          <w:tcPr>
            <w:tcW w:w="784" w:type="dxa"/>
            <w:tcBorders>
              <w:top w:val="single" w:sz="6" w:space="0" w:color="auto"/>
              <w:left w:val="single" w:sz="6" w:space="0" w:color="auto"/>
              <w:bottom w:val="single" w:sz="6" w:space="0" w:color="auto"/>
              <w:right w:val="nil"/>
            </w:tcBorders>
          </w:tcPr>
          <w:p w:rsidR="00000000" w:rsidRDefault="00E960EA">
            <w:pPr>
              <w:spacing w:before="120"/>
              <w:jc w:val="center"/>
              <w:rPr>
                <w:sz w:val="15"/>
              </w:rPr>
            </w:pP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jc w:val="center"/>
              <w:rPr>
                <w:sz w:val="15"/>
              </w:rPr>
            </w:pPr>
            <w:r>
              <w:rPr>
                <w:sz w:val="15"/>
              </w:rPr>
              <w:t>2145</w:t>
            </w:r>
          </w:p>
        </w:tc>
        <w:tc>
          <w:tcPr>
            <w:tcW w:w="784" w:type="dxa"/>
            <w:tcBorders>
              <w:top w:val="single" w:sz="6" w:space="0" w:color="auto"/>
              <w:left w:val="nil"/>
              <w:bottom w:val="single" w:sz="6" w:space="0" w:color="auto"/>
              <w:right w:val="nil"/>
            </w:tcBorders>
          </w:tcPr>
          <w:p w:rsidR="00000000" w:rsidRDefault="00E960EA">
            <w:pPr>
              <w:spacing w:before="120"/>
              <w:jc w:val="center"/>
              <w:rPr>
                <w:sz w:val="15"/>
              </w:rPr>
            </w:pP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jc w:val="center"/>
              <w:rPr>
                <w:sz w:val="15"/>
              </w:rPr>
            </w:pPr>
            <w:r>
              <w:rPr>
                <w:sz w:val="15"/>
              </w:rPr>
              <w:t>5019</w:t>
            </w:r>
          </w:p>
        </w:tc>
        <w:tc>
          <w:tcPr>
            <w:tcW w:w="784" w:type="dxa"/>
            <w:tcBorders>
              <w:top w:val="single" w:sz="6" w:space="0" w:color="auto"/>
              <w:left w:val="nil"/>
              <w:bottom w:val="single" w:sz="6" w:space="0" w:color="auto"/>
              <w:right w:val="nil"/>
            </w:tcBorders>
          </w:tcPr>
          <w:p w:rsidR="00000000" w:rsidRDefault="00E960EA">
            <w:pPr>
              <w:spacing w:before="120"/>
              <w:jc w:val="center"/>
              <w:rPr>
                <w:sz w:val="15"/>
              </w:rPr>
            </w:pPr>
          </w:p>
        </w:tc>
        <w:tc>
          <w:tcPr>
            <w:tcW w:w="784" w:type="dxa"/>
            <w:tcBorders>
              <w:top w:val="single" w:sz="6" w:space="0" w:color="auto"/>
              <w:left w:val="single" w:sz="6" w:space="0" w:color="auto"/>
              <w:bottom w:val="single" w:sz="6" w:space="0" w:color="auto"/>
              <w:right w:val="single" w:sz="6" w:space="0" w:color="auto"/>
            </w:tcBorders>
          </w:tcPr>
          <w:p w:rsidR="00000000" w:rsidRDefault="00E960EA">
            <w:pPr>
              <w:spacing w:before="120"/>
              <w:jc w:val="center"/>
              <w:rPr>
                <w:sz w:val="15"/>
              </w:rPr>
            </w:pPr>
            <w:r>
              <w:rPr>
                <w:sz w:val="15"/>
              </w:rPr>
              <w:t>6400</w:t>
            </w:r>
          </w:p>
        </w:tc>
        <w:tc>
          <w:tcPr>
            <w:tcW w:w="784" w:type="dxa"/>
            <w:tcBorders>
              <w:top w:val="single" w:sz="6" w:space="0" w:color="auto"/>
              <w:left w:val="nil"/>
              <w:bottom w:val="single" w:sz="6" w:space="0" w:color="auto"/>
            </w:tcBorders>
          </w:tcPr>
          <w:p w:rsidR="00000000" w:rsidRDefault="00E960EA">
            <w:pPr>
              <w:spacing w:before="120"/>
              <w:jc w:val="center"/>
              <w:rPr>
                <w:sz w:val="15"/>
              </w:rPr>
            </w:pPr>
          </w:p>
        </w:tc>
      </w:tr>
    </w:tbl>
    <w:p w:rsidR="00000000" w:rsidRDefault="00E960EA"/>
    <w:p w:rsidR="00000000" w:rsidRDefault="00E960EA">
      <w:r>
        <w:tab/>
        <w:t xml:space="preserve">37.  </w:t>
      </w:r>
      <w:r>
        <w:rPr>
          <w:rFonts w:hint="eastAsia"/>
        </w:rPr>
        <w:t>由于允许各经济实体有权自己处理与工资有关的问题，因此《劳工法》规定的同工同酬原则受到了歪曲，各种经济实体开始相互攀比，竟相提高工资水平。这样，工资与工作产量发生脱节。为了制止这种做法，政府已决定自己确定国营企业和国家主控经济实体的管理人员的工资标准。</w:t>
      </w:r>
    </w:p>
    <w:p w:rsidR="00000000" w:rsidRDefault="00E960EA">
      <w:r>
        <w:tab/>
        <w:t xml:space="preserve">38.  </w:t>
      </w:r>
      <w:r>
        <w:rPr>
          <w:rFonts w:hint="eastAsia"/>
        </w:rPr>
        <w:t>迄今为止，由于财政</w:t>
      </w:r>
      <w:r>
        <w:rPr>
          <w:rFonts w:hint="eastAsia"/>
        </w:rPr>
        <w:t>资源不足，不能将国家公务员的薪资提高到必要的水平，因此对脑力劳动的热衷程度仍在下降。</w:t>
      </w:r>
    </w:p>
    <w:p w:rsidR="00000000" w:rsidRDefault="00E960EA">
      <w:pPr>
        <w:spacing w:after="320"/>
        <w:textAlignment w:val="center"/>
      </w:pPr>
      <w:r>
        <w:tab/>
        <w:t xml:space="preserve">39.  </w:t>
      </w:r>
      <w:r>
        <w:rPr>
          <w:rFonts w:hint="eastAsia"/>
        </w:rPr>
        <w:t>尽管人们希望将工资确定在一个符合人民的生活标准的水平上，但它取决于宏观和微观水平上的经济实力和财政可能性。政府已开展各种活动，消除这些缺陷和阻力，并改善工资体制。</w:t>
      </w:r>
    </w:p>
    <w:p w:rsidR="00000000" w:rsidRDefault="00E960EA">
      <w:pPr>
        <w:pStyle w:val="Heading3"/>
      </w:pPr>
      <w:r>
        <w:rPr>
          <w:rFonts w:hint="eastAsia"/>
        </w:rPr>
        <w:t>第</w:t>
      </w:r>
      <w:r>
        <w:t xml:space="preserve"> 8 </w:t>
      </w:r>
      <w:r>
        <w:rPr>
          <w:rFonts w:hint="eastAsia"/>
        </w:rPr>
        <w:t>条</w:t>
      </w:r>
    </w:p>
    <w:p w:rsidR="00000000" w:rsidRDefault="00E960EA">
      <w:r>
        <w:tab/>
        <w:t xml:space="preserve">40.  </w:t>
      </w:r>
      <w:r>
        <w:rPr>
          <w:rFonts w:hint="eastAsia"/>
        </w:rPr>
        <w:t>蒙古于</w:t>
      </w:r>
      <w:r>
        <w:t>1974</w:t>
      </w:r>
      <w:r>
        <w:rPr>
          <w:rFonts w:hint="eastAsia"/>
        </w:rPr>
        <w:t>年加入了《公民权利和政治权利国际盟约》，</w:t>
      </w:r>
      <w:r>
        <w:t>1991</w:t>
      </w:r>
      <w:r>
        <w:rPr>
          <w:rFonts w:hint="eastAsia"/>
        </w:rPr>
        <w:t>年加入了它的任择议定书，</w:t>
      </w:r>
      <w:r>
        <w:t>1969</w:t>
      </w:r>
      <w:r>
        <w:rPr>
          <w:rFonts w:hint="eastAsia"/>
        </w:rPr>
        <w:t>年加入了《</w:t>
      </w:r>
      <w:r>
        <w:t>1948</w:t>
      </w:r>
      <w:r>
        <w:rPr>
          <w:rFonts w:hint="eastAsia"/>
        </w:rPr>
        <w:t>年国际劳工组织第</w:t>
      </w:r>
      <w:r>
        <w:t>87</w:t>
      </w:r>
      <w:r>
        <w:rPr>
          <w:rFonts w:hint="eastAsia"/>
        </w:rPr>
        <w:t>号公约》和《</w:t>
      </w:r>
      <w:r>
        <w:t>1949</w:t>
      </w:r>
      <w:r>
        <w:rPr>
          <w:rFonts w:hint="eastAsia"/>
        </w:rPr>
        <w:t>年国际劳工组织第</w:t>
      </w:r>
      <w:r>
        <w:t>98</w:t>
      </w:r>
      <w:r>
        <w:rPr>
          <w:rFonts w:hint="eastAsia"/>
        </w:rPr>
        <w:t>号公约》。迄今为止我国还未批准《</w:t>
      </w:r>
      <w:r>
        <w:t>1978</w:t>
      </w:r>
      <w:r>
        <w:rPr>
          <w:rFonts w:hint="eastAsia"/>
        </w:rPr>
        <w:t>年国际劳工组织</w:t>
      </w:r>
      <w:r>
        <w:rPr>
          <w:rFonts w:hint="eastAsia"/>
        </w:rPr>
        <w:t>第</w:t>
      </w:r>
      <w:r>
        <w:t>151</w:t>
      </w:r>
      <w:r>
        <w:rPr>
          <w:rFonts w:hint="eastAsia"/>
        </w:rPr>
        <w:t>号公约》。</w:t>
      </w:r>
    </w:p>
    <w:p w:rsidR="00000000" w:rsidRDefault="00E960EA">
      <w:r>
        <w:tab/>
        <w:t xml:space="preserve">41.  </w:t>
      </w:r>
      <w:r>
        <w:rPr>
          <w:rFonts w:hint="eastAsia"/>
        </w:rPr>
        <w:t>《工会法》保障蒙古公民享有自由结社的权利。若要建立一个工会，对工会成员人数不施加任何条件和要求。但是，根据于</w:t>
      </w:r>
      <w:r>
        <w:t>1994</w:t>
      </w:r>
      <w:r>
        <w:rPr>
          <w:rFonts w:hint="eastAsia"/>
        </w:rPr>
        <w:t>年颁布的《工会法修正法案》，已开始要求工会向负责法律和司法问题的国家中央行政机构进行登记。根据这一法律的第</w:t>
      </w:r>
      <w:r>
        <w:t>4</w:t>
      </w:r>
      <w:r>
        <w:rPr>
          <w:rFonts w:hint="eastAsia"/>
        </w:rPr>
        <w:t>条第</w:t>
      </w:r>
      <w:r>
        <w:t>4.1</w:t>
      </w:r>
      <w:r>
        <w:rPr>
          <w:rFonts w:hint="eastAsia"/>
        </w:rPr>
        <w:t>款，“若负责法律事务的国家中央行政部门拒绝为一个工会注册，它应当为此作出一个理由充分的决定”。</w:t>
      </w:r>
    </w:p>
    <w:p w:rsidR="00000000" w:rsidRDefault="00E960EA">
      <w:r>
        <w:tab/>
        <w:t xml:space="preserve">42.  </w:t>
      </w:r>
      <w:r>
        <w:rPr>
          <w:rFonts w:hint="eastAsia"/>
        </w:rPr>
        <w:t>蒙古没有任何法律规定禁止任何类别的工人团结起来组成工会。根据经修订的《政党法》，“一个政党组织完全可以根据领土原则设立。这一规定将同样适用</w:t>
      </w:r>
      <w:r>
        <w:rPr>
          <w:rFonts w:hint="eastAsia"/>
        </w:rPr>
        <w:t>于除工会之外的开展政治活动的其它政治和大众组织”。根据这一规定，只能根据工业和专业标准在经济实体的组织中成立工会。目前，根据司法部的注册登记，蒙古共有</w:t>
      </w:r>
      <w:r>
        <w:t>12</w:t>
      </w:r>
      <w:r>
        <w:rPr>
          <w:rFonts w:hint="eastAsia"/>
        </w:rPr>
        <w:t>个不同的工会，拥有</w:t>
      </w:r>
      <w:r>
        <w:t>40</w:t>
      </w:r>
      <w:r>
        <w:rPr>
          <w:rFonts w:hint="eastAsia"/>
        </w:rPr>
        <w:t>万工会成员。</w:t>
      </w:r>
    </w:p>
    <w:p w:rsidR="00000000" w:rsidRDefault="00E960EA">
      <w:r>
        <w:tab/>
        <w:t xml:space="preserve">43.  </w:t>
      </w:r>
      <w:r>
        <w:rPr>
          <w:rFonts w:hint="eastAsia"/>
        </w:rPr>
        <w:t>根据《工会法》第</w:t>
      </w:r>
      <w:r>
        <w:t>4</w:t>
      </w:r>
      <w:r>
        <w:rPr>
          <w:rFonts w:hint="eastAsia"/>
        </w:rPr>
        <w:t>条第</w:t>
      </w:r>
      <w:r>
        <w:t>5</w:t>
      </w:r>
      <w:r>
        <w:rPr>
          <w:rFonts w:hint="eastAsia"/>
        </w:rPr>
        <w:t>款，工会有权联合起来设立一个联合会，并成为国际工会协会的成员”。蒙古工会行使了这一权利，于</w:t>
      </w:r>
      <w:r>
        <w:t>1994</w:t>
      </w:r>
      <w:r>
        <w:rPr>
          <w:rFonts w:hint="eastAsia"/>
        </w:rPr>
        <w:t>年</w:t>
      </w:r>
      <w:r>
        <w:t>12</w:t>
      </w:r>
      <w:r>
        <w:rPr>
          <w:rFonts w:hint="eastAsia"/>
        </w:rPr>
        <w:t>月加入了国际自由工会联合会。</w:t>
      </w:r>
    </w:p>
    <w:p w:rsidR="00000000" w:rsidRDefault="00E960EA">
      <w:r>
        <w:tab/>
        <w:t xml:space="preserve">44.  </w:t>
      </w:r>
      <w:r>
        <w:rPr>
          <w:rFonts w:hint="eastAsia"/>
        </w:rPr>
        <w:t>目前，国家大呼拉尔的一个主管的常设委员会正在审议由工会起草和制定的《集体协议和谈判法》草案。</w:t>
      </w:r>
    </w:p>
    <w:p w:rsidR="00000000" w:rsidRDefault="00E960EA">
      <w:r>
        <w:tab/>
        <w:t xml:space="preserve">45.  </w:t>
      </w:r>
      <w:r>
        <w:rPr>
          <w:rFonts w:hint="eastAsia"/>
        </w:rPr>
        <w:t>目前蒙古有两个全国工会中心。一个是</w:t>
      </w:r>
      <w:r>
        <w:rPr>
          <w:rFonts w:hint="eastAsia"/>
        </w:rPr>
        <w:t>蒙古工会联合会，另一个是蒙古工会团结联合会。蒙古工会联合会是一个民主工会运动，也是一些早在</w:t>
      </w:r>
      <w:r>
        <w:t>1917</w:t>
      </w:r>
      <w:r>
        <w:rPr>
          <w:rFonts w:hint="eastAsia"/>
        </w:rPr>
        <w:t>年已出现的工会的继承者。它现在已经发展成为最大的全国性工会，拥有</w:t>
      </w:r>
      <w:r>
        <w:t>12</w:t>
      </w:r>
      <w:r>
        <w:rPr>
          <w:rFonts w:hint="eastAsia"/>
        </w:rPr>
        <w:t>个分支工会，并在</w:t>
      </w:r>
      <w:r>
        <w:t>21</w:t>
      </w:r>
      <w:r>
        <w:rPr>
          <w:rFonts w:hint="eastAsia"/>
        </w:rPr>
        <w:t>个省和首都都设有工会。它拥有大约</w:t>
      </w:r>
      <w:r>
        <w:t>40</w:t>
      </w:r>
      <w:r>
        <w:rPr>
          <w:rFonts w:hint="eastAsia"/>
        </w:rPr>
        <w:t>万名工会成员。加入工会完全自愿，不带任何条件和要求。工会会费不超过会员月薪的</w:t>
      </w:r>
      <w:r>
        <w:t>1%</w:t>
      </w:r>
      <w:r>
        <w:rPr>
          <w:rFonts w:hint="eastAsia"/>
        </w:rPr>
        <w:t>。在蒙古工作的外国公民可自由加入工会。</w:t>
      </w:r>
    </w:p>
    <w:p w:rsidR="00000000" w:rsidRDefault="00E960EA">
      <w:pPr>
        <w:spacing w:after="320"/>
        <w:textAlignment w:val="center"/>
      </w:pPr>
      <w:r>
        <w:tab/>
        <w:t xml:space="preserve">46.  </w:t>
      </w:r>
      <w:r>
        <w:rPr>
          <w:rFonts w:hint="eastAsia"/>
        </w:rPr>
        <w:t>《集体劳资纠纷管理法》规定和保障在经济实体和经济组织一级举行罢工的权利。根据这一法律的第</w:t>
      </w:r>
      <w:r>
        <w:t>1</w:t>
      </w:r>
      <w:r>
        <w:rPr>
          <w:rFonts w:hint="eastAsia"/>
        </w:rPr>
        <w:t>条，工会只能在达成或实行一项集体协定的过程中作为调解双方关系的一项最</w:t>
      </w:r>
      <w:r>
        <w:rPr>
          <w:rFonts w:hint="eastAsia"/>
        </w:rPr>
        <w:t>后手段才能举行罢工。根据该法第</w:t>
      </w:r>
      <w:r>
        <w:t>8</w:t>
      </w:r>
      <w:r>
        <w:rPr>
          <w:rFonts w:hint="eastAsia"/>
        </w:rPr>
        <w:t>条第</w:t>
      </w:r>
      <w:r>
        <w:t>2</w:t>
      </w:r>
      <w:r>
        <w:rPr>
          <w:rFonts w:hint="eastAsia"/>
        </w:rPr>
        <w:t>款，工会只能在某个实体的绝大多数工人</w:t>
      </w:r>
      <w:r>
        <w:t>(50%</w:t>
      </w:r>
      <w:r>
        <w:rPr>
          <w:rFonts w:hint="eastAsia"/>
        </w:rPr>
        <w:t>以上</w:t>
      </w:r>
      <w:r>
        <w:t>)</w:t>
      </w:r>
      <w:r>
        <w:rPr>
          <w:rFonts w:hint="eastAsia"/>
        </w:rPr>
        <w:t>同意后才能作出举行罢工的决定。根据同一法律第</w:t>
      </w:r>
      <w:r>
        <w:t>9</w:t>
      </w:r>
      <w:r>
        <w:rPr>
          <w:rFonts w:hint="eastAsia"/>
        </w:rPr>
        <w:t>条第</w:t>
      </w:r>
      <w:r>
        <w:t>1</w:t>
      </w:r>
      <w:r>
        <w:rPr>
          <w:rFonts w:hint="eastAsia"/>
        </w:rPr>
        <w:t>款，“严禁负有国防、国家安全和维护公共秩序的职责的组织举行罢工”。同样，根据《国家服务法》第</w:t>
      </w:r>
      <w:r>
        <w:t>15</w:t>
      </w:r>
      <w:r>
        <w:rPr>
          <w:rFonts w:hint="eastAsia"/>
        </w:rPr>
        <w:t>条，国家公务员不得策划、组织和参与旨在扰乱国家机构正常运行的罢工和其它活动。法律对军人、警察和国家公务员的罢工权利加以了限制。但是这一禁止并不影响包括建立工会和达成集体协定的权利在内的其它权利。</w:t>
      </w:r>
    </w:p>
    <w:p w:rsidR="00000000" w:rsidRDefault="00E960EA">
      <w:pPr>
        <w:pStyle w:val="Heading3"/>
      </w:pPr>
      <w:r>
        <w:rPr>
          <w:rFonts w:hint="eastAsia"/>
        </w:rPr>
        <w:t>第</w:t>
      </w:r>
      <w:r>
        <w:t xml:space="preserve"> 9 </w:t>
      </w:r>
      <w:r>
        <w:rPr>
          <w:rFonts w:hint="eastAsia"/>
        </w:rPr>
        <w:t>条</w:t>
      </w:r>
    </w:p>
    <w:p w:rsidR="00000000" w:rsidRDefault="00E960EA">
      <w:r>
        <w:tab/>
        <w:t xml:space="preserve">47.  </w:t>
      </w:r>
      <w:r>
        <w:rPr>
          <w:rFonts w:hint="eastAsia"/>
        </w:rPr>
        <w:t>蒙古迄今为止还未加入劳工组织有关社会保险的任何公约。</w:t>
      </w:r>
    </w:p>
    <w:p w:rsidR="00000000" w:rsidRDefault="00E960EA">
      <w:r>
        <w:tab/>
      </w:r>
      <w:r>
        <w:t xml:space="preserve">48.  </w:t>
      </w:r>
      <w:r>
        <w:rPr>
          <w:rFonts w:hint="eastAsia"/>
        </w:rPr>
        <w:t>蒙古有着各种不同的社会保险，如病休津贴、产假福利、退休养老金、残疾补助、失业和生活补贴、丧失工作能力补贴和家庭补贴。蒙古在两个分支机构下开展社会照料工作：社会保险和社会照料。无收入的公民、有婴儿的母亲归社会照料体制照顾，儿童、老年人、残疾者和贫困者则受到社会保险的保障。</w:t>
      </w:r>
    </w:p>
    <w:p w:rsidR="00000000" w:rsidRDefault="00E960EA">
      <w:r>
        <w:tab/>
        <w:t xml:space="preserve">49.  </w:t>
      </w:r>
      <w:r>
        <w:rPr>
          <w:rFonts w:hint="eastAsia"/>
        </w:rPr>
        <w:t>共有</w:t>
      </w:r>
      <w:r>
        <w:t>5</w:t>
      </w:r>
      <w:r>
        <w:rPr>
          <w:rFonts w:hint="eastAsia"/>
        </w:rPr>
        <w:t>种社会保险，它们是养老金、补贴、工业事故和职业病、失业和健康，对每一类保险都单独拨出了一笔资金。社会保险有义务和自愿性两种形式。社会保险基金的收入来自于受益人和雇主以及其它渠道缴付的保险金和国家预算提供的补贴。</w:t>
      </w:r>
    </w:p>
    <w:p w:rsidR="00000000" w:rsidRDefault="00E960EA">
      <w:r>
        <w:tab/>
        <w:t xml:space="preserve">50.  </w:t>
      </w:r>
      <w:r>
        <w:rPr>
          <w:rFonts w:hint="eastAsia"/>
        </w:rPr>
        <w:t>雇主必须将其利润的</w:t>
      </w:r>
      <w:r>
        <w:t>13.5%</w:t>
      </w:r>
      <w:r>
        <w:rPr>
          <w:rFonts w:hint="eastAsia"/>
        </w:rPr>
        <w:t>缴付养老金保险基金，</w:t>
      </w:r>
      <w:r>
        <w:t>1%</w:t>
      </w:r>
      <w:r>
        <w:rPr>
          <w:rFonts w:hint="eastAsia"/>
        </w:rPr>
        <w:t>缴付补贴保险基金，</w:t>
      </w:r>
      <w:r>
        <w:t>1%</w:t>
      </w:r>
      <w:r>
        <w:rPr>
          <w:rFonts w:hint="eastAsia"/>
        </w:rPr>
        <w:t>至</w:t>
      </w:r>
      <w:r>
        <w:t>2%</w:t>
      </w:r>
      <w:r>
        <w:rPr>
          <w:rFonts w:hint="eastAsia"/>
        </w:rPr>
        <w:t>缴付工业事故和职业病保险基金，</w:t>
      </w:r>
      <w:r>
        <w:t>0.5%</w:t>
      </w:r>
      <w:r>
        <w:rPr>
          <w:rFonts w:hint="eastAsia"/>
        </w:rPr>
        <w:t>缴付失业基金，</w:t>
      </w:r>
      <w:r>
        <w:t>3%</w:t>
      </w:r>
      <w:r>
        <w:rPr>
          <w:rFonts w:hint="eastAsia"/>
        </w:rPr>
        <w:t>缴付健康保险基金。义务保险者将其收入的</w:t>
      </w:r>
      <w:r>
        <w:t>5.5%</w:t>
      </w:r>
      <w:r>
        <w:rPr>
          <w:rFonts w:hint="eastAsia"/>
        </w:rPr>
        <w:t>缴付养老金保险基金，</w:t>
      </w:r>
      <w:r>
        <w:t>1%</w:t>
      </w:r>
      <w:r>
        <w:rPr>
          <w:rFonts w:hint="eastAsia"/>
        </w:rPr>
        <w:t>缴付补贴保险基金，</w:t>
      </w:r>
      <w:r>
        <w:t>0.5%</w:t>
      </w:r>
      <w:r>
        <w:rPr>
          <w:rFonts w:hint="eastAsia"/>
        </w:rPr>
        <w:t>缴付失业保险基金。自愿保险者向养老金保险基金缴付</w:t>
      </w:r>
      <w:r>
        <w:t>9.5%</w:t>
      </w:r>
      <w:r>
        <w:rPr>
          <w:rFonts w:hint="eastAsia"/>
        </w:rPr>
        <w:t>，向补贴保险基金缴付</w:t>
      </w:r>
      <w:r>
        <w:t>1%</w:t>
      </w:r>
      <w:r>
        <w:rPr>
          <w:rFonts w:hint="eastAsia"/>
        </w:rPr>
        <w:t>，向工业事故和职业病基金缴付</w:t>
      </w:r>
      <w:r>
        <w:t>1%</w:t>
      </w:r>
      <w:r>
        <w:rPr>
          <w:rFonts w:hint="eastAsia"/>
        </w:rPr>
        <w:t>。</w:t>
      </w:r>
    </w:p>
    <w:p w:rsidR="00000000" w:rsidRDefault="00E960EA">
      <w:r>
        <w:tab/>
        <w:t xml:space="preserve">51.  </w:t>
      </w:r>
      <w:r>
        <w:rPr>
          <w:rFonts w:hint="eastAsia"/>
        </w:rPr>
        <w:t>养老金保险基金支付退休金、残疾津贴和生活补助；补贴保险基金支付暂时丧失工作能力津贴和葬礼补贴；工业事故和职业病保险基金支付临时丧失工作能力补</w:t>
      </w:r>
      <w:r>
        <w:rPr>
          <w:rFonts w:hint="eastAsia"/>
        </w:rPr>
        <w:t>贴，恢复工作能力补贴，残疾津贴和生活补助；失业保险基金支付失业补贴和职业培训费。</w:t>
      </w:r>
    </w:p>
    <w:p w:rsidR="00000000" w:rsidRDefault="00E960EA">
      <w:r>
        <w:tab/>
        <w:t xml:space="preserve">52.  </w:t>
      </w:r>
      <w:r>
        <w:rPr>
          <w:rFonts w:hint="eastAsia"/>
        </w:rPr>
        <w:t>截至</w:t>
      </w:r>
      <w:r>
        <w:t>1995</w:t>
      </w:r>
      <w:r>
        <w:rPr>
          <w:rFonts w:hint="eastAsia"/>
        </w:rPr>
        <w:t>年，</w:t>
      </w:r>
      <w:r>
        <w:t>78%</w:t>
      </w:r>
      <w:r>
        <w:rPr>
          <w:rFonts w:hint="eastAsia"/>
        </w:rPr>
        <w:t>的雇主和</w:t>
      </w:r>
      <w:r>
        <w:t>88.7%</w:t>
      </w:r>
      <w:r>
        <w:rPr>
          <w:rFonts w:hint="eastAsia"/>
        </w:rPr>
        <w:t>的雇员都参加了社会保险。</w:t>
      </w:r>
    </w:p>
    <w:p w:rsidR="00000000" w:rsidRDefault="00E960EA">
      <w:r>
        <w:tab/>
        <w:t xml:space="preserve">53.  </w:t>
      </w:r>
      <w:r>
        <w:rPr>
          <w:rFonts w:hint="eastAsia"/>
        </w:rPr>
        <w:t>怀孕、产假、育儿津贴和多胎生育补贴均由国家社会照料基金支付，该基金完全由国家预算提供资金。</w:t>
      </w:r>
      <w:r>
        <w:t>1995</w:t>
      </w:r>
      <w:r>
        <w:rPr>
          <w:rFonts w:hint="eastAsia"/>
        </w:rPr>
        <w:t>年，国家预算拨款占用于各种养老金的基金</w:t>
      </w:r>
      <w:r>
        <w:t>31.9%</w:t>
      </w:r>
      <w:r>
        <w:rPr>
          <w:rFonts w:hint="eastAsia"/>
        </w:rPr>
        <w:t>，其余的</w:t>
      </w:r>
      <w:r>
        <w:t>68.1%</w:t>
      </w:r>
      <w:r>
        <w:rPr>
          <w:rFonts w:hint="eastAsia"/>
        </w:rPr>
        <w:t>为投保人的缴款。迄今为止，蒙古还未建立一个为私营部门保险的社会保险制度。</w:t>
      </w:r>
    </w:p>
    <w:p w:rsidR="00000000" w:rsidRDefault="00E960EA">
      <w:r>
        <w:tab/>
        <w:t xml:space="preserve">54.  </w:t>
      </w:r>
      <w:r>
        <w:rPr>
          <w:rFonts w:hint="eastAsia"/>
        </w:rPr>
        <w:t>在我国，仍有公民迄今未能充分享有获取社会保险福利的权利。这些人通常工作和缴付保险金的时间仅</w:t>
      </w:r>
      <w:r>
        <w:rPr>
          <w:rFonts w:hint="eastAsia"/>
        </w:rPr>
        <w:t>有几年。这些公民从国家获取照料补贴。政府正在推行使更多的公民加入社会保险体系的政策。令人高兴的是，由于实施了减轻贫困方案，公民有了收入，因此投保人数正在日益扩大。</w:t>
      </w:r>
    </w:p>
    <w:p w:rsidR="00000000" w:rsidRDefault="00E960EA">
      <w:r>
        <w:tab/>
        <w:t xml:space="preserve">55.  </w:t>
      </w:r>
      <w:r>
        <w:rPr>
          <w:rFonts w:hint="eastAsia"/>
        </w:rPr>
        <w:t>在</w:t>
      </w:r>
      <w:r>
        <w:t>1990</w:t>
      </w:r>
      <w:r>
        <w:rPr>
          <w:rFonts w:hint="eastAsia"/>
        </w:rPr>
        <w:t>年之前，与经互会成员国的贸易曾占蒙古外贸总额的</w:t>
      </w:r>
      <w:r>
        <w:t>93%</w:t>
      </w:r>
      <w:r>
        <w:rPr>
          <w:rFonts w:hint="eastAsia"/>
        </w:rPr>
        <w:t>。鉴于前苏联提供的软贷款和无偿援助的数额巨大，蒙古的经济从总体上说拥有一个与苏联中央集权制经济体制紧密相连的出口市场，而且进口供应也有保证；畜牧业和农业在国家经济中占有适当的位置，而其它部门，其中包括采矿、纺织、食品、建筑、运输、通讯和能源都得到不断的加强。这一切促使国民收</w:t>
      </w:r>
      <w:r>
        <w:rPr>
          <w:rFonts w:hint="eastAsia"/>
        </w:rPr>
        <w:t>入平均年增长率达到</w:t>
      </w:r>
      <w:r>
        <w:t>6.5%</w:t>
      </w:r>
      <w:r>
        <w:rPr>
          <w:rFonts w:hint="eastAsia"/>
        </w:rPr>
        <w:t>。</w:t>
      </w:r>
    </w:p>
    <w:p w:rsidR="00000000" w:rsidRDefault="00E960EA">
      <w:r>
        <w:tab/>
        <w:t xml:space="preserve">56.  </w:t>
      </w:r>
      <w:r>
        <w:rPr>
          <w:rFonts w:hint="eastAsia"/>
        </w:rPr>
        <w:t>自</w:t>
      </w:r>
      <w:r>
        <w:t>1990</w:t>
      </w:r>
      <w:r>
        <w:rPr>
          <w:rFonts w:hint="eastAsia"/>
        </w:rPr>
        <w:t>年代初以来，我们选择了一条政治制度民主化和向市场经济过渡的道路。于</w:t>
      </w:r>
      <w:r>
        <w:t>1992</w:t>
      </w:r>
      <w:r>
        <w:rPr>
          <w:rFonts w:hint="eastAsia"/>
        </w:rPr>
        <w:t>年公布的新的《宪法》确认了这一选择的合法性。随着过渡的开始，经济增长下降，生产率下跌。考虑到转型期所遇到的各种困难和紧张局面，政府决定维持以往在社会福利方面所取得的成绩，不允许人民的生活水平出现下降。尽管确定私有化的财产的</w:t>
      </w:r>
      <w:r>
        <w:t>80%</w:t>
      </w:r>
      <w:r>
        <w:rPr>
          <w:rFonts w:hint="eastAsia"/>
        </w:rPr>
        <w:t>以上和</w:t>
      </w:r>
      <w:r>
        <w:t>90%</w:t>
      </w:r>
      <w:r>
        <w:rPr>
          <w:rFonts w:hint="eastAsia"/>
        </w:rPr>
        <w:t>以上的牲畜已经私有化，但贫困现象开始在全国蔓延。最近在蒙古出现的贫困现象看来是由若干严重的原因造成的。</w:t>
      </w:r>
    </w:p>
    <w:p w:rsidR="00000000" w:rsidRDefault="00E960EA">
      <w:r>
        <w:tab/>
        <w:t xml:space="preserve">57.  </w:t>
      </w:r>
      <w:r>
        <w:rPr>
          <w:rFonts w:hint="eastAsia"/>
        </w:rPr>
        <w:t>随着社会主义制度的崩溃，来自前</w:t>
      </w:r>
      <w:r>
        <w:rPr>
          <w:rFonts w:hint="eastAsia"/>
        </w:rPr>
        <w:t>苏联的财政援助已经停止，经济发生了危机：价格飞涨，通货膨胀猖獗，失业现象比比皆是，所有这些问题不利地影响了人口的现金收入，教育，卫生，社会服务的质量和分配，并最终促成了贫困现象的卷土重来。在某种程度上，习惯依赖于援助和照料的心理以及缺乏在全新的环境中求生存的智谋等因素也是促成这种情况的原因。</w:t>
      </w:r>
    </w:p>
    <w:p w:rsidR="00000000" w:rsidRDefault="00E960EA">
      <w:r>
        <w:tab/>
        <w:t xml:space="preserve">58.  </w:t>
      </w:r>
      <w:r>
        <w:rPr>
          <w:rFonts w:hint="eastAsia"/>
        </w:rPr>
        <w:t>从</w:t>
      </w:r>
      <w:r>
        <w:t>1992</w:t>
      </w:r>
      <w:r>
        <w:rPr>
          <w:rFonts w:hint="eastAsia"/>
        </w:rPr>
        <w:t>年开始，蒙古政府为城市和乡村地区分别规定了最低生活标准，这一标准根据价格和通货膨胀水平的变化每</w:t>
      </w:r>
      <w:r>
        <w:t>6</w:t>
      </w:r>
      <w:r>
        <w:rPr>
          <w:rFonts w:hint="eastAsia"/>
        </w:rPr>
        <w:t>个月修订一次。最低生活标准是根据按照城乡人口计算的如食品、服装、住房和卫生用品等不可缺乏的物质确定的</w:t>
      </w:r>
      <w:r>
        <w:rPr>
          <w:rFonts w:hint="eastAsia"/>
        </w:rPr>
        <w:t>。</w:t>
      </w:r>
    </w:p>
    <w:p w:rsidR="00000000" w:rsidRDefault="00E960EA">
      <w:r>
        <w:tab/>
        <w:t xml:space="preserve">59.  </w:t>
      </w:r>
      <w:r>
        <w:rPr>
          <w:rFonts w:hint="eastAsia"/>
        </w:rPr>
        <w:t>凡收入不超过国家规定的最低生活标准的人被视为贫困者，收入低于人均最低生活标准的</w:t>
      </w:r>
      <w:r>
        <w:t>40%</w:t>
      </w:r>
      <w:r>
        <w:rPr>
          <w:rFonts w:hint="eastAsia"/>
        </w:rPr>
        <w:t>的家庭或连饭都吃不饱的人被列为极贫困家庭和极贫困公民。按照评估生活标准的传统做法，贫困通常被认为是与财产</w:t>
      </w:r>
      <w:r>
        <w:rPr>
          <w:rFonts w:hint="eastAsia"/>
          <w:spacing w:val="-40"/>
        </w:rPr>
        <w:t>——</w:t>
      </w:r>
      <w:r>
        <w:t xml:space="preserve"> </w:t>
      </w:r>
      <w:r>
        <w:rPr>
          <w:rFonts w:hint="eastAsia"/>
        </w:rPr>
        <w:t>不仅是收入、知识，而且和诸如能力，心态和道德等人的素质相联系的。</w:t>
      </w:r>
    </w:p>
    <w:p w:rsidR="00000000" w:rsidRDefault="00E960EA">
      <w:pPr>
        <w:spacing w:line="348" w:lineRule="auto"/>
      </w:pPr>
      <w:r>
        <w:tab/>
        <w:t xml:space="preserve">60.  </w:t>
      </w:r>
      <w:r>
        <w:rPr>
          <w:rFonts w:hint="eastAsia"/>
        </w:rPr>
        <w:t>截至</w:t>
      </w:r>
      <w:r>
        <w:t>1996</w:t>
      </w:r>
      <w:r>
        <w:rPr>
          <w:rFonts w:hint="eastAsia"/>
        </w:rPr>
        <w:t>年底，蒙古家庭总数的</w:t>
      </w:r>
      <w:r>
        <w:t>20.1%</w:t>
      </w:r>
      <w:r>
        <w:rPr>
          <w:rFonts w:hint="eastAsia"/>
        </w:rPr>
        <w:t>和蒙古人口的</w:t>
      </w:r>
      <w:r>
        <w:t>19.7%</w:t>
      </w:r>
      <w:r>
        <w:rPr>
          <w:rFonts w:hint="eastAsia"/>
        </w:rPr>
        <w:t>生活在贫困线下。低收入家庭和多子女家庭、单身母亲、残疾者、孤儿、半孤儿和单身老年人是社会中遭受贫困打击的最虚弱的群体。贫困家庭总数中有</w:t>
      </w:r>
      <w:r>
        <w:t>28%</w:t>
      </w:r>
      <w:r>
        <w:rPr>
          <w:rFonts w:hint="eastAsia"/>
        </w:rPr>
        <w:t>的家庭拥有</w:t>
      </w:r>
      <w:r>
        <w:t>4</w:t>
      </w:r>
      <w:r>
        <w:rPr>
          <w:rFonts w:hint="eastAsia"/>
        </w:rPr>
        <w:t>个以上的</w:t>
      </w:r>
      <w:r>
        <w:rPr>
          <w:rFonts w:hint="eastAsia"/>
        </w:rPr>
        <w:t>孩子，</w:t>
      </w:r>
      <w:r>
        <w:t>35.6%</w:t>
      </w:r>
      <w:r>
        <w:rPr>
          <w:rFonts w:hint="eastAsia"/>
        </w:rPr>
        <w:t>的家庭没有一位成员受雇于经济实体或组织，</w:t>
      </w:r>
      <w:r>
        <w:t>25.5%</w:t>
      </w:r>
      <w:r>
        <w:rPr>
          <w:rFonts w:hint="eastAsia"/>
        </w:rPr>
        <w:t>的家庭为单身母亲家庭，贫困者中</w:t>
      </w:r>
      <w:r>
        <w:t>46.9%</w:t>
      </w:r>
      <w:r>
        <w:rPr>
          <w:rFonts w:hint="eastAsia"/>
        </w:rPr>
        <w:t>为不满</w:t>
      </w:r>
      <w:r>
        <w:t>16</w:t>
      </w:r>
      <w:r>
        <w:rPr>
          <w:rFonts w:hint="eastAsia"/>
        </w:rPr>
        <w:t>周岁的儿童，</w:t>
      </w:r>
      <w:r>
        <w:t>10.7%</w:t>
      </w:r>
      <w:r>
        <w:rPr>
          <w:rFonts w:hint="eastAsia"/>
        </w:rPr>
        <w:t>为老年人。在我国，物质贫困</w:t>
      </w:r>
      <w:r>
        <w:t>(</w:t>
      </w:r>
      <w:r>
        <w:rPr>
          <w:rFonts w:hint="eastAsia"/>
        </w:rPr>
        <w:t>财产、收入</w:t>
      </w:r>
      <w:r>
        <w:t>)</w:t>
      </w:r>
      <w:r>
        <w:rPr>
          <w:rFonts w:hint="eastAsia"/>
        </w:rPr>
        <w:t>是与知识贫困</w:t>
      </w:r>
      <w:r>
        <w:t>(</w:t>
      </w:r>
      <w:r>
        <w:rPr>
          <w:rFonts w:hint="eastAsia"/>
        </w:rPr>
        <w:t>知识和文化、能力</w:t>
      </w:r>
      <w:r>
        <w:t>)</w:t>
      </w:r>
      <w:r>
        <w:rPr>
          <w:rFonts w:hint="eastAsia"/>
        </w:rPr>
        <w:t>是紧密相连的。文盲率上升趋势已变得极为明显。</w:t>
      </w:r>
    </w:p>
    <w:p w:rsidR="00000000" w:rsidRDefault="00E960EA">
      <w:pPr>
        <w:spacing w:line="348" w:lineRule="auto"/>
      </w:pPr>
      <w:r>
        <w:tab/>
        <w:t xml:space="preserve">61.  </w:t>
      </w:r>
      <w:r>
        <w:rPr>
          <w:rFonts w:hint="eastAsia"/>
        </w:rPr>
        <w:t>尽管农民已开始成为牲畜，其他财产的主人，但是，他们在获取医疗保健、文化服务和信息方面仍然在很大程度上处于不利的地位。</w:t>
      </w:r>
    </w:p>
    <w:p w:rsidR="00000000" w:rsidRDefault="00E960EA">
      <w:pPr>
        <w:spacing w:after="320" w:line="348" w:lineRule="auto"/>
        <w:textAlignment w:val="center"/>
      </w:pPr>
      <w:r>
        <w:tab/>
        <w:t xml:space="preserve">62.  </w:t>
      </w:r>
      <w:r>
        <w:rPr>
          <w:rFonts w:hint="eastAsia"/>
        </w:rPr>
        <w:t>为了消除贫困的根源，制定和发展一项克服贫困的适当政策，蒙古政府于</w:t>
      </w:r>
      <w:r>
        <w:t>1994</w:t>
      </w:r>
      <w:r>
        <w:rPr>
          <w:rFonts w:hint="eastAsia"/>
        </w:rPr>
        <w:t>年</w:t>
      </w:r>
      <w:r>
        <w:t>5</w:t>
      </w:r>
      <w:r>
        <w:rPr>
          <w:rFonts w:hint="eastAsia"/>
        </w:rPr>
        <w:t>月核准了目前正在顺利实施的《国家消除贫</w:t>
      </w:r>
      <w:r>
        <w:rPr>
          <w:rFonts w:hint="eastAsia"/>
        </w:rPr>
        <w:t>困方案》。这一方案的主要目标是扭转目前生活标准下降和人力发展水平下跌的趋势，从而使</w:t>
      </w:r>
      <w:r>
        <w:t>2000</w:t>
      </w:r>
      <w:r>
        <w:rPr>
          <w:rFonts w:hint="eastAsia"/>
        </w:rPr>
        <w:t>年时的贫困人数不超过人口的</w:t>
      </w:r>
      <w:r>
        <w:t>10%</w:t>
      </w:r>
      <w:r>
        <w:rPr>
          <w:rFonts w:hint="eastAsia"/>
        </w:rPr>
        <w:t>。</w:t>
      </w:r>
    </w:p>
    <w:p w:rsidR="00000000" w:rsidRDefault="00E960EA">
      <w:pPr>
        <w:pStyle w:val="Heading3"/>
        <w:spacing w:line="348" w:lineRule="auto"/>
      </w:pPr>
      <w:r>
        <w:rPr>
          <w:rFonts w:hint="eastAsia"/>
        </w:rPr>
        <w:t>第</w:t>
      </w:r>
      <w:r>
        <w:t xml:space="preserve"> 10 </w:t>
      </w:r>
      <w:r>
        <w:rPr>
          <w:rFonts w:hint="eastAsia"/>
        </w:rPr>
        <w:t>条</w:t>
      </w:r>
    </w:p>
    <w:p w:rsidR="00000000" w:rsidRDefault="00E960EA">
      <w:pPr>
        <w:spacing w:line="348" w:lineRule="auto"/>
      </w:pPr>
      <w:r>
        <w:tab/>
        <w:t xml:space="preserve">63.  </w:t>
      </w:r>
      <w:r>
        <w:rPr>
          <w:rFonts w:hint="eastAsia"/>
        </w:rPr>
        <w:t>尊敬和尊重人权及自由并确保男女的平等权利是国家政策的一个优先方向。</w:t>
      </w:r>
    </w:p>
    <w:p w:rsidR="00000000" w:rsidRDefault="00E960EA">
      <w:pPr>
        <w:spacing w:line="348" w:lineRule="auto"/>
      </w:pPr>
      <w:r>
        <w:tab/>
        <w:t xml:space="preserve">64.  </w:t>
      </w:r>
      <w:r>
        <w:rPr>
          <w:rFonts w:hint="eastAsia"/>
        </w:rPr>
        <w:t>蒙古于</w:t>
      </w:r>
      <w:r>
        <w:t>1965</w:t>
      </w:r>
      <w:r>
        <w:rPr>
          <w:rFonts w:hint="eastAsia"/>
        </w:rPr>
        <w:t>年加入了《妇女政治权利公约》，并于</w:t>
      </w:r>
      <w:r>
        <w:t>1981</w:t>
      </w:r>
      <w:r>
        <w:rPr>
          <w:rFonts w:hint="eastAsia"/>
        </w:rPr>
        <w:t>年加入了《消除对妇女一切形式歧视公约》。确保男女享有平等权利的国策是通过《蒙古宪法》、《劳工法》、《社会保险和健康保险法》、卫生和教育法以及根据上述公约颁布的其他立法加以实施的。</w:t>
      </w:r>
    </w:p>
    <w:p w:rsidR="00000000" w:rsidRDefault="00E960EA">
      <w:pPr>
        <w:spacing w:line="348" w:lineRule="auto"/>
      </w:pPr>
      <w:r>
        <w:tab/>
        <w:t xml:space="preserve">65.  </w:t>
      </w:r>
      <w:r>
        <w:rPr>
          <w:rFonts w:hint="eastAsia"/>
        </w:rPr>
        <w:t>《宪法》第</w:t>
      </w:r>
      <w:r>
        <w:t>16</w:t>
      </w:r>
      <w:r>
        <w:rPr>
          <w:rFonts w:hint="eastAsia"/>
        </w:rPr>
        <w:t>条以下述方法对男女</w:t>
      </w:r>
      <w:r>
        <w:rPr>
          <w:rFonts w:hint="eastAsia"/>
        </w:rPr>
        <w:t>的平等权利规定了立法保障：“男女在政治、经济、社会和文化领域以及家庭中均享有平等的权利。婚姻的基础应当是已达到法定年龄的配偶双方的平等和相互同意。国家应当保护家庭、母性和儿童的利益”。《蒙古宪法》以及根据宪法所颁布的其他立法规定男女均享有受教育、选择职业、就业、医疗保健、养老金和津贴、自由选择居住地点、直接或通过各代表机构参与国家政府、选举和被选入国家机构的权利。</w:t>
      </w:r>
    </w:p>
    <w:p w:rsidR="00000000" w:rsidRDefault="00E960EA">
      <w:pPr>
        <w:spacing w:line="348" w:lineRule="auto"/>
      </w:pPr>
      <w:r>
        <w:tab/>
        <w:t xml:space="preserve">66.  </w:t>
      </w:r>
      <w:r>
        <w:rPr>
          <w:rFonts w:hint="eastAsia"/>
        </w:rPr>
        <w:t>根据《劳工法》</w:t>
      </w:r>
      <w:r>
        <w:t>(1991</w:t>
      </w:r>
      <w:r>
        <w:rPr>
          <w:rFonts w:hint="eastAsia"/>
        </w:rPr>
        <w:t>年</w:t>
      </w:r>
      <w:r>
        <w:t>)</w:t>
      </w:r>
      <w:r>
        <w:rPr>
          <w:rFonts w:hint="eastAsia"/>
        </w:rPr>
        <w:t>，严禁解雇子女不满两周岁的妇女。母亲有权享有</w:t>
      </w:r>
      <w:r>
        <w:t>45</w:t>
      </w:r>
      <w:r>
        <w:rPr>
          <w:rFonts w:hint="eastAsia"/>
        </w:rPr>
        <w:t>天的孕期假，</w:t>
      </w:r>
      <w:r>
        <w:t>56</w:t>
      </w:r>
      <w:r>
        <w:rPr>
          <w:rFonts w:hint="eastAsia"/>
        </w:rPr>
        <w:t>天的产假；生下双胞胎或发生难产的妇女可获</w:t>
      </w:r>
      <w:r>
        <w:rPr>
          <w:rFonts w:hint="eastAsia"/>
        </w:rPr>
        <w:t>得</w:t>
      </w:r>
      <w:r>
        <w:t>70</w:t>
      </w:r>
      <w:r>
        <w:rPr>
          <w:rFonts w:hint="eastAsia"/>
        </w:rPr>
        <w:t>天全薪孕期假和产假。法律规定，如果母亲有此愿望，她们可享受育儿假，直至其子女达到两周岁</w:t>
      </w:r>
      <w:r>
        <w:t>(</w:t>
      </w:r>
      <w:r>
        <w:rPr>
          <w:rFonts w:hint="eastAsia"/>
        </w:rPr>
        <w:t>如果是双胞胎，则为三周岁</w:t>
      </w:r>
      <w:r>
        <w:t>)</w:t>
      </w:r>
      <w:r>
        <w:rPr>
          <w:rFonts w:hint="eastAsia"/>
        </w:rPr>
        <w:t>，期间可获得适当的补贴和保留其工作。</w:t>
      </w:r>
    </w:p>
    <w:p w:rsidR="00000000" w:rsidRDefault="00E960EA">
      <w:pPr>
        <w:spacing w:after="320" w:line="348" w:lineRule="auto"/>
        <w:textAlignment w:val="center"/>
      </w:pPr>
      <w:r>
        <w:tab/>
        <w:t xml:space="preserve">67.  </w:t>
      </w:r>
      <w:r>
        <w:rPr>
          <w:rFonts w:hint="eastAsia"/>
        </w:rPr>
        <w:t>《社会保险法》是从</w:t>
      </w:r>
      <w:r>
        <w:t>1995</w:t>
      </w:r>
      <w:r>
        <w:rPr>
          <w:rFonts w:hint="eastAsia"/>
        </w:rPr>
        <w:t>年</w:t>
      </w:r>
      <w:r>
        <w:t>1</w:t>
      </w:r>
      <w:r>
        <w:rPr>
          <w:rFonts w:hint="eastAsia"/>
        </w:rPr>
        <w:t>月</w:t>
      </w:r>
      <w:r>
        <w:t>1</w:t>
      </w:r>
      <w:r>
        <w:rPr>
          <w:rFonts w:hint="eastAsia"/>
        </w:rPr>
        <w:t>日开始实施的。根据其一般规定，已满</w:t>
      </w:r>
      <w:r>
        <w:t>55</w:t>
      </w:r>
      <w:r>
        <w:rPr>
          <w:rFonts w:hint="eastAsia"/>
        </w:rPr>
        <w:t>周岁并且缴付养老金保险金不少于</w:t>
      </w:r>
      <w:r>
        <w:t>20</w:t>
      </w:r>
      <w:r>
        <w:rPr>
          <w:rFonts w:hint="eastAsia"/>
        </w:rPr>
        <w:t>年的妇女有权退休，享受养老金。这一规定比针对男子的规定减少了五年时间。而且，将三个以上的亲身或在未满三周岁时收养的子女养育至</w:t>
      </w:r>
      <w:r>
        <w:t>6</w:t>
      </w:r>
      <w:r>
        <w:rPr>
          <w:rFonts w:hint="eastAsia"/>
        </w:rPr>
        <w:t>岁的妇女，凡达到</w:t>
      </w:r>
      <w:r>
        <w:t>50</w:t>
      </w:r>
      <w:r>
        <w:rPr>
          <w:rFonts w:hint="eastAsia"/>
        </w:rPr>
        <w:t>周岁并缴付养老基金保险，均有权退休并领取养老金。</w:t>
      </w:r>
    </w:p>
    <w:p w:rsidR="00000000" w:rsidRDefault="00E960EA">
      <w:pPr>
        <w:pStyle w:val="Heading3"/>
        <w:spacing w:line="348" w:lineRule="auto"/>
      </w:pPr>
      <w:r>
        <w:rPr>
          <w:rFonts w:hint="eastAsia"/>
        </w:rPr>
        <w:t>第</w:t>
      </w:r>
      <w:r>
        <w:t xml:space="preserve"> 11 </w:t>
      </w:r>
      <w:r>
        <w:rPr>
          <w:rFonts w:hint="eastAsia"/>
        </w:rPr>
        <w:t>条</w:t>
      </w:r>
    </w:p>
    <w:p w:rsidR="00000000" w:rsidRDefault="00E960EA">
      <w:pPr>
        <w:spacing w:after="320" w:line="348" w:lineRule="auto"/>
        <w:textAlignment w:val="center"/>
      </w:pPr>
      <w:r>
        <w:tab/>
        <w:t xml:space="preserve">68.  </w:t>
      </w:r>
      <w:r>
        <w:rPr>
          <w:rFonts w:hint="eastAsia"/>
        </w:rPr>
        <w:t>《蒙古宪法》规</w:t>
      </w:r>
      <w:r>
        <w:rPr>
          <w:rFonts w:hint="eastAsia"/>
        </w:rPr>
        <w:t>定公民享有充分获得质量良好、安全和清洁的食品的权利。这一规定在后来的《食品法》</w:t>
      </w:r>
      <w:r>
        <w:t>(1995</w:t>
      </w:r>
      <w:r>
        <w:rPr>
          <w:rFonts w:hint="eastAsia"/>
        </w:rPr>
        <w:t>年</w:t>
      </w:r>
      <w:r>
        <w:t>)</w:t>
      </w:r>
      <w:r>
        <w:rPr>
          <w:rFonts w:hint="eastAsia"/>
        </w:rPr>
        <w:t>和其他法律及条例中得到了体现，这些法律和条例在总体上构成了国家管理由食品和营养品所导致的多层次社会关系的法律基础。</w:t>
      </w:r>
    </w:p>
    <w:p w:rsidR="00000000" w:rsidRDefault="00E960EA">
      <w:pPr>
        <w:pStyle w:val="Heading4"/>
        <w:spacing w:line="348" w:lineRule="auto"/>
      </w:pPr>
      <w:r>
        <w:rPr>
          <w:rFonts w:hint="eastAsia"/>
        </w:rPr>
        <w:t>食品供应</w:t>
      </w:r>
    </w:p>
    <w:p w:rsidR="00000000" w:rsidRDefault="00E960EA">
      <w:pPr>
        <w:spacing w:line="348" w:lineRule="auto"/>
      </w:pPr>
      <w:r>
        <w:tab/>
        <w:t xml:space="preserve">69.  </w:t>
      </w:r>
      <w:r>
        <w:rPr>
          <w:rFonts w:hint="eastAsia"/>
        </w:rPr>
        <w:t>适合国家的自然和气候条件的农产品、游牧和集约畜牧业产品、谷物、蔬菜、水果和酱果以及一些如大米和糖之类的进口食品构成了人口食品供应的绝大部分。</w:t>
      </w:r>
    </w:p>
    <w:p w:rsidR="00000000" w:rsidRDefault="00E960EA">
      <w:pPr>
        <w:spacing w:line="348" w:lineRule="auto"/>
      </w:pPr>
      <w:r>
        <w:tab/>
        <w:t xml:space="preserve">70.  </w:t>
      </w:r>
      <w:r>
        <w:rPr>
          <w:rFonts w:hint="eastAsia"/>
        </w:rPr>
        <w:t>蒙古政府根据</w:t>
      </w:r>
      <w:r>
        <w:t>12</w:t>
      </w:r>
      <w:r>
        <w:rPr>
          <w:rFonts w:hint="eastAsia"/>
        </w:rPr>
        <w:t>种主要食品规定每天人均食品消费标准为</w:t>
      </w:r>
      <w:r>
        <w:t>3,136</w:t>
      </w:r>
      <w:r>
        <w:rPr>
          <w:rFonts w:hint="eastAsia"/>
        </w:rPr>
        <w:t>千卡，并对所需的碳水化合物、脂肪、蛋白质、维他命和矿物质的组成和数</w:t>
      </w:r>
      <w:r>
        <w:rPr>
          <w:rFonts w:hint="eastAsia"/>
        </w:rPr>
        <w:t>量作出了相应的规定。</w:t>
      </w:r>
    </w:p>
    <w:p w:rsidR="00000000" w:rsidRDefault="00E960EA">
      <w:pPr>
        <w:spacing w:line="348" w:lineRule="auto"/>
      </w:pPr>
      <w:r>
        <w:tab/>
        <w:t xml:space="preserve">71.  </w:t>
      </w:r>
      <w:r>
        <w:rPr>
          <w:rFonts w:hint="eastAsia"/>
        </w:rPr>
        <w:t>在向市场经济过渡和进行改革的过去五年中，主要由于外来因素，经济危机持续，国民经济主要部门的生产率大幅度下降。因此，与</w:t>
      </w:r>
      <w:r>
        <w:t>1990</w:t>
      </w:r>
      <w:r>
        <w:rPr>
          <w:rFonts w:hint="eastAsia"/>
        </w:rPr>
        <w:t>年相比，农业生产总值</w:t>
      </w:r>
      <w:r>
        <w:t>1994</w:t>
      </w:r>
      <w:r>
        <w:rPr>
          <w:rFonts w:hint="eastAsia"/>
        </w:rPr>
        <w:t>年下降了</w:t>
      </w:r>
      <w:r>
        <w:t>11.8%</w:t>
      </w:r>
      <w:r>
        <w:rPr>
          <w:rFonts w:hint="eastAsia"/>
        </w:rPr>
        <w:t>，</w:t>
      </w:r>
      <w:r>
        <w:t>1995</w:t>
      </w:r>
      <w:r>
        <w:rPr>
          <w:rFonts w:hint="eastAsia"/>
        </w:rPr>
        <w:t>年下降了</w:t>
      </w:r>
      <w:r>
        <w:t>6.0%</w:t>
      </w:r>
      <w:r>
        <w:rPr>
          <w:rFonts w:hint="eastAsia"/>
        </w:rPr>
        <w:t>，工业生产总值于</w:t>
      </w:r>
      <w:r>
        <w:t>1994</w:t>
      </w:r>
      <w:r>
        <w:rPr>
          <w:rFonts w:hint="eastAsia"/>
        </w:rPr>
        <w:t>年下降</w:t>
      </w:r>
      <w:r>
        <w:t>38.7%</w:t>
      </w:r>
      <w:r>
        <w:rPr>
          <w:rFonts w:hint="eastAsia"/>
        </w:rPr>
        <w:t>，</w:t>
      </w:r>
      <w:r>
        <w:t>1995</w:t>
      </w:r>
      <w:r>
        <w:rPr>
          <w:rFonts w:hint="eastAsia"/>
        </w:rPr>
        <w:t>年下降</w:t>
      </w:r>
      <w:r>
        <w:t>31.4%</w:t>
      </w:r>
      <w:r>
        <w:rPr>
          <w:rFonts w:hint="eastAsia"/>
        </w:rPr>
        <w:t>。</w:t>
      </w:r>
    </w:p>
    <w:p w:rsidR="00000000" w:rsidRDefault="00E960EA">
      <w:pPr>
        <w:spacing w:line="348" w:lineRule="auto"/>
      </w:pPr>
    </w:p>
    <w:p w:rsidR="00000000" w:rsidRDefault="00E960EA">
      <w:pPr>
        <w:spacing w:line="348" w:lineRule="auto"/>
      </w:pPr>
      <w:r>
        <w:br w:type="page"/>
      </w:r>
    </w:p>
    <w:p w:rsidR="00000000" w:rsidRDefault="00E960EA">
      <w:pPr>
        <w:spacing w:line="348" w:lineRule="auto"/>
      </w:pPr>
      <w:r>
        <w:tab/>
        <w:t xml:space="preserve">72.  </w:t>
      </w:r>
      <w:r>
        <w:rPr>
          <w:rFonts w:hint="eastAsia"/>
        </w:rPr>
        <w:t>下表显示了食品工业和农业生产率的下降对人均食品消费标准的影响</w:t>
      </w:r>
      <w:r>
        <w:t>(</w:t>
      </w:r>
      <w:r>
        <w:rPr>
          <w:rFonts w:hint="eastAsia"/>
        </w:rPr>
        <w:t>按食品供应的各主要项目分列</w:t>
      </w:r>
      <w:r>
        <w:t>)</w:t>
      </w:r>
      <w:r>
        <w:rPr>
          <w:rFonts w:hint="eastAsia"/>
        </w:rPr>
        <w:t>：</w:t>
      </w:r>
    </w:p>
    <w:tbl>
      <w:tblPr>
        <w:tblW w:w="0" w:type="auto"/>
        <w:jc w:val="center"/>
        <w:tblLayout w:type="fixed"/>
        <w:tblCellMar>
          <w:left w:w="96" w:type="dxa"/>
          <w:right w:w="96" w:type="dxa"/>
        </w:tblCellMar>
        <w:tblLook w:val="0000" w:firstRow="0" w:lastRow="0" w:firstColumn="0" w:lastColumn="0" w:noHBand="0" w:noVBand="0"/>
      </w:tblPr>
      <w:tblGrid>
        <w:gridCol w:w="1875"/>
        <w:gridCol w:w="1"/>
        <w:gridCol w:w="1585"/>
        <w:gridCol w:w="977"/>
        <w:gridCol w:w="977"/>
        <w:gridCol w:w="973"/>
        <w:gridCol w:w="1472"/>
        <w:gridCol w:w="1499"/>
        <w:gridCol w:w="1"/>
      </w:tblGrid>
      <w:tr w:rsidR="00000000">
        <w:tblPrEx>
          <w:tblCellMar>
            <w:top w:w="0" w:type="dxa"/>
            <w:bottom w:w="0" w:type="dxa"/>
          </w:tblCellMar>
        </w:tblPrEx>
        <w:trPr>
          <w:cantSplit/>
          <w:jc w:val="center"/>
        </w:trPr>
        <w:tc>
          <w:tcPr>
            <w:tcW w:w="1876" w:type="dxa"/>
            <w:gridSpan w:val="2"/>
            <w:tcBorders>
              <w:top w:val="single" w:sz="6" w:space="0" w:color="auto"/>
              <w:left w:val="single" w:sz="6" w:space="0" w:color="auto"/>
            </w:tcBorders>
          </w:tcPr>
          <w:p w:rsidR="00000000" w:rsidRDefault="00E960EA">
            <w:pPr>
              <w:spacing w:before="120" w:line="264" w:lineRule="auto"/>
              <w:jc w:val="center"/>
              <w:rPr>
                <w:rFonts w:hAnsi="LinePrinter"/>
              </w:rPr>
            </w:pPr>
            <w:r>
              <w:rPr>
                <w:rFonts w:hAnsi="LinePrinter" w:hint="eastAsia"/>
              </w:rPr>
              <w:t>食品种类</w:t>
            </w:r>
          </w:p>
        </w:tc>
        <w:tc>
          <w:tcPr>
            <w:tcW w:w="1585" w:type="dxa"/>
            <w:tcBorders>
              <w:top w:val="single" w:sz="6" w:space="0" w:color="auto"/>
              <w:left w:val="single" w:sz="6" w:space="0" w:color="auto"/>
            </w:tcBorders>
          </w:tcPr>
          <w:p w:rsidR="00000000" w:rsidRDefault="00E960EA">
            <w:pPr>
              <w:spacing w:before="120" w:line="264" w:lineRule="auto"/>
              <w:jc w:val="center"/>
              <w:rPr>
                <w:rFonts w:hAnsi="LinePrinter"/>
              </w:rPr>
            </w:pPr>
            <w:r>
              <w:rPr>
                <w:rFonts w:hAnsi="LinePrinter" w:hint="eastAsia"/>
              </w:rPr>
              <w:t>平均消费量</w:t>
            </w:r>
            <w:r>
              <w:rPr>
                <w:rFonts w:hAnsi="LinePrinter"/>
              </w:rPr>
              <w:br/>
              <w:t>(</w:t>
            </w:r>
            <w:r>
              <w:rPr>
                <w:rFonts w:hAnsi="LinePrinter" w:hint="eastAsia"/>
              </w:rPr>
              <w:t>公斤</w:t>
            </w:r>
            <w:r>
              <w:rPr>
                <w:rFonts w:hAnsi="LinePrinter"/>
              </w:rPr>
              <w:t>)</w:t>
            </w:r>
          </w:p>
        </w:tc>
        <w:tc>
          <w:tcPr>
            <w:tcW w:w="2927" w:type="dxa"/>
            <w:gridSpan w:val="3"/>
            <w:tcBorders>
              <w:top w:val="single" w:sz="6" w:space="0" w:color="auto"/>
              <w:left w:val="single" w:sz="6" w:space="0" w:color="auto"/>
            </w:tcBorders>
          </w:tcPr>
          <w:p w:rsidR="00000000" w:rsidRDefault="00E960EA">
            <w:pPr>
              <w:spacing w:before="120" w:line="264" w:lineRule="auto"/>
              <w:jc w:val="center"/>
              <w:rPr>
                <w:rFonts w:hAnsi="LinePrinter"/>
              </w:rPr>
            </w:pPr>
            <w:r>
              <w:rPr>
                <w:rFonts w:hAnsi="LinePrinter" w:hint="eastAsia"/>
              </w:rPr>
              <w:t>实际消费量</w:t>
            </w:r>
            <w:r>
              <w:rPr>
                <w:rFonts w:hAnsi="LinePrinter"/>
              </w:rPr>
              <w:br/>
              <w:t>(</w:t>
            </w:r>
            <w:r>
              <w:rPr>
                <w:rFonts w:hAnsi="LinePrinter" w:hint="eastAsia"/>
              </w:rPr>
              <w:t>每年</w:t>
            </w:r>
            <w:r>
              <w:rPr>
                <w:rFonts w:hAnsi="LinePrinter"/>
              </w:rPr>
              <w:t>)</w:t>
            </w:r>
          </w:p>
        </w:tc>
        <w:tc>
          <w:tcPr>
            <w:tcW w:w="2972" w:type="dxa"/>
            <w:gridSpan w:val="3"/>
            <w:tcBorders>
              <w:top w:val="single" w:sz="6" w:space="0" w:color="auto"/>
              <w:left w:val="single" w:sz="6" w:space="0" w:color="auto"/>
              <w:right w:val="single" w:sz="6" w:space="0" w:color="auto"/>
            </w:tcBorders>
          </w:tcPr>
          <w:p w:rsidR="00000000" w:rsidRDefault="00E960EA">
            <w:pPr>
              <w:spacing w:before="120" w:line="264" w:lineRule="auto"/>
              <w:jc w:val="center"/>
              <w:rPr>
                <w:rFonts w:hAnsi="LinePrinter"/>
              </w:rPr>
            </w:pPr>
            <w:r>
              <w:rPr>
                <w:rFonts w:hAnsi="LinePrinter" w:hint="eastAsia"/>
              </w:rPr>
              <w:t>比</w:t>
            </w:r>
            <w:r>
              <w:rPr>
                <w:rFonts w:hAnsi="LinePrinter"/>
              </w:rPr>
              <w:t xml:space="preserve">  </w:t>
            </w:r>
            <w:r>
              <w:rPr>
                <w:rFonts w:hAnsi="LinePrinter" w:hint="eastAsia"/>
              </w:rPr>
              <w:t>较</w:t>
            </w:r>
            <w:r>
              <w:rPr>
                <w:rFonts w:hAnsi="LinePrinter"/>
              </w:rPr>
              <w:br/>
              <w:t>(%)</w:t>
            </w:r>
          </w:p>
        </w:tc>
      </w:tr>
      <w:tr w:rsidR="00000000">
        <w:tblPrEx>
          <w:tblCellMar>
            <w:top w:w="0" w:type="dxa"/>
            <w:bottom w:w="0" w:type="dxa"/>
          </w:tblCellMar>
        </w:tblPrEx>
        <w:trPr>
          <w:gridAfter w:val="1"/>
          <w:cantSplit/>
          <w:jc w:val="center"/>
        </w:trPr>
        <w:tc>
          <w:tcPr>
            <w:tcW w:w="1875" w:type="dxa"/>
            <w:tcBorders>
              <w:top w:val="single" w:sz="6" w:space="0" w:color="auto"/>
              <w:left w:val="single" w:sz="6" w:space="0" w:color="auto"/>
            </w:tcBorders>
          </w:tcPr>
          <w:p w:rsidR="00000000" w:rsidRDefault="00E960EA">
            <w:pPr>
              <w:spacing w:before="120"/>
              <w:rPr>
                <w:rFonts w:hAnsi="LinePrinter"/>
                <w:sz w:val="17"/>
              </w:rPr>
            </w:pPr>
          </w:p>
        </w:tc>
        <w:tc>
          <w:tcPr>
            <w:tcW w:w="1586" w:type="dxa"/>
            <w:gridSpan w:val="2"/>
            <w:tcBorders>
              <w:top w:val="single" w:sz="6" w:space="0" w:color="auto"/>
              <w:left w:val="single" w:sz="6" w:space="0" w:color="auto"/>
            </w:tcBorders>
          </w:tcPr>
          <w:p w:rsidR="00000000" w:rsidRDefault="00E960EA">
            <w:pPr>
              <w:spacing w:before="120"/>
              <w:rPr>
                <w:rFonts w:hAnsi="LinePrinter"/>
                <w:sz w:val="17"/>
              </w:rPr>
            </w:pPr>
          </w:p>
        </w:tc>
        <w:tc>
          <w:tcPr>
            <w:tcW w:w="977" w:type="dxa"/>
            <w:tcBorders>
              <w:top w:val="single" w:sz="6" w:space="0" w:color="auto"/>
              <w:left w:val="single" w:sz="6" w:space="0" w:color="auto"/>
            </w:tcBorders>
          </w:tcPr>
          <w:p w:rsidR="00000000" w:rsidRDefault="00E960EA">
            <w:pPr>
              <w:spacing w:before="120"/>
              <w:jc w:val="center"/>
              <w:rPr>
                <w:rFonts w:hAnsi="LinePrinter"/>
                <w:sz w:val="21"/>
              </w:rPr>
            </w:pPr>
            <w:r>
              <w:rPr>
                <w:rFonts w:hAnsi="LinePrinter"/>
                <w:sz w:val="21"/>
              </w:rPr>
              <w:t>1989</w:t>
            </w:r>
            <w:r>
              <w:rPr>
                <w:rFonts w:hAnsi="LinePrinter" w:hint="eastAsia"/>
                <w:sz w:val="21"/>
              </w:rPr>
              <w:t>年</w:t>
            </w:r>
          </w:p>
        </w:tc>
        <w:tc>
          <w:tcPr>
            <w:tcW w:w="977" w:type="dxa"/>
            <w:tcBorders>
              <w:top w:val="single" w:sz="6" w:space="0" w:color="auto"/>
              <w:left w:val="single" w:sz="6" w:space="0" w:color="auto"/>
            </w:tcBorders>
          </w:tcPr>
          <w:p w:rsidR="00000000" w:rsidRDefault="00E960EA">
            <w:pPr>
              <w:spacing w:before="120"/>
              <w:jc w:val="center"/>
              <w:rPr>
                <w:rFonts w:hAnsi="LinePrinter"/>
                <w:sz w:val="21"/>
              </w:rPr>
            </w:pPr>
            <w:r>
              <w:rPr>
                <w:rFonts w:hAnsi="LinePrinter"/>
                <w:sz w:val="21"/>
              </w:rPr>
              <w:t>1994</w:t>
            </w:r>
            <w:r>
              <w:rPr>
                <w:rFonts w:hAnsi="LinePrinter" w:hint="eastAsia"/>
                <w:sz w:val="21"/>
              </w:rPr>
              <w:t>年</w:t>
            </w:r>
          </w:p>
        </w:tc>
        <w:tc>
          <w:tcPr>
            <w:tcW w:w="973" w:type="dxa"/>
            <w:tcBorders>
              <w:top w:val="single" w:sz="6" w:space="0" w:color="auto"/>
              <w:left w:val="single" w:sz="6" w:space="0" w:color="auto"/>
            </w:tcBorders>
          </w:tcPr>
          <w:p w:rsidR="00000000" w:rsidRDefault="00E960EA">
            <w:pPr>
              <w:spacing w:before="120"/>
              <w:jc w:val="center"/>
              <w:rPr>
                <w:rFonts w:hAnsi="LinePrinter"/>
                <w:sz w:val="21"/>
              </w:rPr>
            </w:pPr>
            <w:r>
              <w:rPr>
                <w:rFonts w:hAnsi="LinePrinter"/>
                <w:sz w:val="21"/>
              </w:rPr>
              <w:t>1995</w:t>
            </w:r>
            <w:r>
              <w:rPr>
                <w:rFonts w:hAnsi="LinePrinter" w:hint="eastAsia"/>
                <w:sz w:val="21"/>
              </w:rPr>
              <w:t>年</w:t>
            </w:r>
          </w:p>
        </w:tc>
        <w:tc>
          <w:tcPr>
            <w:tcW w:w="1472" w:type="dxa"/>
            <w:tcBorders>
              <w:top w:val="single" w:sz="6" w:space="0" w:color="auto"/>
              <w:left w:val="single" w:sz="6" w:space="0" w:color="auto"/>
            </w:tcBorders>
          </w:tcPr>
          <w:p w:rsidR="00000000" w:rsidRDefault="00E960EA">
            <w:pPr>
              <w:spacing w:before="120"/>
              <w:jc w:val="center"/>
              <w:rPr>
                <w:rFonts w:hAnsi="LinePrinter"/>
                <w:sz w:val="21"/>
              </w:rPr>
            </w:pPr>
            <w:r>
              <w:rPr>
                <w:rFonts w:hAnsi="LinePrinter"/>
                <w:sz w:val="21"/>
              </w:rPr>
              <w:t>1995/1989</w:t>
            </w:r>
            <w:r>
              <w:rPr>
                <w:rFonts w:hAnsi="LinePrinter" w:hint="eastAsia"/>
                <w:sz w:val="21"/>
              </w:rPr>
              <w:t>年</w:t>
            </w:r>
          </w:p>
        </w:tc>
        <w:tc>
          <w:tcPr>
            <w:tcW w:w="1499" w:type="dxa"/>
            <w:tcBorders>
              <w:top w:val="single" w:sz="6" w:space="0" w:color="auto"/>
              <w:left w:val="single" w:sz="6" w:space="0" w:color="auto"/>
              <w:right w:val="single" w:sz="6" w:space="0" w:color="auto"/>
            </w:tcBorders>
          </w:tcPr>
          <w:p w:rsidR="00000000" w:rsidRDefault="00E960EA">
            <w:pPr>
              <w:spacing w:before="120"/>
              <w:jc w:val="center"/>
              <w:rPr>
                <w:rFonts w:hAnsi="LinePrinter"/>
                <w:sz w:val="21"/>
              </w:rPr>
            </w:pPr>
            <w:r>
              <w:rPr>
                <w:rFonts w:hAnsi="LinePrinter"/>
                <w:sz w:val="21"/>
              </w:rPr>
              <w:t>1995/1994</w:t>
            </w:r>
            <w:r>
              <w:rPr>
                <w:rFonts w:hAnsi="LinePrinter" w:hint="eastAsia"/>
                <w:sz w:val="21"/>
              </w:rPr>
              <w:t>年</w:t>
            </w:r>
          </w:p>
        </w:tc>
      </w:tr>
      <w:tr w:rsidR="00000000">
        <w:tblPrEx>
          <w:tblCellMar>
            <w:top w:w="0" w:type="dxa"/>
            <w:bottom w:w="0" w:type="dxa"/>
          </w:tblCellMar>
        </w:tblPrEx>
        <w:trPr>
          <w:gridAfter w:val="1"/>
          <w:cantSplit/>
          <w:trHeight w:val="402"/>
          <w:jc w:val="center"/>
        </w:trPr>
        <w:tc>
          <w:tcPr>
            <w:tcW w:w="1875"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rPr>
                <w:rFonts w:hAnsi="LinePrinter"/>
                <w:sz w:val="21"/>
              </w:rPr>
            </w:pPr>
            <w:r>
              <w:rPr>
                <w:rFonts w:hAnsi="LinePrinter" w:hint="eastAsia"/>
                <w:sz w:val="21"/>
              </w:rPr>
              <w:t>肉和肉制品</w:t>
            </w:r>
          </w:p>
        </w:tc>
        <w:tc>
          <w:tcPr>
            <w:tcW w:w="1586" w:type="dxa"/>
            <w:gridSpan w:val="2"/>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92.5</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93.1</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96.1</w:t>
            </w:r>
          </w:p>
        </w:tc>
        <w:tc>
          <w:tcPr>
            <w:tcW w:w="973"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96.7</w:t>
            </w:r>
          </w:p>
        </w:tc>
        <w:tc>
          <w:tcPr>
            <w:tcW w:w="1472"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103.9</w:t>
            </w:r>
          </w:p>
        </w:tc>
        <w:tc>
          <w:tcPr>
            <w:tcW w:w="1499"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100.6</w:t>
            </w:r>
          </w:p>
        </w:tc>
      </w:tr>
      <w:tr w:rsidR="00000000">
        <w:tblPrEx>
          <w:tblCellMar>
            <w:top w:w="0" w:type="dxa"/>
            <w:bottom w:w="0" w:type="dxa"/>
          </w:tblCellMar>
        </w:tblPrEx>
        <w:trPr>
          <w:gridAfter w:val="1"/>
          <w:cantSplit/>
          <w:trHeight w:val="402"/>
          <w:jc w:val="center"/>
        </w:trPr>
        <w:tc>
          <w:tcPr>
            <w:tcW w:w="1875"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rPr>
                <w:rFonts w:hAnsi="LinePrinter"/>
                <w:sz w:val="21"/>
              </w:rPr>
            </w:pPr>
            <w:r>
              <w:rPr>
                <w:rFonts w:hAnsi="LinePrinter" w:hint="eastAsia"/>
                <w:sz w:val="21"/>
              </w:rPr>
              <w:t>奶和奶制品</w:t>
            </w:r>
          </w:p>
        </w:tc>
        <w:tc>
          <w:tcPr>
            <w:tcW w:w="1586" w:type="dxa"/>
            <w:gridSpan w:val="2"/>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510"/>
              <w:jc w:val="right"/>
              <w:rPr>
                <w:rFonts w:hAnsi="LinePrinter"/>
                <w:sz w:val="21"/>
              </w:rPr>
            </w:pPr>
            <w:r>
              <w:rPr>
                <w:rFonts w:hAnsi="LinePrinter"/>
                <w:sz w:val="21"/>
              </w:rPr>
              <w:t xml:space="preserve">  270</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120.7</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120.0</w:t>
            </w:r>
          </w:p>
        </w:tc>
        <w:tc>
          <w:tcPr>
            <w:tcW w:w="973"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125.5</w:t>
            </w:r>
          </w:p>
        </w:tc>
        <w:tc>
          <w:tcPr>
            <w:tcW w:w="1472"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104.0</w:t>
            </w:r>
          </w:p>
        </w:tc>
        <w:tc>
          <w:tcPr>
            <w:tcW w:w="1499"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104.4</w:t>
            </w:r>
          </w:p>
        </w:tc>
      </w:tr>
      <w:tr w:rsidR="00000000">
        <w:tblPrEx>
          <w:tblCellMar>
            <w:top w:w="0" w:type="dxa"/>
            <w:bottom w:w="0" w:type="dxa"/>
          </w:tblCellMar>
        </w:tblPrEx>
        <w:trPr>
          <w:gridAfter w:val="1"/>
          <w:cantSplit/>
          <w:trHeight w:val="402"/>
          <w:jc w:val="center"/>
        </w:trPr>
        <w:tc>
          <w:tcPr>
            <w:tcW w:w="1875"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rPr>
                <w:rFonts w:hAnsi="LinePrinter"/>
                <w:sz w:val="21"/>
              </w:rPr>
            </w:pPr>
            <w:r>
              <w:rPr>
                <w:rFonts w:hAnsi="LinePrinter" w:hint="eastAsia"/>
                <w:sz w:val="21"/>
              </w:rPr>
              <w:t>面粉和面粉制品</w:t>
            </w:r>
          </w:p>
        </w:tc>
        <w:tc>
          <w:tcPr>
            <w:tcW w:w="1586" w:type="dxa"/>
            <w:gridSpan w:val="2"/>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510"/>
              <w:jc w:val="right"/>
              <w:rPr>
                <w:rFonts w:hAnsi="LinePrinter"/>
                <w:sz w:val="21"/>
              </w:rPr>
            </w:pPr>
            <w:r>
              <w:rPr>
                <w:rFonts w:hAnsi="LinePrinter"/>
                <w:sz w:val="21"/>
              </w:rPr>
              <w:t xml:space="preserve">  114</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105.3</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82.1</w:t>
            </w:r>
          </w:p>
        </w:tc>
        <w:tc>
          <w:tcPr>
            <w:tcW w:w="973"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94.3</w:t>
            </w:r>
          </w:p>
        </w:tc>
        <w:tc>
          <w:tcPr>
            <w:tcW w:w="1472"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89.6</w:t>
            </w:r>
          </w:p>
        </w:tc>
        <w:tc>
          <w:tcPr>
            <w:tcW w:w="1499"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114.8</w:t>
            </w:r>
          </w:p>
        </w:tc>
      </w:tr>
      <w:tr w:rsidR="00000000">
        <w:tblPrEx>
          <w:tblCellMar>
            <w:top w:w="0" w:type="dxa"/>
            <w:bottom w:w="0" w:type="dxa"/>
          </w:tblCellMar>
        </w:tblPrEx>
        <w:trPr>
          <w:gridAfter w:val="1"/>
          <w:cantSplit/>
          <w:trHeight w:val="402"/>
          <w:jc w:val="center"/>
        </w:trPr>
        <w:tc>
          <w:tcPr>
            <w:tcW w:w="1875"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rPr>
                <w:rFonts w:hAnsi="LinePrinter"/>
                <w:sz w:val="21"/>
              </w:rPr>
            </w:pPr>
            <w:r>
              <w:rPr>
                <w:rFonts w:hAnsi="LinePrinter" w:hint="eastAsia"/>
                <w:sz w:val="21"/>
              </w:rPr>
              <w:t>大</w:t>
            </w:r>
            <w:r>
              <w:rPr>
                <w:rFonts w:hAnsi="LinePrinter"/>
                <w:sz w:val="21"/>
              </w:rPr>
              <w:t xml:space="preserve">  </w:t>
            </w:r>
            <w:r>
              <w:rPr>
                <w:rFonts w:hAnsi="LinePrinter" w:hint="eastAsia"/>
                <w:sz w:val="21"/>
              </w:rPr>
              <w:t>米</w:t>
            </w:r>
          </w:p>
        </w:tc>
        <w:tc>
          <w:tcPr>
            <w:tcW w:w="1586" w:type="dxa"/>
            <w:gridSpan w:val="2"/>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20.2</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12.4</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10.7</w:t>
            </w:r>
          </w:p>
        </w:tc>
        <w:tc>
          <w:tcPr>
            <w:tcW w:w="973"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8.7</w:t>
            </w:r>
          </w:p>
        </w:tc>
        <w:tc>
          <w:tcPr>
            <w:tcW w:w="1472"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70.1</w:t>
            </w:r>
          </w:p>
        </w:tc>
        <w:tc>
          <w:tcPr>
            <w:tcW w:w="1499"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81.3</w:t>
            </w:r>
          </w:p>
        </w:tc>
      </w:tr>
      <w:tr w:rsidR="00000000">
        <w:tblPrEx>
          <w:tblCellMar>
            <w:top w:w="0" w:type="dxa"/>
            <w:bottom w:w="0" w:type="dxa"/>
          </w:tblCellMar>
        </w:tblPrEx>
        <w:trPr>
          <w:gridAfter w:val="1"/>
          <w:cantSplit/>
          <w:trHeight w:val="402"/>
          <w:jc w:val="center"/>
        </w:trPr>
        <w:tc>
          <w:tcPr>
            <w:tcW w:w="1875"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rPr>
                <w:rFonts w:hAnsi="LinePrinter"/>
                <w:sz w:val="21"/>
              </w:rPr>
            </w:pPr>
            <w:r>
              <w:rPr>
                <w:rFonts w:hAnsi="LinePrinter" w:hint="eastAsia"/>
                <w:sz w:val="21"/>
              </w:rPr>
              <w:t>黄</w:t>
            </w:r>
            <w:r>
              <w:rPr>
                <w:rFonts w:hAnsi="LinePrinter"/>
                <w:sz w:val="21"/>
              </w:rPr>
              <w:t xml:space="preserve">  </w:t>
            </w:r>
            <w:r>
              <w:rPr>
                <w:rFonts w:hAnsi="LinePrinter" w:hint="eastAsia"/>
                <w:sz w:val="21"/>
              </w:rPr>
              <w:t>油</w:t>
            </w:r>
          </w:p>
        </w:tc>
        <w:tc>
          <w:tcPr>
            <w:tcW w:w="1586" w:type="dxa"/>
            <w:gridSpan w:val="2"/>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7.0</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3.0</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3.0</w:t>
            </w:r>
          </w:p>
        </w:tc>
        <w:tc>
          <w:tcPr>
            <w:tcW w:w="973"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4.2</w:t>
            </w:r>
          </w:p>
        </w:tc>
        <w:tc>
          <w:tcPr>
            <w:tcW w:w="1472"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w:t>
            </w:r>
            <w:r>
              <w:rPr>
                <w:rFonts w:hAnsi="LinePrinter"/>
                <w:sz w:val="21"/>
              </w:rPr>
              <w:t>140.0</w:t>
            </w:r>
          </w:p>
        </w:tc>
        <w:tc>
          <w:tcPr>
            <w:tcW w:w="1499"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140.0</w:t>
            </w:r>
          </w:p>
        </w:tc>
      </w:tr>
      <w:tr w:rsidR="00000000">
        <w:tblPrEx>
          <w:tblCellMar>
            <w:top w:w="0" w:type="dxa"/>
            <w:bottom w:w="0" w:type="dxa"/>
          </w:tblCellMar>
        </w:tblPrEx>
        <w:trPr>
          <w:gridAfter w:val="1"/>
          <w:cantSplit/>
          <w:trHeight w:val="402"/>
          <w:jc w:val="center"/>
        </w:trPr>
        <w:tc>
          <w:tcPr>
            <w:tcW w:w="1875"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rPr>
                <w:rFonts w:hAnsi="LinePrinter"/>
                <w:sz w:val="21"/>
              </w:rPr>
            </w:pPr>
            <w:r>
              <w:rPr>
                <w:rFonts w:hAnsi="LinePrinter" w:hint="eastAsia"/>
                <w:sz w:val="21"/>
              </w:rPr>
              <w:t>糖和糖果</w:t>
            </w:r>
          </w:p>
        </w:tc>
        <w:tc>
          <w:tcPr>
            <w:tcW w:w="1586" w:type="dxa"/>
            <w:gridSpan w:val="2"/>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25.0</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23.6</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10.4</w:t>
            </w:r>
          </w:p>
        </w:tc>
        <w:tc>
          <w:tcPr>
            <w:tcW w:w="973"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8.7</w:t>
            </w:r>
          </w:p>
        </w:tc>
        <w:tc>
          <w:tcPr>
            <w:tcW w:w="1472"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36.9</w:t>
            </w:r>
          </w:p>
        </w:tc>
        <w:tc>
          <w:tcPr>
            <w:tcW w:w="1499"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83.7</w:t>
            </w:r>
          </w:p>
        </w:tc>
      </w:tr>
      <w:tr w:rsidR="00000000">
        <w:tblPrEx>
          <w:tblCellMar>
            <w:top w:w="0" w:type="dxa"/>
            <w:bottom w:w="0" w:type="dxa"/>
          </w:tblCellMar>
        </w:tblPrEx>
        <w:trPr>
          <w:gridAfter w:val="1"/>
          <w:cantSplit/>
          <w:trHeight w:val="402"/>
          <w:jc w:val="center"/>
        </w:trPr>
        <w:tc>
          <w:tcPr>
            <w:tcW w:w="1875"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rPr>
                <w:rFonts w:hAnsi="LinePrinter"/>
                <w:sz w:val="21"/>
              </w:rPr>
            </w:pPr>
            <w:r>
              <w:rPr>
                <w:rFonts w:hAnsi="LinePrinter" w:hint="eastAsia"/>
                <w:sz w:val="21"/>
              </w:rPr>
              <w:t>水</w:t>
            </w:r>
            <w:r>
              <w:rPr>
                <w:rFonts w:hAnsi="LinePrinter"/>
                <w:sz w:val="21"/>
              </w:rPr>
              <w:t xml:space="preserve">  </w:t>
            </w:r>
            <w:r>
              <w:rPr>
                <w:rFonts w:hAnsi="LinePrinter" w:hint="eastAsia"/>
                <w:sz w:val="21"/>
              </w:rPr>
              <w:t>果</w:t>
            </w:r>
          </w:p>
        </w:tc>
        <w:tc>
          <w:tcPr>
            <w:tcW w:w="1586" w:type="dxa"/>
            <w:gridSpan w:val="2"/>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35.0</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12.1</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0.5</w:t>
            </w:r>
          </w:p>
        </w:tc>
        <w:tc>
          <w:tcPr>
            <w:tcW w:w="973"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0.4</w:t>
            </w:r>
          </w:p>
        </w:tc>
        <w:tc>
          <w:tcPr>
            <w:tcW w:w="1472"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3.3</w:t>
            </w:r>
          </w:p>
        </w:tc>
        <w:tc>
          <w:tcPr>
            <w:tcW w:w="1499"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80.0</w:t>
            </w:r>
          </w:p>
        </w:tc>
      </w:tr>
      <w:tr w:rsidR="00000000">
        <w:tblPrEx>
          <w:tblCellMar>
            <w:top w:w="0" w:type="dxa"/>
            <w:bottom w:w="0" w:type="dxa"/>
          </w:tblCellMar>
        </w:tblPrEx>
        <w:trPr>
          <w:gridAfter w:val="1"/>
          <w:cantSplit/>
          <w:trHeight w:val="402"/>
          <w:jc w:val="center"/>
        </w:trPr>
        <w:tc>
          <w:tcPr>
            <w:tcW w:w="1875"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rPr>
                <w:rFonts w:hAnsi="LinePrinter"/>
                <w:sz w:val="21"/>
              </w:rPr>
            </w:pPr>
            <w:r>
              <w:rPr>
                <w:rFonts w:hAnsi="LinePrinter" w:hint="eastAsia"/>
                <w:sz w:val="21"/>
              </w:rPr>
              <w:t>土</w:t>
            </w:r>
            <w:r>
              <w:rPr>
                <w:rFonts w:hAnsi="LinePrinter"/>
                <w:sz w:val="21"/>
              </w:rPr>
              <w:t xml:space="preserve">  </w:t>
            </w:r>
            <w:r>
              <w:rPr>
                <w:rFonts w:hAnsi="LinePrinter" w:hint="eastAsia"/>
                <w:sz w:val="21"/>
              </w:rPr>
              <w:t>豆</w:t>
            </w:r>
          </w:p>
        </w:tc>
        <w:tc>
          <w:tcPr>
            <w:tcW w:w="1586" w:type="dxa"/>
            <w:gridSpan w:val="2"/>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65.0</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27.4</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13.0</w:t>
            </w:r>
          </w:p>
        </w:tc>
        <w:tc>
          <w:tcPr>
            <w:tcW w:w="973"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11.3</w:t>
            </w:r>
          </w:p>
        </w:tc>
        <w:tc>
          <w:tcPr>
            <w:tcW w:w="1472"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41.2</w:t>
            </w:r>
          </w:p>
        </w:tc>
        <w:tc>
          <w:tcPr>
            <w:tcW w:w="1499"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86.9</w:t>
            </w:r>
          </w:p>
        </w:tc>
      </w:tr>
      <w:tr w:rsidR="00000000">
        <w:tblPrEx>
          <w:tblCellMar>
            <w:top w:w="0" w:type="dxa"/>
            <w:bottom w:w="0" w:type="dxa"/>
          </w:tblCellMar>
        </w:tblPrEx>
        <w:trPr>
          <w:gridAfter w:val="1"/>
          <w:cantSplit/>
          <w:trHeight w:val="402"/>
          <w:jc w:val="center"/>
        </w:trPr>
        <w:tc>
          <w:tcPr>
            <w:tcW w:w="1875"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rPr>
                <w:rFonts w:hAnsi="LinePrinter"/>
                <w:sz w:val="21"/>
              </w:rPr>
            </w:pPr>
            <w:r>
              <w:rPr>
                <w:rFonts w:hAnsi="LinePrinter" w:hint="eastAsia"/>
                <w:sz w:val="21"/>
              </w:rPr>
              <w:t>蔬</w:t>
            </w:r>
            <w:r>
              <w:rPr>
                <w:rFonts w:hAnsi="LinePrinter"/>
                <w:sz w:val="21"/>
              </w:rPr>
              <w:t xml:space="preserve">  </w:t>
            </w:r>
            <w:r>
              <w:rPr>
                <w:rFonts w:hAnsi="LinePrinter" w:hint="eastAsia"/>
                <w:sz w:val="21"/>
              </w:rPr>
              <w:t>菜</w:t>
            </w:r>
          </w:p>
        </w:tc>
        <w:tc>
          <w:tcPr>
            <w:tcW w:w="1586" w:type="dxa"/>
            <w:gridSpan w:val="2"/>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66.0</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21.5</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4.8</w:t>
            </w:r>
          </w:p>
        </w:tc>
        <w:tc>
          <w:tcPr>
            <w:tcW w:w="973"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7.9</w:t>
            </w:r>
          </w:p>
        </w:tc>
        <w:tc>
          <w:tcPr>
            <w:tcW w:w="1472"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36.7</w:t>
            </w:r>
          </w:p>
        </w:tc>
        <w:tc>
          <w:tcPr>
            <w:tcW w:w="1499"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164.6</w:t>
            </w:r>
          </w:p>
        </w:tc>
      </w:tr>
      <w:tr w:rsidR="00000000">
        <w:tblPrEx>
          <w:tblCellMar>
            <w:top w:w="0" w:type="dxa"/>
            <w:bottom w:w="0" w:type="dxa"/>
          </w:tblCellMar>
        </w:tblPrEx>
        <w:trPr>
          <w:gridAfter w:val="1"/>
          <w:cantSplit/>
          <w:trHeight w:val="402"/>
          <w:jc w:val="center"/>
        </w:trPr>
        <w:tc>
          <w:tcPr>
            <w:tcW w:w="1875"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rPr>
                <w:rFonts w:hAnsi="LinePrinter"/>
                <w:sz w:val="21"/>
              </w:rPr>
            </w:pPr>
            <w:r>
              <w:rPr>
                <w:rFonts w:hAnsi="LinePrinter" w:hint="eastAsia"/>
                <w:sz w:val="21"/>
              </w:rPr>
              <w:t>鸡</w:t>
            </w:r>
            <w:r>
              <w:rPr>
                <w:rFonts w:hAnsi="LinePrinter"/>
                <w:sz w:val="21"/>
              </w:rPr>
              <w:t xml:space="preserve">  </w:t>
            </w:r>
            <w:r>
              <w:rPr>
                <w:rFonts w:hAnsi="LinePrinter" w:hint="eastAsia"/>
                <w:sz w:val="21"/>
              </w:rPr>
              <w:t>蛋</w:t>
            </w:r>
          </w:p>
        </w:tc>
        <w:tc>
          <w:tcPr>
            <w:tcW w:w="1586" w:type="dxa"/>
            <w:gridSpan w:val="2"/>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50.0</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26.9</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3.5</w:t>
            </w:r>
          </w:p>
        </w:tc>
        <w:tc>
          <w:tcPr>
            <w:tcW w:w="973"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2.5</w:t>
            </w:r>
          </w:p>
        </w:tc>
        <w:tc>
          <w:tcPr>
            <w:tcW w:w="1472"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9.3</w:t>
            </w:r>
          </w:p>
        </w:tc>
        <w:tc>
          <w:tcPr>
            <w:tcW w:w="1499"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71.4</w:t>
            </w:r>
          </w:p>
        </w:tc>
      </w:tr>
      <w:tr w:rsidR="00000000">
        <w:tblPrEx>
          <w:tblCellMar>
            <w:top w:w="0" w:type="dxa"/>
            <w:bottom w:w="0" w:type="dxa"/>
          </w:tblCellMar>
        </w:tblPrEx>
        <w:trPr>
          <w:gridAfter w:val="1"/>
          <w:cantSplit/>
          <w:trHeight w:val="402"/>
          <w:jc w:val="center"/>
        </w:trPr>
        <w:tc>
          <w:tcPr>
            <w:tcW w:w="1875"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rPr>
                <w:rFonts w:hAnsi="LinePrinter"/>
                <w:sz w:val="21"/>
              </w:rPr>
            </w:pPr>
            <w:r>
              <w:rPr>
                <w:rFonts w:hAnsi="LinePrinter" w:hint="eastAsia"/>
                <w:sz w:val="21"/>
              </w:rPr>
              <w:t>鱼</w:t>
            </w:r>
            <w:r>
              <w:rPr>
                <w:rFonts w:hAnsi="LinePrinter" w:hint="eastAsia"/>
                <w:sz w:val="21"/>
              </w:rPr>
              <w:t>和鱼产品</w:t>
            </w:r>
          </w:p>
        </w:tc>
        <w:tc>
          <w:tcPr>
            <w:tcW w:w="1586" w:type="dxa"/>
            <w:gridSpan w:val="2"/>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1.3</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1.3</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0.9</w:t>
            </w:r>
          </w:p>
        </w:tc>
        <w:tc>
          <w:tcPr>
            <w:tcW w:w="973"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0.7</w:t>
            </w:r>
          </w:p>
        </w:tc>
        <w:tc>
          <w:tcPr>
            <w:tcW w:w="1472"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53.8</w:t>
            </w:r>
          </w:p>
        </w:tc>
        <w:tc>
          <w:tcPr>
            <w:tcW w:w="1499"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77.8</w:t>
            </w:r>
          </w:p>
        </w:tc>
      </w:tr>
      <w:tr w:rsidR="00000000">
        <w:tblPrEx>
          <w:tblCellMar>
            <w:top w:w="0" w:type="dxa"/>
            <w:bottom w:w="0" w:type="dxa"/>
          </w:tblCellMar>
        </w:tblPrEx>
        <w:trPr>
          <w:gridAfter w:val="1"/>
          <w:cantSplit/>
          <w:trHeight w:val="402"/>
          <w:jc w:val="center"/>
        </w:trPr>
        <w:tc>
          <w:tcPr>
            <w:tcW w:w="1875"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rPr>
                <w:rFonts w:hAnsi="LinePrinter"/>
                <w:sz w:val="21"/>
              </w:rPr>
            </w:pPr>
            <w:r>
              <w:rPr>
                <w:rFonts w:hAnsi="LinePrinter" w:hint="eastAsia"/>
                <w:sz w:val="21"/>
              </w:rPr>
              <w:t>动物油和植物油</w:t>
            </w:r>
          </w:p>
        </w:tc>
        <w:tc>
          <w:tcPr>
            <w:tcW w:w="1586" w:type="dxa"/>
            <w:gridSpan w:val="2"/>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7.0</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4.1</w:t>
            </w:r>
          </w:p>
        </w:tc>
        <w:tc>
          <w:tcPr>
            <w:tcW w:w="977"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1.7</w:t>
            </w:r>
          </w:p>
        </w:tc>
        <w:tc>
          <w:tcPr>
            <w:tcW w:w="973"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170"/>
              <w:jc w:val="right"/>
              <w:rPr>
                <w:rFonts w:hAnsi="LinePrinter"/>
                <w:sz w:val="21"/>
              </w:rPr>
            </w:pPr>
            <w:r>
              <w:rPr>
                <w:rFonts w:hAnsi="LinePrinter"/>
                <w:sz w:val="21"/>
              </w:rPr>
              <w:t xml:space="preserve">  3.7</w:t>
            </w:r>
          </w:p>
        </w:tc>
        <w:tc>
          <w:tcPr>
            <w:tcW w:w="1472"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90.2</w:t>
            </w:r>
          </w:p>
        </w:tc>
        <w:tc>
          <w:tcPr>
            <w:tcW w:w="1499" w:type="dxa"/>
            <w:tcBorders>
              <w:top w:val="single" w:sz="6" w:space="0" w:color="auto"/>
              <w:left w:val="single" w:sz="6" w:space="0" w:color="auto"/>
              <w:bottom w:val="single" w:sz="6" w:space="0" w:color="auto"/>
              <w:right w:val="single" w:sz="6" w:space="0" w:color="auto"/>
            </w:tcBorders>
          </w:tcPr>
          <w:p w:rsidR="00000000" w:rsidRDefault="00E960EA">
            <w:pPr>
              <w:spacing w:before="60" w:after="20" w:line="288" w:lineRule="auto"/>
              <w:ind w:right="340"/>
              <w:jc w:val="right"/>
              <w:rPr>
                <w:rFonts w:hAnsi="LinePrinter"/>
                <w:sz w:val="21"/>
              </w:rPr>
            </w:pPr>
            <w:r>
              <w:rPr>
                <w:rFonts w:hAnsi="LinePrinter"/>
                <w:sz w:val="21"/>
              </w:rPr>
              <w:t xml:space="preserve">  217.6</w:t>
            </w:r>
          </w:p>
        </w:tc>
      </w:tr>
    </w:tbl>
    <w:p w:rsidR="00000000" w:rsidRDefault="00E960EA">
      <w:pPr>
        <w:spacing w:before="240"/>
      </w:pPr>
      <w:r>
        <w:tab/>
        <w:t>73.  1995</w:t>
      </w:r>
      <w:r>
        <w:rPr>
          <w:rFonts w:hint="eastAsia"/>
        </w:rPr>
        <w:t>年人均食品平均卡路里含量是</w:t>
      </w:r>
      <w:r>
        <w:t>2,277.61</w:t>
      </w:r>
      <w:r>
        <w:rPr>
          <w:rFonts w:hint="eastAsia"/>
        </w:rPr>
        <w:t>千卡，这与</w:t>
      </w:r>
      <w:r>
        <w:t>1989</w:t>
      </w:r>
      <w:r>
        <w:rPr>
          <w:rFonts w:hint="eastAsia"/>
        </w:rPr>
        <w:t>年的数字相比减少了</w:t>
      </w:r>
      <w:r>
        <w:t>343.05</w:t>
      </w:r>
      <w:r>
        <w:rPr>
          <w:rFonts w:hint="eastAsia"/>
        </w:rPr>
        <w:t>千卡，这一含量只够供应一个人对食品的生理要求的</w:t>
      </w:r>
      <w:r>
        <w:t>72.6%</w:t>
      </w:r>
      <w:r>
        <w:rPr>
          <w:rFonts w:hint="eastAsia"/>
        </w:rPr>
        <w:t>。动物蛋白占</w:t>
      </w:r>
      <w:r>
        <w:t>1995</w:t>
      </w:r>
      <w:r>
        <w:rPr>
          <w:rFonts w:hint="eastAsia"/>
        </w:rPr>
        <w:t>年人均日常食品摄入量的大约</w:t>
      </w:r>
      <w:r>
        <w:t>80%</w:t>
      </w:r>
      <w:r>
        <w:rPr>
          <w:rFonts w:hint="eastAsia"/>
        </w:rPr>
        <w:t>。</w:t>
      </w:r>
    </w:p>
    <w:p w:rsidR="00000000" w:rsidRDefault="00E960EA">
      <w:r>
        <w:tab/>
        <w:t xml:space="preserve">74.  </w:t>
      </w:r>
      <w:r>
        <w:rPr>
          <w:rFonts w:hint="eastAsia"/>
        </w:rPr>
        <w:t>碳水化合物的明显缺乏主要是因为如大米、食糖、糖果、土豆、蔬菜、水果和酱果等碳水化</w:t>
      </w:r>
      <w:r>
        <w:rPr>
          <w:rFonts w:hint="eastAsia"/>
        </w:rPr>
        <w:t>合物含量丰富的食品消费不足。在这种情况下，人体必须的维他命和矿物质就出现了不足。</w:t>
      </w:r>
    </w:p>
    <w:p w:rsidR="00000000" w:rsidRDefault="00E960EA">
      <w:pPr>
        <w:spacing w:after="320"/>
        <w:textAlignment w:val="center"/>
      </w:pPr>
      <w:r>
        <w:tab/>
        <w:t xml:space="preserve">75.  </w:t>
      </w:r>
      <w:r>
        <w:rPr>
          <w:rFonts w:hint="eastAsia"/>
        </w:rPr>
        <w:t>鉴于食品供应方面的严重情况以及根据</w:t>
      </w:r>
      <w:r>
        <w:t>1992</w:t>
      </w:r>
      <w:r>
        <w:rPr>
          <w:rFonts w:hint="eastAsia"/>
        </w:rPr>
        <w:t>年召开的世界食品和营养问题会议通过的宣言，从</w:t>
      </w:r>
      <w:r>
        <w:t>1993</w:t>
      </w:r>
      <w:r>
        <w:rPr>
          <w:rFonts w:hint="eastAsia"/>
        </w:rPr>
        <w:t>年初开始进行了一项调查。这一调查的结果和结论已被用于制定《蒙古人食品和营养品问题全国方案》，这一方案已于</w:t>
      </w:r>
      <w:r>
        <w:t>1994</w:t>
      </w:r>
      <w:r>
        <w:rPr>
          <w:rFonts w:hint="eastAsia"/>
        </w:rPr>
        <w:t>年得到政府决议的认可。随着这一方案的实施，将确定适当的指标，向人民供应更好的食品，全年顺利生产数量充足的高质量食品，并充分供应必要的原材料和进口食品。</w:t>
      </w:r>
    </w:p>
    <w:p w:rsidR="00000000" w:rsidRDefault="00E960EA">
      <w:pPr>
        <w:pStyle w:val="Heading4"/>
      </w:pPr>
      <w:r>
        <w:rPr>
          <w:rFonts w:hint="eastAsia"/>
        </w:rPr>
        <w:t>家庭预算中用于食品的开支</w:t>
      </w:r>
    </w:p>
    <w:p w:rsidR="00000000" w:rsidRDefault="00E960EA">
      <w:r>
        <w:tab/>
        <w:t xml:space="preserve">76.  </w:t>
      </w:r>
      <w:r>
        <w:rPr>
          <w:rFonts w:hint="eastAsia"/>
        </w:rPr>
        <w:t>根据</w:t>
      </w:r>
      <w:r>
        <w:t>1993</w:t>
      </w:r>
      <w:r>
        <w:rPr>
          <w:rFonts w:hint="eastAsia"/>
        </w:rPr>
        <w:t>年进行的一</w:t>
      </w:r>
      <w:r>
        <w:rPr>
          <w:rFonts w:hint="eastAsia"/>
        </w:rPr>
        <w:t>项选择性调查，一个穷人每日的食品摄取量的卡路</w:t>
      </w:r>
      <w:r>
        <w:rPr>
          <w:rFonts w:hint="eastAsia"/>
          <w:spacing w:val="6"/>
        </w:rPr>
        <w:t>里含量平均为</w:t>
      </w:r>
      <w:r>
        <w:rPr>
          <w:spacing w:val="6"/>
        </w:rPr>
        <w:t>1,240</w:t>
      </w:r>
      <w:r>
        <w:rPr>
          <w:rFonts w:hint="eastAsia"/>
          <w:spacing w:val="6"/>
        </w:rPr>
        <w:t>千卡，这仅为人体需求的</w:t>
      </w:r>
      <w:r>
        <w:rPr>
          <w:spacing w:val="6"/>
        </w:rPr>
        <w:t>30%</w:t>
      </w:r>
      <w:r>
        <w:rPr>
          <w:rFonts w:hint="eastAsia"/>
          <w:spacing w:val="6"/>
        </w:rPr>
        <w:t>，这会对整个家庭的健康造成严重威胁。调查结果显示，这一类贫困家庭将它们绝大多数的收入用于满足其食品需</w:t>
      </w:r>
      <w:r>
        <w:rPr>
          <w:rFonts w:hint="eastAsia"/>
        </w:rPr>
        <w:t>求。</w:t>
      </w:r>
    </w:p>
    <w:p w:rsidR="00000000" w:rsidRDefault="00E960EA">
      <w:pPr>
        <w:spacing w:after="320"/>
        <w:textAlignment w:val="center"/>
      </w:pPr>
      <w:r>
        <w:tab/>
        <w:t xml:space="preserve">77.  </w:t>
      </w:r>
      <w:r>
        <w:rPr>
          <w:rFonts w:hint="eastAsia"/>
        </w:rPr>
        <w:t>蒙古统计局每年都公布城乡地区平均每户的中等收入及其构成。从这一数据判断，每户的平均收入和开支是平衡的，它表明绝大多数人口的生活水平很低，很少人拥有储蓄和财产。特别是食品开支高达</w:t>
      </w:r>
      <w:r>
        <w:t>51.96%</w:t>
      </w:r>
      <w:r>
        <w:rPr>
          <w:rFonts w:hint="eastAsia"/>
        </w:rPr>
        <w:t>。</w:t>
      </w:r>
    </w:p>
    <w:p w:rsidR="00000000" w:rsidRDefault="00E960EA">
      <w:pPr>
        <w:pStyle w:val="Heading3"/>
        <w:spacing w:after="160"/>
        <w:textAlignment w:val="center"/>
      </w:pPr>
      <w:r>
        <w:t>1995</w:t>
      </w:r>
      <w:r>
        <w:rPr>
          <w:rFonts w:hint="eastAsia"/>
        </w:rPr>
        <w:t>年家庭平均开支</w:t>
      </w:r>
    </w:p>
    <w:tbl>
      <w:tblPr>
        <w:tblW w:w="0" w:type="auto"/>
        <w:tblInd w:w="-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6" w:type="dxa"/>
          <w:right w:w="96" w:type="dxa"/>
        </w:tblCellMar>
        <w:tblLook w:val="0000" w:firstRow="0" w:lastRow="0" w:firstColumn="0" w:lastColumn="0" w:noHBand="0" w:noVBand="0"/>
      </w:tblPr>
      <w:tblGrid>
        <w:gridCol w:w="2643"/>
        <w:gridCol w:w="1222"/>
        <w:gridCol w:w="1149"/>
        <w:gridCol w:w="1590"/>
        <w:gridCol w:w="1590"/>
        <w:gridCol w:w="1178"/>
      </w:tblGrid>
      <w:tr w:rsidR="00000000">
        <w:tblPrEx>
          <w:tblCellMar>
            <w:top w:w="0" w:type="dxa"/>
            <w:bottom w:w="0" w:type="dxa"/>
          </w:tblCellMar>
        </w:tblPrEx>
        <w:trPr>
          <w:cantSplit/>
        </w:trPr>
        <w:tc>
          <w:tcPr>
            <w:tcW w:w="2643" w:type="dxa"/>
          </w:tcPr>
          <w:p w:rsidR="00000000" w:rsidRDefault="00E960EA">
            <w:pPr>
              <w:spacing w:before="120"/>
              <w:jc w:val="center"/>
              <w:rPr>
                <w:rFonts w:hAnsi="LinePrinter"/>
                <w:sz w:val="18"/>
              </w:rPr>
            </w:pPr>
          </w:p>
        </w:tc>
        <w:tc>
          <w:tcPr>
            <w:tcW w:w="1222" w:type="dxa"/>
          </w:tcPr>
          <w:p w:rsidR="00000000" w:rsidRDefault="00E960EA">
            <w:pPr>
              <w:spacing w:before="120"/>
              <w:jc w:val="center"/>
              <w:rPr>
                <w:rFonts w:hAnsi="LinePrinter"/>
                <w:sz w:val="21"/>
              </w:rPr>
            </w:pPr>
            <w:r>
              <w:rPr>
                <w:rFonts w:hAnsi="LinePrinter" w:hint="eastAsia"/>
                <w:sz w:val="21"/>
              </w:rPr>
              <w:t>国</w:t>
            </w:r>
            <w:r>
              <w:rPr>
                <w:rFonts w:hAnsi="LinePrinter"/>
                <w:sz w:val="21"/>
              </w:rPr>
              <w:t xml:space="preserve"> </w:t>
            </w:r>
            <w:r>
              <w:rPr>
                <w:rFonts w:hAnsi="LinePrinter" w:hint="eastAsia"/>
                <w:sz w:val="21"/>
              </w:rPr>
              <w:t>家</w:t>
            </w:r>
          </w:p>
        </w:tc>
        <w:tc>
          <w:tcPr>
            <w:tcW w:w="1149" w:type="dxa"/>
          </w:tcPr>
          <w:p w:rsidR="00000000" w:rsidRDefault="00E960EA">
            <w:pPr>
              <w:spacing w:before="120"/>
              <w:jc w:val="center"/>
              <w:rPr>
                <w:rFonts w:hAnsi="LinePrinter"/>
                <w:sz w:val="21"/>
              </w:rPr>
            </w:pPr>
            <w:r>
              <w:rPr>
                <w:rFonts w:hAnsi="LinePrinter" w:hint="eastAsia"/>
                <w:sz w:val="21"/>
              </w:rPr>
              <w:t>首</w:t>
            </w:r>
            <w:r>
              <w:rPr>
                <w:rFonts w:hAnsi="LinePrinter"/>
                <w:sz w:val="21"/>
              </w:rPr>
              <w:t xml:space="preserve"> </w:t>
            </w:r>
            <w:r>
              <w:rPr>
                <w:rFonts w:hAnsi="LinePrinter" w:hint="eastAsia"/>
                <w:sz w:val="21"/>
              </w:rPr>
              <w:t>都</w:t>
            </w:r>
          </w:p>
        </w:tc>
        <w:tc>
          <w:tcPr>
            <w:tcW w:w="1590" w:type="dxa"/>
          </w:tcPr>
          <w:p w:rsidR="00000000" w:rsidRDefault="00E960EA">
            <w:pPr>
              <w:spacing w:before="120"/>
              <w:jc w:val="center"/>
              <w:rPr>
                <w:rFonts w:hAnsi="LinePrinter"/>
                <w:sz w:val="21"/>
              </w:rPr>
            </w:pPr>
            <w:r>
              <w:rPr>
                <w:rFonts w:hAnsi="LinePrinter" w:hint="eastAsia"/>
                <w:sz w:val="21"/>
              </w:rPr>
              <w:t>省中心</w:t>
            </w:r>
          </w:p>
        </w:tc>
        <w:tc>
          <w:tcPr>
            <w:tcW w:w="1590" w:type="dxa"/>
          </w:tcPr>
          <w:p w:rsidR="00000000" w:rsidRDefault="00E960EA">
            <w:pPr>
              <w:spacing w:before="120"/>
              <w:jc w:val="center"/>
              <w:rPr>
                <w:rFonts w:hAnsi="LinePrinter"/>
                <w:sz w:val="21"/>
              </w:rPr>
            </w:pPr>
            <w:r>
              <w:rPr>
                <w:rFonts w:hAnsi="LinePrinter" w:hint="eastAsia"/>
                <w:sz w:val="21"/>
              </w:rPr>
              <w:t>省区中心</w:t>
            </w:r>
          </w:p>
        </w:tc>
        <w:tc>
          <w:tcPr>
            <w:tcW w:w="1178" w:type="dxa"/>
          </w:tcPr>
          <w:p w:rsidR="00000000" w:rsidRDefault="00E960EA">
            <w:pPr>
              <w:spacing w:before="120"/>
              <w:jc w:val="center"/>
              <w:rPr>
                <w:rFonts w:hAnsi="LinePrinter"/>
                <w:sz w:val="21"/>
              </w:rPr>
            </w:pPr>
            <w:r>
              <w:rPr>
                <w:rFonts w:hAnsi="LinePrinter" w:hint="eastAsia"/>
                <w:sz w:val="21"/>
              </w:rPr>
              <w:t>乡</w:t>
            </w:r>
            <w:r>
              <w:rPr>
                <w:rFonts w:hAnsi="LinePrinter"/>
                <w:sz w:val="21"/>
              </w:rPr>
              <w:t xml:space="preserve"> </w:t>
            </w:r>
            <w:r>
              <w:rPr>
                <w:rFonts w:hAnsi="LinePrinter" w:hint="eastAsia"/>
                <w:sz w:val="21"/>
              </w:rPr>
              <w:t>下</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hint="eastAsia"/>
                <w:sz w:val="18"/>
              </w:rPr>
              <w:t>家庭总开支</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33,819.2</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40,5</w:t>
            </w:r>
            <w:r>
              <w:rPr>
                <w:rFonts w:hAnsi="LinePrinter"/>
                <w:sz w:val="17"/>
              </w:rPr>
              <w:t>21.4</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37,522.6</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29,974.9</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26,532.3</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1.  </w:t>
            </w:r>
            <w:r>
              <w:rPr>
                <w:rFonts w:hAnsi="LinePrinter" w:hint="eastAsia"/>
                <w:sz w:val="18"/>
              </w:rPr>
              <w:t>食品开支</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16,234.0</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21,863.4</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18,079.3</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12,424.4</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11,806.7</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    </w:t>
            </w:r>
            <w:r>
              <w:rPr>
                <w:rFonts w:hAnsi="LinePrinter" w:hint="eastAsia"/>
                <w:sz w:val="18"/>
              </w:rPr>
              <w:t>肉和肉制品</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3,543.7</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6,816.2</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4,701.7</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1,161.3</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143.6</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    </w:t>
            </w:r>
            <w:r>
              <w:rPr>
                <w:rFonts w:hAnsi="LinePrinter" w:hint="eastAsia"/>
                <w:sz w:val="18"/>
              </w:rPr>
              <w:t>奶和奶制品</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878.5</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1,875.5</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1,056.0</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233.7</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27.8</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    </w:t>
            </w:r>
            <w:r>
              <w:rPr>
                <w:rFonts w:hAnsi="LinePrinter" w:hint="eastAsia"/>
                <w:sz w:val="18"/>
              </w:rPr>
              <w:t>面粉和面粉制品</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5,936.3</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5,530.0</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6,</w:t>
            </w:r>
            <w:r>
              <w:rPr>
                <w:rFonts w:hAnsi="LinePrinter"/>
                <w:sz w:val="17"/>
              </w:rPr>
              <w:t>020.8</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6,138.3</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7,078.7</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    </w:t>
            </w:r>
            <w:r>
              <w:rPr>
                <w:rFonts w:hAnsi="LinePrinter" w:hint="eastAsia"/>
                <w:sz w:val="18"/>
              </w:rPr>
              <w:t>大</w:t>
            </w:r>
            <w:r>
              <w:rPr>
                <w:rFonts w:hAnsi="LinePrinter"/>
                <w:sz w:val="18"/>
              </w:rPr>
              <w:t xml:space="preserve">  </w:t>
            </w:r>
            <w:r>
              <w:rPr>
                <w:rFonts w:hAnsi="LinePrinter" w:hint="eastAsia"/>
                <w:sz w:val="18"/>
              </w:rPr>
              <w:t>米</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944.9</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903.1</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799.6</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1,035.8</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1,279.0</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    </w:t>
            </w:r>
            <w:r>
              <w:rPr>
                <w:rFonts w:hAnsi="LinePrinter" w:hint="eastAsia"/>
                <w:sz w:val="18"/>
              </w:rPr>
              <w:t>糖果和水果</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1,283.1</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1,313.9</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1,497.4</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1,253.9</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1,064.0</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    </w:t>
            </w:r>
            <w:r>
              <w:rPr>
                <w:rFonts w:hAnsi="LinePrinter" w:hint="eastAsia"/>
                <w:sz w:val="18"/>
              </w:rPr>
              <w:t>土豆和蔬菜</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883.7</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1,926.0</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925.2</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256.9</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189.0</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    </w:t>
            </w:r>
            <w:r>
              <w:rPr>
                <w:rFonts w:hAnsi="LinePrinter" w:hint="eastAsia"/>
                <w:sz w:val="18"/>
              </w:rPr>
              <w:t>伏特加和酒类</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1,016.3</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952.4</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1,340.1</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1,0</w:t>
            </w:r>
            <w:r>
              <w:rPr>
                <w:rFonts w:hAnsi="LinePrinter"/>
                <w:sz w:val="17"/>
              </w:rPr>
              <w:t>20.3</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650.1</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    </w:t>
            </w:r>
            <w:r>
              <w:rPr>
                <w:rFonts w:hAnsi="LinePrinter" w:hint="eastAsia"/>
                <w:sz w:val="18"/>
              </w:rPr>
              <w:t>香</w:t>
            </w:r>
            <w:r>
              <w:rPr>
                <w:rFonts w:hAnsi="LinePrinter"/>
                <w:sz w:val="18"/>
              </w:rPr>
              <w:t xml:space="preserve">  </w:t>
            </w:r>
            <w:r>
              <w:rPr>
                <w:rFonts w:hAnsi="LinePrinter" w:hint="eastAsia"/>
                <w:sz w:val="18"/>
              </w:rPr>
              <w:t>烟</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473.8</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544.5</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479.8</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468.2</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438.5</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    </w:t>
            </w:r>
            <w:r>
              <w:rPr>
                <w:rFonts w:hAnsi="LinePrinter" w:hint="eastAsia"/>
                <w:sz w:val="18"/>
              </w:rPr>
              <w:t>其他食品</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1,273.7</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2,002.0</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1,258.8</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856.2</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936.2</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2.  </w:t>
            </w:r>
            <w:r>
              <w:rPr>
                <w:rFonts w:hAnsi="LinePrinter" w:hint="eastAsia"/>
                <w:sz w:val="18"/>
              </w:rPr>
              <w:t>用于食品外的产品的</w:t>
            </w:r>
            <w:r>
              <w:rPr>
                <w:rFonts w:hAnsi="LinePrinter"/>
                <w:sz w:val="18"/>
              </w:rPr>
              <w:br/>
              <w:t xml:space="preserve">    </w:t>
            </w:r>
            <w:r>
              <w:rPr>
                <w:rFonts w:hAnsi="LinePrinter" w:hint="eastAsia"/>
                <w:sz w:val="18"/>
              </w:rPr>
              <w:t>开支</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11,146.8</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9,346.9</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11,654.4</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12,393.3</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12,630.9</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    </w:t>
            </w:r>
            <w:r>
              <w:rPr>
                <w:rFonts w:hAnsi="LinePrinter" w:hint="eastAsia"/>
                <w:sz w:val="18"/>
              </w:rPr>
              <w:t>棉花、布料</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912.1</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146.4</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529.6</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1,309.3</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2,369.2</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    </w:t>
            </w:r>
            <w:r>
              <w:rPr>
                <w:rFonts w:hAnsi="LinePrinter" w:hint="eastAsia"/>
                <w:sz w:val="18"/>
              </w:rPr>
              <w:t>服</w:t>
            </w:r>
            <w:r>
              <w:rPr>
                <w:rFonts w:hAnsi="LinePrinter"/>
                <w:sz w:val="18"/>
              </w:rPr>
              <w:t xml:space="preserve">  </w:t>
            </w:r>
            <w:r>
              <w:rPr>
                <w:rFonts w:hAnsi="LinePrinter" w:hint="eastAsia"/>
                <w:sz w:val="18"/>
              </w:rPr>
              <w:t>装</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1,876.1</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2,205.8</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2,482.5</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1,522.4</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957.6</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    </w:t>
            </w:r>
            <w:r>
              <w:rPr>
                <w:rFonts w:hAnsi="LinePrinter" w:hint="eastAsia"/>
                <w:sz w:val="18"/>
              </w:rPr>
              <w:t>鞋</w:t>
            </w:r>
            <w:r>
              <w:rPr>
                <w:rFonts w:hAnsi="LinePrinter"/>
                <w:sz w:val="18"/>
              </w:rPr>
              <w:t xml:space="preserve">  </w:t>
            </w:r>
            <w:r>
              <w:rPr>
                <w:rFonts w:hAnsi="LinePrinter" w:hint="eastAsia"/>
                <w:sz w:val="18"/>
              </w:rPr>
              <w:t>类</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2,253.4</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1,513.4</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2,209.8</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2,783.0</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3,032.5</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    </w:t>
            </w:r>
            <w:r>
              <w:rPr>
                <w:rFonts w:hAnsi="LinePrinter" w:hint="eastAsia"/>
                <w:sz w:val="18"/>
              </w:rPr>
              <w:t>文</w:t>
            </w:r>
            <w:r>
              <w:rPr>
                <w:rFonts w:hAnsi="LinePrinter"/>
                <w:sz w:val="18"/>
              </w:rPr>
              <w:t xml:space="preserve">  </w:t>
            </w:r>
            <w:r>
              <w:rPr>
                <w:rFonts w:hAnsi="LinePrinter" w:hint="eastAsia"/>
                <w:sz w:val="18"/>
              </w:rPr>
              <w:t>具</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772.3</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677.2</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941.4</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979.2</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402.0</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    </w:t>
            </w:r>
            <w:r>
              <w:rPr>
                <w:rFonts w:hAnsi="LinePrinter" w:hint="eastAsia"/>
                <w:sz w:val="18"/>
              </w:rPr>
              <w:t>家用器</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1,573.6</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1,377.3</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1,473.7</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1,735.3</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2,025.5</w:t>
            </w:r>
          </w:p>
        </w:tc>
      </w:tr>
      <w:tr w:rsidR="00000000">
        <w:tblPrEx>
          <w:tblCellMar>
            <w:top w:w="0" w:type="dxa"/>
            <w:bottom w:w="0" w:type="dxa"/>
          </w:tblCellMar>
        </w:tblPrEx>
        <w:trPr>
          <w:cantSplit/>
        </w:trPr>
        <w:tc>
          <w:tcPr>
            <w:tcW w:w="2643" w:type="dxa"/>
          </w:tcPr>
          <w:p w:rsidR="00000000" w:rsidRDefault="00E960EA">
            <w:pPr>
              <w:tabs>
                <w:tab w:val="clear" w:pos="510"/>
                <w:tab w:val="clear" w:pos="1021"/>
                <w:tab w:val="clear" w:pos="1531"/>
                <w:tab w:val="clear" w:pos="2041"/>
              </w:tabs>
              <w:spacing w:before="40" w:line="240" w:lineRule="auto"/>
              <w:rPr>
                <w:rFonts w:hAnsi="LinePrinter"/>
                <w:sz w:val="18"/>
              </w:rPr>
            </w:pPr>
            <w:r>
              <w:rPr>
                <w:rFonts w:hAnsi="LinePrinter"/>
                <w:sz w:val="18"/>
              </w:rPr>
              <w:t xml:space="preserve">    </w:t>
            </w:r>
            <w:r>
              <w:rPr>
                <w:rFonts w:hAnsi="LinePrinter" w:hint="eastAsia"/>
                <w:sz w:val="18"/>
              </w:rPr>
              <w:t>药</w:t>
            </w:r>
            <w:r>
              <w:rPr>
                <w:rFonts w:hAnsi="LinePrinter" w:hint="eastAsia"/>
                <w:sz w:val="18"/>
              </w:rPr>
              <w:t>品和美容产品</w:t>
            </w:r>
          </w:p>
        </w:tc>
        <w:tc>
          <w:tcPr>
            <w:tcW w:w="1222"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418.6</w:t>
            </w:r>
          </w:p>
        </w:tc>
        <w:tc>
          <w:tcPr>
            <w:tcW w:w="1149"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480.6</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498.9</w:t>
            </w:r>
          </w:p>
        </w:tc>
        <w:tc>
          <w:tcPr>
            <w:tcW w:w="1590" w:type="dxa"/>
          </w:tcPr>
          <w:p w:rsidR="00000000" w:rsidRDefault="00E960EA">
            <w:pPr>
              <w:tabs>
                <w:tab w:val="clear" w:pos="510"/>
                <w:tab w:val="clear" w:pos="1021"/>
                <w:tab w:val="clear" w:pos="1531"/>
                <w:tab w:val="clear" w:pos="2041"/>
              </w:tabs>
              <w:spacing w:before="40" w:line="240" w:lineRule="auto"/>
              <w:ind w:right="284"/>
              <w:jc w:val="right"/>
              <w:rPr>
                <w:rFonts w:hAnsi="LinePrinter"/>
                <w:sz w:val="17"/>
              </w:rPr>
            </w:pPr>
            <w:r>
              <w:rPr>
                <w:rFonts w:hAnsi="LinePrinter"/>
                <w:sz w:val="17"/>
              </w:rPr>
              <w:t xml:space="preserve">     373.2</w:t>
            </w:r>
          </w:p>
        </w:tc>
        <w:tc>
          <w:tcPr>
            <w:tcW w:w="1178" w:type="dxa"/>
          </w:tcPr>
          <w:p w:rsidR="00000000" w:rsidRDefault="00E960EA">
            <w:pPr>
              <w:tabs>
                <w:tab w:val="clear" w:pos="510"/>
                <w:tab w:val="clear" w:pos="1021"/>
                <w:tab w:val="clear" w:pos="1531"/>
                <w:tab w:val="clear" w:pos="2041"/>
              </w:tabs>
              <w:spacing w:before="40" w:line="240" w:lineRule="auto"/>
              <w:ind w:right="113"/>
              <w:jc w:val="right"/>
              <w:rPr>
                <w:rFonts w:hAnsi="LinePrinter"/>
                <w:sz w:val="17"/>
              </w:rPr>
            </w:pPr>
            <w:r>
              <w:rPr>
                <w:rFonts w:hAnsi="LinePrinter"/>
                <w:sz w:val="17"/>
              </w:rPr>
              <w:t xml:space="preserve">    293.6</w:t>
            </w:r>
          </w:p>
        </w:tc>
      </w:tr>
      <w:tr w:rsidR="00000000">
        <w:tblPrEx>
          <w:tblCellMar>
            <w:top w:w="0" w:type="dxa"/>
            <w:bottom w:w="0" w:type="dxa"/>
          </w:tblCellMar>
        </w:tblPrEx>
        <w:trPr>
          <w:cantSplit/>
        </w:trPr>
        <w:tc>
          <w:tcPr>
            <w:tcW w:w="2643" w:type="dxa"/>
          </w:tcPr>
          <w:p w:rsidR="00000000" w:rsidRDefault="00E960EA">
            <w:pPr>
              <w:spacing w:before="40" w:line="240" w:lineRule="auto"/>
              <w:rPr>
                <w:rFonts w:hAnsi="LinePrinter"/>
                <w:sz w:val="18"/>
              </w:rPr>
            </w:pPr>
            <w:r>
              <w:rPr>
                <w:rFonts w:hAnsi="LinePrinter"/>
                <w:sz w:val="18"/>
              </w:rPr>
              <w:t xml:space="preserve">    </w:t>
            </w:r>
            <w:r>
              <w:rPr>
                <w:rFonts w:hAnsi="LinePrinter" w:hint="eastAsia"/>
                <w:sz w:val="18"/>
              </w:rPr>
              <w:t>燃</w:t>
            </w:r>
            <w:r>
              <w:rPr>
                <w:rFonts w:hAnsi="LinePrinter"/>
                <w:sz w:val="18"/>
              </w:rPr>
              <w:t xml:space="preserve">  </w:t>
            </w:r>
            <w:r>
              <w:rPr>
                <w:rFonts w:hAnsi="LinePrinter" w:hint="eastAsia"/>
                <w:sz w:val="18"/>
              </w:rPr>
              <w:t>料</w:t>
            </w:r>
          </w:p>
        </w:tc>
        <w:tc>
          <w:tcPr>
            <w:tcW w:w="1222" w:type="dxa"/>
          </w:tcPr>
          <w:p w:rsidR="00000000" w:rsidRDefault="00E960EA">
            <w:pPr>
              <w:spacing w:before="40" w:line="240" w:lineRule="auto"/>
              <w:ind w:right="113"/>
              <w:jc w:val="right"/>
              <w:rPr>
                <w:rFonts w:hAnsi="LinePrinter"/>
                <w:sz w:val="17"/>
              </w:rPr>
            </w:pPr>
            <w:r>
              <w:rPr>
                <w:rFonts w:hAnsi="LinePrinter"/>
                <w:sz w:val="17"/>
              </w:rPr>
              <w:t xml:space="preserve">   538.9</w:t>
            </w:r>
          </w:p>
        </w:tc>
        <w:tc>
          <w:tcPr>
            <w:tcW w:w="1149" w:type="dxa"/>
          </w:tcPr>
          <w:p w:rsidR="00000000" w:rsidRDefault="00E960EA">
            <w:pPr>
              <w:spacing w:before="40" w:line="240" w:lineRule="auto"/>
              <w:ind w:right="113"/>
              <w:jc w:val="right"/>
              <w:rPr>
                <w:rFonts w:hAnsi="LinePrinter"/>
                <w:sz w:val="17"/>
              </w:rPr>
            </w:pPr>
            <w:r>
              <w:rPr>
                <w:rFonts w:hAnsi="LinePrinter"/>
                <w:sz w:val="17"/>
              </w:rPr>
              <w:t xml:space="preserve">   660.3</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782.6</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397.6</w:t>
            </w:r>
          </w:p>
        </w:tc>
        <w:tc>
          <w:tcPr>
            <w:tcW w:w="1178" w:type="dxa"/>
          </w:tcPr>
          <w:p w:rsidR="00000000" w:rsidRDefault="00E960EA">
            <w:pPr>
              <w:spacing w:before="40" w:line="240" w:lineRule="auto"/>
              <w:ind w:right="113"/>
              <w:jc w:val="right"/>
              <w:rPr>
                <w:rFonts w:hAnsi="LinePrinter"/>
                <w:sz w:val="17"/>
              </w:rPr>
            </w:pPr>
            <w:r>
              <w:rPr>
                <w:rFonts w:hAnsi="LinePrinter"/>
                <w:sz w:val="17"/>
              </w:rPr>
              <w:t xml:space="preserve">    162.6</w:t>
            </w:r>
          </w:p>
        </w:tc>
      </w:tr>
      <w:tr w:rsidR="00000000">
        <w:tblPrEx>
          <w:tblCellMar>
            <w:top w:w="0" w:type="dxa"/>
            <w:bottom w:w="0" w:type="dxa"/>
          </w:tblCellMar>
        </w:tblPrEx>
        <w:trPr>
          <w:cantSplit/>
        </w:trPr>
        <w:tc>
          <w:tcPr>
            <w:tcW w:w="2643" w:type="dxa"/>
          </w:tcPr>
          <w:p w:rsidR="00000000" w:rsidRDefault="00E960EA">
            <w:pPr>
              <w:spacing w:before="40" w:line="240" w:lineRule="auto"/>
              <w:rPr>
                <w:rFonts w:hAnsi="LinePrinter"/>
                <w:sz w:val="18"/>
              </w:rPr>
            </w:pPr>
            <w:r>
              <w:rPr>
                <w:rFonts w:hAnsi="LinePrinter"/>
                <w:sz w:val="18"/>
              </w:rPr>
              <w:t xml:space="preserve">    </w:t>
            </w:r>
            <w:r>
              <w:rPr>
                <w:rFonts w:hAnsi="LinePrinter" w:hint="eastAsia"/>
                <w:sz w:val="18"/>
              </w:rPr>
              <w:t>私营部门的产品和服务</w:t>
            </w:r>
          </w:p>
        </w:tc>
        <w:tc>
          <w:tcPr>
            <w:tcW w:w="1222" w:type="dxa"/>
          </w:tcPr>
          <w:p w:rsidR="00000000" w:rsidRDefault="00E960EA">
            <w:pPr>
              <w:spacing w:before="40" w:line="240" w:lineRule="auto"/>
              <w:ind w:right="113"/>
              <w:jc w:val="right"/>
              <w:rPr>
                <w:rFonts w:hAnsi="LinePrinter"/>
                <w:sz w:val="17"/>
              </w:rPr>
            </w:pPr>
            <w:r>
              <w:rPr>
                <w:rFonts w:hAnsi="LinePrinter"/>
                <w:sz w:val="17"/>
              </w:rPr>
              <w:t xml:space="preserve"> 1,712.4</w:t>
            </w:r>
          </w:p>
        </w:tc>
        <w:tc>
          <w:tcPr>
            <w:tcW w:w="1149" w:type="dxa"/>
          </w:tcPr>
          <w:p w:rsidR="00000000" w:rsidRDefault="00E960EA">
            <w:pPr>
              <w:spacing w:before="40" w:line="240" w:lineRule="auto"/>
              <w:ind w:right="113"/>
              <w:jc w:val="right"/>
              <w:rPr>
                <w:rFonts w:hAnsi="LinePrinter"/>
                <w:sz w:val="17"/>
              </w:rPr>
            </w:pPr>
            <w:r>
              <w:rPr>
                <w:rFonts w:hAnsi="LinePrinter"/>
                <w:sz w:val="17"/>
              </w:rPr>
              <w:t xml:space="preserve"> 1,394.3</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1,652.0</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2,209.0</w:t>
            </w:r>
          </w:p>
        </w:tc>
        <w:tc>
          <w:tcPr>
            <w:tcW w:w="1178" w:type="dxa"/>
          </w:tcPr>
          <w:p w:rsidR="00000000" w:rsidRDefault="00E960EA">
            <w:pPr>
              <w:spacing w:before="40" w:line="240" w:lineRule="auto"/>
              <w:ind w:right="113"/>
              <w:jc w:val="right"/>
              <w:rPr>
                <w:rFonts w:hAnsi="LinePrinter"/>
                <w:sz w:val="17"/>
              </w:rPr>
            </w:pPr>
            <w:r>
              <w:rPr>
                <w:rFonts w:hAnsi="LinePrinter"/>
                <w:sz w:val="17"/>
              </w:rPr>
              <w:t xml:space="preserve">  1,805.5</w:t>
            </w:r>
          </w:p>
        </w:tc>
      </w:tr>
      <w:tr w:rsidR="00000000">
        <w:tblPrEx>
          <w:tblCellMar>
            <w:top w:w="0" w:type="dxa"/>
            <w:bottom w:w="0" w:type="dxa"/>
          </w:tblCellMar>
        </w:tblPrEx>
        <w:trPr>
          <w:cantSplit/>
        </w:trPr>
        <w:tc>
          <w:tcPr>
            <w:tcW w:w="2643" w:type="dxa"/>
          </w:tcPr>
          <w:p w:rsidR="00000000" w:rsidRDefault="00E960EA">
            <w:pPr>
              <w:spacing w:before="40" w:line="240" w:lineRule="auto"/>
              <w:rPr>
                <w:rFonts w:hAnsi="LinePrinter"/>
                <w:sz w:val="18"/>
              </w:rPr>
            </w:pPr>
            <w:r>
              <w:rPr>
                <w:rFonts w:hAnsi="LinePrinter"/>
                <w:sz w:val="18"/>
              </w:rPr>
              <w:t xml:space="preserve">    </w:t>
            </w:r>
            <w:r>
              <w:rPr>
                <w:rFonts w:hAnsi="LinePrinter" w:hint="eastAsia"/>
                <w:sz w:val="18"/>
              </w:rPr>
              <w:t>其他产品</w:t>
            </w:r>
          </w:p>
        </w:tc>
        <w:tc>
          <w:tcPr>
            <w:tcW w:w="1222" w:type="dxa"/>
          </w:tcPr>
          <w:p w:rsidR="00000000" w:rsidRDefault="00E960EA">
            <w:pPr>
              <w:spacing w:before="40" w:line="240" w:lineRule="auto"/>
              <w:ind w:right="113"/>
              <w:jc w:val="right"/>
              <w:rPr>
                <w:rFonts w:hAnsi="LinePrinter"/>
                <w:sz w:val="17"/>
              </w:rPr>
            </w:pPr>
            <w:r>
              <w:rPr>
                <w:rFonts w:hAnsi="LinePrinter"/>
                <w:sz w:val="17"/>
              </w:rPr>
              <w:t xml:space="preserve"> 1,089.4</w:t>
            </w:r>
          </w:p>
        </w:tc>
        <w:tc>
          <w:tcPr>
            <w:tcW w:w="1149" w:type="dxa"/>
          </w:tcPr>
          <w:p w:rsidR="00000000" w:rsidRDefault="00E960EA">
            <w:pPr>
              <w:spacing w:before="40" w:line="240" w:lineRule="auto"/>
              <w:ind w:right="113"/>
              <w:jc w:val="right"/>
              <w:rPr>
                <w:rFonts w:hAnsi="LinePrinter"/>
                <w:sz w:val="17"/>
              </w:rPr>
            </w:pPr>
            <w:r>
              <w:rPr>
                <w:rFonts w:hAnsi="LinePrinter"/>
                <w:sz w:val="17"/>
              </w:rPr>
              <w:t xml:space="preserve">   891.7</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1,084.0</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1,084.0</w:t>
            </w:r>
          </w:p>
        </w:tc>
        <w:tc>
          <w:tcPr>
            <w:tcW w:w="1178" w:type="dxa"/>
          </w:tcPr>
          <w:p w:rsidR="00000000" w:rsidRDefault="00E960EA">
            <w:pPr>
              <w:spacing w:before="40" w:line="240" w:lineRule="auto"/>
              <w:ind w:right="113"/>
              <w:jc w:val="right"/>
              <w:rPr>
                <w:rFonts w:hAnsi="LinePrinter"/>
                <w:sz w:val="17"/>
              </w:rPr>
            </w:pPr>
            <w:r>
              <w:rPr>
                <w:rFonts w:hAnsi="LinePrinter"/>
                <w:sz w:val="17"/>
              </w:rPr>
              <w:t xml:space="preserve">  1,582.5</w:t>
            </w:r>
          </w:p>
        </w:tc>
      </w:tr>
    </w:tbl>
    <w:p w:rsidR="00000000" w:rsidRDefault="00E960EA">
      <w:pPr>
        <w:tabs>
          <w:tab w:val="clear" w:pos="510"/>
          <w:tab w:val="clear" w:pos="1021"/>
          <w:tab w:val="clear" w:pos="1531"/>
          <w:tab w:val="clear" w:pos="2041"/>
          <w:tab w:val="left" w:pos="2734"/>
          <w:tab w:val="left" w:pos="3956"/>
          <w:tab w:val="left" w:pos="5105"/>
          <w:tab w:val="left" w:pos="6695"/>
          <w:tab w:val="left" w:pos="8285"/>
          <w:tab w:val="left" w:pos="9463"/>
        </w:tabs>
        <w:spacing w:before="40" w:line="240" w:lineRule="auto"/>
        <w:ind w:left="91" w:right="113"/>
        <w:jc w:val="left"/>
        <w:rPr>
          <w:rFonts w:hAnsi="LinePrinter"/>
          <w:sz w:val="18"/>
        </w:rPr>
      </w:pPr>
    </w:p>
    <w:p w:rsidR="00000000" w:rsidRDefault="00E960EA">
      <w:pPr>
        <w:tabs>
          <w:tab w:val="clear" w:pos="510"/>
          <w:tab w:val="clear" w:pos="1021"/>
          <w:tab w:val="clear" w:pos="1531"/>
          <w:tab w:val="clear" w:pos="2041"/>
          <w:tab w:val="left" w:pos="2734"/>
          <w:tab w:val="left" w:pos="3956"/>
          <w:tab w:val="left" w:pos="5105"/>
          <w:tab w:val="left" w:pos="6695"/>
          <w:tab w:val="left" w:pos="8285"/>
          <w:tab w:val="left" w:pos="9463"/>
        </w:tabs>
        <w:spacing w:before="40" w:line="240" w:lineRule="auto"/>
        <w:ind w:left="91" w:right="113"/>
        <w:jc w:val="left"/>
        <w:rPr>
          <w:rFonts w:hAnsi="LinePrinter"/>
          <w:sz w:val="17"/>
        </w:rPr>
      </w:pPr>
      <w:r>
        <w:rPr>
          <w:rFonts w:hAnsi="LinePrinter"/>
          <w:sz w:val="18"/>
        </w:rPr>
        <w:br w:type="page"/>
      </w:r>
    </w:p>
    <w:tbl>
      <w:tblPr>
        <w:tblW w:w="0" w:type="auto"/>
        <w:tblInd w:w="-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6" w:type="dxa"/>
          <w:right w:w="96" w:type="dxa"/>
        </w:tblCellMar>
        <w:tblLook w:val="0000" w:firstRow="0" w:lastRow="0" w:firstColumn="0" w:lastColumn="0" w:noHBand="0" w:noVBand="0"/>
      </w:tblPr>
      <w:tblGrid>
        <w:gridCol w:w="2643"/>
        <w:gridCol w:w="1222"/>
        <w:gridCol w:w="1149"/>
        <w:gridCol w:w="1590"/>
        <w:gridCol w:w="1590"/>
        <w:gridCol w:w="1178"/>
      </w:tblGrid>
      <w:tr w:rsidR="00000000">
        <w:tblPrEx>
          <w:tblCellMar>
            <w:top w:w="0" w:type="dxa"/>
            <w:bottom w:w="0" w:type="dxa"/>
          </w:tblCellMar>
        </w:tblPrEx>
        <w:trPr>
          <w:cantSplit/>
        </w:trPr>
        <w:tc>
          <w:tcPr>
            <w:tcW w:w="2643" w:type="dxa"/>
          </w:tcPr>
          <w:p w:rsidR="00000000" w:rsidRDefault="00E960EA">
            <w:pPr>
              <w:spacing w:before="120"/>
              <w:jc w:val="center"/>
              <w:rPr>
                <w:rFonts w:hAnsi="LinePrinter"/>
                <w:sz w:val="18"/>
              </w:rPr>
            </w:pPr>
          </w:p>
        </w:tc>
        <w:tc>
          <w:tcPr>
            <w:tcW w:w="1222" w:type="dxa"/>
          </w:tcPr>
          <w:p w:rsidR="00000000" w:rsidRDefault="00E960EA">
            <w:pPr>
              <w:spacing w:before="120"/>
              <w:jc w:val="center"/>
              <w:rPr>
                <w:rFonts w:hAnsi="LinePrinter"/>
                <w:sz w:val="21"/>
              </w:rPr>
            </w:pPr>
            <w:r>
              <w:rPr>
                <w:rFonts w:hAnsi="LinePrinter" w:hint="eastAsia"/>
                <w:sz w:val="21"/>
              </w:rPr>
              <w:t>国</w:t>
            </w:r>
            <w:r>
              <w:rPr>
                <w:rFonts w:hAnsi="LinePrinter"/>
                <w:sz w:val="21"/>
              </w:rPr>
              <w:t xml:space="preserve"> </w:t>
            </w:r>
            <w:r>
              <w:rPr>
                <w:rFonts w:hAnsi="LinePrinter" w:hint="eastAsia"/>
                <w:sz w:val="21"/>
              </w:rPr>
              <w:t>家</w:t>
            </w:r>
          </w:p>
        </w:tc>
        <w:tc>
          <w:tcPr>
            <w:tcW w:w="1149" w:type="dxa"/>
          </w:tcPr>
          <w:p w:rsidR="00000000" w:rsidRDefault="00E960EA">
            <w:pPr>
              <w:spacing w:before="120"/>
              <w:jc w:val="center"/>
              <w:rPr>
                <w:rFonts w:hAnsi="LinePrinter"/>
                <w:sz w:val="21"/>
              </w:rPr>
            </w:pPr>
            <w:r>
              <w:rPr>
                <w:rFonts w:hAnsi="LinePrinter" w:hint="eastAsia"/>
                <w:sz w:val="21"/>
              </w:rPr>
              <w:t>首</w:t>
            </w:r>
            <w:r>
              <w:rPr>
                <w:rFonts w:hAnsi="LinePrinter"/>
                <w:sz w:val="21"/>
              </w:rPr>
              <w:t xml:space="preserve"> </w:t>
            </w:r>
            <w:r>
              <w:rPr>
                <w:rFonts w:hAnsi="LinePrinter" w:hint="eastAsia"/>
                <w:sz w:val="21"/>
              </w:rPr>
              <w:t>都</w:t>
            </w:r>
          </w:p>
        </w:tc>
        <w:tc>
          <w:tcPr>
            <w:tcW w:w="1590" w:type="dxa"/>
          </w:tcPr>
          <w:p w:rsidR="00000000" w:rsidRDefault="00E960EA">
            <w:pPr>
              <w:spacing w:before="120"/>
              <w:jc w:val="center"/>
              <w:rPr>
                <w:rFonts w:hAnsi="LinePrinter"/>
                <w:sz w:val="21"/>
              </w:rPr>
            </w:pPr>
            <w:r>
              <w:rPr>
                <w:rFonts w:hAnsi="LinePrinter" w:hint="eastAsia"/>
                <w:sz w:val="21"/>
              </w:rPr>
              <w:t>省中心</w:t>
            </w:r>
          </w:p>
        </w:tc>
        <w:tc>
          <w:tcPr>
            <w:tcW w:w="1590" w:type="dxa"/>
          </w:tcPr>
          <w:p w:rsidR="00000000" w:rsidRDefault="00E960EA">
            <w:pPr>
              <w:spacing w:before="120"/>
              <w:jc w:val="center"/>
              <w:rPr>
                <w:rFonts w:hAnsi="LinePrinter"/>
                <w:sz w:val="21"/>
              </w:rPr>
            </w:pPr>
            <w:r>
              <w:rPr>
                <w:rFonts w:hAnsi="LinePrinter" w:hint="eastAsia"/>
                <w:sz w:val="21"/>
              </w:rPr>
              <w:t>省区中心</w:t>
            </w:r>
          </w:p>
        </w:tc>
        <w:tc>
          <w:tcPr>
            <w:tcW w:w="1178" w:type="dxa"/>
          </w:tcPr>
          <w:p w:rsidR="00000000" w:rsidRDefault="00E960EA">
            <w:pPr>
              <w:spacing w:before="120"/>
              <w:jc w:val="center"/>
              <w:rPr>
                <w:rFonts w:hAnsi="LinePrinter"/>
                <w:sz w:val="21"/>
              </w:rPr>
            </w:pPr>
            <w:r>
              <w:rPr>
                <w:rFonts w:hAnsi="LinePrinter" w:hint="eastAsia"/>
                <w:sz w:val="21"/>
              </w:rPr>
              <w:t>乡</w:t>
            </w:r>
            <w:r>
              <w:rPr>
                <w:rFonts w:hAnsi="LinePrinter"/>
                <w:sz w:val="21"/>
              </w:rPr>
              <w:t xml:space="preserve"> </w:t>
            </w:r>
            <w:r>
              <w:rPr>
                <w:rFonts w:hAnsi="LinePrinter" w:hint="eastAsia"/>
                <w:sz w:val="21"/>
              </w:rPr>
              <w:t>下</w:t>
            </w:r>
          </w:p>
        </w:tc>
      </w:tr>
      <w:tr w:rsidR="00000000">
        <w:tblPrEx>
          <w:tblCellMar>
            <w:top w:w="0" w:type="dxa"/>
            <w:bottom w:w="0" w:type="dxa"/>
          </w:tblCellMar>
        </w:tblPrEx>
        <w:trPr>
          <w:cantSplit/>
        </w:trPr>
        <w:tc>
          <w:tcPr>
            <w:tcW w:w="2643" w:type="dxa"/>
          </w:tcPr>
          <w:p w:rsidR="00000000" w:rsidRDefault="00E960EA">
            <w:pPr>
              <w:spacing w:before="40" w:line="240" w:lineRule="auto"/>
              <w:rPr>
                <w:rFonts w:hAnsi="LinePrinter"/>
                <w:sz w:val="18"/>
              </w:rPr>
            </w:pPr>
            <w:r>
              <w:rPr>
                <w:rFonts w:hAnsi="LinePrinter"/>
                <w:sz w:val="18"/>
              </w:rPr>
              <w:t xml:space="preserve">3.  </w:t>
            </w:r>
            <w:r>
              <w:rPr>
                <w:rFonts w:hAnsi="LinePrinter" w:hint="eastAsia"/>
                <w:sz w:val="18"/>
              </w:rPr>
              <w:t>非物质性开支</w:t>
            </w:r>
          </w:p>
        </w:tc>
        <w:tc>
          <w:tcPr>
            <w:tcW w:w="1222" w:type="dxa"/>
          </w:tcPr>
          <w:p w:rsidR="00000000" w:rsidRDefault="00E960EA">
            <w:pPr>
              <w:spacing w:before="40" w:line="240" w:lineRule="auto"/>
              <w:ind w:right="113"/>
              <w:jc w:val="right"/>
              <w:rPr>
                <w:rFonts w:hAnsi="LinePrinter"/>
                <w:sz w:val="17"/>
              </w:rPr>
            </w:pPr>
            <w:r>
              <w:rPr>
                <w:rFonts w:hAnsi="LinePrinter"/>
                <w:sz w:val="17"/>
              </w:rPr>
              <w:t xml:space="preserve"> 6,126.2</w:t>
            </w:r>
          </w:p>
        </w:tc>
        <w:tc>
          <w:tcPr>
            <w:tcW w:w="1149" w:type="dxa"/>
          </w:tcPr>
          <w:p w:rsidR="00000000" w:rsidRDefault="00E960EA">
            <w:pPr>
              <w:spacing w:before="40" w:line="240" w:lineRule="auto"/>
              <w:ind w:right="113"/>
              <w:jc w:val="right"/>
              <w:rPr>
                <w:rFonts w:hAnsi="LinePrinter"/>
                <w:sz w:val="17"/>
              </w:rPr>
            </w:pPr>
            <w:r>
              <w:rPr>
                <w:rFonts w:hAnsi="LinePrinter"/>
                <w:sz w:val="17"/>
              </w:rPr>
              <w:t xml:space="preserve"> 8,589.2</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7,702.7</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4,784.3</w:t>
            </w:r>
          </w:p>
        </w:tc>
        <w:tc>
          <w:tcPr>
            <w:tcW w:w="1178" w:type="dxa"/>
          </w:tcPr>
          <w:p w:rsidR="00000000" w:rsidRDefault="00E960EA">
            <w:pPr>
              <w:spacing w:before="40" w:line="240" w:lineRule="auto"/>
              <w:ind w:right="113"/>
              <w:jc w:val="right"/>
              <w:rPr>
                <w:rFonts w:hAnsi="LinePrinter"/>
                <w:sz w:val="17"/>
              </w:rPr>
            </w:pPr>
            <w:r>
              <w:rPr>
                <w:rFonts w:hAnsi="LinePrinter"/>
                <w:sz w:val="17"/>
              </w:rPr>
              <w:t xml:space="preserve">  1,996.8</w:t>
            </w:r>
          </w:p>
        </w:tc>
      </w:tr>
      <w:tr w:rsidR="00000000">
        <w:tblPrEx>
          <w:tblCellMar>
            <w:top w:w="0" w:type="dxa"/>
            <w:bottom w:w="0" w:type="dxa"/>
          </w:tblCellMar>
        </w:tblPrEx>
        <w:trPr>
          <w:cantSplit/>
        </w:trPr>
        <w:tc>
          <w:tcPr>
            <w:tcW w:w="2643" w:type="dxa"/>
          </w:tcPr>
          <w:p w:rsidR="00000000" w:rsidRDefault="00E960EA">
            <w:pPr>
              <w:spacing w:before="40" w:line="240" w:lineRule="auto"/>
              <w:rPr>
                <w:rFonts w:hAnsi="LinePrinter"/>
                <w:sz w:val="18"/>
              </w:rPr>
            </w:pPr>
            <w:r>
              <w:rPr>
                <w:rFonts w:hAnsi="LinePrinter"/>
                <w:sz w:val="18"/>
              </w:rPr>
              <w:t xml:space="preserve">    </w:t>
            </w:r>
            <w:r>
              <w:rPr>
                <w:rFonts w:hAnsi="LinePrinter" w:hint="eastAsia"/>
                <w:sz w:val="18"/>
              </w:rPr>
              <w:t>娱</w:t>
            </w:r>
            <w:r>
              <w:rPr>
                <w:rFonts w:hAnsi="LinePrinter"/>
                <w:sz w:val="18"/>
              </w:rPr>
              <w:t xml:space="preserve">  </w:t>
            </w:r>
            <w:r>
              <w:rPr>
                <w:rFonts w:hAnsi="LinePrinter" w:hint="eastAsia"/>
                <w:sz w:val="18"/>
              </w:rPr>
              <w:t>乐</w:t>
            </w:r>
          </w:p>
        </w:tc>
        <w:tc>
          <w:tcPr>
            <w:tcW w:w="1222" w:type="dxa"/>
          </w:tcPr>
          <w:p w:rsidR="00000000" w:rsidRDefault="00E960EA">
            <w:pPr>
              <w:spacing w:before="40" w:line="240" w:lineRule="auto"/>
              <w:ind w:right="113"/>
              <w:jc w:val="right"/>
              <w:rPr>
                <w:rFonts w:hAnsi="LinePrinter"/>
                <w:sz w:val="17"/>
              </w:rPr>
            </w:pPr>
            <w:r>
              <w:rPr>
                <w:rFonts w:hAnsi="LinePrinter"/>
                <w:sz w:val="17"/>
              </w:rPr>
              <w:t xml:space="preserve">    54.5</w:t>
            </w:r>
          </w:p>
        </w:tc>
        <w:tc>
          <w:tcPr>
            <w:tcW w:w="1149" w:type="dxa"/>
          </w:tcPr>
          <w:p w:rsidR="00000000" w:rsidRDefault="00E960EA">
            <w:pPr>
              <w:spacing w:before="40" w:line="240" w:lineRule="auto"/>
              <w:ind w:right="113"/>
              <w:jc w:val="right"/>
              <w:rPr>
                <w:rFonts w:hAnsi="LinePrinter"/>
                <w:sz w:val="17"/>
              </w:rPr>
            </w:pPr>
            <w:r>
              <w:rPr>
                <w:rFonts w:hAnsi="LinePrinter"/>
                <w:sz w:val="17"/>
              </w:rPr>
              <w:t xml:space="preserve">    59.3</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51.5</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73.3</w:t>
            </w:r>
          </w:p>
        </w:tc>
        <w:tc>
          <w:tcPr>
            <w:tcW w:w="1178" w:type="dxa"/>
          </w:tcPr>
          <w:p w:rsidR="00000000" w:rsidRDefault="00E960EA">
            <w:pPr>
              <w:spacing w:before="40" w:line="240" w:lineRule="auto"/>
              <w:ind w:right="113"/>
              <w:jc w:val="right"/>
              <w:rPr>
                <w:rFonts w:hAnsi="LinePrinter"/>
                <w:sz w:val="17"/>
              </w:rPr>
            </w:pPr>
            <w:r>
              <w:rPr>
                <w:rFonts w:hAnsi="LinePrinter"/>
                <w:sz w:val="17"/>
              </w:rPr>
              <w:t xml:space="preserve">     32.5</w:t>
            </w:r>
          </w:p>
        </w:tc>
      </w:tr>
      <w:tr w:rsidR="00000000">
        <w:tblPrEx>
          <w:tblCellMar>
            <w:top w:w="0" w:type="dxa"/>
            <w:bottom w:w="0" w:type="dxa"/>
          </w:tblCellMar>
        </w:tblPrEx>
        <w:trPr>
          <w:cantSplit/>
        </w:trPr>
        <w:tc>
          <w:tcPr>
            <w:tcW w:w="2643" w:type="dxa"/>
          </w:tcPr>
          <w:p w:rsidR="00000000" w:rsidRDefault="00E960EA">
            <w:pPr>
              <w:spacing w:before="40" w:line="240" w:lineRule="auto"/>
              <w:rPr>
                <w:rFonts w:hAnsi="LinePrinter"/>
                <w:sz w:val="18"/>
              </w:rPr>
            </w:pPr>
            <w:r>
              <w:rPr>
                <w:rFonts w:hAnsi="LinePrinter"/>
                <w:sz w:val="18"/>
              </w:rPr>
              <w:t xml:space="preserve">    </w:t>
            </w:r>
            <w:r>
              <w:rPr>
                <w:rFonts w:hAnsi="LinePrinter" w:hint="eastAsia"/>
                <w:sz w:val="18"/>
              </w:rPr>
              <w:t>交通和通讯</w:t>
            </w:r>
          </w:p>
        </w:tc>
        <w:tc>
          <w:tcPr>
            <w:tcW w:w="1222" w:type="dxa"/>
          </w:tcPr>
          <w:p w:rsidR="00000000" w:rsidRDefault="00E960EA">
            <w:pPr>
              <w:spacing w:before="40" w:line="240" w:lineRule="auto"/>
              <w:ind w:right="113"/>
              <w:jc w:val="right"/>
              <w:rPr>
                <w:rFonts w:hAnsi="LinePrinter"/>
                <w:sz w:val="17"/>
              </w:rPr>
            </w:pPr>
            <w:r>
              <w:rPr>
                <w:rFonts w:hAnsi="LinePrinter"/>
                <w:sz w:val="17"/>
              </w:rPr>
              <w:t xml:space="preserve"> 1,063.4</w:t>
            </w:r>
          </w:p>
        </w:tc>
        <w:tc>
          <w:tcPr>
            <w:tcW w:w="1149" w:type="dxa"/>
          </w:tcPr>
          <w:p w:rsidR="00000000" w:rsidRDefault="00E960EA">
            <w:pPr>
              <w:spacing w:before="40" w:line="240" w:lineRule="auto"/>
              <w:ind w:right="113"/>
              <w:jc w:val="right"/>
              <w:rPr>
                <w:rFonts w:hAnsi="LinePrinter"/>
                <w:sz w:val="17"/>
              </w:rPr>
            </w:pPr>
            <w:r>
              <w:rPr>
                <w:rFonts w:hAnsi="LinePrinter"/>
                <w:sz w:val="17"/>
              </w:rPr>
              <w:t xml:space="preserve"> 1,773.5</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1,191.3</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771.8</w:t>
            </w:r>
          </w:p>
        </w:tc>
        <w:tc>
          <w:tcPr>
            <w:tcW w:w="1178" w:type="dxa"/>
          </w:tcPr>
          <w:p w:rsidR="00000000" w:rsidRDefault="00E960EA">
            <w:pPr>
              <w:spacing w:before="40" w:line="240" w:lineRule="auto"/>
              <w:ind w:right="113"/>
              <w:jc w:val="right"/>
              <w:rPr>
                <w:rFonts w:hAnsi="LinePrinter"/>
                <w:sz w:val="17"/>
              </w:rPr>
            </w:pPr>
            <w:r>
              <w:rPr>
                <w:rFonts w:hAnsi="LinePrinter"/>
                <w:sz w:val="17"/>
              </w:rPr>
              <w:t xml:space="preserve">    250.6</w:t>
            </w:r>
          </w:p>
        </w:tc>
      </w:tr>
      <w:tr w:rsidR="00000000">
        <w:tblPrEx>
          <w:tblCellMar>
            <w:top w:w="0" w:type="dxa"/>
            <w:bottom w:w="0" w:type="dxa"/>
          </w:tblCellMar>
        </w:tblPrEx>
        <w:trPr>
          <w:cantSplit/>
        </w:trPr>
        <w:tc>
          <w:tcPr>
            <w:tcW w:w="2643" w:type="dxa"/>
          </w:tcPr>
          <w:p w:rsidR="00000000" w:rsidRDefault="00E960EA">
            <w:pPr>
              <w:spacing w:before="40" w:line="240" w:lineRule="auto"/>
              <w:rPr>
                <w:rFonts w:hAnsi="LinePrinter"/>
                <w:sz w:val="18"/>
              </w:rPr>
            </w:pPr>
            <w:r>
              <w:rPr>
                <w:rFonts w:hAnsi="LinePrinter"/>
                <w:sz w:val="18"/>
              </w:rPr>
              <w:t xml:space="preserve">    </w:t>
            </w:r>
            <w:r>
              <w:rPr>
                <w:rFonts w:hAnsi="LinePrinter" w:hint="eastAsia"/>
                <w:sz w:val="18"/>
              </w:rPr>
              <w:t>住</w:t>
            </w:r>
            <w:r>
              <w:rPr>
                <w:rFonts w:hAnsi="LinePrinter"/>
                <w:sz w:val="18"/>
              </w:rPr>
              <w:t xml:space="preserve">  </w:t>
            </w:r>
            <w:r>
              <w:rPr>
                <w:rFonts w:hAnsi="LinePrinter" w:hint="eastAsia"/>
                <w:sz w:val="18"/>
              </w:rPr>
              <w:t>房</w:t>
            </w:r>
          </w:p>
        </w:tc>
        <w:tc>
          <w:tcPr>
            <w:tcW w:w="1222" w:type="dxa"/>
          </w:tcPr>
          <w:p w:rsidR="00000000" w:rsidRDefault="00E960EA">
            <w:pPr>
              <w:spacing w:before="40" w:line="240" w:lineRule="auto"/>
              <w:ind w:right="113"/>
              <w:jc w:val="right"/>
              <w:rPr>
                <w:rFonts w:hAnsi="LinePrinter"/>
                <w:sz w:val="17"/>
              </w:rPr>
            </w:pPr>
            <w:r>
              <w:rPr>
                <w:rFonts w:hAnsi="LinePrinter"/>
                <w:sz w:val="17"/>
              </w:rPr>
              <w:t>1,634.4</w:t>
            </w:r>
          </w:p>
        </w:tc>
        <w:tc>
          <w:tcPr>
            <w:tcW w:w="1149" w:type="dxa"/>
          </w:tcPr>
          <w:p w:rsidR="00000000" w:rsidRDefault="00E960EA">
            <w:pPr>
              <w:spacing w:before="40" w:line="240" w:lineRule="auto"/>
              <w:ind w:right="113"/>
              <w:jc w:val="right"/>
              <w:rPr>
                <w:rFonts w:hAnsi="LinePrinter"/>
                <w:sz w:val="17"/>
              </w:rPr>
            </w:pPr>
            <w:r>
              <w:rPr>
                <w:rFonts w:hAnsi="LinePrinter"/>
                <w:sz w:val="17"/>
              </w:rPr>
              <w:t xml:space="preserve"> 3,073.8</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2,022.2</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763.5</w:t>
            </w:r>
          </w:p>
        </w:tc>
        <w:tc>
          <w:tcPr>
            <w:tcW w:w="1178" w:type="dxa"/>
          </w:tcPr>
          <w:p w:rsidR="00000000" w:rsidRDefault="00E960EA">
            <w:pPr>
              <w:spacing w:before="40" w:line="240" w:lineRule="auto"/>
              <w:ind w:right="113"/>
              <w:jc w:val="right"/>
              <w:rPr>
                <w:rFonts w:hAnsi="LinePrinter"/>
                <w:sz w:val="17"/>
              </w:rPr>
            </w:pPr>
            <w:r>
              <w:rPr>
                <w:rFonts w:hAnsi="LinePrinter"/>
                <w:sz w:val="17"/>
              </w:rPr>
              <w:t xml:space="preserve">    121.1</w:t>
            </w:r>
          </w:p>
        </w:tc>
      </w:tr>
      <w:tr w:rsidR="00000000">
        <w:tblPrEx>
          <w:tblCellMar>
            <w:top w:w="0" w:type="dxa"/>
            <w:bottom w:w="0" w:type="dxa"/>
          </w:tblCellMar>
        </w:tblPrEx>
        <w:trPr>
          <w:cantSplit/>
        </w:trPr>
        <w:tc>
          <w:tcPr>
            <w:tcW w:w="2643" w:type="dxa"/>
          </w:tcPr>
          <w:p w:rsidR="00000000" w:rsidRDefault="00E960EA">
            <w:pPr>
              <w:spacing w:before="40" w:line="240" w:lineRule="auto"/>
              <w:rPr>
                <w:rFonts w:hAnsi="LinePrinter"/>
                <w:sz w:val="18"/>
              </w:rPr>
            </w:pPr>
            <w:r>
              <w:rPr>
                <w:rFonts w:hAnsi="LinePrinter"/>
                <w:sz w:val="18"/>
              </w:rPr>
              <w:t xml:space="preserve"> </w:t>
            </w:r>
            <w:r>
              <w:rPr>
                <w:rFonts w:hAnsi="LinePrinter"/>
                <w:sz w:val="18"/>
              </w:rPr>
              <w:t xml:space="preserve">   </w:t>
            </w:r>
            <w:r>
              <w:rPr>
                <w:rFonts w:hAnsi="LinePrinter" w:hint="eastAsia"/>
                <w:sz w:val="18"/>
              </w:rPr>
              <w:t>公共服务</w:t>
            </w:r>
          </w:p>
        </w:tc>
        <w:tc>
          <w:tcPr>
            <w:tcW w:w="1222" w:type="dxa"/>
          </w:tcPr>
          <w:p w:rsidR="00000000" w:rsidRDefault="00E960EA">
            <w:pPr>
              <w:spacing w:before="40" w:line="240" w:lineRule="auto"/>
              <w:ind w:right="113"/>
              <w:jc w:val="right"/>
              <w:rPr>
                <w:rFonts w:hAnsi="LinePrinter"/>
                <w:sz w:val="17"/>
              </w:rPr>
            </w:pPr>
            <w:r>
              <w:rPr>
                <w:rFonts w:hAnsi="LinePrinter"/>
                <w:sz w:val="17"/>
              </w:rPr>
              <w:t xml:space="preserve">   263.0</w:t>
            </w:r>
          </w:p>
        </w:tc>
        <w:tc>
          <w:tcPr>
            <w:tcW w:w="1149" w:type="dxa"/>
          </w:tcPr>
          <w:p w:rsidR="00000000" w:rsidRDefault="00E960EA">
            <w:pPr>
              <w:spacing w:before="40" w:line="240" w:lineRule="auto"/>
              <w:ind w:right="113"/>
              <w:jc w:val="right"/>
              <w:rPr>
                <w:rFonts w:hAnsi="LinePrinter"/>
                <w:sz w:val="17"/>
              </w:rPr>
            </w:pPr>
            <w:r>
              <w:rPr>
                <w:rFonts w:hAnsi="LinePrinter"/>
                <w:sz w:val="17"/>
              </w:rPr>
              <w:t xml:space="preserve">   449.0</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347.7</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128.3</w:t>
            </w:r>
          </w:p>
        </w:tc>
        <w:tc>
          <w:tcPr>
            <w:tcW w:w="1178" w:type="dxa"/>
          </w:tcPr>
          <w:p w:rsidR="00000000" w:rsidRDefault="00E960EA">
            <w:pPr>
              <w:spacing w:before="40" w:line="240" w:lineRule="auto"/>
              <w:ind w:right="113"/>
              <w:jc w:val="right"/>
              <w:rPr>
                <w:rFonts w:hAnsi="LinePrinter"/>
                <w:sz w:val="17"/>
              </w:rPr>
            </w:pPr>
            <w:r>
              <w:rPr>
                <w:rFonts w:hAnsi="LinePrinter"/>
                <w:sz w:val="17"/>
              </w:rPr>
              <w:t xml:space="preserve">     40.3</w:t>
            </w:r>
          </w:p>
        </w:tc>
      </w:tr>
      <w:tr w:rsidR="00000000">
        <w:tblPrEx>
          <w:tblCellMar>
            <w:top w:w="0" w:type="dxa"/>
            <w:bottom w:w="0" w:type="dxa"/>
          </w:tblCellMar>
        </w:tblPrEx>
        <w:trPr>
          <w:cantSplit/>
        </w:trPr>
        <w:tc>
          <w:tcPr>
            <w:tcW w:w="2643" w:type="dxa"/>
          </w:tcPr>
          <w:p w:rsidR="00000000" w:rsidRDefault="00E960EA">
            <w:pPr>
              <w:spacing w:before="40" w:line="240" w:lineRule="auto"/>
              <w:rPr>
                <w:rFonts w:hAnsi="LinePrinter"/>
                <w:sz w:val="18"/>
              </w:rPr>
            </w:pPr>
            <w:r>
              <w:rPr>
                <w:rFonts w:hAnsi="LinePrinter"/>
                <w:sz w:val="18"/>
              </w:rPr>
              <w:t xml:space="preserve">    </w:t>
            </w:r>
            <w:r>
              <w:rPr>
                <w:rFonts w:hAnsi="LinePrinter" w:hint="eastAsia"/>
                <w:sz w:val="18"/>
              </w:rPr>
              <w:t>培训费</w:t>
            </w:r>
          </w:p>
        </w:tc>
        <w:tc>
          <w:tcPr>
            <w:tcW w:w="1222" w:type="dxa"/>
          </w:tcPr>
          <w:p w:rsidR="00000000" w:rsidRDefault="00E960EA">
            <w:pPr>
              <w:spacing w:before="40" w:line="240" w:lineRule="auto"/>
              <w:ind w:right="113"/>
              <w:jc w:val="right"/>
              <w:rPr>
                <w:rFonts w:hAnsi="LinePrinter"/>
                <w:sz w:val="17"/>
              </w:rPr>
            </w:pPr>
            <w:r>
              <w:rPr>
                <w:rFonts w:hAnsi="LinePrinter"/>
                <w:sz w:val="17"/>
              </w:rPr>
              <w:t xml:space="preserve">   278.3</w:t>
            </w:r>
          </w:p>
        </w:tc>
        <w:tc>
          <w:tcPr>
            <w:tcW w:w="1149" w:type="dxa"/>
          </w:tcPr>
          <w:p w:rsidR="00000000" w:rsidRDefault="00E960EA">
            <w:pPr>
              <w:spacing w:before="40" w:line="240" w:lineRule="auto"/>
              <w:ind w:right="113"/>
              <w:jc w:val="right"/>
              <w:rPr>
                <w:rFonts w:hAnsi="LinePrinter"/>
                <w:sz w:val="17"/>
              </w:rPr>
            </w:pPr>
            <w:r>
              <w:rPr>
                <w:rFonts w:hAnsi="LinePrinter"/>
                <w:sz w:val="17"/>
              </w:rPr>
              <w:t xml:space="preserve">   564.4</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263.6</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196.7</w:t>
            </w:r>
          </w:p>
        </w:tc>
        <w:tc>
          <w:tcPr>
            <w:tcW w:w="1178" w:type="dxa"/>
          </w:tcPr>
          <w:p w:rsidR="00000000" w:rsidRDefault="00E960EA">
            <w:pPr>
              <w:spacing w:before="40" w:line="240" w:lineRule="auto"/>
              <w:ind w:right="113"/>
              <w:jc w:val="right"/>
              <w:rPr>
                <w:rFonts w:hAnsi="LinePrinter"/>
                <w:sz w:val="17"/>
              </w:rPr>
            </w:pPr>
            <w:r>
              <w:rPr>
                <w:rFonts w:hAnsi="LinePrinter"/>
                <w:sz w:val="17"/>
              </w:rPr>
              <w:t xml:space="preserve">     23.1</w:t>
            </w:r>
          </w:p>
        </w:tc>
      </w:tr>
      <w:tr w:rsidR="00000000">
        <w:tblPrEx>
          <w:tblCellMar>
            <w:top w:w="0" w:type="dxa"/>
            <w:bottom w:w="0" w:type="dxa"/>
          </w:tblCellMar>
        </w:tblPrEx>
        <w:trPr>
          <w:cantSplit/>
        </w:trPr>
        <w:tc>
          <w:tcPr>
            <w:tcW w:w="2643" w:type="dxa"/>
          </w:tcPr>
          <w:p w:rsidR="00000000" w:rsidRDefault="00E960EA">
            <w:pPr>
              <w:spacing w:before="40" w:line="240" w:lineRule="auto"/>
              <w:rPr>
                <w:rFonts w:hAnsi="LinePrinter"/>
                <w:sz w:val="18"/>
              </w:rPr>
            </w:pPr>
            <w:r>
              <w:rPr>
                <w:rFonts w:hAnsi="LinePrinter"/>
                <w:sz w:val="18"/>
              </w:rPr>
              <w:t xml:space="preserve">    </w:t>
            </w:r>
            <w:r>
              <w:rPr>
                <w:rFonts w:hAnsi="LinePrinter" w:hint="eastAsia"/>
                <w:sz w:val="18"/>
              </w:rPr>
              <w:t>保健服务</w:t>
            </w:r>
          </w:p>
        </w:tc>
        <w:tc>
          <w:tcPr>
            <w:tcW w:w="1222" w:type="dxa"/>
          </w:tcPr>
          <w:p w:rsidR="00000000" w:rsidRDefault="00E960EA">
            <w:pPr>
              <w:spacing w:before="40" w:line="240" w:lineRule="auto"/>
              <w:ind w:right="113"/>
              <w:jc w:val="right"/>
              <w:rPr>
                <w:rFonts w:hAnsi="LinePrinter"/>
                <w:sz w:val="17"/>
              </w:rPr>
            </w:pPr>
            <w:r>
              <w:rPr>
                <w:rFonts w:hAnsi="LinePrinter"/>
                <w:sz w:val="17"/>
              </w:rPr>
              <w:t xml:space="preserve">   355.0</w:t>
            </w:r>
          </w:p>
        </w:tc>
        <w:tc>
          <w:tcPr>
            <w:tcW w:w="1149" w:type="dxa"/>
          </w:tcPr>
          <w:p w:rsidR="00000000" w:rsidRDefault="00E960EA">
            <w:pPr>
              <w:spacing w:before="40" w:line="240" w:lineRule="auto"/>
              <w:ind w:right="113"/>
              <w:jc w:val="right"/>
              <w:rPr>
                <w:rFonts w:hAnsi="LinePrinter"/>
                <w:sz w:val="17"/>
              </w:rPr>
            </w:pPr>
            <w:r>
              <w:rPr>
                <w:rFonts w:hAnsi="LinePrinter"/>
                <w:sz w:val="17"/>
              </w:rPr>
              <w:t xml:space="preserve">   303.2</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511.4</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332.7</w:t>
            </w:r>
          </w:p>
        </w:tc>
        <w:tc>
          <w:tcPr>
            <w:tcW w:w="1178" w:type="dxa"/>
          </w:tcPr>
          <w:p w:rsidR="00000000" w:rsidRDefault="00E960EA">
            <w:pPr>
              <w:spacing w:before="40" w:line="240" w:lineRule="auto"/>
              <w:ind w:right="113"/>
              <w:jc w:val="right"/>
              <w:rPr>
                <w:rFonts w:hAnsi="LinePrinter"/>
                <w:sz w:val="17"/>
              </w:rPr>
            </w:pPr>
            <w:r>
              <w:rPr>
                <w:rFonts w:hAnsi="LinePrinter"/>
                <w:sz w:val="17"/>
              </w:rPr>
              <w:t xml:space="preserve">    214.8</w:t>
            </w:r>
          </w:p>
        </w:tc>
      </w:tr>
      <w:tr w:rsidR="00000000">
        <w:tblPrEx>
          <w:tblCellMar>
            <w:top w:w="0" w:type="dxa"/>
            <w:bottom w:w="0" w:type="dxa"/>
          </w:tblCellMar>
        </w:tblPrEx>
        <w:trPr>
          <w:cantSplit/>
        </w:trPr>
        <w:tc>
          <w:tcPr>
            <w:tcW w:w="2643" w:type="dxa"/>
          </w:tcPr>
          <w:p w:rsidR="00000000" w:rsidRDefault="00E960EA">
            <w:pPr>
              <w:spacing w:before="40" w:line="240" w:lineRule="auto"/>
              <w:rPr>
                <w:rFonts w:hAnsi="LinePrinter"/>
                <w:sz w:val="18"/>
              </w:rPr>
            </w:pPr>
            <w:r>
              <w:rPr>
                <w:rFonts w:hAnsi="LinePrinter"/>
                <w:sz w:val="18"/>
              </w:rPr>
              <w:t xml:space="preserve">    </w:t>
            </w:r>
            <w:r>
              <w:rPr>
                <w:rFonts w:hAnsi="LinePrinter" w:hint="eastAsia"/>
                <w:sz w:val="18"/>
              </w:rPr>
              <w:t>税</w:t>
            </w:r>
          </w:p>
        </w:tc>
        <w:tc>
          <w:tcPr>
            <w:tcW w:w="1222" w:type="dxa"/>
          </w:tcPr>
          <w:p w:rsidR="00000000" w:rsidRDefault="00E960EA">
            <w:pPr>
              <w:spacing w:before="40" w:line="240" w:lineRule="auto"/>
              <w:ind w:right="113"/>
              <w:jc w:val="right"/>
              <w:rPr>
                <w:rFonts w:hAnsi="LinePrinter"/>
                <w:sz w:val="17"/>
              </w:rPr>
            </w:pPr>
            <w:r>
              <w:rPr>
                <w:rFonts w:hAnsi="LinePrinter"/>
                <w:sz w:val="17"/>
              </w:rPr>
              <w:t xml:space="preserve">   473.0</w:t>
            </w:r>
          </w:p>
        </w:tc>
        <w:tc>
          <w:tcPr>
            <w:tcW w:w="1149" w:type="dxa"/>
          </w:tcPr>
          <w:p w:rsidR="00000000" w:rsidRDefault="00E960EA">
            <w:pPr>
              <w:spacing w:before="40" w:line="240" w:lineRule="auto"/>
              <w:ind w:right="113"/>
              <w:jc w:val="right"/>
              <w:rPr>
                <w:rFonts w:hAnsi="LinePrinter"/>
                <w:sz w:val="17"/>
              </w:rPr>
            </w:pPr>
            <w:r>
              <w:rPr>
                <w:rFonts w:hAnsi="LinePrinter"/>
                <w:sz w:val="17"/>
              </w:rPr>
              <w:t xml:space="preserve">   384.1</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772.3</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377.8</w:t>
            </w:r>
          </w:p>
        </w:tc>
        <w:tc>
          <w:tcPr>
            <w:tcW w:w="1178" w:type="dxa"/>
          </w:tcPr>
          <w:p w:rsidR="00000000" w:rsidRDefault="00E960EA">
            <w:pPr>
              <w:spacing w:before="40" w:line="240" w:lineRule="auto"/>
              <w:ind w:right="113"/>
              <w:jc w:val="right"/>
              <w:rPr>
                <w:rFonts w:hAnsi="LinePrinter"/>
                <w:sz w:val="17"/>
              </w:rPr>
            </w:pPr>
            <w:r>
              <w:rPr>
                <w:rFonts w:hAnsi="LinePrinter"/>
                <w:sz w:val="17"/>
              </w:rPr>
              <w:t xml:space="preserve">    230.1</w:t>
            </w:r>
          </w:p>
        </w:tc>
      </w:tr>
      <w:tr w:rsidR="00000000">
        <w:tblPrEx>
          <w:tblCellMar>
            <w:top w:w="0" w:type="dxa"/>
            <w:bottom w:w="0" w:type="dxa"/>
          </w:tblCellMar>
        </w:tblPrEx>
        <w:trPr>
          <w:cantSplit/>
        </w:trPr>
        <w:tc>
          <w:tcPr>
            <w:tcW w:w="2643" w:type="dxa"/>
          </w:tcPr>
          <w:p w:rsidR="00000000" w:rsidRDefault="00E960EA">
            <w:pPr>
              <w:spacing w:before="40" w:line="240" w:lineRule="auto"/>
              <w:rPr>
                <w:rFonts w:hAnsi="LinePrinter"/>
                <w:sz w:val="18"/>
              </w:rPr>
            </w:pPr>
            <w:r>
              <w:rPr>
                <w:rFonts w:hAnsi="LinePrinter"/>
                <w:sz w:val="18"/>
              </w:rPr>
              <w:t xml:space="preserve">    </w:t>
            </w:r>
            <w:r>
              <w:rPr>
                <w:rFonts w:hAnsi="LinePrinter" w:hint="eastAsia"/>
                <w:sz w:val="18"/>
              </w:rPr>
              <w:t>其</w:t>
            </w:r>
            <w:r>
              <w:rPr>
                <w:rFonts w:hAnsi="LinePrinter"/>
                <w:sz w:val="18"/>
              </w:rPr>
              <w:t xml:space="preserve">  </w:t>
            </w:r>
            <w:r>
              <w:rPr>
                <w:rFonts w:hAnsi="LinePrinter" w:hint="eastAsia"/>
                <w:sz w:val="18"/>
              </w:rPr>
              <w:t>他</w:t>
            </w:r>
          </w:p>
        </w:tc>
        <w:tc>
          <w:tcPr>
            <w:tcW w:w="1222" w:type="dxa"/>
          </w:tcPr>
          <w:p w:rsidR="00000000" w:rsidRDefault="00E960EA">
            <w:pPr>
              <w:spacing w:before="40" w:line="240" w:lineRule="auto"/>
              <w:ind w:right="113"/>
              <w:jc w:val="right"/>
              <w:rPr>
                <w:rFonts w:hAnsi="LinePrinter"/>
                <w:sz w:val="17"/>
              </w:rPr>
            </w:pPr>
            <w:r>
              <w:rPr>
                <w:rFonts w:hAnsi="LinePrinter"/>
                <w:sz w:val="17"/>
              </w:rPr>
              <w:t xml:space="preserve"> 2,004.1</w:t>
            </w:r>
          </w:p>
        </w:tc>
        <w:tc>
          <w:tcPr>
            <w:tcW w:w="1149" w:type="dxa"/>
          </w:tcPr>
          <w:p w:rsidR="00000000" w:rsidRDefault="00E960EA">
            <w:pPr>
              <w:spacing w:before="40" w:line="240" w:lineRule="auto"/>
              <w:ind w:right="113"/>
              <w:jc w:val="right"/>
              <w:rPr>
                <w:rFonts w:hAnsi="LinePrinter"/>
                <w:sz w:val="17"/>
              </w:rPr>
            </w:pPr>
            <w:r>
              <w:rPr>
                <w:rFonts w:hAnsi="LinePrinter"/>
                <w:sz w:val="17"/>
              </w:rPr>
              <w:t xml:space="preserve"> 1,981.9</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w:t>
            </w:r>
            <w:r>
              <w:rPr>
                <w:rFonts w:hAnsi="LinePrinter"/>
                <w:sz w:val="17"/>
              </w:rPr>
              <w:t xml:space="preserve"> 2,542.7</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2,140.3</w:t>
            </w:r>
          </w:p>
        </w:tc>
        <w:tc>
          <w:tcPr>
            <w:tcW w:w="1178" w:type="dxa"/>
          </w:tcPr>
          <w:p w:rsidR="00000000" w:rsidRDefault="00E960EA">
            <w:pPr>
              <w:spacing w:before="40" w:line="240" w:lineRule="auto"/>
              <w:ind w:right="113"/>
              <w:jc w:val="right"/>
              <w:rPr>
                <w:rFonts w:hAnsi="LinePrinter"/>
                <w:sz w:val="17"/>
              </w:rPr>
            </w:pPr>
            <w:r>
              <w:rPr>
                <w:rFonts w:hAnsi="LinePrinter"/>
                <w:sz w:val="17"/>
              </w:rPr>
              <w:t xml:space="preserve">  1,084.3</w:t>
            </w:r>
          </w:p>
        </w:tc>
      </w:tr>
      <w:tr w:rsidR="00000000">
        <w:tblPrEx>
          <w:tblCellMar>
            <w:top w:w="0" w:type="dxa"/>
            <w:bottom w:w="0" w:type="dxa"/>
          </w:tblCellMar>
        </w:tblPrEx>
        <w:trPr>
          <w:cantSplit/>
        </w:trPr>
        <w:tc>
          <w:tcPr>
            <w:tcW w:w="2643" w:type="dxa"/>
          </w:tcPr>
          <w:p w:rsidR="00000000" w:rsidRDefault="00E960EA">
            <w:pPr>
              <w:spacing w:before="40" w:line="240" w:lineRule="auto"/>
              <w:rPr>
                <w:rFonts w:hAnsi="LinePrinter"/>
                <w:sz w:val="18"/>
              </w:rPr>
            </w:pPr>
            <w:r>
              <w:rPr>
                <w:rFonts w:hAnsi="LinePrinter"/>
                <w:sz w:val="18"/>
              </w:rPr>
              <w:t xml:space="preserve">4.  </w:t>
            </w:r>
            <w:r>
              <w:rPr>
                <w:rFonts w:hAnsi="LinePrinter" w:hint="eastAsia"/>
                <w:sz w:val="18"/>
              </w:rPr>
              <w:t>储蓄额</w:t>
            </w:r>
          </w:p>
        </w:tc>
        <w:tc>
          <w:tcPr>
            <w:tcW w:w="1222" w:type="dxa"/>
          </w:tcPr>
          <w:p w:rsidR="00000000" w:rsidRDefault="00E960EA">
            <w:pPr>
              <w:spacing w:before="40" w:line="240" w:lineRule="auto"/>
              <w:ind w:right="113"/>
              <w:jc w:val="right"/>
              <w:rPr>
                <w:rFonts w:hAnsi="LinePrinter"/>
                <w:sz w:val="17"/>
              </w:rPr>
            </w:pPr>
            <w:r>
              <w:rPr>
                <w:rFonts w:hAnsi="LinePrinter"/>
                <w:sz w:val="17"/>
              </w:rPr>
              <w:t xml:space="preserve">   312.3</w:t>
            </w:r>
          </w:p>
        </w:tc>
        <w:tc>
          <w:tcPr>
            <w:tcW w:w="1149" w:type="dxa"/>
          </w:tcPr>
          <w:p w:rsidR="00000000" w:rsidRDefault="00E960EA">
            <w:pPr>
              <w:spacing w:before="40" w:line="240" w:lineRule="auto"/>
              <w:ind w:right="113"/>
              <w:jc w:val="right"/>
              <w:rPr>
                <w:rFonts w:hAnsi="LinePrinter"/>
                <w:sz w:val="17"/>
              </w:rPr>
            </w:pPr>
            <w:r>
              <w:rPr>
                <w:rFonts w:hAnsi="LinePrinter"/>
                <w:sz w:val="17"/>
              </w:rPr>
              <w:t xml:space="preserve">   721.9</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86.2</w:t>
            </w:r>
          </w:p>
        </w:tc>
        <w:tc>
          <w:tcPr>
            <w:tcW w:w="1590" w:type="dxa"/>
          </w:tcPr>
          <w:p w:rsidR="00000000" w:rsidRDefault="00E960EA">
            <w:pPr>
              <w:spacing w:before="40" w:line="240" w:lineRule="auto"/>
              <w:ind w:right="284"/>
              <w:jc w:val="right"/>
              <w:rPr>
                <w:rFonts w:hAnsi="LinePrinter"/>
                <w:sz w:val="17"/>
              </w:rPr>
            </w:pPr>
            <w:r>
              <w:rPr>
                <w:rFonts w:hAnsi="LinePrinter"/>
                <w:sz w:val="17"/>
              </w:rPr>
              <w:t xml:space="preserve">   372.8</w:t>
            </w:r>
          </w:p>
        </w:tc>
        <w:tc>
          <w:tcPr>
            <w:tcW w:w="1178" w:type="dxa"/>
          </w:tcPr>
          <w:p w:rsidR="00000000" w:rsidRDefault="00E960EA">
            <w:pPr>
              <w:spacing w:before="40" w:line="240" w:lineRule="auto"/>
              <w:ind w:right="113"/>
              <w:jc w:val="right"/>
              <w:rPr>
                <w:rFonts w:hAnsi="LinePrinter"/>
                <w:sz w:val="17"/>
              </w:rPr>
            </w:pPr>
            <w:r>
              <w:rPr>
                <w:rFonts w:hAnsi="LinePrinter"/>
                <w:sz w:val="17"/>
              </w:rPr>
              <w:t xml:space="preserve">     97.9</w:t>
            </w:r>
          </w:p>
        </w:tc>
      </w:tr>
    </w:tbl>
    <w:p w:rsidR="00000000" w:rsidRDefault="00E960EA">
      <w:pPr>
        <w:pStyle w:val="Heading4"/>
        <w:spacing w:before="320"/>
      </w:pPr>
      <w:r>
        <w:rPr>
          <w:rFonts w:hint="eastAsia"/>
        </w:rPr>
        <w:t>对食品安全状况的分析</w:t>
      </w:r>
    </w:p>
    <w:p w:rsidR="00000000" w:rsidRDefault="00E960EA">
      <w:pPr>
        <w:spacing w:after="320"/>
        <w:textAlignment w:val="center"/>
      </w:pPr>
      <w:r>
        <w:tab/>
        <w:t xml:space="preserve">78.  </w:t>
      </w:r>
      <w:r>
        <w:rPr>
          <w:rFonts w:hint="eastAsia"/>
          <w:u w:val="single"/>
        </w:rPr>
        <w:t>宏观经济政策</w:t>
      </w:r>
      <w:r>
        <w:rPr>
          <w:rFonts w:hint="eastAsia"/>
        </w:rPr>
        <w:t>。为了实现顺利向市场经济过渡的目标，最近政府已经在着手阻止经济的下滑并稳定国民经济的工作，从而为进一步的发展奠定一个基础。国家财产和国营合作社的财产已被分配，贸易、服务组织和牲畜绝大多数已经转归私人所有，目前正在对制造业的绝大部分进行私营化。为向市场经济过渡而实施宏观经济政策的关键措施将振兴</w:t>
      </w:r>
      <w:r>
        <w:rPr>
          <w:rFonts w:hint="eastAsia"/>
        </w:rPr>
        <w:t>和确保国家工业，即食品工业的持续发展。</w:t>
      </w:r>
    </w:p>
    <w:p w:rsidR="00000000" w:rsidRDefault="00E960EA">
      <w:pPr>
        <w:pStyle w:val="Heading4"/>
      </w:pPr>
      <w:r>
        <w:rPr>
          <w:rFonts w:hint="eastAsia"/>
        </w:rPr>
        <w:t>影响食品持久供应的因素</w:t>
      </w:r>
    </w:p>
    <w:p w:rsidR="00000000" w:rsidRDefault="00E960EA">
      <w:r>
        <w:tab/>
        <w:t xml:space="preserve">79.  </w:t>
      </w:r>
      <w:r>
        <w:rPr>
          <w:rFonts w:hint="eastAsia"/>
          <w:u w:val="single"/>
        </w:rPr>
        <w:t>农业基础设施</w:t>
      </w:r>
      <w:r>
        <w:rPr>
          <w:rFonts w:hint="eastAsia"/>
        </w:rPr>
        <w:t>。由于私营化，过去的农产品生产、销售和贸易体系已四分五裂，在目前的过渡时期中，农民的生活条件已经恶化。由于离市场遥远，而且交通和能源供应有限，农村人口和生产者难以按能够使他们收回原材料和劳动成本的价格出售其产品。因此，他们的生活缺乏消费品和现金，有时采用以物换物的方法。由于农村工业、工作条件和文化服务的相对落后，从各省向首都移民的情况已变成一种非常明显的迹象。鉴于这种情况，发展各个省份，全力支持农业生产者，向家庭提供设备</w:t>
      </w:r>
      <w:r>
        <w:rPr>
          <w:rFonts w:hint="eastAsia"/>
        </w:rPr>
        <w:t>和技术并建立农村基础设施成了当务之急。</w:t>
      </w:r>
    </w:p>
    <w:p w:rsidR="00000000" w:rsidRDefault="00E960EA">
      <w:r>
        <w:tab/>
        <w:t xml:space="preserve">80.  </w:t>
      </w:r>
      <w:r>
        <w:rPr>
          <w:rFonts w:hint="eastAsia"/>
          <w:u w:val="single"/>
        </w:rPr>
        <w:t>农业耕作</w:t>
      </w:r>
      <w:r>
        <w:rPr>
          <w:rFonts w:hint="eastAsia"/>
        </w:rPr>
        <w:t>。由于转型期中发生经济下滑现象，农业产量也出现了下跌。政府已经制定了一个复兴农业的方案。于</w:t>
      </w:r>
      <w:r>
        <w:t>1996</w:t>
      </w:r>
      <w:r>
        <w:rPr>
          <w:rFonts w:hint="eastAsia"/>
        </w:rPr>
        <w:t>年</w:t>
      </w:r>
      <w:r>
        <w:t>11</w:t>
      </w:r>
      <w:r>
        <w:rPr>
          <w:rFonts w:hint="eastAsia"/>
        </w:rPr>
        <w:t>月举行的全国农民大会列出了一系列问题作为优先事项，即更新技能和技术、提高生产率并在种子方面做到自给自足，在国内生产化肥和杀虫剂并改进其供应，设立一个支农基金，由该基金为技术革新和化肥和杀虫剂的生产提供信贷，将私营农业实体的股份集中在拥有丰富的专业知识和管理技能的少数人身上。根据这些目标，政府通过了第</w:t>
      </w:r>
      <w:r>
        <w:t>49</w:t>
      </w:r>
      <w:r>
        <w:rPr>
          <w:rFonts w:hint="eastAsia"/>
        </w:rPr>
        <w:t>号决议，设立了一个支持农业和购买受国家控制的</w:t>
      </w:r>
      <w:r>
        <w:rPr>
          <w:rFonts w:hint="eastAsia"/>
        </w:rPr>
        <w:t>谷物的基金。但是，由于缺乏资金，设立这一基金的工作已经中止。目前正在着手制定一个农业技术革新项目，现在正在收集意见并进行修订。这一项目的期限预计将至</w:t>
      </w:r>
      <w:r>
        <w:t>2005</w:t>
      </w:r>
      <w:r>
        <w:rPr>
          <w:rFonts w:hint="eastAsia"/>
        </w:rPr>
        <w:t>年为止，为实现这一项目估计需要</w:t>
      </w:r>
      <w:r>
        <w:t>1</w:t>
      </w:r>
      <w:r>
        <w:rPr>
          <w:rFonts w:hint="eastAsia"/>
        </w:rPr>
        <w:t>亿</w:t>
      </w:r>
      <w:r>
        <w:t>8</w:t>
      </w:r>
      <w:r>
        <w:rPr>
          <w:rFonts w:hint="eastAsia"/>
        </w:rPr>
        <w:t>千万美元。同样，鉴于缺乏资金，计划从国际组织和给惠国寻求援助。</w:t>
      </w:r>
    </w:p>
    <w:p w:rsidR="00000000" w:rsidRDefault="00E960EA">
      <w:r>
        <w:tab/>
        <w:t xml:space="preserve">81.  </w:t>
      </w:r>
      <w:r>
        <w:rPr>
          <w:rFonts w:hint="eastAsia"/>
        </w:rPr>
        <w:t>根据政府于</w:t>
      </w:r>
      <w:r>
        <w:t>1997</w:t>
      </w:r>
      <w:r>
        <w:rPr>
          <w:rFonts w:hint="eastAsia"/>
        </w:rPr>
        <w:t>年</w:t>
      </w:r>
      <w:r>
        <w:t>6</w:t>
      </w:r>
      <w:r>
        <w:rPr>
          <w:rFonts w:hint="eastAsia"/>
        </w:rPr>
        <w:t>月作出的决定，已设立了一个农业管理部。</w:t>
      </w:r>
    </w:p>
    <w:p w:rsidR="00000000" w:rsidRDefault="00E960EA">
      <w:pPr>
        <w:spacing w:after="320"/>
        <w:textAlignment w:val="center"/>
      </w:pPr>
      <w:r>
        <w:tab/>
        <w:t xml:space="preserve">82.  </w:t>
      </w:r>
      <w:r>
        <w:rPr>
          <w:rFonts w:hint="eastAsia"/>
        </w:rPr>
        <w:t>已经确立了到</w:t>
      </w:r>
      <w:r>
        <w:t>2000</w:t>
      </w:r>
      <w:r>
        <w:rPr>
          <w:rFonts w:hint="eastAsia"/>
        </w:rPr>
        <w:t>年时做到土豆和其他主要蔬菜品种的自给自足的目标，为此，将实施各种具体的方案和项目。</w:t>
      </w:r>
    </w:p>
    <w:p w:rsidR="00000000" w:rsidRDefault="00E960EA">
      <w:pPr>
        <w:pStyle w:val="Heading4"/>
      </w:pPr>
      <w:r>
        <w:rPr>
          <w:rFonts w:hint="eastAsia"/>
        </w:rPr>
        <w:t>食品进口</w:t>
      </w:r>
    </w:p>
    <w:p w:rsidR="00000000" w:rsidRDefault="00E960EA">
      <w:r>
        <w:tab/>
        <w:t xml:space="preserve">83.  </w:t>
      </w:r>
      <w:r>
        <w:rPr>
          <w:rFonts w:hint="eastAsia"/>
        </w:rPr>
        <w:t>随着转型初期农作物和食品产量的大幅度下跌，进</w:t>
      </w:r>
      <w:r>
        <w:rPr>
          <w:rFonts w:hint="eastAsia"/>
        </w:rPr>
        <w:t>口品在满足当地食品需求方面的作用日益增加。下面提供的数字清楚地反映了在过去三年中食品进口量不断上升的情况。根据海关统计，</w:t>
      </w:r>
      <w:r>
        <w:t>1994</w:t>
      </w:r>
      <w:r>
        <w:rPr>
          <w:rFonts w:hint="eastAsia"/>
        </w:rPr>
        <w:t>年食品进口总额达</w:t>
      </w:r>
      <w:r>
        <w:t>1,770</w:t>
      </w:r>
      <w:r>
        <w:rPr>
          <w:rFonts w:hint="eastAsia"/>
        </w:rPr>
        <w:t>万美元，而</w:t>
      </w:r>
      <w:r>
        <w:t>1995</w:t>
      </w:r>
      <w:r>
        <w:rPr>
          <w:rFonts w:hint="eastAsia"/>
        </w:rPr>
        <w:t>年则达到</w:t>
      </w:r>
      <w:r>
        <w:t>3,180</w:t>
      </w:r>
      <w:r>
        <w:rPr>
          <w:rFonts w:hint="eastAsia"/>
        </w:rPr>
        <w:t>万美元，</w:t>
      </w:r>
      <w:r>
        <w:t>1996</w:t>
      </w:r>
      <w:r>
        <w:rPr>
          <w:rFonts w:hint="eastAsia"/>
        </w:rPr>
        <w:t>年头</w:t>
      </w:r>
      <w:r>
        <w:t>9</w:t>
      </w:r>
      <w:r>
        <w:rPr>
          <w:rFonts w:hint="eastAsia"/>
        </w:rPr>
        <w:t>个月已达到</w:t>
      </w:r>
      <w:r>
        <w:t>3,430</w:t>
      </w:r>
      <w:r>
        <w:rPr>
          <w:rFonts w:hint="eastAsia"/>
        </w:rPr>
        <w:t>万美元。</w:t>
      </w:r>
    </w:p>
    <w:p w:rsidR="00000000" w:rsidRDefault="00E960EA">
      <w:r>
        <w:tab/>
        <w:t xml:space="preserve">84.  </w:t>
      </w:r>
      <w:r>
        <w:rPr>
          <w:rFonts w:hint="eastAsia"/>
        </w:rPr>
        <w:t>根据对诸如面粉、大米、食糖、绿茶、蔬菜油等主要食品类别的生产和供求关系的平衡所作的定期调查，目前正在采取有关措施，以期改善目前的状况。从</w:t>
      </w:r>
      <w:r>
        <w:t>1994</w:t>
      </w:r>
      <w:r>
        <w:rPr>
          <w:rFonts w:hint="eastAsia"/>
        </w:rPr>
        <w:t>年</w:t>
      </w:r>
      <w:r>
        <w:t>1</w:t>
      </w:r>
      <w:r>
        <w:rPr>
          <w:rFonts w:hint="eastAsia"/>
        </w:rPr>
        <w:t>月</w:t>
      </w:r>
      <w:r>
        <w:t>1</w:t>
      </w:r>
      <w:r>
        <w:rPr>
          <w:rFonts w:hint="eastAsia"/>
        </w:rPr>
        <w:t>日起已经取消了进口面粉的关税。同时，已开始从给惠国进口面粉。另外，鉴于面粉短缺，只够供应至</w:t>
      </w:r>
      <w:r>
        <w:t>1996</w:t>
      </w:r>
      <w:r>
        <w:rPr>
          <w:rFonts w:hint="eastAsia"/>
        </w:rPr>
        <w:t>年秋收为</w:t>
      </w:r>
      <w:r>
        <w:rPr>
          <w:rFonts w:hint="eastAsia"/>
        </w:rPr>
        <w:t>止，政府已发放</w:t>
      </w:r>
      <w:r>
        <w:t>10</w:t>
      </w:r>
      <w:r>
        <w:rPr>
          <w:rFonts w:hint="eastAsia"/>
        </w:rPr>
        <w:t>亿图格里克的软贷款，用于进口面粉。</w:t>
      </w:r>
    </w:p>
    <w:p w:rsidR="00000000" w:rsidRDefault="00E960EA">
      <w:pPr>
        <w:spacing w:after="320"/>
        <w:textAlignment w:val="center"/>
      </w:pPr>
      <w:r>
        <w:tab/>
        <w:t xml:space="preserve">85.  </w:t>
      </w:r>
      <w:r>
        <w:rPr>
          <w:rFonts w:hint="eastAsia"/>
        </w:rPr>
        <w:t>食糖和大米是完全进口的两类食品。因此，政府支持并已开始实施就地种植适当作物并建立加工工业的项目，以便做到在国内生产这些制成品。同时，政府一直在执行一项减轻食糖和大米进口的关税政策。</w:t>
      </w:r>
    </w:p>
    <w:p w:rsidR="00000000" w:rsidRDefault="00E960EA">
      <w:pPr>
        <w:pStyle w:val="Heading4"/>
      </w:pPr>
      <w:r>
        <w:rPr>
          <w:rFonts w:hint="eastAsia"/>
        </w:rPr>
        <w:t>无偿粮食援助</w:t>
      </w:r>
    </w:p>
    <w:p w:rsidR="00000000" w:rsidRDefault="00E960EA">
      <w:r>
        <w:tab/>
        <w:t xml:space="preserve">86.  </w:t>
      </w:r>
      <w:r>
        <w:rPr>
          <w:rFonts w:hint="eastAsia"/>
        </w:rPr>
        <w:t>拨出由日本、俄罗斯联邦、中国和意大利等给惠国提供的援助基金的一部分用于购买主要的食品，是平衡市场对食品的供求关系的一个十分重要的措施。因此，在此方面可以举出许多例子，如台湾提供了</w:t>
      </w:r>
      <w:r>
        <w:t>20</w:t>
      </w:r>
      <w:r>
        <w:rPr>
          <w:rFonts w:hint="eastAsia"/>
        </w:rPr>
        <w:t>吨大米，美国提供了</w:t>
      </w:r>
      <w:r>
        <w:t>2,000</w:t>
      </w:r>
      <w:r>
        <w:rPr>
          <w:rFonts w:hint="eastAsia"/>
        </w:rPr>
        <w:t>吨黄油，日本提供了面粉等。</w:t>
      </w:r>
    </w:p>
    <w:p w:rsidR="00000000" w:rsidRDefault="00E960EA">
      <w:pPr>
        <w:spacing w:after="320"/>
        <w:textAlignment w:val="center"/>
      </w:pPr>
      <w:r>
        <w:tab/>
        <w:t xml:space="preserve">87.  </w:t>
      </w:r>
      <w:r>
        <w:rPr>
          <w:rFonts w:hint="eastAsia"/>
        </w:rPr>
        <w:t>由于执行了将蒙古获得的软贷款和援助用于支持发展中小型食品企业购买小型面粉厂的政策，这种小型企业如雨后春笋般出现，产量正在不断提高。外国提供的信贷基金还推动了加工蔬菜油的项目。</w:t>
      </w:r>
    </w:p>
    <w:p w:rsidR="00000000" w:rsidRDefault="00E960EA">
      <w:pPr>
        <w:pStyle w:val="Heading4"/>
      </w:pPr>
      <w:r>
        <w:rPr>
          <w:rFonts w:hint="eastAsia"/>
        </w:rPr>
        <w:t>食品出口</w:t>
      </w:r>
    </w:p>
    <w:p w:rsidR="00000000" w:rsidRDefault="00E960EA">
      <w:pPr>
        <w:spacing w:after="320"/>
        <w:textAlignment w:val="center"/>
      </w:pPr>
      <w:r>
        <w:tab/>
        <w:t xml:space="preserve">88.  </w:t>
      </w:r>
      <w:r>
        <w:rPr>
          <w:rFonts w:hint="eastAsia"/>
        </w:rPr>
        <w:t>肉类和肉类制品曾经是蒙古的主要出口产品，但是，近年来出口量大幅度下跌。</w:t>
      </w:r>
      <w:r>
        <w:t>1994</w:t>
      </w:r>
      <w:r>
        <w:rPr>
          <w:rFonts w:hint="eastAsia"/>
        </w:rPr>
        <w:t>年肉类制品的出口总额达到</w:t>
      </w:r>
      <w:r>
        <w:t>720</w:t>
      </w:r>
      <w:r>
        <w:rPr>
          <w:rFonts w:hint="eastAsia"/>
        </w:rPr>
        <w:t>万美元，</w:t>
      </w:r>
      <w:r>
        <w:t>1995</w:t>
      </w:r>
      <w:r>
        <w:rPr>
          <w:rFonts w:hint="eastAsia"/>
        </w:rPr>
        <w:t>年为</w:t>
      </w:r>
      <w:r>
        <w:t>300</w:t>
      </w:r>
      <w:r>
        <w:rPr>
          <w:rFonts w:hint="eastAsia"/>
        </w:rPr>
        <w:t>万美元，而</w:t>
      </w:r>
      <w:r>
        <w:t>1996</w:t>
      </w:r>
      <w:r>
        <w:rPr>
          <w:rFonts w:hint="eastAsia"/>
        </w:rPr>
        <w:t>年头</w:t>
      </w:r>
      <w:r>
        <w:t>9</w:t>
      </w:r>
      <w:r>
        <w:rPr>
          <w:rFonts w:hint="eastAsia"/>
        </w:rPr>
        <w:t>个月为</w:t>
      </w:r>
      <w:r>
        <w:t>310</w:t>
      </w:r>
      <w:r>
        <w:rPr>
          <w:rFonts w:hint="eastAsia"/>
        </w:rPr>
        <w:t>万美元。</w:t>
      </w:r>
    </w:p>
    <w:p w:rsidR="00000000" w:rsidRDefault="00E960EA">
      <w:pPr>
        <w:pStyle w:val="Heading4"/>
      </w:pPr>
      <w:r>
        <w:rPr>
          <w:rFonts w:hint="eastAsia"/>
        </w:rPr>
        <w:t>食品质量</w:t>
      </w:r>
    </w:p>
    <w:p w:rsidR="00000000" w:rsidRDefault="00E960EA">
      <w:pPr>
        <w:spacing w:after="320"/>
        <w:textAlignment w:val="center"/>
      </w:pPr>
      <w:r>
        <w:tab/>
        <w:t xml:space="preserve">89.  </w:t>
      </w:r>
      <w:r>
        <w:rPr>
          <w:rFonts w:hint="eastAsia"/>
        </w:rPr>
        <w:t>对当地生产和进口的食品质量迄今为止还未做到很好地监控。目前正努力争取给惠国帮助制定和实施一个目的在于</w:t>
      </w:r>
      <w:r>
        <w:rPr>
          <w:rFonts w:hint="eastAsia"/>
        </w:rPr>
        <w:t>建立一个监管进口产品质量的组织结构和体系的项目。</w:t>
      </w:r>
    </w:p>
    <w:p w:rsidR="00000000" w:rsidRDefault="00E960EA">
      <w:pPr>
        <w:pStyle w:val="Heading4"/>
      </w:pPr>
      <w:r>
        <w:rPr>
          <w:rFonts w:hint="eastAsia"/>
        </w:rPr>
        <w:t>城市建设和人类住区</w:t>
      </w:r>
    </w:p>
    <w:p w:rsidR="00000000" w:rsidRDefault="00E960EA">
      <w:r>
        <w:tab/>
        <w:t xml:space="preserve">90.  </w:t>
      </w:r>
      <w:r>
        <w:rPr>
          <w:rFonts w:hint="eastAsia"/>
        </w:rPr>
        <w:t>自古以来，蒙古人曾一直住在蒙古包中从事畜牧业。今天，蒙古已成为定居生活方式与游牧文明的特点相结合的国家。</w:t>
      </w:r>
      <w:r>
        <w:t>1994</w:t>
      </w:r>
      <w:r>
        <w:rPr>
          <w:rFonts w:hint="eastAsia"/>
        </w:rPr>
        <w:t>年，蒙古人口达到了</w:t>
      </w:r>
      <w:r>
        <w:t>225</w:t>
      </w:r>
      <w:r>
        <w:rPr>
          <w:rFonts w:hint="eastAsia"/>
        </w:rPr>
        <w:t>万，其中四分之一生活在首都乌兰巴托。除首都之外，</w:t>
      </w:r>
      <w:r>
        <w:t>20</w:t>
      </w:r>
      <w:r>
        <w:rPr>
          <w:rFonts w:hint="eastAsia"/>
        </w:rPr>
        <w:t>个省中心和</w:t>
      </w:r>
      <w:r>
        <w:t>300</w:t>
      </w:r>
      <w:r>
        <w:rPr>
          <w:rFonts w:hint="eastAsia"/>
        </w:rPr>
        <w:t>个农村定居点采用了定居的生活方式。</w:t>
      </w:r>
    </w:p>
    <w:p w:rsidR="00000000" w:rsidRDefault="00E960EA">
      <w:r>
        <w:tab/>
        <w:t xml:space="preserve">91.  </w:t>
      </w:r>
      <w:r>
        <w:rPr>
          <w:rFonts w:hint="eastAsia"/>
        </w:rPr>
        <w:t>与城市建设与住房有关的问题一贯被认为是国家政策不可分割的一部分，并根据一项具体的行动方针加以发展。从</w:t>
      </w:r>
      <w:r>
        <w:t>90</w:t>
      </w:r>
      <w:r>
        <w:rPr>
          <w:rFonts w:hint="eastAsia"/>
        </w:rPr>
        <w:t>年代开始，就着手改进有关城市建设和住房的立法，根据社会和经济的新局面对有关</w:t>
      </w:r>
      <w:r>
        <w:rPr>
          <w:rFonts w:hint="eastAsia"/>
        </w:rPr>
        <w:t>技术规格和标准进行修订。因此，已根据新的《宪法》、《土地法》和《环境法》颁布了关于住房私有化和公寓共同拥有制的法律。《城市建设法》和《住房法》的草案已经提交国家大呼拉尔。</w:t>
      </w:r>
    </w:p>
    <w:p w:rsidR="00000000" w:rsidRDefault="00E960EA">
      <w:pPr>
        <w:spacing w:after="320"/>
        <w:textAlignment w:val="center"/>
      </w:pPr>
      <w:r>
        <w:tab/>
        <w:t xml:space="preserve">92.  </w:t>
      </w:r>
      <w:r>
        <w:rPr>
          <w:rFonts w:hint="eastAsia"/>
        </w:rPr>
        <w:t>根据城市建设政策，政府还向国家大呼拉尔提交了本着两次人类生境会议精神于</w:t>
      </w:r>
      <w:r>
        <w:t>1992</w:t>
      </w:r>
      <w:r>
        <w:rPr>
          <w:rFonts w:hint="eastAsia"/>
        </w:rPr>
        <w:t>年至</w:t>
      </w:r>
      <w:r>
        <w:t>1996</w:t>
      </w:r>
      <w:r>
        <w:rPr>
          <w:rFonts w:hint="eastAsia"/>
        </w:rPr>
        <w:t>年制定的人类住区准则。这一文件提出了发展相对自治，能够与其他地区竞争并拥有适当的公路、交通、能源、通讯和信息流动网络的住区的目标，这种住区最终将推动国家社会和经济发展所需的基础设施的建设。随着这一项目的分阶段实施，预计可以制止人口向首都的</w:t>
      </w:r>
      <w:r>
        <w:rPr>
          <w:rFonts w:hint="eastAsia"/>
        </w:rPr>
        <w:t>流入，分散城市的密度并消除国家边远地区社会经济发展水平和生活标准之间的差异，确保区域中心的优先发展和所有地区的平衡发展。为此目的，计划每年从国家和地方预算中给予拨款。</w:t>
      </w:r>
    </w:p>
    <w:p w:rsidR="00000000" w:rsidRDefault="00E960EA">
      <w:pPr>
        <w:pStyle w:val="Heading4"/>
      </w:pPr>
      <w:r>
        <w:rPr>
          <w:rFonts w:hint="eastAsia"/>
        </w:rPr>
        <w:t>住</w:t>
      </w:r>
      <w:r>
        <w:t xml:space="preserve">  </w:t>
      </w:r>
      <w:r>
        <w:rPr>
          <w:rFonts w:hint="eastAsia"/>
        </w:rPr>
        <w:t>房</w:t>
      </w:r>
    </w:p>
    <w:p w:rsidR="00000000" w:rsidRDefault="00E960EA">
      <w:r>
        <w:tab/>
        <w:t xml:space="preserve">93.  </w:t>
      </w:r>
      <w:r>
        <w:rPr>
          <w:rFonts w:hint="eastAsia"/>
        </w:rPr>
        <w:t>在</w:t>
      </w:r>
      <w:r>
        <w:t>1971</w:t>
      </w:r>
      <w:r>
        <w:rPr>
          <w:rFonts w:hint="eastAsia"/>
        </w:rPr>
        <w:t>年至</w:t>
      </w:r>
      <w:r>
        <w:t>1990</w:t>
      </w:r>
      <w:r>
        <w:rPr>
          <w:rFonts w:hint="eastAsia"/>
        </w:rPr>
        <w:t>年的这段中央计划经济期间，共建造了</w:t>
      </w:r>
      <w:r>
        <w:t>5,632,000</w:t>
      </w:r>
      <w:r>
        <w:rPr>
          <w:rFonts w:hint="eastAsia"/>
        </w:rPr>
        <w:t>平方米的住房。从</w:t>
      </w:r>
      <w:r>
        <w:t>1990</w:t>
      </w:r>
      <w:r>
        <w:rPr>
          <w:rFonts w:hint="eastAsia"/>
        </w:rPr>
        <w:t>年至今，这一数字已下降为</w:t>
      </w:r>
      <w:r>
        <w:t>946,500</w:t>
      </w:r>
      <w:r>
        <w:rPr>
          <w:rFonts w:hint="eastAsia"/>
        </w:rPr>
        <w:t>平方米。目前，</w:t>
      </w:r>
      <w:r>
        <w:t>24%</w:t>
      </w:r>
      <w:r>
        <w:rPr>
          <w:rFonts w:hint="eastAsia"/>
        </w:rPr>
        <w:t>的人口生活在面积达</w:t>
      </w:r>
      <w:r>
        <w:t>4,887,500</w:t>
      </w:r>
      <w:r>
        <w:rPr>
          <w:rFonts w:hint="eastAsia"/>
        </w:rPr>
        <w:t>平方米的</w:t>
      </w:r>
      <w:r>
        <w:t>94,000</w:t>
      </w:r>
      <w:r>
        <w:rPr>
          <w:rFonts w:hint="eastAsia"/>
        </w:rPr>
        <w:t>套公寓中。首都的住房供应占</w:t>
      </w:r>
      <w:r>
        <w:t>Darkhan-Uul</w:t>
      </w:r>
      <w:r>
        <w:rPr>
          <w:rFonts w:hint="eastAsia"/>
        </w:rPr>
        <w:t>省的</w:t>
      </w:r>
      <w:r>
        <w:t>49.3%</w:t>
      </w:r>
      <w:r>
        <w:rPr>
          <w:rFonts w:hint="eastAsia"/>
        </w:rPr>
        <w:t>，</w:t>
      </w:r>
      <w:r>
        <w:t>Orkhon</w:t>
      </w:r>
      <w:r>
        <w:rPr>
          <w:rFonts w:hint="eastAsia"/>
        </w:rPr>
        <w:t>省的</w:t>
      </w:r>
      <w:r>
        <w:t>59.6%</w:t>
      </w:r>
      <w:r>
        <w:rPr>
          <w:rFonts w:hint="eastAsia"/>
        </w:rPr>
        <w:t>，其它省份的</w:t>
      </w:r>
      <w:r>
        <w:t>61%</w:t>
      </w:r>
      <w:r>
        <w:rPr>
          <w:rFonts w:hint="eastAsia"/>
        </w:rPr>
        <w:t>。</w:t>
      </w:r>
      <w:r>
        <w:rPr>
          <w:rFonts w:hint="eastAsia"/>
        </w:rPr>
        <w:t>在蒙古家庭总数中，</w:t>
      </w:r>
      <w:r>
        <w:t>64%</w:t>
      </w:r>
      <w:r>
        <w:rPr>
          <w:rFonts w:hint="eastAsia"/>
        </w:rPr>
        <w:t>的家庭住在蒙古包中，</w:t>
      </w:r>
      <w:r>
        <w:t>22%</w:t>
      </w:r>
      <w:r>
        <w:rPr>
          <w:rFonts w:hint="eastAsia"/>
        </w:rPr>
        <w:t>的家庭住在公寓中，</w:t>
      </w:r>
      <w:r>
        <w:t>1%</w:t>
      </w:r>
      <w:r>
        <w:rPr>
          <w:rFonts w:hint="eastAsia"/>
        </w:rPr>
        <w:t>的家庭居住在私人根据建造规划建造的房子中，</w:t>
      </w:r>
      <w:r>
        <w:t>14%</w:t>
      </w:r>
      <w:r>
        <w:rPr>
          <w:rFonts w:hint="eastAsia"/>
        </w:rPr>
        <w:t>的家庭居住在凭借造房者自己的能力建起的私房中。城市地区人均居住面积为</w:t>
      </w:r>
      <w:r>
        <w:t>7.7</w:t>
      </w:r>
      <w:r>
        <w:rPr>
          <w:rFonts w:hint="eastAsia"/>
        </w:rPr>
        <w:t>平方米，而在各省中为</w:t>
      </w:r>
      <w:r>
        <w:t>5.6</w:t>
      </w:r>
      <w:r>
        <w:rPr>
          <w:rFonts w:hint="eastAsia"/>
        </w:rPr>
        <w:t>平方米。</w:t>
      </w:r>
    </w:p>
    <w:p w:rsidR="00000000" w:rsidRDefault="00E960EA">
      <w:r>
        <w:tab/>
        <w:t xml:space="preserve">94.  </w:t>
      </w:r>
      <w:r>
        <w:rPr>
          <w:rFonts w:hint="eastAsia"/>
        </w:rPr>
        <w:t>自</w:t>
      </w:r>
      <w:r>
        <w:t>1990</w:t>
      </w:r>
      <w:r>
        <w:rPr>
          <w:rFonts w:hint="eastAsia"/>
        </w:rPr>
        <w:t>年以来，对住房建设的投资大幅度下降，人们不断谈及应当建立必要的法律基础，从而推动房产部门进入市场经济环境，修改房产所有制关系，并使房产部门的结构和组织合理化。</w:t>
      </w:r>
    </w:p>
    <w:p w:rsidR="00000000" w:rsidRDefault="00E960EA">
      <w:r>
        <w:tab/>
        <w:t xml:space="preserve">95.  </w:t>
      </w:r>
      <w:r>
        <w:rPr>
          <w:rFonts w:hint="eastAsia"/>
        </w:rPr>
        <w:t>宪法规定公民有权“生活在健康和安全的环境中”，这一规定完全可以被视为是自用于构成一个人的</w:t>
      </w:r>
      <w:r>
        <w:rPr>
          <w:rFonts w:hint="eastAsia"/>
        </w:rPr>
        <w:t>生活空间的住房的一个关键的要求。宪法还规定，“禁止非法没收和征用公民的私人财产”，“住处的隐私应得到法律保护”，这些规定为保障公寓主人的财产权提供了法律依据。</w:t>
      </w:r>
    </w:p>
    <w:p w:rsidR="00000000" w:rsidRDefault="00E960EA">
      <w:r>
        <w:tab/>
        <w:t xml:space="preserve">96.  </w:t>
      </w:r>
      <w:r>
        <w:rPr>
          <w:rFonts w:hint="eastAsia"/>
        </w:rPr>
        <w:t>在规划、建造和使用住房时，必须遵守适当的卫生标准和条例。在家庭总数中，</w:t>
      </w:r>
      <w:r>
        <w:t>64%</w:t>
      </w:r>
      <w:r>
        <w:rPr>
          <w:rFonts w:hint="eastAsia"/>
        </w:rPr>
        <w:t>或</w:t>
      </w:r>
      <w:r>
        <w:t>284,200</w:t>
      </w:r>
      <w:r>
        <w:rPr>
          <w:rFonts w:hint="eastAsia"/>
        </w:rPr>
        <w:t>户人家住在蒙古包中，</w:t>
      </w:r>
      <w:r>
        <w:t>14%</w:t>
      </w:r>
      <w:r>
        <w:rPr>
          <w:rFonts w:hint="eastAsia"/>
        </w:rPr>
        <w:t>或</w:t>
      </w:r>
      <w:r>
        <w:t>70,912</w:t>
      </w:r>
      <w:r>
        <w:rPr>
          <w:rFonts w:hint="eastAsia"/>
        </w:rPr>
        <w:t>户家庭居住在私人建造的住房中，换句话说，在所有家庭中，有</w:t>
      </w:r>
      <w:r>
        <w:t>48%</w:t>
      </w:r>
      <w:r>
        <w:rPr>
          <w:rFonts w:hint="eastAsia"/>
        </w:rPr>
        <w:t>的家庭居住在没有清洁水、下水道或中央供暖系统的地方。</w:t>
      </w:r>
    </w:p>
    <w:p w:rsidR="00000000" w:rsidRDefault="00E960EA">
      <w:pPr>
        <w:spacing w:after="320"/>
        <w:textAlignment w:val="center"/>
      </w:pPr>
      <w:r>
        <w:tab/>
        <w:t xml:space="preserve">97.  </w:t>
      </w:r>
      <w:r>
        <w:rPr>
          <w:rFonts w:hint="eastAsia"/>
        </w:rPr>
        <w:t>目前正在拟订中的《住房法》草案的目标是要增加住房的供应，处理与改进住房质量和使用</w:t>
      </w:r>
      <w:r>
        <w:rPr>
          <w:rFonts w:hint="eastAsia"/>
        </w:rPr>
        <w:t>公房相关的关系，并建立有关的法律基础和运作制度。这一草案规定各种所有制形式的专业组织均可以在获得许可证后从事建造和维修工作。各种私营组织正越来越多地参与住房建设。今后，为增加国内的住房供应，看来可以通过投标方式允许私营部门参与，向它们提供国家资金。</w:t>
      </w:r>
    </w:p>
    <w:p w:rsidR="00000000" w:rsidRDefault="00E960EA">
      <w:pPr>
        <w:pStyle w:val="Heading3"/>
      </w:pPr>
      <w:r>
        <w:rPr>
          <w:rFonts w:hint="eastAsia"/>
        </w:rPr>
        <w:t>第</w:t>
      </w:r>
      <w:r>
        <w:t xml:space="preserve"> 12 </w:t>
      </w:r>
      <w:r>
        <w:rPr>
          <w:rFonts w:hint="eastAsia"/>
        </w:rPr>
        <w:t>条</w:t>
      </w:r>
    </w:p>
    <w:p w:rsidR="00000000" w:rsidRDefault="00E960EA">
      <w:pPr>
        <w:spacing w:line="348" w:lineRule="auto"/>
      </w:pPr>
      <w:r>
        <w:tab/>
        <w:t xml:space="preserve">98.  </w:t>
      </w:r>
      <w:r>
        <w:rPr>
          <w:rFonts w:hint="eastAsia"/>
        </w:rPr>
        <w:t>《宪法》</w:t>
      </w:r>
      <w:r>
        <w:t>(</w:t>
      </w:r>
      <w:r>
        <w:rPr>
          <w:rFonts w:hint="eastAsia"/>
        </w:rPr>
        <w:t>第</w:t>
      </w:r>
      <w:r>
        <w:t>16</w:t>
      </w:r>
      <w:r>
        <w:rPr>
          <w:rFonts w:hint="eastAsia"/>
        </w:rPr>
        <w:t>条</w:t>
      </w:r>
      <w:r>
        <w:t>)</w:t>
      </w:r>
      <w:r>
        <w:rPr>
          <w:rFonts w:hint="eastAsia"/>
        </w:rPr>
        <w:t>宣布公民享有健康保护和医疗保健的权利。</w:t>
      </w:r>
    </w:p>
    <w:p w:rsidR="00000000" w:rsidRDefault="00E960EA">
      <w:pPr>
        <w:spacing w:line="348" w:lineRule="auto"/>
      </w:pPr>
      <w:r>
        <w:tab/>
        <w:t xml:space="preserve">99.  </w:t>
      </w:r>
      <w:r>
        <w:rPr>
          <w:rFonts w:hint="eastAsia"/>
        </w:rPr>
        <w:t>根据</w:t>
      </w:r>
      <w:r>
        <w:t>1993</w:t>
      </w:r>
      <w:r>
        <w:rPr>
          <w:rFonts w:hint="eastAsia"/>
        </w:rPr>
        <w:t>年颁布的《公民健康保险法》的第</w:t>
      </w:r>
      <w:r>
        <w:t>3</w:t>
      </w:r>
      <w:r>
        <w:rPr>
          <w:rFonts w:hint="eastAsia"/>
        </w:rPr>
        <w:t>条，蒙古公民，无论是否投保，均应获得下述无偿的医疗救护：</w:t>
      </w:r>
    </w:p>
    <w:p w:rsidR="00000000" w:rsidRDefault="00E960EA" w:rsidP="00E960EA">
      <w:pPr>
        <w:pStyle w:val="a0"/>
        <w:numPr>
          <w:ilvl w:val="0"/>
          <w:numId w:val="5"/>
        </w:numPr>
        <w:spacing w:line="348" w:lineRule="auto"/>
        <w:ind w:left="1531" w:hanging="510"/>
      </w:pPr>
      <w:r>
        <w:rPr>
          <w:rFonts w:hint="eastAsia"/>
        </w:rPr>
        <w:t>国营卫生所、药房和家庭医生提供的身体检查、分析和治疗；</w:t>
      </w:r>
    </w:p>
    <w:p w:rsidR="00000000" w:rsidRDefault="00E960EA" w:rsidP="00E960EA">
      <w:pPr>
        <w:pStyle w:val="a0"/>
        <w:numPr>
          <w:ilvl w:val="0"/>
          <w:numId w:val="5"/>
        </w:numPr>
        <w:spacing w:line="348" w:lineRule="auto"/>
        <w:ind w:left="1531" w:hanging="510"/>
      </w:pPr>
      <w:r>
        <w:rPr>
          <w:rFonts w:hint="eastAsia"/>
        </w:rPr>
        <w:t>救护车</w:t>
      </w:r>
      <w:r>
        <w:rPr>
          <w:rFonts w:hint="eastAsia"/>
        </w:rPr>
        <w:t>服务；</w:t>
      </w:r>
    </w:p>
    <w:p w:rsidR="00000000" w:rsidRDefault="00E960EA" w:rsidP="00E960EA">
      <w:pPr>
        <w:pStyle w:val="a0"/>
        <w:numPr>
          <w:ilvl w:val="0"/>
          <w:numId w:val="5"/>
        </w:numPr>
        <w:spacing w:line="348" w:lineRule="auto"/>
        <w:ind w:left="1531" w:hanging="510"/>
      </w:pPr>
      <w:r>
        <w:rPr>
          <w:rFonts w:hint="eastAsia"/>
        </w:rPr>
        <w:t>卫生和流行病学服务，注射防疫针、对传染病源进行消毒灭菌；</w:t>
      </w:r>
    </w:p>
    <w:p w:rsidR="00000000" w:rsidRDefault="00E960EA" w:rsidP="00E960EA">
      <w:pPr>
        <w:pStyle w:val="a0"/>
        <w:numPr>
          <w:ilvl w:val="0"/>
          <w:numId w:val="5"/>
        </w:numPr>
        <w:spacing w:line="348" w:lineRule="auto"/>
        <w:ind w:left="1531" w:hanging="510"/>
      </w:pPr>
      <w:r>
        <w:rPr>
          <w:rFonts w:hint="eastAsia"/>
        </w:rPr>
        <w:t>怀孕、生产和产后身体检查、分析和治疗</w:t>
      </w:r>
      <w:r>
        <w:t>(</w:t>
      </w:r>
      <w:r>
        <w:rPr>
          <w:rFonts w:hint="eastAsia"/>
        </w:rPr>
        <w:t>仅针对与怀孕和生产有关的原因</w:t>
      </w:r>
      <w:r>
        <w:t>)</w:t>
      </w:r>
      <w:r>
        <w:rPr>
          <w:rFonts w:hint="eastAsia"/>
        </w:rPr>
        <w:t>；</w:t>
      </w:r>
    </w:p>
    <w:p w:rsidR="00000000" w:rsidRDefault="00E960EA" w:rsidP="00E960EA">
      <w:pPr>
        <w:pStyle w:val="a0"/>
        <w:numPr>
          <w:ilvl w:val="0"/>
          <w:numId w:val="5"/>
        </w:numPr>
        <w:spacing w:line="348" w:lineRule="auto"/>
        <w:ind w:left="1531" w:hanging="510"/>
      </w:pPr>
      <w:r>
        <w:rPr>
          <w:rFonts w:hint="eastAsia"/>
        </w:rPr>
        <w:t>肺结核、艾滋病毒</w:t>
      </w:r>
      <w:r>
        <w:t>/</w:t>
      </w:r>
      <w:r>
        <w:rPr>
          <w:rFonts w:hint="eastAsia"/>
        </w:rPr>
        <w:t>艾滋病、遗传病、糖尿病、需要同样长期康复治疗的其他疾病、癌症、精神病；</w:t>
      </w:r>
    </w:p>
    <w:p w:rsidR="00000000" w:rsidRDefault="00E960EA" w:rsidP="00E960EA">
      <w:pPr>
        <w:pStyle w:val="a0"/>
        <w:numPr>
          <w:ilvl w:val="0"/>
          <w:numId w:val="5"/>
        </w:numPr>
        <w:spacing w:line="348" w:lineRule="auto"/>
        <w:ind w:left="1531" w:hanging="510"/>
      </w:pPr>
      <w:r>
        <w:rPr>
          <w:rFonts w:hint="eastAsia"/>
        </w:rPr>
        <w:t>对公众有危险的自然灾害，在传染病流行期间得病人士的治疗；</w:t>
      </w:r>
    </w:p>
    <w:p w:rsidR="00000000" w:rsidRDefault="00E960EA" w:rsidP="00E960EA">
      <w:pPr>
        <w:pStyle w:val="a0"/>
        <w:numPr>
          <w:ilvl w:val="0"/>
          <w:numId w:val="5"/>
        </w:numPr>
        <w:spacing w:line="348" w:lineRule="auto"/>
        <w:ind w:left="1531" w:hanging="510"/>
      </w:pPr>
      <w:r>
        <w:rPr>
          <w:rFonts w:hint="eastAsia"/>
        </w:rPr>
        <w:t>凡在援救他人或在防卫或极端必要的情况下预防损害而受伤或得病者，均可获得治疗。</w:t>
      </w:r>
    </w:p>
    <w:p w:rsidR="00000000" w:rsidRDefault="00E960EA">
      <w:pPr>
        <w:spacing w:after="320" w:line="348" w:lineRule="auto"/>
        <w:textAlignment w:val="center"/>
      </w:pPr>
      <w:r>
        <w:rPr>
          <w:rFonts w:hint="eastAsia"/>
        </w:rPr>
        <w:t>上述服务的费用由国营医疗单位承担，它们的支出将由国家中央和地区预算予以支付。除上述情况外，所有医疗服务均须缴费。</w:t>
      </w:r>
    </w:p>
    <w:p w:rsidR="00000000" w:rsidRDefault="00E960EA">
      <w:pPr>
        <w:pStyle w:val="Heading4"/>
        <w:spacing w:line="348" w:lineRule="auto"/>
      </w:pPr>
      <w:r>
        <w:rPr>
          <w:rFonts w:hint="eastAsia"/>
        </w:rPr>
        <w:t>卫生部门的现状</w:t>
      </w:r>
    </w:p>
    <w:p w:rsidR="00000000" w:rsidRDefault="00E960EA">
      <w:pPr>
        <w:spacing w:line="348" w:lineRule="auto"/>
      </w:pPr>
      <w:r>
        <w:tab/>
        <w:t xml:space="preserve">100.  </w:t>
      </w:r>
      <w:r>
        <w:rPr>
          <w:rFonts w:hint="eastAsia"/>
        </w:rPr>
        <w:t>在截</w:t>
      </w:r>
      <w:r>
        <w:rPr>
          <w:rFonts w:hint="eastAsia"/>
        </w:rPr>
        <w:t>至</w:t>
      </w:r>
      <w:r>
        <w:t>1990</w:t>
      </w:r>
      <w:r>
        <w:rPr>
          <w:rFonts w:hint="eastAsia"/>
        </w:rPr>
        <w:t>年的</w:t>
      </w:r>
      <w:r>
        <w:t>70</w:t>
      </w:r>
      <w:r>
        <w:rPr>
          <w:rFonts w:hint="eastAsia"/>
        </w:rPr>
        <w:t>年间，蒙古的卫生部门取得了重大的成绩，建立了一个良好的医疗基础服务，根据医生，医护人员和病床的人均拥有数，蒙古在各个国家中的排行相对较高，复发热和天花等疾病已被根除，婴儿和产妇死亡率各下降了</w:t>
      </w:r>
      <w:r>
        <w:t>8</w:t>
      </w:r>
      <w:r>
        <w:rPr>
          <w:rFonts w:hint="eastAsia"/>
        </w:rPr>
        <w:t>倍和</w:t>
      </w:r>
      <w:r>
        <w:t>4</w:t>
      </w:r>
      <w:r>
        <w:rPr>
          <w:rFonts w:hint="eastAsia"/>
        </w:rPr>
        <w:t>倍，这导致人口增加了</w:t>
      </w:r>
      <w:r>
        <w:t>5</w:t>
      </w:r>
      <w:r>
        <w:rPr>
          <w:rFonts w:hint="eastAsia"/>
        </w:rPr>
        <w:t>倍。</w:t>
      </w:r>
    </w:p>
    <w:p w:rsidR="00000000" w:rsidRDefault="00E960EA">
      <w:pPr>
        <w:spacing w:after="320" w:line="348" w:lineRule="auto"/>
        <w:textAlignment w:val="center"/>
      </w:pPr>
      <w:r>
        <w:tab/>
        <w:t>101.  1995</w:t>
      </w:r>
      <w:r>
        <w:rPr>
          <w:rFonts w:hint="eastAsia"/>
        </w:rPr>
        <w:t>年的数字显示，在蒙古的</w:t>
      </w:r>
      <w:r>
        <w:t>2,000</w:t>
      </w:r>
      <w:r>
        <w:rPr>
          <w:rFonts w:hint="eastAsia"/>
        </w:rPr>
        <w:t>多家医疗单位中，有</w:t>
      </w:r>
      <w:r>
        <w:t>63</w:t>
      </w:r>
      <w:r>
        <w:rPr>
          <w:rFonts w:hint="eastAsia"/>
        </w:rPr>
        <w:t>家分科医院、</w:t>
      </w:r>
      <w:r>
        <w:t>40</w:t>
      </w:r>
      <w:r>
        <w:rPr>
          <w:rFonts w:hint="eastAsia"/>
        </w:rPr>
        <w:t>家门诊医院、</w:t>
      </w:r>
      <w:r>
        <w:t>822</w:t>
      </w:r>
      <w:r>
        <w:rPr>
          <w:rFonts w:hint="eastAsia"/>
        </w:rPr>
        <w:t>家家庭卫生所、</w:t>
      </w:r>
      <w:r>
        <w:t>22</w:t>
      </w:r>
      <w:r>
        <w:rPr>
          <w:rFonts w:hint="eastAsia"/>
        </w:rPr>
        <w:t>家输血站、</w:t>
      </w:r>
      <w:r>
        <w:t>34</w:t>
      </w:r>
      <w:r>
        <w:rPr>
          <w:rFonts w:hint="eastAsia"/>
        </w:rPr>
        <w:t>家综合医院、</w:t>
      </w:r>
      <w:r>
        <w:t>4</w:t>
      </w:r>
      <w:r>
        <w:rPr>
          <w:rFonts w:hint="eastAsia"/>
        </w:rPr>
        <w:t>家儿童诊所、</w:t>
      </w:r>
      <w:r>
        <w:t>12</w:t>
      </w:r>
      <w:r>
        <w:rPr>
          <w:rFonts w:hint="eastAsia"/>
        </w:rPr>
        <w:t>家专科中心、</w:t>
      </w:r>
      <w:r>
        <w:t>15</w:t>
      </w:r>
      <w:r>
        <w:rPr>
          <w:rFonts w:hint="eastAsia"/>
        </w:rPr>
        <w:t>家专业疗养院、</w:t>
      </w:r>
      <w:r>
        <w:t>23</w:t>
      </w:r>
      <w:r>
        <w:rPr>
          <w:rFonts w:hint="eastAsia"/>
        </w:rPr>
        <w:t>家健康中心、</w:t>
      </w:r>
      <w:r>
        <w:t>953</w:t>
      </w:r>
      <w:r>
        <w:rPr>
          <w:rFonts w:hint="eastAsia"/>
        </w:rPr>
        <w:t>家医疗救护单位、</w:t>
      </w:r>
      <w:r>
        <w:t>13</w:t>
      </w:r>
      <w:r>
        <w:rPr>
          <w:rFonts w:hint="eastAsia"/>
        </w:rPr>
        <w:t>家卫生和流行病学分部、</w:t>
      </w:r>
      <w:r>
        <w:t>2</w:t>
      </w:r>
      <w:r>
        <w:t>3</w:t>
      </w:r>
      <w:r>
        <w:rPr>
          <w:rFonts w:hint="eastAsia"/>
        </w:rPr>
        <w:t>家社会医疗中心、</w:t>
      </w:r>
      <w:r>
        <w:t>5</w:t>
      </w:r>
      <w:r>
        <w:rPr>
          <w:rFonts w:hint="eastAsia"/>
        </w:rPr>
        <w:t>家疗养院和疗养地、</w:t>
      </w:r>
      <w:r>
        <w:t>4</w:t>
      </w:r>
      <w:r>
        <w:rPr>
          <w:rFonts w:hint="eastAsia"/>
        </w:rPr>
        <w:t>家医学研究所、</w:t>
      </w:r>
      <w:r>
        <w:t>292</w:t>
      </w:r>
      <w:r>
        <w:rPr>
          <w:rFonts w:hint="eastAsia"/>
        </w:rPr>
        <w:t>家药品供应部、</w:t>
      </w:r>
      <w:r>
        <w:t>235</w:t>
      </w:r>
      <w:r>
        <w:rPr>
          <w:rFonts w:hint="eastAsia"/>
        </w:rPr>
        <w:t>家私营医疗单位、</w:t>
      </w:r>
      <w:r>
        <w:t>88</w:t>
      </w:r>
      <w:r>
        <w:rPr>
          <w:rFonts w:hint="eastAsia"/>
        </w:rPr>
        <w:t>家其他组织。但是，在</w:t>
      </w:r>
      <w:r>
        <w:t>1990</w:t>
      </w:r>
      <w:r>
        <w:rPr>
          <w:rFonts w:hint="eastAsia"/>
        </w:rPr>
        <w:t>年之前运作良好的卫生保健体制在向民众提供国家免费的医疗服务方面干得更好。</w:t>
      </w:r>
    </w:p>
    <w:p w:rsidR="00000000" w:rsidRDefault="00E960EA">
      <w:pPr>
        <w:pStyle w:val="Heading4"/>
        <w:spacing w:line="348" w:lineRule="auto"/>
      </w:pPr>
      <w:r>
        <w:rPr>
          <w:rFonts w:hint="eastAsia"/>
        </w:rPr>
        <w:t>卫生部门的改革</w:t>
      </w:r>
    </w:p>
    <w:p w:rsidR="00000000" w:rsidRDefault="00E960EA">
      <w:pPr>
        <w:spacing w:line="348" w:lineRule="auto"/>
      </w:pPr>
      <w:r>
        <w:tab/>
        <w:t xml:space="preserve">102.  </w:t>
      </w:r>
      <w:r>
        <w:rPr>
          <w:rFonts w:hint="eastAsia"/>
        </w:rPr>
        <w:t>到</w:t>
      </w:r>
      <w:r>
        <w:t>80</w:t>
      </w:r>
      <w:r>
        <w:rPr>
          <w:rFonts w:hint="eastAsia"/>
        </w:rPr>
        <w:t>年代中期，卫生部门耗尽了它的积极潜力，因此，它不再能够发挥投资的有效性。非常明显的是，在卫生保健的过程中应当让个人、团体</w:t>
      </w:r>
      <w:r>
        <w:t>(</w:t>
      </w:r>
      <w:r>
        <w:rPr>
          <w:rFonts w:hint="eastAsia"/>
        </w:rPr>
        <w:t>一个家庭、一个经济实体</w:t>
      </w:r>
      <w:r>
        <w:t>)</w:t>
      </w:r>
      <w:r>
        <w:rPr>
          <w:rFonts w:hint="eastAsia"/>
        </w:rPr>
        <w:t>和国家平等参与，国营医疗单位可以和私营医疗单位同时并存，医疗费用应当通过包括义务和自愿性的卫生保险的结合形式加以支付，或收取直接</w:t>
      </w:r>
      <w:r>
        <w:rPr>
          <w:rFonts w:hint="eastAsia"/>
        </w:rPr>
        <w:t>付款。根据这些方针，政府已采取了一系列连续性的改革措施：</w:t>
      </w:r>
    </w:p>
    <w:p w:rsidR="00000000" w:rsidRDefault="00E960EA" w:rsidP="00E960EA">
      <w:pPr>
        <w:pStyle w:val="a0"/>
        <w:numPr>
          <w:ilvl w:val="0"/>
          <w:numId w:val="6"/>
        </w:numPr>
        <w:spacing w:line="348" w:lineRule="auto"/>
        <w:ind w:left="1531" w:hanging="510"/>
      </w:pPr>
      <w:r>
        <w:rPr>
          <w:rFonts w:hint="eastAsia"/>
        </w:rPr>
        <w:t>通过了立法和其他措施，如“有总统令核准的‘人口统计准则’、国家大国民议会通过的《预防艾滋病毒</w:t>
      </w:r>
      <w:r>
        <w:t>/</w:t>
      </w:r>
      <w:r>
        <w:rPr>
          <w:rFonts w:hint="eastAsia"/>
        </w:rPr>
        <w:t>艾滋病法》和《打击烟草危害和酗酒法》、《</w:t>
      </w:r>
      <w:r>
        <w:t>90</w:t>
      </w:r>
      <w:r>
        <w:rPr>
          <w:rFonts w:hint="eastAsia"/>
        </w:rPr>
        <w:t>年代培养儿童全国方案》、《全国免疫计划》，等等；</w:t>
      </w:r>
    </w:p>
    <w:p w:rsidR="00000000" w:rsidRDefault="00E960EA" w:rsidP="00E960EA">
      <w:pPr>
        <w:pStyle w:val="a0"/>
        <w:numPr>
          <w:ilvl w:val="0"/>
          <w:numId w:val="6"/>
        </w:numPr>
        <w:spacing w:line="348" w:lineRule="auto"/>
        <w:ind w:left="1531" w:hanging="510"/>
      </w:pPr>
      <w:r>
        <w:rPr>
          <w:rFonts w:hint="eastAsia"/>
        </w:rPr>
        <w:t>为公民建立了健康保险</w:t>
      </w:r>
      <w:r>
        <w:t>(</w:t>
      </w:r>
      <w:r>
        <w:rPr>
          <w:rFonts w:hint="eastAsia"/>
        </w:rPr>
        <w:t>在</w:t>
      </w:r>
      <w:r>
        <w:t>1994</w:t>
      </w:r>
      <w:r>
        <w:rPr>
          <w:rFonts w:hint="eastAsia"/>
        </w:rPr>
        <w:t>年</w:t>
      </w:r>
      <w:r>
        <w:t>1</w:t>
      </w:r>
      <w:r>
        <w:rPr>
          <w:rFonts w:hint="eastAsia"/>
        </w:rPr>
        <w:t>月</w:t>
      </w:r>
      <w:r>
        <w:t>1</w:t>
      </w:r>
      <w:r>
        <w:rPr>
          <w:rFonts w:hint="eastAsia"/>
        </w:rPr>
        <w:t>日至</w:t>
      </w:r>
      <w:r>
        <w:t>11</w:t>
      </w:r>
      <w:r>
        <w:rPr>
          <w:rFonts w:hint="eastAsia"/>
        </w:rPr>
        <w:t>月</w:t>
      </w:r>
      <w:r>
        <w:t>1</w:t>
      </w:r>
      <w:r>
        <w:rPr>
          <w:rFonts w:hint="eastAsia"/>
        </w:rPr>
        <w:t>日期间，</w:t>
      </w:r>
      <w:r>
        <w:t>92.4%</w:t>
      </w:r>
      <w:r>
        <w:rPr>
          <w:rFonts w:hint="eastAsia"/>
        </w:rPr>
        <w:t>的人口都参加了保险体系</w:t>
      </w:r>
      <w:r>
        <w:t>)</w:t>
      </w:r>
      <w:r>
        <w:rPr>
          <w:rFonts w:hint="eastAsia"/>
        </w:rPr>
        <w:t>；</w:t>
      </w:r>
    </w:p>
    <w:p w:rsidR="00000000" w:rsidRDefault="00E960EA" w:rsidP="00E960EA">
      <w:pPr>
        <w:pStyle w:val="a0"/>
        <w:numPr>
          <w:ilvl w:val="0"/>
          <w:numId w:val="6"/>
        </w:numPr>
        <w:spacing w:line="348" w:lineRule="auto"/>
        <w:ind w:left="1531" w:hanging="510"/>
      </w:pPr>
      <w:r>
        <w:rPr>
          <w:rFonts w:hint="eastAsia"/>
        </w:rPr>
        <w:t>发展和加强私营卫生部门</w:t>
      </w:r>
      <w:r>
        <w:t>(</w:t>
      </w:r>
      <w:r>
        <w:rPr>
          <w:rFonts w:hint="eastAsia"/>
        </w:rPr>
        <w:t>迄今为止，蒙古有大约</w:t>
      </w:r>
      <w:r>
        <w:t>200</w:t>
      </w:r>
      <w:r>
        <w:rPr>
          <w:rFonts w:hint="eastAsia"/>
        </w:rPr>
        <w:t>家私营医疗机构开业</w:t>
      </w:r>
      <w:r>
        <w:t>)</w:t>
      </w:r>
      <w:r>
        <w:rPr>
          <w:rFonts w:hint="eastAsia"/>
        </w:rPr>
        <w:t>；</w:t>
      </w:r>
    </w:p>
    <w:p w:rsidR="00000000" w:rsidRDefault="00E960EA" w:rsidP="00E960EA">
      <w:pPr>
        <w:pStyle w:val="a0"/>
        <w:numPr>
          <w:ilvl w:val="0"/>
          <w:numId w:val="6"/>
        </w:numPr>
        <w:spacing w:line="348" w:lineRule="auto"/>
        <w:ind w:left="1531" w:hanging="510"/>
      </w:pPr>
      <w:r>
        <w:rPr>
          <w:rFonts w:hint="eastAsia"/>
        </w:rPr>
        <w:t>改进医疗组织的管理能力和资金管理</w:t>
      </w:r>
      <w:r>
        <w:t>(</w:t>
      </w:r>
      <w:r>
        <w:rPr>
          <w:rFonts w:hint="eastAsia"/>
        </w:rPr>
        <w:t>自</w:t>
      </w:r>
      <w:r>
        <w:t>1990</w:t>
      </w:r>
      <w:r>
        <w:rPr>
          <w:rFonts w:hint="eastAsia"/>
        </w:rPr>
        <w:t>年以来，</w:t>
      </w:r>
      <w:r>
        <w:t>200</w:t>
      </w:r>
      <w:r>
        <w:rPr>
          <w:rFonts w:hint="eastAsia"/>
        </w:rPr>
        <w:t>多人在国外接受了这方面的培训，从</w:t>
      </w:r>
      <w:r>
        <w:t>19</w:t>
      </w:r>
      <w:r>
        <w:t>94</w:t>
      </w:r>
      <w:r>
        <w:rPr>
          <w:rFonts w:hint="eastAsia"/>
        </w:rPr>
        <w:t>年以来，在世界卫生组织的支持下定期在提高医护人员专业水平研究所举办有关“健康管理”的培训班</w:t>
      </w:r>
      <w:r>
        <w:t>)</w:t>
      </w:r>
      <w:r>
        <w:rPr>
          <w:rFonts w:hint="eastAsia"/>
        </w:rPr>
        <w:t>。</w:t>
      </w:r>
    </w:p>
    <w:p w:rsidR="00000000" w:rsidRDefault="00E960EA">
      <w:pPr>
        <w:spacing w:after="320" w:line="348" w:lineRule="auto"/>
        <w:textAlignment w:val="center"/>
      </w:pPr>
      <w:r>
        <w:tab/>
        <w:t xml:space="preserve">103.  </w:t>
      </w:r>
      <w:r>
        <w:rPr>
          <w:rFonts w:hint="eastAsia"/>
        </w:rPr>
        <w:t>这一改革是在严重缺乏财力和物力的情况下进行的，主要依靠医务人员的人道主义努力和国际社会的技术和资助，特别是联合国儿童基金、联合国人口活动基金和世界卫生组织，以及包括日本、荷兰、丹麦、美国和欧盟在内的给惠国。</w:t>
      </w:r>
    </w:p>
    <w:p w:rsidR="00000000" w:rsidRDefault="00E960EA">
      <w:pPr>
        <w:pStyle w:val="Heading4"/>
        <w:spacing w:line="348" w:lineRule="auto"/>
      </w:pPr>
      <w:r>
        <w:rPr>
          <w:rFonts w:hint="eastAsia"/>
        </w:rPr>
        <w:t>公众健康状况</w:t>
      </w:r>
    </w:p>
    <w:p w:rsidR="00000000" w:rsidRDefault="00E960EA">
      <w:pPr>
        <w:spacing w:line="348" w:lineRule="auto"/>
      </w:pPr>
      <w:r>
        <w:tab/>
        <w:t>104.  1996</w:t>
      </w:r>
      <w:r>
        <w:rPr>
          <w:rFonts w:hint="eastAsia"/>
        </w:rPr>
        <w:t>年出生的蒙古人的平均寿命为男子</w:t>
      </w:r>
      <w:r>
        <w:t>62</w:t>
      </w:r>
      <w:r>
        <w:rPr>
          <w:rFonts w:hint="eastAsia"/>
        </w:rPr>
        <w:t>岁、女子</w:t>
      </w:r>
      <w:r>
        <w:t>65.43</w:t>
      </w:r>
      <w:r>
        <w:rPr>
          <w:rFonts w:hint="eastAsia"/>
        </w:rPr>
        <w:t>岁，而到</w:t>
      </w:r>
      <w:r>
        <w:t>65</w:t>
      </w:r>
      <w:r>
        <w:rPr>
          <w:rFonts w:hint="eastAsia"/>
        </w:rPr>
        <w:t>岁时的平均寿命为女子</w:t>
      </w:r>
      <w:r>
        <w:t>18.97</w:t>
      </w:r>
      <w:r>
        <w:rPr>
          <w:rFonts w:hint="eastAsia"/>
        </w:rPr>
        <w:t>岁，男子为</w:t>
      </w:r>
      <w:r>
        <w:t>16.48</w:t>
      </w:r>
      <w:r>
        <w:rPr>
          <w:rFonts w:hint="eastAsia"/>
        </w:rPr>
        <w:t>岁，这个数字与</w:t>
      </w:r>
      <w:r>
        <w:t>1992</w:t>
      </w:r>
      <w:r>
        <w:rPr>
          <w:rFonts w:hint="eastAsia"/>
        </w:rPr>
        <w:t>年的数字相比延长了</w:t>
      </w:r>
      <w:r>
        <w:t>1.6</w:t>
      </w:r>
      <w:r>
        <w:rPr>
          <w:rFonts w:hint="eastAsia"/>
        </w:rPr>
        <w:t>岁。造成这一现象的主要原因是妇女平均寿命的延长。男女平均寿命的差异与国际标准相似。</w:t>
      </w:r>
    </w:p>
    <w:p w:rsidR="00000000" w:rsidRDefault="00E960EA">
      <w:pPr>
        <w:spacing w:line="348" w:lineRule="auto"/>
      </w:pPr>
      <w:r>
        <w:tab/>
        <w:t xml:space="preserve">105.  </w:t>
      </w:r>
      <w:r>
        <w:rPr>
          <w:rFonts w:hint="eastAsia"/>
        </w:rPr>
        <w:t>自</w:t>
      </w:r>
      <w:r>
        <w:t>80</w:t>
      </w:r>
      <w:r>
        <w:rPr>
          <w:rFonts w:hint="eastAsia"/>
        </w:rPr>
        <w:t>年代以来，由于防疫工作的进展和对腹泻广泛采用口部脱水疗法，曾经使造成婴儿死亡的主要原因的急性呼吸道疾病、腹泻、病毒性肝炎和一些其它传染病的发病率明显下降。从</w:t>
      </w:r>
      <w:r>
        <w:t>1992</w:t>
      </w:r>
      <w:r>
        <w:rPr>
          <w:rFonts w:hint="eastAsia"/>
        </w:rPr>
        <w:t>年起，麻疹已不再是一个致命的疾病，从</w:t>
      </w:r>
      <w:r>
        <w:t>1994</w:t>
      </w:r>
      <w:r>
        <w:rPr>
          <w:rFonts w:hint="eastAsia"/>
        </w:rPr>
        <w:t>年起，未记录到任何传染性脑膜炎的病例。</w:t>
      </w:r>
      <w:r>
        <w:t>1995</w:t>
      </w:r>
      <w:r>
        <w:rPr>
          <w:rFonts w:hint="eastAsia"/>
        </w:rPr>
        <w:t>年与</w:t>
      </w:r>
      <w:r>
        <w:t>1990</w:t>
      </w:r>
      <w:r>
        <w:rPr>
          <w:rFonts w:hint="eastAsia"/>
        </w:rPr>
        <w:t>年相比，婴儿死亡率下降了</w:t>
      </w:r>
      <w:r>
        <w:t>51.2%</w:t>
      </w:r>
      <w:r>
        <w:rPr>
          <w:rFonts w:hint="eastAsia"/>
        </w:rPr>
        <w:t>。因此，根据联合国儿童基金的分类，蒙古已从婴儿死亡率很高的国家类别进入了婴儿死亡率处于平均水平的国家类</w:t>
      </w:r>
      <w:r>
        <w:rPr>
          <w:rFonts w:hint="eastAsia"/>
        </w:rPr>
        <w:t>别。</w:t>
      </w:r>
    </w:p>
    <w:p w:rsidR="00000000" w:rsidRDefault="00E960EA">
      <w:pPr>
        <w:spacing w:line="348" w:lineRule="auto"/>
      </w:pPr>
      <w:r>
        <w:tab/>
        <w:t xml:space="preserve">106.  </w:t>
      </w:r>
      <w:r>
        <w:rPr>
          <w:rFonts w:hint="eastAsia"/>
        </w:rPr>
        <w:t>尽管由于婴儿和民众死亡率降低而造成出生率的明显下降，每年人口净增长</w:t>
      </w:r>
      <w:r>
        <w:t>1%</w:t>
      </w:r>
      <w:r>
        <w:rPr>
          <w:rFonts w:hint="eastAsia"/>
        </w:rPr>
        <w:t>以上，这使蒙古成了人口数量迅速扩大的国家之一。今天，出生率为</w:t>
      </w:r>
      <w:r>
        <w:t>23.7%</w:t>
      </w:r>
      <w:r>
        <w:rPr>
          <w:rFonts w:hint="eastAsia"/>
        </w:rPr>
        <w:t>，死亡率为</w:t>
      </w:r>
      <w:r>
        <w:t>7.3%</w:t>
      </w:r>
      <w:r>
        <w:rPr>
          <w:rFonts w:hint="eastAsia"/>
        </w:rPr>
        <w:t>，净增长为</w:t>
      </w:r>
      <w:r>
        <w:t>16.4%</w:t>
      </w:r>
      <w:r>
        <w:rPr>
          <w:rFonts w:hint="eastAsia"/>
        </w:rPr>
        <w:t>。截至</w:t>
      </w:r>
      <w:r>
        <w:t>1995</w:t>
      </w:r>
      <w:r>
        <w:rPr>
          <w:rFonts w:hint="eastAsia"/>
        </w:rPr>
        <w:t>年，平均在</w:t>
      </w:r>
      <w:r>
        <w:t>10,000</w:t>
      </w:r>
      <w:r>
        <w:rPr>
          <w:rFonts w:hint="eastAsia"/>
        </w:rPr>
        <w:t>人中，有</w:t>
      </w:r>
      <w:r>
        <w:t>24.5</w:t>
      </w:r>
      <w:r>
        <w:rPr>
          <w:rFonts w:hint="eastAsia"/>
        </w:rPr>
        <w:t>位医生、</w:t>
      </w:r>
      <w:r>
        <w:t>58.7</w:t>
      </w:r>
      <w:r>
        <w:rPr>
          <w:rFonts w:hint="eastAsia"/>
        </w:rPr>
        <w:t>位医务助理人员、</w:t>
      </w:r>
      <w:r>
        <w:t>96</w:t>
      </w:r>
      <w:r>
        <w:rPr>
          <w:rFonts w:hint="eastAsia"/>
        </w:rPr>
        <w:t>张病床、每</w:t>
      </w:r>
      <w:r>
        <w:t>1,000</w:t>
      </w:r>
      <w:r>
        <w:rPr>
          <w:rFonts w:hint="eastAsia"/>
        </w:rPr>
        <w:t>人中的婴儿死亡率和不满</w:t>
      </w:r>
      <w:r>
        <w:t>5</w:t>
      </w:r>
      <w:r>
        <w:rPr>
          <w:rFonts w:hint="eastAsia"/>
        </w:rPr>
        <w:t>周岁的儿童死亡率分别为</w:t>
      </w:r>
      <w:r>
        <w:t>44.4</w:t>
      </w:r>
      <w:r>
        <w:rPr>
          <w:rFonts w:hint="eastAsia"/>
        </w:rPr>
        <w:t>和</w:t>
      </w:r>
      <w:r>
        <w:t>62.0</w:t>
      </w:r>
      <w:r>
        <w:rPr>
          <w:rFonts w:hint="eastAsia"/>
        </w:rPr>
        <w:t>。平均</w:t>
      </w:r>
      <w:r>
        <w:t>100,000</w:t>
      </w:r>
      <w:r>
        <w:rPr>
          <w:rFonts w:hint="eastAsia"/>
        </w:rPr>
        <w:t>次生产中的产妇死亡率降至</w:t>
      </w:r>
      <w:r>
        <w:t xml:space="preserve">175, </w:t>
      </w:r>
      <w:r>
        <w:rPr>
          <w:rFonts w:hint="eastAsia"/>
        </w:rPr>
        <w:t>而每</w:t>
      </w:r>
      <w:r>
        <w:t>10,000</w:t>
      </w:r>
      <w:r>
        <w:rPr>
          <w:rFonts w:hint="eastAsia"/>
        </w:rPr>
        <w:t>人的传染病的发病率已降至</w:t>
      </w:r>
      <w:r>
        <w:t>141</w:t>
      </w:r>
      <w:r>
        <w:rPr>
          <w:rFonts w:hint="eastAsia"/>
        </w:rPr>
        <w:t>。</w:t>
      </w:r>
    </w:p>
    <w:p w:rsidR="00000000" w:rsidRDefault="00E960EA">
      <w:pPr>
        <w:spacing w:after="320" w:line="348" w:lineRule="auto"/>
        <w:textAlignment w:val="center"/>
      </w:pPr>
      <w:r>
        <w:tab/>
        <w:t xml:space="preserve">107.  </w:t>
      </w:r>
      <w:r>
        <w:rPr>
          <w:rFonts w:hint="eastAsia"/>
        </w:rPr>
        <w:t>与传染病减少的情况相反，</w:t>
      </w:r>
      <w:r>
        <w:rPr>
          <w:rFonts w:hint="eastAsia"/>
        </w:rPr>
        <w:t>非传染性疾病的发病率则在上升。调查显示，某些生活方式，如吸烟、饮酒、缺乏体育锻炼和运动，在很大程度上造成了非传染性疾病的增加。心脏病是造成蒙古人死亡的主要原因之一。在</w:t>
      </w:r>
      <w:r>
        <w:t>1996</w:t>
      </w:r>
      <w:r>
        <w:rPr>
          <w:rFonts w:hint="eastAsia"/>
        </w:rPr>
        <w:t>年的所有死亡人数中，</w:t>
      </w:r>
      <w:r>
        <w:t>32%</w:t>
      </w:r>
      <w:r>
        <w:rPr>
          <w:rFonts w:hint="eastAsia"/>
        </w:rPr>
        <w:t>是由心脏疾病引起的，其中主要是高血压、脑溢血和心脏病发作。高血压病例正在日益增加，其主要原因是吸烟和用盐过量。</w:t>
      </w:r>
      <w:r>
        <w:t>1995</w:t>
      </w:r>
      <w:r>
        <w:rPr>
          <w:rFonts w:hint="eastAsia"/>
        </w:rPr>
        <w:t>年死亡者中一半以上未满</w:t>
      </w:r>
      <w:r>
        <w:t>65</w:t>
      </w:r>
      <w:r>
        <w:rPr>
          <w:rFonts w:hint="eastAsia"/>
        </w:rPr>
        <w:t>岁。根据对死亡原因的一项调查，脑溢血和高血压造成了小心血管功能的严重衰退。</w:t>
      </w:r>
    </w:p>
    <w:p w:rsidR="00000000" w:rsidRDefault="00E960EA">
      <w:pPr>
        <w:pStyle w:val="Heading4"/>
        <w:spacing w:line="348" w:lineRule="auto"/>
      </w:pPr>
      <w:r>
        <w:rPr>
          <w:rFonts w:hint="eastAsia"/>
        </w:rPr>
        <w:t>卫生部门的问题</w:t>
      </w:r>
    </w:p>
    <w:p w:rsidR="00000000" w:rsidRDefault="00E960EA">
      <w:pPr>
        <w:spacing w:line="348" w:lineRule="auto"/>
      </w:pPr>
      <w:r>
        <w:tab/>
        <w:t xml:space="preserve">108.  </w:t>
      </w:r>
      <w:r>
        <w:rPr>
          <w:rFonts w:hint="eastAsia"/>
        </w:rPr>
        <w:t>在取得上述积极变化和成就的同时，卫生部门遇到了需要认真加以解决</w:t>
      </w:r>
      <w:r>
        <w:rPr>
          <w:rFonts w:hint="eastAsia"/>
        </w:rPr>
        <w:t>的一系列主要问题：</w:t>
      </w:r>
    </w:p>
    <w:p w:rsidR="00000000" w:rsidRDefault="00E960EA" w:rsidP="00E960EA">
      <w:pPr>
        <w:pStyle w:val="a0"/>
        <w:numPr>
          <w:ilvl w:val="0"/>
          <w:numId w:val="7"/>
        </w:numPr>
        <w:spacing w:line="348" w:lineRule="auto"/>
        <w:ind w:left="1531" w:hanging="510"/>
      </w:pPr>
      <w:r>
        <w:rPr>
          <w:rFonts w:hint="eastAsia"/>
        </w:rPr>
        <w:t>对医疗单位的物质基础</w:t>
      </w:r>
      <w:r>
        <w:t>(</w:t>
      </w:r>
      <w:r>
        <w:rPr>
          <w:rFonts w:hint="eastAsia"/>
        </w:rPr>
        <w:t>如设备、手术器械和救护车</w:t>
      </w:r>
      <w:r>
        <w:t>)</w:t>
      </w:r>
      <w:r>
        <w:rPr>
          <w:rFonts w:hint="eastAsia"/>
        </w:rPr>
        <w:t>不予重视，迄今还未制定一项充实这一物质基础的政策；</w:t>
      </w:r>
    </w:p>
    <w:p w:rsidR="00000000" w:rsidRDefault="00E960EA" w:rsidP="00E960EA">
      <w:pPr>
        <w:pStyle w:val="a0"/>
        <w:numPr>
          <w:ilvl w:val="0"/>
          <w:numId w:val="7"/>
        </w:numPr>
        <w:spacing w:line="348" w:lineRule="auto"/>
        <w:ind w:left="1531" w:hanging="510"/>
      </w:pPr>
      <w:r>
        <w:rPr>
          <w:rFonts w:hint="eastAsia"/>
        </w:rPr>
        <w:t>农村地区缺乏规划和管理能力；</w:t>
      </w:r>
    </w:p>
    <w:p w:rsidR="00000000" w:rsidRDefault="00E960EA" w:rsidP="00E960EA">
      <w:pPr>
        <w:pStyle w:val="a0"/>
        <w:numPr>
          <w:ilvl w:val="0"/>
          <w:numId w:val="7"/>
        </w:numPr>
        <w:spacing w:line="348" w:lineRule="auto"/>
        <w:ind w:left="1531" w:hanging="510"/>
      </w:pPr>
      <w:r>
        <w:rPr>
          <w:rFonts w:hint="eastAsia"/>
        </w:rPr>
        <w:t>在城市地区</w:t>
      </w:r>
      <w:r>
        <w:t>(</w:t>
      </w:r>
      <w:r>
        <w:rPr>
          <w:rFonts w:hint="eastAsia"/>
        </w:rPr>
        <w:t>特别是在首都</w:t>
      </w:r>
      <w:r>
        <w:t>)</w:t>
      </w:r>
      <w:r>
        <w:rPr>
          <w:rFonts w:hint="eastAsia"/>
        </w:rPr>
        <w:t>医务人员过剩，而在农村，特别是在牧场和游牧小区一级，医生和医护人员严重缺乏；</w:t>
      </w:r>
    </w:p>
    <w:p w:rsidR="00000000" w:rsidRDefault="00E960EA" w:rsidP="00E960EA">
      <w:pPr>
        <w:pStyle w:val="a0"/>
        <w:numPr>
          <w:ilvl w:val="0"/>
          <w:numId w:val="7"/>
        </w:numPr>
        <w:spacing w:line="348" w:lineRule="auto"/>
        <w:ind w:left="1531" w:hanging="510"/>
      </w:pPr>
      <w:r>
        <w:rPr>
          <w:rFonts w:hint="eastAsia"/>
        </w:rPr>
        <w:t>由于资金短缺，决定为</w:t>
      </w:r>
      <w:r>
        <w:t>Khovd</w:t>
      </w:r>
      <w:r>
        <w:rPr>
          <w:rFonts w:hint="eastAsia"/>
        </w:rPr>
        <w:t>和东方省这两个省建立一个诊断和治疗中心；</w:t>
      </w:r>
    </w:p>
    <w:p w:rsidR="00000000" w:rsidRDefault="00E960EA" w:rsidP="00E960EA">
      <w:pPr>
        <w:pStyle w:val="a0"/>
        <w:numPr>
          <w:ilvl w:val="0"/>
          <w:numId w:val="7"/>
        </w:numPr>
        <w:spacing w:line="348" w:lineRule="auto"/>
        <w:ind w:left="1531" w:hanging="510"/>
      </w:pPr>
      <w:r>
        <w:rPr>
          <w:rFonts w:hint="eastAsia"/>
        </w:rPr>
        <w:t>投资效益低下；</w:t>
      </w:r>
    </w:p>
    <w:p w:rsidR="00000000" w:rsidRDefault="00E960EA" w:rsidP="00E960EA">
      <w:pPr>
        <w:pStyle w:val="a0"/>
        <w:numPr>
          <w:ilvl w:val="0"/>
          <w:numId w:val="7"/>
        </w:numPr>
        <w:spacing w:line="348" w:lineRule="auto"/>
        <w:ind w:left="1531" w:hanging="510"/>
      </w:pPr>
      <w:r>
        <w:rPr>
          <w:rFonts w:hint="eastAsia"/>
        </w:rPr>
        <w:t>药品和实验室所需化学物资的供应还未正常化；</w:t>
      </w:r>
    </w:p>
    <w:p w:rsidR="00000000" w:rsidRDefault="00E960EA" w:rsidP="00E960EA">
      <w:pPr>
        <w:pStyle w:val="a0"/>
        <w:numPr>
          <w:ilvl w:val="0"/>
          <w:numId w:val="7"/>
        </w:numPr>
        <w:spacing w:line="348" w:lineRule="auto"/>
        <w:ind w:left="1531" w:hanging="510"/>
      </w:pPr>
      <w:r>
        <w:rPr>
          <w:rFonts w:hint="eastAsia"/>
        </w:rPr>
        <w:t>由于医疗单位在构成和组织上级别繁多，因此往往拖延了及时的诊断和治疗；</w:t>
      </w:r>
    </w:p>
    <w:p w:rsidR="00000000" w:rsidRDefault="00E960EA" w:rsidP="00E960EA">
      <w:pPr>
        <w:pStyle w:val="a0"/>
        <w:numPr>
          <w:ilvl w:val="0"/>
          <w:numId w:val="7"/>
        </w:numPr>
        <w:spacing w:line="348" w:lineRule="auto"/>
        <w:ind w:left="1531" w:hanging="510"/>
      </w:pPr>
      <w:r>
        <w:rPr>
          <w:rFonts w:hint="eastAsia"/>
        </w:rPr>
        <w:t>随着卫生检查制度的削弱和人民教育水平的降低及个人和环境清</w:t>
      </w:r>
      <w:r>
        <w:rPr>
          <w:rFonts w:hint="eastAsia"/>
        </w:rPr>
        <w:t>洁程度的恶化，出现了疥癣病、痢疾、沙门氏菌病和甲肝发病率增加的趋势；</w:t>
      </w:r>
    </w:p>
    <w:p w:rsidR="00000000" w:rsidRDefault="00E960EA" w:rsidP="00E960EA">
      <w:pPr>
        <w:pStyle w:val="a0"/>
        <w:numPr>
          <w:ilvl w:val="0"/>
          <w:numId w:val="7"/>
        </w:numPr>
        <w:spacing w:line="348" w:lineRule="auto"/>
        <w:ind w:left="1531" w:hanging="510"/>
      </w:pPr>
      <w:r>
        <w:rPr>
          <w:rFonts w:hint="eastAsia"/>
        </w:rPr>
        <w:t>对进口和国内生产的食品质量监察不足；</w:t>
      </w:r>
    </w:p>
    <w:p w:rsidR="00000000" w:rsidRDefault="00E960EA" w:rsidP="00E960EA">
      <w:pPr>
        <w:pStyle w:val="a0"/>
        <w:numPr>
          <w:ilvl w:val="0"/>
          <w:numId w:val="7"/>
        </w:numPr>
        <w:spacing w:after="320" w:line="348" w:lineRule="auto"/>
        <w:ind w:left="1531" w:hanging="510"/>
        <w:textAlignment w:val="center"/>
      </w:pPr>
      <w:r>
        <w:rPr>
          <w:rFonts w:hint="eastAsia"/>
        </w:rPr>
        <w:t>特别从健康状况看，处于社会不利地位的群体正在迅速增加，其中包括因无力应付新的社会局面而吸毒或酗酒的人，流浪街头的儿童、单身贫困的老年人、以妇女为一家之长的多子女家庭等。</w:t>
      </w:r>
    </w:p>
    <w:p w:rsidR="00000000" w:rsidRDefault="00E960EA">
      <w:pPr>
        <w:pStyle w:val="Heading4"/>
        <w:spacing w:line="348" w:lineRule="auto"/>
      </w:pPr>
      <w:r>
        <w:rPr>
          <w:rFonts w:hint="eastAsia"/>
        </w:rPr>
        <w:t>卫生部门的资金</w:t>
      </w:r>
    </w:p>
    <w:p w:rsidR="00000000" w:rsidRDefault="00E960EA">
      <w:pPr>
        <w:spacing w:line="348" w:lineRule="auto"/>
      </w:pPr>
      <w:r>
        <w:tab/>
        <w:t xml:space="preserve">109.  </w:t>
      </w:r>
      <w:r>
        <w:rPr>
          <w:rFonts w:hint="eastAsia"/>
        </w:rPr>
        <w:t>在</w:t>
      </w:r>
      <w:r>
        <w:t>1991</w:t>
      </w:r>
      <w:r>
        <w:rPr>
          <w:rFonts w:hint="eastAsia"/>
        </w:rPr>
        <w:t>年前的</w:t>
      </w:r>
      <w:r>
        <w:t>70</w:t>
      </w:r>
      <w:r>
        <w:rPr>
          <w:rFonts w:hint="eastAsia"/>
        </w:rPr>
        <w:t>年中，卫生部门的资金来自国家预算。在中央计划经济之下，国民生产总值的</w:t>
      </w:r>
      <w:r>
        <w:t>5%</w:t>
      </w:r>
      <w:r>
        <w:rPr>
          <w:rFonts w:hint="eastAsia"/>
        </w:rPr>
        <w:t>，相当于国家预算的</w:t>
      </w:r>
      <w:r>
        <w:t>8%</w:t>
      </w:r>
      <w:r>
        <w:rPr>
          <w:rFonts w:hint="eastAsia"/>
        </w:rPr>
        <w:t>用于卫生部门。</w:t>
      </w:r>
    </w:p>
    <w:p w:rsidR="00000000" w:rsidRDefault="00E960EA">
      <w:pPr>
        <w:spacing w:after="160" w:line="348" w:lineRule="auto"/>
        <w:textAlignment w:val="center"/>
      </w:pPr>
      <w:r>
        <w:tab/>
        <w:t>110.  1994</w:t>
      </w:r>
      <w:r>
        <w:rPr>
          <w:rFonts w:hint="eastAsia"/>
        </w:rPr>
        <w:t>年蒙古建立了健康保险制度，根据</w:t>
      </w:r>
      <w:r>
        <w:t>1996</w:t>
      </w:r>
      <w:r>
        <w:rPr>
          <w:rFonts w:hint="eastAsia"/>
        </w:rPr>
        <w:t>年的数据，当时</w:t>
      </w:r>
      <w:r>
        <w:rPr>
          <w:rFonts w:hint="eastAsia"/>
        </w:rPr>
        <w:t>人口的</w:t>
      </w:r>
      <w:r>
        <w:t>96%</w:t>
      </w:r>
      <w:r>
        <w:rPr>
          <w:rFonts w:hint="eastAsia"/>
        </w:rPr>
        <w:t>都参加了健康保险体制。下表显示了</w:t>
      </w:r>
      <w:r>
        <w:t>1985</w:t>
      </w:r>
      <w:r>
        <w:rPr>
          <w:rFonts w:hint="eastAsia"/>
        </w:rPr>
        <w:t>年至</w:t>
      </w:r>
      <w:r>
        <w:t>1996</w:t>
      </w:r>
      <w:r>
        <w:rPr>
          <w:rFonts w:hint="eastAsia"/>
        </w:rPr>
        <w:t>年全国卫生支出情况，单位百万图格里克：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8"/>
        <w:gridCol w:w="1383"/>
        <w:gridCol w:w="1377"/>
        <w:gridCol w:w="1385"/>
        <w:gridCol w:w="1615"/>
        <w:gridCol w:w="1421"/>
        <w:gridCol w:w="1119"/>
      </w:tblGrid>
      <w:tr w:rsidR="00000000">
        <w:tblPrEx>
          <w:tblCellMar>
            <w:top w:w="0" w:type="dxa"/>
            <w:bottom w:w="0" w:type="dxa"/>
          </w:tblCellMar>
        </w:tblPrEx>
        <w:tc>
          <w:tcPr>
            <w:tcW w:w="1108" w:type="dxa"/>
          </w:tcPr>
          <w:p w:rsidR="00000000" w:rsidRDefault="00E960EA">
            <w:pPr>
              <w:spacing w:before="140"/>
              <w:jc w:val="center"/>
              <w:rPr>
                <w:sz w:val="21"/>
              </w:rPr>
            </w:pPr>
            <w:r>
              <w:rPr>
                <w:rFonts w:hint="eastAsia"/>
                <w:sz w:val="21"/>
              </w:rPr>
              <w:t>年</w:t>
            </w:r>
            <w:r>
              <w:rPr>
                <w:sz w:val="21"/>
              </w:rPr>
              <w:t xml:space="preserve">  </w:t>
            </w:r>
            <w:r>
              <w:rPr>
                <w:rFonts w:hint="eastAsia"/>
                <w:sz w:val="21"/>
              </w:rPr>
              <w:t>份</w:t>
            </w:r>
          </w:p>
        </w:tc>
        <w:tc>
          <w:tcPr>
            <w:tcW w:w="1383" w:type="dxa"/>
          </w:tcPr>
          <w:p w:rsidR="00000000" w:rsidRDefault="00E960EA">
            <w:pPr>
              <w:spacing w:before="140"/>
              <w:jc w:val="center"/>
              <w:rPr>
                <w:sz w:val="21"/>
              </w:rPr>
            </w:pPr>
            <w:r>
              <w:rPr>
                <w:rFonts w:hint="eastAsia"/>
                <w:sz w:val="21"/>
              </w:rPr>
              <w:t>经常性开支</w:t>
            </w:r>
          </w:p>
        </w:tc>
        <w:tc>
          <w:tcPr>
            <w:tcW w:w="1377" w:type="dxa"/>
          </w:tcPr>
          <w:p w:rsidR="00000000" w:rsidRDefault="00E960EA">
            <w:pPr>
              <w:tabs>
                <w:tab w:val="clear" w:pos="510"/>
                <w:tab w:val="clear" w:pos="1021"/>
                <w:tab w:val="clear" w:pos="1531"/>
                <w:tab w:val="clear" w:pos="2041"/>
                <w:tab w:val="decimal" w:pos="629"/>
              </w:tabs>
              <w:spacing w:before="140"/>
              <w:jc w:val="center"/>
              <w:rPr>
                <w:sz w:val="21"/>
              </w:rPr>
            </w:pPr>
            <w:r>
              <w:rPr>
                <w:rFonts w:hint="eastAsia"/>
                <w:sz w:val="21"/>
              </w:rPr>
              <w:t>投</w:t>
            </w:r>
            <w:r>
              <w:rPr>
                <w:sz w:val="21"/>
              </w:rPr>
              <w:t xml:space="preserve">  </w:t>
            </w:r>
            <w:r>
              <w:rPr>
                <w:rFonts w:hint="eastAsia"/>
                <w:sz w:val="21"/>
              </w:rPr>
              <w:t>资</w:t>
            </w:r>
          </w:p>
        </w:tc>
        <w:tc>
          <w:tcPr>
            <w:tcW w:w="1385" w:type="dxa"/>
          </w:tcPr>
          <w:p w:rsidR="00000000" w:rsidRDefault="00E960EA">
            <w:pPr>
              <w:spacing w:line="240" w:lineRule="auto"/>
              <w:jc w:val="center"/>
              <w:rPr>
                <w:sz w:val="21"/>
              </w:rPr>
            </w:pPr>
            <w:r>
              <w:rPr>
                <w:rFonts w:hint="eastAsia"/>
                <w:sz w:val="21"/>
              </w:rPr>
              <w:t>保健开支</w:t>
            </w:r>
            <w:r>
              <w:rPr>
                <w:sz w:val="21"/>
              </w:rPr>
              <w:br/>
            </w:r>
            <w:r>
              <w:rPr>
                <w:rFonts w:hint="eastAsia"/>
                <w:sz w:val="21"/>
              </w:rPr>
              <w:t>总</w:t>
            </w:r>
            <w:r>
              <w:rPr>
                <w:sz w:val="21"/>
              </w:rPr>
              <w:t xml:space="preserve">  </w:t>
            </w:r>
            <w:r>
              <w:rPr>
                <w:rFonts w:hint="eastAsia"/>
                <w:sz w:val="21"/>
              </w:rPr>
              <w:t>额</w:t>
            </w:r>
          </w:p>
        </w:tc>
        <w:tc>
          <w:tcPr>
            <w:tcW w:w="1615" w:type="dxa"/>
          </w:tcPr>
          <w:p w:rsidR="00000000" w:rsidRDefault="00E960EA">
            <w:pPr>
              <w:spacing w:line="240" w:lineRule="auto"/>
              <w:jc w:val="center"/>
              <w:rPr>
                <w:sz w:val="21"/>
              </w:rPr>
            </w:pPr>
            <w:r>
              <w:rPr>
                <w:rFonts w:hint="eastAsia"/>
                <w:sz w:val="21"/>
              </w:rPr>
              <w:t>占国内生产总值百分比</w:t>
            </w:r>
          </w:p>
        </w:tc>
        <w:tc>
          <w:tcPr>
            <w:tcW w:w="1421" w:type="dxa"/>
          </w:tcPr>
          <w:p w:rsidR="00000000" w:rsidRDefault="00E960EA">
            <w:pPr>
              <w:spacing w:line="240" w:lineRule="auto"/>
              <w:jc w:val="center"/>
              <w:rPr>
                <w:sz w:val="21"/>
              </w:rPr>
            </w:pPr>
            <w:r>
              <w:rPr>
                <w:rFonts w:hint="eastAsia"/>
                <w:sz w:val="21"/>
              </w:rPr>
              <w:t>占国家预算</w:t>
            </w:r>
            <w:r>
              <w:rPr>
                <w:sz w:val="21"/>
              </w:rPr>
              <w:br/>
            </w:r>
            <w:r>
              <w:rPr>
                <w:rFonts w:hint="eastAsia"/>
                <w:sz w:val="21"/>
              </w:rPr>
              <w:t>百分比</w:t>
            </w:r>
          </w:p>
        </w:tc>
        <w:tc>
          <w:tcPr>
            <w:tcW w:w="1119" w:type="dxa"/>
          </w:tcPr>
          <w:p w:rsidR="00000000" w:rsidRDefault="00E960EA">
            <w:pPr>
              <w:spacing w:before="140"/>
              <w:jc w:val="center"/>
              <w:rPr>
                <w:sz w:val="21"/>
              </w:rPr>
            </w:pPr>
            <w:r>
              <w:rPr>
                <w:rFonts w:hint="eastAsia"/>
                <w:sz w:val="21"/>
              </w:rPr>
              <w:t>人均开支</w:t>
            </w:r>
          </w:p>
        </w:tc>
      </w:tr>
      <w:tr w:rsidR="00000000">
        <w:tblPrEx>
          <w:tblCellMar>
            <w:top w:w="0" w:type="dxa"/>
            <w:bottom w:w="0" w:type="dxa"/>
          </w:tblCellMar>
        </w:tblPrEx>
        <w:tc>
          <w:tcPr>
            <w:tcW w:w="1108" w:type="dxa"/>
          </w:tcPr>
          <w:p w:rsidR="00000000" w:rsidRDefault="00E960EA">
            <w:pPr>
              <w:spacing w:before="60"/>
              <w:jc w:val="center"/>
              <w:rPr>
                <w:sz w:val="21"/>
              </w:rPr>
            </w:pPr>
            <w:r>
              <w:rPr>
                <w:sz w:val="21"/>
              </w:rPr>
              <w:t>1985</w:t>
            </w:r>
            <w:r>
              <w:rPr>
                <w:rFonts w:hint="eastAsia"/>
                <w:sz w:val="21"/>
              </w:rPr>
              <w:t>年</w:t>
            </w:r>
          </w:p>
        </w:tc>
        <w:tc>
          <w:tcPr>
            <w:tcW w:w="1383" w:type="dxa"/>
          </w:tcPr>
          <w:p w:rsidR="00000000" w:rsidRDefault="00E960EA">
            <w:pPr>
              <w:tabs>
                <w:tab w:val="clear" w:pos="510"/>
                <w:tab w:val="clear" w:pos="1021"/>
                <w:tab w:val="clear" w:pos="1531"/>
                <w:tab w:val="clear" w:pos="2041"/>
                <w:tab w:val="decimal" w:pos="812"/>
              </w:tabs>
              <w:spacing w:before="60"/>
              <w:rPr>
                <w:sz w:val="21"/>
              </w:rPr>
            </w:pPr>
            <w:r>
              <w:rPr>
                <w:sz w:val="21"/>
              </w:rPr>
              <w:t>389.7</w:t>
            </w:r>
          </w:p>
        </w:tc>
        <w:tc>
          <w:tcPr>
            <w:tcW w:w="1377" w:type="dxa"/>
          </w:tcPr>
          <w:p w:rsidR="00000000" w:rsidRDefault="00E960EA">
            <w:pPr>
              <w:tabs>
                <w:tab w:val="clear" w:pos="510"/>
                <w:tab w:val="clear" w:pos="1021"/>
                <w:tab w:val="clear" w:pos="1531"/>
                <w:tab w:val="clear" w:pos="2041"/>
                <w:tab w:val="decimal" w:pos="629"/>
              </w:tabs>
              <w:spacing w:before="60"/>
              <w:rPr>
                <w:sz w:val="21"/>
              </w:rPr>
            </w:pPr>
            <w:r>
              <w:rPr>
                <w:sz w:val="21"/>
              </w:rPr>
              <w:t>41</w:t>
            </w:r>
          </w:p>
        </w:tc>
        <w:tc>
          <w:tcPr>
            <w:tcW w:w="1385" w:type="dxa"/>
          </w:tcPr>
          <w:p w:rsidR="00000000" w:rsidRDefault="00E960EA">
            <w:pPr>
              <w:tabs>
                <w:tab w:val="clear" w:pos="510"/>
                <w:tab w:val="clear" w:pos="1021"/>
                <w:tab w:val="clear" w:pos="1531"/>
                <w:tab w:val="clear" w:pos="2041"/>
                <w:tab w:val="decimal" w:pos="812"/>
              </w:tabs>
              <w:spacing w:before="60"/>
              <w:rPr>
                <w:sz w:val="21"/>
              </w:rPr>
            </w:pPr>
            <w:r>
              <w:rPr>
                <w:sz w:val="21"/>
              </w:rPr>
              <w:t>430.7</w:t>
            </w:r>
          </w:p>
        </w:tc>
        <w:tc>
          <w:tcPr>
            <w:tcW w:w="1615" w:type="dxa"/>
          </w:tcPr>
          <w:p w:rsidR="00000000" w:rsidRDefault="00E960EA">
            <w:pPr>
              <w:tabs>
                <w:tab w:val="clear" w:pos="510"/>
                <w:tab w:val="clear" w:pos="1021"/>
                <w:tab w:val="clear" w:pos="1531"/>
                <w:tab w:val="clear" w:pos="2041"/>
                <w:tab w:val="decimal" w:pos="812"/>
              </w:tabs>
              <w:spacing w:before="60"/>
              <w:rPr>
                <w:sz w:val="21"/>
              </w:rPr>
            </w:pPr>
            <w:r>
              <w:rPr>
                <w:sz w:val="21"/>
              </w:rPr>
              <w:t>4.6</w:t>
            </w:r>
          </w:p>
        </w:tc>
        <w:tc>
          <w:tcPr>
            <w:tcW w:w="1421" w:type="dxa"/>
          </w:tcPr>
          <w:p w:rsidR="00000000" w:rsidRDefault="00E960EA">
            <w:pPr>
              <w:tabs>
                <w:tab w:val="clear" w:pos="510"/>
                <w:tab w:val="clear" w:pos="1021"/>
                <w:tab w:val="clear" w:pos="1531"/>
                <w:tab w:val="clear" w:pos="2041"/>
                <w:tab w:val="decimal" w:pos="812"/>
              </w:tabs>
              <w:spacing w:before="60"/>
              <w:rPr>
                <w:sz w:val="21"/>
              </w:rPr>
            </w:pPr>
            <w:r>
              <w:rPr>
                <w:sz w:val="21"/>
              </w:rPr>
              <w:t>7.5</w:t>
            </w:r>
          </w:p>
        </w:tc>
        <w:tc>
          <w:tcPr>
            <w:tcW w:w="1119" w:type="dxa"/>
          </w:tcPr>
          <w:p w:rsidR="00000000" w:rsidRDefault="00E960EA">
            <w:pPr>
              <w:tabs>
                <w:tab w:val="clear" w:pos="510"/>
                <w:tab w:val="clear" w:pos="1021"/>
                <w:tab w:val="clear" w:pos="1531"/>
                <w:tab w:val="clear" w:pos="2041"/>
                <w:tab w:val="decimal" w:pos="812"/>
              </w:tabs>
              <w:spacing w:before="60"/>
              <w:rPr>
                <w:sz w:val="21"/>
              </w:rPr>
            </w:pPr>
            <w:r>
              <w:rPr>
                <w:sz w:val="21"/>
              </w:rPr>
              <w:t>177</w:t>
            </w:r>
          </w:p>
        </w:tc>
      </w:tr>
      <w:tr w:rsidR="00000000">
        <w:tblPrEx>
          <w:tblCellMar>
            <w:top w:w="0" w:type="dxa"/>
            <w:bottom w:w="0" w:type="dxa"/>
          </w:tblCellMar>
        </w:tblPrEx>
        <w:tc>
          <w:tcPr>
            <w:tcW w:w="1108" w:type="dxa"/>
          </w:tcPr>
          <w:p w:rsidR="00000000" w:rsidRDefault="00E960EA">
            <w:pPr>
              <w:spacing w:before="60"/>
              <w:jc w:val="center"/>
              <w:rPr>
                <w:sz w:val="21"/>
              </w:rPr>
            </w:pPr>
            <w:r>
              <w:rPr>
                <w:sz w:val="21"/>
              </w:rPr>
              <w:t>1986</w:t>
            </w:r>
            <w:r>
              <w:rPr>
                <w:rFonts w:hint="eastAsia"/>
                <w:sz w:val="21"/>
              </w:rPr>
              <w:t>年</w:t>
            </w:r>
          </w:p>
        </w:tc>
        <w:tc>
          <w:tcPr>
            <w:tcW w:w="1383" w:type="dxa"/>
          </w:tcPr>
          <w:p w:rsidR="00000000" w:rsidRDefault="00E960EA">
            <w:pPr>
              <w:tabs>
                <w:tab w:val="clear" w:pos="510"/>
                <w:tab w:val="clear" w:pos="1021"/>
                <w:tab w:val="clear" w:pos="1531"/>
                <w:tab w:val="clear" w:pos="2041"/>
                <w:tab w:val="decimal" w:pos="812"/>
              </w:tabs>
              <w:spacing w:before="60"/>
              <w:rPr>
                <w:sz w:val="21"/>
              </w:rPr>
            </w:pPr>
            <w:r>
              <w:rPr>
                <w:sz w:val="21"/>
              </w:rPr>
              <w:t>405.4</w:t>
            </w:r>
          </w:p>
        </w:tc>
        <w:tc>
          <w:tcPr>
            <w:tcW w:w="1377" w:type="dxa"/>
          </w:tcPr>
          <w:p w:rsidR="00000000" w:rsidRDefault="00E960EA">
            <w:pPr>
              <w:tabs>
                <w:tab w:val="clear" w:pos="510"/>
                <w:tab w:val="clear" w:pos="1021"/>
                <w:tab w:val="clear" w:pos="1531"/>
                <w:tab w:val="clear" w:pos="2041"/>
                <w:tab w:val="decimal" w:pos="629"/>
              </w:tabs>
              <w:spacing w:before="60"/>
              <w:rPr>
                <w:sz w:val="21"/>
              </w:rPr>
            </w:pPr>
            <w:r>
              <w:rPr>
                <w:sz w:val="21"/>
              </w:rPr>
              <w:t>84.3</w:t>
            </w:r>
          </w:p>
        </w:tc>
        <w:tc>
          <w:tcPr>
            <w:tcW w:w="1385" w:type="dxa"/>
          </w:tcPr>
          <w:p w:rsidR="00000000" w:rsidRDefault="00E960EA">
            <w:pPr>
              <w:tabs>
                <w:tab w:val="clear" w:pos="510"/>
                <w:tab w:val="clear" w:pos="1021"/>
                <w:tab w:val="clear" w:pos="1531"/>
                <w:tab w:val="clear" w:pos="2041"/>
                <w:tab w:val="decimal" w:pos="812"/>
              </w:tabs>
              <w:spacing w:before="60"/>
              <w:rPr>
                <w:sz w:val="21"/>
              </w:rPr>
            </w:pPr>
            <w:r>
              <w:rPr>
                <w:sz w:val="21"/>
              </w:rPr>
              <w:t>489.7</w:t>
            </w:r>
          </w:p>
        </w:tc>
        <w:tc>
          <w:tcPr>
            <w:tcW w:w="1615" w:type="dxa"/>
          </w:tcPr>
          <w:p w:rsidR="00000000" w:rsidRDefault="00E960EA">
            <w:pPr>
              <w:tabs>
                <w:tab w:val="clear" w:pos="510"/>
                <w:tab w:val="clear" w:pos="1021"/>
                <w:tab w:val="clear" w:pos="1531"/>
                <w:tab w:val="clear" w:pos="2041"/>
                <w:tab w:val="decimal" w:pos="812"/>
              </w:tabs>
              <w:spacing w:before="60"/>
              <w:rPr>
                <w:sz w:val="21"/>
              </w:rPr>
            </w:pPr>
            <w:r>
              <w:rPr>
                <w:sz w:val="21"/>
              </w:rPr>
              <w:t>5.2</w:t>
            </w:r>
          </w:p>
        </w:tc>
        <w:tc>
          <w:tcPr>
            <w:tcW w:w="1421" w:type="dxa"/>
          </w:tcPr>
          <w:p w:rsidR="00000000" w:rsidRDefault="00E960EA">
            <w:pPr>
              <w:tabs>
                <w:tab w:val="clear" w:pos="510"/>
                <w:tab w:val="clear" w:pos="1021"/>
                <w:tab w:val="clear" w:pos="1531"/>
                <w:tab w:val="clear" w:pos="2041"/>
                <w:tab w:val="decimal" w:pos="812"/>
              </w:tabs>
              <w:spacing w:before="60"/>
              <w:rPr>
                <w:sz w:val="21"/>
              </w:rPr>
            </w:pPr>
            <w:r>
              <w:rPr>
                <w:sz w:val="21"/>
              </w:rPr>
              <w:t>8.1</w:t>
            </w:r>
          </w:p>
        </w:tc>
        <w:tc>
          <w:tcPr>
            <w:tcW w:w="1119" w:type="dxa"/>
          </w:tcPr>
          <w:p w:rsidR="00000000" w:rsidRDefault="00E960EA">
            <w:pPr>
              <w:tabs>
                <w:tab w:val="clear" w:pos="510"/>
                <w:tab w:val="clear" w:pos="1021"/>
                <w:tab w:val="clear" w:pos="1531"/>
                <w:tab w:val="clear" w:pos="2041"/>
                <w:tab w:val="decimal" w:pos="812"/>
              </w:tabs>
              <w:spacing w:before="60"/>
              <w:rPr>
                <w:sz w:val="21"/>
              </w:rPr>
            </w:pPr>
            <w:r>
              <w:rPr>
                <w:sz w:val="21"/>
              </w:rPr>
              <w:t>258</w:t>
            </w:r>
          </w:p>
        </w:tc>
      </w:tr>
      <w:tr w:rsidR="00000000">
        <w:tblPrEx>
          <w:tblCellMar>
            <w:top w:w="0" w:type="dxa"/>
            <w:bottom w:w="0" w:type="dxa"/>
          </w:tblCellMar>
        </w:tblPrEx>
        <w:tc>
          <w:tcPr>
            <w:tcW w:w="1108" w:type="dxa"/>
          </w:tcPr>
          <w:p w:rsidR="00000000" w:rsidRDefault="00E960EA">
            <w:pPr>
              <w:spacing w:before="60"/>
              <w:jc w:val="center"/>
              <w:rPr>
                <w:sz w:val="21"/>
              </w:rPr>
            </w:pPr>
            <w:r>
              <w:rPr>
                <w:sz w:val="21"/>
              </w:rPr>
              <w:t>1987</w:t>
            </w:r>
            <w:r>
              <w:rPr>
                <w:rFonts w:hint="eastAsia"/>
                <w:sz w:val="21"/>
              </w:rPr>
              <w:t>年</w:t>
            </w:r>
          </w:p>
        </w:tc>
        <w:tc>
          <w:tcPr>
            <w:tcW w:w="1383" w:type="dxa"/>
          </w:tcPr>
          <w:p w:rsidR="00000000" w:rsidRDefault="00E960EA">
            <w:pPr>
              <w:tabs>
                <w:tab w:val="clear" w:pos="510"/>
                <w:tab w:val="clear" w:pos="1021"/>
                <w:tab w:val="clear" w:pos="1531"/>
                <w:tab w:val="clear" w:pos="2041"/>
                <w:tab w:val="decimal" w:pos="812"/>
              </w:tabs>
              <w:spacing w:before="60"/>
              <w:rPr>
                <w:sz w:val="21"/>
              </w:rPr>
            </w:pPr>
            <w:r>
              <w:rPr>
                <w:sz w:val="21"/>
              </w:rPr>
              <w:t>421.7</w:t>
            </w:r>
          </w:p>
        </w:tc>
        <w:tc>
          <w:tcPr>
            <w:tcW w:w="1377" w:type="dxa"/>
          </w:tcPr>
          <w:p w:rsidR="00000000" w:rsidRDefault="00E960EA">
            <w:pPr>
              <w:tabs>
                <w:tab w:val="clear" w:pos="510"/>
                <w:tab w:val="clear" w:pos="1021"/>
                <w:tab w:val="clear" w:pos="1531"/>
                <w:tab w:val="clear" w:pos="2041"/>
                <w:tab w:val="decimal" w:pos="629"/>
              </w:tabs>
              <w:spacing w:before="60"/>
              <w:rPr>
                <w:sz w:val="21"/>
              </w:rPr>
            </w:pPr>
            <w:r>
              <w:rPr>
                <w:sz w:val="21"/>
              </w:rPr>
              <w:t>79.7</w:t>
            </w:r>
          </w:p>
        </w:tc>
        <w:tc>
          <w:tcPr>
            <w:tcW w:w="1385" w:type="dxa"/>
          </w:tcPr>
          <w:p w:rsidR="00000000" w:rsidRDefault="00E960EA">
            <w:pPr>
              <w:tabs>
                <w:tab w:val="clear" w:pos="510"/>
                <w:tab w:val="clear" w:pos="1021"/>
                <w:tab w:val="clear" w:pos="1531"/>
                <w:tab w:val="clear" w:pos="2041"/>
                <w:tab w:val="decimal" w:pos="812"/>
              </w:tabs>
              <w:spacing w:before="60"/>
              <w:rPr>
                <w:sz w:val="21"/>
              </w:rPr>
            </w:pPr>
            <w:r>
              <w:rPr>
                <w:sz w:val="21"/>
              </w:rPr>
              <w:t>501.4</w:t>
            </w:r>
          </w:p>
        </w:tc>
        <w:tc>
          <w:tcPr>
            <w:tcW w:w="1615" w:type="dxa"/>
          </w:tcPr>
          <w:p w:rsidR="00000000" w:rsidRDefault="00E960EA">
            <w:pPr>
              <w:tabs>
                <w:tab w:val="clear" w:pos="510"/>
                <w:tab w:val="clear" w:pos="1021"/>
                <w:tab w:val="clear" w:pos="1531"/>
                <w:tab w:val="clear" w:pos="2041"/>
                <w:tab w:val="decimal" w:pos="812"/>
              </w:tabs>
              <w:spacing w:before="60"/>
              <w:rPr>
                <w:sz w:val="21"/>
              </w:rPr>
            </w:pPr>
            <w:r>
              <w:rPr>
                <w:sz w:val="21"/>
              </w:rPr>
              <w:t>5.2</w:t>
            </w:r>
          </w:p>
        </w:tc>
        <w:tc>
          <w:tcPr>
            <w:tcW w:w="1421" w:type="dxa"/>
          </w:tcPr>
          <w:p w:rsidR="00000000" w:rsidRDefault="00E960EA">
            <w:pPr>
              <w:tabs>
                <w:tab w:val="clear" w:pos="510"/>
                <w:tab w:val="clear" w:pos="1021"/>
                <w:tab w:val="clear" w:pos="1531"/>
                <w:tab w:val="clear" w:pos="2041"/>
                <w:tab w:val="decimal" w:pos="812"/>
              </w:tabs>
              <w:spacing w:before="60"/>
              <w:rPr>
                <w:sz w:val="21"/>
              </w:rPr>
            </w:pPr>
            <w:r>
              <w:rPr>
                <w:sz w:val="21"/>
              </w:rPr>
              <w:t>7.8</w:t>
            </w:r>
          </w:p>
        </w:tc>
        <w:tc>
          <w:tcPr>
            <w:tcW w:w="1119" w:type="dxa"/>
          </w:tcPr>
          <w:p w:rsidR="00000000" w:rsidRDefault="00E960EA">
            <w:pPr>
              <w:tabs>
                <w:tab w:val="clear" w:pos="510"/>
                <w:tab w:val="clear" w:pos="1021"/>
                <w:tab w:val="clear" w:pos="1531"/>
                <w:tab w:val="clear" w:pos="2041"/>
                <w:tab w:val="decimal" w:pos="812"/>
              </w:tabs>
              <w:spacing w:before="60"/>
              <w:rPr>
                <w:sz w:val="21"/>
              </w:rPr>
            </w:pPr>
            <w:r>
              <w:rPr>
                <w:sz w:val="21"/>
              </w:rPr>
              <w:t>257</w:t>
            </w:r>
          </w:p>
        </w:tc>
      </w:tr>
      <w:tr w:rsidR="00000000">
        <w:tblPrEx>
          <w:tblCellMar>
            <w:top w:w="0" w:type="dxa"/>
            <w:bottom w:w="0" w:type="dxa"/>
          </w:tblCellMar>
        </w:tblPrEx>
        <w:tc>
          <w:tcPr>
            <w:tcW w:w="1108" w:type="dxa"/>
          </w:tcPr>
          <w:p w:rsidR="00000000" w:rsidRDefault="00E960EA">
            <w:pPr>
              <w:spacing w:before="60"/>
              <w:jc w:val="center"/>
              <w:rPr>
                <w:sz w:val="21"/>
              </w:rPr>
            </w:pPr>
            <w:r>
              <w:rPr>
                <w:sz w:val="21"/>
              </w:rPr>
              <w:t>1988</w:t>
            </w:r>
            <w:r>
              <w:rPr>
                <w:rFonts w:hint="eastAsia"/>
                <w:sz w:val="21"/>
              </w:rPr>
              <w:t>年</w:t>
            </w:r>
          </w:p>
        </w:tc>
        <w:tc>
          <w:tcPr>
            <w:tcW w:w="1383" w:type="dxa"/>
          </w:tcPr>
          <w:p w:rsidR="00000000" w:rsidRDefault="00E960EA">
            <w:pPr>
              <w:tabs>
                <w:tab w:val="clear" w:pos="510"/>
                <w:tab w:val="clear" w:pos="1021"/>
                <w:tab w:val="clear" w:pos="1531"/>
                <w:tab w:val="clear" w:pos="2041"/>
                <w:tab w:val="decimal" w:pos="812"/>
              </w:tabs>
              <w:spacing w:before="60"/>
              <w:rPr>
                <w:sz w:val="21"/>
              </w:rPr>
            </w:pPr>
            <w:r>
              <w:rPr>
                <w:sz w:val="21"/>
              </w:rPr>
              <w:t>449.8</w:t>
            </w:r>
          </w:p>
        </w:tc>
        <w:tc>
          <w:tcPr>
            <w:tcW w:w="1377" w:type="dxa"/>
          </w:tcPr>
          <w:p w:rsidR="00000000" w:rsidRDefault="00E960EA">
            <w:pPr>
              <w:tabs>
                <w:tab w:val="clear" w:pos="510"/>
                <w:tab w:val="clear" w:pos="1021"/>
                <w:tab w:val="clear" w:pos="1531"/>
                <w:tab w:val="clear" w:pos="2041"/>
                <w:tab w:val="decimal" w:pos="629"/>
              </w:tabs>
              <w:spacing w:before="60"/>
              <w:rPr>
                <w:sz w:val="21"/>
              </w:rPr>
            </w:pPr>
            <w:r>
              <w:rPr>
                <w:sz w:val="21"/>
              </w:rPr>
              <w:t>71.5</w:t>
            </w:r>
          </w:p>
        </w:tc>
        <w:tc>
          <w:tcPr>
            <w:tcW w:w="1385" w:type="dxa"/>
          </w:tcPr>
          <w:p w:rsidR="00000000" w:rsidRDefault="00E960EA">
            <w:pPr>
              <w:tabs>
                <w:tab w:val="clear" w:pos="510"/>
                <w:tab w:val="clear" w:pos="1021"/>
                <w:tab w:val="clear" w:pos="1531"/>
                <w:tab w:val="clear" w:pos="2041"/>
                <w:tab w:val="decimal" w:pos="812"/>
              </w:tabs>
              <w:spacing w:before="60"/>
              <w:rPr>
                <w:sz w:val="21"/>
              </w:rPr>
            </w:pPr>
            <w:r>
              <w:rPr>
                <w:sz w:val="21"/>
              </w:rPr>
              <w:t>521.3</w:t>
            </w:r>
          </w:p>
        </w:tc>
        <w:tc>
          <w:tcPr>
            <w:tcW w:w="1615" w:type="dxa"/>
          </w:tcPr>
          <w:p w:rsidR="00000000" w:rsidRDefault="00E960EA">
            <w:pPr>
              <w:tabs>
                <w:tab w:val="clear" w:pos="510"/>
                <w:tab w:val="clear" w:pos="1021"/>
                <w:tab w:val="clear" w:pos="1531"/>
                <w:tab w:val="clear" w:pos="2041"/>
                <w:tab w:val="decimal" w:pos="812"/>
              </w:tabs>
              <w:spacing w:before="60"/>
              <w:rPr>
                <w:sz w:val="21"/>
              </w:rPr>
            </w:pPr>
            <w:r>
              <w:rPr>
                <w:sz w:val="21"/>
              </w:rPr>
              <w:t>5.1</w:t>
            </w:r>
          </w:p>
        </w:tc>
        <w:tc>
          <w:tcPr>
            <w:tcW w:w="1421" w:type="dxa"/>
          </w:tcPr>
          <w:p w:rsidR="00000000" w:rsidRDefault="00E960EA">
            <w:pPr>
              <w:tabs>
                <w:tab w:val="clear" w:pos="510"/>
                <w:tab w:val="clear" w:pos="1021"/>
                <w:tab w:val="clear" w:pos="1531"/>
                <w:tab w:val="clear" w:pos="2041"/>
                <w:tab w:val="decimal" w:pos="812"/>
              </w:tabs>
              <w:spacing w:before="60"/>
              <w:rPr>
                <w:sz w:val="21"/>
              </w:rPr>
            </w:pPr>
            <w:r>
              <w:rPr>
                <w:sz w:val="21"/>
              </w:rPr>
              <w:t>7.7</w:t>
            </w:r>
          </w:p>
        </w:tc>
        <w:tc>
          <w:tcPr>
            <w:tcW w:w="1119" w:type="dxa"/>
          </w:tcPr>
          <w:p w:rsidR="00000000" w:rsidRDefault="00E960EA">
            <w:pPr>
              <w:tabs>
                <w:tab w:val="clear" w:pos="510"/>
                <w:tab w:val="clear" w:pos="1021"/>
                <w:tab w:val="clear" w:pos="1531"/>
                <w:tab w:val="clear" w:pos="2041"/>
                <w:tab w:val="decimal" w:pos="812"/>
              </w:tabs>
              <w:spacing w:before="60"/>
              <w:rPr>
                <w:sz w:val="21"/>
              </w:rPr>
            </w:pPr>
            <w:r>
              <w:rPr>
                <w:sz w:val="21"/>
              </w:rPr>
              <w:t>261</w:t>
            </w:r>
          </w:p>
        </w:tc>
      </w:tr>
      <w:tr w:rsidR="00000000">
        <w:tblPrEx>
          <w:tblCellMar>
            <w:top w:w="0" w:type="dxa"/>
            <w:bottom w:w="0" w:type="dxa"/>
          </w:tblCellMar>
        </w:tblPrEx>
        <w:tc>
          <w:tcPr>
            <w:tcW w:w="1108" w:type="dxa"/>
          </w:tcPr>
          <w:p w:rsidR="00000000" w:rsidRDefault="00E960EA">
            <w:pPr>
              <w:spacing w:before="60"/>
              <w:jc w:val="center"/>
              <w:rPr>
                <w:sz w:val="21"/>
              </w:rPr>
            </w:pPr>
            <w:r>
              <w:rPr>
                <w:sz w:val="21"/>
              </w:rPr>
              <w:t>1989</w:t>
            </w:r>
            <w:r>
              <w:rPr>
                <w:rFonts w:hint="eastAsia"/>
                <w:sz w:val="21"/>
              </w:rPr>
              <w:t>年</w:t>
            </w:r>
          </w:p>
        </w:tc>
        <w:tc>
          <w:tcPr>
            <w:tcW w:w="1383" w:type="dxa"/>
          </w:tcPr>
          <w:p w:rsidR="00000000" w:rsidRDefault="00E960EA">
            <w:pPr>
              <w:tabs>
                <w:tab w:val="clear" w:pos="510"/>
                <w:tab w:val="clear" w:pos="1021"/>
                <w:tab w:val="clear" w:pos="1531"/>
                <w:tab w:val="clear" w:pos="2041"/>
                <w:tab w:val="decimal" w:pos="812"/>
              </w:tabs>
              <w:spacing w:before="60"/>
              <w:rPr>
                <w:sz w:val="21"/>
              </w:rPr>
            </w:pPr>
            <w:r>
              <w:rPr>
                <w:sz w:val="21"/>
              </w:rPr>
              <w:t>477</w:t>
            </w:r>
            <w:r>
              <w:rPr>
                <w:sz w:val="21"/>
              </w:rPr>
              <w:t>.1</w:t>
            </w:r>
          </w:p>
        </w:tc>
        <w:tc>
          <w:tcPr>
            <w:tcW w:w="1377" w:type="dxa"/>
          </w:tcPr>
          <w:p w:rsidR="00000000" w:rsidRDefault="00E960EA">
            <w:pPr>
              <w:tabs>
                <w:tab w:val="clear" w:pos="510"/>
                <w:tab w:val="clear" w:pos="1021"/>
                <w:tab w:val="clear" w:pos="1531"/>
                <w:tab w:val="clear" w:pos="2041"/>
                <w:tab w:val="decimal" w:pos="629"/>
              </w:tabs>
              <w:spacing w:before="60"/>
              <w:rPr>
                <w:sz w:val="21"/>
              </w:rPr>
            </w:pPr>
            <w:r>
              <w:rPr>
                <w:sz w:val="21"/>
              </w:rPr>
              <w:t>74.5</w:t>
            </w:r>
          </w:p>
        </w:tc>
        <w:tc>
          <w:tcPr>
            <w:tcW w:w="1385" w:type="dxa"/>
          </w:tcPr>
          <w:p w:rsidR="00000000" w:rsidRDefault="00E960EA">
            <w:pPr>
              <w:tabs>
                <w:tab w:val="clear" w:pos="510"/>
                <w:tab w:val="clear" w:pos="1021"/>
                <w:tab w:val="clear" w:pos="1531"/>
                <w:tab w:val="clear" w:pos="2041"/>
                <w:tab w:val="decimal" w:pos="812"/>
              </w:tabs>
              <w:spacing w:before="60"/>
              <w:rPr>
                <w:sz w:val="21"/>
              </w:rPr>
            </w:pPr>
            <w:r>
              <w:rPr>
                <w:sz w:val="21"/>
              </w:rPr>
              <w:t>551.6</w:t>
            </w:r>
          </w:p>
        </w:tc>
        <w:tc>
          <w:tcPr>
            <w:tcW w:w="1615" w:type="dxa"/>
          </w:tcPr>
          <w:p w:rsidR="00000000" w:rsidRDefault="00E960EA">
            <w:pPr>
              <w:tabs>
                <w:tab w:val="clear" w:pos="510"/>
                <w:tab w:val="clear" w:pos="1021"/>
                <w:tab w:val="clear" w:pos="1531"/>
                <w:tab w:val="clear" w:pos="2041"/>
                <w:tab w:val="decimal" w:pos="812"/>
              </w:tabs>
              <w:spacing w:before="60"/>
              <w:rPr>
                <w:sz w:val="21"/>
              </w:rPr>
            </w:pPr>
            <w:r>
              <w:rPr>
                <w:sz w:val="21"/>
              </w:rPr>
              <w:t>5.1</w:t>
            </w:r>
          </w:p>
        </w:tc>
        <w:tc>
          <w:tcPr>
            <w:tcW w:w="1421" w:type="dxa"/>
          </w:tcPr>
          <w:p w:rsidR="00000000" w:rsidRDefault="00E960EA">
            <w:pPr>
              <w:tabs>
                <w:tab w:val="clear" w:pos="510"/>
                <w:tab w:val="clear" w:pos="1021"/>
                <w:tab w:val="clear" w:pos="1531"/>
                <w:tab w:val="clear" w:pos="2041"/>
                <w:tab w:val="decimal" w:pos="812"/>
              </w:tabs>
              <w:spacing w:before="60"/>
              <w:rPr>
                <w:sz w:val="21"/>
              </w:rPr>
            </w:pPr>
            <w:r>
              <w:rPr>
                <w:sz w:val="21"/>
              </w:rPr>
              <w:t>7.8</w:t>
            </w:r>
          </w:p>
        </w:tc>
        <w:tc>
          <w:tcPr>
            <w:tcW w:w="1119" w:type="dxa"/>
          </w:tcPr>
          <w:p w:rsidR="00000000" w:rsidRDefault="00E960EA">
            <w:pPr>
              <w:tabs>
                <w:tab w:val="clear" w:pos="510"/>
                <w:tab w:val="clear" w:pos="1021"/>
                <w:tab w:val="clear" w:pos="1531"/>
                <w:tab w:val="clear" w:pos="2041"/>
                <w:tab w:val="decimal" w:pos="812"/>
              </w:tabs>
              <w:spacing w:before="60"/>
              <w:rPr>
                <w:sz w:val="21"/>
              </w:rPr>
            </w:pPr>
            <w:r>
              <w:rPr>
                <w:sz w:val="21"/>
              </w:rPr>
              <w:t>270</w:t>
            </w:r>
          </w:p>
        </w:tc>
      </w:tr>
      <w:tr w:rsidR="00000000">
        <w:tblPrEx>
          <w:tblCellMar>
            <w:top w:w="0" w:type="dxa"/>
            <w:bottom w:w="0" w:type="dxa"/>
          </w:tblCellMar>
        </w:tblPrEx>
        <w:tc>
          <w:tcPr>
            <w:tcW w:w="1108" w:type="dxa"/>
          </w:tcPr>
          <w:p w:rsidR="00000000" w:rsidRDefault="00E960EA">
            <w:pPr>
              <w:spacing w:before="60"/>
              <w:jc w:val="center"/>
              <w:rPr>
                <w:sz w:val="21"/>
              </w:rPr>
            </w:pPr>
            <w:r>
              <w:rPr>
                <w:sz w:val="21"/>
              </w:rPr>
              <w:t>1990</w:t>
            </w:r>
            <w:r>
              <w:rPr>
                <w:rFonts w:hint="eastAsia"/>
                <w:sz w:val="21"/>
              </w:rPr>
              <w:t>年</w:t>
            </w:r>
          </w:p>
        </w:tc>
        <w:tc>
          <w:tcPr>
            <w:tcW w:w="1383" w:type="dxa"/>
          </w:tcPr>
          <w:p w:rsidR="00000000" w:rsidRDefault="00E960EA">
            <w:pPr>
              <w:tabs>
                <w:tab w:val="clear" w:pos="510"/>
                <w:tab w:val="clear" w:pos="1021"/>
                <w:tab w:val="clear" w:pos="1531"/>
                <w:tab w:val="clear" w:pos="2041"/>
                <w:tab w:val="decimal" w:pos="812"/>
              </w:tabs>
              <w:spacing w:before="60"/>
              <w:rPr>
                <w:sz w:val="21"/>
              </w:rPr>
            </w:pPr>
            <w:r>
              <w:rPr>
                <w:sz w:val="21"/>
              </w:rPr>
              <w:t>486.7</w:t>
            </w:r>
          </w:p>
        </w:tc>
        <w:tc>
          <w:tcPr>
            <w:tcW w:w="1377" w:type="dxa"/>
          </w:tcPr>
          <w:p w:rsidR="00000000" w:rsidRDefault="00E960EA">
            <w:pPr>
              <w:tabs>
                <w:tab w:val="clear" w:pos="510"/>
                <w:tab w:val="clear" w:pos="1021"/>
                <w:tab w:val="clear" w:pos="1531"/>
                <w:tab w:val="clear" w:pos="2041"/>
                <w:tab w:val="decimal" w:pos="629"/>
              </w:tabs>
              <w:spacing w:before="60"/>
              <w:rPr>
                <w:sz w:val="21"/>
              </w:rPr>
            </w:pPr>
            <w:r>
              <w:rPr>
                <w:sz w:val="21"/>
              </w:rPr>
              <w:t>73.6</w:t>
            </w:r>
          </w:p>
        </w:tc>
        <w:tc>
          <w:tcPr>
            <w:tcW w:w="1385" w:type="dxa"/>
          </w:tcPr>
          <w:p w:rsidR="00000000" w:rsidRDefault="00E960EA">
            <w:pPr>
              <w:tabs>
                <w:tab w:val="clear" w:pos="510"/>
                <w:tab w:val="clear" w:pos="1021"/>
                <w:tab w:val="clear" w:pos="1531"/>
                <w:tab w:val="clear" w:pos="2041"/>
                <w:tab w:val="decimal" w:pos="812"/>
              </w:tabs>
              <w:spacing w:before="60"/>
              <w:rPr>
                <w:sz w:val="21"/>
              </w:rPr>
            </w:pPr>
            <w:r>
              <w:rPr>
                <w:sz w:val="21"/>
              </w:rPr>
              <w:t>560.3</w:t>
            </w:r>
          </w:p>
        </w:tc>
        <w:tc>
          <w:tcPr>
            <w:tcW w:w="1615" w:type="dxa"/>
          </w:tcPr>
          <w:p w:rsidR="00000000" w:rsidRDefault="00E960EA">
            <w:pPr>
              <w:tabs>
                <w:tab w:val="clear" w:pos="510"/>
                <w:tab w:val="clear" w:pos="1021"/>
                <w:tab w:val="clear" w:pos="1531"/>
                <w:tab w:val="clear" w:pos="2041"/>
                <w:tab w:val="decimal" w:pos="812"/>
              </w:tabs>
              <w:spacing w:before="60"/>
              <w:rPr>
                <w:sz w:val="21"/>
              </w:rPr>
            </w:pPr>
            <w:r>
              <w:rPr>
                <w:sz w:val="21"/>
              </w:rPr>
              <w:t>5.3</w:t>
            </w:r>
          </w:p>
        </w:tc>
        <w:tc>
          <w:tcPr>
            <w:tcW w:w="1421" w:type="dxa"/>
          </w:tcPr>
          <w:p w:rsidR="00000000" w:rsidRDefault="00E960EA">
            <w:pPr>
              <w:tabs>
                <w:tab w:val="clear" w:pos="510"/>
                <w:tab w:val="clear" w:pos="1021"/>
                <w:tab w:val="clear" w:pos="1531"/>
                <w:tab w:val="clear" w:pos="2041"/>
                <w:tab w:val="decimal" w:pos="812"/>
              </w:tabs>
              <w:spacing w:before="60"/>
              <w:rPr>
                <w:sz w:val="21"/>
              </w:rPr>
            </w:pPr>
            <w:r>
              <w:rPr>
                <w:sz w:val="21"/>
              </w:rPr>
              <w:t>8.5</w:t>
            </w:r>
          </w:p>
        </w:tc>
        <w:tc>
          <w:tcPr>
            <w:tcW w:w="1119" w:type="dxa"/>
          </w:tcPr>
          <w:p w:rsidR="00000000" w:rsidRDefault="00E960EA">
            <w:pPr>
              <w:tabs>
                <w:tab w:val="clear" w:pos="510"/>
                <w:tab w:val="clear" w:pos="1021"/>
                <w:tab w:val="clear" w:pos="1531"/>
                <w:tab w:val="clear" w:pos="2041"/>
                <w:tab w:val="decimal" w:pos="812"/>
              </w:tabs>
              <w:spacing w:before="60"/>
              <w:rPr>
                <w:sz w:val="21"/>
              </w:rPr>
            </w:pPr>
            <w:r>
              <w:rPr>
                <w:sz w:val="21"/>
              </w:rPr>
              <w:t>276</w:t>
            </w:r>
          </w:p>
        </w:tc>
      </w:tr>
      <w:tr w:rsidR="00000000">
        <w:tblPrEx>
          <w:tblCellMar>
            <w:top w:w="0" w:type="dxa"/>
            <w:bottom w:w="0" w:type="dxa"/>
          </w:tblCellMar>
        </w:tblPrEx>
        <w:tc>
          <w:tcPr>
            <w:tcW w:w="1108" w:type="dxa"/>
          </w:tcPr>
          <w:p w:rsidR="00000000" w:rsidRDefault="00E960EA">
            <w:pPr>
              <w:spacing w:before="60"/>
              <w:jc w:val="center"/>
              <w:rPr>
                <w:sz w:val="21"/>
              </w:rPr>
            </w:pPr>
            <w:r>
              <w:rPr>
                <w:sz w:val="21"/>
              </w:rPr>
              <w:t>1991</w:t>
            </w:r>
            <w:r>
              <w:rPr>
                <w:rFonts w:hint="eastAsia"/>
                <w:sz w:val="21"/>
              </w:rPr>
              <w:t>年</w:t>
            </w:r>
          </w:p>
        </w:tc>
        <w:tc>
          <w:tcPr>
            <w:tcW w:w="1383" w:type="dxa"/>
          </w:tcPr>
          <w:p w:rsidR="00000000" w:rsidRDefault="00E960EA">
            <w:pPr>
              <w:tabs>
                <w:tab w:val="clear" w:pos="510"/>
                <w:tab w:val="clear" w:pos="1021"/>
                <w:tab w:val="clear" w:pos="1531"/>
                <w:tab w:val="clear" w:pos="2041"/>
                <w:tab w:val="decimal" w:pos="812"/>
              </w:tabs>
              <w:spacing w:before="60"/>
              <w:rPr>
                <w:sz w:val="21"/>
              </w:rPr>
            </w:pPr>
            <w:r>
              <w:rPr>
                <w:sz w:val="21"/>
              </w:rPr>
              <w:t>932.7</w:t>
            </w:r>
          </w:p>
        </w:tc>
        <w:tc>
          <w:tcPr>
            <w:tcW w:w="1377" w:type="dxa"/>
          </w:tcPr>
          <w:p w:rsidR="00000000" w:rsidRDefault="00E960EA">
            <w:pPr>
              <w:tabs>
                <w:tab w:val="clear" w:pos="510"/>
                <w:tab w:val="clear" w:pos="1021"/>
                <w:tab w:val="clear" w:pos="1531"/>
                <w:tab w:val="clear" w:pos="2041"/>
                <w:tab w:val="decimal" w:pos="629"/>
              </w:tabs>
              <w:spacing w:before="60"/>
              <w:rPr>
                <w:sz w:val="21"/>
              </w:rPr>
            </w:pPr>
            <w:r>
              <w:rPr>
                <w:sz w:val="21"/>
              </w:rPr>
              <w:t>146.2</w:t>
            </w:r>
          </w:p>
        </w:tc>
        <w:tc>
          <w:tcPr>
            <w:tcW w:w="1385" w:type="dxa"/>
          </w:tcPr>
          <w:p w:rsidR="00000000" w:rsidRDefault="00E960EA">
            <w:pPr>
              <w:tabs>
                <w:tab w:val="clear" w:pos="510"/>
                <w:tab w:val="clear" w:pos="1021"/>
                <w:tab w:val="clear" w:pos="1531"/>
                <w:tab w:val="clear" w:pos="2041"/>
                <w:tab w:val="decimal" w:pos="812"/>
              </w:tabs>
              <w:spacing w:before="60"/>
              <w:rPr>
                <w:sz w:val="21"/>
              </w:rPr>
            </w:pPr>
            <w:r>
              <w:rPr>
                <w:sz w:val="21"/>
              </w:rPr>
              <w:t>1,078.9</w:t>
            </w:r>
          </w:p>
        </w:tc>
        <w:tc>
          <w:tcPr>
            <w:tcW w:w="1615" w:type="dxa"/>
          </w:tcPr>
          <w:p w:rsidR="00000000" w:rsidRDefault="00E960EA">
            <w:pPr>
              <w:tabs>
                <w:tab w:val="clear" w:pos="510"/>
                <w:tab w:val="clear" w:pos="1021"/>
                <w:tab w:val="clear" w:pos="1531"/>
                <w:tab w:val="clear" w:pos="2041"/>
                <w:tab w:val="decimal" w:pos="812"/>
              </w:tabs>
              <w:spacing w:before="60"/>
              <w:rPr>
                <w:sz w:val="21"/>
              </w:rPr>
            </w:pPr>
            <w:r>
              <w:rPr>
                <w:sz w:val="21"/>
              </w:rPr>
              <w:t>5.7</w:t>
            </w:r>
          </w:p>
        </w:tc>
        <w:tc>
          <w:tcPr>
            <w:tcW w:w="1421" w:type="dxa"/>
          </w:tcPr>
          <w:p w:rsidR="00000000" w:rsidRDefault="00E960EA">
            <w:pPr>
              <w:tabs>
                <w:tab w:val="clear" w:pos="510"/>
                <w:tab w:val="clear" w:pos="1021"/>
                <w:tab w:val="clear" w:pos="1531"/>
                <w:tab w:val="clear" w:pos="2041"/>
                <w:tab w:val="decimal" w:pos="812"/>
              </w:tabs>
              <w:spacing w:before="60"/>
              <w:rPr>
                <w:sz w:val="21"/>
              </w:rPr>
            </w:pPr>
            <w:r>
              <w:rPr>
                <w:sz w:val="21"/>
              </w:rPr>
              <w:t>12</w:t>
            </w:r>
          </w:p>
        </w:tc>
        <w:tc>
          <w:tcPr>
            <w:tcW w:w="1119" w:type="dxa"/>
          </w:tcPr>
          <w:p w:rsidR="00000000" w:rsidRDefault="00E960EA">
            <w:pPr>
              <w:tabs>
                <w:tab w:val="clear" w:pos="510"/>
                <w:tab w:val="clear" w:pos="1021"/>
                <w:tab w:val="clear" w:pos="1531"/>
                <w:tab w:val="clear" w:pos="2041"/>
                <w:tab w:val="decimal" w:pos="812"/>
              </w:tabs>
              <w:spacing w:before="60"/>
              <w:rPr>
                <w:sz w:val="21"/>
              </w:rPr>
            </w:pPr>
            <w:r>
              <w:rPr>
                <w:sz w:val="21"/>
              </w:rPr>
              <w:t>510</w:t>
            </w:r>
          </w:p>
        </w:tc>
      </w:tr>
      <w:tr w:rsidR="00000000">
        <w:tblPrEx>
          <w:tblCellMar>
            <w:top w:w="0" w:type="dxa"/>
            <w:bottom w:w="0" w:type="dxa"/>
          </w:tblCellMar>
        </w:tblPrEx>
        <w:tc>
          <w:tcPr>
            <w:tcW w:w="1108" w:type="dxa"/>
          </w:tcPr>
          <w:p w:rsidR="00000000" w:rsidRDefault="00E960EA">
            <w:pPr>
              <w:spacing w:before="60"/>
              <w:jc w:val="center"/>
              <w:rPr>
                <w:sz w:val="21"/>
              </w:rPr>
            </w:pPr>
            <w:r>
              <w:rPr>
                <w:sz w:val="21"/>
              </w:rPr>
              <w:t>1992</w:t>
            </w:r>
            <w:r>
              <w:rPr>
                <w:rFonts w:hint="eastAsia"/>
                <w:sz w:val="21"/>
              </w:rPr>
              <w:t>年</w:t>
            </w:r>
          </w:p>
        </w:tc>
        <w:tc>
          <w:tcPr>
            <w:tcW w:w="1383" w:type="dxa"/>
          </w:tcPr>
          <w:p w:rsidR="00000000" w:rsidRDefault="00E960EA">
            <w:pPr>
              <w:tabs>
                <w:tab w:val="clear" w:pos="510"/>
                <w:tab w:val="clear" w:pos="1021"/>
                <w:tab w:val="clear" w:pos="1531"/>
                <w:tab w:val="clear" w:pos="2041"/>
                <w:tab w:val="decimal" w:pos="812"/>
              </w:tabs>
              <w:spacing w:before="60"/>
              <w:rPr>
                <w:sz w:val="21"/>
              </w:rPr>
            </w:pPr>
            <w:r>
              <w:rPr>
                <w:sz w:val="21"/>
              </w:rPr>
              <w:t>1,690.9</w:t>
            </w:r>
          </w:p>
        </w:tc>
        <w:tc>
          <w:tcPr>
            <w:tcW w:w="1377" w:type="dxa"/>
          </w:tcPr>
          <w:p w:rsidR="00000000" w:rsidRDefault="00E960EA">
            <w:pPr>
              <w:tabs>
                <w:tab w:val="clear" w:pos="510"/>
                <w:tab w:val="clear" w:pos="1021"/>
                <w:tab w:val="clear" w:pos="1531"/>
                <w:tab w:val="clear" w:pos="2041"/>
                <w:tab w:val="decimal" w:pos="629"/>
              </w:tabs>
              <w:spacing w:before="60"/>
              <w:rPr>
                <w:sz w:val="21"/>
              </w:rPr>
            </w:pPr>
            <w:r>
              <w:rPr>
                <w:sz w:val="21"/>
              </w:rPr>
              <w:t>172.4</w:t>
            </w:r>
          </w:p>
        </w:tc>
        <w:tc>
          <w:tcPr>
            <w:tcW w:w="1385" w:type="dxa"/>
          </w:tcPr>
          <w:p w:rsidR="00000000" w:rsidRDefault="00E960EA">
            <w:pPr>
              <w:tabs>
                <w:tab w:val="clear" w:pos="510"/>
                <w:tab w:val="clear" w:pos="1021"/>
                <w:tab w:val="clear" w:pos="1531"/>
                <w:tab w:val="clear" w:pos="2041"/>
                <w:tab w:val="decimal" w:pos="812"/>
              </w:tabs>
              <w:spacing w:before="60"/>
              <w:rPr>
                <w:sz w:val="21"/>
              </w:rPr>
            </w:pPr>
            <w:r>
              <w:rPr>
                <w:sz w:val="21"/>
              </w:rPr>
              <w:t>1,863.3</w:t>
            </w:r>
          </w:p>
        </w:tc>
        <w:tc>
          <w:tcPr>
            <w:tcW w:w="1615" w:type="dxa"/>
          </w:tcPr>
          <w:p w:rsidR="00000000" w:rsidRDefault="00E960EA">
            <w:pPr>
              <w:tabs>
                <w:tab w:val="clear" w:pos="510"/>
                <w:tab w:val="clear" w:pos="1021"/>
                <w:tab w:val="clear" w:pos="1531"/>
                <w:tab w:val="clear" w:pos="2041"/>
                <w:tab w:val="decimal" w:pos="812"/>
              </w:tabs>
              <w:spacing w:before="60"/>
              <w:rPr>
                <w:sz w:val="21"/>
              </w:rPr>
            </w:pPr>
            <w:r>
              <w:rPr>
                <w:sz w:val="21"/>
              </w:rPr>
              <w:t>3.9</w:t>
            </w:r>
          </w:p>
        </w:tc>
        <w:tc>
          <w:tcPr>
            <w:tcW w:w="1421" w:type="dxa"/>
          </w:tcPr>
          <w:p w:rsidR="00000000" w:rsidRDefault="00E960EA">
            <w:pPr>
              <w:tabs>
                <w:tab w:val="clear" w:pos="510"/>
                <w:tab w:val="clear" w:pos="1021"/>
                <w:tab w:val="clear" w:pos="1531"/>
                <w:tab w:val="clear" w:pos="2041"/>
                <w:tab w:val="decimal" w:pos="812"/>
              </w:tabs>
              <w:spacing w:before="60"/>
              <w:rPr>
                <w:sz w:val="21"/>
              </w:rPr>
            </w:pPr>
            <w:r>
              <w:rPr>
                <w:sz w:val="21"/>
              </w:rPr>
              <w:t>15.1</w:t>
            </w:r>
          </w:p>
        </w:tc>
        <w:tc>
          <w:tcPr>
            <w:tcW w:w="1119" w:type="dxa"/>
          </w:tcPr>
          <w:p w:rsidR="00000000" w:rsidRDefault="00E960EA">
            <w:pPr>
              <w:tabs>
                <w:tab w:val="clear" w:pos="510"/>
                <w:tab w:val="clear" w:pos="1021"/>
                <w:tab w:val="clear" w:pos="1531"/>
                <w:tab w:val="clear" w:pos="2041"/>
                <w:tab w:val="decimal" w:pos="812"/>
              </w:tabs>
              <w:spacing w:before="60"/>
              <w:rPr>
                <w:sz w:val="21"/>
              </w:rPr>
            </w:pPr>
            <w:r>
              <w:rPr>
                <w:sz w:val="21"/>
              </w:rPr>
              <w:t>768</w:t>
            </w:r>
          </w:p>
        </w:tc>
      </w:tr>
      <w:tr w:rsidR="00000000">
        <w:tblPrEx>
          <w:tblCellMar>
            <w:top w:w="0" w:type="dxa"/>
            <w:bottom w:w="0" w:type="dxa"/>
          </w:tblCellMar>
        </w:tblPrEx>
        <w:tc>
          <w:tcPr>
            <w:tcW w:w="1108" w:type="dxa"/>
          </w:tcPr>
          <w:p w:rsidR="00000000" w:rsidRDefault="00E960EA">
            <w:pPr>
              <w:spacing w:before="60"/>
              <w:jc w:val="center"/>
              <w:rPr>
                <w:sz w:val="21"/>
              </w:rPr>
            </w:pPr>
            <w:r>
              <w:rPr>
                <w:sz w:val="21"/>
              </w:rPr>
              <w:t>1993</w:t>
            </w:r>
            <w:r>
              <w:rPr>
                <w:rFonts w:hint="eastAsia"/>
                <w:sz w:val="21"/>
              </w:rPr>
              <w:t>年</w:t>
            </w:r>
          </w:p>
        </w:tc>
        <w:tc>
          <w:tcPr>
            <w:tcW w:w="1383" w:type="dxa"/>
          </w:tcPr>
          <w:p w:rsidR="00000000" w:rsidRDefault="00E960EA">
            <w:pPr>
              <w:tabs>
                <w:tab w:val="clear" w:pos="510"/>
                <w:tab w:val="clear" w:pos="1021"/>
                <w:tab w:val="clear" w:pos="1531"/>
                <w:tab w:val="clear" w:pos="2041"/>
                <w:tab w:val="decimal" w:pos="812"/>
              </w:tabs>
              <w:spacing w:before="60"/>
              <w:rPr>
                <w:sz w:val="21"/>
              </w:rPr>
            </w:pPr>
            <w:r>
              <w:rPr>
                <w:sz w:val="21"/>
              </w:rPr>
              <w:t>6,661.8</w:t>
            </w:r>
          </w:p>
        </w:tc>
        <w:tc>
          <w:tcPr>
            <w:tcW w:w="1377" w:type="dxa"/>
          </w:tcPr>
          <w:p w:rsidR="00000000" w:rsidRDefault="00E960EA">
            <w:pPr>
              <w:tabs>
                <w:tab w:val="clear" w:pos="510"/>
                <w:tab w:val="clear" w:pos="1021"/>
                <w:tab w:val="clear" w:pos="1531"/>
                <w:tab w:val="clear" w:pos="2041"/>
                <w:tab w:val="decimal" w:pos="629"/>
              </w:tabs>
              <w:spacing w:before="60"/>
              <w:rPr>
                <w:sz w:val="21"/>
              </w:rPr>
            </w:pPr>
            <w:r>
              <w:rPr>
                <w:sz w:val="21"/>
              </w:rPr>
              <w:t>89.4</w:t>
            </w:r>
          </w:p>
        </w:tc>
        <w:tc>
          <w:tcPr>
            <w:tcW w:w="1385" w:type="dxa"/>
          </w:tcPr>
          <w:p w:rsidR="00000000" w:rsidRDefault="00E960EA">
            <w:pPr>
              <w:tabs>
                <w:tab w:val="clear" w:pos="510"/>
                <w:tab w:val="clear" w:pos="1021"/>
                <w:tab w:val="clear" w:pos="1531"/>
                <w:tab w:val="clear" w:pos="2041"/>
                <w:tab w:val="decimal" w:pos="812"/>
              </w:tabs>
              <w:spacing w:before="60"/>
              <w:rPr>
                <w:sz w:val="21"/>
              </w:rPr>
            </w:pPr>
            <w:r>
              <w:rPr>
                <w:sz w:val="21"/>
              </w:rPr>
              <w:t>6,751.2</w:t>
            </w:r>
          </w:p>
        </w:tc>
        <w:tc>
          <w:tcPr>
            <w:tcW w:w="1615" w:type="dxa"/>
          </w:tcPr>
          <w:p w:rsidR="00000000" w:rsidRDefault="00E960EA">
            <w:pPr>
              <w:tabs>
                <w:tab w:val="clear" w:pos="510"/>
                <w:tab w:val="clear" w:pos="1021"/>
                <w:tab w:val="clear" w:pos="1531"/>
                <w:tab w:val="clear" w:pos="2041"/>
                <w:tab w:val="decimal" w:pos="812"/>
              </w:tabs>
              <w:spacing w:before="60"/>
              <w:rPr>
                <w:sz w:val="21"/>
              </w:rPr>
            </w:pPr>
            <w:r>
              <w:rPr>
                <w:sz w:val="21"/>
              </w:rPr>
              <w:t>4.1</w:t>
            </w:r>
          </w:p>
        </w:tc>
        <w:tc>
          <w:tcPr>
            <w:tcW w:w="1421" w:type="dxa"/>
          </w:tcPr>
          <w:p w:rsidR="00000000" w:rsidRDefault="00E960EA">
            <w:pPr>
              <w:tabs>
                <w:tab w:val="clear" w:pos="510"/>
                <w:tab w:val="clear" w:pos="1021"/>
                <w:tab w:val="clear" w:pos="1531"/>
                <w:tab w:val="clear" w:pos="2041"/>
                <w:tab w:val="decimal" w:pos="812"/>
              </w:tabs>
              <w:spacing w:before="60"/>
              <w:rPr>
                <w:sz w:val="21"/>
              </w:rPr>
            </w:pPr>
            <w:r>
              <w:rPr>
                <w:sz w:val="21"/>
              </w:rPr>
              <w:t>10.9</w:t>
            </w:r>
          </w:p>
        </w:tc>
        <w:tc>
          <w:tcPr>
            <w:tcW w:w="1119" w:type="dxa"/>
          </w:tcPr>
          <w:p w:rsidR="00000000" w:rsidRDefault="00E960EA">
            <w:pPr>
              <w:tabs>
                <w:tab w:val="clear" w:pos="510"/>
                <w:tab w:val="clear" w:pos="1021"/>
                <w:tab w:val="clear" w:pos="1531"/>
                <w:tab w:val="clear" w:pos="2041"/>
                <w:tab w:val="decimal" w:pos="812"/>
              </w:tabs>
              <w:spacing w:before="60"/>
              <w:rPr>
                <w:sz w:val="21"/>
              </w:rPr>
            </w:pPr>
            <w:r>
              <w:rPr>
                <w:sz w:val="21"/>
              </w:rPr>
              <w:t>3,048</w:t>
            </w:r>
          </w:p>
        </w:tc>
      </w:tr>
      <w:tr w:rsidR="00000000">
        <w:tblPrEx>
          <w:tblCellMar>
            <w:top w:w="0" w:type="dxa"/>
            <w:bottom w:w="0" w:type="dxa"/>
          </w:tblCellMar>
        </w:tblPrEx>
        <w:tc>
          <w:tcPr>
            <w:tcW w:w="1108" w:type="dxa"/>
          </w:tcPr>
          <w:p w:rsidR="00000000" w:rsidRDefault="00E960EA">
            <w:pPr>
              <w:spacing w:before="60"/>
              <w:jc w:val="center"/>
              <w:rPr>
                <w:sz w:val="21"/>
              </w:rPr>
            </w:pPr>
            <w:r>
              <w:rPr>
                <w:sz w:val="21"/>
              </w:rPr>
              <w:t>1994</w:t>
            </w:r>
            <w:r>
              <w:rPr>
                <w:rFonts w:hint="eastAsia"/>
                <w:sz w:val="21"/>
              </w:rPr>
              <w:t>年</w:t>
            </w:r>
          </w:p>
        </w:tc>
        <w:tc>
          <w:tcPr>
            <w:tcW w:w="1383" w:type="dxa"/>
          </w:tcPr>
          <w:p w:rsidR="00000000" w:rsidRDefault="00E960EA">
            <w:pPr>
              <w:tabs>
                <w:tab w:val="clear" w:pos="510"/>
                <w:tab w:val="clear" w:pos="1021"/>
                <w:tab w:val="clear" w:pos="1531"/>
                <w:tab w:val="clear" w:pos="2041"/>
                <w:tab w:val="decimal" w:pos="812"/>
              </w:tabs>
              <w:spacing w:before="60"/>
              <w:rPr>
                <w:sz w:val="21"/>
              </w:rPr>
            </w:pPr>
            <w:r>
              <w:rPr>
                <w:sz w:val="21"/>
              </w:rPr>
              <w:t>11,609.8</w:t>
            </w:r>
          </w:p>
        </w:tc>
        <w:tc>
          <w:tcPr>
            <w:tcW w:w="1377" w:type="dxa"/>
          </w:tcPr>
          <w:p w:rsidR="00000000" w:rsidRDefault="00E960EA">
            <w:pPr>
              <w:tabs>
                <w:tab w:val="clear" w:pos="510"/>
                <w:tab w:val="clear" w:pos="1021"/>
                <w:tab w:val="clear" w:pos="1531"/>
                <w:tab w:val="clear" w:pos="2041"/>
                <w:tab w:val="decimal" w:pos="629"/>
              </w:tabs>
              <w:spacing w:before="60"/>
              <w:rPr>
                <w:sz w:val="21"/>
              </w:rPr>
            </w:pPr>
            <w:r>
              <w:rPr>
                <w:sz w:val="21"/>
              </w:rPr>
              <w:t>144.9</w:t>
            </w:r>
          </w:p>
        </w:tc>
        <w:tc>
          <w:tcPr>
            <w:tcW w:w="1385" w:type="dxa"/>
          </w:tcPr>
          <w:p w:rsidR="00000000" w:rsidRDefault="00E960EA">
            <w:pPr>
              <w:tabs>
                <w:tab w:val="clear" w:pos="510"/>
                <w:tab w:val="clear" w:pos="1021"/>
                <w:tab w:val="clear" w:pos="1531"/>
                <w:tab w:val="clear" w:pos="2041"/>
                <w:tab w:val="decimal" w:pos="812"/>
              </w:tabs>
              <w:spacing w:before="60"/>
              <w:rPr>
                <w:sz w:val="21"/>
              </w:rPr>
            </w:pPr>
            <w:r>
              <w:rPr>
                <w:sz w:val="21"/>
              </w:rPr>
              <w:t>11,754.7</w:t>
            </w:r>
          </w:p>
        </w:tc>
        <w:tc>
          <w:tcPr>
            <w:tcW w:w="1615" w:type="dxa"/>
          </w:tcPr>
          <w:p w:rsidR="00000000" w:rsidRDefault="00E960EA">
            <w:pPr>
              <w:tabs>
                <w:tab w:val="clear" w:pos="510"/>
                <w:tab w:val="clear" w:pos="1021"/>
                <w:tab w:val="clear" w:pos="1531"/>
                <w:tab w:val="clear" w:pos="2041"/>
                <w:tab w:val="decimal" w:pos="812"/>
              </w:tabs>
              <w:spacing w:before="60"/>
              <w:rPr>
                <w:sz w:val="21"/>
              </w:rPr>
            </w:pPr>
            <w:r>
              <w:rPr>
                <w:sz w:val="21"/>
              </w:rPr>
              <w:t>4.1</w:t>
            </w:r>
          </w:p>
        </w:tc>
        <w:tc>
          <w:tcPr>
            <w:tcW w:w="1421" w:type="dxa"/>
          </w:tcPr>
          <w:p w:rsidR="00000000" w:rsidRDefault="00E960EA">
            <w:pPr>
              <w:tabs>
                <w:tab w:val="clear" w:pos="510"/>
                <w:tab w:val="clear" w:pos="1021"/>
                <w:tab w:val="clear" w:pos="1531"/>
                <w:tab w:val="clear" w:pos="2041"/>
                <w:tab w:val="decimal" w:pos="812"/>
              </w:tabs>
              <w:spacing w:before="60"/>
              <w:rPr>
                <w:sz w:val="21"/>
              </w:rPr>
            </w:pPr>
            <w:r>
              <w:rPr>
                <w:sz w:val="21"/>
              </w:rPr>
              <w:t>11.6</w:t>
            </w:r>
          </w:p>
        </w:tc>
        <w:tc>
          <w:tcPr>
            <w:tcW w:w="1119" w:type="dxa"/>
          </w:tcPr>
          <w:p w:rsidR="00000000" w:rsidRDefault="00E960EA">
            <w:pPr>
              <w:tabs>
                <w:tab w:val="clear" w:pos="510"/>
                <w:tab w:val="clear" w:pos="1021"/>
                <w:tab w:val="clear" w:pos="1531"/>
                <w:tab w:val="clear" w:pos="2041"/>
                <w:tab w:val="decimal" w:pos="812"/>
              </w:tabs>
              <w:spacing w:before="60"/>
              <w:rPr>
                <w:sz w:val="21"/>
              </w:rPr>
            </w:pPr>
            <w:r>
              <w:rPr>
                <w:sz w:val="21"/>
              </w:rPr>
              <w:t>5,224</w:t>
            </w:r>
          </w:p>
        </w:tc>
      </w:tr>
      <w:tr w:rsidR="00000000">
        <w:tblPrEx>
          <w:tblCellMar>
            <w:top w:w="0" w:type="dxa"/>
            <w:bottom w:w="0" w:type="dxa"/>
          </w:tblCellMar>
        </w:tblPrEx>
        <w:tc>
          <w:tcPr>
            <w:tcW w:w="1108" w:type="dxa"/>
          </w:tcPr>
          <w:p w:rsidR="00000000" w:rsidRDefault="00E960EA">
            <w:pPr>
              <w:spacing w:before="60"/>
              <w:jc w:val="center"/>
              <w:rPr>
                <w:sz w:val="21"/>
              </w:rPr>
            </w:pPr>
            <w:r>
              <w:rPr>
                <w:sz w:val="21"/>
              </w:rPr>
              <w:t>1995</w:t>
            </w:r>
            <w:r>
              <w:rPr>
                <w:rFonts w:hint="eastAsia"/>
                <w:sz w:val="21"/>
              </w:rPr>
              <w:t>年</w:t>
            </w:r>
          </w:p>
        </w:tc>
        <w:tc>
          <w:tcPr>
            <w:tcW w:w="1383" w:type="dxa"/>
          </w:tcPr>
          <w:p w:rsidR="00000000" w:rsidRDefault="00E960EA">
            <w:pPr>
              <w:tabs>
                <w:tab w:val="clear" w:pos="510"/>
                <w:tab w:val="clear" w:pos="1021"/>
                <w:tab w:val="clear" w:pos="1531"/>
                <w:tab w:val="clear" w:pos="2041"/>
                <w:tab w:val="decimal" w:pos="812"/>
              </w:tabs>
              <w:spacing w:before="60"/>
              <w:rPr>
                <w:sz w:val="21"/>
              </w:rPr>
            </w:pPr>
            <w:r>
              <w:rPr>
                <w:sz w:val="21"/>
              </w:rPr>
              <w:t>16,930.8</w:t>
            </w:r>
          </w:p>
        </w:tc>
        <w:tc>
          <w:tcPr>
            <w:tcW w:w="1377" w:type="dxa"/>
          </w:tcPr>
          <w:p w:rsidR="00000000" w:rsidRDefault="00E960EA">
            <w:pPr>
              <w:tabs>
                <w:tab w:val="clear" w:pos="510"/>
                <w:tab w:val="clear" w:pos="1021"/>
                <w:tab w:val="clear" w:pos="1531"/>
                <w:tab w:val="clear" w:pos="2041"/>
                <w:tab w:val="decimal" w:pos="629"/>
              </w:tabs>
              <w:spacing w:before="60"/>
              <w:rPr>
                <w:sz w:val="21"/>
              </w:rPr>
            </w:pPr>
            <w:r>
              <w:rPr>
                <w:sz w:val="21"/>
              </w:rPr>
              <w:t>153</w:t>
            </w:r>
          </w:p>
        </w:tc>
        <w:tc>
          <w:tcPr>
            <w:tcW w:w="1385" w:type="dxa"/>
          </w:tcPr>
          <w:p w:rsidR="00000000" w:rsidRDefault="00E960EA">
            <w:pPr>
              <w:tabs>
                <w:tab w:val="clear" w:pos="510"/>
                <w:tab w:val="clear" w:pos="1021"/>
                <w:tab w:val="clear" w:pos="1531"/>
                <w:tab w:val="clear" w:pos="2041"/>
                <w:tab w:val="decimal" w:pos="812"/>
              </w:tabs>
              <w:spacing w:before="60"/>
              <w:rPr>
                <w:sz w:val="21"/>
              </w:rPr>
            </w:pPr>
            <w:r>
              <w:rPr>
                <w:sz w:val="21"/>
              </w:rPr>
              <w:t>17,08</w:t>
            </w:r>
            <w:r>
              <w:rPr>
                <w:sz w:val="21"/>
              </w:rPr>
              <w:t>4</w:t>
            </w:r>
          </w:p>
        </w:tc>
        <w:tc>
          <w:tcPr>
            <w:tcW w:w="1615" w:type="dxa"/>
          </w:tcPr>
          <w:p w:rsidR="00000000" w:rsidRDefault="00E960EA">
            <w:pPr>
              <w:tabs>
                <w:tab w:val="clear" w:pos="510"/>
                <w:tab w:val="clear" w:pos="1021"/>
                <w:tab w:val="clear" w:pos="1531"/>
                <w:tab w:val="clear" w:pos="2041"/>
                <w:tab w:val="decimal" w:pos="812"/>
              </w:tabs>
              <w:spacing w:before="60"/>
              <w:rPr>
                <w:sz w:val="21"/>
              </w:rPr>
            </w:pPr>
            <w:r>
              <w:rPr>
                <w:sz w:val="21"/>
              </w:rPr>
              <w:t>4.4</w:t>
            </w:r>
          </w:p>
        </w:tc>
        <w:tc>
          <w:tcPr>
            <w:tcW w:w="1421" w:type="dxa"/>
          </w:tcPr>
          <w:p w:rsidR="00000000" w:rsidRDefault="00E960EA">
            <w:pPr>
              <w:tabs>
                <w:tab w:val="clear" w:pos="510"/>
                <w:tab w:val="clear" w:pos="1021"/>
                <w:tab w:val="clear" w:pos="1531"/>
                <w:tab w:val="clear" w:pos="2041"/>
                <w:tab w:val="decimal" w:pos="812"/>
              </w:tabs>
              <w:spacing w:before="60"/>
              <w:rPr>
                <w:sz w:val="21"/>
              </w:rPr>
            </w:pPr>
            <w:r>
              <w:rPr>
                <w:sz w:val="21"/>
              </w:rPr>
              <w:t>11.6</w:t>
            </w:r>
          </w:p>
        </w:tc>
        <w:tc>
          <w:tcPr>
            <w:tcW w:w="1119" w:type="dxa"/>
          </w:tcPr>
          <w:p w:rsidR="00000000" w:rsidRDefault="00E960EA">
            <w:pPr>
              <w:tabs>
                <w:tab w:val="clear" w:pos="510"/>
                <w:tab w:val="clear" w:pos="1021"/>
                <w:tab w:val="clear" w:pos="1531"/>
                <w:tab w:val="clear" w:pos="2041"/>
                <w:tab w:val="decimal" w:pos="812"/>
              </w:tabs>
              <w:spacing w:before="60"/>
              <w:rPr>
                <w:sz w:val="21"/>
              </w:rPr>
            </w:pPr>
            <w:r>
              <w:rPr>
                <w:sz w:val="21"/>
              </w:rPr>
              <w:t>7,493</w:t>
            </w:r>
          </w:p>
        </w:tc>
      </w:tr>
      <w:tr w:rsidR="00000000">
        <w:tblPrEx>
          <w:tblCellMar>
            <w:top w:w="0" w:type="dxa"/>
            <w:bottom w:w="0" w:type="dxa"/>
          </w:tblCellMar>
        </w:tblPrEx>
        <w:tc>
          <w:tcPr>
            <w:tcW w:w="1108" w:type="dxa"/>
          </w:tcPr>
          <w:p w:rsidR="00000000" w:rsidRDefault="00E960EA">
            <w:pPr>
              <w:spacing w:before="60"/>
              <w:jc w:val="center"/>
              <w:rPr>
                <w:sz w:val="21"/>
              </w:rPr>
            </w:pPr>
            <w:r>
              <w:rPr>
                <w:sz w:val="21"/>
              </w:rPr>
              <w:t>1996</w:t>
            </w:r>
            <w:r>
              <w:rPr>
                <w:rFonts w:hint="eastAsia"/>
                <w:sz w:val="21"/>
              </w:rPr>
              <w:t>年</w:t>
            </w:r>
          </w:p>
        </w:tc>
        <w:tc>
          <w:tcPr>
            <w:tcW w:w="1383" w:type="dxa"/>
          </w:tcPr>
          <w:p w:rsidR="00000000" w:rsidRDefault="00E960EA">
            <w:pPr>
              <w:tabs>
                <w:tab w:val="clear" w:pos="510"/>
                <w:tab w:val="clear" w:pos="1021"/>
                <w:tab w:val="clear" w:pos="1531"/>
                <w:tab w:val="clear" w:pos="2041"/>
                <w:tab w:val="decimal" w:pos="812"/>
              </w:tabs>
              <w:spacing w:before="60"/>
              <w:rPr>
                <w:sz w:val="21"/>
              </w:rPr>
            </w:pPr>
            <w:r>
              <w:rPr>
                <w:sz w:val="21"/>
              </w:rPr>
              <w:t>19,673</w:t>
            </w:r>
          </w:p>
        </w:tc>
        <w:tc>
          <w:tcPr>
            <w:tcW w:w="1377" w:type="dxa"/>
          </w:tcPr>
          <w:p w:rsidR="00000000" w:rsidRDefault="00E960EA">
            <w:pPr>
              <w:tabs>
                <w:tab w:val="clear" w:pos="510"/>
                <w:tab w:val="clear" w:pos="1021"/>
                <w:tab w:val="clear" w:pos="1531"/>
                <w:tab w:val="clear" w:pos="2041"/>
                <w:tab w:val="decimal" w:pos="629"/>
              </w:tabs>
              <w:spacing w:before="60"/>
              <w:rPr>
                <w:sz w:val="21"/>
              </w:rPr>
            </w:pPr>
            <w:r>
              <w:rPr>
                <w:sz w:val="21"/>
              </w:rPr>
              <w:t>224.6</w:t>
            </w:r>
          </w:p>
        </w:tc>
        <w:tc>
          <w:tcPr>
            <w:tcW w:w="1385" w:type="dxa"/>
          </w:tcPr>
          <w:p w:rsidR="00000000" w:rsidRDefault="00E960EA">
            <w:pPr>
              <w:tabs>
                <w:tab w:val="clear" w:pos="510"/>
                <w:tab w:val="clear" w:pos="1021"/>
                <w:tab w:val="clear" w:pos="1531"/>
                <w:tab w:val="clear" w:pos="2041"/>
                <w:tab w:val="decimal" w:pos="812"/>
              </w:tabs>
              <w:spacing w:before="60"/>
              <w:rPr>
                <w:sz w:val="21"/>
              </w:rPr>
            </w:pPr>
            <w:r>
              <w:rPr>
                <w:sz w:val="21"/>
              </w:rPr>
              <w:t>19,897.6</w:t>
            </w:r>
          </w:p>
        </w:tc>
        <w:tc>
          <w:tcPr>
            <w:tcW w:w="1615" w:type="dxa"/>
          </w:tcPr>
          <w:p w:rsidR="00000000" w:rsidRDefault="00E960EA">
            <w:pPr>
              <w:tabs>
                <w:tab w:val="clear" w:pos="510"/>
                <w:tab w:val="clear" w:pos="1021"/>
                <w:tab w:val="clear" w:pos="1531"/>
                <w:tab w:val="clear" w:pos="2041"/>
                <w:tab w:val="decimal" w:pos="812"/>
              </w:tabs>
              <w:spacing w:before="60"/>
              <w:rPr>
                <w:sz w:val="21"/>
              </w:rPr>
            </w:pPr>
            <w:r>
              <w:rPr>
                <w:sz w:val="21"/>
              </w:rPr>
              <w:t>3.2</w:t>
            </w:r>
          </w:p>
        </w:tc>
        <w:tc>
          <w:tcPr>
            <w:tcW w:w="1421" w:type="dxa"/>
          </w:tcPr>
          <w:p w:rsidR="00000000" w:rsidRDefault="00E960EA">
            <w:pPr>
              <w:tabs>
                <w:tab w:val="clear" w:pos="510"/>
                <w:tab w:val="clear" w:pos="1021"/>
                <w:tab w:val="clear" w:pos="1531"/>
                <w:tab w:val="clear" w:pos="2041"/>
                <w:tab w:val="decimal" w:pos="812"/>
              </w:tabs>
              <w:spacing w:before="60"/>
              <w:rPr>
                <w:sz w:val="21"/>
              </w:rPr>
            </w:pPr>
            <w:r>
              <w:rPr>
                <w:sz w:val="21"/>
              </w:rPr>
              <w:t>13.2</w:t>
            </w:r>
          </w:p>
        </w:tc>
        <w:tc>
          <w:tcPr>
            <w:tcW w:w="1119" w:type="dxa"/>
          </w:tcPr>
          <w:p w:rsidR="00000000" w:rsidRDefault="00E960EA">
            <w:pPr>
              <w:tabs>
                <w:tab w:val="clear" w:pos="510"/>
                <w:tab w:val="clear" w:pos="1021"/>
                <w:tab w:val="clear" w:pos="1531"/>
                <w:tab w:val="clear" w:pos="2041"/>
                <w:tab w:val="decimal" w:pos="812"/>
              </w:tabs>
              <w:spacing w:before="60"/>
              <w:rPr>
                <w:sz w:val="21"/>
              </w:rPr>
            </w:pPr>
            <w:r>
              <w:rPr>
                <w:sz w:val="21"/>
              </w:rPr>
              <w:t>8,612</w:t>
            </w:r>
          </w:p>
        </w:tc>
      </w:tr>
    </w:tbl>
    <w:p w:rsidR="00000000" w:rsidRDefault="00E960EA"/>
    <w:p w:rsidR="00000000" w:rsidRDefault="00E960EA">
      <w:pPr>
        <w:spacing w:after="320"/>
        <w:textAlignment w:val="center"/>
      </w:pPr>
      <w:r>
        <w:tab/>
        <w:t xml:space="preserve">111.  </w:t>
      </w:r>
      <w:r>
        <w:rPr>
          <w:rFonts w:hint="eastAsia"/>
        </w:rPr>
        <w:t>尽管在转型期间卫生预算作为国家预算的一部分从币值上没有下降，但在实际价值上这一预算大幅度减少，因此不再能够在原已达到的水平上提供医疗服务。</w:t>
      </w:r>
    </w:p>
    <w:p w:rsidR="00000000" w:rsidRDefault="00E960EA">
      <w:pPr>
        <w:pStyle w:val="Heading4"/>
      </w:pPr>
      <w:r>
        <w:rPr>
          <w:rFonts w:hint="eastAsia"/>
        </w:rPr>
        <w:t>影响卫生部门的措施</w:t>
      </w:r>
    </w:p>
    <w:p w:rsidR="00000000" w:rsidRDefault="00E960EA">
      <w:r>
        <w:tab/>
        <w:t xml:space="preserve">112.  </w:t>
      </w:r>
      <w:r>
        <w:rPr>
          <w:rFonts w:hint="eastAsia"/>
        </w:rPr>
        <w:t>在为推进卫生部门而采取的措施中包括下述方案和计划：</w:t>
      </w:r>
    </w:p>
    <w:p w:rsidR="00000000" w:rsidRDefault="00E960EA" w:rsidP="00E960EA">
      <w:pPr>
        <w:pStyle w:val="a0"/>
        <w:numPr>
          <w:ilvl w:val="0"/>
          <w:numId w:val="8"/>
        </w:numPr>
        <w:ind w:left="1531" w:hanging="510"/>
      </w:pPr>
      <w:r>
        <w:rPr>
          <w:rFonts w:hint="eastAsia"/>
        </w:rPr>
        <w:t>全国妇幼保健和计划生育方案</w:t>
      </w:r>
      <w:r>
        <w:t>(1993</w:t>
      </w:r>
      <w:r>
        <w:rPr>
          <w:rFonts w:hint="eastAsia"/>
        </w:rPr>
        <w:t>年至</w:t>
      </w:r>
      <w:r>
        <w:t>1996</w:t>
      </w:r>
      <w:r>
        <w:rPr>
          <w:rFonts w:hint="eastAsia"/>
        </w:rPr>
        <w:t>年</w:t>
      </w:r>
      <w:r>
        <w:t>)</w:t>
      </w:r>
      <w:r>
        <w:rPr>
          <w:rFonts w:hint="eastAsia"/>
        </w:rPr>
        <w:t>；</w:t>
      </w:r>
    </w:p>
    <w:p w:rsidR="00000000" w:rsidRDefault="00E960EA" w:rsidP="00E960EA">
      <w:pPr>
        <w:pStyle w:val="a0"/>
        <w:numPr>
          <w:ilvl w:val="0"/>
          <w:numId w:val="8"/>
        </w:numPr>
        <w:ind w:left="1531" w:hanging="510"/>
      </w:pPr>
      <w:r>
        <w:rPr>
          <w:rFonts w:hint="eastAsia"/>
        </w:rPr>
        <w:t>直至</w:t>
      </w:r>
      <w:r>
        <w:t>2000</w:t>
      </w:r>
      <w:r>
        <w:rPr>
          <w:rFonts w:hint="eastAsia"/>
        </w:rPr>
        <w:t>年的全国儿童培养方案</w:t>
      </w:r>
      <w:r>
        <w:t>(1994</w:t>
      </w:r>
      <w:r>
        <w:rPr>
          <w:rFonts w:hint="eastAsia"/>
        </w:rPr>
        <w:t>年至</w:t>
      </w:r>
      <w:r>
        <w:t>2000</w:t>
      </w:r>
      <w:r>
        <w:rPr>
          <w:rFonts w:hint="eastAsia"/>
        </w:rPr>
        <w:t>年</w:t>
      </w:r>
      <w:r>
        <w:t>)</w:t>
      </w:r>
      <w:r>
        <w:rPr>
          <w:rFonts w:hint="eastAsia"/>
        </w:rPr>
        <w:t>；</w:t>
      </w:r>
    </w:p>
    <w:p w:rsidR="00000000" w:rsidRDefault="00E960EA" w:rsidP="00E960EA">
      <w:pPr>
        <w:pStyle w:val="a0"/>
        <w:numPr>
          <w:ilvl w:val="0"/>
          <w:numId w:val="8"/>
        </w:numPr>
        <w:ind w:left="1531" w:hanging="510"/>
      </w:pPr>
      <w:r>
        <w:rPr>
          <w:rFonts w:hint="eastAsia"/>
        </w:rPr>
        <w:t>全国防治艾滋病毒</w:t>
      </w:r>
      <w:r>
        <w:t>/</w:t>
      </w:r>
      <w:r>
        <w:rPr>
          <w:rFonts w:hint="eastAsia"/>
        </w:rPr>
        <w:t>艾滋病方案</w:t>
      </w:r>
      <w:r>
        <w:t>(1994</w:t>
      </w:r>
      <w:r>
        <w:rPr>
          <w:rFonts w:hint="eastAsia"/>
        </w:rPr>
        <w:t>年至</w:t>
      </w:r>
      <w:r>
        <w:t>2000</w:t>
      </w:r>
      <w:r>
        <w:rPr>
          <w:rFonts w:hint="eastAsia"/>
        </w:rPr>
        <w:t>年</w:t>
      </w:r>
      <w:r>
        <w:t>)</w:t>
      </w:r>
      <w:r>
        <w:rPr>
          <w:rFonts w:hint="eastAsia"/>
        </w:rPr>
        <w:t>；</w:t>
      </w:r>
    </w:p>
    <w:p w:rsidR="00000000" w:rsidRDefault="00E960EA" w:rsidP="00E960EA">
      <w:pPr>
        <w:pStyle w:val="a0"/>
        <w:numPr>
          <w:ilvl w:val="0"/>
          <w:numId w:val="8"/>
        </w:numPr>
        <w:ind w:left="1531" w:hanging="510"/>
        <w:textAlignment w:val="center"/>
      </w:pPr>
      <w:r>
        <w:rPr>
          <w:rFonts w:hint="eastAsia"/>
        </w:rPr>
        <w:t>扶贫方案</w:t>
      </w:r>
      <w:r>
        <w:t>(1994</w:t>
      </w:r>
      <w:r>
        <w:rPr>
          <w:rFonts w:hint="eastAsia"/>
        </w:rPr>
        <w:t>年至</w:t>
      </w:r>
      <w:r>
        <w:t>2000</w:t>
      </w:r>
      <w:r>
        <w:rPr>
          <w:rFonts w:hint="eastAsia"/>
        </w:rPr>
        <w:t>年</w:t>
      </w:r>
      <w:r>
        <w:t>)</w:t>
      </w:r>
      <w:r>
        <w:rPr>
          <w:rFonts w:hint="eastAsia"/>
        </w:rPr>
        <w:t>；</w:t>
      </w:r>
    </w:p>
    <w:p w:rsidR="00000000" w:rsidRDefault="00E960EA" w:rsidP="00E960EA">
      <w:pPr>
        <w:pStyle w:val="a0"/>
        <w:numPr>
          <w:ilvl w:val="0"/>
          <w:numId w:val="8"/>
        </w:numPr>
        <w:ind w:left="1531" w:hanging="510"/>
      </w:pPr>
      <w:r>
        <w:rPr>
          <w:rFonts w:hint="eastAsia"/>
        </w:rPr>
        <w:t>全国就业方案</w:t>
      </w:r>
      <w:r>
        <w:t>(1995</w:t>
      </w:r>
      <w:r>
        <w:rPr>
          <w:rFonts w:hint="eastAsia"/>
        </w:rPr>
        <w:t>年至</w:t>
      </w:r>
      <w:r>
        <w:t>2000</w:t>
      </w:r>
      <w:r>
        <w:rPr>
          <w:rFonts w:hint="eastAsia"/>
        </w:rPr>
        <w:t>年</w:t>
      </w:r>
      <w:r>
        <w:t>)</w:t>
      </w:r>
      <w:r>
        <w:rPr>
          <w:rFonts w:hint="eastAsia"/>
        </w:rPr>
        <w:t>；</w:t>
      </w:r>
    </w:p>
    <w:p w:rsidR="00000000" w:rsidRDefault="00E960EA" w:rsidP="00E960EA">
      <w:pPr>
        <w:pStyle w:val="a0"/>
        <w:numPr>
          <w:ilvl w:val="0"/>
          <w:numId w:val="8"/>
        </w:numPr>
        <w:ind w:left="1531" w:hanging="510"/>
      </w:pPr>
      <w:r>
        <w:rPr>
          <w:rFonts w:hint="eastAsia"/>
        </w:rPr>
        <w:t>全国生育健康方案；</w:t>
      </w:r>
    </w:p>
    <w:p w:rsidR="00000000" w:rsidRDefault="00E960EA" w:rsidP="00E960EA">
      <w:pPr>
        <w:pStyle w:val="a0"/>
        <w:numPr>
          <w:ilvl w:val="0"/>
          <w:numId w:val="8"/>
        </w:numPr>
        <w:ind w:left="1531" w:hanging="510"/>
      </w:pPr>
      <w:r>
        <w:rPr>
          <w:rFonts w:hint="eastAsia"/>
        </w:rPr>
        <w:t>青少年健康方案；</w:t>
      </w:r>
    </w:p>
    <w:p w:rsidR="00000000" w:rsidRDefault="00E960EA" w:rsidP="00E960EA">
      <w:pPr>
        <w:pStyle w:val="a0"/>
        <w:numPr>
          <w:ilvl w:val="0"/>
          <w:numId w:val="8"/>
        </w:numPr>
        <w:ind w:left="1531" w:hanging="510"/>
      </w:pPr>
      <w:r>
        <w:rPr>
          <w:rFonts w:hint="eastAsia"/>
        </w:rPr>
        <w:t>老年人健康方案；</w:t>
      </w:r>
    </w:p>
    <w:p w:rsidR="00000000" w:rsidRDefault="00E960EA" w:rsidP="00E960EA">
      <w:pPr>
        <w:pStyle w:val="a0"/>
        <w:numPr>
          <w:ilvl w:val="0"/>
          <w:numId w:val="8"/>
        </w:numPr>
        <w:ind w:left="1531" w:hanging="510"/>
      </w:pPr>
      <w:r>
        <w:rPr>
          <w:rFonts w:hint="eastAsia"/>
        </w:rPr>
        <w:t>卫生教育方案；</w:t>
      </w:r>
    </w:p>
    <w:p w:rsidR="00000000" w:rsidRDefault="00E960EA" w:rsidP="00E960EA">
      <w:pPr>
        <w:pStyle w:val="a0"/>
        <w:numPr>
          <w:ilvl w:val="0"/>
          <w:numId w:val="8"/>
        </w:numPr>
        <w:ind w:left="1531" w:hanging="510"/>
      </w:pPr>
      <w:r>
        <w:rPr>
          <w:rFonts w:hint="eastAsia"/>
        </w:rPr>
        <w:t>全国营养和食品措施方案；</w:t>
      </w:r>
    </w:p>
    <w:p w:rsidR="00000000" w:rsidRDefault="00E960EA" w:rsidP="00E960EA">
      <w:pPr>
        <w:pStyle w:val="a0"/>
        <w:numPr>
          <w:ilvl w:val="0"/>
          <w:numId w:val="8"/>
        </w:numPr>
        <w:spacing w:after="320"/>
        <w:ind w:left="1531" w:hanging="510"/>
        <w:textAlignment w:val="center"/>
      </w:pPr>
      <w:r>
        <w:rPr>
          <w:rFonts w:hint="eastAsia"/>
        </w:rPr>
        <w:t>加强妇女权利方案。</w:t>
      </w:r>
    </w:p>
    <w:p w:rsidR="00000000" w:rsidRDefault="00E960EA">
      <w:pPr>
        <w:pStyle w:val="Heading4"/>
      </w:pPr>
      <w:r>
        <w:rPr>
          <w:rFonts w:hint="eastAsia"/>
        </w:rPr>
        <w:t>卫生部门的目标</w:t>
      </w:r>
    </w:p>
    <w:p w:rsidR="00000000" w:rsidRDefault="00E960EA">
      <w:r>
        <w:tab/>
        <w:t xml:space="preserve">113.  </w:t>
      </w:r>
      <w:r>
        <w:rPr>
          <w:rFonts w:hint="eastAsia"/>
        </w:rPr>
        <w:t>卫生部门正瞄准下述目标：</w:t>
      </w:r>
    </w:p>
    <w:p w:rsidR="00000000" w:rsidRDefault="00E960EA" w:rsidP="00E960EA">
      <w:pPr>
        <w:pStyle w:val="a0"/>
        <w:numPr>
          <w:ilvl w:val="0"/>
          <w:numId w:val="9"/>
        </w:numPr>
        <w:ind w:left="1531" w:hanging="510"/>
      </w:pPr>
      <w:r>
        <w:rPr>
          <w:rFonts w:hint="eastAsia"/>
        </w:rPr>
        <w:t>维护和提高人民、特别是人口虚弱群体的健康水平；</w:t>
      </w:r>
    </w:p>
    <w:p w:rsidR="00000000" w:rsidRDefault="00E960EA" w:rsidP="00E960EA">
      <w:pPr>
        <w:pStyle w:val="a0"/>
        <w:numPr>
          <w:ilvl w:val="0"/>
          <w:numId w:val="9"/>
        </w:numPr>
        <w:ind w:left="1531" w:hanging="510"/>
      </w:pPr>
      <w:r>
        <w:rPr>
          <w:rFonts w:hint="eastAsia"/>
        </w:rPr>
        <w:t>加强健康意识，并调动个人和家庭采取健康保护的努力；</w:t>
      </w:r>
    </w:p>
    <w:p w:rsidR="00000000" w:rsidRDefault="00E960EA" w:rsidP="00E960EA">
      <w:pPr>
        <w:pStyle w:val="a0"/>
        <w:numPr>
          <w:ilvl w:val="0"/>
          <w:numId w:val="9"/>
        </w:numPr>
        <w:ind w:left="1531" w:hanging="510"/>
      </w:pPr>
      <w:r>
        <w:rPr>
          <w:rFonts w:hint="eastAsia"/>
        </w:rPr>
        <w:t>改进卫生服务的管理和组织，调整各级医疗服务的地点、人员和质量；</w:t>
      </w:r>
    </w:p>
    <w:p w:rsidR="00000000" w:rsidRDefault="00E960EA" w:rsidP="00E960EA">
      <w:pPr>
        <w:pStyle w:val="a0"/>
        <w:numPr>
          <w:ilvl w:val="0"/>
          <w:numId w:val="9"/>
        </w:numPr>
        <w:ind w:left="1531" w:hanging="510"/>
      </w:pPr>
      <w:r>
        <w:rPr>
          <w:rFonts w:hint="eastAsia"/>
        </w:rPr>
        <w:t>通过建立以初级保健为基础的公共和医院的基础治疗来最大限度地提高为</w:t>
      </w:r>
      <w:r>
        <w:rPr>
          <w:rFonts w:hint="eastAsia"/>
        </w:rPr>
        <w:t>预防和治疗服务拨出的预算资金的有效性；</w:t>
      </w:r>
    </w:p>
    <w:p w:rsidR="00000000" w:rsidRDefault="00E960EA" w:rsidP="00E960EA">
      <w:pPr>
        <w:pStyle w:val="a0"/>
        <w:numPr>
          <w:ilvl w:val="0"/>
          <w:numId w:val="9"/>
        </w:numPr>
        <w:ind w:left="1531" w:hanging="510"/>
      </w:pPr>
      <w:r>
        <w:rPr>
          <w:rFonts w:hint="eastAsia"/>
        </w:rPr>
        <w:t>加强卫生部在规划、管理和监督指定用于卫生服务、特别是用于预防和公众卫生措施和方案的预算拨款；</w:t>
      </w:r>
    </w:p>
    <w:p w:rsidR="00000000" w:rsidRDefault="00E960EA" w:rsidP="00E960EA">
      <w:pPr>
        <w:pStyle w:val="a0"/>
        <w:numPr>
          <w:ilvl w:val="0"/>
          <w:numId w:val="9"/>
        </w:numPr>
        <w:ind w:left="1531" w:hanging="510"/>
      </w:pPr>
      <w:r>
        <w:rPr>
          <w:rFonts w:hint="eastAsia"/>
        </w:rPr>
        <w:t>稳定作为保健资金的主要来源的健康保险资金并改善其管理；</w:t>
      </w:r>
    </w:p>
    <w:p w:rsidR="00000000" w:rsidRDefault="00E960EA" w:rsidP="00E960EA">
      <w:pPr>
        <w:pStyle w:val="a0"/>
        <w:numPr>
          <w:ilvl w:val="0"/>
          <w:numId w:val="9"/>
        </w:numPr>
        <w:ind w:left="1531" w:hanging="510"/>
      </w:pPr>
      <w:r>
        <w:rPr>
          <w:rFonts w:hint="eastAsia"/>
        </w:rPr>
        <w:t>改进各个组织和各区域一级的规划，实施经济上可行的方案；</w:t>
      </w:r>
    </w:p>
    <w:p w:rsidR="00000000" w:rsidRDefault="00E960EA" w:rsidP="00E960EA">
      <w:pPr>
        <w:pStyle w:val="a0"/>
        <w:numPr>
          <w:ilvl w:val="0"/>
          <w:numId w:val="9"/>
        </w:numPr>
        <w:ind w:left="1531" w:hanging="510"/>
      </w:pPr>
      <w:r>
        <w:rPr>
          <w:rFonts w:hint="eastAsia"/>
        </w:rPr>
        <w:t>扩大私营部门和外国以及其他来源对卫生部门的援助，使它们能够为更好地协调和更高的质量作出更大的贡献；</w:t>
      </w:r>
    </w:p>
    <w:p w:rsidR="00000000" w:rsidRDefault="00E960EA" w:rsidP="00E960EA">
      <w:pPr>
        <w:pStyle w:val="a0"/>
        <w:numPr>
          <w:ilvl w:val="0"/>
          <w:numId w:val="9"/>
        </w:numPr>
        <w:ind w:left="1531" w:hanging="510"/>
      </w:pPr>
      <w:r>
        <w:rPr>
          <w:rFonts w:hint="eastAsia"/>
        </w:rPr>
        <w:t>在经济合理的情况下，支持由当地生产医疗器械，主要是药品和通常使用的医疗器械；</w:t>
      </w:r>
    </w:p>
    <w:p w:rsidR="00000000" w:rsidRDefault="00E960EA" w:rsidP="00E960EA">
      <w:pPr>
        <w:pStyle w:val="a0"/>
        <w:numPr>
          <w:ilvl w:val="0"/>
          <w:numId w:val="9"/>
        </w:numPr>
        <w:ind w:left="1531" w:hanging="510"/>
      </w:pPr>
      <w:r>
        <w:rPr>
          <w:rFonts w:hint="eastAsia"/>
        </w:rPr>
        <w:t>提高用于药品、设备、交通、通讯和其他项目的资金的有效性；</w:t>
      </w:r>
    </w:p>
    <w:p w:rsidR="00000000" w:rsidRDefault="00E960EA" w:rsidP="00E960EA">
      <w:pPr>
        <w:pStyle w:val="a0"/>
        <w:numPr>
          <w:ilvl w:val="0"/>
          <w:numId w:val="9"/>
        </w:numPr>
        <w:ind w:left="1531" w:hanging="510"/>
      </w:pPr>
      <w:r>
        <w:rPr>
          <w:rFonts w:hint="eastAsia"/>
        </w:rPr>
        <w:t>改善卫生部门和有关部门的协调和</w:t>
      </w:r>
      <w:r>
        <w:rPr>
          <w:rFonts w:hint="eastAsia"/>
        </w:rPr>
        <w:t>相互关系；</w:t>
      </w:r>
    </w:p>
    <w:p w:rsidR="00000000" w:rsidRDefault="00E960EA" w:rsidP="00E960EA">
      <w:pPr>
        <w:pStyle w:val="a0"/>
        <w:numPr>
          <w:ilvl w:val="0"/>
          <w:numId w:val="9"/>
        </w:numPr>
        <w:ind w:left="1531" w:hanging="510"/>
      </w:pPr>
      <w:r>
        <w:rPr>
          <w:rFonts w:hint="eastAsia"/>
        </w:rPr>
        <w:t>重新确定健康教育以预防为主的方向；</w:t>
      </w:r>
    </w:p>
    <w:p w:rsidR="00000000" w:rsidRDefault="00E960EA" w:rsidP="00E960EA">
      <w:pPr>
        <w:pStyle w:val="a0"/>
        <w:numPr>
          <w:ilvl w:val="0"/>
          <w:numId w:val="9"/>
        </w:numPr>
        <w:spacing w:after="320"/>
        <w:ind w:left="1531" w:hanging="510"/>
        <w:textAlignment w:val="center"/>
      </w:pPr>
      <w:r>
        <w:rPr>
          <w:rFonts w:hint="eastAsia"/>
        </w:rPr>
        <w:t>控制和根除传染性疾病。</w:t>
      </w:r>
    </w:p>
    <w:p w:rsidR="00000000" w:rsidRDefault="00E960EA">
      <w:pPr>
        <w:pStyle w:val="Heading3"/>
      </w:pPr>
      <w:r>
        <w:rPr>
          <w:rFonts w:hint="eastAsia"/>
        </w:rPr>
        <w:t>第</w:t>
      </w:r>
      <w:r>
        <w:t xml:space="preserve"> 13 </w:t>
      </w:r>
      <w:r>
        <w:rPr>
          <w:rFonts w:hint="eastAsia"/>
        </w:rPr>
        <w:t>条</w:t>
      </w:r>
    </w:p>
    <w:p w:rsidR="00000000" w:rsidRDefault="00E960EA">
      <w:r>
        <w:tab/>
        <w:t xml:space="preserve">114.  </w:t>
      </w:r>
      <w:r>
        <w:rPr>
          <w:rFonts w:hint="eastAsia"/>
        </w:rPr>
        <w:t>《宪法》和《教育法》</w:t>
      </w:r>
      <w:r>
        <w:t>(1995</w:t>
      </w:r>
      <w:r>
        <w:rPr>
          <w:rFonts w:hint="eastAsia"/>
        </w:rPr>
        <w:t>年</w:t>
      </w:r>
      <w:r>
        <w:t>)</w:t>
      </w:r>
      <w:r>
        <w:rPr>
          <w:rFonts w:hint="eastAsia"/>
        </w:rPr>
        <w:t>规定，人人享有接受教育的权利，国家免费提供一般</w:t>
      </w:r>
      <w:r>
        <w:t>(</w:t>
      </w:r>
      <w:r>
        <w:rPr>
          <w:rFonts w:hint="eastAsia"/>
        </w:rPr>
        <w:t>初级</w:t>
      </w:r>
      <w:r>
        <w:t>)</w:t>
      </w:r>
      <w:r>
        <w:rPr>
          <w:rFonts w:hint="eastAsia"/>
        </w:rPr>
        <w:t>教育直至念完中学。父母应当承担标准中等教育以外的教育的费用</w:t>
      </w:r>
      <w:r>
        <w:t>(</w:t>
      </w:r>
      <w:r>
        <w:rPr>
          <w:rFonts w:hint="eastAsia"/>
        </w:rPr>
        <w:t>《教育法》</w:t>
      </w:r>
      <w:r>
        <w:t>)</w:t>
      </w:r>
      <w:r>
        <w:rPr>
          <w:rFonts w:hint="eastAsia"/>
        </w:rPr>
        <w:t>。公民可以开设私立学校，条件是这些学校必须达到国家规定的条件。蒙古的教育体系包括幼儿园、中学、技术和职业学校、大专院校、大学和非正规教育。</w:t>
      </w:r>
    </w:p>
    <w:p w:rsidR="00000000" w:rsidRDefault="00E960EA">
      <w:r>
        <w:tab/>
        <w:t xml:space="preserve">115.  </w:t>
      </w:r>
      <w:r>
        <w:rPr>
          <w:rFonts w:hint="eastAsia"/>
        </w:rPr>
        <w:t>在平均</w:t>
      </w:r>
      <w:r>
        <w:t>1,000</w:t>
      </w:r>
      <w:r>
        <w:rPr>
          <w:rFonts w:hint="eastAsia"/>
        </w:rPr>
        <w:t>人中，有</w:t>
      </w:r>
      <w:r>
        <w:t>49</w:t>
      </w:r>
      <w:r>
        <w:rPr>
          <w:rFonts w:hint="eastAsia"/>
        </w:rPr>
        <w:t>人获得了学士学位，</w:t>
      </w:r>
      <w:r>
        <w:t>56</w:t>
      </w:r>
      <w:r>
        <w:rPr>
          <w:rFonts w:hint="eastAsia"/>
        </w:rPr>
        <w:t>人受过特殊专业教育，</w:t>
      </w:r>
      <w:r>
        <w:t>105</w:t>
      </w:r>
      <w:r>
        <w:rPr>
          <w:rFonts w:hint="eastAsia"/>
        </w:rPr>
        <w:t>人受过完整的中等教育，</w:t>
      </w:r>
      <w:r>
        <w:t>197</w:t>
      </w:r>
      <w:r>
        <w:rPr>
          <w:rFonts w:hint="eastAsia"/>
        </w:rPr>
        <w:t>人受过不完整或基础的教育，</w:t>
      </w:r>
      <w:r>
        <w:t>215</w:t>
      </w:r>
      <w:r>
        <w:rPr>
          <w:rFonts w:hint="eastAsia"/>
        </w:rPr>
        <w:t>人受过初级教育，其余的</w:t>
      </w:r>
      <w:r>
        <w:t>378</w:t>
      </w:r>
      <w:r>
        <w:rPr>
          <w:rFonts w:hint="eastAsia"/>
        </w:rPr>
        <w:t>人没有任何正规教育文凭，其中</w:t>
      </w:r>
      <w:r>
        <w:t>77.9%</w:t>
      </w:r>
      <w:r>
        <w:rPr>
          <w:rFonts w:hint="eastAsia"/>
        </w:rPr>
        <w:t>为不满</w:t>
      </w:r>
      <w:r>
        <w:t>10</w:t>
      </w:r>
      <w:r>
        <w:rPr>
          <w:rFonts w:hint="eastAsia"/>
        </w:rPr>
        <w:t>岁的儿童。</w:t>
      </w:r>
    </w:p>
    <w:p w:rsidR="00000000" w:rsidRDefault="00E960EA">
      <w:r>
        <w:tab/>
        <w:t xml:space="preserve">116.  </w:t>
      </w:r>
      <w:r>
        <w:rPr>
          <w:rFonts w:hint="eastAsia"/>
        </w:rPr>
        <w:t>今天在蒙古，</w:t>
      </w:r>
      <w:r>
        <w:t>667</w:t>
      </w:r>
      <w:r>
        <w:rPr>
          <w:rFonts w:hint="eastAsia"/>
        </w:rPr>
        <w:t>个幼儿园照料着</w:t>
      </w:r>
      <w:r>
        <w:t>68,000</w:t>
      </w:r>
      <w:r>
        <w:rPr>
          <w:rFonts w:hint="eastAsia"/>
        </w:rPr>
        <w:t>名孩子，</w:t>
      </w:r>
      <w:r>
        <w:t>418,300</w:t>
      </w:r>
      <w:r>
        <w:rPr>
          <w:rFonts w:hint="eastAsia"/>
        </w:rPr>
        <w:t>名儿童在</w:t>
      </w:r>
      <w:r>
        <w:t>658</w:t>
      </w:r>
      <w:r>
        <w:rPr>
          <w:rFonts w:hint="eastAsia"/>
        </w:rPr>
        <w:t>个中学学习，</w:t>
      </w:r>
      <w:r>
        <w:t>55,500</w:t>
      </w:r>
      <w:r>
        <w:rPr>
          <w:rFonts w:hint="eastAsia"/>
        </w:rPr>
        <w:t>名学生在</w:t>
      </w:r>
      <w:r>
        <w:t>38</w:t>
      </w:r>
      <w:r>
        <w:rPr>
          <w:rFonts w:hint="eastAsia"/>
        </w:rPr>
        <w:t>所提供初级和中级专业教育的学校中学习，</w:t>
      </w:r>
      <w:r>
        <w:t>41,100</w:t>
      </w:r>
      <w:r>
        <w:rPr>
          <w:rFonts w:hint="eastAsia"/>
        </w:rPr>
        <w:t>名学生在</w:t>
      </w:r>
      <w:r>
        <w:t>75</w:t>
      </w:r>
      <w:r>
        <w:rPr>
          <w:rFonts w:hint="eastAsia"/>
        </w:rPr>
        <w:t>所学院、研究院和大学攻读。</w:t>
      </w:r>
    </w:p>
    <w:p w:rsidR="00000000" w:rsidRDefault="00E960EA">
      <w:r>
        <w:tab/>
        <w:t xml:space="preserve">117.  </w:t>
      </w:r>
      <w:r>
        <w:rPr>
          <w:rFonts w:hint="eastAsia"/>
        </w:rPr>
        <w:t>政府为了向每个人提供平等的受教育权利，已经采取了下列措施：</w:t>
      </w:r>
    </w:p>
    <w:p w:rsidR="00000000" w:rsidRDefault="00E960EA" w:rsidP="00E960EA">
      <w:pPr>
        <w:pStyle w:val="a0"/>
        <w:numPr>
          <w:ilvl w:val="0"/>
          <w:numId w:val="10"/>
        </w:numPr>
        <w:ind w:left="1531" w:hanging="510"/>
      </w:pPr>
      <w:r>
        <w:t>1995</w:t>
      </w:r>
      <w:r>
        <w:rPr>
          <w:rFonts w:hint="eastAsia"/>
        </w:rPr>
        <w:t>年至</w:t>
      </w:r>
      <w:r>
        <w:t>2000</w:t>
      </w:r>
      <w:r>
        <w:rPr>
          <w:rFonts w:hint="eastAsia"/>
        </w:rPr>
        <w:t>年全国提供基础教育方案和实施这一方案的计划自</w:t>
      </w:r>
      <w:r>
        <w:t>1995</w:t>
      </w:r>
      <w:r>
        <w:rPr>
          <w:rFonts w:hint="eastAsia"/>
        </w:rPr>
        <w:t>年核准以来一直在实施</w:t>
      </w:r>
      <w:r>
        <w:rPr>
          <w:rFonts w:hint="eastAsia"/>
        </w:rPr>
        <w:t>中；</w:t>
      </w:r>
    </w:p>
    <w:p w:rsidR="00000000" w:rsidRDefault="00E960EA" w:rsidP="00E960EA">
      <w:pPr>
        <w:pStyle w:val="a0"/>
        <w:numPr>
          <w:ilvl w:val="0"/>
          <w:numId w:val="10"/>
        </w:numPr>
        <w:ind w:left="1531" w:hanging="510"/>
      </w:pPr>
      <w:r>
        <w:t>1997</w:t>
      </w:r>
      <w:r>
        <w:rPr>
          <w:rFonts w:hint="eastAsia"/>
        </w:rPr>
        <w:t>年通过了一项实现全国非正规教育方案的活动计划，并成立了非正规教育中心；</w:t>
      </w:r>
    </w:p>
    <w:p w:rsidR="00000000" w:rsidRDefault="00E960EA" w:rsidP="00E960EA">
      <w:pPr>
        <w:pStyle w:val="a0"/>
        <w:numPr>
          <w:ilvl w:val="0"/>
          <w:numId w:val="10"/>
        </w:numPr>
        <w:ind w:left="1531" w:hanging="510"/>
      </w:pPr>
      <w:r>
        <w:rPr>
          <w:rFonts w:hint="eastAsia"/>
        </w:rPr>
        <w:t>全国学前教育方案和实施这一方案的计划也已经得到核准和实施；</w:t>
      </w:r>
    </w:p>
    <w:p w:rsidR="00000000" w:rsidRDefault="00E960EA" w:rsidP="00E960EA">
      <w:pPr>
        <w:pStyle w:val="a0"/>
        <w:numPr>
          <w:ilvl w:val="0"/>
          <w:numId w:val="10"/>
        </w:numPr>
        <w:ind w:left="1531" w:hanging="510"/>
      </w:pPr>
      <w:r>
        <w:rPr>
          <w:rFonts w:hint="eastAsia"/>
        </w:rPr>
        <w:t>根据一项关于《蒙古教育和人力因素》的总规划，科学教育部</w:t>
      </w:r>
      <w:r>
        <w:t>(</w:t>
      </w:r>
      <w:r>
        <w:rPr>
          <w:rFonts w:hint="eastAsia"/>
        </w:rPr>
        <w:t>按以前的名称</w:t>
      </w:r>
      <w:r>
        <w:t>)</w:t>
      </w:r>
      <w:r>
        <w:rPr>
          <w:rFonts w:hint="eastAsia"/>
        </w:rPr>
        <w:t>与国际组织合作，制订和实施了加强各级教育机构的项目。这样，在这一总体计划的基础上，凭借亚洲开发银行的援助和贷款开始执行一项发展教育部门的方案。根据这一方案和项目，将对所有学校的组成、形式、地点和管理方法进行改革，所有教育机构的物质基础将得到加强，课本供应将得到改善，教学人员将受到重新培训，从而提</w:t>
      </w:r>
      <w:r>
        <w:rPr>
          <w:rFonts w:hint="eastAsia"/>
        </w:rPr>
        <w:t>高各级学校的教育质量。</w:t>
      </w:r>
    </w:p>
    <w:p w:rsidR="00000000" w:rsidRDefault="00E960EA">
      <w:r>
        <w:tab/>
        <w:t xml:space="preserve">118.  </w:t>
      </w:r>
      <w:r>
        <w:rPr>
          <w:rFonts w:hint="eastAsia"/>
        </w:rPr>
        <w:t>《教育法》第</w:t>
      </w:r>
      <w:r>
        <w:t>4</w:t>
      </w:r>
      <w:r>
        <w:rPr>
          <w:rFonts w:hint="eastAsia"/>
        </w:rPr>
        <w:t>条第</w:t>
      </w:r>
      <w:r>
        <w:t>1</w:t>
      </w:r>
      <w:r>
        <w:rPr>
          <w:rFonts w:hint="eastAsia"/>
        </w:rPr>
        <w:t>款规定，“蒙古的教育应当对所有人是人道的、民主的、持续的和开放的，这一教育应与民主价值观念和世界文明以及进步的传统和科学为基础”。遵照这一规定，蒙古向所有人免费提供基本的和完整的中等教育。而且，法律规定，“教育的形式和方法应当多种多样，自由并开放”。目前有</w:t>
      </w:r>
      <w:r>
        <w:t>8</w:t>
      </w:r>
      <w:r>
        <w:rPr>
          <w:rFonts w:hint="eastAsia"/>
        </w:rPr>
        <w:t>所学校为非国营学校，</w:t>
      </w:r>
      <w:r>
        <w:t>365</w:t>
      </w:r>
      <w:r>
        <w:rPr>
          <w:rFonts w:hint="eastAsia"/>
        </w:rPr>
        <w:t>名学生在</w:t>
      </w:r>
      <w:r>
        <w:t>5</w:t>
      </w:r>
      <w:r>
        <w:rPr>
          <w:rFonts w:hint="eastAsia"/>
        </w:rPr>
        <w:t>所提供初级和中级商业教育的私立学校中学习，</w:t>
      </w:r>
      <w:r>
        <w:t>11,500</w:t>
      </w:r>
      <w:r>
        <w:rPr>
          <w:rFonts w:hint="eastAsia"/>
        </w:rPr>
        <w:t>名学生在</w:t>
      </w:r>
      <w:r>
        <w:t>46</w:t>
      </w:r>
      <w:r>
        <w:rPr>
          <w:rFonts w:hint="eastAsia"/>
        </w:rPr>
        <w:t>所私立院校中攻读。</w:t>
      </w:r>
    </w:p>
    <w:p w:rsidR="00000000" w:rsidRDefault="00E960EA">
      <w:r>
        <w:tab/>
        <w:t xml:space="preserve">119.  </w:t>
      </w:r>
      <w:r>
        <w:rPr>
          <w:rFonts w:hint="eastAsia"/>
        </w:rPr>
        <w:t>根据教育部长和财政部长</w:t>
      </w:r>
      <w:r>
        <w:t>1997</w:t>
      </w:r>
      <w:r>
        <w:rPr>
          <w:rFonts w:hint="eastAsia"/>
        </w:rPr>
        <w:t>年第</w:t>
      </w:r>
      <w:r>
        <w:t>133/198</w:t>
      </w:r>
      <w:r>
        <w:rPr>
          <w:rFonts w:hint="eastAsia"/>
        </w:rPr>
        <w:t>号联合令，从</w:t>
      </w:r>
      <w:r>
        <w:t>1997/98</w:t>
      </w:r>
      <w:r>
        <w:rPr>
          <w:rFonts w:hint="eastAsia"/>
        </w:rPr>
        <w:t>学年开始，将免去专业和工业培训中心学生的学费。</w:t>
      </w:r>
    </w:p>
    <w:p w:rsidR="00000000" w:rsidRDefault="00E960EA">
      <w:r>
        <w:tab/>
        <w:t xml:space="preserve">120.  </w:t>
      </w:r>
      <w:r>
        <w:rPr>
          <w:rFonts w:hint="eastAsia"/>
        </w:rPr>
        <w:t>为了使所有人都能够获得高等教育，政府已采取了下列措施：</w:t>
      </w:r>
    </w:p>
    <w:p w:rsidR="00000000" w:rsidRDefault="00E960EA" w:rsidP="00E960EA">
      <w:pPr>
        <w:pStyle w:val="a0"/>
        <w:numPr>
          <w:ilvl w:val="0"/>
          <w:numId w:val="11"/>
        </w:numPr>
        <w:ind w:left="1531" w:hanging="510"/>
      </w:pPr>
      <w:r>
        <w:rPr>
          <w:rFonts w:hint="eastAsia"/>
        </w:rPr>
        <w:t>为设立各种拥有制的新的教育机构建立一个法律基础；</w:t>
      </w:r>
    </w:p>
    <w:p w:rsidR="00000000" w:rsidRDefault="00E960EA" w:rsidP="00E960EA">
      <w:pPr>
        <w:pStyle w:val="a0"/>
        <w:numPr>
          <w:ilvl w:val="0"/>
          <w:numId w:val="11"/>
        </w:numPr>
        <w:ind w:left="1531" w:hanging="510"/>
      </w:pPr>
      <w:r>
        <w:rPr>
          <w:rFonts w:hint="eastAsia"/>
        </w:rPr>
        <w:t>由国家安排国立学校缓收一定比例的学费；</w:t>
      </w:r>
    </w:p>
    <w:p w:rsidR="00000000" w:rsidRDefault="00E960EA" w:rsidP="00E960EA">
      <w:pPr>
        <w:pStyle w:val="a0"/>
        <w:numPr>
          <w:ilvl w:val="0"/>
          <w:numId w:val="11"/>
        </w:numPr>
        <w:ind w:left="1531" w:hanging="510"/>
      </w:pPr>
      <w:r>
        <w:rPr>
          <w:rFonts w:hint="eastAsia"/>
        </w:rPr>
        <w:t>向来自收入低于规定的最低生活标准的家庭的学生提供软贷款；</w:t>
      </w:r>
    </w:p>
    <w:p w:rsidR="00000000" w:rsidRDefault="00E960EA" w:rsidP="00E960EA">
      <w:pPr>
        <w:pStyle w:val="a0"/>
        <w:numPr>
          <w:ilvl w:val="0"/>
          <w:numId w:val="11"/>
        </w:numPr>
        <w:ind w:left="1531" w:hanging="510"/>
      </w:pPr>
      <w:r>
        <w:rPr>
          <w:rFonts w:hint="eastAsia"/>
        </w:rPr>
        <w:t>允许一部分新招收的大学生有权从教育基金中获得贷款，以维持其学业。</w:t>
      </w:r>
    </w:p>
    <w:p w:rsidR="00000000" w:rsidRDefault="00E960EA">
      <w:r>
        <w:tab/>
        <w:t xml:space="preserve">121.  </w:t>
      </w:r>
      <w:r>
        <w:rPr>
          <w:rFonts w:hint="eastAsia"/>
        </w:rPr>
        <w:t>在</w:t>
      </w:r>
      <w:r>
        <w:t>1990</w:t>
      </w:r>
      <w:r>
        <w:rPr>
          <w:rFonts w:hint="eastAsia"/>
        </w:rPr>
        <w:t>年以前，高等教育是免费的。只是从转型期开始才开始收费。目前国营教育机构的</w:t>
      </w:r>
      <w:r>
        <w:t>50%</w:t>
      </w:r>
      <w:r>
        <w:rPr>
          <w:rFonts w:hint="eastAsia"/>
        </w:rPr>
        <w:t>的新生由于获得贷款可推迟缴付其学费，其余的新生则自己缴纳学费。</w:t>
      </w:r>
      <w:r>
        <w:t>1</w:t>
      </w:r>
      <w:r>
        <w:t>997/98</w:t>
      </w:r>
      <w:r>
        <w:rPr>
          <w:rFonts w:hint="eastAsia"/>
        </w:rPr>
        <w:t>学年的学费大约为</w:t>
      </w:r>
      <w:r>
        <w:t>250,000</w:t>
      </w:r>
      <w:r>
        <w:rPr>
          <w:rFonts w:hint="eastAsia"/>
        </w:rPr>
        <w:t>图格里克</w:t>
      </w:r>
      <w:r>
        <w:t>(312</w:t>
      </w:r>
      <w:r>
        <w:rPr>
          <w:rFonts w:hint="eastAsia"/>
        </w:rPr>
        <w:t>美元</w:t>
      </w:r>
      <w:r>
        <w:t>)</w:t>
      </w:r>
      <w:r>
        <w:rPr>
          <w:rFonts w:hint="eastAsia"/>
        </w:rPr>
        <w:t>。</w:t>
      </w:r>
    </w:p>
    <w:p w:rsidR="00000000" w:rsidRDefault="00E960EA">
      <w:r>
        <w:tab/>
        <w:t xml:space="preserve">122.  </w:t>
      </w:r>
      <w:r>
        <w:rPr>
          <w:rFonts w:hint="eastAsia"/>
        </w:rPr>
        <w:t>考虑到教育是一个优先的社会部门和发展的基础，因此已作出立法规定，向该部门的拨款不得少于国家预算的</w:t>
      </w:r>
      <w:r>
        <w:t>20%</w:t>
      </w:r>
      <w:r>
        <w:rPr>
          <w:rFonts w:hint="eastAsia"/>
        </w:rPr>
        <w:t>。由于采取了这一措施，教育部门的预算已经提高，并且相对平衡。</w:t>
      </w:r>
      <w:r>
        <w:t>1996</w:t>
      </w:r>
      <w:r>
        <w:rPr>
          <w:rFonts w:hint="eastAsia"/>
        </w:rPr>
        <w:t>年用于教育的开支为</w:t>
      </w:r>
      <w:r>
        <w:t>304</w:t>
      </w:r>
      <w:r>
        <w:rPr>
          <w:rFonts w:hint="eastAsia"/>
        </w:rPr>
        <w:t>亿图格里克，</w:t>
      </w:r>
      <w:r>
        <w:t>1997</w:t>
      </w:r>
      <w:r>
        <w:rPr>
          <w:rFonts w:hint="eastAsia"/>
        </w:rPr>
        <w:t>年计划用于教育的费用为</w:t>
      </w:r>
      <w:r>
        <w:t>374</w:t>
      </w:r>
      <w:r>
        <w:rPr>
          <w:rFonts w:hint="eastAsia"/>
        </w:rPr>
        <w:t>亿图格里克。这意味着，国家预算有五分之一是用于教育目的的。</w:t>
      </w:r>
    </w:p>
    <w:p w:rsidR="00000000" w:rsidRDefault="00E960EA">
      <w:pPr>
        <w:spacing w:after="320"/>
        <w:textAlignment w:val="center"/>
      </w:pPr>
      <w:r>
        <w:tab/>
        <w:t xml:space="preserve">123.  </w:t>
      </w:r>
      <w:r>
        <w:rPr>
          <w:rFonts w:hint="eastAsia"/>
        </w:rPr>
        <w:t>教育部门的教师和其他工作人员的工资是根据政府核准的一个工资比额表加以确定的。教学人员除了他们的基本薪水外，有权因技</w:t>
      </w:r>
      <w:r>
        <w:rPr>
          <w:rFonts w:hint="eastAsia"/>
        </w:rPr>
        <w:t>能、专业职称、修改书面作业、教授一个班级、一门课程或一个系而取得附加工资。技能和专业职称附加工资是作为基本薪水的一定百分比确定的。</w:t>
      </w:r>
    </w:p>
    <w:p w:rsidR="00000000" w:rsidRDefault="00E960EA">
      <w:pPr>
        <w:pStyle w:val="Heading3"/>
      </w:pPr>
      <w:r>
        <w:rPr>
          <w:rFonts w:hint="eastAsia"/>
        </w:rPr>
        <w:t>第</w:t>
      </w:r>
      <w:r>
        <w:t xml:space="preserve"> 14 </w:t>
      </w:r>
      <w:r>
        <w:rPr>
          <w:rFonts w:hint="eastAsia"/>
        </w:rPr>
        <w:t>条</w:t>
      </w:r>
    </w:p>
    <w:p w:rsidR="00000000" w:rsidRDefault="00E960EA">
      <w:r>
        <w:tab/>
        <w:t xml:space="preserve">124.  </w:t>
      </w:r>
      <w:r>
        <w:rPr>
          <w:rFonts w:hint="eastAsia"/>
        </w:rPr>
        <w:t>《蒙古宪法》规定蒙古公民有权珍惜和继承国家、历史和文化传统，而且国家必须保护与人民历史和文化相关的科学和知识遗产以及纪念性建筑。《宪法》还保证每个公民有权在平等的基础上参与政治、经济、社会和文化生活及家庭关系，并可在报界倡所欲言。</w:t>
      </w:r>
    </w:p>
    <w:p w:rsidR="00000000" w:rsidRDefault="00E960EA">
      <w:r>
        <w:tab/>
        <w:t xml:space="preserve">125.  </w:t>
      </w:r>
      <w:r>
        <w:rPr>
          <w:rFonts w:hint="eastAsia"/>
        </w:rPr>
        <w:t>公民脑力劳动的产品是他的财产，然而也是蒙古民族财富的一部分。公民有权在文化、艺术和科学领域中从事创造性工作</w:t>
      </w:r>
      <w:r>
        <w:rPr>
          <w:rFonts w:hint="eastAsia"/>
        </w:rPr>
        <w:t>，并从中获得益处。根据《宪法》的规定</w:t>
      </w:r>
      <w:r>
        <w:t>(</w:t>
      </w:r>
      <w:r>
        <w:rPr>
          <w:rFonts w:hint="eastAsia"/>
        </w:rPr>
        <w:t>第</w:t>
      </w:r>
      <w:r>
        <w:t>16</w:t>
      </w:r>
      <w:r>
        <w:rPr>
          <w:rFonts w:hint="eastAsia"/>
        </w:rPr>
        <w:t>条</w:t>
      </w:r>
      <w:r>
        <w:t>)</w:t>
      </w:r>
      <w:r>
        <w:rPr>
          <w:rFonts w:hint="eastAsia"/>
        </w:rPr>
        <w:t>“版权和专利权受到法律保护”，已经颁发了《版权和专利权法》，并建立了一个保护版权办事处。</w:t>
      </w:r>
    </w:p>
    <w:p w:rsidR="00000000" w:rsidRDefault="00E960EA">
      <w:r>
        <w:tab/>
        <w:t xml:space="preserve">126.  </w:t>
      </w:r>
      <w:r>
        <w:rPr>
          <w:rFonts w:hint="eastAsia"/>
        </w:rPr>
        <w:t>《版权法》规定，涉及文化艺术领域的脑力产品的作者对其产品享有完全的非物质和物质</w:t>
      </w:r>
      <w:r>
        <w:t>(</w:t>
      </w:r>
      <w:r>
        <w:rPr>
          <w:rFonts w:hint="eastAsia"/>
        </w:rPr>
        <w:t>财产</w:t>
      </w:r>
      <w:r>
        <w:t>)</w:t>
      </w:r>
      <w:r>
        <w:rPr>
          <w:rFonts w:hint="eastAsia"/>
        </w:rPr>
        <w:t>权利，无论这一作品为任何形式的音乐美术或应用艺术、舞蹈、杂技表演、哑剧、戏剧、电影或摄影或以类似方法制作的任何形式的产品。作者有权为其产品命名，用其自己的名字、绰号或假名公开发表其作品，有权以其名字受到提级并享有其作品的安全。</w:t>
      </w:r>
    </w:p>
    <w:p w:rsidR="00000000" w:rsidRDefault="00E960EA">
      <w:r>
        <w:tab/>
        <w:t xml:space="preserve">127.  </w:t>
      </w:r>
      <w:r>
        <w:rPr>
          <w:rFonts w:hint="eastAsia"/>
        </w:rPr>
        <w:t>《版权和专利法》规定作者在使用其</w:t>
      </w:r>
      <w:r>
        <w:rPr>
          <w:rFonts w:hint="eastAsia"/>
        </w:rPr>
        <w:t>作品</w:t>
      </w:r>
      <w:r>
        <w:t>(</w:t>
      </w:r>
      <w:r>
        <w:rPr>
          <w:rFonts w:hint="eastAsia"/>
        </w:rPr>
        <w:t>财产权</w:t>
      </w:r>
      <w:r>
        <w:t>)</w:t>
      </w:r>
      <w:r>
        <w:rPr>
          <w:rFonts w:hint="eastAsia"/>
        </w:rPr>
        <w:t>方面拥有下述排他性权利：可复印或复制；可修改、更正和翻译；可公布；可介绍；可使用</w:t>
      </w:r>
      <w:r>
        <w:t>C</w:t>
      </w:r>
      <w:r>
        <w:rPr>
          <w:rFonts w:hint="eastAsia"/>
        </w:rPr>
        <w:t>符号，表明其版权已受到合法保护。</w:t>
      </w:r>
    </w:p>
    <w:p w:rsidR="00000000" w:rsidRDefault="00E960EA">
      <w:r>
        <w:tab/>
        <w:t xml:space="preserve">128.  </w:t>
      </w:r>
      <w:r>
        <w:rPr>
          <w:rFonts w:hint="eastAsia"/>
        </w:rPr>
        <w:t>《国家预算法》</w:t>
      </w:r>
      <w:r>
        <w:t>(</w:t>
      </w:r>
      <w:r>
        <w:rPr>
          <w:rFonts w:hint="eastAsia"/>
        </w:rPr>
        <w:t>第</w:t>
      </w:r>
      <w:r>
        <w:t>10</w:t>
      </w:r>
      <w:r>
        <w:rPr>
          <w:rFonts w:hint="eastAsia"/>
        </w:rPr>
        <w:t>条至</w:t>
      </w:r>
      <w:r>
        <w:t>12</w:t>
      </w:r>
      <w:r>
        <w:rPr>
          <w:rFonts w:hint="eastAsia"/>
        </w:rPr>
        <w:t>条</w:t>
      </w:r>
      <w:r>
        <w:t>)</w:t>
      </w:r>
      <w:r>
        <w:rPr>
          <w:rFonts w:hint="eastAsia"/>
        </w:rPr>
        <w:t>规定，教育、科学、文化、保健、体育开支和兽医费用将由国家承担。因此，用于发展科学技术的开支以及用于政府设立的教育、文化、保健和体育组织的开支均由国家中央预算支付，由各省省长和首都设立的教育、文化、保健和体育组织的开支则由地方预算支付。</w:t>
      </w:r>
    </w:p>
    <w:p w:rsidR="00000000" w:rsidRDefault="00E960EA">
      <w:r>
        <w:tab/>
        <w:t xml:space="preserve">129.  </w:t>
      </w:r>
      <w:r>
        <w:rPr>
          <w:rFonts w:hint="eastAsia"/>
        </w:rPr>
        <w:t>《蒙古行政</w:t>
      </w:r>
      <w:r>
        <w:rPr>
          <w:rFonts w:hint="eastAsia"/>
          <w:spacing w:val="-40"/>
        </w:rPr>
        <w:t>——</w:t>
      </w:r>
      <w:r>
        <w:t xml:space="preserve"> </w:t>
      </w:r>
      <w:r>
        <w:rPr>
          <w:rFonts w:hint="eastAsia"/>
        </w:rPr>
        <w:t>领土单位及其管理法》第</w:t>
      </w:r>
      <w:r>
        <w:t>14</w:t>
      </w:r>
      <w:r>
        <w:rPr>
          <w:rFonts w:hint="eastAsia"/>
        </w:rPr>
        <w:t>条规定，省、首都、牧场和地区的负责人必须采</w:t>
      </w:r>
      <w:r>
        <w:rPr>
          <w:rFonts w:hint="eastAsia"/>
        </w:rPr>
        <w:t>取各种措施，对其各自管辖区中的人民进行教育，保护他们的健康，发展文化、艺术、科学和技术，并保护历史和文化纪念物。</w:t>
      </w:r>
    </w:p>
    <w:p w:rsidR="00000000" w:rsidRDefault="00E960EA"/>
    <w:p w:rsidR="00000000" w:rsidRDefault="00E960EA"/>
    <w:p w:rsidR="00000000" w:rsidRDefault="00E960EA">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960EA">
      <w:pPr>
        <w:keepNext/>
        <w:spacing w:before="320" w:after="240"/>
        <w:jc w:val="center"/>
      </w:pPr>
      <w:r>
        <w:rPr>
          <w:rFonts w:hint="eastAsia"/>
          <w:u w:val="single"/>
        </w:rPr>
        <w:t>注</w:t>
      </w:r>
    </w:p>
  </w:endnote>
  <w:endnote w:type="continuationSeparator" w:id="0">
    <w:p w:rsidR="00000000" w:rsidRDefault="00E960E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LinePrinter">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60EA">
    <w:pPr>
      <w:pStyle w:val="Footer"/>
    </w:pPr>
    <w:r>
      <w:t>GE. 98-17109  (</w:t>
    </w:r>
    <w:r>
      <w:t>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960EA">
      <w:pPr>
        <w:spacing w:line="240" w:lineRule="auto"/>
      </w:pPr>
      <w:r>
        <w:separator/>
      </w:r>
    </w:p>
  </w:footnote>
  <w:footnote w:type="continuationSeparator" w:id="0">
    <w:p w:rsidR="00000000" w:rsidRDefault="00E960EA">
      <w:pPr>
        <w:spacing w:line="240" w:lineRule="auto"/>
      </w:pPr>
      <w:r>
        <w:continuationSeparator/>
      </w:r>
    </w:p>
  </w:footnote>
  <w:footnote w:id="1">
    <w:p w:rsidR="00000000" w:rsidRDefault="00E960EA">
      <w:pPr>
        <w:pStyle w:val="FootnoteText"/>
      </w:pPr>
      <w:r>
        <w:rPr>
          <w:rStyle w:val="FootnoteReference"/>
          <w:vertAlign w:val="baseline"/>
        </w:rPr>
        <w:t>*</w:t>
      </w:r>
      <w:r>
        <w:tab/>
      </w:r>
      <w:r>
        <w:rPr>
          <w:rFonts w:hint="eastAsia"/>
        </w:rPr>
        <w:t>《经济、社会、文化权利国际盟约》执行情况政府专家会期工作组在</w:t>
      </w:r>
      <w:r>
        <w:t>1984</w:t>
      </w:r>
      <w:r>
        <w:rPr>
          <w:rFonts w:hint="eastAsia"/>
        </w:rPr>
        <w:t>年会议</w:t>
      </w:r>
      <w:r>
        <w:t>(</w:t>
      </w:r>
      <w:r>
        <w:rPr>
          <w:rFonts w:hint="eastAsia"/>
        </w:rPr>
        <w:t>见</w:t>
      </w:r>
      <w:r>
        <w:t>E/1984/WG.1/SR.16</w:t>
      </w:r>
      <w:r>
        <w:rPr>
          <w:rFonts w:hint="eastAsia"/>
        </w:rPr>
        <w:t>和</w:t>
      </w:r>
      <w:r>
        <w:t>18)</w:t>
      </w:r>
      <w:r>
        <w:rPr>
          <w:rFonts w:hint="eastAsia"/>
        </w:rPr>
        <w:t>上审议了蒙古政府提交的关于第</w:t>
      </w:r>
      <w:r>
        <w:t>6</w:t>
      </w:r>
      <w:r>
        <w:rPr>
          <w:rFonts w:hint="eastAsia"/>
        </w:rPr>
        <w:t>条至第</w:t>
      </w:r>
      <w:r>
        <w:t>9</w:t>
      </w:r>
      <w:r>
        <w:rPr>
          <w:rFonts w:hint="eastAsia"/>
        </w:rPr>
        <w:t>条所涉权利的第二份定期报告</w:t>
      </w:r>
      <w:r>
        <w:t>(E/1984/7/Add.6)</w:t>
      </w:r>
      <w:r>
        <w:rPr>
          <w:rFonts w:hint="eastAsia"/>
        </w:rPr>
        <w:t>。经济、社会和文化权利委员会在</w:t>
      </w:r>
      <w:r>
        <w:t>1988</w:t>
      </w:r>
      <w:r>
        <w:rPr>
          <w:rFonts w:hint="eastAsia"/>
        </w:rPr>
        <w:t>年举行的第二届会议</w:t>
      </w:r>
      <w:r>
        <w:t>(</w:t>
      </w:r>
      <w:r>
        <w:rPr>
          <w:rFonts w:hint="eastAsia"/>
        </w:rPr>
        <w:t>见</w:t>
      </w:r>
      <w:r>
        <w:t>E/C.12/1988/SR.5</w:t>
      </w:r>
      <w:r>
        <w:rPr>
          <w:rFonts w:hint="eastAsia"/>
        </w:rPr>
        <w:t>和</w:t>
      </w:r>
      <w:r>
        <w:t>7)</w:t>
      </w:r>
      <w:r>
        <w:rPr>
          <w:rFonts w:hint="eastAsia"/>
        </w:rPr>
        <w:t>上审议了该国提交的关于第</w:t>
      </w:r>
      <w:r>
        <w:t>10</w:t>
      </w:r>
      <w:r>
        <w:rPr>
          <w:rFonts w:hint="eastAsia"/>
        </w:rPr>
        <w:t>条至第</w:t>
      </w:r>
      <w:r>
        <w:t>12</w:t>
      </w:r>
      <w:r>
        <w:rPr>
          <w:rFonts w:hint="eastAsia"/>
        </w:rPr>
        <w:t>条所涉权利的第二份定期报告</w:t>
      </w:r>
      <w:r>
        <w:t>(E/1986/4/Add.9)</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60EA">
    <w:pPr>
      <w:pStyle w:val="1R2"/>
      <w:framePr w:w="0" w:hRule="auto" w:hSpace="0" w:wrap="auto" w:vAnchor="margin" w:hAnchor="text" w:xAlign="left" w:yAlign="inline"/>
    </w:pPr>
    <w:r>
      <w:t>E/1994/104/Add.21</w:t>
    </w:r>
  </w:p>
  <w:p w:rsidR="00000000" w:rsidRDefault="00E960EA">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60EA">
    <w:pPr>
      <w:pStyle w:val="1R2"/>
      <w:framePr w:w="0" w:hRule="auto" w:hSpace="0" w:wrap="auto" w:vAnchor="margin" w:hAnchor="text" w:xAlign="left" w:yAlign="inline"/>
    </w:pPr>
    <w:r>
      <w:tab/>
    </w:r>
    <w:r>
      <w:tab/>
    </w:r>
    <w:r>
      <w:tab/>
    </w:r>
    <w:r>
      <w:tab/>
      <w:t>E/1994/104/Add.21</w:t>
    </w:r>
  </w:p>
  <w:p w:rsidR="00000000" w:rsidRDefault="00E960EA">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60EA">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E960EA">
                <w:pPr>
                  <w:pStyle w:val="1R1"/>
                  <w:rPr>
                    <w:rFonts w:ascii="Univers Bold" w:hAnsi="Univers Bold"/>
                  </w:rPr>
                </w:pPr>
                <w:r>
                  <w:t>E</w:t>
                </w:r>
              </w:p>
            </w:txbxContent>
          </v:textbox>
          <w10:wrap anchorx="page" anchory="page"/>
        </v:rect>
      </w:pict>
    </w:r>
  </w:p>
  <w:p w:rsidR="00000000" w:rsidRDefault="00E960EA">
    <w:pPr>
      <w:pStyle w:val="a"/>
      <w:spacing w:after="160"/>
    </w:pPr>
    <w:r>
      <w:fldChar w:fldCharType="begin"/>
    </w:r>
    <w:r>
      <w:instrText xml:space="preserve">PRIVATE </w:instrText>
    </w:r>
    <w:r>
      <w:fldChar w:fldCharType="end"/>
    </w:r>
  </w:p>
  <w:p w:rsidR="00000000" w:rsidRDefault="00E960EA">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E960EA">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E960EA">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E960EA">
    <w:pPr>
      <w:pStyle w:val="a"/>
    </w:pPr>
  </w:p>
  <w:p w:rsidR="00000000" w:rsidRDefault="00E960EA">
    <w:pPr>
      <w:pStyle w:val="1R2"/>
      <w:framePr w:w="2739" w:wrap="around" w:x="8906" w:y="2506"/>
    </w:pPr>
    <w:r>
      <w:t>Distr.</w:t>
    </w:r>
  </w:p>
  <w:p w:rsidR="00000000" w:rsidRDefault="00E960EA">
    <w:pPr>
      <w:pStyle w:val="1R2"/>
      <w:framePr w:w="2739" w:wrap="around" w:x="8906" w:y="2506"/>
    </w:pPr>
    <w:r>
      <w:t>GENERAL</w:t>
    </w:r>
  </w:p>
  <w:p w:rsidR="00000000" w:rsidRDefault="00E960EA">
    <w:pPr>
      <w:pStyle w:val="1R2"/>
      <w:framePr w:w="2739" w:wrap="around" w:x="8906" w:y="2506"/>
    </w:pPr>
  </w:p>
  <w:p w:rsidR="00000000" w:rsidRDefault="00E960EA">
    <w:pPr>
      <w:pStyle w:val="1R2"/>
      <w:framePr w:w="2739" w:wrap="around" w:x="8906" w:y="2506"/>
    </w:pPr>
    <w:r>
      <w:t>E/1994/104/Add.21</w:t>
    </w:r>
  </w:p>
  <w:p w:rsidR="00000000" w:rsidRDefault="00E960EA">
    <w:pPr>
      <w:pStyle w:val="1R2"/>
      <w:framePr w:w="2739" w:wrap="around" w:x="8906" w:y="2506"/>
    </w:pPr>
    <w:r>
      <w:t>23 July 1998</w:t>
    </w:r>
  </w:p>
  <w:p w:rsidR="00000000" w:rsidRDefault="00E960EA">
    <w:pPr>
      <w:pStyle w:val="1R2"/>
      <w:framePr w:w="2739" w:wrap="around" w:x="8906" w:y="2506"/>
    </w:pPr>
    <w:r>
      <w:t>CHINESE</w:t>
    </w:r>
  </w:p>
  <w:p w:rsidR="00000000" w:rsidRDefault="00E960EA">
    <w:pPr>
      <w:pStyle w:val="1R2"/>
      <w:framePr w:w="2739" w:wrap="around" w:x="8906" w:y="2506"/>
    </w:pPr>
    <w:r>
      <w:t>Original:</w:t>
    </w:r>
    <w:r>
      <w:tab/>
      <w:t>ENGLISH</w:t>
    </w:r>
  </w:p>
  <w:p w:rsidR="00000000" w:rsidRDefault="00E960EA">
    <w:pPr>
      <w:pStyle w:val="a"/>
    </w:pPr>
  </w:p>
  <w:p w:rsidR="00000000" w:rsidRDefault="00E960EA">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E960EA">
                <w:pPr>
                  <w:pStyle w:val="1m1"/>
                </w:pPr>
                <w:r>
                  <w:rPr>
                    <w:rFonts w:hint="eastAsia"/>
                  </w:rPr>
                  <w:t>经济及社会理事会</w:t>
                </w:r>
              </w:p>
            </w:txbxContent>
          </v:textbox>
          <w10:wrap anchorx="page" anchory="page"/>
        </v:rect>
      </w:pict>
    </w:r>
  </w:p>
  <w:p w:rsidR="00000000" w:rsidRDefault="00E960EA">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E960EA">
    <w:pPr>
      <w:pStyle w:val="a"/>
    </w:pPr>
  </w:p>
  <w:p w:rsidR="00000000" w:rsidRDefault="00E960EA">
    <w:pPr>
      <w:pStyle w:val="a"/>
    </w:pPr>
  </w:p>
  <w:p w:rsidR="00000000" w:rsidRDefault="00E960EA">
    <w:pPr>
      <w:pStyle w:val="a"/>
    </w:pPr>
    <w:r>
      <w:fldChar w:fldCharType="begin"/>
    </w:r>
    <w:r>
      <w:instrText>ADVANCE \Y 252.30</w:instrText>
    </w:r>
    <w:r>
      <w:fldChar w:fldCharType="end"/>
    </w:r>
  </w:p>
  <w:p w:rsidR="00000000" w:rsidRDefault="00E960EA">
    <w:pPr>
      <w:pStyle w:val="a"/>
    </w:pPr>
  </w:p>
  <w:p w:rsidR="00000000" w:rsidRDefault="00E960EA">
    <w:pPr>
      <w:pStyle w:val="a"/>
    </w:pPr>
  </w:p>
  <w:p w:rsidR="00000000" w:rsidRDefault="00E960EA">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1DF2"/>
    <w:multiLevelType w:val="singleLevel"/>
    <w:tmpl w:val="FFFFFFFF"/>
    <w:lvl w:ilvl="0">
      <w:start w:val="1"/>
      <w:numFmt w:val="lowerLetter"/>
      <w:lvlText w:val="(%1)"/>
      <w:legacy w:legacy="1" w:legacySpace="0" w:legacyIndent="425"/>
      <w:lvlJc w:val="left"/>
      <w:pPr>
        <w:ind w:left="1446" w:hanging="425"/>
      </w:pPr>
    </w:lvl>
  </w:abstractNum>
  <w:abstractNum w:abstractNumId="1">
    <w:nsid w:val="07881ED8"/>
    <w:multiLevelType w:val="singleLevel"/>
    <w:tmpl w:val="FFFFFFFF"/>
    <w:lvl w:ilvl="0">
      <w:start w:val="1"/>
      <w:numFmt w:val="lowerLetter"/>
      <w:lvlText w:val="(%1)"/>
      <w:legacy w:legacy="1" w:legacySpace="0" w:legacyIndent="425"/>
      <w:lvlJc w:val="left"/>
      <w:pPr>
        <w:ind w:left="1446" w:hanging="425"/>
      </w:pPr>
    </w:lvl>
  </w:abstractNum>
  <w:abstractNum w:abstractNumId="2">
    <w:nsid w:val="0E976F27"/>
    <w:multiLevelType w:val="singleLevel"/>
    <w:tmpl w:val="FFFFFFFF"/>
    <w:lvl w:ilvl="0">
      <w:start w:val="1"/>
      <w:numFmt w:val="lowerLetter"/>
      <w:lvlText w:val="(%1)"/>
      <w:legacy w:legacy="1" w:legacySpace="0" w:legacyIndent="425"/>
      <w:lvlJc w:val="left"/>
      <w:pPr>
        <w:ind w:left="1446" w:hanging="425"/>
      </w:pPr>
    </w:lvl>
  </w:abstractNum>
  <w:abstractNum w:abstractNumId="3">
    <w:nsid w:val="1257563F"/>
    <w:multiLevelType w:val="singleLevel"/>
    <w:tmpl w:val="FFFFFFFF"/>
    <w:lvl w:ilvl="0">
      <w:start w:val="1"/>
      <w:numFmt w:val="lowerLetter"/>
      <w:lvlText w:val="(%1)"/>
      <w:legacy w:legacy="1" w:legacySpace="0" w:legacyIndent="425"/>
      <w:lvlJc w:val="left"/>
      <w:pPr>
        <w:ind w:left="1446" w:hanging="425"/>
      </w:pPr>
    </w:lvl>
  </w:abstractNum>
  <w:abstractNum w:abstractNumId="4">
    <w:nsid w:val="3D453B3E"/>
    <w:multiLevelType w:val="singleLevel"/>
    <w:tmpl w:val="FFFFFFFF"/>
    <w:lvl w:ilvl="0">
      <w:start w:val="1"/>
      <w:numFmt w:val="lowerLetter"/>
      <w:lvlText w:val="(%1)"/>
      <w:legacy w:legacy="1" w:legacySpace="0" w:legacyIndent="425"/>
      <w:lvlJc w:val="left"/>
      <w:pPr>
        <w:ind w:left="1446" w:hanging="425"/>
      </w:pPr>
    </w:lvl>
  </w:abstractNum>
  <w:abstractNum w:abstractNumId="5">
    <w:nsid w:val="59F316F8"/>
    <w:multiLevelType w:val="singleLevel"/>
    <w:tmpl w:val="FFFFFFFF"/>
    <w:lvl w:ilvl="0">
      <w:start w:val="1"/>
      <w:numFmt w:val="lowerLetter"/>
      <w:lvlText w:val="(%1)"/>
      <w:legacy w:legacy="1" w:legacySpace="0" w:legacyIndent="425"/>
      <w:lvlJc w:val="left"/>
      <w:pPr>
        <w:ind w:left="1446" w:hanging="425"/>
      </w:pPr>
    </w:lvl>
  </w:abstractNum>
  <w:abstractNum w:abstractNumId="6">
    <w:nsid w:val="61084CED"/>
    <w:multiLevelType w:val="singleLevel"/>
    <w:tmpl w:val="FFFFFFFF"/>
    <w:lvl w:ilvl="0">
      <w:start w:val="1"/>
      <w:numFmt w:val="lowerLetter"/>
      <w:lvlText w:val="(%1)"/>
      <w:legacy w:legacy="1" w:legacySpace="0" w:legacyIndent="425"/>
      <w:lvlJc w:val="left"/>
      <w:pPr>
        <w:ind w:left="1446" w:hanging="425"/>
      </w:pPr>
    </w:lvl>
  </w:abstractNum>
  <w:abstractNum w:abstractNumId="7">
    <w:nsid w:val="62077683"/>
    <w:multiLevelType w:val="singleLevel"/>
    <w:tmpl w:val="FFFFFFFF"/>
    <w:lvl w:ilvl="0">
      <w:start w:val="1"/>
      <w:numFmt w:val="lowerLetter"/>
      <w:lvlText w:val="(%1)"/>
      <w:legacy w:legacy="1" w:legacySpace="0" w:legacyIndent="425"/>
      <w:lvlJc w:val="left"/>
      <w:pPr>
        <w:ind w:left="1446" w:hanging="425"/>
      </w:pPr>
    </w:lvl>
  </w:abstractNum>
  <w:abstractNum w:abstractNumId="8">
    <w:nsid w:val="661B6EB3"/>
    <w:multiLevelType w:val="singleLevel"/>
    <w:tmpl w:val="FFFFFFFF"/>
    <w:lvl w:ilvl="0">
      <w:start w:val="1"/>
      <w:numFmt w:val="lowerLetter"/>
      <w:lvlText w:val="(%1)"/>
      <w:legacy w:legacy="1" w:legacySpace="0" w:legacyIndent="425"/>
      <w:lvlJc w:val="left"/>
      <w:pPr>
        <w:ind w:left="1446" w:hanging="425"/>
      </w:pPr>
    </w:lvl>
  </w:abstractNum>
  <w:abstractNum w:abstractNumId="9">
    <w:nsid w:val="75801097"/>
    <w:multiLevelType w:val="singleLevel"/>
    <w:tmpl w:val="FFFFFFFF"/>
    <w:lvl w:ilvl="0">
      <w:start w:val="1"/>
      <w:numFmt w:val="lowerLetter"/>
      <w:lvlText w:val="(%1)"/>
      <w:legacy w:legacy="1" w:legacySpace="0" w:legacyIndent="425"/>
      <w:lvlJc w:val="left"/>
      <w:pPr>
        <w:ind w:left="1446" w:hanging="425"/>
      </w:pPr>
    </w:lvl>
  </w:abstractNum>
  <w:abstractNum w:abstractNumId="10">
    <w:nsid w:val="77B529F2"/>
    <w:multiLevelType w:val="singleLevel"/>
    <w:tmpl w:val="FFFFFFFF"/>
    <w:lvl w:ilvl="0">
      <w:start w:val="1"/>
      <w:numFmt w:val="lowerLetter"/>
      <w:lvlText w:val="(%1)"/>
      <w:legacy w:legacy="1" w:legacySpace="0" w:legacyIndent="425"/>
      <w:lvlJc w:val="left"/>
      <w:pPr>
        <w:ind w:left="1446" w:hanging="425"/>
      </w:pPr>
    </w:lvl>
  </w:abstractNum>
  <w:num w:numId="1">
    <w:abstractNumId w:val="9"/>
  </w:num>
  <w:num w:numId="2">
    <w:abstractNumId w:val="4"/>
  </w:num>
  <w:num w:numId="3">
    <w:abstractNumId w:val="1"/>
  </w:num>
  <w:num w:numId="4">
    <w:abstractNumId w:val="0"/>
  </w:num>
  <w:num w:numId="5">
    <w:abstractNumId w:val="3"/>
  </w:num>
  <w:num w:numId="6">
    <w:abstractNumId w:val="8"/>
  </w:num>
  <w:num w:numId="7">
    <w:abstractNumId w:val="2"/>
  </w:num>
  <w:num w:numId="8">
    <w:abstractNumId w:val="10"/>
  </w:num>
  <w:num w:numId="9">
    <w:abstractNumId w:val="6"/>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60EA"/>
    <w:rsid w:val="00E960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 w:type="paragraph" w:customStyle="1" w:styleId="ac">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 w:type="paragraph" w:customStyle="1" w:styleId="cdL1">
    <w:name w:val="cdL1"/>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16</TotalTime>
  <Pages>31</Pages>
  <Words>19207</Words>
  <Characters>22737</Characters>
  <Application>Microsoft Office Word</Application>
  <DocSecurity>4</DocSecurity>
  <Lines>1288</Lines>
  <Paragraphs>810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LAI</dc:creator>
  <cp:keywords/>
  <cp:lastModifiedBy>WUF</cp:lastModifiedBy>
  <cp:revision>8</cp:revision>
  <cp:lastPrinted>1998-11-17T12:33:00Z</cp:lastPrinted>
  <dcterms:created xsi:type="dcterms:W3CDTF">1998-11-17T09:44:00Z</dcterms:created>
  <dcterms:modified xsi:type="dcterms:W3CDTF">1998-11-17T12:34:00Z</dcterms:modified>
</cp:coreProperties>
</file>